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17264" w14:textId="77777777" w:rsidR="0013579A" w:rsidRDefault="0013579A" w:rsidP="008770A6">
      <w:pPr>
        <w:spacing w:after="0" w:line="240" w:lineRule="auto"/>
        <w:ind w:firstLine="0"/>
        <w:jc w:val="center"/>
        <w:rPr>
          <w:rFonts w:eastAsia="Times New Roman" w:cs="Times New Roman"/>
          <w:szCs w:val="24"/>
          <w:lang w:eastAsia="ru-RU"/>
        </w:rPr>
      </w:pPr>
      <w:r>
        <w:rPr>
          <w:rFonts w:eastAsia="Times New Roman" w:cs="Times New Roman"/>
          <w:szCs w:val="24"/>
          <w:lang w:eastAsia="ru-RU"/>
        </w:rPr>
        <w:t xml:space="preserve">Федеральное государственное бюджетное </w:t>
      </w:r>
    </w:p>
    <w:p w14:paraId="31AE4E5E" w14:textId="3FB5A901" w:rsidR="00F500F4" w:rsidRPr="0013579A" w:rsidRDefault="0013579A" w:rsidP="008770A6">
      <w:pPr>
        <w:spacing w:after="0" w:line="240" w:lineRule="auto"/>
        <w:ind w:firstLine="0"/>
        <w:jc w:val="center"/>
        <w:rPr>
          <w:rFonts w:eastAsia="Times New Roman" w:cs="Times New Roman"/>
          <w:szCs w:val="24"/>
          <w:lang w:eastAsia="ru-RU"/>
        </w:rPr>
      </w:pPr>
      <w:r>
        <w:rPr>
          <w:rFonts w:eastAsia="Times New Roman" w:cs="Times New Roman"/>
          <w:szCs w:val="24"/>
          <w:lang w:eastAsia="ru-RU"/>
        </w:rPr>
        <w:t>образовательное учреждение высшего образования</w:t>
      </w:r>
    </w:p>
    <w:p w14:paraId="3B5759FD" w14:textId="77777777" w:rsidR="0013579A" w:rsidRPr="008770A6" w:rsidRDefault="0013579A" w:rsidP="008770A6">
      <w:pPr>
        <w:spacing w:after="0" w:line="240" w:lineRule="auto"/>
        <w:ind w:firstLine="0"/>
        <w:jc w:val="center"/>
        <w:rPr>
          <w:rFonts w:eastAsia="Times New Roman" w:cs="Times New Roman"/>
          <w:szCs w:val="24"/>
          <w:lang w:eastAsia="ru-RU"/>
        </w:rPr>
      </w:pPr>
    </w:p>
    <w:p w14:paraId="07012C24" w14:textId="77777777" w:rsidR="00F500F4" w:rsidRPr="000431F7" w:rsidRDefault="00F500F4" w:rsidP="00F500F4">
      <w:pPr>
        <w:spacing w:after="0" w:line="240" w:lineRule="auto"/>
        <w:ind w:firstLine="0"/>
        <w:jc w:val="center"/>
        <w:rPr>
          <w:rFonts w:eastAsia="Times New Roman" w:cs="Times New Roman"/>
          <w:szCs w:val="24"/>
          <w:lang w:eastAsia="ru-RU"/>
        </w:rPr>
      </w:pPr>
      <w:r w:rsidRPr="000431F7">
        <w:rPr>
          <w:rFonts w:eastAsia="Times New Roman" w:cs="Times New Roman"/>
          <w:szCs w:val="24"/>
          <w:lang w:eastAsia="ru-RU"/>
        </w:rPr>
        <w:t>Санкт-Петербургский государственный университет</w:t>
      </w:r>
    </w:p>
    <w:p w14:paraId="53071933" w14:textId="035B3A60" w:rsidR="00F500F4" w:rsidRPr="000431F7" w:rsidRDefault="00F500F4" w:rsidP="00F500F4">
      <w:pPr>
        <w:spacing w:after="0" w:line="240" w:lineRule="auto"/>
        <w:ind w:firstLine="0"/>
        <w:jc w:val="center"/>
        <w:rPr>
          <w:rFonts w:eastAsia="Times New Roman" w:cs="Times New Roman"/>
          <w:szCs w:val="24"/>
          <w:lang w:eastAsia="ru-RU"/>
        </w:rPr>
      </w:pPr>
    </w:p>
    <w:p w14:paraId="525E953D" w14:textId="77777777" w:rsidR="00F500F4" w:rsidRPr="000431F7" w:rsidRDefault="00F500F4" w:rsidP="00F500F4">
      <w:pPr>
        <w:spacing w:after="0"/>
        <w:ind w:firstLine="0"/>
        <w:jc w:val="center"/>
        <w:rPr>
          <w:rFonts w:eastAsia="Times New Roman" w:cs="Times New Roman"/>
          <w:szCs w:val="24"/>
          <w:lang w:eastAsia="ru-RU"/>
        </w:rPr>
      </w:pPr>
    </w:p>
    <w:p w14:paraId="7D4A78A9" w14:textId="18965DBC" w:rsidR="00F500F4" w:rsidRDefault="00F500F4" w:rsidP="0013579A">
      <w:pPr>
        <w:spacing w:after="0"/>
        <w:ind w:firstLine="0"/>
        <w:rPr>
          <w:rFonts w:eastAsia="Times New Roman" w:cs="Times New Roman"/>
          <w:szCs w:val="24"/>
          <w:lang w:eastAsia="ru-RU"/>
        </w:rPr>
      </w:pPr>
    </w:p>
    <w:p w14:paraId="496624BD" w14:textId="519D4A00" w:rsidR="00A23020" w:rsidRDefault="00A23020" w:rsidP="0015465E">
      <w:pPr>
        <w:spacing w:after="0"/>
        <w:ind w:firstLine="0"/>
        <w:rPr>
          <w:rFonts w:eastAsia="Times New Roman" w:cs="Times New Roman"/>
          <w:szCs w:val="24"/>
          <w:lang w:eastAsia="ru-RU"/>
        </w:rPr>
      </w:pPr>
    </w:p>
    <w:p w14:paraId="1A2CCB21" w14:textId="77777777" w:rsidR="0015465E" w:rsidRPr="000431F7" w:rsidRDefault="0015465E" w:rsidP="0015465E">
      <w:pPr>
        <w:spacing w:after="0"/>
        <w:ind w:firstLine="0"/>
        <w:rPr>
          <w:rFonts w:eastAsia="Times New Roman" w:cs="Times New Roman"/>
          <w:szCs w:val="24"/>
          <w:lang w:eastAsia="ru-RU"/>
        </w:rPr>
      </w:pPr>
    </w:p>
    <w:p w14:paraId="2D03F3B1" w14:textId="77777777" w:rsidR="00F500F4" w:rsidRPr="00F135EF" w:rsidRDefault="00F500F4" w:rsidP="00F500F4">
      <w:pPr>
        <w:spacing w:after="0"/>
        <w:ind w:firstLine="0"/>
        <w:jc w:val="center"/>
        <w:rPr>
          <w:rFonts w:eastAsia="Times New Roman" w:cs="Times New Roman"/>
          <w:szCs w:val="24"/>
          <w:lang w:eastAsia="ru-RU"/>
        </w:rPr>
      </w:pPr>
    </w:p>
    <w:p w14:paraId="0BA8905D" w14:textId="77777777" w:rsidR="00F500F4" w:rsidRPr="000431F7" w:rsidRDefault="00F500F4" w:rsidP="00F500F4">
      <w:pPr>
        <w:spacing w:after="0"/>
        <w:ind w:firstLine="0"/>
        <w:jc w:val="center"/>
        <w:rPr>
          <w:rFonts w:eastAsia="Times New Roman" w:cs="Times New Roman"/>
          <w:szCs w:val="24"/>
          <w:lang w:eastAsia="ru-RU"/>
        </w:rPr>
      </w:pPr>
    </w:p>
    <w:p w14:paraId="5CB70910" w14:textId="49FA0EB5" w:rsidR="00F500F4" w:rsidRPr="00A23020" w:rsidRDefault="0013579A" w:rsidP="0013579A">
      <w:pPr>
        <w:spacing w:after="0"/>
        <w:ind w:firstLine="0"/>
        <w:jc w:val="center"/>
        <w:rPr>
          <w:rFonts w:eastAsia="Times New Roman" w:cs="Times New Roman"/>
          <w:b/>
          <w:sz w:val="32"/>
          <w:szCs w:val="24"/>
          <w:lang w:eastAsia="ru-RU"/>
        </w:rPr>
      </w:pPr>
      <w:bookmarkStart w:id="0" w:name="_Hlk9816324"/>
      <w:r>
        <w:rPr>
          <w:rFonts w:eastAsia="Times New Roman" w:cs="Times New Roman"/>
          <w:b/>
          <w:sz w:val="32"/>
          <w:szCs w:val="24"/>
          <w:lang w:eastAsia="ru-RU"/>
        </w:rPr>
        <w:t xml:space="preserve">ОЦЕНКА ЦЕННОСТИ КОМПАНИИ МЕТОДОМ ДОСТИГНУТОЙ СТОИМОСТИ: СРАВНЕНИЕ С ОЦЕНКОЙ МЕТОДОМ </w:t>
      </w:r>
      <w:bookmarkEnd w:id="0"/>
      <w:r>
        <w:rPr>
          <w:rFonts w:eastAsia="Times New Roman" w:cs="Times New Roman"/>
          <w:b/>
          <w:sz w:val="32"/>
          <w:szCs w:val="24"/>
          <w:lang w:val="en-US" w:eastAsia="ru-RU"/>
        </w:rPr>
        <w:t>DCF</w:t>
      </w:r>
    </w:p>
    <w:p w14:paraId="74E39D60" w14:textId="77777777" w:rsidR="00F500F4" w:rsidRPr="000431F7" w:rsidRDefault="00F500F4" w:rsidP="00F500F4">
      <w:pPr>
        <w:spacing w:after="0"/>
        <w:ind w:firstLine="0"/>
        <w:jc w:val="center"/>
        <w:rPr>
          <w:rFonts w:eastAsia="Times New Roman" w:cs="Times New Roman"/>
          <w:szCs w:val="24"/>
          <w:lang w:eastAsia="ru-RU"/>
        </w:rPr>
      </w:pPr>
      <w:r>
        <w:rPr>
          <w:rFonts w:eastAsia="Times New Roman" w:cs="Times New Roman"/>
          <w:szCs w:val="24"/>
          <w:lang w:eastAsia="ru-RU"/>
        </w:rPr>
        <w:t xml:space="preserve">Выпускная квалификационная </w:t>
      </w:r>
      <w:r w:rsidRPr="000431F7">
        <w:rPr>
          <w:rFonts w:eastAsia="Times New Roman" w:cs="Times New Roman"/>
          <w:szCs w:val="24"/>
          <w:lang w:eastAsia="ru-RU"/>
        </w:rPr>
        <w:t xml:space="preserve">работа студентки </w:t>
      </w:r>
      <w:r>
        <w:rPr>
          <w:rFonts w:eastAsia="Times New Roman" w:cs="Times New Roman"/>
          <w:szCs w:val="24"/>
          <w:lang w:eastAsia="ru-RU"/>
        </w:rPr>
        <w:t>4</w:t>
      </w:r>
      <w:r w:rsidRPr="000431F7">
        <w:rPr>
          <w:rFonts w:eastAsia="Times New Roman" w:cs="Times New Roman"/>
          <w:szCs w:val="24"/>
          <w:lang w:eastAsia="ru-RU"/>
        </w:rPr>
        <w:t xml:space="preserve"> курса, направления 38.03.02 — Менеджмент, шифр образовательной программы СВ.5070.2016.</w:t>
      </w:r>
    </w:p>
    <w:p w14:paraId="5B1961A9" w14:textId="77777777" w:rsidR="00F500F4" w:rsidRPr="000431F7" w:rsidRDefault="00F500F4" w:rsidP="00F500F4">
      <w:pPr>
        <w:spacing w:after="0" w:line="240" w:lineRule="auto"/>
        <w:ind w:firstLine="0"/>
        <w:jc w:val="left"/>
        <w:rPr>
          <w:rFonts w:eastAsia="Times New Roman" w:cs="Times New Roman"/>
          <w:szCs w:val="24"/>
          <w:lang w:eastAsia="ru-RU"/>
        </w:rPr>
      </w:pPr>
    </w:p>
    <w:p w14:paraId="77C47EE9" w14:textId="77777777" w:rsidR="00F500F4" w:rsidRPr="000431F7" w:rsidRDefault="00F500F4" w:rsidP="00F500F4">
      <w:pPr>
        <w:spacing w:after="0" w:line="240" w:lineRule="auto"/>
        <w:ind w:firstLine="0"/>
        <w:jc w:val="left"/>
        <w:rPr>
          <w:rFonts w:eastAsia="Times New Roman" w:cs="Times New Roman"/>
          <w:szCs w:val="24"/>
          <w:lang w:eastAsia="ru-RU"/>
        </w:rPr>
      </w:pPr>
    </w:p>
    <w:p w14:paraId="4845ADC6" w14:textId="7A096E25" w:rsidR="00F500F4" w:rsidRDefault="00F500F4" w:rsidP="00F500F4">
      <w:pPr>
        <w:spacing w:after="0" w:line="240" w:lineRule="auto"/>
        <w:ind w:firstLine="0"/>
        <w:jc w:val="left"/>
        <w:rPr>
          <w:rFonts w:eastAsia="Times New Roman" w:cs="Times New Roman"/>
          <w:szCs w:val="24"/>
          <w:lang w:eastAsia="ru-RU"/>
        </w:rPr>
      </w:pPr>
    </w:p>
    <w:p w14:paraId="56D36B77" w14:textId="07CE8EF9" w:rsidR="00A23020" w:rsidRDefault="00A23020" w:rsidP="00F500F4">
      <w:pPr>
        <w:spacing w:after="0" w:line="240" w:lineRule="auto"/>
        <w:ind w:firstLine="0"/>
        <w:jc w:val="left"/>
        <w:rPr>
          <w:rFonts w:eastAsia="Times New Roman" w:cs="Times New Roman"/>
          <w:szCs w:val="24"/>
          <w:lang w:eastAsia="ru-RU"/>
        </w:rPr>
      </w:pPr>
    </w:p>
    <w:p w14:paraId="749DD462" w14:textId="77777777" w:rsidR="00A23020" w:rsidRPr="000431F7" w:rsidRDefault="00A23020" w:rsidP="00F500F4">
      <w:pPr>
        <w:spacing w:after="0" w:line="240" w:lineRule="auto"/>
        <w:ind w:firstLine="0"/>
        <w:jc w:val="left"/>
        <w:rPr>
          <w:rFonts w:eastAsia="Times New Roman" w:cs="Times New Roman"/>
          <w:szCs w:val="24"/>
          <w:lang w:eastAsia="ru-RU"/>
        </w:rPr>
      </w:pPr>
    </w:p>
    <w:p w14:paraId="34286BF5" w14:textId="77777777" w:rsidR="00F500F4" w:rsidRPr="000431F7" w:rsidRDefault="00F500F4" w:rsidP="00F500F4">
      <w:pPr>
        <w:spacing w:after="0" w:line="240" w:lineRule="auto"/>
        <w:ind w:firstLine="0"/>
        <w:jc w:val="left"/>
        <w:rPr>
          <w:rFonts w:eastAsia="Times New Roman" w:cs="Times New Roman"/>
          <w:szCs w:val="24"/>
          <w:lang w:eastAsia="ru-RU"/>
        </w:rPr>
      </w:pPr>
    </w:p>
    <w:p w14:paraId="0DC2667B" w14:textId="77777777" w:rsidR="00F500F4" w:rsidRPr="000431F7" w:rsidRDefault="00F500F4" w:rsidP="00F500F4">
      <w:pPr>
        <w:spacing w:after="0" w:line="240" w:lineRule="auto"/>
        <w:ind w:left="4678" w:firstLine="0"/>
        <w:jc w:val="left"/>
        <w:rPr>
          <w:rFonts w:eastAsia="Times New Roman" w:cs="Times New Roman"/>
          <w:szCs w:val="24"/>
          <w:lang w:eastAsia="ru-RU"/>
        </w:rPr>
      </w:pPr>
    </w:p>
    <w:p w14:paraId="75E2334E" w14:textId="6AA9FB7A" w:rsidR="00F500F4" w:rsidRPr="000431F7" w:rsidRDefault="0013579A" w:rsidP="00F500F4">
      <w:pPr>
        <w:spacing w:after="0" w:line="240" w:lineRule="auto"/>
        <w:ind w:left="4678" w:firstLine="0"/>
        <w:jc w:val="left"/>
        <w:rPr>
          <w:rFonts w:eastAsia="Times New Roman" w:cs="Times New Roman"/>
          <w:b/>
          <w:szCs w:val="24"/>
          <w:lang w:eastAsia="ru-RU"/>
        </w:rPr>
      </w:pPr>
      <w:r w:rsidRPr="000431F7">
        <w:rPr>
          <w:rFonts w:eastAsia="Times New Roman" w:cs="Times New Roman"/>
          <w:b/>
          <w:szCs w:val="24"/>
          <w:lang w:eastAsia="ru-RU"/>
        </w:rPr>
        <w:t>МАЛОЯРОСЛАВ</w:t>
      </w:r>
      <w:r>
        <w:rPr>
          <w:rFonts w:eastAsia="Times New Roman" w:cs="Times New Roman"/>
          <w:b/>
          <w:szCs w:val="24"/>
          <w:lang w:eastAsia="ru-RU"/>
        </w:rPr>
        <w:t>Ц</w:t>
      </w:r>
      <w:r w:rsidRPr="000431F7">
        <w:rPr>
          <w:rFonts w:eastAsia="Times New Roman" w:cs="Times New Roman"/>
          <w:b/>
          <w:szCs w:val="24"/>
          <w:lang w:eastAsia="ru-RU"/>
        </w:rPr>
        <w:t>ЕВОЙ</w:t>
      </w:r>
      <w:r w:rsidR="00F500F4" w:rsidRPr="000431F7">
        <w:rPr>
          <w:rFonts w:eastAsia="Times New Roman" w:cs="Times New Roman"/>
          <w:b/>
          <w:szCs w:val="24"/>
          <w:lang w:eastAsia="ru-RU"/>
        </w:rPr>
        <w:t xml:space="preserve"> Алины Сергеевны</w:t>
      </w:r>
    </w:p>
    <w:p w14:paraId="01D72124" w14:textId="77777777" w:rsidR="00F500F4" w:rsidRPr="000431F7" w:rsidRDefault="00F500F4" w:rsidP="00F500F4">
      <w:pPr>
        <w:spacing w:after="0" w:line="240" w:lineRule="auto"/>
        <w:ind w:left="4678" w:firstLine="0"/>
        <w:jc w:val="left"/>
        <w:rPr>
          <w:rFonts w:eastAsia="Times New Roman" w:cs="Times New Roman"/>
          <w:b/>
          <w:szCs w:val="24"/>
          <w:lang w:eastAsia="ru-RU"/>
        </w:rPr>
      </w:pPr>
    </w:p>
    <w:p w14:paraId="351F0179" w14:textId="77777777" w:rsidR="00F500F4" w:rsidRPr="000431F7" w:rsidRDefault="00F500F4" w:rsidP="00F500F4">
      <w:pPr>
        <w:spacing w:after="0" w:line="240" w:lineRule="auto"/>
        <w:ind w:left="4678" w:firstLine="0"/>
        <w:jc w:val="left"/>
        <w:rPr>
          <w:rFonts w:eastAsia="Times New Roman" w:cs="Times New Roman"/>
          <w:szCs w:val="24"/>
          <w:u w:val="single"/>
          <w:lang w:eastAsia="ru-RU"/>
        </w:rPr>
      </w:pPr>
      <w:r w:rsidRPr="000431F7">
        <w:rPr>
          <w:rFonts w:eastAsia="Times New Roman" w:cs="Times New Roman"/>
          <w:szCs w:val="24"/>
          <w:u w:val="single"/>
          <w:lang w:eastAsia="ru-RU"/>
        </w:rPr>
        <w:t>___________________________________</w:t>
      </w:r>
    </w:p>
    <w:p w14:paraId="01885CEC" w14:textId="77777777" w:rsidR="00F500F4" w:rsidRPr="000431F7" w:rsidRDefault="00F500F4" w:rsidP="00F500F4">
      <w:pPr>
        <w:spacing w:after="0" w:line="240" w:lineRule="auto"/>
        <w:ind w:left="4678" w:firstLine="0"/>
        <w:jc w:val="left"/>
        <w:rPr>
          <w:rFonts w:eastAsia="Times New Roman" w:cs="Times New Roman"/>
          <w:szCs w:val="24"/>
          <w:lang w:eastAsia="ru-RU"/>
        </w:rPr>
      </w:pPr>
    </w:p>
    <w:p w14:paraId="67618BAB" w14:textId="77777777" w:rsidR="00F500F4" w:rsidRPr="000431F7" w:rsidRDefault="00F500F4" w:rsidP="00F500F4">
      <w:pPr>
        <w:spacing w:after="0" w:line="240" w:lineRule="auto"/>
        <w:ind w:left="4678" w:firstLine="0"/>
        <w:jc w:val="left"/>
        <w:rPr>
          <w:rFonts w:eastAsia="Times New Roman" w:cs="Times New Roman"/>
          <w:szCs w:val="24"/>
          <w:lang w:eastAsia="ru-RU"/>
        </w:rPr>
      </w:pPr>
      <w:r w:rsidRPr="000431F7">
        <w:rPr>
          <w:rFonts w:eastAsia="Times New Roman" w:cs="Times New Roman"/>
          <w:szCs w:val="24"/>
          <w:lang w:eastAsia="ru-RU"/>
        </w:rPr>
        <w:t xml:space="preserve">Научный руководитель </w:t>
      </w:r>
    </w:p>
    <w:p w14:paraId="24381955" w14:textId="77777777" w:rsidR="00F500F4" w:rsidRPr="000431F7" w:rsidRDefault="00F500F4" w:rsidP="00F500F4">
      <w:pPr>
        <w:spacing w:after="0" w:line="240" w:lineRule="auto"/>
        <w:ind w:left="4678" w:firstLine="0"/>
        <w:jc w:val="left"/>
        <w:rPr>
          <w:rFonts w:eastAsia="Times New Roman" w:cs="Times New Roman"/>
          <w:szCs w:val="24"/>
          <w:lang w:eastAsia="ru-RU"/>
        </w:rPr>
      </w:pPr>
      <w:proofErr w:type="spellStart"/>
      <w:r w:rsidRPr="000431F7">
        <w:rPr>
          <w:rFonts w:eastAsia="Times New Roman" w:cs="Times New Roman"/>
          <w:szCs w:val="24"/>
          <w:lang w:eastAsia="ru-RU"/>
        </w:rPr>
        <w:t>к.ф-</w:t>
      </w:r>
      <w:proofErr w:type="gramStart"/>
      <w:r w:rsidRPr="000431F7">
        <w:rPr>
          <w:rFonts w:eastAsia="Times New Roman" w:cs="Times New Roman"/>
          <w:szCs w:val="24"/>
          <w:lang w:eastAsia="ru-RU"/>
        </w:rPr>
        <w:t>м.н</w:t>
      </w:r>
      <w:proofErr w:type="spellEnd"/>
      <w:proofErr w:type="gramEnd"/>
      <w:r w:rsidRPr="000431F7">
        <w:rPr>
          <w:rFonts w:eastAsia="Times New Roman" w:cs="Times New Roman"/>
          <w:szCs w:val="24"/>
          <w:lang w:eastAsia="ru-RU"/>
        </w:rPr>
        <w:t>, доцент</w:t>
      </w:r>
    </w:p>
    <w:p w14:paraId="17309AA3" w14:textId="77777777" w:rsidR="00F500F4" w:rsidRPr="000431F7" w:rsidRDefault="00F500F4" w:rsidP="00F500F4">
      <w:pPr>
        <w:spacing w:after="0" w:line="240" w:lineRule="auto"/>
        <w:ind w:left="4678" w:firstLine="0"/>
        <w:jc w:val="left"/>
        <w:rPr>
          <w:rFonts w:eastAsia="Times New Roman" w:cs="Times New Roman"/>
          <w:b/>
          <w:szCs w:val="24"/>
          <w:lang w:eastAsia="ru-RU"/>
        </w:rPr>
      </w:pPr>
      <w:r w:rsidRPr="000431F7">
        <w:rPr>
          <w:rFonts w:eastAsia="Times New Roman" w:cs="Times New Roman"/>
          <w:b/>
          <w:szCs w:val="24"/>
          <w:lang w:eastAsia="ru-RU"/>
        </w:rPr>
        <w:t>Лукьянова Анна Евгеньевна</w:t>
      </w:r>
    </w:p>
    <w:p w14:paraId="3EA92101" w14:textId="77777777" w:rsidR="00F500F4" w:rsidRPr="000431F7" w:rsidRDefault="00F500F4" w:rsidP="00F500F4">
      <w:pPr>
        <w:spacing w:after="0" w:line="240" w:lineRule="auto"/>
        <w:ind w:left="4678" w:firstLine="0"/>
        <w:jc w:val="left"/>
        <w:rPr>
          <w:rFonts w:eastAsia="Times New Roman" w:cs="Times New Roman"/>
          <w:szCs w:val="24"/>
          <w:lang w:eastAsia="ru-RU"/>
        </w:rPr>
      </w:pPr>
      <w:r w:rsidRPr="000431F7">
        <w:rPr>
          <w:rFonts w:eastAsia="Times New Roman" w:cs="Times New Roman"/>
          <w:szCs w:val="24"/>
          <w:lang w:eastAsia="ru-RU"/>
        </w:rPr>
        <w:t>_______________________________</w:t>
      </w:r>
    </w:p>
    <w:p w14:paraId="7963E945" w14:textId="77777777" w:rsidR="00F500F4" w:rsidRPr="000431F7" w:rsidRDefault="00F500F4" w:rsidP="00F500F4">
      <w:pPr>
        <w:spacing w:after="0" w:line="240" w:lineRule="auto"/>
        <w:ind w:left="4678" w:firstLine="0"/>
        <w:jc w:val="left"/>
        <w:rPr>
          <w:rFonts w:eastAsia="Times New Roman" w:cs="Times New Roman"/>
          <w:szCs w:val="24"/>
          <w:u w:val="single"/>
          <w:lang w:eastAsia="ru-RU"/>
        </w:rPr>
      </w:pPr>
      <w:r w:rsidRPr="000431F7">
        <w:rPr>
          <w:rFonts w:eastAsia="Times New Roman" w:cs="Times New Roman"/>
          <w:szCs w:val="24"/>
          <w:u w:val="single"/>
          <w:lang w:eastAsia="ru-RU"/>
        </w:rPr>
        <w:t>_______________________________</w:t>
      </w:r>
    </w:p>
    <w:p w14:paraId="08F8E7F8" w14:textId="77777777" w:rsidR="00F500F4" w:rsidRPr="000431F7" w:rsidRDefault="00F500F4" w:rsidP="00F500F4">
      <w:pPr>
        <w:spacing w:after="0" w:line="240" w:lineRule="auto"/>
        <w:ind w:left="4678" w:firstLine="0"/>
        <w:jc w:val="left"/>
        <w:rPr>
          <w:rFonts w:eastAsia="Times New Roman" w:cs="Times New Roman"/>
          <w:szCs w:val="24"/>
          <w:lang w:eastAsia="ru-RU"/>
        </w:rPr>
      </w:pPr>
      <w:r w:rsidRPr="000431F7">
        <w:rPr>
          <w:rFonts w:eastAsia="Times New Roman" w:cs="Times New Roman"/>
          <w:szCs w:val="24"/>
          <w:lang w:eastAsia="ru-RU"/>
        </w:rPr>
        <w:t>(подпись научного руководителя)</w:t>
      </w:r>
    </w:p>
    <w:p w14:paraId="4FE7B7C9" w14:textId="77777777" w:rsidR="00F500F4" w:rsidRPr="000431F7" w:rsidRDefault="00F500F4" w:rsidP="00F500F4">
      <w:pPr>
        <w:spacing w:after="0" w:line="240" w:lineRule="auto"/>
        <w:ind w:left="4678" w:firstLine="0"/>
        <w:jc w:val="left"/>
        <w:rPr>
          <w:rFonts w:eastAsia="Times New Roman" w:cs="Times New Roman"/>
          <w:szCs w:val="24"/>
          <w:lang w:eastAsia="ru-RU"/>
        </w:rPr>
      </w:pPr>
      <w:r w:rsidRPr="000431F7">
        <w:rPr>
          <w:rFonts w:eastAsia="Times New Roman" w:cs="Times New Roman"/>
          <w:szCs w:val="24"/>
          <w:lang w:eastAsia="ru-RU"/>
        </w:rPr>
        <w:t>«</w:t>
      </w:r>
      <w:r w:rsidRPr="000431F7">
        <w:rPr>
          <w:rFonts w:eastAsia="Times New Roman" w:cs="Times New Roman"/>
          <w:szCs w:val="24"/>
          <w:u w:val="single"/>
          <w:lang w:eastAsia="ru-RU"/>
        </w:rPr>
        <w:t>__</w:t>
      </w:r>
      <w:proofErr w:type="gramStart"/>
      <w:r w:rsidRPr="000431F7">
        <w:rPr>
          <w:rFonts w:eastAsia="Times New Roman" w:cs="Times New Roman"/>
          <w:szCs w:val="24"/>
          <w:u w:val="single"/>
          <w:lang w:eastAsia="ru-RU"/>
        </w:rPr>
        <w:t>_</w:t>
      </w:r>
      <w:r w:rsidRPr="000431F7">
        <w:rPr>
          <w:rFonts w:eastAsia="Times New Roman" w:cs="Times New Roman"/>
          <w:szCs w:val="24"/>
          <w:lang w:eastAsia="ru-RU"/>
        </w:rPr>
        <w:t xml:space="preserve">» </w:t>
      </w:r>
      <w:r w:rsidRPr="000431F7">
        <w:rPr>
          <w:rFonts w:eastAsia="Times New Roman" w:cs="Times New Roman"/>
          <w:szCs w:val="24"/>
          <w:u w:val="single"/>
          <w:lang w:eastAsia="ru-RU"/>
        </w:rPr>
        <w:t xml:space="preserve">  </w:t>
      </w:r>
      <w:proofErr w:type="gramEnd"/>
      <w:r w:rsidRPr="000431F7">
        <w:rPr>
          <w:rFonts w:eastAsia="Times New Roman" w:cs="Times New Roman"/>
          <w:szCs w:val="24"/>
          <w:u w:val="single"/>
          <w:lang w:eastAsia="ru-RU"/>
        </w:rPr>
        <w:t xml:space="preserve">____________  </w:t>
      </w:r>
      <w:r w:rsidRPr="000431F7">
        <w:rPr>
          <w:rFonts w:eastAsia="Times New Roman" w:cs="Times New Roman"/>
          <w:szCs w:val="24"/>
          <w:lang w:eastAsia="ru-RU"/>
        </w:rPr>
        <w:t>20</w:t>
      </w:r>
      <w:r>
        <w:rPr>
          <w:rFonts w:eastAsia="Times New Roman" w:cs="Times New Roman"/>
          <w:szCs w:val="24"/>
          <w:lang w:eastAsia="ru-RU"/>
        </w:rPr>
        <w:t>20</w:t>
      </w:r>
      <w:r w:rsidRPr="000431F7">
        <w:rPr>
          <w:rFonts w:eastAsia="Times New Roman" w:cs="Times New Roman"/>
          <w:szCs w:val="24"/>
          <w:lang w:eastAsia="ru-RU"/>
        </w:rPr>
        <w:t xml:space="preserve"> г.</w:t>
      </w:r>
    </w:p>
    <w:p w14:paraId="078277AF" w14:textId="77777777" w:rsidR="00F500F4" w:rsidRPr="000431F7" w:rsidRDefault="00F500F4" w:rsidP="00F500F4">
      <w:pPr>
        <w:spacing w:after="0" w:line="240" w:lineRule="auto"/>
        <w:ind w:firstLine="0"/>
        <w:jc w:val="right"/>
        <w:rPr>
          <w:rFonts w:eastAsia="Times New Roman" w:cs="Times New Roman"/>
          <w:szCs w:val="24"/>
          <w:lang w:eastAsia="ru-RU"/>
        </w:rPr>
      </w:pPr>
    </w:p>
    <w:p w14:paraId="33362A00" w14:textId="77777777" w:rsidR="00F500F4" w:rsidRPr="000431F7" w:rsidRDefault="00F500F4" w:rsidP="00F500F4">
      <w:pPr>
        <w:spacing w:after="0" w:line="240" w:lineRule="auto"/>
        <w:ind w:firstLine="0"/>
        <w:jc w:val="center"/>
        <w:rPr>
          <w:rFonts w:eastAsia="Times New Roman" w:cs="Times New Roman"/>
          <w:szCs w:val="24"/>
          <w:lang w:eastAsia="ru-RU"/>
        </w:rPr>
      </w:pPr>
    </w:p>
    <w:p w14:paraId="3FF60908" w14:textId="77777777" w:rsidR="00F500F4" w:rsidRPr="000431F7" w:rsidRDefault="00F500F4" w:rsidP="00F500F4">
      <w:pPr>
        <w:spacing w:after="0" w:line="240" w:lineRule="auto"/>
        <w:ind w:firstLine="0"/>
        <w:jc w:val="center"/>
        <w:rPr>
          <w:rFonts w:eastAsia="Times New Roman" w:cs="Times New Roman"/>
          <w:szCs w:val="24"/>
          <w:lang w:eastAsia="ru-RU"/>
        </w:rPr>
      </w:pPr>
    </w:p>
    <w:p w14:paraId="7E29403A" w14:textId="77777777" w:rsidR="00A23020" w:rsidRPr="000431F7" w:rsidRDefault="00A23020" w:rsidP="00556FAA">
      <w:pPr>
        <w:spacing w:after="0" w:line="240" w:lineRule="auto"/>
        <w:ind w:firstLine="0"/>
        <w:rPr>
          <w:rFonts w:eastAsia="Times New Roman" w:cs="Times New Roman"/>
          <w:szCs w:val="24"/>
          <w:lang w:eastAsia="ru-RU"/>
        </w:rPr>
      </w:pPr>
    </w:p>
    <w:p w14:paraId="7ED5098B" w14:textId="77777777" w:rsidR="00F500F4" w:rsidRPr="000431F7" w:rsidRDefault="00F500F4" w:rsidP="00F500F4">
      <w:pPr>
        <w:spacing w:after="0" w:line="240" w:lineRule="auto"/>
        <w:ind w:firstLine="0"/>
        <w:jc w:val="center"/>
        <w:rPr>
          <w:rFonts w:eastAsia="Times New Roman" w:cs="Times New Roman"/>
          <w:szCs w:val="24"/>
          <w:lang w:eastAsia="ru-RU"/>
        </w:rPr>
      </w:pPr>
    </w:p>
    <w:p w14:paraId="4DDC2337" w14:textId="77777777" w:rsidR="00F500F4" w:rsidRPr="000431F7" w:rsidRDefault="00F500F4" w:rsidP="00F500F4">
      <w:pPr>
        <w:spacing w:after="0" w:line="240" w:lineRule="auto"/>
        <w:ind w:firstLine="0"/>
        <w:jc w:val="center"/>
        <w:rPr>
          <w:rFonts w:eastAsia="Times New Roman" w:cs="Times New Roman"/>
          <w:szCs w:val="24"/>
          <w:lang w:eastAsia="ru-RU"/>
        </w:rPr>
      </w:pPr>
    </w:p>
    <w:p w14:paraId="52E6F547" w14:textId="77777777" w:rsidR="00A23020" w:rsidRPr="000431F7" w:rsidRDefault="00A23020" w:rsidP="00F500F4">
      <w:pPr>
        <w:spacing w:after="0" w:line="240" w:lineRule="auto"/>
        <w:ind w:firstLine="0"/>
        <w:jc w:val="center"/>
        <w:rPr>
          <w:rFonts w:eastAsia="Times New Roman" w:cs="Times New Roman"/>
          <w:szCs w:val="24"/>
          <w:lang w:eastAsia="ru-RU"/>
        </w:rPr>
      </w:pPr>
    </w:p>
    <w:p w14:paraId="571F2945" w14:textId="77777777" w:rsidR="00F500F4" w:rsidRPr="000431F7" w:rsidRDefault="00F500F4" w:rsidP="00F500F4">
      <w:pPr>
        <w:spacing w:after="0" w:line="240" w:lineRule="auto"/>
        <w:ind w:firstLine="0"/>
        <w:jc w:val="center"/>
        <w:rPr>
          <w:rFonts w:eastAsia="Times New Roman" w:cs="Times New Roman"/>
          <w:szCs w:val="24"/>
          <w:lang w:eastAsia="ru-RU"/>
        </w:rPr>
      </w:pPr>
    </w:p>
    <w:p w14:paraId="617F31A1" w14:textId="77777777" w:rsidR="00F500F4" w:rsidRPr="000431F7" w:rsidRDefault="00F500F4" w:rsidP="00F500F4">
      <w:pPr>
        <w:spacing w:after="0" w:line="240" w:lineRule="auto"/>
        <w:ind w:firstLine="0"/>
        <w:jc w:val="center"/>
        <w:rPr>
          <w:rFonts w:eastAsia="Times New Roman" w:cs="Times New Roman"/>
          <w:szCs w:val="24"/>
          <w:lang w:eastAsia="ru-RU"/>
        </w:rPr>
      </w:pPr>
      <w:r w:rsidRPr="000431F7">
        <w:rPr>
          <w:rFonts w:eastAsia="Times New Roman" w:cs="Times New Roman"/>
          <w:szCs w:val="24"/>
          <w:lang w:eastAsia="ru-RU"/>
        </w:rPr>
        <w:t>Санкт-Петербург</w:t>
      </w:r>
    </w:p>
    <w:p w14:paraId="633E9F3D" w14:textId="7F9C3F8A" w:rsidR="00556FAA" w:rsidRDefault="00F500F4" w:rsidP="00F500F4">
      <w:pPr>
        <w:spacing w:after="0" w:line="240" w:lineRule="auto"/>
        <w:ind w:firstLine="0"/>
        <w:jc w:val="center"/>
        <w:rPr>
          <w:rFonts w:eastAsia="Times New Roman" w:cs="Times New Roman"/>
          <w:szCs w:val="24"/>
          <w:lang w:eastAsia="ru-RU"/>
        </w:rPr>
        <w:sectPr w:rsidR="00556FAA" w:rsidSect="00025044">
          <w:headerReference w:type="default" r:id="rId8"/>
          <w:footerReference w:type="even" r:id="rId9"/>
          <w:footerReference w:type="default" r:id="rId10"/>
          <w:type w:val="continuous"/>
          <w:pgSz w:w="11906" w:h="16838"/>
          <w:pgMar w:top="1134" w:right="850" w:bottom="1134" w:left="1701" w:header="709" w:footer="709" w:gutter="0"/>
          <w:pgNumType w:start="0"/>
          <w:cols w:space="708"/>
          <w:titlePg/>
          <w:docGrid w:linePitch="360"/>
        </w:sectPr>
      </w:pPr>
      <w:r w:rsidRPr="000431F7">
        <w:rPr>
          <w:rFonts w:eastAsia="Times New Roman" w:cs="Times New Roman"/>
          <w:szCs w:val="24"/>
          <w:lang w:eastAsia="ru-RU"/>
        </w:rPr>
        <w:t>20</w:t>
      </w:r>
      <w:r>
        <w:rPr>
          <w:rFonts w:eastAsia="Times New Roman" w:cs="Times New Roman"/>
          <w:szCs w:val="24"/>
          <w:lang w:eastAsia="ru-RU"/>
        </w:rPr>
        <w:t>2</w:t>
      </w:r>
      <w:r w:rsidR="00556FAA">
        <w:rPr>
          <w:rFonts w:eastAsia="Times New Roman" w:cs="Times New Roman"/>
          <w:szCs w:val="24"/>
          <w:lang w:eastAsia="ru-RU"/>
        </w:rPr>
        <w:t>0</w:t>
      </w:r>
    </w:p>
    <w:p w14:paraId="77A61393" w14:textId="77777777" w:rsidR="00F500F4" w:rsidRPr="00A751A8" w:rsidRDefault="00F500F4" w:rsidP="00F500F4">
      <w:pPr>
        <w:ind w:firstLine="0"/>
        <w:rPr>
          <w:rFonts w:eastAsia="Times New Roman" w:cs="Times New Roman"/>
          <w:szCs w:val="27"/>
          <w:lang w:eastAsia="ru-RU"/>
        </w:rPr>
      </w:pPr>
      <w:r w:rsidRPr="00A751A8">
        <w:rPr>
          <w:rFonts w:eastAsia="Times New Roman" w:cs="Times New Roman"/>
          <w:szCs w:val="27"/>
          <w:lang w:eastAsia="ru-RU"/>
        </w:rPr>
        <w:lastRenderedPageBreak/>
        <w:t xml:space="preserve">ЗАЯВЛЕНИЕ О САМОСТОЯТЕЛЬНОМ ХАРАКТЕРЕ </w:t>
      </w:r>
      <w:r>
        <w:rPr>
          <w:rFonts w:eastAsia="Times New Roman" w:cs="Times New Roman"/>
          <w:szCs w:val="27"/>
          <w:lang w:eastAsia="ru-RU"/>
        </w:rPr>
        <w:t xml:space="preserve">ВЫПУСКНОЙ КВАЛИФИКАЦИОННОЙ </w:t>
      </w:r>
      <w:r w:rsidRPr="00A751A8">
        <w:rPr>
          <w:rFonts w:eastAsia="Times New Roman" w:cs="Times New Roman"/>
          <w:szCs w:val="27"/>
          <w:lang w:eastAsia="ru-RU"/>
        </w:rPr>
        <w:t>РАБОТЫ</w:t>
      </w:r>
    </w:p>
    <w:p w14:paraId="3949D428" w14:textId="5011D9DF" w:rsidR="00F500F4" w:rsidRPr="00A751A8" w:rsidRDefault="00F500F4" w:rsidP="00F500F4">
      <w:pPr>
        <w:ind w:firstLine="708"/>
        <w:rPr>
          <w:rFonts w:eastAsia="Times New Roman" w:cs="Times New Roman"/>
          <w:szCs w:val="27"/>
          <w:lang w:eastAsia="ru-RU"/>
        </w:rPr>
      </w:pPr>
      <w:r>
        <w:rPr>
          <w:rFonts w:eastAsia="Times New Roman" w:cs="Times New Roman"/>
          <w:szCs w:val="27"/>
          <w:lang w:eastAsia="ru-RU"/>
        </w:rPr>
        <w:t>Я</w:t>
      </w:r>
      <w:r w:rsidRPr="00A751A8">
        <w:rPr>
          <w:rFonts w:eastAsia="Times New Roman" w:cs="Times New Roman"/>
          <w:szCs w:val="27"/>
          <w:lang w:eastAsia="ru-RU"/>
        </w:rPr>
        <w:t xml:space="preserve">, </w:t>
      </w:r>
      <w:r>
        <w:rPr>
          <w:rFonts w:eastAsia="Times New Roman" w:cs="Times New Roman"/>
          <w:szCs w:val="27"/>
          <w:lang w:eastAsia="ru-RU"/>
        </w:rPr>
        <w:t>Малоярославцева Алина Сергеевна, студентка 4</w:t>
      </w:r>
      <w:r w:rsidRPr="00A751A8">
        <w:rPr>
          <w:rFonts w:eastAsia="Times New Roman" w:cs="Times New Roman"/>
          <w:szCs w:val="27"/>
          <w:lang w:eastAsia="ru-RU"/>
        </w:rPr>
        <w:t xml:space="preserve"> курса Высшей школы менеджмента СПбГУ (направление «Менеджмент», профиль «Финансовый менеджмент</w:t>
      </w:r>
      <w:r>
        <w:rPr>
          <w:rFonts w:eastAsia="Times New Roman" w:cs="Times New Roman"/>
          <w:szCs w:val="27"/>
          <w:lang w:eastAsia="ru-RU"/>
        </w:rPr>
        <w:t>)  подтверждаю</w:t>
      </w:r>
      <w:r w:rsidRPr="00A751A8">
        <w:rPr>
          <w:rFonts w:eastAsia="Times New Roman" w:cs="Times New Roman"/>
          <w:szCs w:val="27"/>
          <w:lang w:eastAsia="ru-RU"/>
        </w:rPr>
        <w:t xml:space="preserve">, что в </w:t>
      </w:r>
      <w:r>
        <w:rPr>
          <w:rFonts w:eastAsia="Times New Roman" w:cs="Times New Roman"/>
          <w:szCs w:val="27"/>
          <w:lang w:eastAsia="ru-RU"/>
        </w:rPr>
        <w:t>моей</w:t>
      </w:r>
      <w:r w:rsidRPr="00A751A8">
        <w:rPr>
          <w:rFonts w:eastAsia="Times New Roman" w:cs="Times New Roman"/>
          <w:szCs w:val="27"/>
          <w:lang w:eastAsia="ru-RU"/>
        </w:rPr>
        <w:t xml:space="preserve"> </w:t>
      </w:r>
      <w:r>
        <w:rPr>
          <w:rFonts w:eastAsia="Times New Roman" w:cs="Times New Roman"/>
          <w:szCs w:val="27"/>
          <w:lang w:eastAsia="ru-RU"/>
        </w:rPr>
        <w:t xml:space="preserve">выпускной квалификационной работе на тему </w:t>
      </w:r>
      <w:r w:rsidRPr="00396C5E">
        <w:rPr>
          <w:rFonts w:eastAsia="Times New Roman" w:cs="Times New Roman"/>
          <w:szCs w:val="27"/>
          <w:lang w:eastAsia="ru-RU"/>
        </w:rPr>
        <w:t>«</w:t>
      </w:r>
      <w:r w:rsidRPr="00F500F4">
        <w:rPr>
          <w:rFonts w:eastAsia="Times New Roman" w:cs="Times New Roman"/>
          <w:szCs w:val="27"/>
          <w:lang w:eastAsia="ru-RU"/>
        </w:rPr>
        <w:t>Оценка ценности компании методом достигнутой стоимости: сравнение с оценкой методом</w:t>
      </w:r>
      <w:r w:rsidR="0059222A" w:rsidRPr="0059222A">
        <w:rPr>
          <w:rFonts w:eastAsia="Times New Roman" w:cs="Times New Roman"/>
          <w:szCs w:val="27"/>
          <w:lang w:eastAsia="ru-RU"/>
        </w:rPr>
        <w:t xml:space="preserve"> </w:t>
      </w:r>
      <w:r w:rsidR="0059222A">
        <w:rPr>
          <w:rFonts w:eastAsia="Times New Roman" w:cs="Times New Roman"/>
          <w:szCs w:val="27"/>
          <w:lang w:val="en-US" w:eastAsia="ru-RU"/>
        </w:rPr>
        <w:t>DCF</w:t>
      </w:r>
      <w:r>
        <w:rPr>
          <w:rFonts w:eastAsia="Times New Roman" w:cs="Times New Roman"/>
          <w:szCs w:val="27"/>
          <w:lang w:eastAsia="ru-RU"/>
        </w:rPr>
        <w:t xml:space="preserve">» </w:t>
      </w:r>
      <w:r w:rsidRPr="00A751A8">
        <w:rPr>
          <w:rFonts w:eastAsia="Times New Roman" w:cs="Times New Roman"/>
          <w:szCs w:val="27"/>
          <w:lang w:eastAsia="ru-RU"/>
        </w:rPr>
        <w:t>представленной для  публичной защиты в июне 20</w:t>
      </w:r>
      <w:r>
        <w:rPr>
          <w:rFonts w:eastAsia="Times New Roman" w:cs="Times New Roman"/>
          <w:szCs w:val="27"/>
          <w:lang w:eastAsia="ru-RU"/>
        </w:rPr>
        <w:t>20</w:t>
      </w:r>
      <w:r w:rsidRPr="00A751A8">
        <w:rPr>
          <w:rFonts w:eastAsia="Times New Roman" w:cs="Times New Roman"/>
          <w:szCs w:val="27"/>
          <w:lang w:eastAsia="ru-RU"/>
        </w:rPr>
        <w:t xml:space="preserve"> г, не содержится элементов плагиата. </w:t>
      </w:r>
    </w:p>
    <w:p w14:paraId="605CCFC8" w14:textId="77777777" w:rsidR="00F500F4" w:rsidRPr="00A751A8" w:rsidRDefault="00F500F4" w:rsidP="00F500F4">
      <w:pPr>
        <w:ind w:firstLine="708"/>
        <w:rPr>
          <w:rFonts w:eastAsia="Times New Roman" w:cs="Times New Roman"/>
          <w:szCs w:val="27"/>
          <w:lang w:eastAsia="ru-RU"/>
        </w:rPr>
      </w:pPr>
      <w:r w:rsidRPr="00A751A8">
        <w:rPr>
          <w:rFonts w:eastAsia="Times New Roman" w:cs="Times New Roman"/>
          <w:szCs w:val="27"/>
          <w:lang w:eastAsia="ru-RU"/>
        </w:rPr>
        <w:t xml:space="preserve">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 </w:t>
      </w:r>
    </w:p>
    <w:p w14:paraId="639C0FE9" w14:textId="77777777" w:rsidR="00F500F4" w:rsidRPr="00A751A8" w:rsidRDefault="00F500F4" w:rsidP="00F500F4">
      <w:pPr>
        <w:ind w:firstLine="708"/>
        <w:rPr>
          <w:rFonts w:eastAsia="Times New Roman" w:cs="Times New Roman"/>
          <w:szCs w:val="27"/>
          <w:lang w:eastAsia="ru-RU"/>
        </w:rPr>
      </w:pPr>
      <w:r>
        <w:rPr>
          <w:rFonts w:eastAsia="Times New Roman" w:cs="Times New Roman"/>
          <w:szCs w:val="27"/>
          <w:lang w:eastAsia="ru-RU"/>
        </w:rPr>
        <w:t>Я ознакомлена</w:t>
      </w:r>
      <w:r w:rsidRPr="00A751A8">
        <w:rPr>
          <w:rFonts w:eastAsia="Times New Roman" w:cs="Times New Roman"/>
          <w:szCs w:val="27"/>
          <w:lang w:eastAsia="ru-RU"/>
        </w:rPr>
        <w:t xml:space="preserve"> с действующим в Высшей школе менеджмента СПбГУ регламентом учебного процесса, согласно которому обнаружение плагиата (прямых заимствований из других источников без соответствующих ссылок) является основанием для выставления за годовую курсовую работу оценки «неудовлетворительно». </w:t>
      </w:r>
    </w:p>
    <w:p w14:paraId="751B38D4" w14:textId="77777777" w:rsidR="00F500F4" w:rsidRPr="00A751A8" w:rsidRDefault="00F500F4" w:rsidP="00F500F4">
      <w:pPr>
        <w:ind w:firstLine="0"/>
        <w:jc w:val="right"/>
        <w:rPr>
          <w:rFonts w:eastAsia="Times New Roman" w:cs="Times New Roman"/>
          <w:szCs w:val="27"/>
          <w:lang w:eastAsia="ru-RU"/>
        </w:rPr>
      </w:pPr>
    </w:p>
    <w:p w14:paraId="30601F64" w14:textId="77777777" w:rsidR="00F500F4" w:rsidRPr="00A751A8" w:rsidRDefault="00F500F4" w:rsidP="00F500F4">
      <w:pPr>
        <w:ind w:firstLine="0"/>
        <w:jc w:val="right"/>
        <w:rPr>
          <w:rFonts w:eastAsia="Times New Roman" w:cs="Times New Roman"/>
          <w:szCs w:val="27"/>
          <w:lang w:eastAsia="ru-RU"/>
        </w:rPr>
      </w:pPr>
      <w:r w:rsidRPr="00A751A8">
        <w:rPr>
          <w:rFonts w:eastAsia="Times New Roman" w:cs="Times New Roman"/>
          <w:szCs w:val="27"/>
          <w:lang w:eastAsia="ru-RU"/>
        </w:rPr>
        <w:t xml:space="preserve">(Подпись студента с расшифровкой) </w:t>
      </w:r>
    </w:p>
    <w:p w14:paraId="7D15B14E" w14:textId="063A601A" w:rsidR="00025044" w:rsidRDefault="00F500F4" w:rsidP="00025044">
      <w:pPr>
        <w:ind w:firstLine="0"/>
        <w:jc w:val="right"/>
        <w:rPr>
          <w:rFonts w:eastAsia="Times New Roman" w:cs="Times New Roman"/>
          <w:szCs w:val="27"/>
          <w:lang w:eastAsia="ru-RU"/>
        </w:rPr>
      </w:pPr>
      <w:r w:rsidRPr="00A751A8">
        <w:rPr>
          <w:rFonts w:eastAsia="Times New Roman" w:cs="Times New Roman"/>
          <w:szCs w:val="27"/>
          <w:lang w:eastAsia="ru-RU"/>
        </w:rPr>
        <w:t>(Дата</w:t>
      </w:r>
      <w:r w:rsidR="00556FAA">
        <w:rPr>
          <w:rFonts w:eastAsia="Times New Roman" w:cs="Times New Roman"/>
          <w:szCs w:val="27"/>
          <w:lang w:eastAsia="ru-RU"/>
        </w:rPr>
        <w:t>)</w:t>
      </w:r>
    </w:p>
    <w:p w14:paraId="65EE68E1" w14:textId="77777777" w:rsidR="00025044" w:rsidRDefault="00025044" w:rsidP="00025044">
      <w:pPr>
        <w:rPr>
          <w:rFonts w:eastAsia="Times New Roman" w:cs="Times New Roman"/>
          <w:szCs w:val="27"/>
          <w:lang w:eastAsia="ru-RU"/>
        </w:rPr>
      </w:pPr>
    </w:p>
    <w:p w14:paraId="01C0BBF0" w14:textId="443FFD8A" w:rsidR="00025044" w:rsidRPr="00025044" w:rsidRDefault="00025044" w:rsidP="00025044">
      <w:pPr>
        <w:rPr>
          <w:rFonts w:eastAsia="Times New Roman" w:cs="Times New Roman"/>
          <w:szCs w:val="27"/>
          <w:lang w:eastAsia="ru-RU"/>
        </w:rPr>
        <w:sectPr w:rsidR="00025044" w:rsidRPr="00025044" w:rsidSect="00025044">
          <w:pgSz w:w="11906" w:h="16838"/>
          <w:pgMar w:top="1134" w:right="850" w:bottom="1134" w:left="1701" w:header="709" w:footer="709" w:gutter="0"/>
          <w:pgNumType w:start="0"/>
          <w:cols w:space="708"/>
          <w:titlePg/>
          <w:docGrid w:linePitch="360"/>
        </w:sectPr>
      </w:pPr>
    </w:p>
    <w:sdt>
      <w:sdtPr>
        <w:rPr>
          <w:rFonts w:ascii="Times New Roman" w:eastAsiaTheme="minorHAnsi" w:hAnsi="Times New Roman" w:cstheme="minorBidi"/>
          <w:caps w:val="0"/>
          <w:color w:val="auto"/>
          <w:sz w:val="24"/>
          <w:szCs w:val="22"/>
          <w:lang w:eastAsia="en-US"/>
        </w:rPr>
        <w:id w:val="-323591940"/>
        <w:docPartObj>
          <w:docPartGallery w:val="Table of Contents"/>
          <w:docPartUnique/>
        </w:docPartObj>
      </w:sdtPr>
      <w:sdtEndPr>
        <w:rPr>
          <w:b/>
          <w:bCs/>
        </w:rPr>
      </w:sdtEndPr>
      <w:sdtContent>
        <w:p w14:paraId="73AEA3B9" w14:textId="6E4A7CF2" w:rsidR="00F500F4" w:rsidRPr="00AD153B" w:rsidRDefault="00174270" w:rsidP="003137AD">
          <w:pPr>
            <w:pStyle w:val="aff1"/>
            <w:spacing w:line="360" w:lineRule="auto"/>
            <w:rPr>
              <w:rStyle w:val="10"/>
            </w:rPr>
          </w:pPr>
          <w:r>
            <w:rPr>
              <w:rStyle w:val="10"/>
              <w:color w:val="auto"/>
            </w:rPr>
            <w:t>ОГЛАВЛЕНИЕ</w:t>
          </w:r>
          <w:r w:rsidR="00AD153B" w:rsidRPr="00AD153B">
            <w:rPr>
              <w:rStyle w:val="10"/>
            </w:rPr>
            <w:t xml:space="preserve"> </w:t>
          </w:r>
        </w:p>
        <w:p w14:paraId="505DDEED" w14:textId="67EFAEFA" w:rsidR="00A33B65" w:rsidRDefault="00BB691B">
          <w:pPr>
            <w:pStyle w:val="12"/>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41822227" w:history="1">
            <w:r w:rsidR="00A33B65" w:rsidRPr="000F7675">
              <w:rPr>
                <w:rStyle w:val="afa"/>
                <w:noProof/>
                <w:lang w:eastAsia="ru-RU"/>
              </w:rPr>
              <w:t>Введение</w:t>
            </w:r>
            <w:r w:rsidR="00A33B65">
              <w:rPr>
                <w:noProof/>
                <w:webHidden/>
              </w:rPr>
              <w:tab/>
            </w:r>
            <w:r w:rsidR="00A33B65">
              <w:rPr>
                <w:noProof/>
                <w:webHidden/>
              </w:rPr>
              <w:fldChar w:fldCharType="begin"/>
            </w:r>
            <w:r w:rsidR="00A33B65">
              <w:rPr>
                <w:noProof/>
                <w:webHidden/>
              </w:rPr>
              <w:instrText xml:space="preserve"> PAGEREF _Toc41822227 \h </w:instrText>
            </w:r>
            <w:r w:rsidR="00A33B65">
              <w:rPr>
                <w:noProof/>
                <w:webHidden/>
              </w:rPr>
            </w:r>
            <w:r w:rsidR="00A33B65">
              <w:rPr>
                <w:noProof/>
                <w:webHidden/>
              </w:rPr>
              <w:fldChar w:fldCharType="separate"/>
            </w:r>
            <w:r w:rsidR="00A33B65">
              <w:rPr>
                <w:noProof/>
                <w:webHidden/>
              </w:rPr>
              <w:t>5</w:t>
            </w:r>
            <w:r w:rsidR="00A33B65">
              <w:rPr>
                <w:noProof/>
                <w:webHidden/>
              </w:rPr>
              <w:fldChar w:fldCharType="end"/>
            </w:r>
          </w:hyperlink>
        </w:p>
        <w:p w14:paraId="3C3E17F1" w14:textId="57CFD216" w:rsidR="00A33B65" w:rsidRDefault="0056120C">
          <w:pPr>
            <w:pStyle w:val="12"/>
            <w:tabs>
              <w:tab w:val="right" w:leader="dot" w:pos="9345"/>
            </w:tabs>
            <w:rPr>
              <w:rFonts w:asciiTheme="minorHAnsi" w:eastAsiaTheme="minorEastAsia" w:hAnsiTheme="minorHAnsi"/>
              <w:noProof/>
              <w:sz w:val="22"/>
              <w:lang w:eastAsia="ru-RU"/>
            </w:rPr>
          </w:pPr>
          <w:hyperlink w:anchor="_Toc41822228" w:history="1">
            <w:r w:rsidR="00A33B65" w:rsidRPr="000F7675">
              <w:rPr>
                <w:rStyle w:val="afa"/>
                <w:noProof/>
                <w:lang w:eastAsia="ru-RU"/>
              </w:rPr>
              <w:t>Глава 1. АНАЛИЗ ОСНОВНЫХ МЕТОДОВ ОЦЕНКИ ЦЕННОСТИ КОМПАНИИ</w:t>
            </w:r>
            <w:r w:rsidR="00A33B65">
              <w:rPr>
                <w:noProof/>
                <w:webHidden/>
              </w:rPr>
              <w:tab/>
            </w:r>
            <w:r w:rsidR="00A33B65">
              <w:rPr>
                <w:noProof/>
                <w:webHidden/>
              </w:rPr>
              <w:fldChar w:fldCharType="begin"/>
            </w:r>
            <w:r w:rsidR="00A33B65">
              <w:rPr>
                <w:noProof/>
                <w:webHidden/>
              </w:rPr>
              <w:instrText xml:space="preserve"> PAGEREF _Toc41822228 \h </w:instrText>
            </w:r>
            <w:r w:rsidR="00A33B65">
              <w:rPr>
                <w:noProof/>
                <w:webHidden/>
              </w:rPr>
            </w:r>
            <w:r w:rsidR="00A33B65">
              <w:rPr>
                <w:noProof/>
                <w:webHidden/>
              </w:rPr>
              <w:fldChar w:fldCharType="separate"/>
            </w:r>
            <w:r w:rsidR="00A33B65">
              <w:rPr>
                <w:noProof/>
                <w:webHidden/>
              </w:rPr>
              <w:t>7</w:t>
            </w:r>
            <w:r w:rsidR="00A33B65">
              <w:rPr>
                <w:noProof/>
                <w:webHidden/>
              </w:rPr>
              <w:fldChar w:fldCharType="end"/>
            </w:r>
          </w:hyperlink>
        </w:p>
        <w:p w14:paraId="35295D55" w14:textId="672DA87A" w:rsidR="00A33B65" w:rsidRDefault="0056120C">
          <w:pPr>
            <w:pStyle w:val="23"/>
            <w:tabs>
              <w:tab w:val="right" w:leader="dot" w:pos="9345"/>
            </w:tabs>
            <w:rPr>
              <w:rFonts w:asciiTheme="minorHAnsi" w:eastAsiaTheme="minorEastAsia" w:hAnsiTheme="minorHAnsi"/>
              <w:noProof/>
              <w:sz w:val="22"/>
              <w:lang w:eastAsia="ru-RU"/>
            </w:rPr>
          </w:pPr>
          <w:hyperlink w:anchor="_Toc41822229" w:history="1">
            <w:r w:rsidR="00A33B65" w:rsidRPr="000F7675">
              <w:rPr>
                <w:rStyle w:val="afa"/>
                <w:noProof/>
                <w:lang w:eastAsia="ru-RU"/>
              </w:rPr>
              <w:t>1.1. Определение оценки ценности предприятий и её целей</w:t>
            </w:r>
            <w:r w:rsidR="00A33B65">
              <w:rPr>
                <w:noProof/>
                <w:webHidden/>
              </w:rPr>
              <w:tab/>
            </w:r>
            <w:r w:rsidR="00A33B65">
              <w:rPr>
                <w:noProof/>
                <w:webHidden/>
              </w:rPr>
              <w:fldChar w:fldCharType="begin"/>
            </w:r>
            <w:r w:rsidR="00A33B65">
              <w:rPr>
                <w:noProof/>
                <w:webHidden/>
              </w:rPr>
              <w:instrText xml:space="preserve"> PAGEREF _Toc41822229 \h </w:instrText>
            </w:r>
            <w:r w:rsidR="00A33B65">
              <w:rPr>
                <w:noProof/>
                <w:webHidden/>
              </w:rPr>
            </w:r>
            <w:r w:rsidR="00A33B65">
              <w:rPr>
                <w:noProof/>
                <w:webHidden/>
              </w:rPr>
              <w:fldChar w:fldCharType="separate"/>
            </w:r>
            <w:r w:rsidR="00A33B65">
              <w:rPr>
                <w:noProof/>
                <w:webHidden/>
              </w:rPr>
              <w:t>7</w:t>
            </w:r>
            <w:r w:rsidR="00A33B65">
              <w:rPr>
                <w:noProof/>
                <w:webHidden/>
              </w:rPr>
              <w:fldChar w:fldCharType="end"/>
            </w:r>
          </w:hyperlink>
        </w:p>
        <w:p w14:paraId="0EEE451F" w14:textId="24FBB0CF" w:rsidR="00A33B65" w:rsidRDefault="0056120C">
          <w:pPr>
            <w:pStyle w:val="23"/>
            <w:tabs>
              <w:tab w:val="right" w:leader="dot" w:pos="9345"/>
            </w:tabs>
            <w:rPr>
              <w:rFonts w:asciiTheme="minorHAnsi" w:eastAsiaTheme="minorEastAsia" w:hAnsiTheme="minorHAnsi"/>
              <w:noProof/>
              <w:sz w:val="22"/>
              <w:lang w:eastAsia="ru-RU"/>
            </w:rPr>
          </w:pPr>
          <w:hyperlink w:anchor="_Toc41822230" w:history="1">
            <w:r w:rsidR="00A33B65" w:rsidRPr="000F7675">
              <w:rPr>
                <w:rStyle w:val="afa"/>
                <w:noProof/>
                <w:lang w:eastAsia="ru-RU"/>
              </w:rPr>
              <w:t>1.2. Анализ классических подходов оценки ценности компании и их преимущества</w:t>
            </w:r>
            <w:r w:rsidR="00A33B65">
              <w:rPr>
                <w:noProof/>
                <w:webHidden/>
              </w:rPr>
              <w:tab/>
            </w:r>
            <w:r w:rsidR="00A33B65">
              <w:rPr>
                <w:noProof/>
                <w:webHidden/>
              </w:rPr>
              <w:fldChar w:fldCharType="begin"/>
            </w:r>
            <w:r w:rsidR="00A33B65">
              <w:rPr>
                <w:noProof/>
                <w:webHidden/>
              </w:rPr>
              <w:instrText xml:space="preserve"> PAGEREF _Toc41822230 \h </w:instrText>
            </w:r>
            <w:r w:rsidR="00A33B65">
              <w:rPr>
                <w:noProof/>
                <w:webHidden/>
              </w:rPr>
            </w:r>
            <w:r w:rsidR="00A33B65">
              <w:rPr>
                <w:noProof/>
                <w:webHidden/>
              </w:rPr>
              <w:fldChar w:fldCharType="separate"/>
            </w:r>
            <w:r w:rsidR="00A33B65">
              <w:rPr>
                <w:noProof/>
                <w:webHidden/>
              </w:rPr>
              <w:t>9</w:t>
            </w:r>
            <w:r w:rsidR="00A33B65">
              <w:rPr>
                <w:noProof/>
                <w:webHidden/>
              </w:rPr>
              <w:fldChar w:fldCharType="end"/>
            </w:r>
          </w:hyperlink>
        </w:p>
        <w:p w14:paraId="65DE756D" w14:textId="2504E292" w:rsidR="00A33B65" w:rsidRDefault="0056120C">
          <w:pPr>
            <w:pStyle w:val="23"/>
            <w:tabs>
              <w:tab w:val="right" w:leader="dot" w:pos="9345"/>
            </w:tabs>
            <w:rPr>
              <w:rFonts w:asciiTheme="minorHAnsi" w:eastAsiaTheme="minorEastAsia" w:hAnsiTheme="minorHAnsi"/>
              <w:noProof/>
              <w:sz w:val="22"/>
              <w:lang w:eastAsia="ru-RU"/>
            </w:rPr>
          </w:pPr>
          <w:hyperlink w:anchor="_Toc41822231" w:history="1">
            <w:r w:rsidR="00A33B65" w:rsidRPr="000F7675">
              <w:rPr>
                <w:rStyle w:val="afa"/>
                <w:noProof/>
                <w:lang w:eastAsia="ru-RU"/>
              </w:rPr>
              <w:t>1.3. Анализ недостатков классического доходного подхода</w:t>
            </w:r>
            <w:r w:rsidR="00A33B65">
              <w:rPr>
                <w:noProof/>
                <w:webHidden/>
              </w:rPr>
              <w:tab/>
            </w:r>
            <w:r w:rsidR="00A33B65">
              <w:rPr>
                <w:noProof/>
                <w:webHidden/>
              </w:rPr>
              <w:fldChar w:fldCharType="begin"/>
            </w:r>
            <w:r w:rsidR="00A33B65">
              <w:rPr>
                <w:noProof/>
                <w:webHidden/>
              </w:rPr>
              <w:instrText xml:space="preserve"> PAGEREF _Toc41822231 \h </w:instrText>
            </w:r>
            <w:r w:rsidR="00A33B65">
              <w:rPr>
                <w:noProof/>
                <w:webHidden/>
              </w:rPr>
            </w:r>
            <w:r w:rsidR="00A33B65">
              <w:rPr>
                <w:noProof/>
                <w:webHidden/>
              </w:rPr>
              <w:fldChar w:fldCharType="separate"/>
            </w:r>
            <w:r w:rsidR="00A33B65">
              <w:rPr>
                <w:noProof/>
                <w:webHidden/>
              </w:rPr>
              <w:t>13</w:t>
            </w:r>
            <w:r w:rsidR="00A33B65">
              <w:rPr>
                <w:noProof/>
                <w:webHidden/>
              </w:rPr>
              <w:fldChar w:fldCharType="end"/>
            </w:r>
          </w:hyperlink>
        </w:p>
        <w:p w14:paraId="224BB529" w14:textId="630FC759" w:rsidR="00A33B65" w:rsidRDefault="0056120C">
          <w:pPr>
            <w:pStyle w:val="23"/>
            <w:tabs>
              <w:tab w:val="right" w:leader="dot" w:pos="9345"/>
            </w:tabs>
            <w:rPr>
              <w:rFonts w:asciiTheme="minorHAnsi" w:eastAsiaTheme="minorEastAsia" w:hAnsiTheme="minorHAnsi"/>
              <w:noProof/>
              <w:sz w:val="22"/>
              <w:lang w:eastAsia="ru-RU"/>
            </w:rPr>
          </w:pPr>
          <w:hyperlink w:anchor="_Toc41822232" w:history="1">
            <w:r w:rsidR="00A33B65" w:rsidRPr="000F7675">
              <w:rPr>
                <w:rStyle w:val="afa"/>
                <w:noProof/>
              </w:rPr>
              <w:t>1.4. Современные методы оценки ценности компаний</w:t>
            </w:r>
            <w:r w:rsidR="00A33B65">
              <w:rPr>
                <w:noProof/>
                <w:webHidden/>
              </w:rPr>
              <w:tab/>
            </w:r>
            <w:r w:rsidR="00A33B65">
              <w:rPr>
                <w:noProof/>
                <w:webHidden/>
              </w:rPr>
              <w:fldChar w:fldCharType="begin"/>
            </w:r>
            <w:r w:rsidR="00A33B65">
              <w:rPr>
                <w:noProof/>
                <w:webHidden/>
              </w:rPr>
              <w:instrText xml:space="preserve"> PAGEREF _Toc41822232 \h </w:instrText>
            </w:r>
            <w:r w:rsidR="00A33B65">
              <w:rPr>
                <w:noProof/>
                <w:webHidden/>
              </w:rPr>
            </w:r>
            <w:r w:rsidR="00A33B65">
              <w:rPr>
                <w:noProof/>
                <w:webHidden/>
              </w:rPr>
              <w:fldChar w:fldCharType="separate"/>
            </w:r>
            <w:r w:rsidR="00A33B65">
              <w:rPr>
                <w:noProof/>
                <w:webHidden/>
              </w:rPr>
              <w:t>16</w:t>
            </w:r>
            <w:r w:rsidR="00A33B65">
              <w:rPr>
                <w:noProof/>
                <w:webHidden/>
              </w:rPr>
              <w:fldChar w:fldCharType="end"/>
            </w:r>
          </w:hyperlink>
        </w:p>
        <w:p w14:paraId="4D71A236" w14:textId="3DABD128" w:rsidR="00A33B65" w:rsidRDefault="0056120C">
          <w:pPr>
            <w:pStyle w:val="23"/>
            <w:tabs>
              <w:tab w:val="right" w:leader="dot" w:pos="9345"/>
            </w:tabs>
            <w:rPr>
              <w:rFonts w:asciiTheme="minorHAnsi" w:eastAsiaTheme="minorEastAsia" w:hAnsiTheme="minorHAnsi"/>
              <w:noProof/>
              <w:sz w:val="22"/>
              <w:lang w:eastAsia="ru-RU"/>
            </w:rPr>
          </w:pPr>
          <w:hyperlink w:anchor="_Toc41822233" w:history="1">
            <w:r w:rsidR="00A33B65" w:rsidRPr="000F7675">
              <w:rPr>
                <w:rStyle w:val="afa"/>
                <w:noProof/>
              </w:rPr>
              <w:t>Выводы по главе 1</w:t>
            </w:r>
            <w:r w:rsidR="00A33B65">
              <w:rPr>
                <w:noProof/>
                <w:webHidden/>
              </w:rPr>
              <w:tab/>
            </w:r>
            <w:r w:rsidR="00A33B65">
              <w:rPr>
                <w:noProof/>
                <w:webHidden/>
              </w:rPr>
              <w:fldChar w:fldCharType="begin"/>
            </w:r>
            <w:r w:rsidR="00A33B65">
              <w:rPr>
                <w:noProof/>
                <w:webHidden/>
              </w:rPr>
              <w:instrText xml:space="preserve"> PAGEREF _Toc41822233 \h </w:instrText>
            </w:r>
            <w:r w:rsidR="00A33B65">
              <w:rPr>
                <w:noProof/>
                <w:webHidden/>
              </w:rPr>
            </w:r>
            <w:r w:rsidR="00A33B65">
              <w:rPr>
                <w:noProof/>
                <w:webHidden/>
              </w:rPr>
              <w:fldChar w:fldCharType="separate"/>
            </w:r>
            <w:r w:rsidR="00A33B65">
              <w:rPr>
                <w:noProof/>
                <w:webHidden/>
              </w:rPr>
              <w:t>21</w:t>
            </w:r>
            <w:r w:rsidR="00A33B65">
              <w:rPr>
                <w:noProof/>
                <w:webHidden/>
              </w:rPr>
              <w:fldChar w:fldCharType="end"/>
            </w:r>
          </w:hyperlink>
        </w:p>
        <w:p w14:paraId="1B68D3ED" w14:textId="6FD32F38" w:rsidR="00A33B65" w:rsidRDefault="0056120C">
          <w:pPr>
            <w:pStyle w:val="12"/>
            <w:tabs>
              <w:tab w:val="right" w:leader="dot" w:pos="9345"/>
            </w:tabs>
            <w:rPr>
              <w:rFonts w:asciiTheme="minorHAnsi" w:eastAsiaTheme="minorEastAsia" w:hAnsiTheme="minorHAnsi"/>
              <w:noProof/>
              <w:sz w:val="22"/>
              <w:lang w:eastAsia="ru-RU"/>
            </w:rPr>
          </w:pPr>
          <w:hyperlink w:anchor="_Toc41822234" w:history="1">
            <w:r w:rsidR="00A33B65" w:rsidRPr="000F7675">
              <w:rPr>
                <w:rStyle w:val="afa"/>
                <w:noProof/>
                <w:lang w:eastAsia="ru-RU"/>
              </w:rPr>
              <w:t xml:space="preserve">Глава 2. АЛГОРИТМ ОЦЕНКИ ЦЕННОСТИ БИЗНЕСА МЕТОДАМИ </w:t>
            </w:r>
            <w:r w:rsidR="00A33B65" w:rsidRPr="000F7675">
              <w:rPr>
                <w:rStyle w:val="afa"/>
                <w:noProof/>
                <w:lang w:val="en-US" w:eastAsia="ru-RU"/>
              </w:rPr>
              <w:t>DCF</w:t>
            </w:r>
            <w:r w:rsidR="00A33B65" w:rsidRPr="000F7675">
              <w:rPr>
                <w:rStyle w:val="afa"/>
                <w:noProof/>
                <w:lang w:eastAsia="ru-RU"/>
              </w:rPr>
              <w:t xml:space="preserve"> И ДОСТИГНУТОЙ СТОИМОСТИ</w:t>
            </w:r>
            <w:r w:rsidR="00A33B65">
              <w:rPr>
                <w:noProof/>
                <w:webHidden/>
              </w:rPr>
              <w:tab/>
            </w:r>
            <w:r w:rsidR="00A33B65">
              <w:rPr>
                <w:noProof/>
                <w:webHidden/>
              </w:rPr>
              <w:fldChar w:fldCharType="begin"/>
            </w:r>
            <w:r w:rsidR="00A33B65">
              <w:rPr>
                <w:noProof/>
                <w:webHidden/>
              </w:rPr>
              <w:instrText xml:space="preserve"> PAGEREF _Toc41822234 \h </w:instrText>
            </w:r>
            <w:r w:rsidR="00A33B65">
              <w:rPr>
                <w:noProof/>
                <w:webHidden/>
              </w:rPr>
            </w:r>
            <w:r w:rsidR="00A33B65">
              <w:rPr>
                <w:noProof/>
                <w:webHidden/>
              </w:rPr>
              <w:fldChar w:fldCharType="separate"/>
            </w:r>
            <w:r w:rsidR="00A33B65">
              <w:rPr>
                <w:noProof/>
                <w:webHidden/>
              </w:rPr>
              <w:t>23</w:t>
            </w:r>
            <w:r w:rsidR="00A33B65">
              <w:rPr>
                <w:noProof/>
                <w:webHidden/>
              </w:rPr>
              <w:fldChar w:fldCharType="end"/>
            </w:r>
          </w:hyperlink>
        </w:p>
        <w:p w14:paraId="1F96EA90" w14:textId="62487563" w:rsidR="00A33B65" w:rsidRDefault="0056120C">
          <w:pPr>
            <w:pStyle w:val="23"/>
            <w:tabs>
              <w:tab w:val="right" w:leader="dot" w:pos="9345"/>
            </w:tabs>
            <w:rPr>
              <w:rFonts w:asciiTheme="minorHAnsi" w:eastAsiaTheme="minorEastAsia" w:hAnsiTheme="minorHAnsi"/>
              <w:noProof/>
              <w:sz w:val="22"/>
              <w:lang w:eastAsia="ru-RU"/>
            </w:rPr>
          </w:pPr>
          <w:hyperlink w:anchor="_Toc41822235" w:history="1">
            <w:r w:rsidR="00A33B65" w:rsidRPr="000F7675">
              <w:rPr>
                <w:rStyle w:val="afa"/>
                <w:noProof/>
                <w:lang w:eastAsia="ru-RU"/>
              </w:rPr>
              <w:t>2.1. Методика расчета ценности компании дисконтированием денежных потоков</w:t>
            </w:r>
            <w:r w:rsidR="00A33B65">
              <w:rPr>
                <w:noProof/>
                <w:webHidden/>
              </w:rPr>
              <w:tab/>
            </w:r>
            <w:r w:rsidR="00A33B65">
              <w:rPr>
                <w:noProof/>
                <w:webHidden/>
              </w:rPr>
              <w:fldChar w:fldCharType="begin"/>
            </w:r>
            <w:r w:rsidR="00A33B65">
              <w:rPr>
                <w:noProof/>
                <w:webHidden/>
              </w:rPr>
              <w:instrText xml:space="preserve"> PAGEREF _Toc41822235 \h </w:instrText>
            </w:r>
            <w:r w:rsidR="00A33B65">
              <w:rPr>
                <w:noProof/>
                <w:webHidden/>
              </w:rPr>
            </w:r>
            <w:r w:rsidR="00A33B65">
              <w:rPr>
                <w:noProof/>
                <w:webHidden/>
              </w:rPr>
              <w:fldChar w:fldCharType="separate"/>
            </w:r>
            <w:r w:rsidR="00A33B65">
              <w:rPr>
                <w:noProof/>
                <w:webHidden/>
              </w:rPr>
              <w:t>23</w:t>
            </w:r>
            <w:r w:rsidR="00A33B65">
              <w:rPr>
                <w:noProof/>
                <w:webHidden/>
              </w:rPr>
              <w:fldChar w:fldCharType="end"/>
            </w:r>
          </w:hyperlink>
        </w:p>
        <w:p w14:paraId="7BB16A61" w14:textId="059B7373" w:rsidR="00A33B65" w:rsidRDefault="0056120C">
          <w:pPr>
            <w:pStyle w:val="23"/>
            <w:tabs>
              <w:tab w:val="right" w:leader="dot" w:pos="9345"/>
            </w:tabs>
            <w:rPr>
              <w:rFonts w:asciiTheme="minorHAnsi" w:eastAsiaTheme="minorEastAsia" w:hAnsiTheme="minorHAnsi"/>
              <w:noProof/>
              <w:sz w:val="22"/>
              <w:lang w:eastAsia="ru-RU"/>
            </w:rPr>
          </w:pPr>
          <w:hyperlink w:anchor="_Toc41822236" w:history="1">
            <w:r w:rsidR="00A33B65" w:rsidRPr="000F7675">
              <w:rPr>
                <w:rStyle w:val="afa"/>
                <w:noProof/>
                <w:lang w:eastAsia="ru-RU"/>
              </w:rPr>
              <w:t>2.2. Модели для расчета ставки дисконтирования</w:t>
            </w:r>
            <w:r w:rsidR="00A33B65">
              <w:rPr>
                <w:noProof/>
                <w:webHidden/>
              </w:rPr>
              <w:tab/>
            </w:r>
            <w:r w:rsidR="00A33B65">
              <w:rPr>
                <w:noProof/>
                <w:webHidden/>
              </w:rPr>
              <w:fldChar w:fldCharType="begin"/>
            </w:r>
            <w:r w:rsidR="00A33B65">
              <w:rPr>
                <w:noProof/>
                <w:webHidden/>
              </w:rPr>
              <w:instrText xml:space="preserve"> PAGEREF _Toc41822236 \h </w:instrText>
            </w:r>
            <w:r w:rsidR="00A33B65">
              <w:rPr>
                <w:noProof/>
                <w:webHidden/>
              </w:rPr>
            </w:r>
            <w:r w:rsidR="00A33B65">
              <w:rPr>
                <w:noProof/>
                <w:webHidden/>
              </w:rPr>
              <w:fldChar w:fldCharType="separate"/>
            </w:r>
            <w:r w:rsidR="00A33B65">
              <w:rPr>
                <w:noProof/>
                <w:webHidden/>
              </w:rPr>
              <w:t>26</w:t>
            </w:r>
            <w:r w:rsidR="00A33B65">
              <w:rPr>
                <w:noProof/>
                <w:webHidden/>
              </w:rPr>
              <w:fldChar w:fldCharType="end"/>
            </w:r>
          </w:hyperlink>
        </w:p>
        <w:p w14:paraId="604B03CC" w14:textId="5F30C41A" w:rsidR="00A33B65" w:rsidRDefault="0056120C">
          <w:pPr>
            <w:pStyle w:val="23"/>
            <w:tabs>
              <w:tab w:val="right" w:leader="dot" w:pos="9345"/>
            </w:tabs>
            <w:rPr>
              <w:rFonts w:asciiTheme="minorHAnsi" w:eastAsiaTheme="minorEastAsia" w:hAnsiTheme="minorHAnsi"/>
              <w:noProof/>
              <w:sz w:val="22"/>
              <w:lang w:eastAsia="ru-RU"/>
            </w:rPr>
          </w:pPr>
          <w:hyperlink w:anchor="_Toc41822237" w:history="1">
            <w:r w:rsidR="00A33B65" w:rsidRPr="000F7675">
              <w:rPr>
                <w:rStyle w:val="afa"/>
                <w:noProof/>
                <w:lang w:eastAsia="ru-RU"/>
              </w:rPr>
              <w:t>2.3. Методика расчета ценности компании на основе достигнутой стоимости</w:t>
            </w:r>
            <w:r w:rsidR="00A33B65">
              <w:rPr>
                <w:noProof/>
                <w:webHidden/>
              </w:rPr>
              <w:tab/>
            </w:r>
            <w:r w:rsidR="00A33B65">
              <w:rPr>
                <w:noProof/>
                <w:webHidden/>
              </w:rPr>
              <w:fldChar w:fldCharType="begin"/>
            </w:r>
            <w:r w:rsidR="00A33B65">
              <w:rPr>
                <w:noProof/>
                <w:webHidden/>
              </w:rPr>
              <w:instrText xml:space="preserve"> PAGEREF _Toc41822237 \h </w:instrText>
            </w:r>
            <w:r w:rsidR="00A33B65">
              <w:rPr>
                <w:noProof/>
                <w:webHidden/>
              </w:rPr>
            </w:r>
            <w:r w:rsidR="00A33B65">
              <w:rPr>
                <w:noProof/>
                <w:webHidden/>
              </w:rPr>
              <w:fldChar w:fldCharType="separate"/>
            </w:r>
            <w:r w:rsidR="00A33B65">
              <w:rPr>
                <w:noProof/>
                <w:webHidden/>
              </w:rPr>
              <w:t>30</w:t>
            </w:r>
            <w:r w:rsidR="00A33B65">
              <w:rPr>
                <w:noProof/>
                <w:webHidden/>
              </w:rPr>
              <w:fldChar w:fldCharType="end"/>
            </w:r>
          </w:hyperlink>
        </w:p>
        <w:p w14:paraId="38DD8CFD" w14:textId="6898D144" w:rsidR="00A33B65" w:rsidRDefault="0056120C">
          <w:pPr>
            <w:pStyle w:val="23"/>
            <w:tabs>
              <w:tab w:val="right" w:leader="dot" w:pos="9345"/>
            </w:tabs>
            <w:rPr>
              <w:rFonts w:asciiTheme="minorHAnsi" w:eastAsiaTheme="minorEastAsia" w:hAnsiTheme="minorHAnsi"/>
              <w:noProof/>
              <w:sz w:val="22"/>
              <w:lang w:eastAsia="ru-RU"/>
            </w:rPr>
          </w:pPr>
          <w:hyperlink w:anchor="_Toc41822238" w:history="1">
            <w:r w:rsidR="00A33B65" w:rsidRPr="000F7675">
              <w:rPr>
                <w:rStyle w:val="afa"/>
                <w:noProof/>
              </w:rPr>
              <w:t>2.4. Сравнение методов дисконтирования денежных потоков и достигнутой стоимости</w:t>
            </w:r>
            <w:r w:rsidR="00A33B65">
              <w:rPr>
                <w:noProof/>
                <w:webHidden/>
              </w:rPr>
              <w:tab/>
            </w:r>
            <w:r w:rsidR="00A33B65">
              <w:rPr>
                <w:noProof/>
                <w:webHidden/>
              </w:rPr>
              <w:fldChar w:fldCharType="begin"/>
            </w:r>
            <w:r w:rsidR="00A33B65">
              <w:rPr>
                <w:noProof/>
                <w:webHidden/>
              </w:rPr>
              <w:instrText xml:space="preserve"> PAGEREF _Toc41822238 \h </w:instrText>
            </w:r>
            <w:r w:rsidR="00A33B65">
              <w:rPr>
                <w:noProof/>
                <w:webHidden/>
              </w:rPr>
            </w:r>
            <w:r w:rsidR="00A33B65">
              <w:rPr>
                <w:noProof/>
                <w:webHidden/>
              </w:rPr>
              <w:fldChar w:fldCharType="separate"/>
            </w:r>
            <w:r w:rsidR="00A33B65">
              <w:rPr>
                <w:noProof/>
                <w:webHidden/>
              </w:rPr>
              <w:t>34</w:t>
            </w:r>
            <w:r w:rsidR="00A33B65">
              <w:rPr>
                <w:noProof/>
                <w:webHidden/>
              </w:rPr>
              <w:fldChar w:fldCharType="end"/>
            </w:r>
          </w:hyperlink>
        </w:p>
        <w:p w14:paraId="2676A49F" w14:textId="3FF1D969" w:rsidR="00A33B65" w:rsidRDefault="0056120C">
          <w:pPr>
            <w:pStyle w:val="23"/>
            <w:tabs>
              <w:tab w:val="right" w:leader="dot" w:pos="9345"/>
            </w:tabs>
            <w:rPr>
              <w:rFonts w:asciiTheme="minorHAnsi" w:eastAsiaTheme="minorEastAsia" w:hAnsiTheme="minorHAnsi"/>
              <w:noProof/>
              <w:sz w:val="22"/>
              <w:lang w:eastAsia="ru-RU"/>
            </w:rPr>
          </w:pPr>
          <w:hyperlink w:anchor="_Toc41822239" w:history="1">
            <w:r w:rsidR="00A33B65" w:rsidRPr="000F7675">
              <w:rPr>
                <w:rStyle w:val="afa"/>
                <w:noProof/>
              </w:rPr>
              <w:t>Выводы по главе 2</w:t>
            </w:r>
            <w:r w:rsidR="00A33B65">
              <w:rPr>
                <w:noProof/>
                <w:webHidden/>
              </w:rPr>
              <w:tab/>
            </w:r>
            <w:r w:rsidR="00A33B65">
              <w:rPr>
                <w:noProof/>
                <w:webHidden/>
              </w:rPr>
              <w:fldChar w:fldCharType="begin"/>
            </w:r>
            <w:r w:rsidR="00A33B65">
              <w:rPr>
                <w:noProof/>
                <w:webHidden/>
              </w:rPr>
              <w:instrText xml:space="preserve"> PAGEREF _Toc41822239 \h </w:instrText>
            </w:r>
            <w:r w:rsidR="00A33B65">
              <w:rPr>
                <w:noProof/>
                <w:webHidden/>
              </w:rPr>
            </w:r>
            <w:r w:rsidR="00A33B65">
              <w:rPr>
                <w:noProof/>
                <w:webHidden/>
              </w:rPr>
              <w:fldChar w:fldCharType="separate"/>
            </w:r>
            <w:r w:rsidR="00A33B65">
              <w:rPr>
                <w:noProof/>
                <w:webHidden/>
              </w:rPr>
              <w:t>36</w:t>
            </w:r>
            <w:r w:rsidR="00A33B65">
              <w:rPr>
                <w:noProof/>
                <w:webHidden/>
              </w:rPr>
              <w:fldChar w:fldCharType="end"/>
            </w:r>
          </w:hyperlink>
        </w:p>
        <w:p w14:paraId="30963204" w14:textId="592A757B" w:rsidR="00A33B65" w:rsidRDefault="0056120C">
          <w:pPr>
            <w:pStyle w:val="12"/>
            <w:tabs>
              <w:tab w:val="right" w:leader="dot" w:pos="9345"/>
            </w:tabs>
            <w:rPr>
              <w:rFonts w:asciiTheme="minorHAnsi" w:eastAsiaTheme="minorEastAsia" w:hAnsiTheme="minorHAnsi"/>
              <w:noProof/>
              <w:sz w:val="22"/>
              <w:lang w:eastAsia="ru-RU"/>
            </w:rPr>
          </w:pPr>
          <w:hyperlink w:anchor="_Toc41822240" w:history="1">
            <w:r w:rsidR="00A33B65" w:rsidRPr="000F7675">
              <w:rPr>
                <w:rStyle w:val="afa"/>
                <w:noProof/>
                <w:lang w:eastAsia="ru-RU"/>
              </w:rPr>
              <w:t xml:space="preserve">Глава 3. ОЦЕНКА ЦЕННОСТИ РОССИЙСКИХ КОМПАНИЙ МЕТОДАМИ </w:t>
            </w:r>
            <w:r w:rsidR="00A33B65" w:rsidRPr="000F7675">
              <w:rPr>
                <w:rStyle w:val="afa"/>
                <w:noProof/>
                <w:lang w:val="en-US" w:eastAsia="ru-RU"/>
              </w:rPr>
              <w:t>DCF</w:t>
            </w:r>
            <w:r w:rsidR="00A33B65" w:rsidRPr="000F7675">
              <w:rPr>
                <w:rStyle w:val="afa"/>
                <w:noProof/>
                <w:lang w:eastAsia="ru-RU"/>
              </w:rPr>
              <w:t xml:space="preserve"> И ДОСТИГНУТОЙ СТОИМОСТИ</w:t>
            </w:r>
            <w:r w:rsidR="00A33B65">
              <w:rPr>
                <w:noProof/>
                <w:webHidden/>
              </w:rPr>
              <w:tab/>
            </w:r>
            <w:r w:rsidR="00A33B65">
              <w:rPr>
                <w:noProof/>
                <w:webHidden/>
              </w:rPr>
              <w:fldChar w:fldCharType="begin"/>
            </w:r>
            <w:r w:rsidR="00A33B65">
              <w:rPr>
                <w:noProof/>
                <w:webHidden/>
              </w:rPr>
              <w:instrText xml:space="preserve"> PAGEREF _Toc41822240 \h </w:instrText>
            </w:r>
            <w:r w:rsidR="00A33B65">
              <w:rPr>
                <w:noProof/>
                <w:webHidden/>
              </w:rPr>
            </w:r>
            <w:r w:rsidR="00A33B65">
              <w:rPr>
                <w:noProof/>
                <w:webHidden/>
              </w:rPr>
              <w:fldChar w:fldCharType="separate"/>
            </w:r>
            <w:r w:rsidR="00A33B65">
              <w:rPr>
                <w:noProof/>
                <w:webHidden/>
              </w:rPr>
              <w:t>37</w:t>
            </w:r>
            <w:r w:rsidR="00A33B65">
              <w:rPr>
                <w:noProof/>
                <w:webHidden/>
              </w:rPr>
              <w:fldChar w:fldCharType="end"/>
            </w:r>
          </w:hyperlink>
        </w:p>
        <w:p w14:paraId="0D099D85" w14:textId="409CE313" w:rsidR="00A33B65" w:rsidRDefault="0056120C">
          <w:pPr>
            <w:pStyle w:val="23"/>
            <w:tabs>
              <w:tab w:val="right" w:leader="dot" w:pos="9345"/>
            </w:tabs>
            <w:rPr>
              <w:rFonts w:asciiTheme="minorHAnsi" w:eastAsiaTheme="minorEastAsia" w:hAnsiTheme="minorHAnsi"/>
              <w:noProof/>
              <w:sz w:val="22"/>
              <w:lang w:eastAsia="ru-RU"/>
            </w:rPr>
          </w:pPr>
          <w:hyperlink w:anchor="_Toc41822241" w:history="1">
            <w:r w:rsidR="00A33B65" w:rsidRPr="000F7675">
              <w:rPr>
                <w:rStyle w:val="afa"/>
                <w:noProof/>
                <w:lang w:eastAsia="ru-RU"/>
              </w:rPr>
              <w:t>3.1. Характеристика выборки компаний и гипотезы исследования</w:t>
            </w:r>
            <w:r w:rsidR="00A33B65">
              <w:rPr>
                <w:noProof/>
                <w:webHidden/>
              </w:rPr>
              <w:tab/>
            </w:r>
            <w:r w:rsidR="00A33B65">
              <w:rPr>
                <w:noProof/>
                <w:webHidden/>
              </w:rPr>
              <w:fldChar w:fldCharType="begin"/>
            </w:r>
            <w:r w:rsidR="00A33B65">
              <w:rPr>
                <w:noProof/>
                <w:webHidden/>
              </w:rPr>
              <w:instrText xml:space="preserve"> PAGEREF _Toc41822241 \h </w:instrText>
            </w:r>
            <w:r w:rsidR="00A33B65">
              <w:rPr>
                <w:noProof/>
                <w:webHidden/>
              </w:rPr>
            </w:r>
            <w:r w:rsidR="00A33B65">
              <w:rPr>
                <w:noProof/>
                <w:webHidden/>
              </w:rPr>
              <w:fldChar w:fldCharType="separate"/>
            </w:r>
            <w:r w:rsidR="00A33B65">
              <w:rPr>
                <w:noProof/>
                <w:webHidden/>
              </w:rPr>
              <w:t>37</w:t>
            </w:r>
            <w:r w:rsidR="00A33B65">
              <w:rPr>
                <w:noProof/>
                <w:webHidden/>
              </w:rPr>
              <w:fldChar w:fldCharType="end"/>
            </w:r>
          </w:hyperlink>
        </w:p>
        <w:p w14:paraId="44ECB788" w14:textId="30B4E832" w:rsidR="00A33B65" w:rsidRDefault="0056120C">
          <w:pPr>
            <w:pStyle w:val="23"/>
            <w:tabs>
              <w:tab w:val="right" w:leader="dot" w:pos="9345"/>
            </w:tabs>
            <w:rPr>
              <w:rFonts w:asciiTheme="minorHAnsi" w:eastAsiaTheme="minorEastAsia" w:hAnsiTheme="minorHAnsi"/>
              <w:noProof/>
              <w:sz w:val="22"/>
              <w:lang w:eastAsia="ru-RU"/>
            </w:rPr>
          </w:pPr>
          <w:hyperlink w:anchor="_Toc41822242" w:history="1">
            <w:r w:rsidR="00A33B65" w:rsidRPr="000F7675">
              <w:rPr>
                <w:rStyle w:val="afa"/>
                <w:noProof/>
                <w:lang w:eastAsia="ru-RU"/>
              </w:rPr>
              <w:t>3.2. Анализ финансово-экономической деятельности выбранных компаний</w:t>
            </w:r>
            <w:r w:rsidR="00A33B65">
              <w:rPr>
                <w:noProof/>
                <w:webHidden/>
              </w:rPr>
              <w:tab/>
            </w:r>
            <w:r w:rsidR="00A33B65">
              <w:rPr>
                <w:noProof/>
                <w:webHidden/>
              </w:rPr>
              <w:fldChar w:fldCharType="begin"/>
            </w:r>
            <w:r w:rsidR="00A33B65">
              <w:rPr>
                <w:noProof/>
                <w:webHidden/>
              </w:rPr>
              <w:instrText xml:space="preserve"> PAGEREF _Toc41822242 \h </w:instrText>
            </w:r>
            <w:r w:rsidR="00A33B65">
              <w:rPr>
                <w:noProof/>
                <w:webHidden/>
              </w:rPr>
            </w:r>
            <w:r w:rsidR="00A33B65">
              <w:rPr>
                <w:noProof/>
                <w:webHidden/>
              </w:rPr>
              <w:fldChar w:fldCharType="separate"/>
            </w:r>
            <w:r w:rsidR="00A33B65">
              <w:rPr>
                <w:noProof/>
                <w:webHidden/>
              </w:rPr>
              <w:t>39</w:t>
            </w:r>
            <w:r w:rsidR="00A33B65">
              <w:rPr>
                <w:noProof/>
                <w:webHidden/>
              </w:rPr>
              <w:fldChar w:fldCharType="end"/>
            </w:r>
          </w:hyperlink>
        </w:p>
        <w:p w14:paraId="4849A96F" w14:textId="5A6EA812" w:rsidR="00A33B65" w:rsidRDefault="0056120C">
          <w:pPr>
            <w:pStyle w:val="31"/>
            <w:tabs>
              <w:tab w:val="right" w:leader="dot" w:pos="9345"/>
            </w:tabs>
            <w:rPr>
              <w:rFonts w:asciiTheme="minorHAnsi" w:eastAsiaTheme="minorEastAsia" w:hAnsiTheme="minorHAnsi"/>
              <w:noProof/>
              <w:sz w:val="22"/>
              <w:lang w:eastAsia="ru-RU"/>
            </w:rPr>
          </w:pPr>
          <w:hyperlink w:anchor="_Toc41822243" w:history="1">
            <w:r w:rsidR="00A33B65" w:rsidRPr="000F7675">
              <w:rPr>
                <w:rStyle w:val="afa"/>
                <w:noProof/>
                <w:lang w:eastAsia="ru-RU"/>
              </w:rPr>
              <w:t>3.2.1. Анализ финансово-экономической деятельности ПАО «НКХП»</w:t>
            </w:r>
            <w:r w:rsidR="00A33B65">
              <w:rPr>
                <w:noProof/>
                <w:webHidden/>
              </w:rPr>
              <w:tab/>
            </w:r>
            <w:r w:rsidR="00A33B65">
              <w:rPr>
                <w:noProof/>
                <w:webHidden/>
              </w:rPr>
              <w:fldChar w:fldCharType="begin"/>
            </w:r>
            <w:r w:rsidR="00A33B65">
              <w:rPr>
                <w:noProof/>
                <w:webHidden/>
              </w:rPr>
              <w:instrText xml:space="preserve"> PAGEREF _Toc41822243 \h </w:instrText>
            </w:r>
            <w:r w:rsidR="00A33B65">
              <w:rPr>
                <w:noProof/>
                <w:webHidden/>
              </w:rPr>
            </w:r>
            <w:r w:rsidR="00A33B65">
              <w:rPr>
                <w:noProof/>
                <w:webHidden/>
              </w:rPr>
              <w:fldChar w:fldCharType="separate"/>
            </w:r>
            <w:r w:rsidR="00A33B65">
              <w:rPr>
                <w:noProof/>
                <w:webHidden/>
              </w:rPr>
              <w:t>39</w:t>
            </w:r>
            <w:r w:rsidR="00A33B65">
              <w:rPr>
                <w:noProof/>
                <w:webHidden/>
              </w:rPr>
              <w:fldChar w:fldCharType="end"/>
            </w:r>
          </w:hyperlink>
        </w:p>
        <w:p w14:paraId="4CF5D6AC" w14:textId="4B394A7A" w:rsidR="00A33B65" w:rsidRDefault="0056120C">
          <w:pPr>
            <w:pStyle w:val="31"/>
            <w:tabs>
              <w:tab w:val="right" w:leader="dot" w:pos="9345"/>
            </w:tabs>
            <w:rPr>
              <w:rFonts w:asciiTheme="minorHAnsi" w:eastAsiaTheme="minorEastAsia" w:hAnsiTheme="minorHAnsi"/>
              <w:noProof/>
              <w:sz w:val="22"/>
              <w:lang w:eastAsia="ru-RU"/>
            </w:rPr>
          </w:pPr>
          <w:hyperlink w:anchor="_Toc41822244" w:history="1">
            <w:r w:rsidR="00A33B65" w:rsidRPr="000F7675">
              <w:rPr>
                <w:rStyle w:val="afa"/>
                <w:noProof/>
                <w:lang w:eastAsia="ru-RU"/>
              </w:rPr>
              <w:t>3.2.2. Анализ финансово-экономической деятельности ПАО «Новатэк»</w:t>
            </w:r>
            <w:r w:rsidR="00A33B65">
              <w:rPr>
                <w:noProof/>
                <w:webHidden/>
              </w:rPr>
              <w:tab/>
            </w:r>
            <w:r w:rsidR="00A33B65">
              <w:rPr>
                <w:noProof/>
                <w:webHidden/>
              </w:rPr>
              <w:fldChar w:fldCharType="begin"/>
            </w:r>
            <w:r w:rsidR="00A33B65">
              <w:rPr>
                <w:noProof/>
                <w:webHidden/>
              </w:rPr>
              <w:instrText xml:space="preserve"> PAGEREF _Toc41822244 \h </w:instrText>
            </w:r>
            <w:r w:rsidR="00A33B65">
              <w:rPr>
                <w:noProof/>
                <w:webHidden/>
              </w:rPr>
            </w:r>
            <w:r w:rsidR="00A33B65">
              <w:rPr>
                <w:noProof/>
                <w:webHidden/>
              </w:rPr>
              <w:fldChar w:fldCharType="separate"/>
            </w:r>
            <w:r w:rsidR="00A33B65">
              <w:rPr>
                <w:noProof/>
                <w:webHidden/>
              </w:rPr>
              <w:t>41</w:t>
            </w:r>
            <w:r w:rsidR="00A33B65">
              <w:rPr>
                <w:noProof/>
                <w:webHidden/>
              </w:rPr>
              <w:fldChar w:fldCharType="end"/>
            </w:r>
          </w:hyperlink>
        </w:p>
        <w:p w14:paraId="0E396C0A" w14:textId="26226989" w:rsidR="00A33B65" w:rsidRDefault="0056120C">
          <w:pPr>
            <w:pStyle w:val="31"/>
            <w:tabs>
              <w:tab w:val="right" w:leader="dot" w:pos="9345"/>
            </w:tabs>
            <w:rPr>
              <w:rFonts w:asciiTheme="minorHAnsi" w:eastAsiaTheme="minorEastAsia" w:hAnsiTheme="minorHAnsi"/>
              <w:noProof/>
              <w:sz w:val="22"/>
              <w:lang w:eastAsia="ru-RU"/>
            </w:rPr>
          </w:pPr>
          <w:hyperlink w:anchor="_Toc41822245" w:history="1">
            <w:r w:rsidR="00A33B65" w:rsidRPr="000F7675">
              <w:rPr>
                <w:rStyle w:val="afa"/>
                <w:noProof/>
                <w:lang w:eastAsia="ru-RU"/>
              </w:rPr>
              <w:t>3.2.3. Анализ финансово-экономической деятельности АК «АЛРОСА»</w:t>
            </w:r>
            <w:r w:rsidR="00A33B65">
              <w:rPr>
                <w:noProof/>
                <w:webHidden/>
              </w:rPr>
              <w:tab/>
            </w:r>
            <w:r w:rsidR="00A33B65">
              <w:rPr>
                <w:noProof/>
                <w:webHidden/>
              </w:rPr>
              <w:fldChar w:fldCharType="begin"/>
            </w:r>
            <w:r w:rsidR="00A33B65">
              <w:rPr>
                <w:noProof/>
                <w:webHidden/>
              </w:rPr>
              <w:instrText xml:space="preserve"> PAGEREF _Toc41822245 \h </w:instrText>
            </w:r>
            <w:r w:rsidR="00A33B65">
              <w:rPr>
                <w:noProof/>
                <w:webHidden/>
              </w:rPr>
            </w:r>
            <w:r w:rsidR="00A33B65">
              <w:rPr>
                <w:noProof/>
                <w:webHidden/>
              </w:rPr>
              <w:fldChar w:fldCharType="separate"/>
            </w:r>
            <w:r w:rsidR="00A33B65">
              <w:rPr>
                <w:noProof/>
                <w:webHidden/>
              </w:rPr>
              <w:t>43</w:t>
            </w:r>
            <w:r w:rsidR="00A33B65">
              <w:rPr>
                <w:noProof/>
                <w:webHidden/>
              </w:rPr>
              <w:fldChar w:fldCharType="end"/>
            </w:r>
          </w:hyperlink>
        </w:p>
        <w:p w14:paraId="4BF27028" w14:textId="153799C4" w:rsidR="00A33B65" w:rsidRDefault="0056120C">
          <w:pPr>
            <w:pStyle w:val="31"/>
            <w:tabs>
              <w:tab w:val="right" w:leader="dot" w:pos="9345"/>
            </w:tabs>
            <w:rPr>
              <w:rFonts w:asciiTheme="minorHAnsi" w:eastAsiaTheme="minorEastAsia" w:hAnsiTheme="minorHAnsi"/>
              <w:noProof/>
              <w:sz w:val="22"/>
              <w:lang w:eastAsia="ru-RU"/>
            </w:rPr>
          </w:pPr>
          <w:hyperlink w:anchor="_Toc41822246" w:history="1">
            <w:r w:rsidR="00A33B65" w:rsidRPr="000F7675">
              <w:rPr>
                <w:rStyle w:val="afa"/>
                <w:noProof/>
                <w:lang w:eastAsia="ru-RU"/>
              </w:rPr>
              <w:t>3.2.4. Анализ финансово-экономической деятельности ПАО «АКРОН»</w:t>
            </w:r>
            <w:r w:rsidR="00A33B65">
              <w:rPr>
                <w:noProof/>
                <w:webHidden/>
              </w:rPr>
              <w:tab/>
            </w:r>
            <w:r w:rsidR="00A33B65">
              <w:rPr>
                <w:noProof/>
                <w:webHidden/>
              </w:rPr>
              <w:fldChar w:fldCharType="begin"/>
            </w:r>
            <w:r w:rsidR="00A33B65">
              <w:rPr>
                <w:noProof/>
                <w:webHidden/>
              </w:rPr>
              <w:instrText xml:space="preserve"> PAGEREF _Toc41822246 \h </w:instrText>
            </w:r>
            <w:r w:rsidR="00A33B65">
              <w:rPr>
                <w:noProof/>
                <w:webHidden/>
              </w:rPr>
            </w:r>
            <w:r w:rsidR="00A33B65">
              <w:rPr>
                <w:noProof/>
                <w:webHidden/>
              </w:rPr>
              <w:fldChar w:fldCharType="separate"/>
            </w:r>
            <w:r w:rsidR="00A33B65">
              <w:rPr>
                <w:noProof/>
                <w:webHidden/>
              </w:rPr>
              <w:t>45</w:t>
            </w:r>
            <w:r w:rsidR="00A33B65">
              <w:rPr>
                <w:noProof/>
                <w:webHidden/>
              </w:rPr>
              <w:fldChar w:fldCharType="end"/>
            </w:r>
          </w:hyperlink>
        </w:p>
        <w:p w14:paraId="2EC59509" w14:textId="17A5A29F" w:rsidR="00A33B65" w:rsidRDefault="0056120C">
          <w:pPr>
            <w:pStyle w:val="31"/>
            <w:tabs>
              <w:tab w:val="right" w:leader="dot" w:pos="9345"/>
            </w:tabs>
            <w:rPr>
              <w:rFonts w:asciiTheme="minorHAnsi" w:eastAsiaTheme="minorEastAsia" w:hAnsiTheme="minorHAnsi"/>
              <w:noProof/>
              <w:sz w:val="22"/>
              <w:lang w:eastAsia="ru-RU"/>
            </w:rPr>
          </w:pPr>
          <w:hyperlink w:anchor="_Toc41822247" w:history="1">
            <w:r w:rsidR="00A33B65" w:rsidRPr="000F7675">
              <w:rPr>
                <w:rStyle w:val="afa"/>
                <w:noProof/>
                <w:lang w:eastAsia="ru-RU"/>
              </w:rPr>
              <w:t xml:space="preserve">3.2.5. Анализ финансово-экономической деятельности </w:t>
            </w:r>
            <w:r w:rsidR="00A33B65" w:rsidRPr="000F7675">
              <w:rPr>
                <w:rStyle w:val="afa"/>
                <w:noProof/>
                <w:lang w:val="en-US" w:eastAsia="ru-RU"/>
              </w:rPr>
              <w:t>HeadHunter</w:t>
            </w:r>
            <w:r w:rsidR="00A33B65" w:rsidRPr="000F7675">
              <w:rPr>
                <w:rStyle w:val="afa"/>
                <w:noProof/>
                <w:lang w:eastAsia="ru-RU"/>
              </w:rPr>
              <w:t xml:space="preserve"> </w:t>
            </w:r>
            <w:r w:rsidR="00A33B65" w:rsidRPr="000F7675">
              <w:rPr>
                <w:rStyle w:val="afa"/>
                <w:noProof/>
                <w:lang w:val="en-US" w:eastAsia="ru-RU"/>
              </w:rPr>
              <w:t>Group</w:t>
            </w:r>
            <w:r w:rsidR="00A33B65">
              <w:rPr>
                <w:noProof/>
                <w:webHidden/>
              </w:rPr>
              <w:tab/>
            </w:r>
            <w:r w:rsidR="00A33B65">
              <w:rPr>
                <w:noProof/>
                <w:webHidden/>
              </w:rPr>
              <w:fldChar w:fldCharType="begin"/>
            </w:r>
            <w:r w:rsidR="00A33B65">
              <w:rPr>
                <w:noProof/>
                <w:webHidden/>
              </w:rPr>
              <w:instrText xml:space="preserve"> PAGEREF _Toc41822247 \h </w:instrText>
            </w:r>
            <w:r w:rsidR="00A33B65">
              <w:rPr>
                <w:noProof/>
                <w:webHidden/>
              </w:rPr>
            </w:r>
            <w:r w:rsidR="00A33B65">
              <w:rPr>
                <w:noProof/>
                <w:webHidden/>
              </w:rPr>
              <w:fldChar w:fldCharType="separate"/>
            </w:r>
            <w:r w:rsidR="00A33B65">
              <w:rPr>
                <w:noProof/>
                <w:webHidden/>
              </w:rPr>
              <w:t>47</w:t>
            </w:r>
            <w:r w:rsidR="00A33B65">
              <w:rPr>
                <w:noProof/>
                <w:webHidden/>
              </w:rPr>
              <w:fldChar w:fldCharType="end"/>
            </w:r>
          </w:hyperlink>
        </w:p>
        <w:p w14:paraId="6CF34053" w14:textId="1D4A18F8" w:rsidR="00A33B65" w:rsidRDefault="0056120C">
          <w:pPr>
            <w:pStyle w:val="23"/>
            <w:tabs>
              <w:tab w:val="right" w:leader="dot" w:pos="9345"/>
            </w:tabs>
            <w:rPr>
              <w:rStyle w:val="afa"/>
              <w:noProof/>
            </w:rPr>
          </w:pPr>
          <w:hyperlink w:anchor="_Toc41822248" w:history="1">
            <w:r w:rsidR="00A33B65" w:rsidRPr="000F7675">
              <w:rPr>
                <w:rStyle w:val="afa"/>
                <w:noProof/>
                <w:lang w:eastAsia="ru-RU"/>
              </w:rPr>
              <w:t>3.3. Апробация методик оценки ценности компании на примере российских компаний</w:t>
            </w:r>
            <w:r w:rsidR="00A33B65">
              <w:rPr>
                <w:noProof/>
                <w:webHidden/>
              </w:rPr>
              <w:tab/>
            </w:r>
            <w:r w:rsidR="00A33B65">
              <w:rPr>
                <w:noProof/>
                <w:webHidden/>
              </w:rPr>
              <w:fldChar w:fldCharType="begin"/>
            </w:r>
            <w:r w:rsidR="00A33B65">
              <w:rPr>
                <w:noProof/>
                <w:webHidden/>
              </w:rPr>
              <w:instrText xml:space="preserve"> PAGEREF _Toc41822248 \h </w:instrText>
            </w:r>
            <w:r w:rsidR="00A33B65">
              <w:rPr>
                <w:noProof/>
                <w:webHidden/>
              </w:rPr>
            </w:r>
            <w:r w:rsidR="00A33B65">
              <w:rPr>
                <w:noProof/>
                <w:webHidden/>
              </w:rPr>
              <w:fldChar w:fldCharType="separate"/>
            </w:r>
            <w:r w:rsidR="00A33B65">
              <w:rPr>
                <w:noProof/>
                <w:webHidden/>
              </w:rPr>
              <w:t>50</w:t>
            </w:r>
            <w:r w:rsidR="00A33B65">
              <w:rPr>
                <w:noProof/>
                <w:webHidden/>
              </w:rPr>
              <w:fldChar w:fldCharType="end"/>
            </w:r>
          </w:hyperlink>
        </w:p>
        <w:p w14:paraId="4E57A5A7" w14:textId="77777777" w:rsidR="00A33B65" w:rsidRDefault="00A33B65" w:rsidP="00A33B65">
          <w:pPr>
            <w:rPr>
              <w:noProof/>
            </w:rPr>
            <w:sectPr w:rsidR="00A33B65" w:rsidSect="00025044">
              <w:pgSz w:w="11906" w:h="16838"/>
              <w:pgMar w:top="1134" w:right="850" w:bottom="1134" w:left="1701" w:header="709" w:footer="709" w:gutter="0"/>
              <w:pgNumType w:start="4"/>
              <w:cols w:space="708"/>
              <w:titlePg/>
              <w:docGrid w:linePitch="360"/>
            </w:sectPr>
          </w:pPr>
        </w:p>
        <w:p w14:paraId="290DFD31" w14:textId="4F7ECBA7" w:rsidR="00A33B65" w:rsidRPr="00A33B65" w:rsidRDefault="00A33B65" w:rsidP="00A33B65">
          <w:pPr>
            <w:rPr>
              <w:noProof/>
            </w:rPr>
          </w:pPr>
        </w:p>
        <w:p w14:paraId="4AF7A9FC" w14:textId="00D87259" w:rsidR="00A33B65" w:rsidRDefault="0056120C">
          <w:pPr>
            <w:pStyle w:val="23"/>
            <w:tabs>
              <w:tab w:val="right" w:leader="dot" w:pos="9345"/>
            </w:tabs>
            <w:rPr>
              <w:rFonts w:asciiTheme="minorHAnsi" w:eastAsiaTheme="minorEastAsia" w:hAnsiTheme="minorHAnsi"/>
              <w:noProof/>
              <w:sz w:val="22"/>
              <w:lang w:eastAsia="ru-RU"/>
            </w:rPr>
          </w:pPr>
          <w:hyperlink w:anchor="_Toc41822249" w:history="1">
            <w:r w:rsidR="00A33B65" w:rsidRPr="000F7675">
              <w:rPr>
                <w:rStyle w:val="afa"/>
                <w:noProof/>
                <w:lang w:eastAsia="ru-RU"/>
              </w:rPr>
              <w:t>Выводы по главе 3</w:t>
            </w:r>
            <w:r w:rsidR="00A33B65">
              <w:rPr>
                <w:noProof/>
                <w:webHidden/>
              </w:rPr>
              <w:tab/>
            </w:r>
            <w:r w:rsidR="00A33B65">
              <w:rPr>
                <w:noProof/>
                <w:webHidden/>
              </w:rPr>
              <w:fldChar w:fldCharType="begin"/>
            </w:r>
            <w:r w:rsidR="00A33B65">
              <w:rPr>
                <w:noProof/>
                <w:webHidden/>
              </w:rPr>
              <w:instrText xml:space="preserve"> PAGEREF _Toc41822249 \h </w:instrText>
            </w:r>
            <w:r w:rsidR="00A33B65">
              <w:rPr>
                <w:noProof/>
                <w:webHidden/>
              </w:rPr>
            </w:r>
            <w:r w:rsidR="00A33B65">
              <w:rPr>
                <w:noProof/>
                <w:webHidden/>
              </w:rPr>
              <w:fldChar w:fldCharType="separate"/>
            </w:r>
            <w:r w:rsidR="00A33B65">
              <w:rPr>
                <w:noProof/>
                <w:webHidden/>
              </w:rPr>
              <w:t>56</w:t>
            </w:r>
            <w:r w:rsidR="00A33B65">
              <w:rPr>
                <w:noProof/>
                <w:webHidden/>
              </w:rPr>
              <w:fldChar w:fldCharType="end"/>
            </w:r>
          </w:hyperlink>
        </w:p>
        <w:p w14:paraId="1A410FE0" w14:textId="56A50BC4" w:rsidR="00A33B65" w:rsidRDefault="0056120C">
          <w:pPr>
            <w:pStyle w:val="12"/>
            <w:tabs>
              <w:tab w:val="right" w:leader="dot" w:pos="9345"/>
            </w:tabs>
            <w:rPr>
              <w:rFonts w:asciiTheme="minorHAnsi" w:eastAsiaTheme="minorEastAsia" w:hAnsiTheme="minorHAnsi"/>
              <w:noProof/>
              <w:sz w:val="22"/>
              <w:lang w:eastAsia="ru-RU"/>
            </w:rPr>
          </w:pPr>
          <w:hyperlink w:anchor="_Toc41822250" w:history="1">
            <w:r w:rsidR="00A33B65" w:rsidRPr="000F7675">
              <w:rPr>
                <w:rStyle w:val="afa"/>
                <w:noProof/>
                <w:lang w:eastAsia="ru-RU"/>
              </w:rPr>
              <w:t>Заключение</w:t>
            </w:r>
            <w:r w:rsidR="00A33B65">
              <w:rPr>
                <w:noProof/>
                <w:webHidden/>
              </w:rPr>
              <w:tab/>
            </w:r>
            <w:r w:rsidR="00A33B65">
              <w:rPr>
                <w:noProof/>
                <w:webHidden/>
              </w:rPr>
              <w:fldChar w:fldCharType="begin"/>
            </w:r>
            <w:r w:rsidR="00A33B65">
              <w:rPr>
                <w:noProof/>
                <w:webHidden/>
              </w:rPr>
              <w:instrText xml:space="preserve"> PAGEREF _Toc41822250 \h </w:instrText>
            </w:r>
            <w:r w:rsidR="00A33B65">
              <w:rPr>
                <w:noProof/>
                <w:webHidden/>
              </w:rPr>
            </w:r>
            <w:r w:rsidR="00A33B65">
              <w:rPr>
                <w:noProof/>
                <w:webHidden/>
              </w:rPr>
              <w:fldChar w:fldCharType="separate"/>
            </w:r>
            <w:r w:rsidR="00A33B65">
              <w:rPr>
                <w:noProof/>
                <w:webHidden/>
              </w:rPr>
              <w:t>58</w:t>
            </w:r>
            <w:r w:rsidR="00A33B65">
              <w:rPr>
                <w:noProof/>
                <w:webHidden/>
              </w:rPr>
              <w:fldChar w:fldCharType="end"/>
            </w:r>
          </w:hyperlink>
        </w:p>
        <w:p w14:paraId="4D0ACA5C" w14:textId="54FE4F37" w:rsidR="00A33B65" w:rsidRDefault="0056120C">
          <w:pPr>
            <w:pStyle w:val="12"/>
            <w:tabs>
              <w:tab w:val="right" w:leader="dot" w:pos="9345"/>
            </w:tabs>
            <w:rPr>
              <w:rFonts w:asciiTheme="minorHAnsi" w:eastAsiaTheme="minorEastAsia" w:hAnsiTheme="minorHAnsi"/>
              <w:noProof/>
              <w:sz w:val="22"/>
              <w:lang w:eastAsia="ru-RU"/>
            </w:rPr>
          </w:pPr>
          <w:hyperlink w:anchor="_Toc41822251" w:history="1">
            <w:r w:rsidR="00A33B65" w:rsidRPr="000F7675">
              <w:rPr>
                <w:rStyle w:val="afa"/>
                <w:noProof/>
                <w:lang w:eastAsia="ru-RU"/>
              </w:rPr>
              <w:t>Список использованной литературы</w:t>
            </w:r>
            <w:r w:rsidR="00A33B65">
              <w:rPr>
                <w:noProof/>
                <w:webHidden/>
              </w:rPr>
              <w:tab/>
            </w:r>
            <w:r w:rsidR="00A33B65">
              <w:rPr>
                <w:noProof/>
                <w:webHidden/>
              </w:rPr>
              <w:fldChar w:fldCharType="begin"/>
            </w:r>
            <w:r w:rsidR="00A33B65">
              <w:rPr>
                <w:noProof/>
                <w:webHidden/>
              </w:rPr>
              <w:instrText xml:space="preserve"> PAGEREF _Toc41822251 \h </w:instrText>
            </w:r>
            <w:r w:rsidR="00A33B65">
              <w:rPr>
                <w:noProof/>
                <w:webHidden/>
              </w:rPr>
            </w:r>
            <w:r w:rsidR="00A33B65">
              <w:rPr>
                <w:noProof/>
                <w:webHidden/>
              </w:rPr>
              <w:fldChar w:fldCharType="separate"/>
            </w:r>
            <w:r w:rsidR="00A33B65">
              <w:rPr>
                <w:noProof/>
                <w:webHidden/>
              </w:rPr>
              <w:t>60</w:t>
            </w:r>
            <w:r w:rsidR="00A33B65">
              <w:rPr>
                <w:noProof/>
                <w:webHidden/>
              </w:rPr>
              <w:fldChar w:fldCharType="end"/>
            </w:r>
          </w:hyperlink>
        </w:p>
        <w:p w14:paraId="3201F7ED" w14:textId="0272129E" w:rsidR="00A33B65" w:rsidRDefault="0056120C">
          <w:pPr>
            <w:pStyle w:val="12"/>
            <w:tabs>
              <w:tab w:val="right" w:leader="dot" w:pos="9345"/>
            </w:tabs>
            <w:rPr>
              <w:rFonts w:asciiTheme="minorHAnsi" w:eastAsiaTheme="minorEastAsia" w:hAnsiTheme="minorHAnsi"/>
              <w:noProof/>
              <w:sz w:val="22"/>
              <w:lang w:eastAsia="ru-RU"/>
            </w:rPr>
          </w:pPr>
          <w:hyperlink w:anchor="_Toc41822252" w:history="1">
            <w:r w:rsidR="00A33B65" w:rsidRPr="000F7675">
              <w:rPr>
                <w:rStyle w:val="afa"/>
                <w:noProof/>
                <w:lang w:eastAsia="ru-RU"/>
              </w:rPr>
              <w:t>Приложения</w:t>
            </w:r>
            <w:r w:rsidR="00A33B65">
              <w:rPr>
                <w:noProof/>
                <w:webHidden/>
              </w:rPr>
              <w:tab/>
            </w:r>
            <w:r w:rsidR="00A33B65">
              <w:rPr>
                <w:noProof/>
                <w:webHidden/>
              </w:rPr>
              <w:fldChar w:fldCharType="begin"/>
            </w:r>
            <w:r w:rsidR="00A33B65">
              <w:rPr>
                <w:noProof/>
                <w:webHidden/>
              </w:rPr>
              <w:instrText xml:space="preserve"> PAGEREF _Toc41822252 \h </w:instrText>
            </w:r>
            <w:r w:rsidR="00A33B65">
              <w:rPr>
                <w:noProof/>
                <w:webHidden/>
              </w:rPr>
            </w:r>
            <w:r w:rsidR="00A33B65">
              <w:rPr>
                <w:noProof/>
                <w:webHidden/>
              </w:rPr>
              <w:fldChar w:fldCharType="separate"/>
            </w:r>
            <w:r w:rsidR="00A33B65">
              <w:rPr>
                <w:noProof/>
                <w:webHidden/>
              </w:rPr>
              <w:t>67</w:t>
            </w:r>
            <w:r w:rsidR="00A33B65">
              <w:rPr>
                <w:noProof/>
                <w:webHidden/>
              </w:rPr>
              <w:fldChar w:fldCharType="end"/>
            </w:r>
          </w:hyperlink>
        </w:p>
        <w:p w14:paraId="736B13B4" w14:textId="10910409" w:rsidR="00025044" w:rsidRPr="00025044" w:rsidRDefault="00BB691B" w:rsidP="00025044">
          <w:pPr>
            <w:ind w:firstLine="0"/>
          </w:pPr>
          <w:r>
            <w:rPr>
              <w:b/>
              <w:bCs/>
              <w:noProof/>
            </w:rPr>
            <w:fldChar w:fldCharType="end"/>
          </w:r>
        </w:p>
      </w:sdtContent>
    </w:sdt>
    <w:p w14:paraId="2289C236" w14:textId="77777777" w:rsidR="00025044" w:rsidRDefault="00025044" w:rsidP="00F500F4">
      <w:pPr>
        <w:pStyle w:val="1"/>
        <w:rPr>
          <w:rFonts w:eastAsia="Times New Roman"/>
          <w:lang w:eastAsia="ru-RU"/>
        </w:rPr>
      </w:pPr>
    </w:p>
    <w:p w14:paraId="5FFE8A11" w14:textId="712138B7" w:rsidR="00F500F4" w:rsidRDefault="00F500F4" w:rsidP="00AD153B">
      <w:pPr>
        <w:pStyle w:val="1"/>
        <w:rPr>
          <w:lang w:eastAsia="ru-RU"/>
        </w:rPr>
      </w:pPr>
      <w:r w:rsidRPr="00025044">
        <w:rPr>
          <w:lang w:eastAsia="ru-RU"/>
        </w:rPr>
        <w:br w:type="page"/>
      </w:r>
      <w:bookmarkStart w:id="1" w:name="_Toc41822227"/>
      <w:r w:rsidRPr="00AD153B">
        <w:lastRenderedPageBreak/>
        <w:t>Введение</w:t>
      </w:r>
      <w:bookmarkEnd w:id="1"/>
    </w:p>
    <w:p w14:paraId="2EE86BCB" w14:textId="1575A54D" w:rsidR="00F120A0" w:rsidRDefault="006E76BE" w:rsidP="00F120A0">
      <w:pPr>
        <w:rPr>
          <w:lang w:eastAsia="ru-RU"/>
        </w:rPr>
      </w:pPr>
      <w:r>
        <w:rPr>
          <w:lang w:eastAsia="ru-RU"/>
        </w:rPr>
        <w:t xml:space="preserve">Оценка </w:t>
      </w:r>
      <w:r w:rsidR="00D4736A">
        <w:rPr>
          <w:lang w:eastAsia="ru-RU"/>
        </w:rPr>
        <w:t>ценности</w:t>
      </w:r>
      <w:r>
        <w:rPr>
          <w:lang w:eastAsia="ru-RU"/>
        </w:rPr>
        <w:t xml:space="preserve"> компании является неотъемлемым элементом управления — понимание справедливой стоимости бизнеса необходимо для дальнейшего развития</w:t>
      </w:r>
      <w:r w:rsidR="00D4736A">
        <w:rPr>
          <w:lang w:eastAsia="ru-RU"/>
        </w:rPr>
        <w:t xml:space="preserve"> фирмы</w:t>
      </w:r>
      <w:r>
        <w:rPr>
          <w:lang w:eastAsia="ru-RU"/>
        </w:rPr>
        <w:t>. Данный инструмент применяется для различных целей: для оценки при инвестировании, при слияниях и поглощениях, при кредитовании, при первичном размещении акций на фондовой бирже</w:t>
      </w:r>
      <w:r w:rsidR="004E53F4">
        <w:rPr>
          <w:lang w:eastAsia="ru-RU"/>
        </w:rPr>
        <w:t>, а также для оперативного управления компанией.</w:t>
      </w:r>
      <w:r w:rsidR="00BF1B05">
        <w:rPr>
          <w:lang w:eastAsia="ru-RU"/>
        </w:rPr>
        <w:t xml:space="preserve"> </w:t>
      </w:r>
    </w:p>
    <w:p w14:paraId="1C89097D" w14:textId="750E0637" w:rsidR="004E53F4" w:rsidRDefault="00BF1B05" w:rsidP="00770025">
      <w:pPr>
        <w:rPr>
          <w:lang w:eastAsia="ru-RU"/>
        </w:rPr>
      </w:pPr>
      <w:r>
        <w:rPr>
          <w:lang w:eastAsia="ru-RU"/>
        </w:rPr>
        <w:t>Компании используют оценку бизнеса для решения возникающих проблем: н</w:t>
      </w:r>
      <w:r w:rsidR="00770025">
        <w:rPr>
          <w:lang w:eastAsia="ru-RU"/>
        </w:rPr>
        <w:t xml:space="preserve">а основе </w:t>
      </w:r>
      <w:r>
        <w:rPr>
          <w:lang w:eastAsia="ru-RU"/>
        </w:rPr>
        <w:t xml:space="preserve">результатов </w:t>
      </w:r>
      <w:r w:rsidR="009378EB">
        <w:rPr>
          <w:lang w:eastAsia="ru-RU"/>
        </w:rPr>
        <w:t xml:space="preserve">оценки </w:t>
      </w:r>
      <w:r>
        <w:rPr>
          <w:lang w:eastAsia="ru-RU"/>
        </w:rPr>
        <w:t xml:space="preserve">ценности </w:t>
      </w:r>
      <w:r w:rsidR="00770025">
        <w:rPr>
          <w:lang w:eastAsia="ru-RU"/>
        </w:rPr>
        <w:t xml:space="preserve">строится концепция </w:t>
      </w:r>
      <w:r w:rsidR="00770025">
        <w:rPr>
          <w:lang w:val="en-US" w:eastAsia="ru-RU"/>
        </w:rPr>
        <w:t>Value</w:t>
      </w:r>
      <w:r w:rsidR="00770025" w:rsidRPr="00770025">
        <w:rPr>
          <w:lang w:eastAsia="ru-RU"/>
        </w:rPr>
        <w:t>-</w:t>
      </w:r>
      <w:r w:rsidR="00770025">
        <w:rPr>
          <w:lang w:val="en-US" w:eastAsia="ru-RU"/>
        </w:rPr>
        <w:t>based</w:t>
      </w:r>
      <w:r w:rsidR="00770025" w:rsidRPr="00770025">
        <w:rPr>
          <w:lang w:eastAsia="ru-RU"/>
        </w:rPr>
        <w:t xml:space="preserve"> </w:t>
      </w:r>
      <w:r w:rsidR="00770025">
        <w:rPr>
          <w:lang w:val="en-US" w:eastAsia="ru-RU"/>
        </w:rPr>
        <w:t>management</w:t>
      </w:r>
      <w:r w:rsidR="00F120A0">
        <w:rPr>
          <w:lang w:eastAsia="ru-RU"/>
        </w:rPr>
        <w:t xml:space="preserve"> (</w:t>
      </w:r>
      <w:r w:rsidR="00F120A0">
        <w:rPr>
          <w:lang w:val="en-US" w:eastAsia="ru-RU"/>
        </w:rPr>
        <w:t>VBM</w:t>
      </w:r>
      <w:r w:rsidR="00F120A0" w:rsidRPr="00F120A0">
        <w:rPr>
          <w:lang w:eastAsia="ru-RU"/>
        </w:rPr>
        <w:t>)</w:t>
      </w:r>
      <w:r w:rsidR="00770025">
        <w:rPr>
          <w:lang w:eastAsia="ru-RU"/>
        </w:rPr>
        <w:t>, применение</w:t>
      </w:r>
      <w:r w:rsidR="00FC2E9D">
        <w:rPr>
          <w:lang w:eastAsia="ru-RU"/>
        </w:rPr>
        <w:t xml:space="preserve"> </w:t>
      </w:r>
      <w:r w:rsidR="00770025">
        <w:rPr>
          <w:lang w:eastAsia="ru-RU"/>
        </w:rPr>
        <w:t>которой позволяет существенно увеличить стоимость компании (</w:t>
      </w:r>
      <w:r w:rsidR="008770A6">
        <w:rPr>
          <w:lang w:eastAsia="ru-RU"/>
        </w:rPr>
        <w:t xml:space="preserve">по данным </w:t>
      </w:r>
      <w:r w:rsidR="008770A6">
        <w:rPr>
          <w:lang w:val="en-US" w:eastAsia="ru-RU"/>
        </w:rPr>
        <w:t>McKinsey</w:t>
      </w:r>
      <w:r w:rsidR="008770A6" w:rsidRPr="008770A6">
        <w:rPr>
          <w:lang w:eastAsia="ru-RU"/>
        </w:rPr>
        <w:t xml:space="preserve">, </w:t>
      </w:r>
      <w:r w:rsidR="00770025">
        <w:rPr>
          <w:lang w:eastAsia="ru-RU"/>
        </w:rPr>
        <w:t>на 30%-200% в зависимости от отрасли).</w:t>
      </w:r>
      <w:r w:rsidR="008770A6">
        <w:rPr>
          <w:rStyle w:val="afe"/>
          <w:lang w:eastAsia="ru-RU"/>
        </w:rPr>
        <w:footnoteReference w:id="1"/>
      </w:r>
      <w:r w:rsidR="00770025" w:rsidRPr="00770025">
        <w:rPr>
          <w:lang w:eastAsia="ru-RU"/>
        </w:rPr>
        <w:t xml:space="preserve"> </w:t>
      </w:r>
      <w:r w:rsidR="00F120A0" w:rsidRPr="00C17C66">
        <w:rPr>
          <w:lang w:eastAsia="ru-RU"/>
        </w:rPr>
        <w:t xml:space="preserve">По данным исследования </w:t>
      </w:r>
      <w:r w:rsidR="00F120A0" w:rsidRPr="00C17C66">
        <w:rPr>
          <w:lang w:val="en-US" w:eastAsia="ru-RU"/>
        </w:rPr>
        <w:t>E</w:t>
      </w:r>
      <w:r w:rsidR="00F120A0" w:rsidRPr="00C17C66">
        <w:rPr>
          <w:lang w:eastAsia="ru-RU"/>
        </w:rPr>
        <w:t>&amp;</w:t>
      </w:r>
      <w:r w:rsidR="00F120A0" w:rsidRPr="00C17C66">
        <w:rPr>
          <w:lang w:val="en-US" w:eastAsia="ru-RU"/>
        </w:rPr>
        <w:t>Y</w:t>
      </w:r>
      <w:r w:rsidR="00F120A0" w:rsidRPr="00C17C66">
        <w:rPr>
          <w:lang w:eastAsia="ru-RU"/>
        </w:rPr>
        <w:t xml:space="preserve">, </w:t>
      </w:r>
      <w:r w:rsidR="00F120A0" w:rsidRPr="00C17C66">
        <w:rPr>
          <w:lang w:val="en-US" w:eastAsia="ru-RU"/>
        </w:rPr>
        <w:t>VBM</w:t>
      </w:r>
      <w:r w:rsidR="008C48E4" w:rsidRPr="00C17C66">
        <w:rPr>
          <w:lang w:eastAsia="ru-RU"/>
        </w:rPr>
        <w:t xml:space="preserve"> для страховых компаний предоставляет возможность увеличения возврата капитала на 2.3 процента.</w:t>
      </w:r>
      <w:r w:rsidR="008C48E4" w:rsidRPr="00C17C66">
        <w:rPr>
          <w:rStyle w:val="afe"/>
          <w:lang w:eastAsia="ru-RU"/>
        </w:rPr>
        <w:footnoteReference w:id="2"/>
      </w:r>
      <w:r w:rsidR="00B061BB">
        <w:rPr>
          <w:lang w:eastAsia="ru-RU"/>
        </w:rPr>
        <w:t xml:space="preserve"> </w:t>
      </w:r>
      <w:r w:rsidR="008C48E4">
        <w:rPr>
          <w:lang w:eastAsia="ru-RU"/>
        </w:rPr>
        <w:t xml:space="preserve">Преимущества </w:t>
      </w:r>
      <w:r w:rsidR="00FC2E9D">
        <w:rPr>
          <w:lang w:eastAsia="ru-RU"/>
        </w:rPr>
        <w:t xml:space="preserve">и результаты </w:t>
      </w:r>
      <w:r w:rsidR="008C48E4">
        <w:rPr>
          <w:lang w:val="en-US" w:eastAsia="ru-RU"/>
        </w:rPr>
        <w:t>VBM</w:t>
      </w:r>
      <w:r w:rsidR="008C48E4">
        <w:rPr>
          <w:lang w:eastAsia="ru-RU"/>
        </w:rPr>
        <w:t xml:space="preserve"> увеличивают п</w:t>
      </w:r>
      <w:r w:rsidR="00770025">
        <w:rPr>
          <w:lang w:eastAsia="ru-RU"/>
        </w:rPr>
        <w:t>отребность в оценке ценности компании</w:t>
      </w:r>
      <w:r w:rsidR="00FC2E9D">
        <w:rPr>
          <w:lang w:eastAsia="ru-RU"/>
        </w:rPr>
        <w:t xml:space="preserve">, </w:t>
      </w:r>
      <w:r w:rsidR="008C48E4">
        <w:rPr>
          <w:lang w:eastAsia="ru-RU"/>
        </w:rPr>
        <w:t>анализ</w:t>
      </w:r>
      <w:r w:rsidR="00FC2E9D">
        <w:rPr>
          <w:lang w:eastAsia="ru-RU"/>
        </w:rPr>
        <w:t>е</w:t>
      </w:r>
      <w:r w:rsidR="008C48E4">
        <w:rPr>
          <w:lang w:eastAsia="ru-RU"/>
        </w:rPr>
        <w:t xml:space="preserve"> </w:t>
      </w:r>
      <w:r w:rsidR="004E53F4">
        <w:rPr>
          <w:lang w:eastAsia="ru-RU"/>
        </w:rPr>
        <w:t>существующи</w:t>
      </w:r>
      <w:r w:rsidR="008C48E4">
        <w:rPr>
          <w:lang w:eastAsia="ru-RU"/>
        </w:rPr>
        <w:t>х</w:t>
      </w:r>
      <w:r w:rsidR="004E53F4">
        <w:rPr>
          <w:lang w:eastAsia="ru-RU"/>
        </w:rPr>
        <w:t xml:space="preserve"> метод</w:t>
      </w:r>
      <w:r w:rsidR="008C48E4">
        <w:rPr>
          <w:lang w:eastAsia="ru-RU"/>
        </w:rPr>
        <w:t>ов</w:t>
      </w:r>
      <w:r w:rsidR="00FC2E9D">
        <w:rPr>
          <w:lang w:eastAsia="ru-RU"/>
        </w:rPr>
        <w:t xml:space="preserve"> и рекомендаций по их применению</w:t>
      </w:r>
      <w:r w:rsidR="008C48E4">
        <w:rPr>
          <w:lang w:eastAsia="ru-RU"/>
        </w:rPr>
        <w:t xml:space="preserve">. </w:t>
      </w:r>
    </w:p>
    <w:p w14:paraId="22D1F668" w14:textId="295936BB" w:rsidR="004E53F4" w:rsidRDefault="004E53F4" w:rsidP="006E76BE">
      <w:pPr>
        <w:rPr>
          <w:lang w:eastAsia="ru-RU"/>
        </w:rPr>
      </w:pPr>
      <w:r w:rsidRPr="00625000">
        <w:rPr>
          <w:lang w:eastAsia="ru-RU"/>
        </w:rPr>
        <w:t>Актуальность темы квалификационной работы заключается в</w:t>
      </w:r>
      <w:r w:rsidR="00B061BB">
        <w:rPr>
          <w:lang w:eastAsia="ru-RU"/>
        </w:rPr>
        <w:t xml:space="preserve"> </w:t>
      </w:r>
      <w:r w:rsidR="008C48E4">
        <w:rPr>
          <w:lang w:eastAsia="ru-RU"/>
        </w:rPr>
        <w:t>потребности компаний проводить надежную и корректную оценку для дальнейшего управления бизнесом.</w:t>
      </w:r>
      <w:r w:rsidR="00B061BB">
        <w:rPr>
          <w:lang w:eastAsia="ru-RU"/>
        </w:rPr>
        <w:t xml:space="preserve"> В то же время </w:t>
      </w:r>
      <w:r w:rsidR="00FC2E9D">
        <w:rPr>
          <w:lang w:eastAsia="ru-RU"/>
        </w:rPr>
        <w:t xml:space="preserve">методы оценки ценности компании эволюционируют: </w:t>
      </w:r>
      <w:r w:rsidR="00B061BB">
        <w:rPr>
          <w:lang w:eastAsia="ru-RU"/>
        </w:rPr>
        <w:t>совершенствуются классические</w:t>
      </w:r>
      <w:r w:rsidR="00FC2E9D">
        <w:rPr>
          <w:lang w:eastAsia="ru-RU"/>
        </w:rPr>
        <w:t xml:space="preserve"> подходы и</w:t>
      </w:r>
      <w:r w:rsidR="00B061BB">
        <w:rPr>
          <w:lang w:eastAsia="ru-RU"/>
        </w:rPr>
        <w:t xml:space="preserve"> разрабатываются новые</w:t>
      </w:r>
      <w:r w:rsidR="00FC2E9D">
        <w:rPr>
          <w:lang w:eastAsia="ru-RU"/>
        </w:rPr>
        <w:t xml:space="preserve"> —</w:t>
      </w:r>
      <w:r w:rsidR="00B061BB">
        <w:rPr>
          <w:lang w:eastAsia="ru-RU"/>
        </w:rPr>
        <w:t xml:space="preserve"> что делает выбранную тему еще более значимой для исследования. </w:t>
      </w:r>
    </w:p>
    <w:p w14:paraId="4AAE7C65" w14:textId="0AB086A1" w:rsidR="0000368E" w:rsidRPr="00CD2F4E" w:rsidRDefault="0000368E" w:rsidP="0000368E">
      <w:pPr>
        <w:tabs>
          <w:tab w:val="left" w:pos="1240"/>
        </w:tabs>
        <w:rPr>
          <w:spacing w:val="2"/>
        </w:rPr>
      </w:pPr>
      <w:r>
        <w:rPr>
          <w:spacing w:val="2"/>
        </w:rPr>
        <w:t>Целью данной работы</w:t>
      </w:r>
      <w:r w:rsidR="00CD2F4E">
        <w:rPr>
          <w:rStyle w:val="aff2"/>
        </w:rPr>
        <w:t xml:space="preserve"> </w:t>
      </w:r>
      <w:r w:rsidR="00CD2F4E">
        <w:rPr>
          <w:spacing w:val="2"/>
        </w:rPr>
        <w:t>яв</w:t>
      </w:r>
      <w:r>
        <w:rPr>
          <w:spacing w:val="2"/>
        </w:rPr>
        <w:t xml:space="preserve">ляется </w:t>
      </w:r>
      <w:r w:rsidR="00CD2F4E">
        <w:rPr>
          <w:spacing w:val="2"/>
        </w:rPr>
        <w:t xml:space="preserve">сравнение особенностей </w:t>
      </w:r>
      <w:r>
        <w:rPr>
          <w:spacing w:val="2"/>
        </w:rPr>
        <w:t xml:space="preserve">классических и современных </w:t>
      </w:r>
      <w:r w:rsidR="00CD2F4E">
        <w:rPr>
          <w:spacing w:val="2"/>
        </w:rPr>
        <w:t>методов</w:t>
      </w:r>
      <w:r>
        <w:rPr>
          <w:spacing w:val="2"/>
        </w:rPr>
        <w:t xml:space="preserve"> оценки ценности </w:t>
      </w:r>
      <w:r w:rsidR="00CD2F4E">
        <w:rPr>
          <w:spacing w:val="2"/>
        </w:rPr>
        <w:t xml:space="preserve">бизнеса, а также их </w:t>
      </w:r>
      <w:r w:rsidR="000A70BB">
        <w:rPr>
          <w:spacing w:val="2"/>
        </w:rPr>
        <w:t>применение</w:t>
      </w:r>
      <w:r w:rsidR="00CD2F4E">
        <w:rPr>
          <w:spacing w:val="2"/>
        </w:rPr>
        <w:t xml:space="preserve"> на </w:t>
      </w:r>
      <w:r w:rsidR="000A70BB">
        <w:rPr>
          <w:spacing w:val="2"/>
        </w:rPr>
        <w:t xml:space="preserve">примере </w:t>
      </w:r>
      <w:r w:rsidR="00CD2F4E">
        <w:rPr>
          <w:spacing w:val="2"/>
        </w:rPr>
        <w:t>российск</w:t>
      </w:r>
      <w:r w:rsidR="006E0D62">
        <w:rPr>
          <w:spacing w:val="2"/>
        </w:rPr>
        <w:t>их компаний</w:t>
      </w:r>
      <w:r w:rsidR="00CD2F4E" w:rsidRPr="00CD2F4E">
        <w:rPr>
          <w:spacing w:val="2"/>
        </w:rPr>
        <w:t xml:space="preserve">. </w:t>
      </w:r>
    </w:p>
    <w:p w14:paraId="4B1349A5" w14:textId="77777777" w:rsidR="0000368E" w:rsidRDefault="0000368E" w:rsidP="0000368E">
      <w:r>
        <w:t xml:space="preserve">Для достижения поставленной цели работы были поставлены следующие задачи: </w:t>
      </w:r>
    </w:p>
    <w:p w14:paraId="0EEB2AF2" w14:textId="1E550A76" w:rsidR="0068053D" w:rsidRPr="0068053D" w:rsidRDefault="0068053D" w:rsidP="0000368E">
      <w:pPr>
        <w:pStyle w:val="af8"/>
        <w:numPr>
          <w:ilvl w:val="0"/>
          <w:numId w:val="19"/>
        </w:numPr>
        <w:tabs>
          <w:tab w:val="left" w:pos="1240"/>
        </w:tabs>
        <w:rPr>
          <w:spacing w:val="2"/>
        </w:rPr>
      </w:pPr>
      <w:r w:rsidRPr="0068053D">
        <w:rPr>
          <w:spacing w:val="2"/>
        </w:rPr>
        <w:t xml:space="preserve">Обзор оценки ценности бизнеса, её целей и преимуществ применения в компаниях, </w:t>
      </w:r>
    </w:p>
    <w:p w14:paraId="79343D28" w14:textId="106E86F1" w:rsidR="0068053D" w:rsidRDefault="0068053D" w:rsidP="0000368E">
      <w:pPr>
        <w:pStyle w:val="af8"/>
        <w:numPr>
          <w:ilvl w:val="0"/>
          <w:numId w:val="19"/>
        </w:numPr>
        <w:tabs>
          <w:tab w:val="left" w:pos="1240"/>
        </w:tabs>
        <w:rPr>
          <w:spacing w:val="2"/>
        </w:rPr>
      </w:pPr>
      <w:r w:rsidRPr="0068053D">
        <w:rPr>
          <w:spacing w:val="2"/>
        </w:rPr>
        <w:t>Анализ классических и усовершенствованных подходов оценк</w:t>
      </w:r>
      <w:r w:rsidR="008F1DE1">
        <w:rPr>
          <w:spacing w:val="2"/>
        </w:rPr>
        <w:t>и</w:t>
      </w:r>
      <w:r w:rsidRPr="0068053D">
        <w:rPr>
          <w:spacing w:val="2"/>
        </w:rPr>
        <w:t xml:space="preserve"> ценности бизнеса, </w:t>
      </w:r>
    </w:p>
    <w:p w14:paraId="2B7E3CFB" w14:textId="4AD8C158" w:rsidR="006E0D62" w:rsidRPr="0068053D" w:rsidRDefault="006E0D62" w:rsidP="0000368E">
      <w:pPr>
        <w:pStyle w:val="af8"/>
        <w:numPr>
          <w:ilvl w:val="0"/>
          <w:numId w:val="19"/>
        </w:numPr>
        <w:tabs>
          <w:tab w:val="left" w:pos="1240"/>
        </w:tabs>
        <w:rPr>
          <w:spacing w:val="2"/>
        </w:rPr>
      </w:pPr>
      <w:r>
        <w:rPr>
          <w:spacing w:val="2"/>
        </w:rPr>
        <w:t>Формирование гипотез исследования и на их основе выборки компаний,</w:t>
      </w:r>
    </w:p>
    <w:p w14:paraId="4644AEA6" w14:textId="22740EAA" w:rsidR="0068053D" w:rsidRPr="0068053D" w:rsidRDefault="0068053D" w:rsidP="0000368E">
      <w:pPr>
        <w:pStyle w:val="af8"/>
        <w:numPr>
          <w:ilvl w:val="0"/>
          <w:numId w:val="19"/>
        </w:numPr>
        <w:tabs>
          <w:tab w:val="left" w:pos="1240"/>
        </w:tabs>
        <w:rPr>
          <w:spacing w:val="2"/>
        </w:rPr>
      </w:pPr>
      <w:r w:rsidRPr="0068053D">
        <w:rPr>
          <w:spacing w:val="2"/>
        </w:rPr>
        <w:t xml:space="preserve">Анализ деятельности </w:t>
      </w:r>
      <w:r w:rsidR="006E0D62">
        <w:rPr>
          <w:spacing w:val="2"/>
        </w:rPr>
        <w:t xml:space="preserve">выбранных </w:t>
      </w:r>
      <w:r w:rsidR="000A70BB">
        <w:rPr>
          <w:spacing w:val="2"/>
        </w:rPr>
        <w:t xml:space="preserve">для оценки </w:t>
      </w:r>
      <w:r w:rsidR="006E0D62">
        <w:rPr>
          <w:spacing w:val="2"/>
        </w:rPr>
        <w:t xml:space="preserve">компаний, расчет их ценности </w:t>
      </w:r>
      <w:r w:rsidR="000A70BB">
        <w:rPr>
          <w:spacing w:val="2"/>
        </w:rPr>
        <w:t xml:space="preserve">различными </w:t>
      </w:r>
      <w:r w:rsidR="006E0D62">
        <w:rPr>
          <w:spacing w:val="2"/>
        </w:rPr>
        <w:t xml:space="preserve">методами, </w:t>
      </w:r>
      <w:r w:rsidRPr="0068053D">
        <w:rPr>
          <w:spacing w:val="2"/>
        </w:rPr>
        <w:t xml:space="preserve"> </w:t>
      </w:r>
    </w:p>
    <w:p w14:paraId="33D43FF9" w14:textId="076B7F6A" w:rsidR="0000368E" w:rsidRPr="00B31250" w:rsidRDefault="00A00A95" w:rsidP="0000368E">
      <w:pPr>
        <w:pStyle w:val="af8"/>
        <w:numPr>
          <w:ilvl w:val="0"/>
          <w:numId w:val="19"/>
        </w:numPr>
        <w:tabs>
          <w:tab w:val="left" w:pos="1240"/>
        </w:tabs>
        <w:rPr>
          <w:spacing w:val="2"/>
        </w:rPr>
      </w:pPr>
      <w:r w:rsidRPr="00B31250">
        <w:rPr>
          <w:spacing w:val="2"/>
        </w:rPr>
        <w:lastRenderedPageBreak/>
        <w:t xml:space="preserve">Сравнение методов </w:t>
      </w:r>
      <w:r w:rsidR="0068053D" w:rsidRPr="00B31250">
        <w:rPr>
          <w:spacing w:val="2"/>
        </w:rPr>
        <w:t xml:space="preserve">оценки ценности бизнеса </w:t>
      </w:r>
      <w:r w:rsidRPr="00B31250">
        <w:rPr>
          <w:spacing w:val="2"/>
        </w:rPr>
        <w:t>на</w:t>
      </w:r>
      <w:r w:rsidR="006E0D62" w:rsidRPr="00B31250">
        <w:rPr>
          <w:spacing w:val="2"/>
        </w:rPr>
        <w:t xml:space="preserve"> примере </w:t>
      </w:r>
      <w:r w:rsidR="000A70BB" w:rsidRPr="00B31250">
        <w:rPr>
          <w:spacing w:val="2"/>
        </w:rPr>
        <w:t xml:space="preserve">оценке </w:t>
      </w:r>
      <w:r w:rsidR="006E0D62" w:rsidRPr="00B31250">
        <w:rPr>
          <w:spacing w:val="2"/>
        </w:rPr>
        <w:t>российских компаний</w:t>
      </w:r>
      <w:r w:rsidR="00715B46" w:rsidRPr="00B31250">
        <w:rPr>
          <w:spacing w:val="2"/>
        </w:rPr>
        <w:t xml:space="preserve">, </w:t>
      </w:r>
    </w:p>
    <w:p w14:paraId="7FB80F00" w14:textId="6EA5E832" w:rsidR="00715B46" w:rsidRPr="00B31250" w:rsidRDefault="00715B46" w:rsidP="0000368E">
      <w:pPr>
        <w:pStyle w:val="af8"/>
        <w:numPr>
          <w:ilvl w:val="0"/>
          <w:numId w:val="19"/>
        </w:numPr>
        <w:tabs>
          <w:tab w:val="left" w:pos="1240"/>
        </w:tabs>
        <w:rPr>
          <w:spacing w:val="2"/>
        </w:rPr>
      </w:pPr>
      <w:r w:rsidRPr="00B31250">
        <w:rPr>
          <w:spacing w:val="2"/>
        </w:rPr>
        <w:t>Интерпретация полученных результатов</w:t>
      </w:r>
      <w:r w:rsidR="00F135EF" w:rsidRPr="00B31250">
        <w:rPr>
          <w:spacing w:val="2"/>
        </w:rPr>
        <w:t xml:space="preserve"> и формулирование выводов</w:t>
      </w:r>
      <w:r w:rsidRPr="00B31250">
        <w:rPr>
          <w:spacing w:val="2"/>
        </w:rPr>
        <w:t xml:space="preserve">. </w:t>
      </w:r>
    </w:p>
    <w:p w14:paraId="389B038C" w14:textId="77777777" w:rsidR="00B31250" w:rsidRPr="00B31250" w:rsidRDefault="00715B46" w:rsidP="00715B46">
      <w:r w:rsidRPr="00B31250">
        <w:t>Цель и поставленные задачи ВКР определили структуру работы. Выпускная квалификационная работа состоит из введения, трёх глав и заключения.</w:t>
      </w:r>
      <w:r w:rsidR="0068053D" w:rsidRPr="00B31250">
        <w:t xml:space="preserve"> Введение посвящено проблематики оценки ценности бизнеса в современных условиях: обосновывается применени</w:t>
      </w:r>
      <w:r w:rsidR="00B31250" w:rsidRPr="00B31250">
        <w:t>е</w:t>
      </w:r>
      <w:r w:rsidR="0068053D" w:rsidRPr="00B31250">
        <w:t xml:space="preserve"> концепции </w:t>
      </w:r>
      <w:r w:rsidR="0068053D" w:rsidRPr="00B31250">
        <w:rPr>
          <w:lang w:val="en-US"/>
        </w:rPr>
        <w:t>Value</w:t>
      </w:r>
      <w:r w:rsidR="0068053D" w:rsidRPr="00B31250">
        <w:t>-</w:t>
      </w:r>
      <w:r w:rsidR="0068053D" w:rsidRPr="00B31250">
        <w:rPr>
          <w:lang w:val="en-US"/>
        </w:rPr>
        <w:t>Based</w:t>
      </w:r>
      <w:r w:rsidR="0068053D" w:rsidRPr="00B31250">
        <w:t xml:space="preserve"> </w:t>
      </w:r>
      <w:r w:rsidR="0068053D" w:rsidRPr="00B31250">
        <w:rPr>
          <w:lang w:val="en-US"/>
        </w:rPr>
        <w:t>Management</w:t>
      </w:r>
      <w:r w:rsidR="0068053D" w:rsidRPr="00B31250">
        <w:t>, что определяет актуальность работы.</w:t>
      </w:r>
      <w:r w:rsidRPr="00B31250">
        <w:t xml:space="preserve"> </w:t>
      </w:r>
      <w:r w:rsidR="00EA0DE1" w:rsidRPr="00B31250">
        <w:t xml:space="preserve">Во введении ставится цель и задачи проведения исследования. </w:t>
      </w:r>
    </w:p>
    <w:p w14:paraId="2C0F82EB" w14:textId="1AAEA274" w:rsidR="00715B46" w:rsidRPr="00B31250" w:rsidRDefault="00715B46" w:rsidP="00715B46">
      <w:r w:rsidRPr="00B31250">
        <w:t>В первой глав</w:t>
      </w:r>
      <w:r w:rsidR="0068053D" w:rsidRPr="00B31250">
        <w:t>е проводится</w:t>
      </w:r>
      <w:r w:rsidR="0068053D" w:rsidRPr="00B31250">
        <w:rPr>
          <w:rStyle w:val="aff2"/>
        </w:rPr>
        <w:t xml:space="preserve"> </w:t>
      </w:r>
      <w:r w:rsidR="0068053D" w:rsidRPr="00B31250">
        <w:t>те</w:t>
      </w:r>
      <w:r w:rsidR="00093F8B" w:rsidRPr="00B31250">
        <w:t xml:space="preserve">оретический анализ </w:t>
      </w:r>
      <w:r w:rsidR="0068053D" w:rsidRPr="00B31250">
        <w:t xml:space="preserve">существующих </w:t>
      </w:r>
      <w:r w:rsidR="00093F8B" w:rsidRPr="00B31250">
        <w:t>методов</w:t>
      </w:r>
      <w:r w:rsidR="0068053D" w:rsidRPr="00B31250">
        <w:t xml:space="preserve">, их </w:t>
      </w:r>
      <w:r w:rsidR="00093F8B" w:rsidRPr="00B31250">
        <w:t>недостатки и проблемные аспекты классических подходов</w:t>
      </w:r>
      <w:r w:rsidR="00D4736A" w:rsidRPr="00B31250">
        <w:t xml:space="preserve">, </w:t>
      </w:r>
      <w:r w:rsidR="0068053D" w:rsidRPr="00B31250">
        <w:t xml:space="preserve">которые </w:t>
      </w:r>
      <w:r w:rsidR="00D4736A" w:rsidRPr="00B31250">
        <w:t>вли</w:t>
      </w:r>
      <w:r w:rsidR="0068053D" w:rsidRPr="00B31250">
        <w:t xml:space="preserve">яют </w:t>
      </w:r>
      <w:r w:rsidR="00D4736A" w:rsidRPr="00B31250">
        <w:t>на компанию</w:t>
      </w:r>
      <w:r w:rsidR="00C37C40" w:rsidRPr="00B31250">
        <w:t xml:space="preserve"> и из-за чего, впоследствии, могут возникать</w:t>
      </w:r>
      <w:r w:rsidR="00D4736A" w:rsidRPr="00B31250">
        <w:t xml:space="preserve"> финансовые скандалы. </w:t>
      </w:r>
      <w:r w:rsidR="00C37C40" w:rsidRPr="00B31250">
        <w:t xml:space="preserve">Отдельно рассматриваются современные методы оценки ценности бизнеса и их применение. </w:t>
      </w:r>
    </w:p>
    <w:p w14:paraId="1AF59E05" w14:textId="50ECAF9F" w:rsidR="00093F8B" w:rsidRPr="00B31250" w:rsidRDefault="00093F8B" w:rsidP="00715B46">
      <w:r w:rsidRPr="00B31250">
        <w:t xml:space="preserve">Вторая глава посвящена </w:t>
      </w:r>
      <w:r w:rsidR="00B60740" w:rsidRPr="00B31250">
        <w:t>анализу методологий проведения</w:t>
      </w:r>
      <w:r w:rsidR="00C37C40" w:rsidRPr="00B31250">
        <w:rPr>
          <w:rStyle w:val="aff2"/>
        </w:rPr>
        <w:t xml:space="preserve"> </w:t>
      </w:r>
      <w:r w:rsidR="00C37C40" w:rsidRPr="00B31250">
        <w:t>оц</w:t>
      </w:r>
      <w:r w:rsidR="00B60740" w:rsidRPr="00B31250">
        <w:t>енки ценности компаний двумя способами</w:t>
      </w:r>
      <w:r w:rsidR="00EA0DE1" w:rsidRPr="00B31250">
        <w:t>: дисконтирование денежных потоков и достигнутой стоимости —</w:t>
      </w:r>
      <w:r w:rsidR="00B60740" w:rsidRPr="00B31250">
        <w:t xml:space="preserve"> их отличительные черты и сходства. </w:t>
      </w:r>
      <w:r w:rsidR="00C37C40" w:rsidRPr="00B31250">
        <w:t>В</w:t>
      </w:r>
      <w:r w:rsidR="00B60740" w:rsidRPr="00B31250">
        <w:t xml:space="preserve"> данной главе </w:t>
      </w:r>
      <w:r w:rsidR="00166A35" w:rsidRPr="00B31250">
        <w:t xml:space="preserve">отдельно </w:t>
      </w:r>
      <w:r w:rsidR="00B60740" w:rsidRPr="00B31250">
        <w:t>сравниваются модели ставки дисконтирования</w:t>
      </w:r>
      <w:r w:rsidR="0041383C" w:rsidRPr="00B31250">
        <w:t xml:space="preserve">, условия выбора конкретных способов расчета и применимость в различных ситуациях. </w:t>
      </w:r>
    </w:p>
    <w:p w14:paraId="1B2EEB57" w14:textId="3D28AC9F" w:rsidR="0041383C" w:rsidRPr="00EC115D" w:rsidRDefault="0041383C" w:rsidP="0005322D">
      <w:r w:rsidRPr="00B31250">
        <w:t xml:space="preserve">Третья глава направлена на </w:t>
      </w:r>
      <w:r w:rsidR="00D4736A" w:rsidRPr="00B31250">
        <w:t xml:space="preserve">практическое применение классического и </w:t>
      </w:r>
      <w:r w:rsidR="00C37C40" w:rsidRPr="00B31250">
        <w:t xml:space="preserve">современного </w:t>
      </w:r>
      <w:r w:rsidR="00D4736A" w:rsidRPr="00B31250">
        <w:t xml:space="preserve">методов оценки ценности </w:t>
      </w:r>
      <w:r w:rsidR="00C37C40" w:rsidRPr="00B31250">
        <w:t>бизнеса</w:t>
      </w:r>
      <w:r w:rsidR="00D4736A" w:rsidRPr="00B31250">
        <w:t>. Данная</w:t>
      </w:r>
      <w:r w:rsidR="00D4736A">
        <w:t xml:space="preserve"> глава основывается на</w:t>
      </w:r>
      <w:r w:rsidR="006E0D62">
        <w:t xml:space="preserve"> российских компаниях</w:t>
      </w:r>
      <w:r w:rsidR="00EC115D">
        <w:t>: пров</w:t>
      </w:r>
      <w:r w:rsidR="00C37C40">
        <w:t>о</w:t>
      </w:r>
      <w:r w:rsidR="00EC115D">
        <w:t>д</w:t>
      </w:r>
      <w:r w:rsidR="00C37C40">
        <w:t>ится</w:t>
      </w:r>
      <w:r w:rsidR="00EC115D">
        <w:t xml:space="preserve"> </w:t>
      </w:r>
      <w:r>
        <w:t>анализ финансово-хозяйственно</w:t>
      </w:r>
      <w:r w:rsidR="00EC115D">
        <w:t>го</w:t>
      </w:r>
      <w:r>
        <w:t xml:space="preserve"> состояния, особенност</w:t>
      </w:r>
      <w:r w:rsidR="00EC115D">
        <w:t>ей</w:t>
      </w:r>
      <w:r>
        <w:t xml:space="preserve"> ведения бизнеса и других характеристик компании</w:t>
      </w:r>
      <w:r w:rsidR="00BF1B05">
        <w:t>, на основе чего вычисля</w:t>
      </w:r>
      <w:r w:rsidR="00C17C66">
        <w:t>ю</w:t>
      </w:r>
      <w:r w:rsidR="00BF1B05">
        <w:t xml:space="preserve">тся </w:t>
      </w:r>
      <w:r w:rsidR="00EC115D">
        <w:t>ценности компани</w:t>
      </w:r>
      <w:r w:rsidR="006E0D62">
        <w:t>й двумя методами</w:t>
      </w:r>
      <w:r>
        <w:t xml:space="preserve">. </w:t>
      </w:r>
      <w:r w:rsidR="0005322D">
        <w:t xml:space="preserve">В заключении </w:t>
      </w:r>
      <w:r>
        <w:t>сравниваются методы оценки ценности бизнеса</w:t>
      </w:r>
      <w:r w:rsidR="0005322D">
        <w:t xml:space="preserve">, </w:t>
      </w:r>
      <w:r w:rsidR="00EC115D">
        <w:t>их применимость</w:t>
      </w:r>
      <w:r w:rsidR="0005322D">
        <w:t xml:space="preserve"> на основе проведенных </w:t>
      </w:r>
      <w:r w:rsidR="00BF1B05">
        <w:t xml:space="preserve">расчетов </w:t>
      </w:r>
      <w:r w:rsidR="0005322D">
        <w:t>компани</w:t>
      </w:r>
      <w:r w:rsidR="006E0D62">
        <w:t>й</w:t>
      </w:r>
      <w:r w:rsidR="0005322D" w:rsidRPr="0005322D">
        <w:t>.</w:t>
      </w:r>
      <w:r w:rsidR="002F6700">
        <w:t xml:space="preserve"> </w:t>
      </w:r>
    </w:p>
    <w:p w14:paraId="5F03983C" w14:textId="2216D934" w:rsidR="00715B46" w:rsidRPr="00715B46" w:rsidRDefault="00715B46" w:rsidP="0041383C">
      <w:r>
        <w:t xml:space="preserve">Для проведения исследования использованы следующие форматы информационных источников: современные учебные пособия, научные статьи на рассмотренную тематику зарубежных и российских авторов, информационные базы данных </w:t>
      </w:r>
      <w:proofErr w:type="spellStart"/>
      <w:r>
        <w:t>Спарк</w:t>
      </w:r>
      <w:proofErr w:type="spellEnd"/>
      <w:r w:rsidR="00BF1B05">
        <w:t xml:space="preserve">, </w:t>
      </w:r>
      <w:r>
        <w:rPr>
          <w:lang w:val="en-US"/>
        </w:rPr>
        <w:t>Thomson</w:t>
      </w:r>
      <w:r w:rsidRPr="00715B46">
        <w:t xml:space="preserve"> </w:t>
      </w:r>
      <w:r>
        <w:rPr>
          <w:lang w:val="en-US"/>
        </w:rPr>
        <w:t>Reuters</w:t>
      </w:r>
      <w:r w:rsidR="00BF1B05">
        <w:t xml:space="preserve">, </w:t>
      </w:r>
      <w:r w:rsidR="00BF1B05">
        <w:rPr>
          <w:lang w:val="en-US"/>
        </w:rPr>
        <w:t>MarketLine</w:t>
      </w:r>
      <w:r w:rsidR="00BF1B05" w:rsidRPr="00BF1B05">
        <w:t xml:space="preserve"> </w:t>
      </w:r>
      <w:r w:rsidR="00BF1B05">
        <w:t>и</w:t>
      </w:r>
      <w:r>
        <w:t xml:space="preserve"> новостные публикации в деловых источниках СМИ. Также для проведения практического исследования были использованы бухгалтерские отчетности компани</w:t>
      </w:r>
      <w:r w:rsidR="00C17C66">
        <w:t xml:space="preserve">й НКХП, Новатэк, Алроса, Акрон и </w:t>
      </w:r>
      <w:r w:rsidR="00C17C66">
        <w:rPr>
          <w:lang w:val="en-US"/>
        </w:rPr>
        <w:t>HeadHunter</w:t>
      </w:r>
      <w:r w:rsidR="00C17C66" w:rsidRPr="00C17C66">
        <w:t>.</w:t>
      </w:r>
      <w:r w:rsidR="00C17C66">
        <w:t xml:space="preserve"> </w:t>
      </w:r>
      <w:r w:rsidR="0041383C">
        <w:br w:type="page"/>
      </w:r>
    </w:p>
    <w:p w14:paraId="421EEED3" w14:textId="0BF02528" w:rsidR="009754EC" w:rsidRDefault="00F500F4" w:rsidP="00F500F4">
      <w:pPr>
        <w:pStyle w:val="1"/>
        <w:rPr>
          <w:lang w:eastAsia="ru-RU"/>
        </w:rPr>
      </w:pPr>
      <w:bookmarkStart w:id="2" w:name="_Toc41822228"/>
      <w:r>
        <w:rPr>
          <w:lang w:eastAsia="ru-RU"/>
        </w:rPr>
        <w:lastRenderedPageBreak/>
        <w:t xml:space="preserve">Глава 1. </w:t>
      </w:r>
      <w:r w:rsidR="00025044">
        <w:rPr>
          <w:lang w:eastAsia="ru-RU"/>
        </w:rPr>
        <w:t>АНАЛИЗ ОСНОВНЫХ МЕТОДОВ ОЦЕНКИ ЦЕННОСТИ КОМПАНИ</w:t>
      </w:r>
      <w:r w:rsidR="00A33B65">
        <w:rPr>
          <w:lang w:eastAsia="ru-RU"/>
        </w:rPr>
        <w:t>И</w:t>
      </w:r>
      <w:bookmarkEnd w:id="2"/>
    </w:p>
    <w:p w14:paraId="6E776B55" w14:textId="783C1309" w:rsidR="004B3FCB" w:rsidRDefault="002F6700" w:rsidP="001D55BD">
      <w:pPr>
        <w:pStyle w:val="2"/>
        <w:rPr>
          <w:lang w:eastAsia="ru-RU"/>
        </w:rPr>
      </w:pPr>
      <w:bookmarkStart w:id="3" w:name="_Toc41822229"/>
      <w:r>
        <w:rPr>
          <w:lang w:eastAsia="ru-RU"/>
        </w:rPr>
        <w:t>1.1.</w:t>
      </w:r>
      <w:r w:rsidR="00F234A2">
        <w:rPr>
          <w:lang w:eastAsia="ru-RU"/>
        </w:rPr>
        <w:t xml:space="preserve"> </w:t>
      </w:r>
      <w:r w:rsidR="004B3FCB">
        <w:rPr>
          <w:lang w:eastAsia="ru-RU"/>
        </w:rPr>
        <w:t xml:space="preserve">Определение оценки ценности предприятий и </w:t>
      </w:r>
      <w:r w:rsidR="00FE465F">
        <w:rPr>
          <w:lang w:eastAsia="ru-RU"/>
        </w:rPr>
        <w:t xml:space="preserve">её </w:t>
      </w:r>
      <w:r w:rsidR="004B3FCB">
        <w:rPr>
          <w:lang w:eastAsia="ru-RU"/>
        </w:rPr>
        <w:t>целей</w:t>
      </w:r>
      <w:bookmarkEnd w:id="3"/>
      <w:r w:rsidR="004B3FCB">
        <w:rPr>
          <w:lang w:eastAsia="ru-RU"/>
        </w:rPr>
        <w:t xml:space="preserve"> </w:t>
      </w:r>
    </w:p>
    <w:p w14:paraId="4C94D90C" w14:textId="0E6B7B12" w:rsidR="00EC51E1" w:rsidRDefault="00DE2F9D" w:rsidP="00EC51E1">
      <w:pPr>
        <w:rPr>
          <w:lang w:eastAsia="ru-RU"/>
        </w:rPr>
      </w:pPr>
      <w:r>
        <w:rPr>
          <w:lang w:eastAsia="ru-RU"/>
        </w:rPr>
        <w:t xml:space="preserve">Оценка </w:t>
      </w:r>
      <w:r w:rsidR="003E5228">
        <w:rPr>
          <w:lang w:eastAsia="ru-RU"/>
        </w:rPr>
        <w:t>ценности предприятия — это упорядоченный процесс расчета величины стоимости объекта в денежном выражении на конкретную дату.</w:t>
      </w:r>
      <w:r>
        <w:rPr>
          <w:lang w:eastAsia="ru-RU"/>
        </w:rPr>
        <w:t xml:space="preserve"> </w:t>
      </w:r>
      <w:r w:rsidR="00C40A4E">
        <w:rPr>
          <w:lang w:eastAsia="ru-RU"/>
        </w:rPr>
        <w:t xml:space="preserve">На мировом рынке </w:t>
      </w:r>
      <w:r>
        <w:rPr>
          <w:lang w:eastAsia="ru-RU"/>
        </w:rPr>
        <w:t xml:space="preserve">вопрос оценки </w:t>
      </w:r>
      <w:r w:rsidR="00263470">
        <w:rPr>
          <w:lang w:eastAsia="ru-RU"/>
        </w:rPr>
        <w:t xml:space="preserve">стоимости </w:t>
      </w:r>
      <w:r>
        <w:rPr>
          <w:lang w:eastAsia="ru-RU"/>
        </w:rPr>
        <w:t xml:space="preserve">предприятия </w:t>
      </w:r>
      <w:r w:rsidR="00C40A4E">
        <w:rPr>
          <w:lang w:eastAsia="ru-RU"/>
        </w:rPr>
        <w:t xml:space="preserve">давно </w:t>
      </w:r>
      <w:r>
        <w:rPr>
          <w:lang w:eastAsia="ru-RU"/>
        </w:rPr>
        <w:t>обсужда</w:t>
      </w:r>
      <w:r w:rsidR="00C40A4E">
        <w:rPr>
          <w:lang w:eastAsia="ru-RU"/>
        </w:rPr>
        <w:t>ется</w:t>
      </w:r>
      <w:r w:rsidR="00263470">
        <w:rPr>
          <w:lang w:eastAsia="ru-RU"/>
        </w:rPr>
        <w:t xml:space="preserve"> </w:t>
      </w:r>
      <w:r>
        <w:rPr>
          <w:lang w:eastAsia="ru-RU"/>
        </w:rPr>
        <w:t>в компаниях —</w:t>
      </w:r>
      <w:r w:rsidR="00263470">
        <w:rPr>
          <w:lang w:eastAsia="ru-RU"/>
        </w:rPr>
        <w:t xml:space="preserve"> инвесторам, менеджерам и владельцам крайне важна информация о ценности</w:t>
      </w:r>
      <w:r w:rsidR="00C40A4E">
        <w:rPr>
          <w:lang w:eastAsia="ru-RU"/>
        </w:rPr>
        <w:t xml:space="preserve"> фирмы</w:t>
      </w:r>
      <w:r w:rsidR="00263470">
        <w:rPr>
          <w:lang w:eastAsia="ru-RU"/>
        </w:rPr>
        <w:t xml:space="preserve">. </w:t>
      </w:r>
    </w:p>
    <w:p w14:paraId="6CD4E175" w14:textId="2B213EEF" w:rsidR="00DD54B2" w:rsidRDefault="00263470" w:rsidP="00EC51E1">
      <w:pPr>
        <w:rPr>
          <w:lang w:eastAsia="ru-RU"/>
        </w:rPr>
      </w:pPr>
      <w:r>
        <w:rPr>
          <w:lang w:eastAsia="ru-RU"/>
        </w:rPr>
        <w:t xml:space="preserve">Под стоимостью фирмы определяется её справедливая рыночная цена — </w:t>
      </w:r>
      <w:r w:rsidRPr="00263470">
        <w:rPr>
          <w:lang w:eastAsia="ru-RU"/>
        </w:rPr>
        <w:t>наиболее вероятная цена, по которой данный объект оценки может быть отчужден на открытом рынке в условиях конкуренции</w:t>
      </w:r>
      <w:r w:rsidR="00BB5BE2">
        <w:rPr>
          <w:lang w:eastAsia="ru-RU"/>
        </w:rPr>
        <w:t>, когда стороны сделки действуют разумно, располагая всей необходимой информацией, а на величине цены сделки не отражаются какие - либо чрезвычайные обстоятельства</w:t>
      </w:r>
      <w:r w:rsidR="00DD54B2">
        <w:rPr>
          <w:lang w:eastAsia="ru-RU"/>
        </w:rPr>
        <w:t>. Установление ценности объекта возможно в отношении её рыночной, кадастровой, ликвидационной или инвестиционной стоимости.</w:t>
      </w:r>
      <w:r w:rsidR="00DD54B2">
        <w:rPr>
          <w:rStyle w:val="afe"/>
          <w:lang w:eastAsia="ru-RU"/>
        </w:rPr>
        <w:footnoteReference w:id="3"/>
      </w:r>
      <w:r w:rsidR="00DD54B2">
        <w:rPr>
          <w:lang w:eastAsia="ru-RU"/>
        </w:rPr>
        <w:t xml:space="preserve"> </w:t>
      </w:r>
    </w:p>
    <w:p w14:paraId="70557931" w14:textId="77777777" w:rsidR="004E0793" w:rsidRDefault="006C1FFB" w:rsidP="004E0793">
      <w:pPr>
        <w:rPr>
          <w:lang w:eastAsia="ru-RU"/>
        </w:rPr>
      </w:pPr>
      <w:r>
        <w:rPr>
          <w:lang w:eastAsia="ru-RU"/>
        </w:rPr>
        <w:t xml:space="preserve">В </w:t>
      </w:r>
      <w:r w:rsidR="00701A6E">
        <w:rPr>
          <w:lang w:eastAsia="ru-RU"/>
        </w:rPr>
        <w:t>р</w:t>
      </w:r>
      <w:r>
        <w:rPr>
          <w:lang w:eastAsia="ru-RU"/>
        </w:rPr>
        <w:t>осси</w:t>
      </w:r>
      <w:r w:rsidR="00701A6E">
        <w:rPr>
          <w:lang w:eastAsia="ru-RU"/>
        </w:rPr>
        <w:t xml:space="preserve">йских условиях </w:t>
      </w:r>
      <w:r w:rsidR="00D5383F">
        <w:rPr>
          <w:lang w:eastAsia="ru-RU"/>
        </w:rPr>
        <w:t xml:space="preserve">при </w:t>
      </w:r>
      <w:r w:rsidR="00701A6E">
        <w:rPr>
          <w:lang w:eastAsia="ru-RU"/>
        </w:rPr>
        <w:t xml:space="preserve">определение рыночной стоимости </w:t>
      </w:r>
      <w:r w:rsidR="00D5383F">
        <w:rPr>
          <w:lang w:eastAsia="ru-RU"/>
        </w:rPr>
        <w:t xml:space="preserve">возникают трудности </w:t>
      </w:r>
      <w:r>
        <w:rPr>
          <w:lang w:eastAsia="ru-RU"/>
        </w:rPr>
        <w:t>построения экономических, отраслевых прогнозов</w:t>
      </w:r>
      <w:r w:rsidR="00D5383F">
        <w:rPr>
          <w:lang w:eastAsia="ru-RU"/>
        </w:rPr>
        <w:t xml:space="preserve">, в силу </w:t>
      </w:r>
      <w:r>
        <w:rPr>
          <w:lang w:eastAsia="ru-RU"/>
        </w:rPr>
        <w:t>неразвитост</w:t>
      </w:r>
      <w:r w:rsidR="00D5383F">
        <w:rPr>
          <w:lang w:eastAsia="ru-RU"/>
        </w:rPr>
        <w:t xml:space="preserve">и </w:t>
      </w:r>
      <w:r>
        <w:rPr>
          <w:lang w:eastAsia="ru-RU"/>
        </w:rPr>
        <w:t>национального фондового рынка, что приводит к чрезмерной субъективности расчетов оценки.</w:t>
      </w:r>
      <w:r w:rsidR="00BB5BE2">
        <w:rPr>
          <w:rStyle w:val="afe"/>
          <w:lang w:eastAsia="ru-RU"/>
        </w:rPr>
        <w:footnoteReference w:id="4"/>
      </w:r>
      <w:r w:rsidR="00701A6E">
        <w:rPr>
          <w:lang w:eastAsia="ru-RU"/>
        </w:rPr>
        <w:t xml:space="preserve"> Фактор рыночной конъюнктуры </w:t>
      </w:r>
      <w:r w:rsidR="00D5383F">
        <w:rPr>
          <w:lang w:eastAsia="ru-RU"/>
        </w:rPr>
        <w:t xml:space="preserve">влияет </w:t>
      </w:r>
      <w:r w:rsidR="00701A6E">
        <w:rPr>
          <w:lang w:eastAsia="ru-RU"/>
        </w:rPr>
        <w:t>на корректность применения методов расчета ценности компаний</w:t>
      </w:r>
      <w:r w:rsidR="00D5383F">
        <w:rPr>
          <w:lang w:eastAsia="ru-RU"/>
        </w:rPr>
        <w:t xml:space="preserve">. </w:t>
      </w:r>
      <w:r w:rsidR="001C0F24">
        <w:rPr>
          <w:lang w:eastAsia="ru-RU"/>
        </w:rPr>
        <w:t xml:space="preserve">В силу нестабильности финансовой информации, постоянного обновления и добавления новых деталей изменяется величина стоимости предприятия. </w:t>
      </w:r>
    </w:p>
    <w:p w14:paraId="6998FF9E" w14:textId="0E55100D" w:rsidR="00D5383F" w:rsidRDefault="001C0F24" w:rsidP="004E0793">
      <w:pPr>
        <w:rPr>
          <w:lang w:eastAsia="ru-RU"/>
        </w:rPr>
      </w:pPr>
      <w:r>
        <w:rPr>
          <w:lang w:eastAsia="ru-RU"/>
        </w:rPr>
        <w:t xml:space="preserve">Оценка стоимости предприятия имеет свойство быстро устаревать — расчет ценности фирмы, сделанный сегодня, будет неактуальным и некорректным завтра, поэтому требуется постоянная переоценка стоимости. </w:t>
      </w:r>
      <w:r w:rsidR="00D5383F">
        <w:rPr>
          <w:lang w:eastAsia="ru-RU"/>
        </w:rPr>
        <w:t xml:space="preserve">Обновление результатов ценности требуется при </w:t>
      </w:r>
      <w:r w:rsidR="00BB5BE2">
        <w:rPr>
          <w:lang w:eastAsia="ru-RU"/>
        </w:rPr>
        <w:t>изменени</w:t>
      </w:r>
      <w:r w:rsidR="00D5383F">
        <w:rPr>
          <w:lang w:eastAsia="ru-RU"/>
        </w:rPr>
        <w:t xml:space="preserve">и </w:t>
      </w:r>
      <w:r w:rsidR="00BB5BE2">
        <w:rPr>
          <w:lang w:eastAsia="ru-RU"/>
        </w:rPr>
        <w:t>финансовой информации на рынке и</w:t>
      </w:r>
      <w:r w:rsidR="00D5383F">
        <w:rPr>
          <w:lang w:eastAsia="ru-RU"/>
        </w:rPr>
        <w:t>ли</w:t>
      </w:r>
      <w:r w:rsidR="00BB5BE2">
        <w:rPr>
          <w:lang w:eastAsia="ru-RU"/>
        </w:rPr>
        <w:t xml:space="preserve"> в компании</w:t>
      </w:r>
      <w:r w:rsidR="00D5383F">
        <w:rPr>
          <w:lang w:eastAsia="ru-RU"/>
        </w:rPr>
        <w:t xml:space="preserve">, что позволяет </w:t>
      </w:r>
      <w:r w:rsidR="00BB5BE2">
        <w:rPr>
          <w:lang w:eastAsia="ru-RU"/>
        </w:rPr>
        <w:t>менеджер</w:t>
      </w:r>
      <w:r w:rsidR="00D5383F">
        <w:rPr>
          <w:lang w:eastAsia="ru-RU"/>
        </w:rPr>
        <w:t>ам</w:t>
      </w:r>
      <w:r w:rsidR="00BB5BE2">
        <w:rPr>
          <w:lang w:eastAsia="ru-RU"/>
        </w:rPr>
        <w:t>, инвестор</w:t>
      </w:r>
      <w:r w:rsidR="00D5383F">
        <w:rPr>
          <w:lang w:eastAsia="ru-RU"/>
        </w:rPr>
        <w:t xml:space="preserve">ам </w:t>
      </w:r>
      <w:r w:rsidR="00BB5BE2">
        <w:rPr>
          <w:lang w:eastAsia="ru-RU"/>
        </w:rPr>
        <w:t>или владельц</w:t>
      </w:r>
      <w:r w:rsidR="00166A35">
        <w:rPr>
          <w:lang w:eastAsia="ru-RU"/>
        </w:rPr>
        <w:t>ам</w:t>
      </w:r>
      <w:r w:rsidR="00BB5BE2">
        <w:rPr>
          <w:lang w:eastAsia="ru-RU"/>
        </w:rPr>
        <w:t xml:space="preserve"> эффективно и грамотно принимать решения по управлению </w:t>
      </w:r>
      <w:r w:rsidR="00D5383F">
        <w:rPr>
          <w:lang w:eastAsia="ru-RU"/>
        </w:rPr>
        <w:t>бизнесом</w:t>
      </w:r>
      <w:r w:rsidR="00BB5BE2">
        <w:rPr>
          <w:lang w:eastAsia="ru-RU"/>
        </w:rPr>
        <w:t xml:space="preserve">. </w:t>
      </w:r>
    </w:p>
    <w:p w14:paraId="1C23EDD3" w14:textId="7570AFCB" w:rsidR="00BB5BE2" w:rsidRDefault="00166A35" w:rsidP="00D5383F">
      <w:pPr>
        <w:rPr>
          <w:lang w:eastAsia="ru-RU"/>
        </w:rPr>
      </w:pPr>
      <w:r>
        <w:rPr>
          <w:lang w:eastAsia="ru-RU"/>
        </w:rPr>
        <w:t>О</w:t>
      </w:r>
      <w:r w:rsidR="00BB5BE2">
        <w:rPr>
          <w:lang w:eastAsia="ru-RU"/>
        </w:rPr>
        <w:t xml:space="preserve">ценка бизнеса </w:t>
      </w:r>
      <w:r>
        <w:rPr>
          <w:lang w:eastAsia="ru-RU"/>
        </w:rPr>
        <w:t xml:space="preserve">является обязательной с законодательной точки зрения в некоторых случаях. </w:t>
      </w:r>
      <w:r w:rsidR="006D4A0E">
        <w:rPr>
          <w:lang w:eastAsia="ru-RU"/>
        </w:rPr>
        <w:t xml:space="preserve">К таким ситуациям относится осуществление оценки в случае вовлечения в сделку объектов, полностью или частично принадлежащим Российской </w:t>
      </w:r>
      <w:r w:rsidR="006D4A0E">
        <w:rPr>
          <w:lang w:eastAsia="ru-RU"/>
        </w:rPr>
        <w:lastRenderedPageBreak/>
        <w:t>Федерации или её субъектам. Цели оценки стоимости предприятий определялись в рамках приватизации, продажи или ином отчуждении объекта, его передачи в уставные капиталы или фонды юридических лиц.</w:t>
      </w:r>
      <w:r w:rsidR="006D4A0E">
        <w:rPr>
          <w:rStyle w:val="afe"/>
          <w:lang w:eastAsia="ru-RU"/>
        </w:rPr>
        <w:footnoteReference w:id="5"/>
      </w:r>
    </w:p>
    <w:p w14:paraId="2B4CDCB1" w14:textId="4A066815" w:rsidR="006D4A0E" w:rsidRDefault="00166A35" w:rsidP="00BB5BE2">
      <w:pPr>
        <w:rPr>
          <w:lang w:eastAsia="ru-RU"/>
        </w:rPr>
      </w:pPr>
      <w:r>
        <w:rPr>
          <w:lang w:eastAsia="ru-RU"/>
        </w:rPr>
        <w:t>В</w:t>
      </w:r>
      <w:r w:rsidR="006D4A0E">
        <w:rPr>
          <w:lang w:eastAsia="ru-RU"/>
        </w:rPr>
        <w:t xml:space="preserve"> современном мире </w:t>
      </w:r>
      <w:r w:rsidR="00591F82">
        <w:rPr>
          <w:lang w:eastAsia="ru-RU"/>
        </w:rPr>
        <w:t>оценка бизнеса проводится не только в качестве обязательного требования со стороны государства, но и как добровольное</w:t>
      </w:r>
      <w:r w:rsidR="00EC51E1">
        <w:rPr>
          <w:lang w:eastAsia="ru-RU"/>
        </w:rPr>
        <w:t xml:space="preserve"> желание компании</w:t>
      </w:r>
      <w:r w:rsidR="00591F82">
        <w:rPr>
          <w:lang w:eastAsia="ru-RU"/>
        </w:rPr>
        <w:t xml:space="preserve">. Менеджеры осознают необходимость </w:t>
      </w:r>
      <w:r w:rsidR="00624B08">
        <w:rPr>
          <w:lang w:eastAsia="ru-RU"/>
        </w:rPr>
        <w:t xml:space="preserve">проведения оценки ценности предприятия и понимания справедливой </w:t>
      </w:r>
      <w:r w:rsidR="004E0793">
        <w:rPr>
          <w:lang w:eastAsia="ru-RU"/>
        </w:rPr>
        <w:t xml:space="preserve">стоимости </w:t>
      </w:r>
      <w:r w:rsidR="00624B08">
        <w:rPr>
          <w:lang w:eastAsia="ru-RU"/>
        </w:rPr>
        <w:t xml:space="preserve">компании, вне зависимости от сферы деятельности, отрасли или других отличительных черт. </w:t>
      </w:r>
      <w:r w:rsidR="00EC51E1">
        <w:rPr>
          <w:lang w:eastAsia="ru-RU"/>
        </w:rPr>
        <w:t>Существуют три основных блока определения ценности компаний: оценка в корпоративных финансах, при слиянии и поглощении других фирм и при управлении портфелем.</w:t>
      </w:r>
      <w:r w:rsidR="00EC51E1">
        <w:rPr>
          <w:rStyle w:val="afe"/>
          <w:lang w:eastAsia="ru-RU"/>
        </w:rPr>
        <w:footnoteReference w:id="6"/>
      </w:r>
      <w:r w:rsidR="00EC51E1">
        <w:rPr>
          <w:lang w:eastAsia="ru-RU"/>
        </w:rPr>
        <w:t xml:space="preserve"> Однако м</w:t>
      </w:r>
      <w:r w:rsidR="00624B08">
        <w:rPr>
          <w:lang w:eastAsia="ru-RU"/>
        </w:rPr>
        <w:t xml:space="preserve">ожно выделить несколько </w:t>
      </w:r>
      <w:r w:rsidR="00EC51E1">
        <w:rPr>
          <w:lang w:eastAsia="ru-RU"/>
        </w:rPr>
        <w:t xml:space="preserve">конкретных </w:t>
      </w:r>
      <w:r w:rsidR="00624B08">
        <w:rPr>
          <w:lang w:eastAsia="ru-RU"/>
        </w:rPr>
        <w:t>целей для осуществления оценки бизнеса:</w:t>
      </w:r>
      <w:r w:rsidR="00624B08">
        <w:rPr>
          <w:rStyle w:val="afe"/>
          <w:lang w:eastAsia="ru-RU"/>
        </w:rPr>
        <w:footnoteReference w:id="7"/>
      </w:r>
    </w:p>
    <w:p w14:paraId="42E67D2D" w14:textId="72D3D4F1" w:rsidR="00624B08" w:rsidRDefault="00624B08" w:rsidP="0059110D">
      <w:pPr>
        <w:pStyle w:val="af8"/>
        <w:numPr>
          <w:ilvl w:val="0"/>
          <w:numId w:val="3"/>
        </w:numPr>
        <w:rPr>
          <w:lang w:eastAsia="ru-RU"/>
        </w:rPr>
      </w:pPr>
      <w:r>
        <w:rPr>
          <w:lang w:eastAsia="ru-RU"/>
        </w:rPr>
        <w:t>Совершенствование методов управления организацией</w:t>
      </w:r>
      <w:r w:rsidR="004E0793">
        <w:rPr>
          <w:lang w:eastAsia="ru-RU"/>
        </w:rPr>
        <w:t>,</w:t>
      </w:r>
      <w:r>
        <w:rPr>
          <w:lang w:eastAsia="ru-RU"/>
        </w:rPr>
        <w:t xml:space="preserve"> </w:t>
      </w:r>
    </w:p>
    <w:p w14:paraId="58DB1523" w14:textId="439D24FA" w:rsidR="00624B08" w:rsidRDefault="00624B08" w:rsidP="0059110D">
      <w:pPr>
        <w:pStyle w:val="af8"/>
        <w:numPr>
          <w:ilvl w:val="0"/>
          <w:numId w:val="3"/>
        </w:numPr>
        <w:rPr>
          <w:lang w:eastAsia="ru-RU"/>
        </w:rPr>
      </w:pPr>
      <w:r>
        <w:rPr>
          <w:lang w:eastAsia="ru-RU"/>
        </w:rPr>
        <w:t>Разработка корректных и актуальных бизнес-планов</w:t>
      </w:r>
      <w:r w:rsidR="004E0793">
        <w:rPr>
          <w:lang w:eastAsia="ru-RU"/>
        </w:rPr>
        <w:t>,</w:t>
      </w:r>
    </w:p>
    <w:p w14:paraId="12474CBA" w14:textId="7EA0555F" w:rsidR="00624B08" w:rsidRDefault="00624B08" w:rsidP="0059110D">
      <w:pPr>
        <w:pStyle w:val="af8"/>
        <w:numPr>
          <w:ilvl w:val="0"/>
          <w:numId w:val="3"/>
        </w:numPr>
        <w:rPr>
          <w:lang w:eastAsia="ru-RU"/>
        </w:rPr>
      </w:pPr>
      <w:r>
        <w:rPr>
          <w:lang w:eastAsia="ru-RU"/>
        </w:rPr>
        <w:t>Обоснован</w:t>
      </w:r>
      <w:r w:rsidR="00EC51E1">
        <w:rPr>
          <w:lang w:eastAsia="ru-RU"/>
        </w:rPr>
        <w:t>ие</w:t>
      </w:r>
      <w:r>
        <w:rPr>
          <w:lang w:eastAsia="ru-RU"/>
        </w:rPr>
        <w:t xml:space="preserve"> инвестиционн</w:t>
      </w:r>
      <w:r w:rsidR="00EC51E1">
        <w:rPr>
          <w:lang w:eastAsia="ru-RU"/>
        </w:rPr>
        <w:t>ой</w:t>
      </w:r>
      <w:r>
        <w:rPr>
          <w:lang w:eastAsia="ru-RU"/>
        </w:rPr>
        <w:t xml:space="preserve"> политик</w:t>
      </w:r>
      <w:r w:rsidR="00EC51E1">
        <w:rPr>
          <w:lang w:eastAsia="ru-RU"/>
        </w:rPr>
        <w:t>и</w:t>
      </w:r>
      <w:r w:rsidR="004E0793">
        <w:rPr>
          <w:lang w:eastAsia="ru-RU"/>
        </w:rPr>
        <w:t>,</w:t>
      </w:r>
    </w:p>
    <w:p w14:paraId="49E376D7" w14:textId="67F81372" w:rsidR="00624B08" w:rsidRDefault="00624B08" w:rsidP="0059110D">
      <w:pPr>
        <w:pStyle w:val="af8"/>
        <w:numPr>
          <w:ilvl w:val="0"/>
          <w:numId w:val="3"/>
        </w:numPr>
        <w:rPr>
          <w:lang w:eastAsia="ru-RU"/>
        </w:rPr>
      </w:pPr>
      <w:r>
        <w:rPr>
          <w:lang w:eastAsia="ru-RU"/>
        </w:rPr>
        <w:t>Проведение сделок купли-продажи на выгодных условиях</w:t>
      </w:r>
      <w:r w:rsidR="004E0793">
        <w:rPr>
          <w:lang w:eastAsia="ru-RU"/>
        </w:rPr>
        <w:t>,</w:t>
      </w:r>
      <w:r>
        <w:rPr>
          <w:lang w:eastAsia="ru-RU"/>
        </w:rPr>
        <w:t xml:space="preserve"> </w:t>
      </w:r>
    </w:p>
    <w:p w14:paraId="5CC6B8F1" w14:textId="61F74FC4" w:rsidR="00624B08" w:rsidRDefault="00624B08" w:rsidP="0059110D">
      <w:pPr>
        <w:pStyle w:val="af8"/>
        <w:numPr>
          <w:ilvl w:val="0"/>
          <w:numId w:val="3"/>
        </w:numPr>
        <w:rPr>
          <w:lang w:eastAsia="ru-RU"/>
        </w:rPr>
      </w:pPr>
      <w:r>
        <w:rPr>
          <w:lang w:eastAsia="ru-RU"/>
        </w:rPr>
        <w:t>Оценка кредитоспособности компании</w:t>
      </w:r>
      <w:r w:rsidR="004E0793">
        <w:rPr>
          <w:lang w:eastAsia="ru-RU"/>
        </w:rPr>
        <w:t>,</w:t>
      </w:r>
    </w:p>
    <w:p w14:paraId="2CB8DACA" w14:textId="4BCBBBFA" w:rsidR="00624B08" w:rsidRDefault="00A94601" w:rsidP="0059110D">
      <w:pPr>
        <w:pStyle w:val="af8"/>
        <w:numPr>
          <w:ilvl w:val="0"/>
          <w:numId w:val="3"/>
        </w:numPr>
        <w:rPr>
          <w:lang w:eastAsia="ru-RU"/>
        </w:rPr>
      </w:pPr>
      <w:r>
        <w:rPr>
          <w:lang w:eastAsia="ru-RU"/>
        </w:rPr>
        <w:t>П</w:t>
      </w:r>
      <w:r w:rsidR="00624B08">
        <w:rPr>
          <w:lang w:eastAsia="ru-RU"/>
        </w:rPr>
        <w:t>ринятия управленческих решений</w:t>
      </w:r>
      <w:r w:rsidR="004E0793">
        <w:rPr>
          <w:lang w:eastAsia="ru-RU"/>
        </w:rPr>
        <w:t>.</w:t>
      </w:r>
    </w:p>
    <w:p w14:paraId="45929A25" w14:textId="67BC0C42" w:rsidR="006B01D7" w:rsidRDefault="00A94601" w:rsidP="00A94601">
      <w:pPr>
        <w:rPr>
          <w:lang w:eastAsia="ru-RU"/>
        </w:rPr>
      </w:pPr>
      <w:r>
        <w:rPr>
          <w:lang w:eastAsia="ru-RU"/>
        </w:rPr>
        <w:t>Оценка стоимости компании помогает решать большое количество задач и часто используется менеджерами для достижения целей</w:t>
      </w:r>
      <w:r w:rsidR="00B211B3">
        <w:rPr>
          <w:lang w:eastAsia="ru-RU"/>
        </w:rPr>
        <w:t xml:space="preserve"> организации</w:t>
      </w:r>
      <w:r w:rsidR="00166A35">
        <w:rPr>
          <w:lang w:eastAsia="ru-RU"/>
        </w:rPr>
        <w:t xml:space="preserve"> и применения концепции </w:t>
      </w:r>
      <w:r w:rsidR="00166A35">
        <w:rPr>
          <w:lang w:val="en-US" w:eastAsia="ru-RU"/>
        </w:rPr>
        <w:t>Value</w:t>
      </w:r>
      <w:r w:rsidR="00166A35" w:rsidRPr="00166A35">
        <w:rPr>
          <w:lang w:eastAsia="ru-RU"/>
        </w:rPr>
        <w:t>-</w:t>
      </w:r>
      <w:r w:rsidR="00166A35">
        <w:rPr>
          <w:lang w:val="en-US" w:eastAsia="ru-RU"/>
        </w:rPr>
        <w:t>based</w:t>
      </w:r>
      <w:r w:rsidR="00166A35" w:rsidRPr="00166A35">
        <w:rPr>
          <w:lang w:eastAsia="ru-RU"/>
        </w:rPr>
        <w:t xml:space="preserve"> </w:t>
      </w:r>
      <w:r w:rsidR="00166A35">
        <w:rPr>
          <w:lang w:val="en-US" w:eastAsia="ru-RU"/>
        </w:rPr>
        <w:t>Management</w:t>
      </w:r>
      <w:r w:rsidR="00166A35" w:rsidRPr="00166A35">
        <w:rPr>
          <w:lang w:eastAsia="ru-RU"/>
        </w:rPr>
        <w:t>.</w:t>
      </w:r>
      <w:r w:rsidR="004E0793">
        <w:rPr>
          <w:lang w:eastAsia="ru-RU"/>
        </w:rPr>
        <w:t xml:space="preserve"> </w:t>
      </w:r>
      <w:r w:rsidR="00EC51E1">
        <w:rPr>
          <w:lang w:eastAsia="ru-RU"/>
        </w:rPr>
        <w:t>Однако д</w:t>
      </w:r>
      <w:r w:rsidR="00B211B3">
        <w:rPr>
          <w:lang w:eastAsia="ru-RU"/>
        </w:rPr>
        <w:t>ля определения качественной и достоверной ценности предприятия необходима предварительная постановка цел</w:t>
      </w:r>
      <w:r w:rsidR="00701A6E">
        <w:rPr>
          <w:lang w:eastAsia="ru-RU"/>
        </w:rPr>
        <w:t>и</w:t>
      </w:r>
      <w:r w:rsidR="00EC51E1">
        <w:rPr>
          <w:lang w:eastAsia="ru-RU"/>
        </w:rPr>
        <w:t xml:space="preserve"> самой</w:t>
      </w:r>
      <w:r w:rsidR="00B211B3">
        <w:rPr>
          <w:lang w:eastAsia="ru-RU"/>
        </w:rPr>
        <w:t xml:space="preserve"> оценки</w:t>
      </w:r>
      <w:r w:rsidR="006B01D7">
        <w:rPr>
          <w:lang w:eastAsia="ru-RU"/>
        </w:rPr>
        <w:t>, так как</w:t>
      </w:r>
      <w:r w:rsidR="00EC51E1">
        <w:rPr>
          <w:lang w:eastAsia="ru-RU"/>
        </w:rPr>
        <w:t xml:space="preserve">, к примеру, </w:t>
      </w:r>
      <w:r w:rsidR="006B01D7">
        <w:rPr>
          <w:lang w:eastAsia="ru-RU"/>
        </w:rPr>
        <w:t>результат для ликвидационной компании, будет отличаться от действующей. В силу таких различий определение це</w:t>
      </w:r>
      <w:r w:rsidR="00EC51E1">
        <w:rPr>
          <w:lang w:eastAsia="ru-RU"/>
        </w:rPr>
        <w:t xml:space="preserve">лей </w:t>
      </w:r>
      <w:r w:rsidR="006B01D7">
        <w:rPr>
          <w:lang w:eastAsia="ru-RU"/>
        </w:rPr>
        <w:t xml:space="preserve">является </w:t>
      </w:r>
      <w:r w:rsidR="00701A6E">
        <w:rPr>
          <w:lang w:eastAsia="ru-RU"/>
        </w:rPr>
        <w:t xml:space="preserve">необходимым </w:t>
      </w:r>
      <w:r w:rsidR="00060214">
        <w:rPr>
          <w:lang w:eastAsia="ru-RU"/>
        </w:rPr>
        <w:t>перв</w:t>
      </w:r>
      <w:r w:rsidR="00701A6E">
        <w:rPr>
          <w:lang w:eastAsia="ru-RU"/>
        </w:rPr>
        <w:t>оначальным</w:t>
      </w:r>
      <w:r w:rsidR="00060214">
        <w:rPr>
          <w:lang w:eastAsia="ru-RU"/>
        </w:rPr>
        <w:t xml:space="preserve"> </w:t>
      </w:r>
      <w:r w:rsidR="006B01D7">
        <w:rPr>
          <w:lang w:eastAsia="ru-RU"/>
        </w:rPr>
        <w:t xml:space="preserve">этапом в проведении оценки ценности. </w:t>
      </w:r>
    </w:p>
    <w:p w14:paraId="1AFA0E5F" w14:textId="4AFCDC88" w:rsidR="00A94601" w:rsidRPr="00505FDA" w:rsidRDefault="00060214" w:rsidP="00A94601">
      <w:pPr>
        <w:rPr>
          <w:lang w:eastAsia="ru-RU"/>
        </w:rPr>
      </w:pPr>
      <w:r>
        <w:rPr>
          <w:lang w:eastAsia="ru-RU"/>
        </w:rPr>
        <w:t>Вторым этапом для корректной оценки бизнеса является выбор вида ценности, то есть определение основы для денежных потоков — по какому принципу буд</w:t>
      </w:r>
      <w:r w:rsidR="00EC51E1">
        <w:rPr>
          <w:lang w:eastAsia="ru-RU"/>
        </w:rPr>
        <w:t>е</w:t>
      </w:r>
      <w:r>
        <w:rPr>
          <w:lang w:eastAsia="ru-RU"/>
        </w:rPr>
        <w:t xml:space="preserve">т рассчитываться свободный денежный поток. Далее определяется подход </w:t>
      </w:r>
      <w:r w:rsidR="00347491">
        <w:rPr>
          <w:lang w:eastAsia="ru-RU"/>
        </w:rPr>
        <w:t>и метод</w:t>
      </w:r>
      <w:r>
        <w:rPr>
          <w:lang w:eastAsia="ru-RU"/>
        </w:rPr>
        <w:t xml:space="preserve"> оценк</w:t>
      </w:r>
      <w:r w:rsidR="00347491">
        <w:rPr>
          <w:lang w:eastAsia="ru-RU"/>
        </w:rPr>
        <w:t>и</w:t>
      </w:r>
      <w:r>
        <w:rPr>
          <w:lang w:eastAsia="ru-RU"/>
        </w:rPr>
        <w:t xml:space="preserve">, которые определяются целями и причинами проведения оценки.  </w:t>
      </w:r>
    </w:p>
    <w:p w14:paraId="6D5668F3" w14:textId="6B465D83" w:rsidR="001D55BD" w:rsidRPr="001D55BD" w:rsidRDefault="002F6700" w:rsidP="001D55BD">
      <w:pPr>
        <w:pStyle w:val="2"/>
        <w:rPr>
          <w:lang w:eastAsia="ru-RU"/>
        </w:rPr>
      </w:pPr>
      <w:bookmarkStart w:id="6" w:name="_Toc41822230"/>
      <w:r>
        <w:rPr>
          <w:lang w:eastAsia="ru-RU"/>
        </w:rPr>
        <w:lastRenderedPageBreak/>
        <w:t xml:space="preserve">1.2. </w:t>
      </w:r>
      <w:r w:rsidR="00BF1B05">
        <w:rPr>
          <w:lang w:eastAsia="ru-RU"/>
        </w:rPr>
        <w:t>Анализ к</w:t>
      </w:r>
      <w:r w:rsidR="00196172">
        <w:rPr>
          <w:lang w:eastAsia="ru-RU"/>
        </w:rPr>
        <w:t>лассически</w:t>
      </w:r>
      <w:r w:rsidR="00BF1B05">
        <w:rPr>
          <w:lang w:eastAsia="ru-RU"/>
        </w:rPr>
        <w:t xml:space="preserve">х </w:t>
      </w:r>
      <w:r w:rsidR="007D47ED">
        <w:rPr>
          <w:lang w:eastAsia="ru-RU"/>
        </w:rPr>
        <w:t xml:space="preserve">подходов </w:t>
      </w:r>
      <w:r w:rsidR="004B3FCB">
        <w:rPr>
          <w:lang w:eastAsia="ru-RU"/>
        </w:rPr>
        <w:t>оценк</w:t>
      </w:r>
      <w:r w:rsidR="00BF1B05">
        <w:rPr>
          <w:lang w:eastAsia="ru-RU"/>
        </w:rPr>
        <w:t xml:space="preserve">и </w:t>
      </w:r>
      <w:r w:rsidR="004B3FCB">
        <w:rPr>
          <w:lang w:eastAsia="ru-RU"/>
        </w:rPr>
        <w:t>ценности</w:t>
      </w:r>
      <w:r w:rsidR="001D55BD" w:rsidRPr="001D55BD">
        <w:rPr>
          <w:lang w:eastAsia="ru-RU"/>
        </w:rPr>
        <w:t xml:space="preserve"> </w:t>
      </w:r>
      <w:r w:rsidR="005E4170">
        <w:rPr>
          <w:lang w:eastAsia="ru-RU"/>
        </w:rPr>
        <w:t>компани</w:t>
      </w:r>
      <w:r w:rsidR="00A33B65">
        <w:rPr>
          <w:lang w:eastAsia="ru-RU"/>
        </w:rPr>
        <w:t>и</w:t>
      </w:r>
      <w:r w:rsidR="005E4170">
        <w:rPr>
          <w:lang w:eastAsia="ru-RU"/>
        </w:rPr>
        <w:t xml:space="preserve"> </w:t>
      </w:r>
      <w:r w:rsidR="00D40B4A">
        <w:rPr>
          <w:lang w:eastAsia="ru-RU"/>
        </w:rPr>
        <w:t>и их преимущества</w:t>
      </w:r>
      <w:bookmarkEnd w:id="6"/>
    </w:p>
    <w:p w14:paraId="056908C2" w14:textId="7B83E805" w:rsidR="00196172" w:rsidRDefault="00D85ADF" w:rsidP="00196172">
      <w:pPr>
        <w:rPr>
          <w:lang w:eastAsia="ru-RU"/>
        </w:rPr>
      </w:pPr>
      <w:r>
        <w:rPr>
          <w:lang w:eastAsia="ru-RU"/>
        </w:rPr>
        <w:t>Оценка стоимости компаний — это анализ не только финансовых отчетностей</w:t>
      </w:r>
      <w:r w:rsidRPr="00F9791F">
        <w:rPr>
          <w:lang w:eastAsia="ru-RU"/>
        </w:rPr>
        <w:t xml:space="preserve"> </w:t>
      </w:r>
      <w:r>
        <w:rPr>
          <w:lang w:eastAsia="ru-RU"/>
        </w:rPr>
        <w:t>и показателей, но и всех компонентов бизнеса.</w:t>
      </w:r>
      <w:r>
        <w:rPr>
          <w:rStyle w:val="afe"/>
          <w:lang w:eastAsia="ru-RU"/>
        </w:rPr>
        <w:footnoteReference w:id="8"/>
      </w:r>
      <w:r>
        <w:rPr>
          <w:lang w:eastAsia="ru-RU"/>
        </w:rPr>
        <w:t xml:space="preserve"> </w:t>
      </w:r>
      <w:r w:rsidR="00D02D4B">
        <w:rPr>
          <w:lang w:eastAsia="ru-RU"/>
        </w:rPr>
        <w:t>С</w:t>
      </w:r>
      <w:r w:rsidR="002F16DA">
        <w:rPr>
          <w:lang w:eastAsia="ru-RU"/>
        </w:rPr>
        <w:t>уществует три основных</w:t>
      </w:r>
      <w:r w:rsidR="007D47ED">
        <w:rPr>
          <w:lang w:eastAsia="ru-RU"/>
        </w:rPr>
        <w:t xml:space="preserve"> классических </w:t>
      </w:r>
      <w:r w:rsidR="002F16DA">
        <w:rPr>
          <w:lang w:eastAsia="ru-RU"/>
        </w:rPr>
        <w:t>подхода к оценке ценности компаний: доходный, затратный и сравнительный.</w:t>
      </w:r>
      <w:r w:rsidR="00223029">
        <w:rPr>
          <w:lang w:eastAsia="ru-RU"/>
        </w:rPr>
        <w:t xml:space="preserve"> </w:t>
      </w:r>
      <w:r w:rsidR="007D47ED">
        <w:rPr>
          <w:lang w:eastAsia="ru-RU"/>
        </w:rPr>
        <w:t>Методы оценки стоимости в доходном подходе основаны на определении ожидаемых денежных потоков компании в будущем. В затратном подходе методы определяют ценность компании по понесённым затратам для реализации бизнеса. В сравнительном подходе методы оценки заключаются в сопоставлении доступной информации о стоимости аналоговых предприятий с оцениваемой компанией.</w:t>
      </w:r>
    </w:p>
    <w:p w14:paraId="61EF239A" w14:textId="77777777" w:rsidR="007D47ED" w:rsidRDefault="007D47ED" w:rsidP="007D47ED">
      <w:pPr>
        <w:pStyle w:val="a0"/>
        <w:rPr>
          <w:lang w:eastAsia="ru-RU"/>
        </w:rPr>
      </w:pPr>
      <w:r>
        <w:rPr>
          <w:lang w:eastAsia="ru-RU"/>
        </w:rPr>
        <w:t>Методы расчета стоимости</w:t>
      </w:r>
    </w:p>
    <w:tbl>
      <w:tblPr>
        <w:tblStyle w:val="af1"/>
        <w:tblW w:w="0" w:type="auto"/>
        <w:tblInd w:w="108" w:type="dxa"/>
        <w:tblLook w:val="04A0" w:firstRow="1" w:lastRow="0" w:firstColumn="1" w:lastColumn="0" w:noHBand="0" w:noVBand="1"/>
      </w:tblPr>
      <w:tblGrid>
        <w:gridCol w:w="3289"/>
        <w:gridCol w:w="2833"/>
        <w:gridCol w:w="3238"/>
      </w:tblGrid>
      <w:tr w:rsidR="007D47ED" w14:paraId="18DB7E04" w14:textId="77777777" w:rsidTr="00C544EF">
        <w:tc>
          <w:tcPr>
            <w:tcW w:w="3289" w:type="dxa"/>
          </w:tcPr>
          <w:p w14:paraId="2E35B771" w14:textId="77777777" w:rsidR="007D47ED" w:rsidRDefault="007D47ED" w:rsidP="007D47ED">
            <w:pPr>
              <w:pStyle w:val="a5"/>
              <w:rPr>
                <w:lang w:eastAsia="ru-RU"/>
              </w:rPr>
            </w:pPr>
            <w:r>
              <w:rPr>
                <w:lang w:eastAsia="ru-RU"/>
              </w:rPr>
              <w:t>Доходный подход</w:t>
            </w:r>
          </w:p>
        </w:tc>
        <w:tc>
          <w:tcPr>
            <w:tcW w:w="2833" w:type="dxa"/>
          </w:tcPr>
          <w:p w14:paraId="5DCB447D" w14:textId="77777777" w:rsidR="007D47ED" w:rsidRDefault="007D47ED" w:rsidP="007D47ED">
            <w:pPr>
              <w:pStyle w:val="a5"/>
              <w:rPr>
                <w:lang w:eastAsia="ru-RU"/>
              </w:rPr>
            </w:pPr>
            <w:r>
              <w:rPr>
                <w:lang w:eastAsia="ru-RU"/>
              </w:rPr>
              <w:t>Затратный подход</w:t>
            </w:r>
          </w:p>
        </w:tc>
        <w:tc>
          <w:tcPr>
            <w:tcW w:w="3238" w:type="dxa"/>
          </w:tcPr>
          <w:p w14:paraId="5A0F5277" w14:textId="77777777" w:rsidR="007D47ED" w:rsidRDefault="007D47ED" w:rsidP="007D47ED">
            <w:pPr>
              <w:pStyle w:val="a5"/>
              <w:rPr>
                <w:lang w:eastAsia="ru-RU"/>
              </w:rPr>
            </w:pPr>
            <w:r>
              <w:rPr>
                <w:lang w:eastAsia="ru-RU"/>
              </w:rPr>
              <w:t>Сравнительный подход</w:t>
            </w:r>
          </w:p>
        </w:tc>
      </w:tr>
      <w:tr w:rsidR="007D47ED" w14:paraId="58B00623" w14:textId="77777777" w:rsidTr="00C544EF">
        <w:tc>
          <w:tcPr>
            <w:tcW w:w="3289" w:type="dxa"/>
          </w:tcPr>
          <w:p w14:paraId="377E30AD" w14:textId="77777777" w:rsidR="007D47ED" w:rsidRDefault="007D47ED" w:rsidP="007D47ED">
            <w:pPr>
              <w:pStyle w:val="af8"/>
              <w:numPr>
                <w:ilvl w:val="0"/>
                <w:numId w:val="20"/>
              </w:numPr>
              <w:ind w:left="318"/>
              <w:jc w:val="left"/>
              <w:rPr>
                <w:lang w:eastAsia="ru-RU"/>
              </w:rPr>
            </w:pPr>
            <w:r>
              <w:rPr>
                <w:lang w:eastAsia="ru-RU"/>
              </w:rPr>
              <w:t>Метод капитализации доходов</w:t>
            </w:r>
          </w:p>
          <w:p w14:paraId="64AA8128" w14:textId="77777777" w:rsidR="007D47ED" w:rsidRDefault="007D47ED" w:rsidP="007D47ED">
            <w:pPr>
              <w:pStyle w:val="af8"/>
              <w:numPr>
                <w:ilvl w:val="0"/>
                <w:numId w:val="20"/>
              </w:numPr>
              <w:ind w:left="318"/>
              <w:jc w:val="left"/>
              <w:rPr>
                <w:lang w:eastAsia="ru-RU"/>
              </w:rPr>
            </w:pPr>
            <w:r>
              <w:rPr>
                <w:lang w:eastAsia="ru-RU"/>
              </w:rPr>
              <w:t>Метод дисконтирования денежных потоков</w:t>
            </w:r>
          </w:p>
          <w:p w14:paraId="57F332E9" w14:textId="6FDC40A1" w:rsidR="007D47ED" w:rsidRDefault="007D47ED" w:rsidP="007D47ED">
            <w:pPr>
              <w:pStyle w:val="af8"/>
              <w:numPr>
                <w:ilvl w:val="0"/>
                <w:numId w:val="20"/>
              </w:numPr>
              <w:ind w:left="318"/>
              <w:jc w:val="left"/>
              <w:rPr>
                <w:lang w:eastAsia="ru-RU"/>
              </w:rPr>
            </w:pPr>
            <w:r>
              <w:rPr>
                <w:lang w:eastAsia="ru-RU"/>
              </w:rPr>
              <w:t>Метод расчета экономической</w:t>
            </w:r>
            <w:r w:rsidR="002D1903">
              <w:rPr>
                <w:lang w:eastAsia="ru-RU"/>
              </w:rPr>
              <w:t xml:space="preserve"> добавленной</w:t>
            </w:r>
            <w:r>
              <w:rPr>
                <w:lang w:eastAsia="ru-RU"/>
              </w:rPr>
              <w:t xml:space="preserve"> прибыли </w:t>
            </w:r>
          </w:p>
          <w:p w14:paraId="7F1E32C9" w14:textId="6A9DDA4D" w:rsidR="007D47ED" w:rsidRDefault="007D47ED" w:rsidP="007D47ED">
            <w:pPr>
              <w:pStyle w:val="af8"/>
              <w:numPr>
                <w:ilvl w:val="0"/>
                <w:numId w:val="20"/>
              </w:numPr>
              <w:ind w:left="318"/>
              <w:jc w:val="left"/>
              <w:rPr>
                <w:lang w:eastAsia="ru-RU"/>
              </w:rPr>
            </w:pPr>
            <w:r>
              <w:rPr>
                <w:lang w:eastAsia="ru-RU"/>
              </w:rPr>
              <w:t>Метод реальных опционов</w:t>
            </w:r>
          </w:p>
        </w:tc>
        <w:tc>
          <w:tcPr>
            <w:tcW w:w="2833" w:type="dxa"/>
          </w:tcPr>
          <w:p w14:paraId="448F5656" w14:textId="77777777" w:rsidR="007D47ED" w:rsidRDefault="007D47ED" w:rsidP="007D47ED">
            <w:pPr>
              <w:pStyle w:val="af8"/>
              <w:numPr>
                <w:ilvl w:val="0"/>
                <w:numId w:val="20"/>
              </w:numPr>
              <w:ind w:left="315"/>
              <w:jc w:val="left"/>
              <w:rPr>
                <w:lang w:eastAsia="ru-RU"/>
              </w:rPr>
            </w:pPr>
            <w:r>
              <w:rPr>
                <w:lang w:eastAsia="ru-RU"/>
              </w:rPr>
              <w:t>Метод стоимости чистых активов</w:t>
            </w:r>
          </w:p>
          <w:p w14:paraId="49EFEAE5" w14:textId="77777777" w:rsidR="007D47ED" w:rsidRDefault="007D47ED" w:rsidP="007D47ED">
            <w:pPr>
              <w:pStyle w:val="af8"/>
              <w:numPr>
                <w:ilvl w:val="0"/>
                <w:numId w:val="20"/>
              </w:numPr>
              <w:ind w:left="316"/>
              <w:jc w:val="left"/>
              <w:rPr>
                <w:lang w:eastAsia="ru-RU"/>
              </w:rPr>
            </w:pPr>
            <w:r>
              <w:rPr>
                <w:lang w:eastAsia="ru-RU"/>
              </w:rPr>
              <w:t>Метод ликвидационной стоимости</w:t>
            </w:r>
          </w:p>
        </w:tc>
        <w:tc>
          <w:tcPr>
            <w:tcW w:w="3238" w:type="dxa"/>
          </w:tcPr>
          <w:p w14:paraId="1413423D" w14:textId="77777777" w:rsidR="007D47ED" w:rsidRDefault="007D47ED" w:rsidP="007D47ED">
            <w:pPr>
              <w:pStyle w:val="af8"/>
              <w:numPr>
                <w:ilvl w:val="0"/>
                <w:numId w:val="20"/>
              </w:numPr>
              <w:ind w:left="316"/>
              <w:jc w:val="left"/>
              <w:rPr>
                <w:lang w:eastAsia="ru-RU"/>
              </w:rPr>
            </w:pPr>
            <w:r>
              <w:rPr>
                <w:lang w:eastAsia="ru-RU"/>
              </w:rPr>
              <w:t>Метод рынка капитала</w:t>
            </w:r>
          </w:p>
          <w:p w14:paraId="41E0D8FB" w14:textId="77777777" w:rsidR="007D47ED" w:rsidRDefault="007D47ED" w:rsidP="007D47ED">
            <w:pPr>
              <w:pStyle w:val="af8"/>
              <w:numPr>
                <w:ilvl w:val="0"/>
                <w:numId w:val="20"/>
              </w:numPr>
              <w:ind w:left="315"/>
              <w:jc w:val="left"/>
              <w:rPr>
                <w:lang w:eastAsia="ru-RU"/>
              </w:rPr>
            </w:pPr>
            <w:r>
              <w:rPr>
                <w:lang w:eastAsia="ru-RU"/>
              </w:rPr>
              <w:t>Метод сделок</w:t>
            </w:r>
          </w:p>
          <w:p w14:paraId="69F0DF36" w14:textId="77777777" w:rsidR="007D47ED" w:rsidRDefault="007D47ED" w:rsidP="007D47ED">
            <w:pPr>
              <w:pStyle w:val="af8"/>
              <w:numPr>
                <w:ilvl w:val="0"/>
                <w:numId w:val="20"/>
              </w:numPr>
              <w:ind w:left="315"/>
              <w:jc w:val="left"/>
              <w:rPr>
                <w:lang w:eastAsia="ru-RU"/>
              </w:rPr>
            </w:pPr>
            <w:r>
              <w:rPr>
                <w:lang w:eastAsia="ru-RU"/>
              </w:rPr>
              <w:t xml:space="preserve">Метод отраслевых коэффициентов </w:t>
            </w:r>
          </w:p>
        </w:tc>
      </w:tr>
    </w:tbl>
    <w:p w14:paraId="4AA06BA5" w14:textId="42B15046" w:rsidR="007D47ED" w:rsidRPr="008F1CFE" w:rsidRDefault="008F1CFE" w:rsidP="008F1CFE">
      <w:pPr>
        <w:spacing w:line="240" w:lineRule="auto"/>
        <w:ind w:firstLine="0"/>
        <w:rPr>
          <w:i/>
          <w:iCs/>
          <w:sz w:val="20"/>
          <w:szCs w:val="18"/>
          <w:lang w:val="en-US" w:eastAsia="ru-RU"/>
        </w:rPr>
      </w:pPr>
      <w:r>
        <w:rPr>
          <w:i/>
          <w:iCs/>
          <w:sz w:val="20"/>
          <w:szCs w:val="18"/>
          <w:lang w:eastAsia="ru-RU"/>
        </w:rPr>
        <w:t xml:space="preserve">Источник: </w:t>
      </w:r>
      <w:r>
        <w:rPr>
          <w:i/>
          <w:iCs/>
          <w:sz w:val="20"/>
          <w:szCs w:val="18"/>
          <w:lang w:val="en-US" w:eastAsia="ru-RU"/>
        </w:rPr>
        <w:t>[</w:t>
      </w:r>
      <w:r>
        <w:rPr>
          <w:i/>
          <w:iCs/>
          <w:sz w:val="20"/>
          <w:szCs w:val="18"/>
          <w:lang w:eastAsia="ru-RU"/>
        </w:rPr>
        <w:t>Составлено автором</w:t>
      </w:r>
      <w:r>
        <w:rPr>
          <w:i/>
          <w:iCs/>
          <w:sz w:val="20"/>
          <w:szCs w:val="18"/>
          <w:lang w:val="en-US" w:eastAsia="ru-RU"/>
        </w:rPr>
        <w:t>]</w:t>
      </w:r>
    </w:p>
    <w:p w14:paraId="614A1235" w14:textId="261C98B4" w:rsidR="000135DF" w:rsidRDefault="00C84307" w:rsidP="007D47ED">
      <w:pPr>
        <w:rPr>
          <w:lang w:eastAsia="ru-RU"/>
        </w:rPr>
      </w:pPr>
      <w:r>
        <w:rPr>
          <w:lang w:eastAsia="ru-RU"/>
        </w:rPr>
        <w:t>При доходном подходе оценка ценности основывается на реальной стоимости будущих прибылей, которая будет генерировать компания.</w:t>
      </w:r>
      <w:r w:rsidR="00196172" w:rsidRPr="00196172">
        <w:rPr>
          <w:lang w:eastAsia="ru-RU"/>
        </w:rPr>
        <w:t xml:space="preserve"> </w:t>
      </w:r>
      <w:r w:rsidR="00196172">
        <w:rPr>
          <w:lang w:eastAsia="ru-RU"/>
        </w:rPr>
        <w:t>Доходный подход оценивает возможную прибыль в будущем</w:t>
      </w:r>
      <w:r w:rsidR="002D1903">
        <w:rPr>
          <w:lang w:eastAsia="ru-RU"/>
        </w:rPr>
        <w:t xml:space="preserve">: </w:t>
      </w:r>
      <w:r w:rsidR="00196172">
        <w:rPr>
          <w:lang w:eastAsia="ru-RU"/>
        </w:rPr>
        <w:t>методом прямой капитализация</w:t>
      </w:r>
      <w:r w:rsidR="002D1903">
        <w:rPr>
          <w:lang w:eastAsia="ru-RU"/>
        </w:rPr>
        <w:t xml:space="preserve"> или</w:t>
      </w:r>
      <w:r w:rsidR="00196172">
        <w:rPr>
          <w:lang w:eastAsia="ru-RU"/>
        </w:rPr>
        <w:t xml:space="preserve"> используя ставку дисконтирования для денежных потоков</w:t>
      </w:r>
      <w:r w:rsidR="007D47ED">
        <w:rPr>
          <w:lang w:eastAsia="ru-RU"/>
        </w:rPr>
        <w:t xml:space="preserve">, </w:t>
      </w:r>
      <w:r w:rsidR="002D1903">
        <w:rPr>
          <w:lang w:eastAsia="ru-RU"/>
        </w:rPr>
        <w:t>через расчет экономической добавленной прибыли или методом реальных опционов.</w:t>
      </w:r>
      <w:r w:rsidR="00196172">
        <w:rPr>
          <w:rStyle w:val="afe"/>
          <w:lang w:eastAsia="ru-RU"/>
        </w:rPr>
        <w:footnoteReference w:id="9"/>
      </w:r>
      <w:r w:rsidR="006F416F">
        <w:rPr>
          <w:lang w:eastAsia="ru-RU"/>
        </w:rPr>
        <w:t xml:space="preserve"> Общая с</w:t>
      </w:r>
      <w:r w:rsidR="00196172">
        <w:rPr>
          <w:lang w:eastAsia="ru-RU"/>
        </w:rPr>
        <w:t xml:space="preserve">ущность данных методов основывается на прогнозировании доходов организации и приведение их к текущему моменту времени. </w:t>
      </w:r>
    </w:p>
    <w:p w14:paraId="4633FE77" w14:textId="41513075" w:rsidR="00196172" w:rsidRDefault="00EE6DC8" w:rsidP="007D47ED">
      <w:pPr>
        <w:rPr>
          <w:lang w:eastAsia="ru-RU"/>
        </w:rPr>
      </w:pPr>
      <w:r>
        <w:rPr>
          <w:lang w:eastAsia="ru-RU"/>
        </w:rPr>
        <w:t xml:space="preserve"> </w:t>
      </w:r>
      <w:r w:rsidR="006F416F">
        <w:rPr>
          <w:lang w:eastAsia="ru-RU"/>
        </w:rPr>
        <w:t>Главным преимуществом</w:t>
      </w:r>
      <w:r w:rsidR="000135DF">
        <w:rPr>
          <w:lang w:eastAsia="ru-RU"/>
        </w:rPr>
        <w:t xml:space="preserve"> доходн</w:t>
      </w:r>
      <w:r w:rsidR="006F416F">
        <w:rPr>
          <w:lang w:eastAsia="ru-RU"/>
        </w:rPr>
        <w:t xml:space="preserve">ого </w:t>
      </w:r>
      <w:r w:rsidR="000135DF">
        <w:rPr>
          <w:lang w:eastAsia="ru-RU"/>
        </w:rPr>
        <w:t>подход</w:t>
      </w:r>
      <w:r w:rsidR="006F416F">
        <w:rPr>
          <w:lang w:eastAsia="ru-RU"/>
        </w:rPr>
        <w:t xml:space="preserve">а </w:t>
      </w:r>
      <w:r w:rsidR="000135DF">
        <w:rPr>
          <w:lang w:eastAsia="ru-RU"/>
        </w:rPr>
        <w:t>является то, что оценка ценности основывается на финансовых показателях компании</w:t>
      </w:r>
      <w:r w:rsidR="00D40B4A">
        <w:rPr>
          <w:lang w:eastAsia="ru-RU"/>
        </w:rPr>
        <w:t xml:space="preserve">. Таким образом, </w:t>
      </w:r>
      <w:r w:rsidR="000135DF">
        <w:rPr>
          <w:lang w:eastAsia="ru-RU"/>
        </w:rPr>
        <w:t>оценивается</w:t>
      </w:r>
      <w:r w:rsidR="000135DF" w:rsidRPr="00540AE5">
        <w:rPr>
          <w:lang w:eastAsia="ru-RU"/>
        </w:rPr>
        <w:t xml:space="preserve"> </w:t>
      </w:r>
      <w:r w:rsidR="000135DF">
        <w:rPr>
          <w:lang w:eastAsia="ru-RU"/>
        </w:rPr>
        <w:t>внутренняя</w:t>
      </w:r>
      <w:r w:rsidR="000135DF" w:rsidRPr="00540AE5">
        <w:rPr>
          <w:lang w:eastAsia="ru-RU"/>
        </w:rPr>
        <w:t xml:space="preserve"> </w:t>
      </w:r>
      <w:r w:rsidR="000135DF">
        <w:rPr>
          <w:lang w:eastAsia="ru-RU"/>
        </w:rPr>
        <w:t xml:space="preserve">ценность компании, которая исходит из реальной бизнес-модели </w:t>
      </w:r>
      <w:r w:rsidR="000135DF">
        <w:rPr>
          <w:lang w:eastAsia="ru-RU"/>
        </w:rPr>
        <w:lastRenderedPageBreak/>
        <w:t>предприятия</w:t>
      </w:r>
      <w:r w:rsidR="000135DF">
        <w:rPr>
          <w:rStyle w:val="afe"/>
          <w:lang w:eastAsia="ru-RU"/>
        </w:rPr>
        <w:footnoteReference w:id="10"/>
      </w:r>
      <w:r w:rsidR="00D40B4A">
        <w:rPr>
          <w:lang w:eastAsia="ru-RU"/>
        </w:rPr>
        <w:t>, б</w:t>
      </w:r>
      <w:r w:rsidR="000135DF">
        <w:rPr>
          <w:lang w:eastAsia="ru-RU"/>
        </w:rPr>
        <w:t>лагодаря</w:t>
      </w:r>
      <w:r w:rsidR="000135DF" w:rsidRPr="00F34B88">
        <w:rPr>
          <w:lang w:eastAsia="ru-RU"/>
        </w:rPr>
        <w:t xml:space="preserve"> </w:t>
      </w:r>
      <w:r w:rsidR="000135DF">
        <w:rPr>
          <w:lang w:eastAsia="ru-RU"/>
        </w:rPr>
        <w:t>использованию</w:t>
      </w:r>
      <w:r w:rsidR="000135DF" w:rsidRPr="00F34B88">
        <w:rPr>
          <w:lang w:eastAsia="ru-RU"/>
        </w:rPr>
        <w:t xml:space="preserve"> </w:t>
      </w:r>
      <w:r w:rsidR="000135DF">
        <w:rPr>
          <w:lang w:eastAsia="ru-RU"/>
        </w:rPr>
        <w:t>внутренней информации и учету многих факторов</w:t>
      </w:r>
      <w:r w:rsidR="00D40B4A">
        <w:rPr>
          <w:lang w:eastAsia="ru-RU"/>
        </w:rPr>
        <w:t>.</w:t>
      </w:r>
      <w:r w:rsidR="007D47ED">
        <w:rPr>
          <w:lang w:eastAsia="ru-RU"/>
        </w:rPr>
        <w:t xml:space="preserve"> </w:t>
      </w:r>
      <w:r w:rsidR="004E0793">
        <w:rPr>
          <w:lang w:eastAsia="ru-RU"/>
        </w:rPr>
        <w:t>Преимуществом о</w:t>
      </w:r>
      <w:r w:rsidR="000135DF">
        <w:rPr>
          <w:lang w:eastAsia="ru-RU"/>
        </w:rPr>
        <w:t>ценк</w:t>
      </w:r>
      <w:r w:rsidR="004E0793">
        <w:rPr>
          <w:lang w:eastAsia="ru-RU"/>
        </w:rPr>
        <w:t>и</w:t>
      </w:r>
      <w:r w:rsidR="000135DF" w:rsidRPr="00E11CF6">
        <w:rPr>
          <w:lang w:eastAsia="ru-RU"/>
        </w:rPr>
        <w:t xml:space="preserve"> </w:t>
      </w:r>
      <w:r w:rsidR="000135DF">
        <w:rPr>
          <w:lang w:eastAsia="ru-RU"/>
        </w:rPr>
        <w:t>ценности</w:t>
      </w:r>
      <w:r w:rsidR="000135DF" w:rsidRPr="00E11CF6">
        <w:rPr>
          <w:lang w:eastAsia="ru-RU"/>
        </w:rPr>
        <w:t xml:space="preserve"> </w:t>
      </w:r>
      <w:r w:rsidR="000135DF">
        <w:rPr>
          <w:lang w:eastAsia="ru-RU"/>
        </w:rPr>
        <w:t>компании</w:t>
      </w:r>
      <w:r w:rsidR="000135DF" w:rsidRPr="00E11CF6">
        <w:rPr>
          <w:lang w:eastAsia="ru-RU"/>
        </w:rPr>
        <w:t xml:space="preserve"> </w:t>
      </w:r>
      <w:r w:rsidR="004E0793">
        <w:rPr>
          <w:lang w:eastAsia="ru-RU"/>
        </w:rPr>
        <w:t xml:space="preserve">доходным подходом является </w:t>
      </w:r>
      <w:r w:rsidR="000135DF">
        <w:rPr>
          <w:lang w:eastAsia="ru-RU"/>
        </w:rPr>
        <w:t>отраж</w:t>
      </w:r>
      <w:r w:rsidR="004E0793">
        <w:rPr>
          <w:lang w:eastAsia="ru-RU"/>
        </w:rPr>
        <w:t>ение</w:t>
      </w:r>
      <w:r w:rsidR="000135DF" w:rsidRPr="00E11CF6">
        <w:rPr>
          <w:lang w:eastAsia="ru-RU"/>
        </w:rPr>
        <w:t xml:space="preserve"> </w:t>
      </w:r>
      <w:r w:rsidR="000135DF">
        <w:rPr>
          <w:lang w:eastAsia="ru-RU"/>
        </w:rPr>
        <w:t>перспективы</w:t>
      </w:r>
      <w:r w:rsidR="000135DF" w:rsidRPr="00E11CF6">
        <w:rPr>
          <w:lang w:eastAsia="ru-RU"/>
        </w:rPr>
        <w:t xml:space="preserve"> </w:t>
      </w:r>
      <w:r w:rsidR="000135DF">
        <w:rPr>
          <w:lang w:eastAsia="ru-RU"/>
        </w:rPr>
        <w:t>развития</w:t>
      </w:r>
      <w:r w:rsidR="000135DF" w:rsidRPr="00E11CF6">
        <w:rPr>
          <w:lang w:eastAsia="ru-RU"/>
        </w:rPr>
        <w:t xml:space="preserve"> </w:t>
      </w:r>
      <w:r w:rsidR="000135DF">
        <w:rPr>
          <w:lang w:eastAsia="ru-RU"/>
        </w:rPr>
        <w:t>предприятия</w:t>
      </w:r>
      <w:r w:rsidR="000135DF" w:rsidRPr="00E11CF6">
        <w:rPr>
          <w:lang w:eastAsia="ru-RU"/>
        </w:rPr>
        <w:t xml:space="preserve"> </w:t>
      </w:r>
      <w:r w:rsidR="004E0793">
        <w:rPr>
          <w:lang w:eastAsia="ru-RU"/>
        </w:rPr>
        <w:t xml:space="preserve">и учет </w:t>
      </w:r>
      <w:r w:rsidR="000135DF">
        <w:rPr>
          <w:lang w:eastAsia="ru-RU"/>
        </w:rPr>
        <w:t>будущи</w:t>
      </w:r>
      <w:r w:rsidR="004E0793">
        <w:rPr>
          <w:lang w:eastAsia="ru-RU"/>
        </w:rPr>
        <w:t xml:space="preserve">х </w:t>
      </w:r>
      <w:r w:rsidR="000135DF">
        <w:rPr>
          <w:lang w:eastAsia="ru-RU"/>
        </w:rPr>
        <w:t>ожидани</w:t>
      </w:r>
      <w:r w:rsidR="004E0793">
        <w:rPr>
          <w:lang w:eastAsia="ru-RU"/>
        </w:rPr>
        <w:t xml:space="preserve">й </w:t>
      </w:r>
      <w:r w:rsidR="000135DF">
        <w:rPr>
          <w:lang w:eastAsia="ru-RU"/>
        </w:rPr>
        <w:t xml:space="preserve">собственника. </w:t>
      </w:r>
    </w:p>
    <w:p w14:paraId="40EF2E7E" w14:textId="3EEA692F" w:rsidR="000135DF" w:rsidRDefault="007D47ED" w:rsidP="007D47ED">
      <w:pPr>
        <w:rPr>
          <w:lang w:eastAsia="ru-RU"/>
        </w:rPr>
      </w:pPr>
      <w:r>
        <w:rPr>
          <w:lang w:eastAsia="ru-RU"/>
        </w:rPr>
        <w:t xml:space="preserve">Затратный подход, </w:t>
      </w:r>
      <w:r w:rsidR="001322D5">
        <w:rPr>
          <w:lang w:eastAsia="ru-RU"/>
        </w:rPr>
        <w:t>в отличии от доходного, не учитывает будущие денежные потоки</w:t>
      </w:r>
      <w:r w:rsidR="000135DF">
        <w:rPr>
          <w:lang w:eastAsia="ru-RU"/>
        </w:rPr>
        <w:t xml:space="preserve">, то есть </w:t>
      </w:r>
      <w:r w:rsidR="001322D5">
        <w:rPr>
          <w:lang w:eastAsia="ru-RU"/>
        </w:rPr>
        <w:t>не рассматривает компанию с точки зрения возможности генерирования прибыли.</w:t>
      </w:r>
      <w:r w:rsidR="000135DF">
        <w:rPr>
          <w:lang w:eastAsia="ru-RU"/>
        </w:rPr>
        <w:t xml:space="preserve"> </w:t>
      </w:r>
      <w:r w:rsidR="002854B4">
        <w:rPr>
          <w:lang w:eastAsia="ru-RU"/>
        </w:rPr>
        <w:t xml:space="preserve">Оценка ценности </w:t>
      </w:r>
      <w:r w:rsidR="000E7457">
        <w:rPr>
          <w:lang w:eastAsia="ru-RU"/>
        </w:rPr>
        <w:t xml:space="preserve">компании </w:t>
      </w:r>
      <w:r w:rsidR="002854B4">
        <w:rPr>
          <w:lang w:eastAsia="ru-RU"/>
        </w:rPr>
        <w:t>при затратном подходе заключается в определении стоимости издержек, необходимых для реализации оцениваемого бизнеса.</w:t>
      </w:r>
      <w:r>
        <w:rPr>
          <w:lang w:eastAsia="ru-RU"/>
        </w:rPr>
        <w:t xml:space="preserve"> </w:t>
      </w:r>
      <w:r w:rsidR="000135DF">
        <w:rPr>
          <w:lang w:eastAsia="ru-RU"/>
        </w:rPr>
        <w:t>Владелец бизнеса должен полностью компенсировать свои расходы по созданию, изменению, восстановлению, замещению или утилизации предприятия.</w:t>
      </w:r>
      <w:r w:rsidR="000135DF">
        <w:rPr>
          <w:rStyle w:val="afe"/>
          <w:lang w:eastAsia="ru-RU"/>
        </w:rPr>
        <w:footnoteReference w:id="11"/>
      </w:r>
      <w:r w:rsidR="00166A35">
        <w:rPr>
          <w:lang w:eastAsia="ru-RU"/>
        </w:rPr>
        <w:t xml:space="preserve"> </w:t>
      </w:r>
      <w:r w:rsidR="000135DF">
        <w:rPr>
          <w:lang w:eastAsia="ru-RU"/>
        </w:rPr>
        <w:t>Подход учитывает понесенные затраты по информации балансового отчета, поэтому фактором изменения стоимости оцениваемого объекта может служить использование разных методов балансового учета.</w:t>
      </w:r>
      <w:r w:rsidR="000135DF">
        <w:rPr>
          <w:rStyle w:val="afe"/>
          <w:lang w:eastAsia="ru-RU"/>
        </w:rPr>
        <w:footnoteReference w:id="12"/>
      </w:r>
      <w:r w:rsidR="000135DF">
        <w:rPr>
          <w:lang w:eastAsia="ru-RU"/>
        </w:rPr>
        <w:t xml:space="preserve"> </w:t>
      </w:r>
    </w:p>
    <w:p w14:paraId="494CE6B4" w14:textId="66D1B75C" w:rsidR="00D40B4A" w:rsidRDefault="008E386A" w:rsidP="008E386A">
      <w:pPr>
        <w:rPr>
          <w:lang w:eastAsia="ru-RU"/>
        </w:rPr>
      </w:pPr>
      <w:r>
        <w:rPr>
          <w:lang w:eastAsia="ru-RU"/>
        </w:rPr>
        <w:t xml:space="preserve">Затратный подход определяет ценность бизнеса по понесенным издержкам двумя методами: методом стоимости чистых активов и ликвидационной стоимости. Данный </w:t>
      </w:r>
      <w:r w:rsidR="00E01A1C">
        <w:rPr>
          <w:lang w:eastAsia="ru-RU"/>
        </w:rPr>
        <w:t xml:space="preserve">подход </w:t>
      </w:r>
      <w:r w:rsidR="000A7B04">
        <w:rPr>
          <w:lang w:eastAsia="ru-RU"/>
        </w:rPr>
        <w:t xml:space="preserve">в большей мере </w:t>
      </w:r>
      <w:r w:rsidR="00E01A1C">
        <w:rPr>
          <w:lang w:eastAsia="ru-RU"/>
        </w:rPr>
        <w:t xml:space="preserve">основан на </w:t>
      </w:r>
      <w:r w:rsidR="00556E05">
        <w:rPr>
          <w:lang w:eastAsia="ru-RU"/>
        </w:rPr>
        <w:t xml:space="preserve">том, </w:t>
      </w:r>
      <w:r w:rsidR="007B3C2C">
        <w:rPr>
          <w:lang w:eastAsia="ru-RU"/>
        </w:rPr>
        <w:t>что рациональный покупатель не приобретет объект по цене выше, чем затраты на осуществление данного бизнеса.</w:t>
      </w:r>
      <w:r w:rsidR="007B3C2C">
        <w:rPr>
          <w:rStyle w:val="afe"/>
          <w:lang w:eastAsia="ru-RU"/>
        </w:rPr>
        <w:footnoteReference w:id="13"/>
      </w:r>
      <w:r w:rsidR="00956149">
        <w:rPr>
          <w:lang w:eastAsia="ru-RU"/>
        </w:rPr>
        <w:t xml:space="preserve"> При определении ценности бизнеса затратным подходом важно, что стоимость объекта не превысит суммарные издержки на полное воспроизведение предприятия.</w:t>
      </w:r>
    </w:p>
    <w:p w14:paraId="4809FB6D" w14:textId="207045EF" w:rsidR="00956149" w:rsidRDefault="00D40B4A" w:rsidP="003D1BF9">
      <w:pPr>
        <w:rPr>
          <w:lang w:eastAsia="ru-RU"/>
        </w:rPr>
      </w:pPr>
      <w:r>
        <w:rPr>
          <w:lang w:eastAsia="ru-RU"/>
        </w:rPr>
        <w:t>О</w:t>
      </w:r>
      <w:r w:rsidR="000135DF">
        <w:rPr>
          <w:lang w:eastAsia="ru-RU"/>
        </w:rPr>
        <w:t xml:space="preserve">сновное преимущество </w:t>
      </w:r>
      <w:r>
        <w:rPr>
          <w:lang w:eastAsia="ru-RU"/>
        </w:rPr>
        <w:t xml:space="preserve">данного подхода заключается в </w:t>
      </w:r>
      <w:r w:rsidR="008E386A">
        <w:rPr>
          <w:lang w:eastAsia="ru-RU"/>
        </w:rPr>
        <w:t xml:space="preserve">том, что затратный </w:t>
      </w:r>
      <w:r w:rsidR="000135DF">
        <w:rPr>
          <w:lang w:eastAsia="ru-RU"/>
        </w:rPr>
        <w:t>подход учитывает влияние производственных факторов на изменение цены активов</w:t>
      </w:r>
      <w:r w:rsidR="003D1BF9">
        <w:rPr>
          <w:lang w:eastAsia="ru-RU"/>
        </w:rPr>
        <w:t>: он</w:t>
      </w:r>
      <w:r w:rsidR="000135DF" w:rsidRPr="00181BA3">
        <w:rPr>
          <w:lang w:eastAsia="ru-RU"/>
        </w:rPr>
        <w:t xml:space="preserve"> </w:t>
      </w:r>
      <w:r w:rsidR="000135DF">
        <w:rPr>
          <w:lang w:eastAsia="ru-RU"/>
        </w:rPr>
        <w:t>основан</w:t>
      </w:r>
      <w:r w:rsidR="000135DF" w:rsidRPr="00181BA3">
        <w:rPr>
          <w:lang w:eastAsia="ru-RU"/>
        </w:rPr>
        <w:t xml:space="preserve"> </w:t>
      </w:r>
      <w:r w:rsidR="000135DF">
        <w:rPr>
          <w:lang w:eastAsia="ru-RU"/>
        </w:rPr>
        <w:t>на</w:t>
      </w:r>
      <w:r w:rsidR="000135DF" w:rsidRPr="00181BA3">
        <w:rPr>
          <w:lang w:eastAsia="ru-RU"/>
        </w:rPr>
        <w:t xml:space="preserve"> </w:t>
      </w:r>
      <w:r w:rsidR="000135DF">
        <w:rPr>
          <w:lang w:eastAsia="ru-RU"/>
        </w:rPr>
        <w:t>реальном</w:t>
      </w:r>
      <w:r w:rsidR="000135DF" w:rsidRPr="00181BA3">
        <w:rPr>
          <w:lang w:eastAsia="ru-RU"/>
        </w:rPr>
        <w:t xml:space="preserve"> </w:t>
      </w:r>
      <w:r w:rsidR="000135DF">
        <w:rPr>
          <w:lang w:eastAsia="ru-RU"/>
        </w:rPr>
        <w:t>воспроизведении</w:t>
      </w:r>
      <w:r w:rsidR="000135DF" w:rsidRPr="00181BA3">
        <w:rPr>
          <w:lang w:eastAsia="ru-RU"/>
        </w:rPr>
        <w:t xml:space="preserve"> </w:t>
      </w:r>
      <w:r w:rsidR="000135DF">
        <w:rPr>
          <w:lang w:eastAsia="ru-RU"/>
        </w:rPr>
        <w:t>объекта</w:t>
      </w:r>
      <w:r w:rsidR="000135DF" w:rsidRPr="00181BA3">
        <w:rPr>
          <w:lang w:eastAsia="ru-RU"/>
        </w:rPr>
        <w:t xml:space="preserve"> </w:t>
      </w:r>
      <w:r w:rsidR="000135DF">
        <w:rPr>
          <w:lang w:eastAsia="ru-RU"/>
        </w:rPr>
        <w:t>оценки</w:t>
      </w:r>
      <w:r w:rsidR="000135DF" w:rsidRPr="00181BA3">
        <w:rPr>
          <w:lang w:eastAsia="ru-RU"/>
        </w:rPr>
        <w:t>,</w:t>
      </w:r>
      <w:r w:rsidR="000135DF">
        <w:rPr>
          <w:lang w:eastAsia="ru-RU"/>
        </w:rPr>
        <w:t xml:space="preserve"> то есть полученный результат ценности является обоснованным, использующим существующие данные по </w:t>
      </w:r>
      <w:r w:rsidR="003D1BF9">
        <w:rPr>
          <w:lang w:eastAsia="ru-RU"/>
        </w:rPr>
        <w:t xml:space="preserve">различным </w:t>
      </w:r>
      <w:r w:rsidR="000135DF">
        <w:rPr>
          <w:lang w:eastAsia="ru-RU"/>
        </w:rPr>
        <w:t>факторам бизнеса. Также</w:t>
      </w:r>
      <w:r w:rsidR="000135DF" w:rsidRPr="00E00702">
        <w:rPr>
          <w:lang w:eastAsia="ru-RU"/>
        </w:rPr>
        <w:t xml:space="preserve">, </w:t>
      </w:r>
      <w:r w:rsidR="000135DF">
        <w:rPr>
          <w:lang w:eastAsia="ru-RU"/>
        </w:rPr>
        <w:t>затратный</w:t>
      </w:r>
      <w:r w:rsidR="000135DF" w:rsidRPr="00E00702">
        <w:rPr>
          <w:lang w:eastAsia="ru-RU"/>
        </w:rPr>
        <w:t xml:space="preserve"> </w:t>
      </w:r>
      <w:r w:rsidR="000135DF">
        <w:rPr>
          <w:lang w:eastAsia="ru-RU"/>
        </w:rPr>
        <w:t>подход</w:t>
      </w:r>
      <w:r w:rsidR="000135DF" w:rsidRPr="00E00702">
        <w:rPr>
          <w:lang w:eastAsia="ru-RU"/>
        </w:rPr>
        <w:t xml:space="preserve"> </w:t>
      </w:r>
      <w:r w:rsidR="000135DF">
        <w:rPr>
          <w:lang w:eastAsia="ru-RU"/>
        </w:rPr>
        <w:t>достаточно</w:t>
      </w:r>
      <w:r w:rsidR="000135DF" w:rsidRPr="00E00702">
        <w:rPr>
          <w:lang w:eastAsia="ru-RU"/>
        </w:rPr>
        <w:t xml:space="preserve"> </w:t>
      </w:r>
      <w:r w:rsidR="000135DF">
        <w:rPr>
          <w:lang w:eastAsia="ru-RU"/>
        </w:rPr>
        <w:t>прост в оценке ценности, он не требует детального финансового анализа компании</w:t>
      </w:r>
      <w:r w:rsidR="003D1BF9">
        <w:rPr>
          <w:lang w:eastAsia="ru-RU"/>
        </w:rPr>
        <w:t xml:space="preserve">, поэтому </w:t>
      </w:r>
      <w:r w:rsidR="000135DF">
        <w:rPr>
          <w:lang w:eastAsia="ru-RU"/>
        </w:rPr>
        <w:t xml:space="preserve">многие оценщики используют </w:t>
      </w:r>
      <w:r w:rsidR="003D1BF9">
        <w:rPr>
          <w:lang w:eastAsia="ru-RU"/>
        </w:rPr>
        <w:t xml:space="preserve">его </w:t>
      </w:r>
      <w:r w:rsidR="000135DF">
        <w:rPr>
          <w:lang w:eastAsia="ru-RU"/>
        </w:rPr>
        <w:t>в качестве предварительного</w:t>
      </w:r>
      <w:r w:rsidR="003D1BF9">
        <w:rPr>
          <w:lang w:eastAsia="ru-RU"/>
        </w:rPr>
        <w:t xml:space="preserve"> или начального этапа</w:t>
      </w:r>
      <w:r w:rsidR="000135DF">
        <w:rPr>
          <w:lang w:eastAsia="ru-RU"/>
        </w:rPr>
        <w:t xml:space="preserve">. </w:t>
      </w:r>
    </w:p>
    <w:p w14:paraId="7B94CED7" w14:textId="5EB01E2F" w:rsidR="00956149" w:rsidRDefault="007D47ED" w:rsidP="0040126B">
      <w:pPr>
        <w:rPr>
          <w:lang w:eastAsia="ru-RU"/>
        </w:rPr>
      </w:pPr>
      <w:r>
        <w:rPr>
          <w:lang w:eastAsia="ru-RU"/>
        </w:rPr>
        <w:t xml:space="preserve">Сравнительный подход </w:t>
      </w:r>
      <w:r w:rsidR="00ED5711">
        <w:rPr>
          <w:lang w:eastAsia="ru-RU"/>
        </w:rPr>
        <w:t>оценки ценности компаний</w:t>
      </w:r>
      <w:r w:rsidR="00287BF3">
        <w:rPr>
          <w:lang w:eastAsia="ru-RU"/>
        </w:rPr>
        <w:t xml:space="preserve"> основан на сопоставлении стоимости бизнеса с аналогичной компанией</w:t>
      </w:r>
      <w:r w:rsidR="00117C12">
        <w:rPr>
          <w:lang w:eastAsia="ru-RU"/>
        </w:rPr>
        <w:t xml:space="preserve">. Для </w:t>
      </w:r>
      <w:r w:rsidR="00A65857">
        <w:rPr>
          <w:lang w:eastAsia="ru-RU"/>
        </w:rPr>
        <w:t xml:space="preserve">определения ценности бизнеса данным подходом можно использовать анализ продаж пакетов акций аналогичных открытых </w:t>
      </w:r>
      <w:r w:rsidR="00A65857">
        <w:rPr>
          <w:lang w:eastAsia="ru-RU"/>
        </w:rPr>
        <w:lastRenderedPageBreak/>
        <w:t>акционерных обществ</w:t>
      </w:r>
      <w:r w:rsidR="007B3C2C">
        <w:rPr>
          <w:lang w:eastAsia="ru-RU"/>
        </w:rPr>
        <w:t>.</w:t>
      </w:r>
      <w:r w:rsidR="007B3C2C">
        <w:rPr>
          <w:rStyle w:val="afe"/>
          <w:lang w:eastAsia="ru-RU"/>
        </w:rPr>
        <w:footnoteReference w:id="14"/>
      </w:r>
      <w:r w:rsidR="00B768C7">
        <w:rPr>
          <w:lang w:eastAsia="ru-RU"/>
        </w:rPr>
        <w:t xml:space="preserve"> Популярность сравнительного подхода в оценке стоимости мировых компаний заключается в том, что используется полностью рыночная информация, следовательно, результаты опираются на обоснованные данные</w:t>
      </w:r>
      <w:r w:rsidR="000B3DBB">
        <w:rPr>
          <w:lang w:eastAsia="ru-RU"/>
        </w:rPr>
        <w:t xml:space="preserve">. Таким образом, компании не могут влиять и намеренно корректировать результат оценки внутренними краткосрочными методами. </w:t>
      </w:r>
    </w:p>
    <w:p w14:paraId="50204389" w14:textId="482F644D" w:rsidR="00196172" w:rsidRPr="003F6BD9" w:rsidRDefault="00196172" w:rsidP="006F416F">
      <w:pPr>
        <w:rPr>
          <w:lang w:eastAsia="ru-RU"/>
        </w:rPr>
      </w:pPr>
      <w:r>
        <w:rPr>
          <w:lang w:eastAsia="ru-RU"/>
        </w:rPr>
        <w:t>В данном подходе существуют три метода: метод рынка капитала, метод сделок и отраслевых коэффициентов.</w:t>
      </w:r>
      <w:r w:rsidR="00922DC9">
        <w:rPr>
          <w:rStyle w:val="afe"/>
          <w:lang w:eastAsia="ru-RU"/>
        </w:rPr>
        <w:footnoteReference w:id="15"/>
      </w:r>
      <w:r w:rsidR="00922DC9">
        <w:rPr>
          <w:lang w:eastAsia="ru-RU"/>
        </w:rPr>
        <w:t xml:space="preserve"> </w:t>
      </w:r>
      <w:r>
        <w:rPr>
          <w:lang w:eastAsia="ru-RU"/>
        </w:rPr>
        <w:t>Во всех трех методах основная идея заключается в определении стоимости на текущий момент, так ка</w:t>
      </w:r>
      <w:r w:rsidR="006F416F">
        <w:rPr>
          <w:lang w:eastAsia="ru-RU"/>
        </w:rPr>
        <w:t>к</w:t>
      </w:r>
      <w:r>
        <w:rPr>
          <w:lang w:eastAsia="ru-RU"/>
        </w:rPr>
        <w:t xml:space="preserve"> суть сравнительных методов заключается в том, что одинаковые активы должны иметь одинаковую ценность в каждый момент времени.</w:t>
      </w:r>
      <w:r>
        <w:rPr>
          <w:rStyle w:val="afe"/>
          <w:lang w:eastAsia="ru-RU"/>
        </w:rPr>
        <w:footnoteReference w:id="16"/>
      </w:r>
      <w:r>
        <w:rPr>
          <w:lang w:eastAsia="ru-RU"/>
        </w:rPr>
        <w:t xml:space="preserve"> </w:t>
      </w:r>
      <w:r w:rsidR="006F416F">
        <w:rPr>
          <w:lang w:eastAsia="ru-RU"/>
        </w:rPr>
        <w:t>Д</w:t>
      </w:r>
      <w:r>
        <w:rPr>
          <w:lang w:eastAsia="ru-RU"/>
        </w:rPr>
        <w:t xml:space="preserve">анные методы основаны на том, что ценность капитала компании формируется по сумме денежных средств, за которую она может быть продана на сформированном рынке. </w:t>
      </w:r>
    </w:p>
    <w:p w14:paraId="1742ACCC" w14:textId="27E6AD30" w:rsidR="00D40B4A" w:rsidRDefault="003D1BF9" w:rsidP="00922DC9">
      <w:pPr>
        <w:rPr>
          <w:lang w:eastAsia="ru-RU"/>
        </w:rPr>
      </w:pPr>
      <w:r>
        <w:rPr>
          <w:lang w:eastAsia="ru-RU"/>
        </w:rPr>
        <w:t xml:space="preserve">Сравнительный подход </w:t>
      </w:r>
      <w:r w:rsidR="00D40B4A">
        <w:rPr>
          <w:lang w:eastAsia="ru-RU"/>
        </w:rPr>
        <w:t>огранич</w:t>
      </w:r>
      <w:r>
        <w:rPr>
          <w:lang w:eastAsia="ru-RU"/>
        </w:rPr>
        <w:t xml:space="preserve">ивает </w:t>
      </w:r>
      <w:r w:rsidR="00D40B4A">
        <w:rPr>
          <w:lang w:eastAsia="ru-RU"/>
        </w:rPr>
        <w:t>оценк</w:t>
      </w:r>
      <w:r>
        <w:rPr>
          <w:lang w:eastAsia="ru-RU"/>
        </w:rPr>
        <w:t xml:space="preserve">у </w:t>
      </w:r>
      <w:r w:rsidR="00D40B4A">
        <w:rPr>
          <w:lang w:eastAsia="ru-RU"/>
        </w:rPr>
        <w:t>реальной ретроинформаци</w:t>
      </w:r>
      <w:r>
        <w:rPr>
          <w:lang w:eastAsia="ru-RU"/>
        </w:rPr>
        <w:t>ей</w:t>
      </w:r>
      <w:r w:rsidR="00D40B4A">
        <w:rPr>
          <w:lang w:eastAsia="ru-RU"/>
        </w:rPr>
        <w:t xml:space="preserve"> на рынке, а значит </w:t>
      </w:r>
      <w:r>
        <w:rPr>
          <w:lang w:eastAsia="ru-RU"/>
        </w:rPr>
        <w:t>предоставляет</w:t>
      </w:r>
      <w:r w:rsidR="00D40B4A">
        <w:rPr>
          <w:lang w:eastAsia="ru-RU"/>
        </w:rPr>
        <w:t xml:space="preserve"> фактическ</w:t>
      </w:r>
      <w:r>
        <w:rPr>
          <w:lang w:eastAsia="ru-RU"/>
        </w:rPr>
        <w:t xml:space="preserve">ую </w:t>
      </w:r>
      <w:r w:rsidR="00D40B4A">
        <w:rPr>
          <w:lang w:eastAsia="ru-RU"/>
        </w:rPr>
        <w:t>стоимост</w:t>
      </w:r>
      <w:r>
        <w:rPr>
          <w:lang w:eastAsia="ru-RU"/>
        </w:rPr>
        <w:t xml:space="preserve">ь </w:t>
      </w:r>
      <w:r w:rsidR="00D40B4A">
        <w:rPr>
          <w:lang w:eastAsia="ru-RU"/>
        </w:rPr>
        <w:t xml:space="preserve">компании. </w:t>
      </w:r>
      <w:r>
        <w:rPr>
          <w:lang w:eastAsia="ru-RU"/>
        </w:rPr>
        <w:t>Данное «ограничение» является преимуществом сравнительного подхода</w:t>
      </w:r>
      <w:r w:rsidR="004E0793">
        <w:rPr>
          <w:lang w:eastAsia="ru-RU"/>
        </w:rPr>
        <w:t xml:space="preserve">: </w:t>
      </w:r>
      <w:r>
        <w:rPr>
          <w:lang w:eastAsia="ru-RU"/>
        </w:rPr>
        <w:t>учитывая реальные цены акций формируется обоснованная оценка, полностью отвечающая не только предложению, но и спросу</w:t>
      </w:r>
      <w:r w:rsidR="00D40B4A">
        <w:rPr>
          <w:lang w:eastAsia="ru-RU"/>
        </w:rPr>
        <w:t>.</w:t>
      </w:r>
      <w:r w:rsidR="00D40B4A">
        <w:rPr>
          <w:rStyle w:val="afe"/>
          <w:lang w:eastAsia="ru-RU"/>
        </w:rPr>
        <w:footnoteReference w:id="17"/>
      </w:r>
      <w:r w:rsidR="00D40B4A">
        <w:rPr>
          <w:lang w:eastAsia="ru-RU"/>
        </w:rPr>
        <w:t xml:space="preserve"> </w:t>
      </w:r>
      <w:r w:rsidR="004E0793">
        <w:rPr>
          <w:lang w:eastAsia="ru-RU"/>
        </w:rPr>
        <w:t>Сравнительный подход обладает таким преимуществом, к</w:t>
      </w:r>
      <w:r w:rsidR="00D40B4A">
        <w:rPr>
          <w:lang w:eastAsia="ru-RU"/>
        </w:rPr>
        <w:t>ак отражение имеющейся информации по продаже и покупке ценных бумаг на фондовом рынке. Оценщик,</w:t>
      </w:r>
      <w:r w:rsidR="00D40B4A" w:rsidRPr="00056DDF">
        <w:rPr>
          <w:lang w:eastAsia="ru-RU"/>
        </w:rPr>
        <w:t xml:space="preserve"> </w:t>
      </w:r>
      <w:r w:rsidR="00D40B4A">
        <w:rPr>
          <w:lang w:eastAsia="ru-RU"/>
        </w:rPr>
        <w:t>используя</w:t>
      </w:r>
      <w:r w:rsidR="00D40B4A" w:rsidRPr="00056DDF">
        <w:rPr>
          <w:lang w:eastAsia="ru-RU"/>
        </w:rPr>
        <w:t xml:space="preserve"> </w:t>
      </w:r>
      <w:r w:rsidR="00D40B4A">
        <w:rPr>
          <w:lang w:eastAsia="ru-RU"/>
        </w:rPr>
        <w:t>данный</w:t>
      </w:r>
      <w:r w:rsidR="00D40B4A" w:rsidRPr="00056DDF">
        <w:rPr>
          <w:lang w:eastAsia="ru-RU"/>
        </w:rPr>
        <w:t xml:space="preserve"> </w:t>
      </w:r>
      <w:r w:rsidR="00D40B4A">
        <w:rPr>
          <w:lang w:eastAsia="ru-RU"/>
        </w:rPr>
        <w:t>подход,</w:t>
      </w:r>
      <w:r w:rsidR="00D40B4A" w:rsidRPr="00056DDF">
        <w:rPr>
          <w:lang w:eastAsia="ru-RU"/>
        </w:rPr>
        <w:t xml:space="preserve"> </w:t>
      </w:r>
      <w:r w:rsidR="00D40B4A">
        <w:rPr>
          <w:lang w:eastAsia="ru-RU"/>
        </w:rPr>
        <w:t>учитывает</w:t>
      </w:r>
      <w:r w:rsidR="00D40B4A" w:rsidRPr="00056DDF">
        <w:rPr>
          <w:lang w:eastAsia="ru-RU"/>
        </w:rPr>
        <w:t xml:space="preserve"> </w:t>
      </w:r>
      <w:r w:rsidR="00D40B4A">
        <w:rPr>
          <w:lang w:eastAsia="ru-RU"/>
        </w:rPr>
        <w:t>реальные</w:t>
      </w:r>
      <w:r w:rsidR="00D40B4A" w:rsidRPr="00056DDF">
        <w:rPr>
          <w:lang w:eastAsia="ru-RU"/>
        </w:rPr>
        <w:t xml:space="preserve"> </w:t>
      </w:r>
      <w:r w:rsidR="00D40B4A">
        <w:rPr>
          <w:lang w:eastAsia="ru-RU"/>
        </w:rPr>
        <w:t>цены</w:t>
      </w:r>
      <w:r w:rsidR="00D40B4A" w:rsidRPr="00056DDF">
        <w:rPr>
          <w:lang w:eastAsia="ru-RU"/>
        </w:rPr>
        <w:t xml:space="preserve"> </w:t>
      </w:r>
      <w:r w:rsidR="00D40B4A">
        <w:rPr>
          <w:lang w:eastAsia="ru-RU"/>
        </w:rPr>
        <w:t>купли</w:t>
      </w:r>
      <w:r w:rsidR="00D40B4A" w:rsidRPr="00056DDF">
        <w:rPr>
          <w:lang w:eastAsia="ru-RU"/>
        </w:rPr>
        <w:t>-</w:t>
      </w:r>
      <w:r w:rsidR="00D40B4A">
        <w:rPr>
          <w:lang w:eastAsia="ru-RU"/>
        </w:rPr>
        <w:t>продажи</w:t>
      </w:r>
      <w:r w:rsidR="00D40B4A" w:rsidRPr="00056DDF">
        <w:rPr>
          <w:lang w:eastAsia="ru-RU"/>
        </w:rPr>
        <w:t xml:space="preserve"> </w:t>
      </w:r>
      <w:r w:rsidR="00D40B4A">
        <w:rPr>
          <w:lang w:eastAsia="ru-RU"/>
        </w:rPr>
        <w:t xml:space="preserve">аналогичных компаний, вся применимая информация определяется рынком. </w:t>
      </w:r>
    </w:p>
    <w:p w14:paraId="73EBB9DD" w14:textId="0AD4491C" w:rsidR="00D40B4A" w:rsidRDefault="00D40B4A" w:rsidP="00D40B4A">
      <w:pPr>
        <w:rPr>
          <w:lang w:eastAsia="ru-RU"/>
        </w:rPr>
      </w:pPr>
      <w:r>
        <w:rPr>
          <w:lang w:eastAsia="ru-RU"/>
        </w:rPr>
        <w:t>Следующее</w:t>
      </w:r>
      <w:r w:rsidRPr="00056DDF">
        <w:rPr>
          <w:lang w:eastAsia="ru-RU"/>
        </w:rPr>
        <w:t xml:space="preserve"> </w:t>
      </w:r>
      <w:r>
        <w:rPr>
          <w:lang w:eastAsia="ru-RU"/>
        </w:rPr>
        <w:t>преимущество сравнительного</w:t>
      </w:r>
      <w:r w:rsidRPr="00056DDF">
        <w:rPr>
          <w:lang w:eastAsia="ru-RU"/>
        </w:rPr>
        <w:t xml:space="preserve"> </w:t>
      </w:r>
      <w:r>
        <w:rPr>
          <w:lang w:eastAsia="ru-RU"/>
        </w:rPr>
        <w:t>подхода</w:t>
      </w:r>
      <w:r w:rsidRPr="00056DDF">
        <w:rPr>
          <w:lang w:eastAsia="ru-RU"/>
        </w:rPr>
        <w:t xml:space="preserve"> — </w:t>
      </w:r>
      <w:r>
        <w:rPr>
          <w:lang w:eastAsia="ru-RU"/>
        </w:rPr>
        <w:t>оценка с учетом воздействия отраслевых факторов на ценность предприятия. Данный</w:t>
      </w:r>
      <w:r w:rsidRPr="00056DDF">
        <w:rPr>
          <w:lang w:eastAsia="ru-RU"/>
        </w:rPr>
        <w:t xml:space="preserve"> </w:t>
      </w:r>
      <w:r>
        <w:rPr>
          <w:lang w:eastAsia="ru-RU"/>
        </w:rPr>
        <w:t>подход</w:t>
      </w:r>
      <w:r w:rsidRPr="00056DDF">
        <w:rPr>
          <w:lang w:eastAsia="ru-RU"/>
        </w:rPr>
        <w:t xml:space="preserve"> </w:t>
      </w:r>
      <w:r>
        <w:rPr>
          <w:lang w:eastAsia="ru-RU"/>
        </w:rPr>
        <w:t>единственный</w:t>
      </w:r>
      <w:r w:rsidRPr="00056DDF">
        <w:rPr>
          <w:lang w:eastAsia="ru-RU"/>
        </w:rPr>
        <w:t xml:space="preserve"> </w:t>
      </w:r>
      <w:r>
        <w:rPr>
          <w:lang w:eastAsia="ru-RU"/>
        </w:rPr>
        <w:t>использует</w:t>
      </w:r>
      <w:r w:rsidRPr="00056DDF">
        <w:rPr>
          <w:lang w:eastAsia="ru-RU"/>
        </w:rPr>
        <w:t xml:space="preserve"> </w:t>
      </w:r>
      <w:r>
        <w:rPr>
          <w:lang w:eastAsia="ru-RU"/>
        </w:rPr>
        <w:t>для</w:t>
      </w:r>
      <w:r w:rsidRPr="00056DDF">
        <w:rPr>
          <w:lang w:eastAsia="ru-RU"/>
        </w:rPr>
        <w:t xml:space="preserve"> </w:t>
      </w:r>
      <w:r>
        <w:rPr>
          <w:lang w:eastAsia="ru-RU"/>
        </w:rPr>
        <w:t>оценки</w:t>
      </w:r>
      <w:r w:rsidRPr="00056DDF">
        <w:rPr>
          <w:lang w:eastAsia="ru-RU"/>
        </w:rPr>
        <w:t xml:space="preserve"> </w:t>
      </w:r>
      <w:r>
        <w:rPr>
          <w:lang w:eastAsia="ru-RU"/>
        </w:rPr>
        <w:t>отраслевые</w:t>
      </w:r>
      <w:r w:rsidRPr="00056DDF">
        <w:rPr>
          <w:lang w:eastAsia="ru-RU"/>
        </w:rPr>
        <w:t xml:space="preserve"> </w:t>
      </w:r>
      <w:r>
        <w:rPr>
          <w:lang w:eastAsia="ru-RU"/>
        </w:rPr>
        <w:t>мультипликаторы</w:t>
      </w:r>
      <w:r w:rsidRPr="00056DDF">
        <w:rPr>
          <w:lang w:eastAsia="ru-RU"/>
        </w:rPr>
        <w:t xml:space="preserve"> </w:t>
      </w:r>
      <w:r>
        <w:rPr>
          <w:lang w:eastAsia="ru-RU"/>
        </w:rPr>
        <w:t>и получает корректировку стоимост</w:t>
      </w:r>
      <w:r w:rsidR="003D1BF9">
        <w:rPr>
          <w:lang w:eastAsia="ru-RU"/>
        </w:rPr>
        <w:t xml:space="preserve">и </w:t>
      </w:r>
      <w:r>
        <w:rPr>
          <w:lang w:eastAsia="ru-RU"/>
        </w:rPr>
        <w:t>компании в зависимости от рассматриваемой отрасли</w:t>
      </w:r>
      <w:r w:rsidR="004E0793">
        <w:rPr>
          <w:lang w:eastAsia="ru-RU"/>
        </w:rPr>
        <w:t>.</w:t>
      </w:r>
      <w:r>
        <w:rPr>
          <w:rStyle w:val="afe"/>
          <w:lang w:eastAsia="ru-RU"/>
        </w:rPr>
        <w:footnoteReference w:id="18"/>
      </w:r>
      <w:r>
        <w:rPr>
          <w:lang w:eastAsia="ru-RU"/>
        </w:rPr>
        <w:t xml:space="preserve"> </w:t>
      </w:r>
    </w:p>
    <w:p w14:paraId="370A3B0C" w14:textId="28FF3E88" w:rsidR="00D40B4A" w:rsidRDefault="00D40B4A" w:rsidP="00D40B4A">
      <w:pPr>
        <w:rPr>
          <w:lang w:eastAsia="ru-RU"/>
        </w:rPr>
      </w:pPr>
      <w:r>
        <w:rPr>
          <w:lang w:eastAsia="ru-RU"/>
        </w:rPr>
        <w:t>Рассмотренные классические подходы в оценке ценности компани</w:t>
      </w:r>
      <w:r w:rsidR="006623C0">
        <w:rPr>
          <w:lang w:eastAsia="ru-RU"/>
        </w:rPr>
        <w:t>и</w:t>
      </w:r>
      <w:r>
        <w:rPr>
          <w:lang w:eastAsia="ru-RU"/>
        </w:rPr>
        <w:t xml:space="preserve"> и их преимущества представлены в таблице ниже. </w:t>
      </w:r>
    </w:p>
    <w:p w14:paraId="26B07342" w14:textId="358D5242" w:rsidR="004E0793" w:rsidRDefault="004E0793" w:rsidP="00D40B4A">
      <w:pPr>
        <w:rPr>
          <w:lang w:eastAsia="ru-RU"/>
        </w:rPr>
      </w:pPr>
    </w:p>
    <w:p w14:paraId="09998918" w14:textId="77777777" w:rsidR="00AE6842" w:rsidRDefault="00AE6842" w:rsidP="00D40B4A">
      <w:pPr>
        <w:rPr>
          <w:lang w:eastAsia="ru-RU"/>
        </w:rPr>
      </w:pPr>
    </w:p>
    <w:p w14:paraId="0A99BAF0" w14:textId="03DAB29D" w:rsidR="004C01FB" w:rsidRPr="004C01FB" w:rsidRDefault="00D40B4A" w:rsidP="004C01FB">
      <w:pPr>
        <w:pStyle w:val="a0"/>
        <w:rPr>
          <w:lang w:eastAsia="ru-RU"/>
        </w:rPr>
      </w:pPr>
      <w:r>
        <w:rPr>
          <w:lang w:eastAsia="ru-RU"/>
        </w:rPr>
        <w:lastRenderedPageBreak/>
        <w:t>Преимущества классических подходов</w:t>
      </w:r>
    </w:p>
    <w:tbl>
      <w:tblPr>
        <w:tblStyle w:val="af1"/>
        <w:tblW w:w="0" w:type="auto"/>
        <w:tblLook w:val="04A0" w:firstRow="1" w:lastRow="0" w:firstColumn="1" w:lastColumn="0" w:noHBand="0" w:noVBand="1"/>
      </w:tblPr>
      <w:tblGrid>
        <w:gridCol w:w="1855"/>
        <w:gridCol w:w="7490"/>
      </w:tblGrid>
      <w:tr w:rsidR="004C01FB" w14:paraId="3B1C201C" w14:textId="77777777" w:rsidTr="0011631C">
        <w:tc>
          <w:tcPr>
            <w:tcW w:w="9345" w:type="dxa"/>
            <w:gridSpan w:val="2"/>
          </w:tcPr>
          <w:p w14:paraId="699959EF" w14:textId="7345511E" w:rsidR="004C01FB" w:rsidRDefault="004C01FB" w:rsidP="004C01FB">
            <w:pPr>
              <w:spacing w:after="160" w:line="240" w:lineRule="auto"/>
              <w:ind w:firstLine="0"/>
              <w:jc w:val="center"/>
              <w:rPr>
                <w:i/>
                <w:iCs/>
                <w:lang w:eastAsia="ru-RU"/>
              </w:rPr>
            </w:pPr>
            <w:r w:rsidRPr="004C01FB">
              <w:rPr>
                <w:b/>
                <w:bCs/>
                <w:lang w:eastAsia="ru-RU"/>
              </w:rPr>
              <w:t>Преимущества подходов</w:t>
            </w:r>
          </w:p>
        </w:tc>
      </w:tr>
      <w:tr w:rsidR="004C01FB" w14:paraId="22A7B1B8" w14:textId="77777777" w:rsidTr="004C01FB">
        <w:tc>
          <w:tcPr>
            <w:tcW w:w="1855" w:type="dxa"/>
          </w:tcPr>
          <w:p w14:paraId="4108966F" w14:textId="5E9AB9C7" w:rsidR="004C01FB" w:rsidRDefault="004C01FB" w:rsidP="00CC276E">
            <w:pPr>
              <w:spacing w:after="160" w:line="240" w:lineRule="auto"/>
              <w:ind w:firstLine="0"/>
              <w:rPr>
                <w:i/>
                <w:iCs/>
                <w:lang w:eastAsia="ru-RU"/>
              </w:rPr>
            </w:pPr>
            <w:r>
              <w:rPr>
                <w:i/>
                <w:iCs/>
                <w:lang w:eastAsia="ru-RU"/>
              </w:rPr>
              <w:t>Доходный подход</w:t>
            </w:r>
          </w:p>
        </w:tc>
        <w:tc>
          <w:tcPr>
            <w:tcW w:w="7490" w:type="dxa"/>
          </w:tcPr>
          <w:p w14:paraId="7B41209C" w14:textId="77777777" w:rsidR="004C01FB" w:rsidRPr="006623C0" w:rsidRDefault="004C01FB" w:rsidP="004C01FB">
            <w:pPr>
              <w:pStyle w:val="af8"/>
              <w:numPr>
                <w:ilvl w:val="0"/>
                <w:numId w:val="4"/>
              </w:numPr>
              <w:spacing w:line="240" w:lineRule="auto"/>
              <w:ind w:left="319"/>
              <w:rPr>
                <w:lang w:eastAsia="ru-RU"/>
              </w:rPr>
            </w:pPr>
            <w:r w:rsidRPr="006623C0">
              <w:rPr>
                <w:lang w:eastAsia="ru-RU"/>
              </w:rPr>
              <w:t xml:space="preserve">Основывается на финансовых показателях компании </w:t>
            </w:r>
          </w:p>
          <w:p w14:paraId="0C8CF7BD" w14:textId="77777777" w:rsidR="004C01FB" w:rsidRPr="006623C0" w:rsidRDefault="004C01FB" w:rsidP="004C01FB">
            <w:pPr>
              <w:pStyle w:val="af8"/>
              <w:numPr>
                <w:ilvl w:val="0"/>
                <w:numId w:val="4"/>
              </w:numPr>
              <w:spacing w:line="240" w:lineRule="auto"/>
              <w:ind w:left="319"/>
              <w:rPr>
                <w:lang w:eastAsia="ru-RU"/>
              </w:rPr>
            </w:pPr>
            <w:r w:rsidRPr="006623C0">
              <w:rPr>
                <w:lang w:eastAsia="ru-RU"/>
              </w:rPr>
              <w:t xml:space="preserve">Учитывает интересы инвесторов и собственника </w:t>
            </w:r>
          </w:p>
          <w:p w14:paraId="017FE603" w14:textId="2C091182" w:rsidR="004C01FB" w:rsidRPr="006623C0" w:rsidRDefault="004C01FB" w:rsidP="004C01FB">
            <w:pPr>
              <w:pStyle w:val="af8"/>
              <w:numPr>
                <w:ilvl w:val="0"/>
                <w:numId w:val="4"/>
              </w:numPr>
              <w:spacing w:line="240" w:lineRule="auto"/>
              <w:ind w:left="319"/>
              <w:rPr>
                <w:lang w:eastAsia="ru-RU"/>
              </w:rPr>
            </w:pPr>
            <w:r w:rsidRPr="006623C0">
              <w:rPr>
                <w:lang w:eastAsia="ru-RU"/>
              </w:rPr>
              <w:t>Учитывает перспективы развития компании и степень риска</w:t>
            </w:r>
          </w:p>
        </w:tc>
      </w:tr>
      <w:tr w:rsidR="004C01FB" w14:paraId="2C6D5EE1" w14:textId="77777777" w:rsidTr="004C01FB">
        <w:tc>
          <w:tcPr>
            <w:tcW w:w="1855" w:type="dxa"/>
          </w:tcPr>
          <w:p w14:paraId="1659B544" w14:textId="7A831857" w:rsidR="004C01FB" w:rsidRDefault="004C01FB" w:rsidP="00CC276E">
            <w:pPr>
              <w:spacing w:after="160" w:line="240" w:lineRule="auto"/>
              <w:ind w:firstLine="0"/>
              <w:rPr>
                <w:i/>
                <w:iCs/>
                <w:lang w:eastAsia="ru-RU"/>
              </w:rPr>
            </w:pPr>
            <w:r>
              <w:rPr>
                <w:i/>
                <w:iCs/>
                <w:lang w:eastAsia="ru-RU"/>
              </w:rPr>
              <w:t>Затратный подход</w:t>
            </w:r>
          </w:p>
        </w:tc>
        <w:tc>
          <w:tcPr>
            <w:tcW w:w="7490" w:type="dxa"/>
          </w:tcPr>
          <w:p w14:paraId="39F2B407" w14:textId="77777777" w:rsidR="004C01FB" w:rsidRPr="006623C0" w:rsidRDefault="004C01FB" w:rsidP="004C01FB">
            <w:pPr>
              <w:pStyle w:val="af8"/>
              <w:numPr>
                <w:ilvl w:val="0"/>
                <w:numId w:val="4"/>
              </w:numPr>
              <w:spacing w:line="240" w:lineRule="auto"/>
              <w:ind w:left="319"/>
              <w:rPr>
                <w:lang w:eastAsia="ru-RU"/>
              </w:rPr>
            </w:pPr>
            <w:r w:rsidRPr="006623C0">
              <w:rPr>
                <w:lang w:eastAsia="ru-RU"/>
              </w:rPr>
              <w:t>Учет влияния производственных факторов на изменение цены актива компании</w:t>
            </w:r>
          </w:p>
          <w:p w14:paraId="096052BB" w14:textId="77777777" w:rsidR="004C01FB" w:rsidRPr="006623C0" w:rsidRDefault="004C01FB" w:rsidP="004C01FB">
            <w:pPr>
              <w:pStyle w:val="af8"/>
              <w:numPr>
                <w:ilvl w:val="0"/>
                <w:numId w:val="4"/>
              </w:numPr>
              <w:spacing w:line="240" w:lineRule="auto"/>
              <w:ind w:left="319"/>
              <w:rPr>
                <w:lang w:eastAsia="ru-RU"/>
              </w:rPr>
            </w:pPr>
            <w:r w:rsidRPr="006623C0">
              <w:rPr>
                <w:lang w:eastAsia="ru-RU"/>
              </w:rPr>
              <w:t>Официально утвержденный стандарт оценки стоимости компаний</w:t>
            </w:r>
          </w:p>
          <w:p w14:paraId="0A8BB362" w14:textId="0CDCEB9B" w:rsidR="004C01FB" w:rsidRPr="006623C0" w:rsidRDefault="009359C7" w:rsidP="004C01FB">
            <w:pPr>
              <w:pStyle w:val="af8"/>
              <w:numPr>
                <w:ilvl w:val="0"/>
                <w:numId w:val="4"/>
              </w:numPr>
              <w:spacing w:line="240" w:lineRule="auto"/>
              <w:ind w:left="319"/>
              <w:rPr>
                <w:lang w:eastAsia="ru-RU"/>
              </w:rPr>
            </w:pPr>
            <w:r>
              <w:rPr>
                <w:lang w:eastAsia="ru-RU"/>
              </w:rPr>
              <w:t>У</w:t>
            </w:r>
            <w:r w:rsidR="004C01FB" w:rsidRPr="006623C0">
              <w:rPr>
                <w:lang w:eastAsia="ru-RU"/>
              </w:rPr>
              <w:t>чет существующих активов</w:t>
            </w:r>
            <w:r>
              <w:rPr>
                <w:lang w:eastAsia="ru-RU"/>
              </w:rPr>
              <w:t xml:space="preserve"> как обоснованность результатов</w:t>
            </w:r>
          </w:p>
        </w:tc>
      </w:tr>
      <w:tr w:rsidR="004C01FB" w14:paraId="609B17B7" w14:textId="77777777" w:rsidTr="004C01FB">
        <w:tc>
          <w:tcPr>
            <w:tcW w:w="1855" w:type="dxa"/>
          </w:tcPr>
          <w:p w14:paraId="7ADD9645" w14:textId="1010613F" w:rsidR="004C01FB" w:rsidRDefault="004C01FB" w:rsidP="00CC276E">
            <w:pPr>
              <w:spacing w:after="160" w:line="240" w:lineRule="auto"/>
              <w:ind w:firstLine="0"/>
              <w:rPr>
                <w:i/>
                <w:iCs/>
                <w:lang w:eastAsia="ru-RU"/>
              </w:rPr>
            </w:pPr>
            <w:r>
              <w:rPr>
                <w:i/>
                <w:iCs/>
                <w:lang w:eastAsia="ru-RU"/>
              </w:rPr>
              <w:t>Сравнительны</w:t>
            </w:r>
            <w:r w:rsidR="006623C0">
              <w:rPr>
                <w:i/>
                <w:iCs/>
                <w:lang w:eastAsia="ru-RU"/>
              </w:rPr>
              <w:t>й (рыночный)</w:t>
            </w:r>
            <w:r>
              <w:rPr>
                <w:i/>
                <w:iCs/>
                <w:lang w:eastAsia="ru-RU"/>
              </w:rPr>
              <w:t xml:space="preserve"> подход</w:t>
            </w:r>
          </w:p>
        </w:tc>
        <w:tc>
          <w:tcPr>
            <w:tcW w:w="7490" w:type="dxa"/>
          </w:tcPr>
          <w:p w14:paraId="35B5C6D5" w14:textId="4E8BC74D" w:rsidR="004C01FB" w:rsidRPr="006623C0" w:rsidRDefault="004C01FB" w:rsidP="004C01FB">
            <w:pPr>
              <w:pStyle w:val="af8"/>
              <w:numPr>
                <w:ilvl w:val="0"/>
                <w:numId w:val="4"/>
              </w:numPr>
              <w:spacing w:line="240" w:lineRule="auto"/>
              <w:ind w:left="319"/>
              <w:rPr>
                <w:lang w:eastAsia="ru-RU"/>
              </w:rPr>
            </w:pPr>
            <w:r w:rsidRPr="006623C0">
              <w:rPr>
                <w:lang w:eastAsia="ru-RU"/>
              </w:rPr>
              <w:t xml:space="preserve">Использование реальных рыночных показателей и получение фактической стоимости </w:t>
            </w:r>
          </w:p>
          <w:p w14:paraId="7CBDCDAB" w14:textId="407164A6" w:rsidR="004C01FB" w:rsidRPr="006623C0" w:rsidRDefault="004C01FB" w:rsidP="004C01FB">
            <w:pPr>
              <w:pStyle w:val="af8"/>
              <w:numPr>
                <w:ilvl w:val="0"/>
                <w:numId w:val="4"/>
              </w:numPr>
              <w:spacing w:line="240" w:lineRule="auto"/>
              <w:ind w:left="319"/>
              <w:rPr>
                <w:lang w:eastAsia="ru-RU"/>
              </w:rPr>
            </w:pPr>
            <w:r w:rsidRPr="006623C0">
              <w:rPr>
                <w:lang w:eastAsia="ru-RU"/>
              </w:rPr>
              <w:t>Отражение имеющейся информации о купли-продажи акций аналогичных компаний</w:t>
            </w:r>
          </w:p>
          <w:p w14:paraId="21DAC3ED" w14:textId="45482B9C" w:rsidR="004C01FB" w:rsidRPr="006623C0" w:rsidRDefault="004C01FB" w:rsidP="004C01FB">
            <w:pPr>
              <w:pStyle w:val="af8"/>
              <w:numPr>
                <w:ilvl w:val="0"/>
                <w:numId w:val="4"/>
              </w:numPr>
              <w:spacing w:line="240" w:lineRule="auto"/>
              <w:ind w:left="319"/>
              <w:rPr>
                <w:lang w:eastAsia="ru-RU"/>
              </w:rPr>
            </w:pPr>
            <w:r w:rsidRPr="006623C0">
              <w:rPr>
                <w:lang w:eastAsia="ru-RU"/>
              </w:rPr>
              <w:t>Учет влияния отраслевых факторов на ценность компании</w:t>
            </w:r>
          </w:p>
        </w:tc>
      </w:tr>
    </w:tbl>
    <w:p w14:paraId="62C47089" w14:textId="3EDEF640" w:rsidR="00117C12" w:rsidRPr="00337D93" w:rsidRDefault="00D40B4A" w:rsidP="00CC276E">
      <w:pPr>
        <w:spacing w:after="160" w:line="240" w:lineRule="auto"/>
        <w:ind w:firstLine="0"/>
        <w:rPr>
          <w:i/>
          <w:iCs/>
          <w:lang w:eastAsia="ru-RU"/>
        </w:rPr>
      </w:pPr>
      <w:r w:rsidRPr="00337D93">
        <w:rPr>
          <w:i/>
          <w:iCs/>
          <w:lang w:eastAsia="ru-RU"/>
        </w:rPr>
        <w:t>Составлено автором по: [</w:t>
      </w:r>
      <w:r w:rsidRPr="00337D93">
        <w:rPr>
          <w:i/>
          <w:iCs/>
          <w:lang w:val="en-US" w:eastAsia="ru-RU"/>
        </w:rPr>
        <w:t>Hooke</w:t>
      </w:r>
      <w:r w:rsidRPr="00337D93">
        <w:rPr>
          <w:i/>
          <w:iCs/>
          <w:lang w:eastAsia="ru-RU"/>
        </w:rPr>
        <w:t xml:space="preserve">, </w:t>
      </w:r>
      <w:r w:rsidRPr="00337D93">
        <w:rPr>
          <w:i/>
          <w:iCs/>
          <w:lang w:val="en-US" w:eastAsia="ru-RU"/>
        </w:rPr>
        <w:t>Jeffrey</w:t>
      </w:r>
      <w:r w:rsidRPr="00337D93">
        <w:rPr>
          <w:i/>
          <w:iCs/>
          <w:lang w:eastAsia="ru-RU"/>
        </w:rPr>
        <w:t xml:space="preserve"> </w:t>
      </w:r>
      <w:r w:rsidRPr="00337D93">
        <w:rPr>
          <w:i/>
          <w:iCs/>
          <w:lang w:val="en-US" w:eastAsia="ru-RU"/>
        </w:rPr>
        <w:t>C</w:t>
      </w:r>
      <w:r w:rsidRPr="00337D93">
        <w:rPr>
          <w:i/>
          <w:iCs/>
          <w:lang w:eastAsia="ru-RU"/>
        </w:rPr>
        <w:t xml:space="preserve">. </w:t>
      </w:r>
      <w:r w:rsidRPr="00337D93">
        <w:rPr>
          <w:i/>
          <w:iCs/>
          <w:lang w:val="en-US" w:eastAsia="ru-RU"/>
        </w:rPr>
        <w:t>Security</w:t>
      </w:r>
      <w:r w:rsidRPr="00337D93">
        <w:rPr>
          <w:i/>
          <w:iCs/>
          <w:lang w:eastAsia="ru-RU"/>
        </w:rPr>
        <w:t xml:space="preserve"> </w:t>
      </w:r>
      <w:r w:rsidRPr="00337D93">
        <w:rPr>
          <w:i/>
          <w:iCs/>
          <w:lang w:val="en-US" w:eastAsia="ru-RU"/>
        </w:rPr>
        <w:t>analysis</w:t>
      </w:r>
      <w:r w:rsidRPr="00337D93">
        <w:rPr>
          <w:i/>
          <w:iCs/>
          <w:lang w:eastAsia="ru-RU"/>
        </w:rPr>
        <w:t xml:space="preserve"> </w:t>
      </w:r>
      <w:r w:rsidRPr="00337D93">
        <w:rPr>
          <w:i/>
          <w:iCs/>
          <w:lang w:val="en-US" w:eastAsia="ru-RU"/>
        </w:rPr>
        <w:t>and</w:t>
      </w:r>
      <w:r w:rsidRPr="00337D93">
        <w:rPr>
          <w:i/>
          <w:iCs/>
          <w:lang w:eastAsia="ru-RU"/>
        </w:rPr>
        <w:t xml:space="preserve"> </w:t>
      </w:r>
      <w:r w:rsidRPr="00337D93">
        <w:rPr>
          <w:i/>
          <w:iCs/>
          <w:lang w:val="en-US" w:eastAsia="ru-RU"/>
        </w:rPr>
        <w:t>business</w:t>
      </w:r>
      <w:r w:rsidRPr="00337D93">
        <w:rPr>
          <w:i/>
          <w:iCs/>
          <w:lang w:eastAsia="ru-RU"/>
        </w:rPr>
        <w:t xml:space="preserve"> </w:t>
      </w:r>
      <w:r w:rsidRPr="00337D93">
        <w:rPr>
          <w:i/>
          <w:iCs/>
          <w:lang w:val="en-US" w:eastAsia="ru-RU"/>
        </w:rPr>
        <w:t>valuation</w:t>
      </w:r>
      <w:r w:rsidRPr="00337D93">
        <w:rPr>
          <w:i/>
          <w:iCs/>
          <w:lang w:eastAsia="ru-RU"/>
        </w:rPr>
        <w:t xml:space="preserve"> </w:t>
      </w:r>
      <w:r w:rsidRPr="00337D93">
        <w:rPr>
          <w:i/>
          <w:iCs/>
          <w:lang w:val="en-US" w:eastAsia="ru-RU"/>
        </w:rPr>
        <w:t>on</w:t>
      </w:r>
      <w:r w:rsidRPr="00337D93">
        <w:rPr>
          <w:i/>
          <w:iCs/>
          <w:lang w:eastAsia="ru-RU"/>
        </w:rPr>
        <w:t xml:space="preserve"> </w:t>
      </w:r>
      <w:r w:rsidRPr="00337D93">
        <w:rPr>
          <w:i/>
          <w:iCs/>
          <w:lang w:val="en-US" w:eastAsia="ru-RU"/>
        </w:rPr>
        <w:t>Wall</w:t>
      </w:r>
      <w:r w:rsidRPr="00337D93">
        <w:rPr>
          <w:i/>
          <w:iCs/>
          <w:lang w:eastAsia="ru-RU"/>
        </w:rPr>
        <w:t xml:space="preserve"> </w:t>
      </w:r>
      <w:r w:rsidRPr="00337D93">
        <w:rPr>
          <w:i/>
          <w:iCs/>
          <w:lang w:val="en-US" w:eastAsia="ru-RU"/>
        </w:rPr>
        <w:t>Street</w:t>
      </w:r>
      <w:r w:rsidRPr="00337D93">
        <w:rPr>
          <w:i/>
          <w:iCs/>
          <w:lang w:eastAsia="ru-RU"/>
        </w:rPr>
        <w:t xml:space="preserve">: </w:t>
      </w:r>
      <w:r w:rsidRPr="00337D93">
        <w:rPr>
          <w:i/>
          <w:iCs/>
          <w:lang w:val="en-US" w:eastAsia="ru-RU"/>
        </w:rPr>
        <w:t>a</w:t>
      </w:r>
      <w:r w:rsidRPr="00337D93">
        <w:rPr>
          <w:i/>
          <w:iCs/>
          <w:lang w:eastAsia="ru-RU"/>
        </w:rPr>
        <w:t xml:space="preserve"> </w:t>
      </w:r>
      <w:r w:rsidRPr="00337D93">
        <w:rPr>
          <w:i/>
          <w:iCs/>
          <w:lang w:val="en-US" w:eastAsia="ru-RU"/>
        </w:rPr>
        <w:t>comprehensive</w:t>
      </w:r>
      <w:r w:rsidRPr="00337D93">
        <w:rPr>
          <w:i/>
          <w:iCs/>
          <w:lang w:eastAsia="ru-RU"/>
        </w:rPr>
        <w:t xml:space="preserve"> </w:t>
      </w:r>
      <w:r w:rsidRPr="00337D93">
        <w:rPr>
          <w:i/>
          <w:iCs/>
          <w:lang w:val="en-US" w:eastAsia="ru-RU"/>
        </w:rPr>
        <w:t>guide</w:t>
      </w:r>
      <w:r w:rsidRPr="00337D93">
        <w:rPr>
          <w:i/>
          <w:iCs/>
          <w:lang w:eastAsia="ru-RU"/>
        </w:rPr>
        <w:t xml:space="preserve"> </w:t>
      </w:r>
      <w:r w:rsidRPr="00337D93">
        <w:rPr>
          <w:i/>
          <w:iCs/>
          <w:lang w:val="en-US" w:eastAsia="ru-RU"/>
        </w:rPr>
        <w:t>to</w:t>
      </w:r>
      <w:r w:rsidRPr="00337D93">
        <w:rPr>
          <w:i/>
          <w:iCs/>
          <w:lang w:eastAsia="ru-RU"/>
        </w:rPr>
        <w:t xml:space="preserve"> </w:t>
      </w:r>
      <w:r w:rsidRPr="00337D93">
        <w:rPr>
          <w:i/>
          <w:iCs/>
          <w:lang w:val="en-US" w:eastAsia="ru-RU"/>
        </w:rPr>
        <w:t>today</w:t>
      </w:r>
      <w:r w:rsidRPr="00337D93">
        <w:rPr>
          <w:i/>
          <w:iCs/>
          <w:lang w:eastAsia="ru-RU"/>
        </w:rPr>
        <w:t>’</w:t>
      </w:r>
      <w:r w:rsidRPr="00337D93">
        <w:rPr>
          <w:i/>
          <w:iCs/>
          <w:lang w:val="en-US" w:eastAsia="ru-RU"/>
        </w:rPr>
        <w:t>s</w:t>
      </w:r>
      <w:r w:rsidRPr="00337D93">
        <w:rPr>
          <w:i/>
          <w:iCs/>
          <w:lang w:eastAsia="ru-RU"/>
        </w:rPr>
        <w:t xml:space="preserve"> </w:t>
      </w:r>
      <w:r w:rsidRPr="00337D93">
        <w:rPr>
          <w:i/>
          <w:iCs/>
          <w:lang w:val="en-US" w:eastAsia="ru-RU"/>
        </w:rPr>
        <w:t>valuation</w:t>
      </w:r>
      <w:r w:rsidRPr="00337D93">
        <w:rPr>
          <w:i/>
          <w:iCs/>
          <w:lang w:eastAsia="ru-RU"/>
        </w:rPr>
        <w:t xml:space="preserve"> </w:t>
      </w:r>
      <w:r w:rsidRPr="00337D93">
        <w:rPr>
          <w:i/>
          <w:iCs/>
          <w:lang w:val="en-US" w:eastAsia="ru-RU"/>
        </w:rPr>
        <w:t>methods</w:t>
      </w:r>
      <w:r w:rsidRPr="00337D93">
        <w:rPr>
          <w:i/>
          <w:iCs/>
          <w:lang w:eastAsia="ru-RU"/>
        </w:rPr>
        <w:t>, Синичкин П.В., Мичурин Е.А. Анализ основных подходов к оценке стоимости компаний]</w:t>
      </w:r>
    </w:p>
    <w:p w14:paraId="38D9E58E" w14:textId="69F781AD" w:rsidR="008F1CFE" w:rsidRDefault="00922DC9" w:rsidP="00827E7C">
      <w:pPr>
        <w:rPr>
          <w:lang w:eastAsia="ru-RU"/>
        </w:rPr>
      </w:pPr>
      <w:r>
        <w:rPr>
          <w:lang w:eastAsia="ru-RU"/>
        </w:rPr>
        <w:t>Несмотря на преимущества трёх подходов, н</w:t>
      </w:r>
      <w:r w:rsidR="004E6C40">
        <w:rPr>
          <w:lang w:eastAsia="ru-RU"/>
        </w:rPr>
        <w:t>аиболее распространенным является доходный</w:t>
      </w:r>
      <w:r>
        <w:rPr>
          <w:lang w:eastAsia="ru-RU"/>
        </w:rPr>
        <w:t>.</w:t>
      </w:r>
      <w:r w:rsidR="00223029">
        <w:rPr>
          <w:lang w:eastAsia="ru-RU"/>
        </w:rPr>
        <w:t xml:space="preserve"> </w:t>
      </w:r>
      <w:r>
        <w:rPr>
          <w:lang w:eastAsia="ru-RU"/>
        </w:rPr>
        <w:t>Р</w:t>
      </w:r>
      <w:r w:rsidR="004E6C40">
        <w:rPr>
          <w:lang w:eastAsia="ru-RU"/>
        </w:rPr>
        <w:t>ыночный подход вовсе не рассматривается в качестве основного и самостоятельного: в литературе он</w:t>
      </w:r>
      <w:r w:rsidR="00CC276E">
        <w:rPr>
          <w:lang w:eastAsia="ru-RU"/>
        </w:rPr>
        <w:t xml:space="preserve"> </w:t>
      </w:r>
      <w:r w:rsidR="004E6C40">
        <w:rPr>
          <w:lang w:eastAsia="ru-RU"/>
        </w:rPr>
        <w:t xml:space="preserve">часто упоминается </w:t>
      </w:r>
      <w:r w:rsidR="00CC276E">
        <w:rPr>
          <w:lang w:eastAsia="ru-RU"/>
        </w:rPr>
        <w:t>как тест для обоснования доходного подхода</w:t>
      </w:r>
      <w:r w:rsidR="004E6C40">
        <w:rPr>
          <w:lang w:eastAsia="ru-RU"/>
        </w:rPr>
        <w:t>. В затратном подходе же не учитываются перспективы компании и конъюнктура рынка.</w:t>
      </w:r>
      <w:r w:rsidR="003662B4">
        <w:rPr>
          <w:rStyle w:val="afe"/>
          <w:lang w:eastAsia="ru-RU"/>
        </w:rPr>
        <w:footnoteReference w:id="19"/>
      </w:r>
      <w:r w:rsidR="004E6C40">
        <w:rPr>
          <w:lang w:eastAsia="ru-RU"/>
        </w:rPr>
        <w:t xml:space="preserve"> </w:t>
      </w:r>
      <w:r w:rsidR="008F1CFE">
        <w:rPr>
          <w:lang w:eastAsia="ru-RU"/>
        </w:rPr>
        <w:t>В силу того, что подход ориентирован на оценку материальных активов, он не подходит для компаний, обладающих большой ценностью бренда и репутацией.</w:t>
      </w:r>
      <w:r w:rsidR="008F1CFE">
        <w:rPr>
          <w:rStyle w:val="afe"/>
          <w:lang w:eastAsia="ru-RU"/>
        </w:rPr>
        <w:footnoteReference w:id="20"/>
      </w:r>
      <w:r w:rsidR="008F1CFE">
        <w:rPr>
          <w:lang w:eastAsia="ru-RU"/>
        </w:rPr>
        <w:t xml:space="preserve"> В условиях цифровизации, данное ограничение влияет на корректность оценки. Таким образом, компаниями обосновывается применение доходного подхода для оценки ценности бизнеса. </w:t>
      </w:r>
    </w:p>
    <w:p w14:paraId="5BAD628F" w14:textId="14205E25" w:rsidR="003662B4" w:rsidRPr="00D66098" w:rsidRDefault="008F1CFE" w:rsidP="00827E7C">
      <w:pPr>
        <w:rPr>
          <w:lang w:eastAsia="ru-RU"/>
        </w:rPr>
      </w:pPr>
      <w:r>
        <w:rPr>
          <w:lang w:eastAsia="ru-RU"/>
        </w:rPr>
        <w:t>Анализируя отдельно доходный подход, можно прийти к выводу, что на практике компании используют конкретно метод дисконтирования денежных потоков</w:t>
      </w:r>
      <w:r w:rsidR="006A5F8A">
        <w:rPr>
          <w:lang w:eastAsia="ru-RU"/>
        </w:rPr>
        <w:t xml:space="preserve"> (</w:t>
      </w:r>
      <w:r w:rsidR="006A5F8A">
        <w:rPr>
          <w:lang w:val="en-US" w:eastAsia="ru-RU"/>
        </w:rPr>
        <w:t>DCF</w:t>
      </w:r>
      <w:r w:rsidR="006A5F8A">
        <w:rPr>
          <w:lang w:eastAsia="ru-RU"/>
        </w:rPr>
        <w:t>)</w:t>
      </w:r>
      <w:r>
        <w:rPr>
          <w:lang w:eastAsia="ru-RU"/>
        </w:rPr>
        <w:t xml:space="preserve">. </w:t>
      </w:r>
      <w:r w:rsidR="005B465C">
        <w:rPr>
          <w:lang w:eastAsia="ru-RU"/>
        </w:rPr>
        <w:t>По данным проведенного исследования Льюиса Е.,</w:t>
      </w:r>
      <w:r w:rsidR="005B465C" w:rsidRPr="005B465C">
        <w:rPr>
          <w:lang w:eastAsia="ru-RU"/>
        </w:rPr>
        <w:t xml:space="preserve"> </w:t>
      </w:r>
      <w:r w:rsidR="005B465C">
        <w:rPr>
          <w:lang w:eastAsia="ru-RU"/>
        </w:rPr>
        <w:t xml:space="preserve">компании чаще применяют </w:t>
      </w:r>
      <w:r>
        <w:rPr>
          <w:lang w:eastAsia="ru-RU"/>
        </w:rPr>
        <w:t xml:space="preserve">метод </w:t>
      </w:r>
      <w:r>
        <w:rPr>
          <w:lang w:val="en-US" w:eastAsia="ru-RU"/>
        </w:rPr>
        <w:t>DCF</w:t>
      </w:r>
      <w:r>
        <w:rPr>
          <w:lang w:eastAsia="ru-RU"/>
        </w:rPr>
        <w:t xml:space="preserve"> </w:t>
      </w:r>
      <w:r w:rsidR="005B465C">
        <w:rPr>
          <w:lang w:eastAsia="ru-RU"/>
        </w:rPr>
        <w:t>для оценки ценности бизнеса.</w:t>
      </w:r>
      <w:r w:rsidR="005B465C">
        <w:rPr>
          <w:rStyle w:val="afe"/>
          <w:lang w:eastAsia="ru-RU"/>
        </w:rPr>
        <w:footnoteReference w:id="21"/>
      </w:r>
      <w:r w:rsidR="005B465C">
        <w:rPr>
          <w:lang w:eastAsia="ru-RU"/>
        </w:rPr>
        <w:t xml:space="preserve"> </w:t>
      </w:r>
      <w:r>
        <w:rPr>
          <w:lang w:eastAsia="ru-RU"/>
        </w:rPr>
        <w:t xml:space="preserve">Несмотря на развитие экономики и совершенствование новых методов, оценщики считают </w:t>
      </w:r>
      <w:r>
        <w:rPr>
          <w:lang w:val="en-US" w:eastAsia="ru-RU"/>
        </w:rPr>
        <w:t>DCF</w:t>
      </w:r>
      <w:r>
        <w:rPr>
          <w:lang w:eastAsia="ru-RU"/>
        </w:rPr>
        <w:t xml:space="preserve"> наиболее надежным и релевантным даже при нестабильной экономике. </w:t>
      </w:r>
      <w:r w:rsidR="00D66098">
        <w:rPr>
          <w:lang w:eastAsia="ru-RU"/>
        </w:rPr>
        <w:t>Основываясь на данны</w:t>
      </w:r>
      <w:r w:rsidR="004E0793">
        <w:rPr>
          <w:lang w:eastAsia="ru-RU"/>
        </w:rPr>
        <w:t>е</w:t>
      </w:r>
      <w:r w:rsidR="00D66098">
        <w:rPr>
          <w:lang w:eastAsia="ru-RU"/>
        </w:rPr>
        <w:t xml:space="preserve"> </w:t>
      </w:r>
      <w:r w:rsidR="00D66098">
        <w:rPr>
          <w:lang w:val="en-US" w:eastAsia="ru-RU"/>
        </w:rPr>
        <w:t>McKinsey</w:t>
      </w:r>
      <w:r w:rsidR="00D66098">
        <w:rPr>
          <w:lang w:eastAsia="ru-RU"/>
        </w:rPr>
        <w:t>, в современном мире</w:t>
      </w:r>
      <w:r w:rsidR="00AE6842">
        <w:rPr>
          <w:lang w:eastAsia="ru-RU"/>
        </w:rPr>
        <w:t xml:space="preserve"> </w:t>
      </w:r>
      <w:r w:rsidR="00D66098">
        <w:rPr>
          <w:lang w:eastAsia="ru-RU"/>
        </w:rPr>
        <w:t xml:space="preserve">метод </w:t>
      </w:r>
      <w:r w:rsidR="00D66098">
        <w:rPr>
          <w:lang w:eastAsia="ru-RU"/>
        </w:rPr>
        <w:lastRenderedPageBreak/>
        <w:t>дисконтирования денежных потоков остается наиболее распространенным</w:t>
      </w:r>
      <w:r>
        <w:rPr>
          <w:lang w:eastAsia="ru-RU"/>
        </w:rPr>
        <w:t xml:space="preserve"> </w:t>
      </w:r>
      <w:r w:rsidR="00D66098">
        <w:rPr>
          <w:lang w:eastAsia="ru-RU"/>
        </w:rPr>
        <w:t xml:space="preserve">для применения </w:t>
      </w:r>
      <w:r w:rsidR="004E0793">
        <w:rPr>
          <w:lang w:eastAsia="ru-RU"/>
        </w:rPr>
        <w:t>даже</w:t>
      </w:r>
      <w:r>
        <w:rPr>
          <w:lang w:eastAsia="ru-RU"/>
        </w:rPr>
        <w:t xml:space="preserve"> </w:t>
      </w:r>
      <w:r w:rsidR="00D66098">
        <w:rPr>
          <w:lang w:eastAsia="ru-RU"/>
        </w:rPr>
        <w:t xml:space="preserve">в </w:t>
      </w:r>
      <w:r w:rsidR="00D66098">
        <w:rPr>
          <w:lang w:val="en-US" w:eastAsia="ru-RU"/>
        </w:rPr>
        <w:t>high</w:t>
      </w:r>
      <w:r w:rsidR="00D66098" w:rsidRPr="00D66098">
        <w:rPr>
          <w:lang w:eastAsia="ru-RU"/>
        </w:rPr>
        <w:t>-</w:t>
      </w:r>
      <w:r w:rsidR="00D66098">
        <w:rPr>
          <w:lang w:val="en-US" w:eastAsia="ru-RU"/>
        </w:rPr>
        <w:t>tech</w:t>
      </w:r>
      <w:r w:rsidR="00D66098">
        <w:rPr>
          <w:lang w:eastAsia="ru-RU"/>
        </w:rPr>
        <w:t xml:space="preserve"> компаниях.</w:t>
      </w:r>
      <w:r w:rsidR="00D66098">
        <w:rPr>
          <w:rStyle w:val="afe"/>
          <w:lang w:eastAsia="ru-RU"/>
        </w:rPr>
        <w:footnoteReference w:id="22"/>
      </w:r>
      <w:r w:rsidR="00D66098">
        <w:rPr>
          <w:lang w:eastAsia="ru-RU"/>
        </w:rPr>
        <w:t xml:space="preserve"> </w:t>
      </w:r>
    </w:p>
    <w:p w14:paraId="2DB186C8" w14:textId="443D02C3" w:rsidR="00827E7C" w:rsidRDefault="003662B4" w:rsidP="00827E7C">
      <w:pPr>
        <w:rPr>
          <w:lang w:eastAsia="ru-RU"/>
        </w:rPr>
      </w:pPr>
      <w:r>
        <w:rPr>
          <w:lang w:eastAsia="ru-RU"/>
        </w:rPr>
        <w:t>Таким образом, в основном для оценки ценности компаний применяется</w:t>
      </w:r>
      <w:r w:rsidR="00D66098" w:rsidRPr="00D66098">
        <w:rPr>
          <w:lang w:eastAsia="ru-RU"/>
        </w:rPr>
        <w:t xml:space="preserve"> </w:t>
      </w:r>
      <w:r>
        <w:rPr>
          <w:lang w:eastAsia="ru-RU"/>
        </w:rPr>
        <w:t>метод дисконтирования денежных потоков</w:t>
      </w:r>
      <w:r w:rsidR="00D66098" w:rsidRPr="00D66098">
        <w:rPr>
          <w:lang w:eastAsia="ru-RU"/>
        </w:rPr>
        <w:t xml:space="preserve">, </w:t>
      </w:r>
      <w:r w:rsidR="00D66098">
        <w:rPr>
          <w:lang w:eastAsia="ru-RU"/>
        </w:rPr>
        <w:t>который входит в классический доходный подход</w:t>
      </w:r>
      <w:r>
        <w:rPr>
          <w:lang w:eastAsia="ru-RU"/>
        </w:rPr>
        <w:t xml:space="preserve">. Однако несмотря на распространенность и универсальность данного способа, </w:t>
      </w:r>
      <w:r w:rsidR="00EA1EC3">
        <w:rPr>
          <w:lang w:eastAsia="ru-RU"/>
        </w:rPr>
        <w:t xml:space="preserve">подход является одним из самых трудоемких и сложных, при этом </w:t>
      </w:r>
      <w:r>
        <w:rPr>
          <w:lang w:eastAsia="ru-RU"/>
        </w:rPr>
        <w:t xml:space="preserve">полученные результаты ценности бизнеса </w:t>
      </w:r>
      <w:r w:rsidR="00EA1EC3">
        <w:rPr>
          <w:lang w:eastAsia="ru-RU"/>
        </w:rPr>
        <w:t xml:space="preserve">могут быть </w:t>
      </w:r>
      <w:r>
        <w:rPr>
          <w:lang w:eastAsia="ru-RU"/>
        </w:rPr>
        <w:t>ошибочными</w:t>
      </w:r>
      <w:r w:rsidR="004640D8">
        <w:rPr>
          <w:lang w:eastAsia="ru-RU"/>
        </w:rPr>
        <w:t>, увеличивая риск при приняти</w:t>
      </w:r>
      <w:r w:rsidR="006A5F8A">
        <w:rPr>
          <w:lang w:eastAsia="ru-RU"/>
        </w:rPr>
        <w:t>и</w:t>
      </w:r>
      <w:r w:rsidR="004640D8">
        <w:rPr>
          <w:lang w:eastAsia="ru-RU"/>
        </w:rPr>
        <w:t xml:space="preserve"> управленческих решений. </w:t>
      </w:r>
    </w:p>
    <w:p w14:paraId="7E0E88AB" w14:textId="1A038C33" w:rsidR="00196172" w:rsidRDefault="004C5ECB" w:rsidP="00196172">
      <w:pPr>
        <w:pStyle w:val="2"/>
        <w:rPr>
          <w:lang w:eastAsia="ru-RU"/>
        </w:rPr>
      </w:pPr>
      <w:bookmarkStart w:id="11" w:name="_Toc41822231"/>
      <w:r>
        <w:rPr>
          <w:lang w:eastAsia="ru-RU"/>
        </w:rPr>
        <w:t xml:space="preserve">1.3. </w:t>
      </w:r>
      <w:r w:rsidR="00D02D4B">
        <w:rPr>
          <w:lang w:eastAsia="ru-RU"/>
        </w:rPr>
        <w:t xml:space="preserve">Анализ недостатков </w:t>
      </w:r>
      <w:r w:rsidR="00196172">
        <w:rPr>
          <w:lang w:eastAsia="ru-RU"/>
        </w:rPr>
        <w:t>классического доходного подхода</w:t>
      </w:r>
      <w:bookmarkEnd w:id="11"/>
    </w:p>
    <w:p w14:paraId="7F7A1A9A" w14:textId="739FBDB1" w:rsidR="007A2F60" w:rsidRPr="006C37B1" w:rsidRDefault="00D02D4B" w:rsidP="00540487">
      <w:pPr>
        <w:rPr>
          <w:lang w:eastAsia="ru-RU"/>
        </w:rPr>
      </w:pPr>
      <w:r>
        <w:rPr>
          <w:lang w:eastAsia="ru-RU"/>
        </w:rPr>
        <w:t>Определение результатов деятельности компании в классическом доходном подходе в значительной мере основывается на генерируемых денежных потоках.</w:t>
      </w:r>
      <w:r w:rsidR="002774E6">
        <w:rPr>
          <w:rStyle w:val="afe"/>
          <w:lang w:eastAsia="ru-RU"/>
        </w:rPr>
        <w:footnoteReference w:id="23"/>
      </w:r>
      <w:r>
        <w:rPr>
          <w:lang w:eastAsia="ru-RU"/>
        </w:rPr>
        <w:t xml:space="preserve"> </w:t>
      </w:r>
      <w:r w:rsidR="001C2134">
        <w:rPr>
          <w:lang w:eastAsia="ru-RU"/>
        </w:rPr>
        <w:t xml:space="preserve">В то время как </w:t>
      </w:r>
      <w:r>
        <w:rPr>
          <w:lang w:eastAsia="ru-RU"/>
        </w:rPr>
        <w:t xml:space="preserve">использование бухгалтерской информации для прогнозирования будущих доходов сопровождается потенциальными сложностями. </w:t>
      </w:r>
      <w:r w:rsidR="009B244B">
        <w:rPr>
          <w:lang w:eastAsia="ru-RU"/>
        </w:rPr>
        <w:t>С</w:t>
      </w:r>
      <w:r w:rsidR="007A2F60">
        <w:rPr>
          <w:lang w:eastAsia="ru-RU"/>
        </w:rPr>
        <w:t xml:space="preserve">уществует проблема </w:t>
      </w:r>
      <w:r w:rsidR="008E386A">
        <w:rPr>
          <w:lang w:eastAsia="ru-RU"/>
        </w:rPr>
        <w:t xml:space="preserve">фальсификации </w:t>
      </w:r>
      <w:r w:rsidR="007A2F60">
        <w:rPr>
          <w:lang w:eastAsia="ru-RU"/>
        </w:rPr>
        <w:t>бухгалтерской информаци</w:t>
      </w:r>
      <w:r w:rsidR="008E386A">
        <w:rPr>
          <w:lang w:eastAsia="ru-RU"/>
        </w:rPr>
        <w:t>и</w:t>
      </w:r>
      <w:r w:rsidR="002774E6">
        <w:rPr>
          <w:lang w:eastAsia="ru-RU"/>
        </w:rPr>
        <w:t>:</w:t>
      </w:r>
      <w:r w:rsidR="007A2F60">
        <w:rPr>
          <w:lang w:eastAsia="ru-RU"/>
        </w:rPr>
        <w:t xml:space="preserve"> </w:t>
      </w:r>
      <w:r w:rsidR="002774E6">
        <w:rPr>
          <w:lang w:eastAsia="ru-RU"/>
        </w:rPr>
        <w:t>м</w:t>
      </w:r>
      <w:r w:rsidR="007A2F60">
        <w:rPr>
          <w:lang w:eastAsia="ru-RU"/>
        </w:rPr>
        <w:t>енеджмент компании может скрывать реальные показатели</w:t>
      </w:r>
      <w:r w:rsidR="00540487">
        <w:rPr>
          <w:lang w:eastAsia="ru-RU"/>
        </w:rPr>
        <w:t xml:space="preserve">, использовать инсайдерскую информацию для </w:t>
      </w:r>
      <w:r w:rsidR="0069164A">
        <w:rPr>
          <w:lang w:eastAsia="ru-RU"/>
        </w:rPr>
        <w:t xml:space="preserve">собственных целей </w:t>
      </w:r>
      <w:r w:rsidR="007A2F60">
        <w:rPr>
          <w:lang w:eastAsia="ru-RU"/>
        </w:rPr>
        <w:t>и предоставлять совершенно ложные данны</w:t>
      </w:r>
      <w:r w:rsidR="00540487">
        <w:rPr>
          <w:lang w:eastAsia="ru-RU"/>
        </w:rPr>
        <w:t>е для оценки.</w:t>
      </w:r>
      <w:r w:rsidR="0069164A">
        <w:rPr>
          <w:rStyle w:val="afe"/>
          <w:lang w:eastAsia="ru-RU"/>
        </w:rPr>
        <w:footnoteReference w:id="24"/>
      </w:r>
      <w:r w:rsidR="001C2134">
        <w:rPr>
          <w:lang w:eastAsia="ru-RU"/>
        </w:rPr>
        <w:t xml:space="preserve"> Далее приведены широко известные примеры последствий использования некорректных результатов оценки компаний для управления бизнесом. </w:t>
      </w:r>
    </w:p>
    <w:p w14:paraId="61C6EB44" w14:textId="11E57273" w:rsidR="007A2F60" w:rsidRDefault="00540487" w:rsidP="003662B4">
      <w:pPr>
        <w:rPr>
          <w:lang w:eastAsia="ru-RU"/>
        </w:rPr>
      </w:pPr>
      <w:r>
        <w:rPr>
          <w:lang w:eastAsia="ru-RU"/>
        </w:rPr>
        <w:t xml:space="preserve">Нашумевшая история с компанией </w:t>
      </w:r>
      <w:r>
        <w:rPr>
          <w:lang w:val="en-US" w:eastAsia="ru-RU"/>
        </w:rPr>
        <w:t>Enron</w:t>
      </w:r>
      <w:r w:rsidRPr="00540487">
        <w:rPr>
          <w:lang w:eastAsia="ru-RU"/>
        </w:rPr>
        <w:t xml:space="preserve"> </w:t>
      </w:r>
      <w:r>
        <w:rPr>
          <w:lang w:val="en-US" w:eastAsia="ru-RU"/>
        </w:rPr>
        <w:t>Corporation</w:t>
      </w:r>
      <w:r>
        <w:rPr>
          <w:lang w:eastAsia="ru-RU"/>
        </w:rPr>
        <w:t xml:space="preserve"> стала основным примером использования инсайдерской информации и черной бухгалтерии. Стоимость компании</w:t>
      </w:r>
      <w:r w:rsidR="0069164A">
        <w:rPr>
          <w:lang w:eastAsia="ru-RU"/>
        </w:rPr>
        <w:t xml:space="preserve"> составляла </w:t>
      </w:r>
      <w:r>
        <w:rPr>
          <w:lang w:eastAsia="ru-RU"/>
        </w:rPr>
        <w:t>более чем 50 миллиардов долларов</w:t>
      </w:r>
      <w:r w:rsidR="0069164A">
        <w:rPr>
          <w:lang w:eastAsia="ru-RU"/>
        </w:rPr>
        <w:t>, а выручка за год</w:t>
      </w:r>
      <w:r w:rsidR="001C2134">
        <w:rPr>
          <w:lang w:eastAsia="ru-RU"/>
        </w:rPr>
        <w:t xml:space="preserve"> </w:t>
      </w:r>
      <w:r w:rsidR="0069164A">
        <w:rPr>
          <w:lang w:eastAsia="ru-RU"/>
        </w:rPr>
        <w:t xml:space="preserve">до банкротства </w:t>
      </w:r>
      <w:r w:rsidR="002A46F2">
        <w:rPr>
          <w:lang w:eastAsia="ru-RU"/>
        </w:rPr>
        <w:t>была равна 101 миллиарду долларов.</w:t>
      </w:r>
      <w:r w:rsidR="001A62A0">
        <w:rPr>
          <w:lang w:eastAsia="ru-RU"/>
        </w:rPr>
        <w:t xml:space="preserve"> Компания использовала офшорные зоны, и тем самым вводила в заблуждение инвесторов (было зарегистрировано около 700 дочерних компаний по одному юридическому адресу).</w:t>
      </w:r>
      <w:r w:rsidR="001A62A0">
        <w:rPr>
          <w:rStyle w:val="afe"/>
          <w:lang w:eastAsia="ru-RU"/>
        </w:rPr>
        <w:footnoteReference w:id="25"/>
      </w:r>
      <w:r w:rsidR="001A62A0">
        <w:rPr>
          <w:lang w:eastAsia="ru-RU"/>
        </w:rPr>
        <w:t xml:space="preserve"> </w:t>
      </w:r>
      <w:r w:rsidR="001A62A0">
        <w:rPr>
          <w:lang w:val="en-US" w:eastAsia="ru-RU"/>
        </w:rPr>
        <w:t>Enron</w:t>
      </w:r>
      <w:r w:rsidR="001A62A0">
        <w:rPr>
          <w:lang w:eastAsia="ru-RU"/>
        </w:rPr>
        <w:t xml:space="preserve"> скрывали убытки компании, в отличии от </w:t>
      </w:r>
      <w:r w:rsidR="00922DC9">
        <w:rPr>
          <w:lang w:eastAsia="ru-RU"/>
        </w:rPr>
        <w:t xml:space="preserve">Российской </w:t>
      </w:r>
      <w:r w:rsidR="001A62A0">
        <w:rPr>
          <w:lang w:eastAsia="ru-RU"/>
        </w:rPr>
        <w:t>практики, где ч</w:t>
      </w:r>
      <w:r w:rsidR="00922DC9">
        <w:rPr>
          <w:lang w:eastAsia="ru-RU"/>
        </w:rPr>
        <w:t xml:space="preserve">астой </w:t>
      </w:r>
      <w:r w:rsidR="001A62A0">
        <w:rPr>
          <w:lang w:eastAsia="ru-RU"/>
        </w:rPr>
        <w:t xml:space="preserve">аферой является уменьшение доходов. Однако важно отметить, что предоставленная оценка компании была осуществлена на недостоверной информации, о которой заведомо знал аудитор — компания </w:t>
      </w:r>
      <w:r w:rsidR="001A62A0">
        <w:rPr>
          <w:lang w:val="en-US" w:eastAsia="ru-RU"/>
        </w:rPr>
        <w:t>Arthur</w:t>
      </w:r>
      <w:r w:rsidR="001A62A0" w:rsidRPr="001A62A0">
        <w:rPr>
          <w:lang w:eastAsia="ru-RU"/>
        </w:rPr>
        <w:t xml:space="preserve"> </w:t>
      </w:r>
      <w:r w:rsidR="001A62A0">
        <w:rPr>
          <w:lang w:val="en-US" w:eastAsia="ru-RU"/>
        </w:rPr>
        <w:t>Andersen</w:t>
      </w:r>
      <w:r w:rsidR="001A62A0">
        <w:rPr>
          <w:lang w:eastAsia="ru-RU"/>
        </w:rPr>
        <w:t>. Предоставленные о</w:t>
      </w:r>
      <w:r w:rsidR="0069164A">
        <w:rPr>
          <w:lang w:eastAsia="ru-RU"/>
        </w:rPr>
        <w:t xml:space="preserve">шибочные результаты привели к неожиданному </w:t>
      </w:r>
      <w:r w:rsidR="001A62A0">
        <w:rPr>
          <w:lang w:eastAsia="ru-RU"/>
        </w:rPr>
        <w:t xml:space="preserve">для инвесторов </w:t>
      </w:r>
      <w:r w:rsidR="0069164A">
        <w:rPr>
          <w:lang w:eastAsia="ru-RU"/>
        </w:rPr>
        <w:t>банкротству</w:t>
      </w:r>
      <w:r w:rsidR="001A62A0">
        <w:rPr>
          <w:lang w:eastAsia="ru-RU"/>
        </w:rPr>
        <w:t xml:space="preserve">, которые потеряли свои вложения. </w:t>
      </w:r>
    </w:p>
    <w:p w14:paraId="5F525881" w14:textId="782795DC" w:rsidR="001A62A0" w:rsidRDefault="001A62A0" w:rsidP="003662B4">
      <w:pPr>
        <w:rPr>
          <w:lang w:eastAsia="ru-RU"/>
        </w:rPr>
      </w:pPr>
      <w:r>
        <w:rPr>
          <w:lang w:eastAsia="ru-RU"/>
        </w:rPr>
        <w:lastRenderedPageBreak/>
        <w:t xml:space="preserve">Несмотря на историю компании </w:t>
      </w:r>
      <w:r>
        <w:rPr>
          <w:lang w:val="en-US" w:eastAsia="ru-RU"/>
        </w:rPr>
        <w:t>Enron</w:t>
      </w:r>
      <w:r>
        <w:rPr>
          <w:lang w:eastAsia="ru-RU"/>
        </w:rPr>
        <w:t xml:space="preserve">, сегодня их опыт повторяется в крупных компаниях. </w:t>
      </w:r>
      <w:r w:rsidR="00A12B1C">
        <w:rPr>
          <w:lang w:eastAsia="ru-RU"/>
        </w:rPr>
        <w:t xml:space="preserve">Многие эксперты предупреждают о возможных трудностях компании </w:t>
      </w:r>
      <w:r w:rsidR="00A12B1C">
        <w:rPr>
          <w:lang w:val="en-US" w:eastAsia="ru-RU"/>
        </w:rPr>
        <w:t>Boeing</w:t>
      </w:r>
      <w:r w:rsidR="00A12B1C">
        <w:rPr>
          <w:lang w:eastAsia="ru-RU"/>
        </w:rPr>
        <w:t xml:space="preserve">, и называют его «скандалом </w:t>
      </w:r>
      <w:r w:rsidR="00A12B1C">
        <w:rPr>
          <w:lang w:val="en-US" w:eastAsia="ru-RU"/>
        </w:rPr>
        <w:t>Enron</w:t>
      </w:r>
      <w:r w:rsidR="00A12B1C" w:rsidRPr="00A12B1C">
        <w:rPr>
          <w:lang w:eastAsia="ru-RU"/>
        </w:rPr>
        <w:t xml:space="preserve"> </w:t>
      </w:r>
      <w:r w:rsidR="00A12B1C">
        <w:rPr>
          <w:lang w:eastAsia="ru-RU"/>
        </w:rPr>
        <w:t>нашего времени».</w:t>
      </w:r>
      <w:r w:rsidR="00A12B1C">
        <w:rPr>
          <w:rStyle w:val="afe"/>
          <w:lang w:eastAsia="ru-RU"/>
        </w:rPr>
        <w:footnoteReference w:id="26"/>
      </w:r>
      <w:r w:rsidR="00A12B1C">
        <w:rPr>
          <w:lang w:eastAsia="ru-RU"/>
        </w:rPr>
        <w:t xml:space="preserve"> </w:t>
      </w:r>
      <w:r w:rsidR="008E386A">
        <w:rPr>
          <w:lang w:eastAsia="ru-RU"/>
        </w:rPr>
        <w:t>Сейчас а</w:t>
      </w:r>
      <w:r w:rsidR="00A12B1C">
        <w:rPr>
          <w:lang w:eastAsia="ru-RU"/>
        </w:rPr>
        <w:t>виакомпания приостанавливает производств</w:t>
      </w:r>
      <w:r w:rsidR="00BF71ED">
        <w:rPr>
          <w:lang w:eastAsia="ru-RU"/>
        </w:rPr>
        <w:t>о</w:t>
      </w:r>
      <w:r w:rsidR="00A12B1C">
        <w:rPr>
          <w:lang w:eastAsia="ru-RU"/>
        </w:rPr>
        <w:t xml:space="preserve"> </w:t>
      </w:r>
      <w:r w:rsidR="00A12B1C" w:rsidRPr="00A12B1C">
        <w:rPr>
          <w:lang w:eastAsia="ru-RU"/>
        </w:rPr>
        <w:t xml:space="preserve">737 </w:t>
      </w:r>
      <w:r w:rsidR="00A12B1C">
        <w:rPr>
          <w:lang w:val="en-US" w:eastAsia="ru-RU"/>
        </w:rPr>
        <w:t>Max</w:t>
      </w:r>
      <w:r w:rsidR="00A12B1C">
        <w:rPr>
          <w:lang w:eastAsia="ru-RU"/>
        </w:rPr>
        <w:t xml:space="preserve"> после двух катастрофических аварий, в которых погибли 346 человек.</w:t>
      </w:r>
      <w:r w:rsidR="00BF71ED">
        <w:rPr>
          <w:rStyle w:val="afe"/>
          <w:lang w:eastAsia="ru-RU"/>
        </w:rPr>
        <w:footnoteReference w:id="27"/>
      </w:r>
      <w:r w:rsidR="00A12B1C">
        <w:rPr>
          <w:lang w:eastAsia="ru-RU"/>
        </w:rPr>
        <w:t xml:space="preserve"> </w:t>
      </w:r>
      <w:r w:rsidR="00BF71ED">
        <w:rPr>
          <w:lang w:eastAsia="ru-RU"/>
        </w:rPr>
        <w:t xml:space="preserve">Кевин Смит, финансовый аналитик компании </w:t>
      </w:r>
      <w:proofErr w:type="spellStart"/>
      <w:r w:rsidR="00BF71ED">
        <w:rPr>
          <w:lang w:val="en-US" w:eastAsia="ru-RU"/>
        </w:rPr>
        <w:t>Grescat</w:t>
      </w:r>
      <w:proofErr w:type="spellEnd"/>
      <w:r w:rsidR="00BF71ED" w:rsidRPr="00BF71ED">
        <w:rPr>
          <w:lang w:eastAsia="ru-RU"/>
        </w:rPr>
        <w:t xml:space="preserve"> </w:t>
      </w:r>
      <w:r w:rsidR="00BF71ED">
        <w:rPr>
          <w:lang w:val="en-US" w:eastAsia="ru-RU"/>
        </w:rPr>
        <w:t>Capital</w:t>
      </w:r>
      <w:r w:rsidR="00BF71ED">
        <w:rPr>
          <w:lang w:eastAsia="ru-RU"/>
        </w:rPr>
        <w:t xml:space="preserve">, высказался, что «цифры </w:t>
      </w:r>
      <w:r w:rsidR="00BF71ED">
        <w:rPr>
          <w:lang w:val="en-US" w:eastAsia="ru-RU"/>
        </w:rPr>
        <w:t>Boeing</w:t>
      </w:r>
      <w:r w:rsidR="00BF71ED" w:rsidRPr="00BF71ED">
        <w:rPr>
          <w:lang w:eastAsia="ru-RU"/>
        </w:rPr>
        <w:t xml:space="preserve"> </w:t>
      </w:r>
      <w:r w:rsidR="00BF71ED">
        <w:rPr>
          <w:lang w:eastAsia="ru-RU"/>
        </w:rPr>
        <w:t>не выглядят правильно»</w:t>
      </w:r>
      <w:r w:rsidR="008E386A">
        <w:rPr>
          <w:lang w:eastAsia="ru-RU"/>
        </w:rPr>
        <w:t xml:space="preserve">: </w:t>
      </w:r>
      <w:r w:rsidR="00BF71ED">
        <w:rPr>
          <w:lang w:eastAsia="ru-RU"/>
        </w:rPr>
        <w:t xml:space="preserve">методы учета в компании нестандартные и очень рискованные, особенно после кейса </w:t>
      </w:r>
      <w:r w:rsidR="00BF71ED" w:rsidRPr="00BF71ED">
        <w:rPr>
          <w:lang w:eastAsia="ru-RU"/>
        </w:rPr>
        <w:t xml:space="preserve">737 </w:t>
      </w:r>
      <w:r w:rsidR="00BF71ED">
        <w:rPr>
          <w:lang w:val="en-US" w:eastAsia="ru-RU"/>
        </w:rPr>
        <w:t>Max</w:t>
      </w:r>
      <w:r w:rsidR="00BF71ED" w:rsidRPr="00BF71ED">
        <w:rPr>
          <w:lang w:eastAsia="ru-RU"/>
        </w:rPr>
        <w:t xml:space="preserve"> </w:t>
      </w:r>
      <w:r w:rsidR="00981F6A">
        <w:rPr>
          <w:lang w:eastAsia="ru-RU"/>
        </w:rPr>
        <w:t xml:space="preserve">предоставляемая </w:t>
      </w:r>
      <w:r w:rsidR="00BF71ED">
        <w:rPr>
          <w:lang w:eastAsia="ru-RU"/>
        </w:rPr>
        <w:t>информация</w:t>
      </w:r>
      <w:r w:rsidR="00981F6A">
        <w:rPr>
          <w:lang w:eastAsia="ru-RU"/>
        </w:rPr>
        <w:t xml:space="preserve"> от </w:t>
      </w:r>
      <w:r w:rsidR="00981F6A">
        <w:rPr>
          <w:lang w:val="en-US" w:eastAsia="ru-RU"/>
        </w:rPr>
        <w:t>Boeing</w:t>
      </w:r>
      <w:r w:rsidR="00981F6A" w:rsidRPr="00981F6A">
        <w:rPr>
          <w:lang w:eastAsia="ru-RU"/>
        </w:rPr>
        <w:t xml:space="preserve"> </w:t>
      </w:r>
      <w:r w:rsidR="00981F6A">
        <w:rPr>
          <w:lang w:eastAsia="ru-RU"/>
        </w:rPr>
        <w:t xml:space="preserve">становится неправдоподобной. </w:t>
      </w:r>
    </w:p>
    <w:p w14:paraId="7FA71986" w14:textId="58CE1F4C" w:rsidR="0085547B" w:rsidRDefault="0085547B" w:rsidP="003662B4">
      <w:pPr>
        <w:rPr>
          <w:lang w:eastAsia="ru-RU"/>
        </w:rPr>
      </w:pPr>
      <w:r>
        <w:rPr>
          <w:lang w:eastAsia="ru-RU"/>
        </w:rPr>
        <w:t xml:space="preserve">Недостоверность информации и последующая оценка на некорректных данных приводит не только к ошибочному управлению компанией, но и проблематичности выхода на </w:t>
      </w:r>
      <w:r>
        <w:rPr>
          <w:lang w:val="en-US" w:eastAsia="ru-RU"/>
        </w:rPr>
        <w:t>IPO</w:t>
      </w:r>
      <w:r>
        <w:rPr>
          <w:lang w:eastAsia="ru-RU"/>
        </w:rPr>
        <w:t xml:space="preserve">. </w:t>
      </w:r>
      <w:r w:rsidR="002067BC">
        <w:rPr>
          <w:lang w:eastAsia="ru-RU"/>
        </w:rPr>
        <w:t xml:space="preserve">Ярким примером возникающих проблем оценки ценности является прошлогодняя история выхода на </w:t>
      </w:r>
      <w:r w:rsidR="002067BC">
        <w:rPr>
          <w:lang w:val="en-US" w:eastAsia="ru-RU"/>
        </w:rPr>
        <w:t>IPO</w:t>
      </w:r>
      <w:r w:rsidR="002067BC">
        <w:rPr>
          <w:lang w:eastAsia="ru-RU"/>
        </w:rPr>
        <w:t xml:space="preserve"> компании </w:t>
      </w:r>
      <w:proofErr w:type="spellStart"/>
      <w:r w:rsidR="002067BC">
        <w:rPr>
          <w:lang w:val="en-US" w:eastAsia="ru-RU"/>
        </w:rPr>
        <w:t>Wework</w:t>
      </w:r>
      <w:proofErr w:type="spellEnd"/>
      <w:r w:rsidR="002067BC">
        <w:rPr>
          <w:lang w:eastAsia="ru-RU"/>
        </w:rPr>
        <w:t xml:space="preserve">. Её стоимость прямо перед первичным размещением акций упала </w:t>
      </w:r>
      <w:r w:rsidR="00922DC9">
        <w:rPr>
          <w:lang w:eastAsia="ru-RU"/>
        </w:rPr>
        <w:t xml:space="preserve">практически </w:t>
      </w:r>
      <w:r w:rsidR="002067BC">
        <w:rPr>
          <w:lang w:eastAsia="ru-RU"/>
        </w:rPr>
        <w:t xml:space="preserve">в </w:t>
      </w:r>
      <w:r w:rsidR="00922DC9">
        <w:rPr>
          <w:lang w:eastAsia="ru-RU"/>
        </w:rPr>
        <w:t>5</w:t>
      </w:r>
      <w:r w:rsidR="002067BC">
        <w:rPr>
          <w:lang w:eastAsia="ru-RU"/>
        </w:rPr>
        <w:t xml:space="preserve"> раза: с </w:t>
      </w:r>
      <w:r w:rsidR="002067BC" w:rsidRPr="002067BC">
        <w:rPr>
          <w:lang w:eastAsia="ru-RU"/>
        </w:rPr>
        <w:t>$</w:t>
      </w:r>
      <w:r w:rsidR="002067BC">
        <w:rPr>
          <w:lang w:eastAsia="ru-RU"/>
        </w:rPr>
        <w:t xml:space="preserve">47 млрд до менее, чем </w:t>
      </w:r>
      <w:r w:rsidR="002067BC" w:rsidRPr="002067BC">
        <w:rPr>
          <w:lang w:eastAsia="ru-RU"/>
        </w:rPr>
        <w:t>$</w:t>
      </w:r>
      <w:r w:rsidR="00622CB6">
        <w:rPr>
          <w:lang w:eastAsia="ru-RU"/>
        </w:rPr>
        <w:t>1</w:t>
      </w:r>
      <w:r w:rsidR="002067BC">
        <w:rPr>
          <w:lang w:eastAsia="ru-RU"/>
        </w:rPr>
        <w:t>0 млрд</w:t>
      </w:r>
      <w:r w:rsidR="002067BC" w:rsidRPr="002067BC">
        <w:rPr>
          <w:lang w:eastAsia="ru-RU"/>
        </w:rPr>
        <w:t>.</w:t>
      </w:r>
      <w:r w:rsidR="002067BC">
        <w:rPr>
          <w:rStyle w:val="afe"/>
          <w:lang w:eastAsia="ru-RU"/>
        </w:rPr>
        <w:footnoteReference w:id="28"/>
      </w:r>
      <w:r w:rsidR="002067BC">
        <w:rPr>
          <w:lang w:eastAsia="ru-RU"/>
        </w:rPr>
        <w:t xml:space="preserve"> </w:t>
      </w:r>
      <w:r w:rsidR="00045D53">
        <w:rPr>
          <w:lang w:eastAsia="ru-RU"/>
        </w:rPr>
        <w:t>Такое резкое изменение стоимости произошло из-за того, что а</w:t>
      </w:r>
      <w:r w:rsidR="002067BC">
        <w:rPr>
          <w:lang w:eastAsia="ru-RU"/>
        </w:rPr>
        <w:t xml:space="preserve">налитики раскритиковали корпоративное управление компании и </w:t>
      </w:r>
      <w:r w:rsidR="00622CB6">
        <w:rPr>
          <w:lang w:eastAsia="ru-RU"/>
        </w:rPr>
        <w:t xml:space="preserve">её </w:t>
      </w:r>
      <w:r w:rsidR="002067BC">
        <w:rPr>
          <w:lang w:eastAsia="ru-RU"/>
        </w:rPr>
        <w:t>прогнозы</w:t>
      </w:r>
      <w:r w:rsidR="00622CB6">
        <w:rPr>
          <w:lang w:eastAsia="ru-RU"/>
        </w:rPr>
        <w:t xml:space="preserve"> развития: неоправданный рост выручки и быстрый скачок расходов стали факторами для сомнений инвесторов в будущем </w:t>
      </w:r>
      <w:r w:rsidR="008E386A">
        <w:rPr>
          <w:lang w:eastAsia="ru-RU"/>
        </w:rPr>
        <w:t xml:space="preserve">бизнеса. </w:t>
      </w:r>
      <w:r w:rsidR="0076752A">
        <w:rPr>
          <w:lang w:eastAsia="ru-RU"/>
        </w:rPr>
        <w:t xml:space="preserve">Таким образом, </w:t>
      </w:r>
      <w:r w:rsidR="00487180">
        <w:rPr>
          <w:lang w:eastAsia="ru-RU"/>
        </w:rPr>
        <w:t>компани</w:t>
      </w:r>
      <w:r w:rsidR="0076752A">
        <w:rPr>
          <w:lang w:eastAsia="ru-RU"/>
        </w:rPr>
        <w:t>я</w:t>
      </w:r>
      <w:r w:rsidR="00487180">
        <w:rPr>
          <w:lang w:eastAsia="ru-RU"/>
        </w:rPr>
        <w:t xml:space="preserve"> </w:t>
      </w:r>
      <w:proofErr w:type="spellStart"/>
      <w:r w:rsidR="00487180">
        <w:rPr>
          <w:lang w:val="en-US" w:eastAsia="ru-RU"/>
        </w:rPr>
        <w:t>WeWork</w:t>
      </w:r>
      <w:proofErr w:type="spellEnd"/>
      <w:r w:rsidR="00487180" w:rsidRPr="00487180">
        <w:rPr>
          <w:lang w:eastAsia="ru-RU"/>
        </w:rPr>
        <w:t xml:space="preserve"> </w:t>
      </w:r>
      <w:r w:rsidR="0076752A">
        <w:rPr>
          <w:lang w:eastAsia="ru-RU"/>
        </w:rPr>
        <w:t xml:space="preserve">столкнулась с затруднениями, и выход на </w:t>
      </w:r>
      <w:r w:rsidR="0076752A">
        <w:rPr>
          <w:lang w:val="en-US" w:eastAsia="ru-RU"/>
        </w:rPr>
        <w:t>IPO</w:t>
      </w:r>
      <w:r w:rsidR="0076752A">
        <w:rPr>
          <w:lang w:eastAsia="ru-RU"/>
        </w:rPr>
        <w:t xml:space="preserve"> был отложен.</w:t>
      </w:r>
      <w:r w:rsidR="0076752A">
        <w:rPr>
          <w:rStyle w:val="afe"/>
          <w:lang w:eastAsia="ru-RU"/>
        </w:rPr>
        <w:footnoteReference w:id="29"/>
      </w:r>
      <w:r w:rsidR="0076752A">
        <w:rPr>
          <w:lang w:eastAsia="ru-RU"/>
        </w:rPr>
        <w:t xml:space="preserve"> Важно отметить, что одной из целей оценки ценности компании является использование результатов для эмиссии акций, и в т</w:t>
      </w:r>
      <w:r w:rsidR="00ED553D">
        <w:rPr>
          <w:lang w:eastAsia="ru-RU"/>
        </w:rPr>
        <w:t>аком случае</w:t>
      </w:r>
      <w:r w:rsidR="0076752A">
        <w:rPr>
          <w:lang w:eastAsia="ru-RU"/>
        </w:rPr>
        <w:t xml:space="preserve"> основн</w:t>
      </w:r>
      <w:r w:rsidR="005C3871">
        <w:rPr>
          <w:lang w:eastAsia="ru-RU"/>
        </w:rPr>
        <w:t xml:space="preserve">ая ценность </w:t>
      </w:r>
      <w:r w:rsidR="0076752A">
        <w:rPr>
          <w:lang w:eastAsia="ru-RU"/>
        </w:rPr>
        <w:t xml:space="preserve">расчетов не </w:t>
      </w:r>
      <w:r w:rsidR="00ED553D">
        <w:rPr>
          <w:lang w:eastAsia="ru-RU"/>
        </w:rPr>
        <w:t>достигается.</w:t>
      </w:r>
    </w:p>
    <w:p w14:paraId="6690067B" w14:textId="076E408C" w:rsidR="001C2134" w:rsidRDefault="006C37B1" w:rsidP="001C2134">
      <w:pPr>
        <w:rPr>
          <w:lang w:eastAsia="ru-RU"/>
        </w:rPr>
      </w:pPr>
      <w:r>
        <w:rPr>
          <w:lang w:eastAsia="ru-RU"/>
        </w:rPr>
        <w:t>К</w:t>
      </w:r>
      <w:r w:rsidR="005C3871" w:rsidRPr="005C3871">
        <w:rPr>
          <w:lang w:eastAsia="ru-RU"/>
        </w:rPr>
        <w:t>орректная оценка стоимости бизнеса необходима при слияни</w:t>
      </w:r>
      <w:r w:rsidR="005C3871">
        <w:rPr>
          <w:lang w:eastAsia="ru-RU"/>
        </w:rPr>
        <w:t>я</w:t>
      </w:r>
      <w:r w:rsidR="005C3871" w:rsidRPr="005C3871">
        <w:rPr>
          <w:lang w:eastAsia="ru-RU"/>
        </w:rPr>
        <w:t xml:space="preserve">х и поглощениях. Известный кейс компании </w:t>
      </w:r>
      <w:r w:rsidR="005C3871" w:rsidRPr="005C3871">
        <w:rPr>
          <w:lang w:val="en-US" w:eastAsia="ru-RU"/>
        </w:rPr>
        <w:t>Cendant</w:t>
      </w:r>
      <w:r w:rsidR="005C3871" w:rsidRPr="005C3871">
        <w:rPr>
          <w:lang w:eastAsia="ru-RU"/>
        </w:rPr>
        <w:t xml:space="preserve"> явно отражает проблемы оценки ценности фирмы при неправильном предоставлении прибыли с целью мошенничества.</w:t>
      </w:r>
      <w:r w:rsidR="005C3871">
        <w:rPr>
          <w:lang w:eastAsia="ru-RU"/>
        </w:rPr>
        <w:t xml:space="preserve"> Компания была образована в 1997 года при слиянии </w:t>
      </w:r>
      <w:r w:rsidR="005C3871">
        <w:rPr>
          <w:lang w:val="en-US" w:eastAsia="ru-RU"/>
        </w:rPr>
        <w:t>HFS</w:t>
      </w:r>
      <w:r w:rsidR="005C3871">
        <w:rPr>
          <w:lang w:eastAsia="ru-RU"/>
        </w:rPr>
        <w:t xml:space="preserve"> и </w:t>
      </w:r>
      <w:r w:rsidR="005C3871">
        <w:rPr>
          <w:lang w:val="en-US" w:eastAsia="ru-RU"/>
        </w:rPr>
        <w:t>CUC</w:t>
      </w:r>
      <w:r w:rsidR="005C3871" w:rsidRPr="005C3871">
        <w:rPr>
          <w:lang w:eastAsia="ru-RU"/>
        </w:rPr>
        <w:t xml:space="preserve"> </w:t>
      </w:r>
      <w:r w:rsidR="005C3871">
        <w:rPr>
          <w:lang w:val="en-US" w:eastAsia="ru-RU"/>
        </w:rPr>
        <w:t>International</w:t>
      </w:r>
      <w:r w:rsidR="005C3871">
        <w:rPr>
          <w:lang w:eastAsia="ru-RU"/>
        </w:rPr>
        <w:t xml:space="preserve">, при этом в 1998 было обнаружено, что доходы второй организации были намерено завышены для повышения цены. Преднамеренное искажение финансовых показателей при поглощении имеет </w:t>
      </w:r>
      <w:r w:rsidR="005C3871">
        <w:rPr>
          <w:lang w:eastAsia="ru-RU"/>
        </w:rPr>
        <w:lastRenderedPageBreak/>
        <w:t>эффект «ночного кошмара»,</w:t>
      </w:r>
      <w:r w:rsidR="005C3871">
        <w:rPr>
          <w:rStyle w:val="afe"/>
          <w:lang w:eastAsia="ru-RU"/>
        </w:rPr>
        <w:footnoteReference w:id="30"/>
      </w:r>
      <w:r w:rsidR="005C3871">
        <w:rPr>
          <w:lang w:eastAsia="ru-RU"/>
        </w:rPr>
        <w:t xml:space="preserve"> что, впоследствии, оказывает влияние на цену акций. </w:t>
      </w:r>
      <w:r w:rsidR="00E70884">
        <w:rPr>
          <w:lang w:eastAsia="ru-RU"/>
        </w:rPr>
        <w:t xml:space="preserve">До публичного сообщения о том, что прибыли были раздуты, акции компании котировались по 40 долларов, а в марте 1998 года цена снизилась до 15 долларов с последующим падением до 5 долларов. </w:t>
      </w:r>
      <w:r w:rsidR="00C84AC8">
        <w:rPr>
          <w:lang w:eastAsia="ru-RU"/>
        </w:rPr>
        <w:t xml:space="preserve">В данном примере </w:t>
      </w:r>
      <w:r w:rsidR="00E70884">
        <w:rPr>
          <w:lang w:eastAsia="ru-RU"/>
        </w:rPr>
        <w:t>была ошибочно оценена не только эффективность проведения слияния, но и его результативность.</w:t>
      </w:r>
    </w:p>
    <w:p w14:paraId="685CB144" w14:textId="18AAA838" w:rsidR="001C2134" w:rsidRPr="001C74C2" w:rsidRDefault="00C84AC8" w:rsidP="001C2134">
      <w:pPr>
        <w:rPr>
          <w:lang w:eastAsia="ru-RU"/>
        </w:rPr>
      </w:pPr>
      <w:r>
        <w:rPr>
          <w:lang w:eastAsia="ru-RU"/>
        </w:rPr>
        <w:t>Таким образом, рассмотренные кейсы демонстрируют последствия недостатков классических подходов</w:t>
      </w:r>
      <w:r w:rsidR="00553165">
        <w:rPr>
          <w:lang w:eastAsia="ru-RU"/>
        </w:rPr>
        <w:t xml:space="preserve">: </w:t>
      </w:r>
      <w:r>
        <w:rPr>
          <w:lang w:eastAsia="ru-RU"/>
        </w:rPr>
        <w:t>возможное манипулирование отчетностью и субъективность проведения оценки</w:t>
      </w:r>
      <w:r w:rsidR="00553165">
        <w:rPr>
          <w:lang w:eastAsia="ru-RU"/>
        </w:rPr>
        <w:t xml:space="preserve"> приводит к краху компаний и финансовым скандалам. </w:t>
      </w:r>
    </w:p>
    <w:p w14:paraId="32AB4F61" w14:textId="7FA3F832" w:rsidR="00E13A86" w:rsidRPr="00E13A86" w:rsidRDefault="006C37B1" w:rsidP="003662B4">
      <w:pPr>
        <w:rPr>
          <w:lang w:eastAsia="ru-RU"/>
        </w:rPr>
      </w:pPr>
      <w:r>
        <w:rPr>
          <w:lang w:eastAsia="ru-RU"/>
        </w:rPr>
        <w:t>Р</w:t>
      </w:r>
      <w:r w:rsidR="001E3D18">
        <w:rPr>
          <w:lang w:eastAsia="ru-RU"/>
        </w:rPr>
        <w:t>асчеты дисконтированного денежного потока и чистой ценности проекта провоцируют оценщиков завышать доходы компании для того, чтобы достичь окупаемости инноваций. Происходит сознательное «мошенничество на ожиданиях»,</w:t>
      </w:r>
      <w:r w:rsidR="001C74C2">
        <w:rPr>
          <w:rStyle w:val="afe"/>
          <w:lang w:eastAsia="ru-RU"/>
        </w:rPr>
        <w:footnoteReference w:id="31"/>
      </w:r>
      <w:r w:rsidR="001E3D18">
        <w:rPr>
          <w:lang w:eastAsia="ru-RU"/>
        </w:rPr>
        <w:t xml:space="preserve"> так как </w:t>
      </w:r>
      <w:r w:rsidR="001C74C2">
        <w:rPr>
          <w:lang w:eastAsia="ru-RU"/>
        </w:rPr>
        <w:t xml:space="preserve">в противном случае инновационные проекты при оценке доходным подходом считаются убыточными и бесперспективными. </w:t>
      </w:r>
      <w:r>
        <w:rPr>
          <w:lang w:eastAsia="ru-RU"/>
        </w:rPr>
        <w:t xml:space="preserve">Новые проекты оцениваются с </w:t>
      </w:r>
      <w:r w:rsidR="0039338E">
        <w:rPr>
          <w:lang w:eastAsia="ru-RU"/>
        </w:rPr>
        <w:t xml:space="preserve">ожидаемой </w:t>
      </w:r>
      <w:r>
        <w:rPr>
          <w:lang w:eastAsia="ru-RU"/>
        </w:rPr>
        <w:t>эффективность ниже, чем старые</w:t>
      </w:r>
      <w:r w:rsidR="0039338E">
        <w:rPr>
          <w:lang w:eastAsia="ru-RU"/>
        </w:rPr>
        <w:t>,</w:t>
      </w:r>
      <w:r w:rsidR="001C74C2">
        <w:rPr>
          <w:lang w:eastAsia="ru-RU"/>
        </w:rPr>
        <w:t xml:space="preserve"> что </w:t>
      </w:r>
      <w:r w:rsidR="00CC0445">
        <w:rPr>
          <w:lang w:eastAsia="ru-RU"/>
        </w:rPr>
        <w:t xml:space="preserve">влияет </w:t>
      </w:r>
      <w:r w:rsidR="001C74C2">
        <w:rPr>
          <w:lang w:eastAsia="ru-RU"/>
        </w:rPr>
        <w:t>на ставк</w:t>
      </w:r>
      <w:r w:rsidR="00CC0445">
        <w:rPr>
          <w:lang w:eastAsia="ru-RU"/>
        </w:rPr>
        <w:t>у</w:t>
      </w:r>
      <w:r w:rsidR="001C74C2">
        <w:rPr>
          <w:lang w:eastAsia="ru-RU"/>
        </w:rPr>
        <w:t xml:space="preserve"> дисконтирования</w:t>
      </w:r>
      <w:r w:rsidR="00CC0445">
        <w:rPr>
          <w:lang w:eastAsia="ru-RU"/>
        </w:rPr>
        <w:t>, при этом искажа</w:t>
      </w:r>
      <w:r w:rsidR="00516A89">
        <w:rPr>
          <w:lang w:eastAsia="ru-RU"/>
        </w:rPr>
        <w:t>я</w:t>
      </w:r>
      <w:r w:rsidR="00CC0445">
        <w:rPr>
          <w:lang w:eastAsia="ru-RU"/>
        </w:rPr>
        <w:t xml:space="preserve"> итогов</w:t>
      </w:r>
      <w:r w:rsidR="00516A89">
        <w:rPr>
          <w:lang w:eastAsia="ru-RU"/>
        </w:rPr>
        <w:t>ую</w:t>
      </w:r>
      <w:r w:rsidR="00CC0445">
        <w:rPr>
          <w:lang w:eastAsia="ru-RU"/>
        </w:rPr>
        <w:t xml:space="preserve"> стоимость компании.</w:t>
      </w:r>
    </w:p>
    <w:p w14:paraId="4914BC17" w14:textId="1F593DAB" w:rsidR="00B55749" w:rsidRDefault="006C37B1" w:rsidP="00B55749">
      <w:pPr>
        <w:rPr>
          <w:lang w:eastAsia="ru-RU"/>
        </w:rPr>
      </w:pPr>
      <w:r>
        <w:rPr>
          <w:lang w:eastAsia="ru-RU"/>
        </w:rPr>
        <w:t xml:space="preserve">Следующим недостатком доходного подхода, можно выделить, </w:t>
      </w:r>
      <w:r w:rsidR="00B55749">
        <w:rPr>
          <w:lang w:eastAsia="ru-RU"/>
        </w:rPr>
        <w:t xml:space="preserve">существование нескольких норм доходностей, влияющих на достоверность результата. Оценщику достаточно проблематично определить реальный доход многих компаний, в силу разных методик бухгалтерского учета. Компании могут преднамеренно искажать имеющуюся информации в бухгалтерских отчетностях для различных целей. </w:t>
      </w:r>
    </w:p>
    <w:p w14:paraId="3BAE5DE5" w14:textId="20B24735" w:rsidR="00981F6A" w:rsidRPr="005B0D35" w:rsidRDefault="005C3720" w:rsidP="00E16178">
      <w:pPr>
        <w:rPr>
          <w:lang w:eastAsia="ru-RU"/>
        </w:rPr>
      </w:pPr>
      <w:r>
        <w:rPr>
          <w:lang w:eastAsia="ru-RU"/>
        </w:rPr>
        <w:t>Доходный подход основывается на информации и данных финансовых отчётов</w:t>
      </w:r>
      <w:r w:rsidR="006C37B1">
        <w:rPr>
          <w:lang w:eastAsia="ru-RU"/>
        </w:rPr>
        <w:t>:</w:t>
      </w:r>
      <w:r>
        <w:rPr>
          <w:lang w:eastAsia="ru-RU"/>
        </w:rPr>
        <w:t xml:space="preserve"> при расчете будущих денежных потоков используется номинальная стоимость активов. </w:t>
      </w:r>
      <w:r w:rsidR="0039338E">
        <w:rPr>
          <w:lang w:eastAsia="ru-RU"/>
        </w:rPr>
        <w:t xml:space="preserve">Бухгалтерская отчетность </w:t>
      </w:r>
      <w:r>
        <w:rPr>
          <w:lang w:eastAsia="ru-RU"/>
        </w:rPr>
        <w:t>не предназначен</w:t>
      </w:r>
      <w:r w:rsidR="0039338E">
        <w:rPr>
          <w:lang w:eastAsia="ru-RU"/>
        </w:rPr>
        <w:t>а</w:t>
      </w:r>
      <w:r>
        <w:rPr>
          <w:lang w:eastAsia="ru-RU"/>
        </w:rPr>
        <w:t xml:space="preserve"> для инвесторов</w:t>
      </w:r>
      <w:r w:rsidR="002A0A0A">
        <w:rPr>
          <w:lang w:eastAsia="ru-RU"/>
        </w:rPr>
        <w:t>: у</w:t>
      </w:r>
      <w:r>
        <w:rPr>
          <w:lang w:eastAsia="ru-RU"/>
        </w:rPr>
        <w:t xml:space="preserve"> кредиторов</w:t>
      </w:r>
      <w:r w:rsidR="00516A89">
        <w:rPr>
          <w:lang w:eastAsia="ru-RU"/>
        </w:rPr>
        <w:t xml:space="preserve"> и </w:t>
      </w:r>
      <w:r>
        <w:rPr>
          <w:lang w:eastAsia="ru-RU"/>
        </w:rPr>
        <w:t>бухгалтеров, в отличии от акционеров, другие приоритеты</w:t>
      </w:r>
      <w:r w:rsidR="0091387E">
        <w:rPr>
          <w:lang w:eastAsia="ru-RU"/>
        </w:rPr>
        <w:t xml:space="preserve">, поэтому использование финансовой информации может привести к </w:t>
      </w:r>
      <w:r>
        <w:rPr>
          <w:lang w:eastAsia="ru-RU"/>
        </w:rPr>
        <w:t>ошибочност</w:t>
      </w:r>
      <w:r w:rsidR="0091387E">
        <w:rPr>
          <w:lang w:eastAsia="ru-RU"/>
        </w:rPr>
        <w:t>и</w:t>
      </w:r>
      <w:r>
        <w:rPr>
          <w:lang w:eastAsia="ru-RU"/>
        </w:rPr>
        <w:t xml:space="preserve"> расчетов ценности компании.</w:t>
      </w:r>
      <w:r w:rsidR="008F1CD0">
        <w:rPr>
          <w:lang w:eastAsia="ru-RU"/>
        </w:rPr>
        <w:t xml:space="preserve"> </w:t>
      </w:r>
      <w:r w:rsidR="006C37B1">
        <w:rPr>
          <w:lang w:eastAsia="ru-RU"/>
        </w:rPr>
        <w:t>Например</w:t>
      </w:r>
      <w:r w:rsidR="0091387E">
        <w:rPr>
          <w:lang w:eastAsia="ru-RU"/>
        </w:rPr>
        <w:t>,</w:t>
      </w:r>
      <w:r w:rsidR="00747598">
        <w:rPr>
          <w:lang w:eastAsia="ru-RU"/>
        </w:rPr>
        <w:t xml:space="preserve"> </w:t>
      </w:r>
      <w:r w:rsidR="0091387E">
        <w:rPr>
          <w:lang w:eastAsia="ru-RU"/>
        </w:rPr>
        <w:t xml:space="preserve">компании с высоким кредитным рейтингом, которые вовремя и стабильно оплачивают свои долги, оцениваются низко рынком. </w:t>
      </w:r>
      <w:r w:rsidR="005B0D35">
        <w:rPr>
          <w:lang w:eastAsia="ru-RU"/>
        </w:rPr>
        <w:t>С</w:t>
      </w:r>
      <w:r w:rsidR="0091387E">
        <w:rPr>
          <w:lang w:eastAsia="ru-RU"/>
        </w:rPr>
        <w:t xml:space="preserve">тоимость компании может разниться с представлениями бухгалтеров или кредиторов: </w:t>
      </w:r>
      <w:r w:rsidR="00E16178">
        <w:rPr>
          <w:lang w:eastAsia="ru-RU"/>
        </w:rPr>
        <w:t>организация</w:t>
      </w:r>
      <w:r w:rsidR="0091387E">
        <w:rPr>
          <w:lang w:eastAsia="ru-RU"/>
        </w:rPr>
        <w:t xml:space="preserve"> может исправно оплачивать </w:t>
      </w:r>
      <w:r w:rsidR="00E16178">
        <w:rPr>
          <w:lang w:eastAsia="ru-RU"/>
        </w:rPr>
        <w:t>проценты</w:t>
      </w:r>
      <w:r w:rsidR="00922DC9">
        <w:rPr>
          <w:lang w:eastAsia="ru-RU"/>
        </w:rPr>
        <w:t xml:space="preserve"> по долгам</w:t>
      </w:r>
      <w:r w:rsidR="0091387E">
        <w:rPr>
          <w:lang w:eastAsia="ru-RU"/>
        </w:rPr>
        <w:t>, однако это не показатель роста</w:t>
      </w:r>
      <w:r w:rsidR="00E16178">
        <w:rPr>
          <w:lang w:eastAsia="ru-RU"/>
        </w:rPr>
        <w:t>, а значит не имеет прямого влияния на цену акции.</w:t>
      </w:r>
      <w:r w:rsidR="005B0D35">
        <w:rPr>
          <w:lang w:eastAsia="ru-RU"/>
        </w:rPr>
        <w:t xml:space="preserve"> Более того, оценка эффективности возврата инвестиций, что определяет ценность новых компаний/проектов, основывается на преобразовании финансовых </w:t>
      </w:r>
      <w:r w:rsidR="005B0D35">
        <w:rPr>
          <w:lang w:eastAsia="ru-RU"/>
        </w:rPr>
        <w:lastRenderedPageBreak/>
        <w:t xml:space="preserve">данных в величину </w:t>
      </w:r>
      <w:r w:rsidR="005B0D35">
        <w:rPr>
          <w:lang w:val="en-US" w:eastAsia="ru-RU"/>
        </w:rPr>
        <w:t>NPV</w:t>
      </w:r>
      <w:r w:rsidR="005B0D35">
        <w:rPr>
          <w:lang w:eastAsia="ru-RU"/>
        </w:rPr>
        <w:t xml:space="preserve">. Возникает проблема непонимания отличия понятия бухгалтерского учета и логики </w:t>
      </w:r>
      <w:r w:rsidR="005B0D35">
        <w:rPr>
          <w:lang w:val="en-US" w:eastAsia="ru-RU"/>
        </w:rPr>
        <w:t>Net</w:t>
      </w:r>
      <w:r w:rsidR="005B0D35" w:rsidRPr="005B0D35">
        <w:rPr>
          <w:lang w:eastAsia="ru-RU"/>
        </w:rPr>
        <w:t xml:space="preserve"> </w:t>
      </w:r>
      <w:r w:rsidR="005B0D35">
        <w:rPr>
          <w:lang w:val="en-US" w:eastAsia="ru-RU"/>
        </w:rPr>
        <w:t>Present</w:t>
      </w:r>
      <w:r w:rsidR="005B0D35" w:rsidRPr="005B0D35">
        <w:rPr>
          <w:lang w:eastAsia="ru-RU"/>
        </w:rPr>
        <w:t xml:space="preserve"> </w:t>
      </w:r>
      <w:r w:rsidR="005B0D35">
        <w:rPr>
          <w:lang w:val="en-US" w:eastAsia="ru-RU"/>
        </w:rPr>
        <w:t>Value</w:t>
      </w:r>
      <w:r w:rsidR="005B0D35" w:rsidRPr="005B0D35">
        <w:rPr>
          <w:lang w:eastAsia="ru-RU"/>
        </w:rPr>
        <w:t>.</w:t>
      </w:r>
      <w:r w:rsidR="005B0D35">
        <w:rPr>
          <w:rStyle w:val="afe"/>
          <w:lang w:eastAsia="ru-RU"/>
        </w:rPr>
        <w:footnoteReference w:id="32"/>
      </w:r>
      <w:r w:rsidR="005B0D35" w:rsidRPr="005B0D35">
        <w:rPr>
          <w:lang w:eastAsia="ru-RU"/>
        </w:rPr>
        <w:t xml:space="preserve"> </w:t>
      </w:r>
    </w:p>
    <w:p w14:paraId="475789ED" w14:textId="2DAF7ED0" w:rsidR="000C27E5" w:rsidRDefault="006C37B1" w:rsidP="003662B4">
      <w:pPr>
        <w:rPr>
          <w:lang w:eastAsia="ru-RU"/>
        </w:rPr>
      </w:pPr>
      <w:r>
        <w:rPr>
          <w:lang w:eastAsia="ru-RU"/>
        </w:rPr>
        <w:t>В</w:t>
      </w:r>
      <w:r w:rsidR="000C27E5">
        <w:rPr>
          <w:lang w:eastAsia="ru-RU"/>
        </w:rPr>
        <w:t>ажно отметить, что при оценке</w:t>
      </w:r>
      <w:r w:rsidR="00E16178">
        <w:rPr>
          <w:lang w:eastAsia="ru-RU"/>
        </w:rPr>
        <w:t xml:space="preserve"> ценности методом </w:t>
      </w:r>
      <w:r w:rsidR="00E16178">
        <w:rPr>
          <w:lang w:val="en-US" w:eastAsia="ru-RU"/>
        </w:rPr>
        <w:t>DCF</w:t>
      </w:r>
      <w:r w:rsidR="00E16178">
        <w:rPr>
          <w:lang w:eastAsia="ru-RU"/>
        </w:rPr>
        <w:t xml:space="preserve"> строится прогнозный период — в развитых странах</w:t>
      </w:r>
      <w:r w:rsidR="00CE79BD">
        <w:rPr>
          <w:lang w:eastAsia="ru-RU"/>
        </w:rPr>
        <w:t xml:space="preserve"> </w:t>
      </w:r>
      <w:r w:rsidR="000C27E5">
        <w:rPr>
          <w:lang w:eastAsia="ru-RU"/>
        </w:rPr>
        <w:t>длина прогноза около 5-10 лет.</w:t>
      </w:r>
      <w:r w:rsidR="000C27E5">
        <w:rPr>
          <w:rStyle w:val="afe"/>
          <w:lang w:eastAsia="ru-RU"/>
        </w:rPr>
        <w:footnoteReference w:id="33"/>
      </w:r>
      <w:r w:rsidR="000C27E5">
        <w:rPr>
          <w:lang w:eastAsia="ru-RU"/>
        </w:rPr>
        <w:t xml:space="preserve"> </w:t>
      </w:r>
      <w:r w:rsidR="00286DB5">
        <w:rPr>
          <w:lang w:eastAsia="ru-RU"/>
        </w:rPr>
        <w:t xml:space="preserve">При прогнозировании на пятилетний период необходимо учитывать динамику поэтапного развития компании, соответствующую долгосрочным стратегическим целям. </w:t>
      </w:r>
      <w:r w:rsidR="000C27E5">
        <w:rPr>
          <w:lang w:eastAsia="ru-RU"/>
        </w:rPr>
        <w:t>Построение будущих денежных потоков часто приводит к субъективным оценкам, полностью зависящих от определения факторов роста финансовых показателей.</w:t>
      </w:r>
      <w:r w:rsidR="005B0D35">
        <w:rPr>
          <w:lang w:eastAsia="ru-RU"/>
        </w:rPr>
        <w:t xml:space="preserve"> </w:t>
      </w:r>
    </w:p>
    <w:p w14:paraId="39E428A8" w14:textId="22BCB92F" w:rsidR="003662B4" w:rsidRDefault="000C27E5" w:rsidP="003662B4">
      <w:pPr>
        <w:rPr>
          <w:lang w:eastAsia="ru-RU"/>
        </w:rPr>
      </w:pPr>
      <w:r>
        <w:rPr>
          <w:lang w:eastAsia="ru-RU"/>
        </w:rPr>
        <w:t>Более того,</w:t>
      </w:r>
      <w:r w:rsidR="0090287C">
        <w:rPr>
          <w:lang w:eastAsia="ru-RU"/>
        </w:rPr>
        <w:t xml:space="preserve"> прогнозирование будущего основывается на исторических данных и </w:t>
      </w:r>
      <w:r w:rsidR="00792D09">
        <w:rPr>
          <w:lang w:eastAsia="ru-RU"/>
        </w:rPr>
        <w:t xml:space="preserve">экспертных мнениях об изменении внутренних факторов. В методе </w:t>
      </w:r>
      <w:r w:rsidR="00792D09">
        <w:rPr>
          <w:lang w:val="en-US" w:eastAsia="ru-RU"/>
        </w:rPr>
        <w:t>DCF</w:t>
      </w:r>
      <w:r w:rsidR="00792D09" w:rsidRPr="00792D09">
        <w:rPr>
          <w:lang w:eastAsia="ru-RU"/>
        </w:rPr>
        <w:t xml:space="preserve"> </w:t>
      </w:r>
      <w:r w:rsidR="00792D09">
        <w:rPr>
          <w:lang w:eastAsia="ru-RU"/>
        </w:rPr>
        <w:t xml:space="preserve">не учитываются поведение инвесторов и их ожидания, как итог отсутствует изменения </w:t>
      </w:r>
      <w:r w:rsidR="00792D09">
        <w:rPr>
          <w:lang w:val="en-US" w:eastAsia="ru-RU"/>
        </w:rPr>
        <w:t>ROI</w:t>
      </w:r>
      <w:r w:rsidR="00792D09">
        <w:rPr>
          <w:lang w:eastAsia="ru-RU"/>
        </w:rPr>
        <w:t xml:space="preserve"> и отношения инвесторов к риску.</w:t>
      </w:r>
      <w:r w:rsidR="00792D09">
        <w:rPr>
          <w:rStyle w:val="afe"/>
          <w:lang w:eastAsia="ru-RU"/>
        </w:rPr>
        <w:footnoteReference w:id="34"/>
      </w:r>
      <w:r w:rsidR="00792D09" w:rsidRPr="00792D09">
        <w:rPr>
          <w:lang w:eastAsia="ru-RU"/>
        </w:rPr>
        <w:t xml:space="preserve"> </w:t>
      </w:r>
      <w:r w:rsidR="00792D09">
        <w:rPr>
          <w:lang w:eastAsia="ru-RU"/>
        </w:rPr>
        <w:t xml:space="preserve">Данный подход не отражает в оценке внешние факторы и не отвечает целям акционеров. </w:t>
      </w:r>
      <w:r w:rsidR="009A4AD1">
        <w:rPr>
          <w:lang w:eastAsia="ru-RU"/>
        </w:rPr>
        <w:t>Проведение расчетов методом дисконтирования денежных потоков является затруднительным, в силу необходимости построения прогноза. Б</w:t>
      </w:r>
      <w:r w:rsidR="00792D09">
        <w:rPr>
          <w:lang w:eastAsia="ru-RU"/>
        </w:rPr>
        <w:t>удущи</w:t>
      </w:r>
      <w:r w:rsidR="009A4AD1">
        <w:rPr>
          <w:lang w:eastAsia="ru-RU"/>
        </w:rPr>
        <w:t xml:space="preserve">е денежные </w:t>
      </w:r>
      <w:r w:rsidR="00792D09">
        <w:rPr>
          <w:lang w:eastAsia="ru-RU"/>
        </w:rPr>
        <w:t>поток</w:t>
      </w:r>
      <w:r w:rsidR="009A4AD1">
        <w:rPr>
          <w:lang w:eastAsia="ru-RU"/>
        </w:rPr>
        <w:t xml:space="preserve">и </w:t>
      </w:r>
      <w:r w:rsidR="00792D09">
        <w:rPr>
          <w:lang w:eastAsia="ru-RU"/>
        </w:rPr>
        <w:t>заведомо мо</w:t>
      </w:r>
      <w:r w:rsidR="009A4AD1">
        <w:rPr>
          <w:lang w:eastAsia="ru-RU"/>
        </w:rPr>
        <w:t>гут</w:t>
      </w:r>
      <w:r w:rsidR="00792D09">
        <w:rPr>
          <w:lang w:eastAsia="ru-RU"/>
        </w:rPr>
        <w:t xml:space="preserve"> быть ошибочным</w:t>
      </w:r>
      <w:r w:rsidR="009A4AD1">
        <w:rPr>
          <w:lang w:eastAsia="ru-RU"/>
        </w:rPr>
        <w:t>и</w:t>
      </w:r>
      <w:r w:rsidR="00792D09">
        <w:rPr>
          <w:lang w:eastAsia="ru-RU"/>
        </w:rPr>
        <w:t xml:space="preserve"> и некорректным</w:t>
      </w:r>
      <w:r w:rsidR="009A4AD1">
        <w:rPr>
          <w:lang w:eastAsia="ru-RU"/>
        </w:rPr>
        <w:t>и</w:t>
      </w:r>
      <w:r w:rsidR="00792D09">
        <w:rPr>
          <w:lang w:eastAsia="ru-RU"/>
        </w:rPr>
        <w:t xml:space="preserve">, так как результат компании во многом зависит от </w:t>
      </w:r>
      <w:r w:rsidR="004C01FB">
        <w:rPr>
          <w:lang w:eastAsia="ru-RU"/>
        </w:rPr>
        <w:t xml:space="preserve">неучтенных </w:t>
      </w:r>
      <w:r w:rsidR="00792D09">
        <w:rPr>
          <w:lang w:eastAsia="ru-RU"/>
        </w:rPr>
        <w:t>внешних факторов и интересов акционеров.</w:t>
      </w:r>
    </w:p>
    <w:p w14:paraId="5AD0B8EA" w14:textId="7DF902FE" w:rsidR="003662B4" w:rsidRDefault="003662B4" w:rsidP="00720106">
      <w:r>
        <w:rPr>
          <w:lang w:eastAsia="ru-RU"/>
        </w:rPr>
        <w:t xml:space="preserve">Таким образом, </w:t>
      </w:r>
      <w:r w:rsidR="00720106">
        <w:rPr>
          <w:lang w:eastAsia="ru-RU"/>
        </w:rPr>
        <w:t xml:space="preserve">классический доходный подход обладает следующими недостатками: </w:t>
      </w:r>
      <w:r w:rsidR="00C84AC8">
        <w:t>недостоверность информации</w:t>
      </w:r>
      <w:r w:rsidR="00720106">
        <w:t xml:space="preserve"> (</w:t>
      </w:r>
      <w:r w:rsidR="00C84AC8">
        <w:t>возможн</w:t>
      </w:r>
      <w:r w:rsidR="00720106">
        <w:t>ая</w:t>
      </w:r>
      <w:r w:rsidR="00C84AC8">
        <w:t xml:space="preserve"> фальсификаци</w:t>
      </w:r>
      <w:r w:rsidR="00720106">
        <w:t>я</w:t>
      </w:r>
      <w:r w:rsidR="00C84AC8">
        <w:t xml:space="preserve"> отчетности</w:t>
      </w:r>
      <w:r w:rsidR="00720106">
        <w:t xml:space="preserve"> и манипулирование ею), трудность проведения прогнозов в условиях непредсказуемой и нестабильной экономики, отсутствие учета </w:t>
      </w:r>
      <w:r w:rsidR="00C84AC8">
        <w:t>поведения инвесторов и их ожиданий</w:t>
      </w:r>
      <w:r w:rsidR="00720106">
        <w:t>. Трудности данного подхода</w:t>
      </w:r>
      <w:r w:rsidR="00720106">
        <w:rPr>
          <w:lang w:eastAsia="ru-RU"/>
        </w:rPr>
        <w:t xml:space="preserve"> отражаются на результатах оценки ценности компании.</w:t>
      </w:r>
      <w:r w:rsidR="00720106">
        <w:t xml:space="preserve"> </w:t>
      </w:r>
      <w:r w:rsidR="00720106">
        <w:rPr>
          <w:lang w:eastAsia="ru-RU"/>
        </w:rPr>
        <w:t>Важно отметить, что возможные ошибочные аспекты доходного подхода невозможно проверить или проконтролировать, а применение некорректных результатов в управленческих решениях может приводить к финансовым и другим проблемам компании.</w:t>
      </w:r>
    </w:p>
    <w:p w14:paraId="26E517F2" w14:textId="5AC3B3A9" w:rsidR="005E0C82" w:rsidRDefault="004C5ECB" w:rsidP="005E0C82">
      <w:pPr>
        <w:pStyle w:val="2"/>
      </w:pPr>
      <w:bookmarkStart w:id="12" w:name="_Toc41822232"/>
      <w:r>
        <w:t xml:space="preserve">1.4. </w:t>
      </w:r>
      <w:r w:rsidR="009D77C3" w:rsidRPr="005E0C82">
        <w:t xml:space="preserve">Современные методы оценки </w:t>
      </w:r>
      <w:r w:rsidR="005E0C82" w:rsidRPr="005E0C82">
        <w:t>ценности компаний</w:t>
      </w:r>
      <w:bookmarkEnd w:id="12"/>
    </w:p>
    <w:p w14:paraId="5676203D" w14:textId="7170A7B5" w:rsidR="00364D6F" w:rsidRDefault="00AD2B8A" w:rsidP="005E0C82">
      <w:r>
        <w:t>В современном мире экономика и бизнес развива</w:t>
      </w:r>
      <w:r w:rsidR="00516A89">
        <w:t>ю</w:t>
      </w:r>
      <w:r>
        <w:t xml:space="preserve">тся с быстрой скоростью — в настоящих условиях недостатки классических подходов влияют на корректность результата и увеличиваются риски, связанные с управлением компанией. Как следствие, </w:t>
      </w:r>
      <w:r>
        <w:lastRenderedPageBreak/>
        <w:t xml:space="preserve">развиваются новые способы оценки ценности компаний для нивелирования </w:t>
      </w:r>
      <w:r w:rsidR="00364D6F">
        <w:t>проблем использования классических</w:t>
      </w:r>
      <w:r>
        <w:t xml:space="preserve"> подходов</w:t>
      </w:r>
      <w:r w:rsidR="00747598">
        <w:t xml:space="preserve"> и упрощения процесса проведения оценки ценности бизнесов. </w:t>
      </w:r>
    </w:p>
    <w:p w14:paraId="6917DC26" w14:textId="40032CB7" w:rsidR="00F85ACF" w:rsidRDefault="001B42A9" w:rsidP="0086774F">
      <w:r>
        <w:t>Современным</w:t>
      </w:r>
      <w:r w:rsidR="00364D6F">
        <w:t xml:space="preserve"> инструментом для оценки ценности компаний можно выделить метод </w:t>
      </w:r>
      <w:r w:rsidR="005E0C82">
        <w:t xml:space="preserve">КОНОК </w:t>
      </w:r>
      <w:r w:rsidR="00364D6F">
        <w:t xml:space="preserve">— метод корпоративных оценок на основе клиента. </w:t>
      </w:r>
      <w:r w:rsidR="00F07BE9">
        <w:t xml:space="preserve">Данный подход основывается на том, что генерируемые компанией денежные средства приходят от её </w:t>
      </w:r>
      <w:r w:rsidR="00F85ACF">
        <w:t>потребителей</w:t>
      </w:r>
      <w:r w:rsidR="00F07BE9">
        <w:t>.</w:t>
      </w:r>
      <w:r w:rsidR="00F07BE9">
        <w:rPr>
          <w:rStyle w:val="afe"/>
        </w:rPr>
        <w:footnoteReference w:id="35"/>
      </w:r>
      <w:r w:rsidR="00F07BE9">
        <w:t xml:space="preserve"> </w:t>
      </w:r>
      <w:r w:rsidR="000C03FA">
        <w:t>Главный принцип метода КОНОК заключается в том, что планирование выручки фирмы необходимо производить «снизу – вверх», то есть исходя из поведения клиентов</w:t>
      </w:r>
      <w:r w:rsidR="00F07BE9">
        <w:t xml:space="preserve"> к генерированию прибыли</w:t>
      </w:r>
      <w:r w:rsidR="000C03FA">
        <w:t xml:space="preserve">, а не </w:t>
      </w:r>
      <w:r w:rsidR="00F07BE9">
        <w:t xml:space="preserve">от </w:t>
      </w:r>
      <w:r w:rsidR="000C03FA">
        <w:t>предложения и</w:t>
      </w:r>
      <w:r w:rsidR="00F07BE9">
        <w:t>ли</w:t>
      </w:r>
      <w:r w:rsidR="000C03FA">
        <w:t xml:space="preserve"> производственных мощностей компании.</w:t>
      </w:r>
      <w:r w:rsidR="005E0C82">
        <w:rPr>
          <w:rStyle w:val="afe"/>
        </w:rPr>
        <w:footnoteReference w:id="36"/>
      </w:r>
      <w:r w:rsidR="00080675">
        <w:t xml:space="preserve"> </w:t>
      </w:r>
      <w:r w:rsidR="0086774F">
        <w:t>Общую структуру метода можно представить в виде двух составляющих: существующая финансовая корпоративная система оценки и включение поведения клиентов в расчеты.</w:t>
      </w:r>
    </w:p>
    <w:p w14:paraId="7B583FA9" w14:textId="4733B6B1" w:rsidR="00071F3C" w:rsidRDefault="00071F3C" w:rsidP="00071F3C">
      <w:r>
        <w:t xml:space="preserve">Метод Конок позволяет оценить будущие доходы компании через анализ и прогноз действий потребителей, таким образом в стандартную модель оценки денежных потоков включается дополнительный </w:t>
      </w:r>
      <w:r w:rsidRPr="00364D6F">
        <w:t>элемент</w:t>
      </w:r>
      <w:r>
        <w:t xml:space="preserve"> — обслуживание клиентов. В данном подходе в сочетании с традиционными финансовыми данными используются четыре подмодели. Прогноз денежных потоков происходит с учетом построения покупок от новых клиентов: их сумма, продолжительность и частота.</w:t>
      </w:r>
    </w:p>
    <w:p w14:paraId="1C29B6D0" w14:textId="4F027D7C" w:rsidR="0086774F" w:rsidRDefault="0086774F" w:rsidP="0086774F">
      <w:pPr>
        <w:tabs>
          <w:tab w:val="left" w:pos="2592"/>
        </w:tabs>
      </w:pPr>
      <w:r>
        <w:t>Учет обслуживания клиентов в модели доходов происходит за счет разложения поведения на пять процессов за время жизни клиента в фирме</w:t>
      </w:r>
      <w:r>
        <w:rPr>
          <w:rStyle w:val="afe"/>
        </w:rPr>
        <w:footnoteReference w:id="37"/>
      </w:r>
      <w:r>
        <w:t xml:space="preserve">: потенциальный клиент, привлеченный, действующий клиент, покупки и сумма трат. </w:t>
      </w:r>
      <w:r w:rsidR="00071F3C">
        <w:t xml:space="preserve">Прогнозирование поведения потребителей происходит за счет построения матричной модели </w:t>
      </w:r>
      <w:r>
        <w:t xml:space="preserve">по всем </w:t>
      </w:r>
      <w:r w:rsidR="00071F3C">
        <w:t>стадиям жизни клиента и дальнейшее использование данной информации в будущих денежных потоках компании.</w:t>
      </w:r>
    </w:p>
    <w:p w14:paraId="1EBF76B9" w14:textId="77777777" w:rsidR="00C017D2" w:rsidRDefault="00F07BE9" w:rsidP="00DB7964">
      <w:r>
        <w:t xml:space="preserve">В случае если компания предвидит поведение клиентов: сколько они будут тратить, </w:t>
      </w:r>
      <w:r w:rsidR="00C87B0F">
        <w:t xml:space="preserve">какой будет отток потребителей и на какое время клиенты будут оставаться в фирме — у неё есть возможность эффективного корпоративного управления. Во-первых, корректное исследование поведения клиентов позволяет рентабельно проводить маркетинговые кампании и повышать лояльность к бренду фирмы. Более того, </w:t>
      </w:r>
      <w:r w:rsidR="00AE05C9">
        <w:t xml:space="preserve">данный анализ предоставляет оценку недостатков и возможных проблем, связанных с оттоком потребителей, что позволяет вовремя отреагировать и предотвратить убытки. Во-вторых, </w:t>
      </w:r>
      <w:r w:rsidR="00AE05C9">
        <w:lastRenderedPageBreak/>
        <w:t xml:space="preserve">использование информации о клиентах способствует более точной и корректной оценки стоимости компании, благодаря более обоснованному построению денежных потоков. В отличии от стандартных методов прогноза будущих доходов, в которых анализируются </w:t>
      </w:r>
      <w:r w:rsidR="00E35E4C">
        <w:t>только</w:t>
      </w:r>
      <w:r w:rsidR="002A4F5D">
        <w:t xml:space="preserve"> исторические данные</w:t>
      </w:r>
      <w:r w:rsidR="00E35E4C">
        <w:t xml:space="preserve">, при методе КОНОК учитываются все подмодели, связанные с обслуживанием клиентов. </w:t>
      </w:r>
    </w:p>
    <w:p w14:paraId="2E4A8BC1" w14:textId="5969371B" w:rsidR="00071F3C" w:rsidRPr="00E13473" w:rsidRDefault="001B42A9" w:rsidP="00C017D2">
      <w:r>
        <w:t xml:space="preserve">КОНОК является косвенным методом построения денежных потоков компании, который используется в ограниченности предоставленных для оценки данных и позволяет рассчитать сложные модели </w:t>
      </w:r>
      <w:r>
        <w:rPr>
          <w:lang w:val="en-US"/>
        </w:rPr>
        <w:t>FCF</w:t>
      </w:r>
      <w:r>
        <w:t xml:space="preserve">. </w:t>
      </w:r>
      <w:r w:rsidR="00DB7964">
        <w:t xml:space="preserve">Таким образом, </w:t>
      </w:r>
      <w:r w:rsidR="00771C87">
        <w:t xml:space="preserve">прогнозные значения, основанные на данном подходе, учитывают ситуацию не только компании, но и контрагентов и на рынке в целом, в силу чего модель </w:t>
      </w:r>
      <w:r w:rsidR="00771C87">
        <w:rPr>
          <w:lang w:val="en-US"/>
        </w:rPr>
        <w:t>DCF</w:t>
      </w:r>
      <w:r w:rsidR="00771C87">
        <w:t xml:space="preserve"> рассчитывается более обоснованно и надежно</w:t>
      </w:r>
      <w:r w:rsidR="00E13473">
        <w:t>, обеспечивая точность модели.</w:t>
      </w:r>
    </w:p>
    <w:p w14:paraId="0F4ABB21" w14:textId="059CC9FB" w:rsidR="002607CC" w:rsidRDefault="00771C87" w:rsidP="0043730A">
      <w:r>
        <w:t xml:space="preserve">Следующим </w:t>
      </w:r>
      <w:r w:rsidR="00C017D2">
        <w:t xml:space="preserve">методом </w:t>
      </w:r>
      <w:r w:rsidR="00DB7964">
        <w:t xml:space="preserve">оценки </w:t>
      </w:r>
      <w:r w:rsidR="00760EEA">
        <w:t xml:space="preserve">стоимости современных компаний </w:t>
      </w:r>
      <w:r w:rsidR="005E1A57">
        <w:t xml:space="preserve">можно выделить </w:t>
      </w:r>
      <w:r w:rsidR="00760EEA">
        <w:t xml:space="preserve">использование </w:t>
      </w:r>
      <w:r w:rsidR="00BC071B">
        <w:t>модели Ольсона</w:t>
      </w:r>
      <w:r w:rsidR="00C017D2">
        <w:t>,</w:t>
      </w:r>
      <w:r w:rsidR="00F9538A" w:rsidRPr="00F9538A">
        <w:t xml:space="preserve"> </w:t>
      </w:r>
      <w:r w:rsidR="00F9538A">
        <w:t>который был впервые упомянут в 196</w:t>
      </w:r>
      <w:r w:rsidR="00E13473">
        <w:t>1</w:t>
      </w:r>
      <w:r w:rsidR="00F9538A">
        <w:t xml:space="preserve"> году и в дальнейшем видоизменялся. </w:t>
      </w:r>
      <w:r>
        <w:t>Первоначально модель была разработана Эдвардсом и Беллом.</w:t>
      </w:r>
      <w:r>
        <w:rPr>
          <w:rStyle w:val="afe"/>
        </w:rPr>
        <w:footnoteReference w:id="38"/>
      </w:r>
      <w:r>
        <w:t xml:space="preserve"> Основным предположением авторы приняли отсутствие нераспределенной прибыли в компании, то есть очищенность счетов прибылей компани</w:t>
      </w:r>
      <w:r w:rsidR="00E13473">
        <w:t>и</w:t>
      </w:r>
      <w:r>
        <w:t xml:space="preserve">. </w:t>
      </w:r>
      <w:r w:rsidR="002607CC">
        <w:t xml:space="preserve">Исходная формула стоимости выглядит следующим образом: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2607CC" w14:paraId="6EAF075F" w14:textId="77777777" w:rsidTr="00BF1B05">
        <w:tc>
          <w:tcPr>
            <w:tcW w:w="8642" w:type="dxa"/>
          </w:tcPr>
          <w:p w14:paraId="7B1551BE" w14:textId="5B71D82A" w:rsidR="002607CC" w:rsidRPr="00F26C5E" w:rsidRDefault="0056120C" w:rsidP="00BF1B05">
            <w:pPr>
              <w:ind w:firstLine="0"/>
              <w:jc w:val="center"/>
              <w:rPr>
                <w:rFonts w:ascii="Cambria Math" w:eastAsiaTheme="minorEastAsia" w:hAnsi="Cambria Math"/>
                <w:i/>
              </w:rPr>
            </w:pPr>
            <m:oMathPara>
              <m:oMath>
                <m:sSub>
                  <m:sSubPr>
                    <m:ctrlPr>
                      <w:rPr>
                        <w:rFonts w:ascii="Cambria Math" w:hAnsi="Cambria Math"/>
                        <w:i/>
                      </w:rPr>
                    </m:ctrlPr>
                  </m:sSubPr>
                  <m:e>
                    <m:r>
                      <w:rPr>
                        <w:rFonts w:ascii="Cambria Math" w:hAnsi="Cambria Math"/>
                        <w:lang w:val="en-US"/>
                      </w:rPr>
                      <m:t>P</m:t>
                    </m:r>
                  </m:e>
                  <m:sub>
                    <m:r>
                      <w:rPr>
                        <w:rFonts w:ascii="Cambria Math" w:hAnsi="Cambria Math"/>
                      </w:rPr>
                      <m:t>EBO</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x</m:t>
                        </m:r>
                      </m:e>
                      <m:sub>
                        <m:r>
                          <w:rPr>
                            <w:rFonts w:ascii="Cambria Math" w:hAnsi="Cambria Math"/>
                          </w:rPr>
                          <m:t>t</m:t>
                        </m:r>
                      </m:sub>
                    </m:sSub>
                  </m:num>
                  <m:den>
                    <m:r>
                      <w:rPr>
                        <w:rFonts w:ascii="Cambria Math" w:hAnsi="Cambria Math"/>
                      </w:rPr>
                      <m:t>(r-g)</m:t>
                    </m:r>
                  </m:den>
                </m:f>
                <m:r>
                  <w:rPr>
                    <w:rFonts w:ascii="Cambria Math" w:hAnsi="Cambria Math"/>
                  </w:rPr>
                  <m:t>,</m:t>
                </m:r>
              </m:oMath>
            </m:oMathPara>
          </w:p>
        </w:tc>
        <w:tc>
          <w:tcPr>
            <w:tcW w:w="703" w:type="dxa"/>
          </w:tcPr>
          <w:p w14:paraId="7BEDD91C" w14:textId="77777777" w:rsidR="002607CC" w:rsidRPr="00F26C5E" w:rsidRDefault="002607CC" w:rsidP="00BF1B05">
            <w:pPr>
              <w:pStyle w:val="af8"/>
              <w:numPr>
                <w:ilvl w:val="0"/>
                <w:numId w:val="6"/>
              </w:numPr>
              <w:rPr>
                <w:rFonts w:eastAsiaTheme="minorEastAsia"/>
              </w:rPr>
            </w:pPr>
          </w:p>
        </w:tc>
      </w:tr>
    </w:tbl>
    <w:p w14:paraId="082F659C" w14:textId="646EED7A" w:rsidR="002607CC" w:rsidRPr="00C96A79" w:rsidRDefault="002607CC" w:rsidP="002607CC">
      <w:pPr>
        <w:spacing w:line="240" w:lineRule="auto"/>
        <w:ind w:firstLine="426"/>
        <w:rPr>
          <w:rFonts w:eastAsiaTheme="minorEastAsia" w:cs="Times New Roman"/>
          <w:i/>
          <w:iCs/>
        </w:rPr>
      </w:pPr>
      <w:r>
        <w:rPr>
          <w:rFonts w:eastAsiaTheme="minorEastAsia" w:cs="Times New Roman"/>
          <w:i/>
          <w:iCs/>
        </w:rPr>
        <w:t xml:space="preserve">где </w:t>
      </w:r>
      <w:proofErr w:type="spellStart"/>
      <w:r w:rsidRPr="00C96A79">
        <w:rPr>
          <w:rFonts w:eastAsiaTheme="minorEastAsia" w:cs="Times New Roman"/>
          <w:i/>
          <w:iCs/>
          <w:lang w:val="en-US"/>
        </w:rPr>
        <w:t>b</w:t>
      </w:r>
      <w:r w:rsidRPr="00C96A79">
        <w:rPr>
          <w:rFonts w:eastAsiaTheme="minorEastAsia" w:cs="Times New Roman"/>
          <w:i/>
          <w:iCs/>
          <w:vertAlign w:val="subscript"/>
          <w:lang w:val="en-US"/>
        </w:rPr>
        <w:t>t</w:t>
      </w:r>
      <w:proofErr w:type="spellEnd"/>
      <w:r w:rsidRPr="00C96A79">
        <w:rPr>
          <w:rFonts w:eastAsiaTheme="minorEastAsia" w:cs="Times New Roman"/>
          <w:i/>
          <w:iCs/>
        </w:rPr>
        <w:t xml:space="preserve"> — балансовая стоимость компании или чистые активы, </w:t>
      </w:r>
    </w:p>
    <w:p w14:paraId="1D59D735" w14:textId="77777777" w:rsidR="002607CC" w:rsidRPr="00C96A79" w:rsidRDefault="002607CC" w:rsidP="002607CC">
      <w:pPr>
        <w:spacing w:line="240" w:lineRule="auto"/>
        <w:ind w:firstLine="426"/>
        <w:rPr>
          <w:rFonts w:eastAsiaTheme="minorEastAsia" w:cs="Times New Roman"/>
          <w:i/>
          <w:iCs/>
        </w:rPr>
      </w:pPr>
      <w:proofErr w:type="spellStart"/>
      <w:r w:rsidRPr="00C96A79">
        <w:rPr>
          <w:rFonts w:eastAsiaTheme="minorEastAsia" w:cs="Times New Roman"/>
          <w:i/>
          <w:iCs/>
          <w:lang w:val="en-US"/>
        </w:rPr>
        <w:t>x</w:t>
      </w:r>
      <w:r w:rsidRPr="00C96A79">
        <w:rPr>
          <w:rFonts w:eastAsiaTheme="minorEastAsia" w:cs="Times New Roman"/>
          <w:i/>
          <w:iCs/>
          <w:vertAlign w:val="subscript"/>
          <w:lang w:val="en-US"/>
        </w:rPr>
        <w:t>t</w:t>
      </w:r>
      <w:proofErr w:type="spellEnd"/>
      <w:r w:rsidRPr="00C96A79">
        <w:rPr>
          <w:rFonts w:eastAsiaTheme="minorEastAsia" w:cs="Times New Roman"/>
          <w:i/>
          <w:iCs/>
        </w:rPr>
        <w:t xml:space="preserve"> —</w:t>
      </w:r>
      <w:r>
        <w:rPr>
          <w:rFonts w:eastAsiaTheme="minorEastAsia" w:cs="Times New Roman"/>
          <w:i/>
          <w:iCs/>
        </w:rPr>
        <w:t xml:space="preserve"> </w:t>
      </w:r>
      <w:r w:rsidRPr="00C96A79">
        <w:rPr>
          <w:rFonts w:eastAsiaTheme="minorEastAsia" w:cs="Times New Roman"/>
          <w:i/>
          <w:iCs/>
        </w:rPr>
        <w:t>анормальный</w:t>
      </w:r>
      <w:r>
        <w:rPr>
          <w:rFonts w:eastAsiaTheme="minorEastAsia" w:cs="Times New Roman"/>
          <w:i/>
          <w:iCs/>
        </w:rPr>
        <w:t xml:space="preserve"> прибыль текущего года</w:t>
      </w:r>
      <w:r w:rsidRPr="00C96A79">
        <w:rPr>
          <w:rFonts w:eastAsiaTheme="minorEastAsia" w:cs="Times New Roman"/>
          <w:i/>
          <w:iCs/>
        </w:rPr>
        <w:t xml:space="preserve">, </w:t>
      </w:r>
    </w:p>
    <w:p w14:paraId="41B5EB6B" w14:textId="35A71E72" w:rsidR="002607CC" w:rsidRDefault="002607CC" w:rsidP="002607CC">
      <w:pPr>
        <w:spacing w:line="240" w:lineRule="auto"/>
        <w:ind w:firstLine="426"/>
        <w:rPr>
          <w:rFonts w:eastAsiaTheme="minorEastAsia" w:cs="Times New Roman"/>
          <w:i/>
          <w:iCs/>
        </w:rPr>
      </w:pPr>
      <w:r w:rsidRPr="00C96A79">
        <w:rPr>
          <w:rFonts w:eastAsiaTheme="minorEastAsia" w:cs="Times New Roman"/>
          <w:i/>
          <w:iCs/>
          <w:lang w:val="en-US"/>
        </w:rPr>
        <w:t>r</w:t>
      </w:r>
      <w:r w:rsidRPr="00C96A79">
        <w:rPr>
          <w:rFonts w:eastAsiaTheme="minorEastAsia" w:cs="Times New Roman"/>
          <w:i/>
          <w:iCs/>
        </w:rPr>
        <w:t xml:space="preserve"> — ставка дисконтирования</w:t>
      </w:r>
      <w:r>
        <w:rPr>
          <w:rFonts w:eastAsiaTheme="minorEastAsia" w:cs="Times New Roman"/>
          <w:i/>
          <w:iCs/>
        </w:rPr>
        <w:t xml:space="preserve">, </w:t>
      </w:r>
    </w:p>
    <w:p w14:paraId="6747B8B4" w14:textId="1F19C97C" w:rsidR="002607CC" w:rsidRPr="002607CC" w:rsidRDefault="002607CC" w:rsidP="002607CC">
      <w:pPr>
        <w:spacing w:line="240" w:lineRule="auto"/>
        <w:ind w:firstLine="426"/>
        <w:rPr>
          <w:rFonts w:eastAsiaTheme="minorEastAsia" w:cs="Times New Roman"/>
          <w:i/>
          <w:iCs/>
        </w:rPr>
      </w:pPr>
      <w:r>
        <w:rPr>
          <w:rFonts w:eastAsiaTheme="minorEastAsia" w:cs="Times New Roman"/>
          <w:i/>
          <w:iCs/>
          <w:lang w:val="en-US"/>
        </w:rPr>
        <w:t>g</w:t>
      </w:r>
      <w:r w:rsidRPr="00BF1B05">
        <w:rPr>
          <w:rFonts w:eastAsiaTheme="minorEastAsia" w:cs="Times New Roman"/>
          <w:i/>
          <w:iCs/>
        </w:rPr>
        <w:t xml:space="preserve"> — </w:t>
      </w:r>
      <w:r>
        <w:rPr>
          <w:rFonts w:eastAsiaTheme="minorEastAsia" w:cs="Times New Roman"/>
          <w:i/>
          <w:iCs/>
        </w:rPr>
        <w:t xml:space="preserve">ожидаемый темп роста. </w:t>
      </w:r>
    </w:p>
    <w:p w14:paraId="6DE36BEB" w14:textId="1E0C6561" w:rsidR="00F26C5E" w:rsidRPr="00F26C5E" w:rsidRDefault="00BC071B" w:rsidP="00F26C5E">
      <w:r>
        <w:t>В данном методе применяются элементы затратного и доходного подходов</w:t>
      </w:r>
      <w:r w:rsidR="00B345F7">
        <w:t>,</w:t>
      </w:r>
      <w:r>
        <w:rPr>
          <w:rStyle w:val="afe"/>
        </w:rPr>
        <w:footnoteReference w:id="39"/>
      </w:r>
      <w:r w:rsidR="00B345F7">
        <w:t xml:space="preserve"> так как модель </w:t>
      </w:r>
      <w:r w:rsidR="00C13A80">
        <w:t>учитывает как</w:t>
      </w:r>
      <w:r w:rsidR="00B345F7">
        <w:t xml:space="preserve"> показател</w:t>
      </w:r>
      <w:r w:rsidR="00C13A80">
        <w:t xml:space="preserve">и </w:t>
      </w:r>
      <w:r w:rsidR="00B345F7">
        <w:t>финансов</w:t>
      </w:r>
      <w:r w:rsidR="00C13A80">
        <w:t>ой</w:t>
      </w:r>
      <w:r w:rsidR="00B345F7">
        <w:t xml:space="preserve"> отчет</w:t>
      </w:r>
      <w:r w:rsidR="00C13A80">
        <w:t xml:space="preserve">ности, так </w:t>
      </w:r>
      <w:r w:rsidR="00B345F7">
        <w:t>и</w:t>
      </w:r>
      <w:r w:rsidR="00C13A80">
        <w:t xml:space="preserve"> динамику анормальных доходов. </w:t>
      </w:r>
      <w:r w:rsidR="002607CC">
        <w:t xml:space="preserve">В 1995 году модель Эдвардса-Белла была усовершенствована </w:t>
      </w:r>
      <w:r w:rsidR="00E70884">
        <w:t>Ольсон</w:t>
      </w:r>
      <w:r w:rsidR="002607CC">
        <w:t>ом</w:t>
      </w:r>
      <w:r w:rsidR="002607CC">
        <w:rPr>
          <w:rStyle w:val="afe"/>
        </w:rPr>
        <w:footnoteReference w:id="40"/>
      </w:r>
      <w:r w:rsidR="002607CC">
        <w:t>, который</w:t>
      </w:r>
      <w:r w:rsidR="00E70884">
        <w:t xml:space="preserve"> предполага</w:t>
      </w:r>
      <w:r w:rsidR="002607CC">
        <w:t>л</w:t>
      </w:r>
      <w:r w:rsidR="00E70884">
        <w:t xml:space="preserve">, что стоимость компании зависит не только от изменений балансовой цены и будущего денежного потока, но и от процесса </w:t>
      </w:r>
      <w:r w:rsidR="00E70884">
        <w:lastRenderedPageBreak/>
        <w:t>«информационной динамики», то есть от условия получения компанией анормальных доходов.</w:t>
      </w:r>
      <w:r w:rsidR="00E70884">
        <w:rPr>
          <w:rStyle w:val="afe"/>
        </w:rPr>
        <w:footnoteReference w:id="41"/>
      </w:r>
      <w:r w:rsidR="00E70884">
        <w:t xml:space="preserve"> </w:t>
      </w:r>
      <w:r w:rsidR="00C13A80">
        <w:t xml:space="preserve">Стоимость компании в данной модели рассчитывается по формуле: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26C5E" w14:paraId="21DEC66D" w14:textId="77777777" w:rsidTr="00F26C5E">
        <w:tc>
          <w:tcPr>
            <w:tcW w:w="8642" w:type="dxa"/>
          </w:tcPr>
          <w:p w14:paraId="43441093" w14:textId="72B835C7" w:rsidR="00F26C5E" w:rsidRPr="00F26C5E" w:rsidRDefault="0056120C" w:rsidP="00C96A79">
            <w:pPr>
              <w:ind w:firstLine="0"/>
              <w:jc w:val="center"/>
              <w:rPr>
                <w:rFonts w:ascii="Cambria Math" w:eastAsiaTheme="minorEastAsia" w:hAnsi="Cambria Math"/>
                <w:i/>
              </w:rPr>
            </w:pPr>
            <m:oMathPara>
              <m:oMath>
                <m:sSub>
                  <m:sSubPr>
                    <m:ctrlPr>
                      <w:rPr>
                        <w:rFonts w:ascii="Cambria Math" w:hAnsi="Cambria Math"/>
                        <w:i/>
                      </w:rPr>
                    </m:ctrlPr>
                  </m:sSubPr>
                  <m:e>
                    <m:r>
                      <w:rPr>
                        <w:rFonts w:ascii="Cambria Math" w:hAnsi="Cambria Math"/>
                        <w:lang w:val="en-US"/>
                      </w:rPr>
                      <m:t>P</m:t>
                    </m:r>
                  </m:e>
                  <m:sub>
                    <m:r>
                      <w:rPr>
                        <w:rFonts w:ascii="Cambria Math" w:hAnsi="Cambria Math"/>
                      </w:rPr>
                      <m:t>EBO</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t</m:t>
                    </m:r>
                  </m:sub>
                  <m:sup>
                    <m:r>
                      <w:rPr>
                        <w:rFonts w:ascii="Cambria Math" w:hAnsi="Cambria Math"/>
                      </w:rPr>
                      <m:t>a</m:t>
                    </m:r>
                  </m:sup>
                </m:sSubSup>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oMath>
            </m:oMathPara>
          </w:p>
        </w:tc>
        <w:tc>
          <w:tcPr>
            <w:tcW w:w="703" w:type="dxa"/>
          </w:tcPr>
          <w:p w14:paraId="253CA04F" w14:textId="49388747" w:rsidR="00F26C5E" w:rsidRPr="00F26C5E" w:rsidRDefault="00F26C5E" w:rsidP="0059110D">
            <w:pPr>
              <w:pStyle w:val="af8"/>
              <w:numPr>
                <w:ilvl w:val="0"/>
                <w:numId w:val="6"/>
              </w:numPr>
              <w:rPr>
                <w:rFonts w:eastAsiaTheme="minorEastAsia"/>
              </w:rPr>
            </w:pPr>
          </w:p>
        </w:tc>
      </w:tr>
    </w:tbl>
    <w:p w14:paraId="4B160612" w14:textId="77777777" w:rsidR="00C96A79" w:rsidRPr="00C96A79" w:rsidRDefault="00C13A80" w:rsidP="00C96A79">
      <w:pPr>
        <w:spacing w:line="240" w:lineRule="auto"/>
        <w:ind w:firstLine="0"/>
        <w:rPr>
          <w:rFonts w:eastAsiaTheme="minorEastAsia" w:cs="Times New Roman"/>
          <w:i/>
          <w:iCs/>
        </w:rPr>
      </w:pPr>
      <w:r w:rsidRPr="00C96A79">
        <w:rPr>
          <w:rFonts w:eastAsiaTheme="minorEastAsia" w:cs="Times New Roman"/>
          <w:i/>
          <w:iCs/>
        </w:rPr>
        <w:t xml:space="preserve">где, </w:t>
      </w:r>
      <w:r w:rsidR="00C96A79" w:rsidRPr="00C96A79">
        <w:rPr>
          <w:rFonts w:eastAsiaTheme="minorEastAsia" w:cs="Times New Roman"/>
          <w:i/>
          <w:iCs/>
          <w:lang w:val="en-US"/>
        </w:rPr>
        <w:t>a</w:t>
      </w:r>
      <w:r w:rsidR="00C96A79" w:rsidRPr="00C96A79">
        <w:rPr>
          <w:rFonts w:eastAsiaTheme="minorEastAsia" w:cs="Times New Roman"/>
          <w:i/>
          <w:iCs/>
          <w:vertAlign w:val="subscript"/>
        </w:rPr>
        <w:t xml:space="preserve">1 </w:t>
      </w:r>
      <w:r w:rsidR="00C96A79" w:rsidRPr="00C96A79">
        <w:rPr>
          <w:rFonts w:eastAsiaTheme="minorEastAsia" w:cs="Times New Roman"/>
          <w:i/>
          <w:iCs/>
        </w:rPr>
        <w:t xml:space="preserve">= </w:t>
      </w:r>
      <w:r w:rsidR="00C96A79" w:rsidRPr="00C96A79">
        <w:rPr>
          <w:rFonts w:eastAsiaTheme="minorEastAsia" w:cs="Times New Roman"/>
          <w:i/>
          <w:iCs/>
          <w:lang w:val="en-US"/>
        </w:rPr>
        <w:sym w:font="Symbol" w:char="F077"/>
      </w:r>
      <w:r w:rsidR="00C96A79" w:rsidRPr="00C96A79">
        <w:rPr>
          <w:rFonts w:eastAsiaTheme="minorEastAsia" w:cs="Times New Roman"/>
          <w:i/>
          <w:iCs/>
        </w:rPr>
        <w:t xml:space="preserve"> / (1 + </w:t>
      </w:r>
      <w:r w:rsidR="00C96A79" w:rsidRPr="00C96A79">
        <w:rPr>
          <w:rFonts w:eastAsiaTheme="minorEastAsia" w:cs="Times New Roman"/>
          <w:i/>
          <w:iCs/>
          <w:lang w:val="en-US"/>
        </w:rPr>
        <w:t>r</w:t>
      </w:r>
      <w:r w:rsidR="00C96A79" w:rsidRPr="00C96A79">
        <w:rPr>
          <w:rFonts w:eastAsiaTheme="minorEastAsia" w:cs="Times New Roman"/>
          <w:i/>
          <w:iCs/>
        </w:rPr>
        <w:t xml:space="preserve"> – </w:t>
      </w:r>
      <w:r w:rsidR="00C96A79" w:rsidRPr="00C96A79">
        <w:rPr>
          <w:rFonts w:eastAsiaTheme="minorEastAsia" w:cs="Times New Roman"/>
          <w:i/>
          <w:iCs/>
          <w:lang w:val="en-US"/>
        </w:rPr>
        <w:sym w:font="Symbol" w:char="F077"/>
      </w:r>
      <w:r w:rsidR="00C96A79" w:rsidRPr="00C96A79">
        <w:rPr>
          <w:rFonts w:eastAsiaTheme="minorEastAsia" w:cs="Times New Roman"/>
          <w:i/>
          <w:iCs/>
        </w:rPr>
        <w:t xml:space="preserve">), </w:t>
      </w:r>
    </w:p>
    <w:p w14:paraId="0E0564B1" w14:textId="7E6175DE" w:rsidR="00C96A79" w:rsidRPr="00C96A79" w:rsidRDefault="00C96A79" w:rsidP="00C96A79">
      <w:pPr>
        <w:spacing w:line="240" w:lineRule="auto"/>
        <w:ind w:firstLine="426"/>
        <w:rPr>
          <w:rFonts w:eastAsiaTheme="minorEastAsia" w:cs="Times New Roman"/>
          <w:i/>
          <w:iCs/>
        </w:rPr>
      </w:pPr>
      <w:r w:rsidRPr="00C96A79">
        <w:rPr>
          <w:rFonts w:eastAsiaTheme="minorEastAsia" w:cs="Times New Roman"/>
          <w:i/>
          <w:iCs/>
          <w:lang w:val="en-US"/>
        </w:rPr>
        <w:t>a</w:t>
      </w:r>
      <w:r w:rsidRPr="00045CC3">
        <w:rPr>
          <w:rFonts w:eastAsiaTheme="minorEastAsia" w:cs="Times New Roman"/>
          <w:i/>
          <w:iCs/>
          <w:vertAlign w:val="subscript"/>
        </w:rPr>
        <w:t>2</w:t>
      </w:r>
      <w:r w:rsidRPr="00045CC3">
        <w:rPr>
          <w:rFonts w:eastAsiaTheme="minorEastAsia" w:cs="Times New Roman"/>
          <w:i/>
          <w:iCs/>
        </w:rPr>
        <w:t xml:space="preserve"> = (1 + </w:t>
      </w:r>
      <w:r w:rsidRPr="00C96A79">
        <w:rPr>
          <w:rFonts w:eastAsiaTheme="minorEastAsia" w:cs="Times New Roman"/>
          <w:i/>
          <w:iCs/>
          <w:lang w:val="en-US"/>
        </w:rPr>
        <w:t>r</w:t>
      </w:r>
      <w:r w:rsidRPr="00045CC3">
        <w:rPr>
          <w:rFonts w:eastAsiaTheme="minorEastAsia" w:cs="Times New Roman"/>
          <w:i/>
          <w:iCs/>
        </w:rPr>
        <w:t>) / (1 +</w:t>
      </w:r>
      <w:r w:rsidRPr="00C96A79">
        <w:rPr>
          <w:rFonts w:eastAsiaTheme="minorEastAsia" w:cs="Times New Roman"/>
          <w:i/>
          <w:iCs/>
          <w:lang w:val="en-US"/>
        </w:rPr>
        <w:t>r</w:t>
      </w:r>
      <w:r w:rsidRPr="00045CC3">
        <w:rPr>
          <w:rFonts w:eastAsiaTheme="minorEastAsia" w:cs="Times New Roman"/>
          <w:i/>
          <w:iCs/>
        </w:rPr>
        <w:t xml:space="preserve"> – </w:t>
      </w:r>
      <w:r w:rsidRPr="00C96A79">
        <w:rPr>
          <w:rFonts w:eastAsiaTheme="minorEastAsia" w:cs="Times New Roman"/>
          <w:i/>
          <w:iCs/>
          <w:lang w:val="en-US"/>
        </w:rPr>
        <w:sym w:font="Symbol" w:char="F077"/>
      </w:r>
      <w:r w:rsidRPr="00045CC3">
        <w:rPr>
          <w:rFonts w:eastAsiaTheme="minorEastAsia" w:cs="Times New Roman"/>
          <w:i/>
          <w:iCs/>
        </w:rPr>
        <w:t xml:space="preserve">)*(1 + </w:t>
      </w:r>
      <w:r w:rsidRPr="00C96A79">
        <w:rPr>
          <w:rFonts w:eastAsiaTheme="minorEastAsia" w:cs="Times New Roman"/>
          <w:i/>
          <w:iCs/>
          <w:lang w:val="en-US"/>
        </w:rPr>
        <w:t>r</w:t>
      </w:r>
      <w:r w:rsidRPr="00045CC3">
        <w:rPr>
          <w:rFonts w:eastAsiaTheme="minorEastAsia" w:cs="Times New Roman"/>
          <w:i/>
          <w:iCs/>
        </w:rPr>
        <w:t xml:space="preserve"> –  </w:t>
      </w:r>
      <w:r w:rsidRPr="00C96A79">
        <w:rPr>
          <w:rFonts w:eastAsiaTheme="minorEastAsia" w:cs="Times New Roman"/>
          <w:i/>
          <w:iCs/>
          <w:lang w:val="en-US"/>
        </w:rPr>
        <w:sym w:font="Symbol" w:char="F067"/>
      </w:r>
      <w:r w:rsidRPr="00045CC3">
        <w:rPr>
          <w:rFonts w:eastAsiaTheme="minorEastAsia" w:cs="Times New Roman"/>
          <w:i/>
          <w:iCs/>
        </w:rPr>
        <w:t>)</w:t>
      </w:r>
      <w:r>
        <w:rPr>
          <w:rFonts w:eastAsiaTheme="minorEastAsia" w:cs="Times New Roman"/>
          <w:i/>
          <w:iCs/>
        </w:rPr>
        <w:t>,</w:t>
      </w:r>
    </w:p>
    <w:p w14:paraId="69E9555D" w14:textId="7FF4A48D" w:rsidR="00C13A80" w:rsidRPr="00045CC3" w:rsidRDefault="0056120C" w:rsidP="00C96A79">
      <w:pPr>
        <w:spacing w:line="240" w:lineRule="auto"/>
        <w:ind w:firstLine="426"/>
        <w:rPr>
          <w:rFonts w:eastAsiaTheme="minorEastAsia" w:cs="Times New Roman"/>
          <w:i/>
          <w:iCs/>
        </w:rPr>
      </w:pPr>
      <m:oMath>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t</m:t>
            </m:r>
          </m:sub>
        </m:sSub>
      </m:oMath>
      <w:r w:rsidR="00C13A80" w:rsidRPr="00C96A79">
        <w:rPr>
          <w:rFonts w:eastAsiaTheme="minorEastAsia" w:cs="Times New Roman"/>
          <w:i/>
          <w:iCs/>
        </w:rPr>
        <w:t xml:space="preserve"> </w:t>
      </w:r>
      <w:r w:rsidR="00C96A79" w:rsidRPr="00C96A79">
        <w:rPr>
          <w:rFonts w:eastAsiaTheme="minorEastAsia" w:cs="Times New Roman"/>
          <w:i/>
          <w:iCs/>
        </w:rPr>
        <w:t xml:space="preserve">— параметр, характеризующий прогноз анормальных доходов, </w:t>
      </w:r>
    </w:p>
    <w:p w14:paraId="55271A21" w14:textId="1C0ED6EF" w:rsidR="00C96A79" w:rsidRPr="00C96A79" w:rsidRDefault="00C96A79" w:rsidP="00C96A79">
      <w:pPr>
        <w:spacing w:line="240" w:lineRule="auto"/>
        <w:ind w:firstLine="426"/>
        <w:rPr>
          <w:rFonts w:eastAsiaTheme="minorEastAsia" w:cs="Times New Roman"/>
          <w:i/>
          <w:iCs/>
        </w:rPr>
      </w:pPr>
      <w:proofErr w:type="spellStart"/>
      <w:r w:rsidRPr="00C96A79">
        <w:rPr>
          <w:rFonts w:eastAsiaTheme="minorEastAsia" w:cs="Times New Roman"/>
          <w:i/>
          <w:iCs/>
          <w:lang w:val="en-US"/>
        </w:rPr>
        <w:t>b</w:t>
      </w:r>
      <w:r w:rsidRPr="00C96A79">
        <w:rPr>
          <w:rFonts w:eastAsiaTheme="minorEastAsia" w:cs="Times New Roman"/>
          <w:i/>
          <w:iCs/>
          <w:vertAlign w:val="subscript"/>
          <w:lang w:val="en-US"/>
        </w:rPr>
        <w:t>t</w:t>
      </w:r>
      <w:proofErr w:type="spellEnd"/>
      <w:r w:rsidRPr="00C96A79">
        <w:rPr>
          <w:rFonts w:eastAsiaTheme="minorEastAsia" w:cs="Times New Roman"/>
          <w:i/>
          <w:iCs/>
        </w:rPr>
        <w:t xml:space="preserve"> — балансовая стоимость компании или чистые активы, </w:t>
      </w:r>
    </w:p>
    <w:p w14:paraId="005843F4" w14:textId="1369D1B9" w:rsidR="00C96A79" w:rsidRPr="00C96A79" w:rsidRDefault="00C96A79" w:rsidP="00C96A79">
      <w:pPr>
        <w:spacing w:line="240" w:lineRule="auto"/>
        <w:ind w:firstLine="426"/>
        <w:rPr>
          <w:rFonts w:eastAsiaTheme="minorEastAsia" w:cs="Times New Roman"/>
          <w:i/>
          <w:iCs/>
        </w:rPr>
      </w:pPr>
      <w:proofErr w:type="spellStart"/>
      <w:r w:rsidRPr="00C96A79">
        <w:rPr>
          <w:rFonts w:eastAsiaTheme="minorEastAsia" w:cs="Times New Roman"/>
          <w:i/>
          <w:iCs/>
          <w:lang w:val="en-US"/>
        </w:rPr>
        <w:t>x</w:t>
      </w:r>
      <w:r w:rsidRPr="00C96A79">
        <w:rPr>
          <w:rFonts w:eastAsiaTheme="minorEastAsia" w:cs="Times New Roman"/>
          <w:i/>
          <w:iCs/>
          <w:vertAlign w:val="subscript"/>
          <w:lang w:val="en-US"/>
        </w:rPr>
        <w:t>t</w:t>
      </w:r>
      <w:proofErr w:type="spellEnd"/>
      <w:r w:rsidRPr="00C96A79">
        <w:rPr>
          <w:rFonts w:eastAsiaTheme="minorEastAsia" w:cs="Times New Roman"/>
          <w:i/>
          <w:iCs/>
        </w:rPr>
        <w:t xml:space="preserve"> —</w:t>
      </w:r>
      <w:r w:rsidR="00F26C5E">
        <w:rPr>
          <w:rFonts w:eastAsiaTheme="minorEastAsia" w:cs="Times New Roman"/>
          <w:i/>
          <w:iCs/>
        </w:rPr>
        <w:t xml:space="preserve"> </w:t>
      </w:r>
      <w:r w:rsidRPr="00C96A79">
        <w:rPr>
          <w:rFonts w:eastAsiaTheme="minorEastAsia" w:cs="Times New Roman"/>
          <w:i/>
          <w:iCs/>
        </w:rPr>
        <w:t>анормальный</w:t>
      </w:r>
      <w:r w:rsidR="00F26C5E">
        <w:rPr>
          <w:rFonts w:eastAsiaTheme="minorEastAsia" w:cs="Times New Roman"/>
          <w:i/>
          <w:iCs/>
        </w:rPr>
        <w:t xml:space="preserve"> прибыль текущего года</w:t>
      </w:r>
      <w:r w:rsidRPr="00C96A79">
        <w:rPr>
          <w:rFonts w:eastAsiaTheme="minorEastAsia" w:cs="Times New Roman"/>
          <w:i/>
          <w:iCs/>
        </w:rPr>
        <w:t xml:space="preserve">, </w:t>
      </w:r>
    </w:p>
    <w:p w14:paraId="52FDA445" w14:textId="01E7BBBF" w:rsidR="00C96A79" w:rsidRPr="00C96A79" w:rsidRDefault="00C96A79" w:rsidP="00C96A79">
      <w:pPr>
        <w:spacing w:line="240" w:lineRule="auto"/>
        <w:ind w:firstLine="426"/>
        <w:rPr>
          <w:rFonts w:eastAsiaTheme="minorEastAsia" w:cs="Times New Roman"/>
          <w:i/>
          <w:iCs/>
        </w:rPr>
      </w:pPr>
      <w:r w:rsidRPr="00C96A79">
        <w:rPr>
          <w:rFonts w:eastAsiaTheme="minorEastAsia" w:cs="Times New Roman"/>
          <w:i/>
          <w:iCs/>
          <w:lang w:val="en-US"/>
        </w:rPr>
        <w:t>r</w:t>
      </w:r>
      <w:r w:rsidRPr="00C96A79">
        <w:rPr>
          <w:rFonts w:eastAsiaTheme="minorEastAsia" w:cs="Times New Roman"/>
          <w:i/>
          <w:iCs/>
        </w:rPr>
        <w:t xml:space="preserve"> — ставка дисконтирования. </w:t>
      </w:r>
    </w:p>
    <w:p w14:paraId="2825590A" w14:textId="77777777" w:rsidR="00972D36" w:rsidRDefault="00C13A80" w:rsidP="00BC0EC6">
      <w:r>
        <w:t>Главная идея данного подхода заключается в том, что, когда конкурентные преимущества компании ухудшаются, анормальные доходы стремятся к нулевой величине, и денежные потоки становятся практически равными среднерыночной норме доходности.</w:t>
      </w:r>
      <w:r>
        <w:rPr>
          <w:rStyle w:val="afe"/>
        </w:rPr>
        <w:footnoteReference w:id="42"/>
      </w:r>
      <w:r w:rsidR="00F26C5E">
        <w:t xml:space="preserve"> Предполагается, что на деятельность компании влияют неявные внешние факторы, которые отражаются в анормальных доходах, и, по итогу, изменяется стоимость бизнеса. </w:t>
      </w:r>
    </w:p>
    <w:p w14:paraId="652864A8" w14:textId="33E2D798" w:rsidR="00DB7964" w:rsidRPr="00BC0EC6" w:rsidRDefault="00E13473" w:rsidP="00BC0EC6">
      <w:r>
        <w:t>Э</w:t>
      </w:r>
      <w:r w:rsidR="00F26C5E">
        <w:t xml:space="preserve">мпирические параметры </w:t>
      </w:r>
      <w:r w:rsidR="00F26C5E" w:rsidRPr="00C96A79">
        <w:rPr>
          <w:rFonts w:eastAsiaTheme="minorEastAsia" w:cs="Times New Roman"/>
          <w:i/>
          <w:iCs/>
          <w:lang w:val="en-US"/>
        </w:rPr>
        <w:sym w:font="Symbol" w:char="F077"/>
      </w:r>
      <w:r w:rsidR="00F26C5E">
        <w:rPr>
          <w:rFonts w:eastAsiaTheme="minorEastAsia" w:cs="Times New Roman"/>
          <w:i/>
          <w:iCs/>
        </w:rPr>
        <w:t xml:space="preserve"> и </w:t>
      </w:r>
      <w:r w:rsidR="00F26C5E" w:rsidRPr="00C96A79">
        <w:rPr>
          <w:rFonts w:eastAsiaTheme="minorEastAsia" w:cs="Times New Roman"/>
          <w:i/>
          <w:iCs/>
          <w:lang w:val="en-US"/>
        </w:rPr>
        <w:sym w:font="Symbol" w:char="F067"/>
      </w:r>
      <w:r w:rsidR="00F26C5E">
        <w:rPr>
          <w:rFonts w:eastAsiaTheme="minorEastAsia" w:cs="Times New Roman"/>
          <w:i/>
          <w:iCs/>
        </w:rPr>
        <w:t xml:space="preserve"> </w:t>
      </w:r>
      <w:r w:rsidR="00F26C5E" w:rsidRPr="00F26C5E">
        <w:t>отражают стадию жизненного цикла компании и отрасли и позволяют учитывать специфику рассматриваемого бизнеса.</w:t>
      </w:r>
      <w:r w:rsidR="00972D36">
        <w:t xml:space="preserve"> Данные коэффициенты значимы в пределах от 0 до 1: если </w:t>
      </w:r>
      <w:r w:rsidR="00972D36" w:rsidRPr="00C96A79">
        <w:rPr>
          <w:rFonts w:eastAsiaTheme="minorEastAsia" w:cs="Times New Roman"/>
          <w:i/>
          <w:iCs/>
          <w:lang w:val="en-US"/>
        </w:rPr>
        <w:sym w:font="Symbol" w:char="F077"/>
      </w:r>
      <w:r w:rsidR="00972D36">
        <w:rPr>
          <w:rFonts w:eastAsiaTheme="minorEastAsia" w:cs="Times New Roman"/>
          <w:i/>
          <w:iCs/>
        </w:rPr>
        <w:t xml:space="preserve"> </w:t>
      </w:r>
      <w:r w:rsidR="00972D36" w:rsidRPr="00972D36">
        <w:rPr>
          <w:rFonts w:eastAsiaTheme="minorEastAsia" w:cs="Times New Roman"/>
        </w:rPr>
        <w:t>стремится к нулю, то анормальных доходов нет и будущие потоки ра</w:t>
      </w:r>
      <w:r w:rsidR="00FD59C2">
        <w:rPr>
          <w:rFonts w:eastAsiaTheme="minorEastAsia" w:cs="Times New Roman"/>
        </w:rPr>
        <w:t>в</w:t>
      </w:r>
      <w:r w:rsidR="00972D36" w:rsidRPr="00972D36">
        <w:rPr>
          <w:rFonts w:eastAsiaTheme="minorEastAsia" w:cs="Times New Roman"/>
        </w:rPr>
        <w:t xml:space="preserve">ны нулю, и наоборот, при </w:t>
      </w:r>
      <w:r w:rsidR="00972D36" w:rsidRPr="00972D36">
        <w:rPr>
          <w:rFonts w:eastAsiaTheme="minorEastAsia" w:cs="Times New Roman"/>
          <w:lang w:val="en-US"/>
        </w:rPr>
        <w:sym w:font="Symbol" w:char="F077"/>
      </w:r>
      <w:r w:rsidR="00972D36" w:rsidRPr="00972D36">
        <w:rPr>
          <w:rFonts w:eastAsiaTheme="minorEastAsia" w:cs="Times New Roman"/>
        </w:rPr>
        <w:t xml:space="preserve"> равному 1 анормальные доходы присутствуют.</w:t>
      </w:r>
      <w:r w:rsidR="00972D36">
        <w:rPr>
          <w:rStyle w:val="afe"/>
          <w:rFonts w:eastAsiaTheme="minorEastAsia" w:cs="Times New Roman"/>
        </w:rPr>
        <w:footnoteReference w:id="43"/>
      </w:r>
      <w:r w:rsidR="00972D36" w:rsidRPr="00972D36">
        <w:t xml:space="preserve"> </w:t>
      </w:r>
      <w:r w:rsidR="00F26C5E">
        <w:t>Также в данной модели учитывается рыночная стоимость активов и обязательств</w:t>
      </w:r>
      <w:r w:rsidR="002713B6">
        <w:t xml:space="preserve">, </w:t>
      </w:r>
      <w:r w:rsidR="00E8751A">
        <w:t>это</w:t>
      </w:r>
      <w:r w:rsidR="002713B6">
        <w:t xml:space="preserve"> отражается в показатели </w:t>
      </w:r>
      <w:proofErr w:type="spellStart"/>
      <w:r w:rsidR="002713B6">
        <w:rPr>
          <w:lang w:val="en-US"/>
        </w:rPr>
        <w:t>b</w:t>
      </w:r>
      <w:r w:rsidR="002713B6" w:rsidRPr="002713B6">
        <w:rPr>
          <w:vertAlign w:val="subscript"/>
          <w:lang w:val="en-US"/>
        </w:rPr>
        <w:t>t</w:t>
      </w:r>
      <w:proofErr w:type="spellEnd"/>
      <w:r w:rsidR="002A4F84">
        <w:t>.</w:t>
      </w:r>
      <w:r w:rsidR="00DB7964">
        <w:t xml:space="preserve"> Данный показатель основан на особенностях расчета затратного подхода. Таким образом, модель Ольсона</w:t>
      </w:r>
      <w:r w:rsidR="00BC0EC6">
        <w:t xml:space="preserve"> позволяет нивелировать риски ошибочности прогнозов, так как базой стоимости компании являются её чистые активы. </w:t>
      </w:r>
      <w:r w:rsidR="00C76F1D">
        <w:t>П</w:t>
      </w:r>
      <w:r w:rsidR="00BC0EC6">
        <w:t xml:space="preserve">ри оценке ценности бизнеса данным методом происходит разделение реальных и нематериальных активов как частей рыночной стоимости компании, поэтому модель даёт более точные результаты. </w:t>
      </w:r>
    </w:p>
    <w:p w14:paraId="3D268EE0" w14:textId="77777777" w:rsidR="00F9538A" w:rsidRDefault="00760EEA" w:rsidP="00F9538A">
      <w:r>
        <w:t xml:space="preserve">Исследования, тестирующие модель Ольсона, </w:t>
      </w:r>
      <w:r w:rsidR="00BC0EC6">
        <w:t xml:space="preserve">также </w:t>
      </w:r>
      <w:r>
        <w:t xml:space="preserve">подтверждают её значимость и состоятельность для применения в оценки ценности компаний </w:t>
      </w:r>
      <w:r w:rsidR="00E8751A">
        <w:t>как</w:t>
      </w:r>
      <w:r>
        <w:t xml:space="preserve"> в развитых, </w:t>
      </w:r>
      <w:r w:rsidR="00DB7964">
        <w:t xml:space="preserve">так </w:t>
      </w:r>
      <w:r>
        <w:t>и в развивающихся странах.</w:t>
      </w:r>
      <w:r>
        <w:rPr>
          <w:rStyle w:val="afe"/>
        </w:rPr>
        <w:footnoteReference w:id="44"/>
      </w:r>
      <w:r w:rsidR="00B345F7">
        <w:t xml:space="preserve"> </w:t>
      </w:r>
      <w:r w:rsidR="00675840">
        <w:t xml:space="preserve">Более того, по сравнению с классическим методом дисконтирования денежных потоков, модель Ольсона основывается на информации о </w:t>
      </w:r>
      <w:r w:rsidR="00675840">
        <w:lastRenderedPageBreak/>
        <w:t xml:space="preserve">стоимости активов на момент проведения оценки, а в </w:t>
      </w:r>
      <w:r w:rsidR="00675840">
        <w:rPr>
          <w:lang w:val="en-US"/>
        </w:rPr>
        <w:t>DCF</w:t>
      </w:r>
      <w:r w:rsidR="00675840">
        <w:t xml:space="preserve"> стоимость активов преобразуется во вклад в будущий поток денежных средств.</w:t>
      </w:r>
      <w:r w:rsidR="00675840">
        <w:rPr>
          <w:rStyle w:val="afe"/>
        </w:rPr>
        <w:footnoteReference w:id="45"/>
      </w:r>
      <w:r w:rsidR="00675840">
        <w:t xml:space="preserve"> </w:t>
      </w:r>
    </w:p>
    <w:p w14:paraId="4F9D7376" w14:textId="7207F8B3" w:rsidR="008B4943" w:rsidRDefault="00351457" w:rsidP="00F9538A">
      <w:r>
        <w:t>О</w:t>
      </w:r>
      <w:r w:rsidR="00C67AAB">
        <w:t>ценка ценности на основе достигнутой стоимости</w:t>
      </w:r>
      <w:r>
        <w:t xml:space="preserve"> является еще одним современным методом</w:t>
      </w:r>
      <w:r w:rsidR="00C67AAB">
        <w:t xml:space="preserve">. </w:t>
      </w:r>
      <w:r w:rsidR="00707D63">
        <w:t xml:space="preserve">Данный способ основан на принципе стационарности — </w:t>
      </w:r>
      <w:r w:rsidR="00DE0A2C">
        <w:t xml:space="preserve">предполагается, что </w:t>
      </w:r>
      <w:r w:rsidR="00707D63">
        <w:t>значения результатов компании в отчетном периоде останутся неизменными в дальнейшем, то есть не ухудшатся и не улучшатся</w:t>
      </w:r>
      <w:r w:rsidR="00DE0A2C">
        <w:t xml:space="preserve">. </w:t>
      </w:r>
      <w:r w:rsidR="008B4943">
        <w:t>Ценность бизнеса данным методом рассчитывается на основе предыдущих результатов, которые компания получила в рассматриваемом годо</w:t>
      </w:r>
      <w:r w:rsidR="00867795">
        <w:t>во</w:t>
      </w:r>
      <w:r w:rsidR="008B4943">
        <w:t>м периоде.</w:t>
      </w:r>
      <w:r w:rsidR="00867795">
        <w:t xml:space="preserve"> Данный метод строится на том, что вложенные инвестиции в будущем останутся неизменными, все активы амортизируются и в будущем будут восстановлены — все показатели сохраняются неизменными. </w:t>
      </w:r>
    </w:p>
    <w:p w14:paraId="1A66C2CF" w14:textId="0C80AC11" w:rsidR="00DE597A" w:rsidRDefault="00DE597A" w:rsidP="00DE597A">
      <w:r>
        <w:t>Учитывая необходимое условие стационарности бухгалтерских показателей</w:t>
      </w:r>
      <w:r w:rsidR="00AD76D1">
        <w:t xml:space="preserve"> и достигнутых результатов компании</w:t>
      </w:r>
      <w:r>
        <w:t>, формулу (</w:t>
      </w:r>
      <w:r w:rsidR="00F9538A">
        <w:t>3</w:t>
      </w:r>
      <w:r>
        <w:t>)</w:t>
      </w:r>
      <w:r>
        <w:rPr>
          <w:rStyle w:val="afe"/>
        </w:rPr>
        <w:footnoteReference w:id="46"/>
      </w:r>
      <w:r>
        <w:t xml:space="preserve"> стоимости компании в данном методе можно представить следующим образом: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26C5E" w14:paraId="3A9CA75E" w14:textId="77777777" w:rsidTr="00F26C5E">
        <w:tc>
          <w:tcPr>
            <w:tcW w:w="8642" w:type="dxa"/>
          </w:tcPr>
          <w:p w14:paraId="57DA4601" w14:textId="6664FAAF" w:rsidR="00F26C5E" w:rsidRDefault="0056120C" w:rsidP="00DE597A">
            <w:pPr>
              <w:tabs>
                <w:tab w:val="right" w:pos="9072"/>
              </w:tabs>
              <w:ind w:firstLine="0"/>
              <w:rPr>
                <w:rFonts w:eastAsia="Calibri" w:cs="Times New Roman"/>
              </w:rPr>
            </w:pPr>
            <m:oMathPara>
              <m:oMath>
                <m:sSub>
                  <m:sSubPr>
                    <m:ctrlPr>
                      <w:rPr>
                        <w:rFonts w:ascii="Cambria Math" w:hAnsi="Cambria Math"/>
                        <w:i/>
                      </w:rPr>
                    </m:ctrlPr>
                  </m:sSubPr>
                  <m:e>
                    <m:r>
                      <w:rPr>
                        <w:rFonts w:ascii="Cambria Math" w:hAnsi="Cambria Math"/>
                        <w:lang w:val="en-US"/>
                      </w:rPr>
                      <m:t>EV</m:t>
                    </m:r>
                  </m:e>
                  <m:sub>
                    <m:r>
                      <w:rPr>
                        <w:rFonts w:ascii="Cambria Math" w:hAnsi="Cambria Math"/>
                      </w:rPr>
                      <m:t>e</m:t>
                    </m:r>
                  </m:sub>
                </m:sSub>
                <m:r>
                  <w:rPr>
                    <w:rFonts w:ascii="Cambria Math" w:hAnsi="Cambria Math"/>
                  </w:rPr>
                  <m:t xml:space="preserve">= </m:t>
                </m:r>
                <m:f>
                  <m:fPr>
                    <m:ctrlPr>
                      <w:rPr>
                        <w:rFonts w:ascii="Cambria Math" w:hAnsi="Cambria Math"/>
                        <w:i/>
                      </w:rPr>
                    </m:ctrlPr>
                  </m:fPr>
                  <m:num>
                    <m:r>
                      <w:rPr>
                        <w:rFonts w:ascii="Cambria Math" w:hAnsi="Cambria Math"/>
                      </w:rPr>
                      <m:t>ROAA×</m:t>
                    </m:r>
                    <m:sSub>
                      <m:sSubPr>
                        <m:ctrlPr>
                          <w:rPr>
                            <w:rFonts w:ascii="Cambria Math" w:hAnsi="Cambria Math"/>
                            <w:i/>
                          </w:rPr>
                        </m:ctrlPr>
                      </m:sSubPr>
                      <m:e>
                        <m:r>
                          <w:rPr>
                            <w:rFonts w:ascii="Cambria Math" w:hAnsi="Cambria Math"/>
                          </w:rPr>
                          <m:t>PAC</m:t>
                        </m:r>
                      </m:e>
                      <m:sub>
                        <m:r>
                          <w:rPr>
                            <w:rFonts w:ascii="Cambria Math" w:hAnsi="Cambria Math"/>
                          </w:rPr>
                          <m:t>T</m:t>
                        </m:r>
                      </m:sub>
                    </m:sSub>
                  </m:num>
                  <m:den>
                    <m:r>
                      <w:rPr>
                        <w:rFonts w:ascii="Cambria Math" w:hAnsi="Cambria Math"/>
                      </w:rPr>
                      <m:t>r</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1-q</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PAC</m:t>
                        </m:r>
                      </m:e>
                      <m:sub>
                        <m:r>
                          <w:rPr>
                            <w:rFonts w:ascii="Cambria Math" w:hAnsi="Cambria Math"/>
                          </w:rPr>
                          <m:t>T</m:t>
                        </m:r>
                      </m:sub>
                    </m:sSub>
                  </m:num>
                  <m:den>
                    <m:r>
                      <w:rPr>
                        <w:rFonts w:ascii="Cambria Math" w:hAnsi="Cambria Math"/>
                      </w:rPr>
                      <m:t>(</m:t>
                    </m:r>
                    <m:sSup>
                      <m:sSupPr>
                        <m:ctrlPr>
                          <w:rPr>
                            <w:rFonts w:ascii="Cambria Math" w:hAnsi="Cambria Math"/>
                            <w:i/>
                          </w:rPr>
                        </m:ctrlPr>
                      </m:sSupPr>
                      <m:e>
                        <m:r>
                          <w:rPr>
                            <w:rFonts w:ascii="Cambria Math" w:hAnsi="Cambria Math"/>
                          </w:rPr>
                          <m:t>1+r)</m:t>
                        </m:r>
                      </m:e>
                      <m:sup>
                        <m:r>
                          <w:rPr>
                            <w:rFonts w:ascii="Cambria Math" w:hAnsi="Cambria Math"/>
                          </w:rPr>
                          <m:t>τ</m:t>
                        </m:r>
                      </m:sup>
                    </m:sSup>
                  </m:den>
                </m:f>
              </m:oMath>
            </m:oMathPara>
          </w:p>
        </w:tc>
        <w:tc>
          <w:tcPr>
            <w:tcW w:w="703" w:type="dxa"/>
          </w:tcPr>
          <w:p w14:paraId="6BBC873A" w14:textId="77777777" w:rsidR="00F26C5E" w:rsidRPr="00F26C5E" w:rsidRDefault="00F26C5E" w:rsidP="0059110D">
            <w:pPr>
              <w:pStyle w:val="af8"/>
              <w:numPr>
                <w:ilvl w:val="0"/>
                <w:numId w:val="6"/>
              </w:numPr>
              <w:tabs>
                <w:tab w:val="right" w:pos="9072"/>
              </w:tabs>
              <w:rPr>
                <w:rFonts w:eastAsia="Calibri" w:cs="Times New Roman"/>
              </w:rPr>
            </w:pPr>
          </w:p>
        </w:tc>
      </w:tr>
    </w:tbl>
    <w:p w14:paraId="50296706" w14:textId="750F612D" w:rsidR="00DE597A" w:rsidRPr="00F26C5E" w:rsidRDefault="00DE597A" w:rsidP="00F26C5E">
      <w:pPr>
        <w:tabs>
          <w:tab w:val="right" w:pos="9072"/>
        </w:tabs>
        <w:spacing w:line="240" w:lineRule="auto"/>
        <w:ind w:left="709" w:firstLine="0"/>
        <w:rPr>
          <w:rFonts w:eastAsiaTheme="minorEastAsia"/>
        </w:rPr>
      </w:pPr>
      <w:r w:rsidRPr="00352DC9">
        <w:rPr>
          <w:rFonts w:eastAsiaTheme="minorEastAsia"/>
          <w:i/>
          <w:iCs/>
        </w:rPr>
        <w:t xml:space="preserve">Где </w:t>
      </w:r>
      <w:proofErr w:type="spellStart"/>
      <w:r w:rsidRPr="00352DC9">
        <w:rPr>
          <w:rFonts w:eastAsiaTheme="minorEastAsia"/>
          <w:i/>
          <w:iCs/>
          <w:lang w:val="en-US"/>
        </w:rPr>
        <w:t>EV</w:t>
      </w:r>
      <w:r w:rsidRPr="00352DC9">
        <w:rPr>
          <w:rFonts w:eastAsiaTheme="minorEastAsia"/>
          <w:i/>
          <w:iCs/>
          <w:vertAlign w:val="subscript"/>
          <w:lang w:val="en-US"/>
        </w:rPr>
        <w:t>e</w:t>
      </w:r>
      <w:proofErr w:type="spellEnd"/>
      <w:r w:rsidRPr="00352DC9">
        <w:rPr>
          <w:rFonts w:eastAsiaTheme="minorEastAsia"/>
          <w:i/>
          <w:iCs/>
          <w:vertAlign w:val="subscript"/>
        </w:rPr>
        <w:t xml:space="preserve"> </w:t>
      </w:r>
      <w:r w:rsidRPr="00352DC9">
        <w:rPr>
          <w:rFonts w:eastAsiaTheme="minorEastAsia"/>
          <w:i/>
          <w:iCs/>
        </w:rPr>
        <w:t>– стоимость компании на конец отчетного периода,</w:t>
      </w:r>
    </w:p>
    <w:p w14:paraId="5F623176" w14:textId="77777777" w:rsidR="00DE597A" w:rsidRPr="00352DC9" w:rsidRDefault="00DE597A" w:rsidP="00F26C5E">
      <w:pPr>
        <w:spacing w:line="240" w:lineRule="auto"/>
        <w:rPr>
          <w:rFonts w:eastAsiaTheme="minorEastAsia"/>
          <w:i/>
          <w:iCs/>
        </w:rPr>
      </w:pPr>
      <w:r w:rsidRPr="00352DC9">
        <w:rPr>
          <w:rFonts w:eastAsiaTheme="minorEastAsia"/>
          <w:i/>
          <w:iCs/>
          <w:lang w:val="en-US"/>
        </w:rPr>
        <w:t>ROAA</w:t>
      </w:r>
      <w:r w:rsidRPr="00352DC9">
        <w:rPr>
          <w:rFonts w:eastAsiaTheme="minorEastAsia"/>
          <w:i/>
          <w:iCs/>
        </w:rPr>
        <w:t xml:space="preserve"> – достигнутая эффективность инвестиций, </w:t>
      </w:r>
    </w:p>
    <w:p w14:paraId="5510655E" w14:textId="77777777" w:rsidR="00DE597A" w:rsidRPr="00352DC9" w:rsidRDefault="00DE597A" w:rsidP="00DE597A">
      <w:pPr>
        <w:spacing w:line="240" w:lineRule="auto"/>
        <w:rPr>
          <w:rFonts w:eastAsiaTheme="minorEastAsia"/>
          <w:i/>
          <w:iCs/>
        </w:rPr>
      </w:pPr>
      <w:r w:rsidRPr="00352DC9">
        <w:rPr>
          <w:rFonts w:eastAsiaTheme="minorEastAsia"/>
          <w:i/>
          <w:iCs/>
          <w:lang w:val="en-US"/>
        </w:rPr>
        <w:t>PAC</w:t>
      </w:r>
      <w:r w:rsidRPr="00352DC9">
        <w:rPr>
          <w:rFonts w:eastAsiaTheme="minorEastAsia"/>
          <w:i/>
          <w:iCs/>
          <w:vertAlign w:val="subscript"/>
          <w:lang w:val="en-US"/>
        </w:rPr>
        <w:t>T</w:t>
      </w:r>
      <w:r w:rsidRPr="00352DC9">
        <w:rPr>
          <w:rFonts w:eastAsiaTheme="minorEastAsia"/>
          <w:i/>
          <w:iCs/>
          <w:vertAlign w:val="subscript"/>
        </w:rPr>
        <w:t xml:space="preserve"> </w:t>
      </w:r>
      <w:r w:rsidRPr="00352DC9">
        <w:rPr>
          <w:rFonts w:eastAsiaTheme="minorEastAsia"/>
          <w:i/>
          <w:iCs/>
        </w:rPr>
        <w:t xml:space="preserve">– объем активов, </w:t>
      </w:r>
    </w:p>
    <w:p w14:paraId="710D9765" w14:textId="77777777" w:rsidR="00DE597A" w:rsidRPr="00352DC9" w:rsidRDefault="00DE597A" w:rsidP="00DE597A">
      <w:pPr>
        <w:spacing w:line="240" w:lineRule="auto"/>
        <w:rPr>
          <w:rFonts w:eastAsiaTheme="minorEastAsia"/>
          <w:i/>
          <w:iCs/>
        </w:rPr>
      </w:pPr>
      <w:r w:rsidRPr="00352DC9">
        <w:rPr>
          <w:rFonts w:eastAsiaTheme="minorEastAsia"/>
          <w:i/>
          <w:iCs/>
          <w:lang w:val="en-US"/>
        </w:rPr>
        <w:t>r</w:t>
      </w:r>
      <w:r w:rsidRPr="00352DC9">
        <w:rPr>
          <w:rFonts w:eastAsiaTheme="minorEastAsia"/>
          <w:i/>
          <w:iCs/>
        </w:rPr>
        <w:t xml:space="preserve"> – рассчитанный </w:t>
      </w:r>
      <w:r w:rsidRPr="00352DC9">
        <w:rPr>
          <w:rFonts w:eastAsiaTheme="minorEastAsia"/>
          <w:i/>
          <w:iCs/>
          <w:lang w:val="en-US"/>
        </w:rPr>
        <w:t>WACC</w:t>
      </w:r>
      <w:r w:rsidRPr="00352DC9">
        <w:rPr>
          <w:rFonts w:eastAsiaTheme="minorEastAsia"/>
          <w:i/>
          <w:iCs/>
        </w:rPr>
        <w:t xml:space="preserve">, </w:t>
      </w:r>
    </w:p>
    <w:p w14:paraId="3175EC23" w14:textId="77777777" w:rsidR="00DE597A" w:rsidRPr="00352DC9" w:rsidRDefault="00DE597A" w:rsidP="00DE597A">
      <w:pPr>
        <w:spacing w:line="240" w:lineRule="auto"/>
        <w:rPr>
          <w:rFonts w:eastAsiaTheme="minorEastAsia"/>
          <w:i/>
          <w:iCs/>
        </w:rPr>
      </w:pPr>
      <w:r w:rsidRPr="00352DC9">
        <w:rPr>
          <w:rFonts w:eastAsiaTheme="minorEastAsia"/>
          <w:i/>
          <w:iCs/>
          <w:lang w:val="en-US"/>
        </w:rPr>
        <w:t>q</w:t>
      </w:r>
      <w:r w:rsidRPr="00352DC9">
        <w:rPr>
          <w:rFonts w:eastAsiaTheme="minorEastAsia"/>
          <w:i/>
          <w:iCs/>
        </w:rPr>
        <w:t xml:space="preserve"> = 1/(1+</w:t>
      </w:r>
      <w:proofErr w:type="gramStart"/>
      <w:r w:rsidRPr="00352DC9">
        <w:rPr>
          <w:rFonts w:eastAsiaTheme="minorEastAsia"/>
          <w:i/>
          <w:iCs/>
          <w:lang w:val="en-US"/>
        </w:rPr>
        <w:t>r</w:t>
      </w:r>
      <w:r w:rsidRPr="00352DC9">
        <w:rPr>
          <w:rFonts w:eastAsiaTheme="minorEastAsia"/>
          <w:i/>
          <w:iCs/>
        </w:rPr>
        <w:t>)</w:t>
      </w:r>
      <w:r w:rsidRPr="00352DC9">
        <w:rPr>
          <w:rFonts w:eastAsiaTheme="minorEastAsia"/>
          <w:i/>
          <w:iCs/>
          <w:vertAlign w:val="superscript"/>
          <w:lang w:val="en-US"/>
        </w:rPr>
        <w:t>T</w:t>
      </w:r>
      <w:proofErr w:type="gramEnd"/>
    </w:p>
    <w:p w14:paraId="13F0CAAB" w14:textId="77777777" w:rsidR="00DE597A" w:rsidRPr="00DE597A" w:rsidRDefault="00DE597A" w:rsidP="00DE597A">
      <w:pPr>
        <w:spacing w:line="240" w:lineRule="auto"/>
        <w:rPr>
          <w:i/>
          <w:iCs/>
        </w:rPr>
      </w:pPr>
      <w:r w:rsidRPr="00352DC9">
        <w:rPr>
          <w:rFonts w:eastAsiaTheme="minorEastAsia"/>
          <w:i/>
          <w:iCs/>
          <w:lang w:val="en-US"/>
        </w:rPr>
        <w:sym w:font="Symbol" w:char="F074"/>
      </w:r>
      <w:r w:rsidRPr="00352DC9">
        <w:rPr>
          <w:rFonts w:eastAsiaTheme="minorEastAsia"/>
          <w:i/>
          <w:iCs/>
        </w:rPr>
        <w:t xml:space="preserve"> – средневзвешенное </w:t>
      </w:r>
      <w:r>
        <w:rPr>
          <w:rFonts w:eastAsiaTheme="minorEastAsia"/>
          <w:i/>
          <w:iCs/>
        </w:rPr>
        <w:t xml:space="preserve">время </w:t>
      </w:r>
      <w:r w:rsidRPr="00352DC9">
        <w:rPr>
          <w:rFonts w:eastAsiaTheme="minorEastAsia"/>
          <w:i/>
          <w:iCs/>
        </w:rPr>
        <w:t>существовани</w:t>
      </w:r>
      <w:r>
        <w:rPr>
          <w:rFonts w:eastAsiaTheme="minorEastAsia"/>
          <w:i/>
          <w:iCs/>
        </w:rPr>
        <w:t>я</w:t>
      </w:r>
      <w:r w:rsidRPr="00352DC9">
        <w:rPr>
          <w:rFonts w:eastAsiaTheme="minorEastAsia"/>
          <w:i/>
          <w:iCs/>
        </w:rPr>
        <w:t xml:space="preserve"> активов. </w:t>
      </w:r>
    </w:p>
    <w:p w14:paraId="649E6D4E" w14:textId="47A18470" w:rsidR="00867795" w:rsidRDefault="00867795" w:rsidP="00DE597A">
      <w:pPr>
        <w:spacing w:before="240"/>
      </w:pPr>
      <w:r>
        <w:t>Оценка ценности бизнеса методом достигнутой стоимости определяет истинную стоимость компании на конкретный момент времени, то есть то, чего компания смогла достичь за год. Достигнутую стоимость определяют как фактическую при соблюдении условия стационарности.</w:t>
      </w:r>
      <w:r w:rsidR="00DE597A">
        <w:t xml:space="preserve"> Ценность компании </w:t>
      </w:r>
      <w:r w:rsidR="00516A89">
        <w:t xml:space="preserve">в данном методе определяется как </w:t>
      </w:r>
      <w:r w:rsidR="00DE597A">
        <w:t xml:space="preserve">некий рубеж, достигнутый </w:t>
      </w:r>
      <w:r w:rsidR="00516A89">
        <w:t xml:space="preserve">организацией </w:t>
      </w:r>
      <w:r w:rsidR="00DE597A">
        <w:t>в отчетном периоде.</w:t>
      </w:r>
      <w:r w:rsidR="00DE597A">
        <w:rPr>
          <w:rStyle w:val="afe"/>
        </w:rPr>
        <w:footnoteReference w:id="47"/>
      </w:r>
      <w:r w:rsidR="00DE597A">
        <w:t xml:space="preserve"> </w:t>
      </w:r>
    </w:p>
    <w:p w14:paraId="5DB6D289" w14:textId="26984694" w:rsidR="00867795" w:rsidRPr="00613F3F" w:rsidRDefault="00DE597A" w:rsidP="00867795">
      <w:r>
        <w:t>Достигнутая стоимость не учитывает перспективы будущего и возможные изменения компании и её рост.</w:t>
      </w:r>
      <w:r w:rsidR="008B4943">
        <w:t xml:space="preserve"> </w:t>
      </w:r>
      <w:r>
        <w:t>П</w:t>
      </w:r>
      <w:r w:rsidR="008B4943">
        <w:t>рогнозные значения являются субъективными</w:t>
      </w:r>
      <w:r>
        <w:t xml:space="preserve">, а, значит, </w:t>
      </w:r>
      <w:r w:rsidR="008B4943">
        <w:t>некорректными для использования в управлении компанией</w:t>
      </w:r>
      <w:r>
        <w:t xml:space="preserve"> и определении стоимости. </w:t>
      </w:r>
      <w:r w:rsidR="008B4943">
        <w:t>Для эффективного управления бизнесом необходимо учитывать текущее состояние компании,</w:t>
      </w:r>
      <w:r>
        <w:t xml:space="preserve"> которое в полной мере </w:t>
      </w:r>
      <w:r w:rsidR="008B4943">
        <w:t>определ</w:t>
      </w:r>
      <w:r>
        <w:t xml:space="preserve">яет </w:t>
      </w:r>
      <w:r w:rsidR="008B4943">
        <w:t>подход достигнутой стоимости</w:t>
      </w:r>
      <w:r w:rsidR="00867795">
        <w:t>.</w:t>
      </w:r>
      <w:r>
        <w:t xml:space="preserve"> </w:t>
      </w:r>
      <w:r w:rsidR="00613F3F">
        <w:t xml:space="preserve">Оценка </w:t>
      </w:r>
      <w:r w:rsidR="00613F3F">
        <w:lastRenderedPageBreak/>
        <w:t xml:space="preserve">ценности компании данным подходом полностью нивелирует проблемы субъективности и некорректности прогнозных значений, которые возникают в методе </w:t>
      </w:r>
      <w:r w:rsidR="00613F3F">
        <w:rPr>
          <w:lang w:val="en-US"/>
        </w:rPr>
        <w:t>DCF</w:t>
      </w:r>
      <w:r w:rsidR="00613F3F">
        <w:t xml:space="preserve">. </w:t>
      </w:r>
    </w:p>
    <w:p w14:paraId="2BA0D452" w14:textId="1EC7AC01" w:rsidR="00DE597A" w:rsidRDefault="00DE597A" w:rsidP="00867795">
      <w:r>
        <w:t xml:space="preserve">Определение ценности бизнеса по достигнутой стоимости </w:t>
      </w:r>
      <w:r w:rsidR="00F9538A">
        <w:t xml:space="preserve">отражает </w:t>
      </w:r>
      <w:r>
        <w:t>результат работы менеджеров</w:t>
      </w:r>
      <w:r w:rsidR="00F9538A">
        <w:t>, на основе чего можно управлять компанией.</w:t>
      </w:r>
      <w:r>
        <w:t xml:space="preserve"> По данному значению понятно, насколько успешно управлялся бизнес: чем выше величина достигнутой стоимости, тем лучше работала компания в рассматриваемом периоде. </w:t>
      </w:r>
      <w:r w:rsidR="00642478">
        <w:t>Кроме того, для того чтобы</w:t>
      </w:r>
      <w:r w:rsidR="00D447EC">
        <w:t xml:space="preserve"> понимать ситуацию на рынке и иметь возможность корректно и оперативно управлять компанией, необходимо анализировать текущий момент времени — достигнутая стоимость выявляет действительное положение компании на рынке в настоящее время. </w:t>
      </w:r>
    </w:p>
    <w:p w14:paraId="5DF115E1" w14:textId="51A515C0" w:rsidR="003C58D6" w:rsidRDefault="00F9538A" w:rsidP="002B794F">
      <w:r>
        <w:t>П</w:t>
      </w:r>
      <w:r w:rsidR="00AD76D1">
        <w:t xml:space="preserve">ри расчете стоимости данным способом не учитываются </w:t>
      </w:r>
      <w:r>
        <w:t xml:space="preserve">в явном виде </w:t>
      </w:r>
      <w:r w:rsidR="00AD76D1">
        <w:t xml:space="preserve">перспективы развития компании. Однако идея данного метода </w:t>
      </w:r>
      <w:r w:rsidR="00C176E1">
        <w:t xml:space="preserve">заключается </w:t>
      </w:r>
      <w:r w:rsidR="00AD76D1">
        <w:t>в том, что оценка ценности компании должна быть периодической и постоянно</w:t>
      </w:r>
      <w:r w:rsidR="00516A89">
        <w:t xml:space="preserve"> пересчитываться</w:t>
      </w:r>
      <w:r w:rsidR="00AD76D1">
        <w:t xml:space="preserve">. Таким образом, все </w:t>
      </w:r>
      <w:r w:rsidR="003C58D6">
        <w:t>изменения на рынке,</w:t>
      </w:r>
      <w:r w:rsidR="00AD76D1">
        <w:t xml:space="preserve"> развитие и рост</w:t>
      </w:r>
      <w:r w:rsidR="003C58D6">
        <w:t xml:space="preserve"> компании будут отражаться в новых результатах оценки. </w:t>
      </w:r>
      <w:r w:rsidR="00AD76D1">
        <w:t xml:space="preserve">Более того, новый расчет ценности будет показывать результат деятельности менеджеров и успешность компании. </w:t>
      </w:r>
      <w:r w:rsidR="003C58D6">
        <w:t>Таким образом</w:t>
      </w:r>
      <w:r w:rsidR="00C176E1">
        <w:t>,</w:t>
      </w:r>
      <w:r w:rsidR="005F4B6C">
        <w:t xml:space="preserve"> </w:t>
      </w:r>
      <w:r w:rsidR="003C58D6">
        <w:t xml:space="preserve">подход достигнутой стоимости учитывает изменения </w:t>
      </w:r>
      <w:r w:rsidR="00AD76D1">
        <w:t>бизнеса</w:t>
      </w:r>
      <w:r w:rsidR="00C176E1">
        <w:t xml:space="preserve">, </w:t>
      </w:r>
      <w:r w:rsidR="003C58D6">
        <w:t>её развитие</w:t>
      </w:r>
      <w:r w:rsidR="005F4B6C">
        <w:t xml:space="preserve"> и позволяет корректно и оперативно управлять компанией. </w:t>
      </w:r>
    </w:p>
    <w:p w14:paraId="2C36066C" w14:textId="7A75B970" w:rsidR="001D2CD2" w:rsidRDefault="001D2CD2" w:rsidP="001D2CD2">
      <w:r>
        <w:t>Также, рассматриваемый подход учитывает основную цель бизнеса — получение прибыли. Тем самым рассчитанная ценность компании по достигнутой стоимости полностью отвечает запросам инвесторов и собственников. Достигнутая стоимость выражает все закономерности компании и отражает результаты деятельности менеджеров</w:t>
      </w:r>
      <w:r w:rsidR="00516A89">
        <w:t>.</w:t>
      </w:r>
      <w:r>
        <w:rPr>
          <w:rStyle w:val="afe"/>
        </w:rPr>
        <w:footnoteReference w:id="48"/>
      </w:r>
      <w:r w:rsidR="00516A89">
        <w:t xml:space="preserve"> </w:t>
      </w:r>
    </w:p>
    <w:p w14:paraId="7C999F90" w14:textId="77777777" w:rsidR="001D2CD2" w:rsidRDefault="0032124D" w:rsidP="0071766E">
      <w:pPr>
        <w:pStyle w:val="2"/>
      </w:pPr>
      <w:bookmarkStart w:id="13" w:name="_Toc41822233"/>
      <w:r>
        <w:t>Выводы по главе 1</w:t>
      </w:r>
      <w:bookmarkEnd w:id="13"/>
      <w:r>
        <w:t xml:space="preserve"> </w:t>
      </w:r>
    </w:p>
    <w:p w14:paraId="4F7CD5B7" w14:textId="329F3E80" w:rsidR="00534CA4" w:rsidRDefault="00F060B0" w:rsidP="00534CA4">
      <w:r>
        <w:t xml:space="preserve">Оценка ценности компаний становится всё более актуальной и востребованной в компаниях, в силу проявление положительных результатов применения концепции </w:t>
      </w:r>
      <w:r>
        <w:rPr>
          <w:lang w:val="en-US"/>
        </w:rPr>
        <w:t>Value</w:t>
      </w:r>
      <w:r w:rsidRPr="00F060B0">
        <w:t>-</w:t>
      </w:r>
      <w:r>
        <w:rPr>
          <w:lang w:val="en-US"/>
        </w:rPr>
        <w:t>based</w:t>
      </w:r>
      <w:r w:rsidRPr="00F060B0">
        <w:t xml:space="preserve"> </w:t>
      </w:r>
      <w:r>
        <w:rPr>
          <w:lang w:val="en-US"/>
        </w:rPr>
        <w:t>management</w:t>
      </w:r>
      <w:r w:rsidRPr="00F060B0">
        <w:t xml:space="preserve">. </w:t>
      </w:r>
      <w:r w:rsidR="00775202">
        <w:t>В данной главе рассмотрены существующие</w:t>
      </w:r>
      <w:r>
        <w:t xml:space="preserve"> </w:t>
      </w:r>
      <w:r w:rsidR="00775202">
        <w:t>методы оценки ценности бизнеса</w:t>
      </w:r>
      <w:r>
        <w:t>: классически</w:t>
      </w:r>
      <w:r w:rsidR="00166A35">
        <w:t>е</w:t>
      </w:r>
      <w:r>
        <w:t xml:space="preserve"> и современные — их особенности и недостатки. </w:t>
      </w:r>
    </w:p>
    <w:p w14:paraId="46FAC038" w14:textId="75BF1A08" w:rsidR="00D5383F" w:rsidRDefault="00D5383F" w:rsidP="00534CA4">
      <w:r>
        <w:t xml:space="preserve">Метод дисконтирования денежных потоков, относящийся к стандартному доходному подходу, </w:t>
      </w:r>
      <w:r w:rsidR="00E079B6">
        <w:t xml:space="preserve">является самым распространенным для оценки ценности бизнеса. Несмотря на трудоемкость и возникающие проблемы, по данным экспертов компании </w:t>
      </w:r>
      <w:r w:rsidR="00E079B6">
        <w:rPr>
          <w:lang w:val="en-US"/>
        </w:rPr>
        <w:t>McKinsey</w:t>
      </w:r>
      <w:r w:rsidR="00E079B6">
        <w:t xml:space="preserve">, данный метод остается наиболее надежным даже для оценки инновационных </w:t>
      </w:r>
      <w:r w:rsidR="00E079B6">
        <w:lastRenderedPageBreak/>
        <w:t xml:space="preserve">стартапов. Метод </w:t>
      </w:r>
      <w:r w:rsidR="00E079B6">
        <w:rPr>
          <w:lang w:val="en-US"/>
        </w:rPr>
        <w:t>DCF</w:t>
      </w:r>
      <w:r w:rsidR="00E079B6">
        <w:t xml:space="preserve"> считается основным способом расчета ценности и применяется в большинстве крупных российских и зарубежных</w:t>
      </w:r>
      <w:r w:rsidR="00E079B6" w:rsidRPr="00E079B6">
        <w:t xml:space="preserve"> </w:t>
      </w:r>
      <w:r w:rsidR="00E079B6">
        <w:t>организаций</w:t>
      </w:r>
      <w:r w:rsidR="00F060B0">
        <w:t>.</w:t>
      </w:r>
      <w:r w:rsidR="00E079B6" w:rsidRPr="00E079B6">
        <w:t xml:space="preserve"> </w:t>
      </w:r>
    </w:p>
    <w:p w14:paraId="7DCC382C" w14:textId="20708C10" w:rsidR="00F060B0" w:rsidRDefault="00C544D3" w:rsidP="00F060B0">
      <w:r>
        <w:t xml:space="preserve">Оценка на основе достигнутой стоимости </w:t>
      </w:r>
      <w:r w:rsidR="00F060B0">
        <w:t xml:space="preserve">является современным математическим подходом, который позволяет </w:t>
      </w:r>
      <w:r w:rsidR="00775202">
        <w:t>нивелир</w:t>
      </w:r>
      <w:r w:rsidR="00F060B0">
        <w:t xml:space="preserve">овать </w:t>
      </w:r>
      <w:r w:rsidR="00775202">
        <w:t>главные недостатки</w:t>
      </w:r>
      <w:r w:rsidR="00E079B6">
        <w:t xml:space="preserve"> классических</w:t>
      </w:r>
      <w:r w:rsidR="00775202">
        <w:t xml:space="preserve"> подходов: субъективность, необходимость корректировки данных</w:t>
      </w:r>
      <w:r w:rsidR="009F13E5">
        <w:t>,</w:t>
      </w:r>
      <w:r w:rsidR="00775202">
        <w:t xml:space="preserve"> </w:t>
      </w:r>
      <w:r w:rsidR="009F13E5">
        <w:t>отсутствие некорректного учета перспектив бизнеса</w:t>
      </w:r>
      <w:r w:rsidR="00775202">
        <w:t xml:space="preserve"> </w:t>
      </w:r>
      <w:r w:rsidR="009F13E5">
        <w:t xml:space="preserve">и сложность расчетов. </w:t>
      </w:r>
      <w:r w:rsidR="009C35A9">
        <w:t>Д</w:t>
      </w:r>
      <w:r w:rsidR="00F060B0">
        <w:t>остигнутая стоимость отражает эффективность деятельности компании в виде достижения основной цели — максимизации</w:t>
      </w:r>
      <w:r w:rsidR="00B62322">
        <w:t xml:space="preserve"> ценности</w:t>
      </w:r>
      <w:r w:rsidR="00F060B0">
        <w:t xml:space="preserve">. </w:t>
      </w:r>
    </w:p>
    <w:p w14:paraId="4520072D" w14:textId="0F718BDC" w:rsidR="005F4B6C" w:rsidRDefault="00B62322" w:rsidP="00F060B0">
      <w:r>
        <w:t>Метод достигнутой стоимости представляется интересным для исследования в сравнении с наиболее распространенным методом</w:t>
      </w:r>
      <w:r w:rsidR="009C35A9">
        <w:t xml:space="preserve"> — дисконтирования денежных потоков</w:t>
      </w:r>
      <w:r>
        <w:t xml:space="preserve">. </w:t>
      </w:r>
      <w:r w:rsidR="00F060B0">
        <w:t xml:space="preserve">Таким образом, </w:t>
      </w:r>
      <w:r>
        <w:t xml:space="preserve">в данной работе проводится анализ </w:t>
      </w:r>
      <w:r w:rsidR="00F060B0">
        <w:t>методов дисконтирования денежных потоков и достигнутой стоимости</w:t>
      </w:r>
      <w:r>
        <w:t xml:space="preserve">, сравнение оценок данными подходами на примере российских компаний. </w:t>
      </w:r>
      <w:r w:rsidR="005F4B6C">
        <w:rPr>
          <w:lang w:eastAsia="ru-RU"/>
        </w:rPr>
        <w:br w:type="page"/>
      </w:r>
    </w:p>
    <w:p w14:paraId="3CED1CC5" w14:textId="46EB694D" w:rsidR="00775202" w:rsidRDefault="00775202" w:rsidP="00775202">
      <w:pPr>
        <w:pStyle w:val="1"/>
        <w:rPr>
          <w:lang w:eastAsia="ru-RU"/>
        </w:rPr>
      </w:pPr>
      <w:bookmarkStart w:id="14" w:name="_Toc41822234"/>
      <w:r>
        <w:rPr>
          <w:lang w:eastAsia="ru-RU"/>
        </w:rPr>
        <w:lastRenderedPageBreak/>
        <w:t xml:space="preserve">Глава 2. </w:t>
      </w:r>
      <w:r w:rsidR="00025044">
        <w:rPr>
          <w:lang w:eastAsia="ru-RU"/>
        </w:rPr>
        <w:t xml:space="preserve">АЛГОРИТМ ОЦЕНКИ ЦЕННОСТИ БИЗНЕСА МЕТОДАМИ </w:t>
      </w:r>
      <w:r w:rsidR="00025044">
        <w:rPr>
          <w:lang w:val="en-US" w:eastAsia="ru-RU"/>
        </w:rPr>
        <w:t>DCF</w:t>
      </w:r>
      <w:r w:rsidR="00025044" w:rsidRPr="00025044">
        <w:rPr>
          <w:lang w:eastAsia="ru-RU"/>
        </w:rPr>
        <w:t xml:space="preserve"> </w:t>
      </w:r>
      <w:r w:rsidR="00025044">
        <w:rPr>
          <w:lang w:eastAsia="ru-RU"/>
        </w:rPr>
        <w:t>И ДОСТИГНУТОЙ СТОИМОСТИ</w:t>
      </w:r>
      <w:bookmarkEnd w:id="14"/>
    </w:p>
    <w:p w14:paraId="084D33BE" w14:textId="3F18EB21" w:rsidR="00775202" w:rsidRDefault="00602590" w:rsidP="0071766E">
      <w:pPr>
        <w:pStyle w:val="2"/>
        <w:rPr>
          <w:lang w:eastAsia="ru-RU"/>
        </w:rPr>
      </w:pPr>
      <w:bookmarkStart w:id="15" w:name="_Toc41822235"/>
      <w:r>
        <w:rPr>
          <w:lang w:eastAsia="ru-RU"/>
        </w:rPr>
        <w:t xml:space="preserve">2.1. </w:t>
      </w:r>
      <w:r w:rsidR="00C3509C">
        <w:rPr>
          <w:lang w:eastAsia="ru-RU"/>
        </w:rPr>
        <w:t xml:space="preserve">Методика расчета ценности компании </w:t>
      </w:r>
      <w:r w:rsidR="00775202">
        <w:rPr>
          <w:lang w:eastAsia="ru-RU"/>
        </w:rPr>
        <w:t>дисконтировани</w:t>
      </w:r>
      <w:r w:rsidR="00C3509C">
        <w:rPr>
          <w:lang w:eastAsia="ru-RU"/>
        </w:rPr>
        <w:t>ем</w:t>
      </w:r>
      <w:r w:rsidR="00775202">
        <w:rPr>
          <w:lang w:eastAsia="ru-RU"/>
        </w:rPr>
        <w:t xml:space="preserve"> денежных потоков</w:t>
      </w:r>
      <w:bookmarkEnd w:id="15"/>
    </w:p>
    <w:p w14:paraId="44779738" w14:textId="1B40CA38" w:rsidR="006301E2" w:rsidRPr="000F415A" w:rsidRDefault="006301E2" w:rsidP="00B62899">
      <w:pPr>
        <w:rPr>
          <w:lang w:eastAsia="ru-RU"/>
        </w:rPr>
      </w:pPr>
      <w:r>
        <w:rPr>
          <w:lang w:eastAsia="ru-RU"/>
        </w:rPr>
        <w:t>Метод дисконтирования денежных потоков является наиболее часто встречающимся в оценке ценности компании.</w:t>
      </w:r>
      <w:r w:rsidR="00B62899">
        <w:rPr>
          <w:lang w:eastAsia="ru-RU"/>
        </w:rPr>
        <w:t xml:space="preserve"> </w:t>
      </w:r>
      <w:r w:rsidR="006755F7">
        <w:rPr>
          <w:lang w:eastAsia="ru-RU"/>
        </w:rPr>
        <w:t>Раньше п</w:t>
      </w:r>
      <w:r>
        <w:rPr>
          <w:lang w:eastAsia="ru-RU"/>
        </w:rPr>
        <w:t>рименение данного подхода счита</w:t>
      </w:r>
      <w:r w:rsidR="006755F7">
        <w:rPr>
          <w:lang w:eastAsia="ru-RU"/>
        </w:rPr>
        <w:t>лось</w:t>
      </w:r>
      <w:r>
        <w:rPr>
          <w:lang w:eastAsia="ru-RU"/>
        </w:rPr>
        <w:t xml:space="preserve"> корректным для</w:t>
      </w:r>
      <w:r w:rsidR="00B62899">
        <w:rPr>
          <w:lang w:eastAsia="ru-RU"/>
        </w:rPr>
        <w:t xml:space="preserve"> организаций</w:t>
      </w:r>
      <w:r>
        <w:rPr>
          <w:lang w:eastAsia="ru-RU"/>
        </w:rPr>
        <w:t>, в которых большая доля активов генерирует денежный поток.</w:t>
      </w:r>
      <w:r w:rsidR="00474DDB">
        <w:rPr>
          <w:lang w:eastAsia="ru-RU"/>
        </w:rPr>
        <w:t xml:space="preserve"> </w:t>
      </w:r>
    </w:p>
    <w:p w14:paraId="5EB0BBED" w14:textId="3964E647" w:rsidR="00474A61" w:rsidRDefault="00F9538A" w:rsidP="00D230F2">
      <w:pPr>
        <w:rPr>
          <w:lang w:eastAsia="ru-RU"/>
        </w:rPr>
      </w:pPr>
      <w:r>
        <w:rPr>
          <w:lang w:eastAsia="ru-RU"/>
        </w:rPr>
        <w:t>О</w:t>
      </w:r>
      <w:r w:rsidR="000F415A">
        <w:rPr>
          <w:lang w:eastAsia="ru-RU"/>
        </w:rPr>
        <w:t xml:space="preserve">ценка на основе дисконтирования денежных потоков является наиболее точной для компаний </w:t>
      </w:r>
      <w:r w:rsidR="00B62899">
        <w:rPr>
          <w:lang w:eastAsia="ru-RU"/>
        </w:rPr>
        <w:t xml:space="preserve">при следующих </w:t>
      </w:r>
      <w:r w:rsidR="000F415A">
        <w:rPr>
          <w:lang w:eastAsia="ru-RU"/>
        </w:rPr>
        <w:t>условия</w:t>
      </w:r>
      <w:r w:rsidR="00B62899">
        <w:rPr>
          <w:lang w:eastAsia="ru-RU"/>
        </w:rPr>
        <w:t>х</w:t>
      </w:r>
      <w:r>
        <w:rPr>
          <w:rStyle w:val="afe"/>
          <w:lang w:val="en-US" w:eastAsia="ru-RU"/>
        </w:rPr>
        <w:footnoteReference w:id="49"/>
      </w:r>
      <w:r w:rsidR="000F415A">
        <w:rPr>
          <w:lang w:eastAsia="ru-RU"/>
        </w:rPr>
        <w:t>. Во-первых, е</w:t>
      </w:r>
      <w:r w:rsidR="006301E2">
        <w:rPr>
          <w:lang w:eastAsia="ru-RU"/>
        </w:rPr>
        <w:t xml:space="preserve">сли компания находится в периоде значительного роста. </w:t>
      </w:r>
      <w:r w:rsidR="0013296E">
        <w:rPr>
          <w:lang w:eastAsia="ru-RU"/>
        </w:rPr>
        <w:t xml:space="preserve">Под этим ограничением понимается, что рассматриваемый бизнес </w:t>
      </w:r>
      <w:r w:rsidR="006755F7">
        <w:rPr>
          <w:lang w:eastAsia="ru-RU"/>
        </w:rPr>
        <w:t xml:space="preserve">должен </w:t>
      </w:r>
      <w:r w:rsidR="0013296E">
        <w:rPr>
          <w:lang w:eastAsia="ru-RU"/>
        </w:rPr>
        <w:t xml:space="preserve">функционировать еще достаточно долгое время, и особенно важно, что в будущем </w:t>
      </w:r>
      <w:r w:rsidR="006755F7">
        <w:rPr>
          <w:lang w:eastAsia="ru-RU"/>
        </w:rPr>
        <w:t xml:space="preserve">её </w:t>
      </w:r>
      <w:r w:rsidR="0013296E">
        <w:rPr>
          <w:lang w:eastAsia="ru-RU"/>
        </w:rPr>
        <w:t xml:space="preserve">генерируемая прибыль будет увеличиваться. </w:t>
      </w:r>
      <w:r w:rsidR="000F415A">
        <w:rPr>
          <w:lang w:eastAsia="ru-RU"/>
        </w:rPr>
        <w:t>Во-вторых, е</w:t>
      </w:r>
      <w:r w:rsidR="006301E2">
        <w:rPr>
          <w:lang w:eastAsia="ru-RU"/>
        </w:rPr>
        <w:t xml:space="preserve">сли денежные потоки являются цикличными </w:t>
      </w:r>
      <w:r w:rsidR="00474DDB">
        <w:rPr>
          <w:lang w:eastAsia="ru-RU"/>
        </w:rPr>
        <w:t xml:space="preserve">или сезонными, то есть </w:t>
      </w:r>
      <w:r w:rsidR="0013296E">
        <w:rPr>
          <w:lang w:eastAsia="ru-RU"/>
        </w:rPr>
        <w:t xml:space="preserve">все </w:t>
      </w:r>
      <w:r w:rsidR="00474DDB">
        <w:rPr>
          <w:lang w:eastAsia="ru-RU"/>
        </w:rPr>
        <w:t xml:space="preserve">изменения происходят в краткосрочные периоды. </w:t>
      </w:r>
      <w:r w:rsidR="004E3BD6">
        <w:rPr>
          <w:lang w:eastAsia="ru-RU"/>
        </w:rPr>
        <w:t xml:space="preserve">Метод не применим для компаний, </w:t>
      </w:r>
      <w:r w:rsidR="00474A61">
        <w:rPr>
          <w:lang w:eastAsia="ru-RU"/>
        </w:rPr>
        <w:t xml:space="preserve">которые терпят убытки. </w:t>
      </w:r>
      <w:r w:rsidR="000F415A">
        <w:rPr>
          <w:lang w:eastAsia="ru-RU"/>
        </w:rPr>
        <w:t>В-третьих, е</w:t>
      </w:r>
      <w:r w:rsidR="00474DDB">
        <w:rPr>
          <w:lang w:eastAsia="ru-RU"/>
        </w:rPr>
        <w:t xml:space="preserve">сли у компании заранее известна продолжительность работы на рынке, </w:t>
      </w:r>
      <w:r w:rsidR="000000B8">
        <w:rPr>
          <w:lang w:eastAsia="ru-RU"/>
        </w:rPr>
        <w:t>например</w:t>
      </w:r>
      <w:r w:rsidR="00474DDB">
        <w:rPr>
          <w:lang w:eastAsia="ru-RU"/>
        </w:rPr>
        <w:t>, сферы с краткосрочным лицензированием или временная деятельность, связанная с добычей природных ископаемых.</w:t>
      </w:r>
      <w:r w:rsidR="00474DDB">
        <w:rPr>
          <w:rStyle w:val="afe"/>
          <w:lang w:eastAsia="ru-RU"/>
        </w:rPr>
        <w:footnoteReference w:id="50"/>
      </w:r>
      <w:r w:rsidR="00474A61">
        <w:rPr>
          <w:lang w:eastAsia="ru-RU"/>
        </w:rPr>
        <w:t xml:space="preserve"> В таком случае период прогноза будет обоснованным и приближенным к реальным значениям.</w:t>
      </w:r>
    </w:p>
    <w:p w14:paraId="13E92AFE" w14:textId="6EE2FC58" w:rsidR="009050DA" w:rsidRPr="0006165C" w:rsidRDefault="009050DA" w:rsidP="009050DA">
      <w:pPr>
        <w:rPr>
          <w:i/>
          <w:iCs/>
          <w:lang w:eastAsia="ru-RU"/>
        </w:rPr>
      </w:pPr>
      <w:r>
        <w:rPr>
          <w:lang w:eastAsia="ru-RU"/>
        </w:rPr>
        <w:t xml:space="preserve">Данный метод рассчитывает стоимость как суммарные выгоды от бизнеса, приведенные к текущему моменту по ставке дисконтирования. В оценке ценности бизнеса по методу </w:t>
      </w:r>
      <w:r>
        <w:rPr>
          <w:lang w:val="en-US" w:eastAsia="ru-RU"/>
        </w:rPr>
        <w:t>DCF</w:t>
      </w:r>
      <w:r w:rsidRPr="009050DA">
        <w:rPr>
          <w:lang w:eastAsia="ru-RU"/>
        </w:rPr>
        <w:t xml:space="preserve"> </w:t>
      </w:r>
      <w:r>
        <w:rPr>
          <w:lang w:eastAsia="ru-RU"/>
        </w:rPr>
        <w:t>важно, что текущая стоимость складывается из двух периодов: прогнозного и постпрогнозного</w:t>
      </w:r>
      <w:r w:rsidRPr="00883A06">
        <w:rPr>
          <w:lang w:eastAsia="ru-RU"/>
        </w:rPr>
        <w:t>.</w:t>
      </w:r>
      <w:r>
        <w:rPr>
          <w:lang w:eastAsia="ru-RU"/>
        </w:rPr>
        <w:t xml:space="preserve"> В </w:t>
      </w:r>
      <w:r>
        <w:rPr>
          <w:lang w:val="en-US" w:eastAsia="ru-RU"/>
        </w:rPr>
        <w:t>DCF</w:t>
      </w:r>
      <w:r>
        <w:rPr>
          <w:lang w:eastAsia="ru-RU"/>
        </w:rPr>
        <w:t xml:space="preserve"> денежный поток изменяется с течением времени прогнозного периода, а далее становится стабильным. При использовании метода </w:t>
      </w:r>
      <w:r>
        <w:rPr>
          <w:lang w:val="en-US" w:eastAsia="ru-RU"/>
        </w:rPr>
        <w:t>DCF</w:t>
      </w:r>
      <w:r w:rsidRPr="009050DA">
        <w:rPr>
          <w:lang w:eastAsia="ru-RU"/>
        </w:rPr>
        <w:t xml:space="preserve"> </w:t>
      </w:r>
      <w:r>
        <w:rPr>
          <w:lang w:eastAsia="ru-RU"/>
        </w:rPr>
        <w:t xml:space="preserve">важно корректно определить конечный год, когда коэффициент роста выручки выровняется, и по которому будет рассчитан постпрогнозный период. </w:t>
      </w:r>
    </w:p>
    <w:p w14:paraId="6F7EEE0A" w14:textId="5462C28E" w:rsidR="00980C82" w:rsidRDefault="00D12BEB" w:rsidP="003C4E8B">
      <w:pPr>
        <w:rPr>
          <w:lang w:eastAsia="ru-RU"/>
        </w:rPr>
      </w:pPr>
      <w:r>
        <w:rPr>
          <w:lang w:eastAsia="ru-RU"/>
        </w:rPr>
        <w:t xml:space="preserve">Несмотря на корректность применения </w:t>
      </w:r>
      <w:r>
        <w:rPr>
          <w:lang w:val="en-US" w:eastAsia="ru-RU"/>
        </w:rPr>
        <w:t>DCF</w:t>
      </w:r>
      <w:r>
        <w:rPr>
          <w:lang w:eastAsia="ru-RU"/>
        </w:rPr>
        <w:t xml:space="preserve"> при рассмотренных условиях, метод </w:t>
      </w:r>
      <w:r w:rsidR="009F4821">
        <w:rPr>
          <w:lang w:eastAsia="ru-RU"/>
        </w:rPr>
        <w:t xml:space="preserve">считается одним из самых сложных и трудоемких в силу того, что для оценки данным способом требуется финансовая подготовленность. Данный подход </w:t>
      </w:r>
      <w:r w:rsidR="00980C82">
        <w:rPr>
          <w:lang w:eastAsia="ru-RU"/>
        </w:rPr>
        <w:t>проводится в несколько этапов.</w:t>
      </w:r>
    </w:p>
    <w:p w14:paraId="43802F24" w14:textId="06838D0C" w:rsidR="00173501" w:rsidRPr="00B57AAE" w:rsidRDefault="00980C82" w:rsidP="00173501">
      <w:pPr>
        <w:rPr>
          <w:lang w:eastAsia="ru-RU"/>
        </w:rPr>
      </w:pPr>
      <w:r>
        <w:rPr>
          <w:lang w:eastAsia="ru-RU"/>
        </w:rPr>
        <w:lastRenderedPageBreak/>
        <w:t>Во-первых, необходимо выбрать модель денежного потока и длительность прогнозируемого периода.</w:t>
      </w:r>
      <w:r>
        <w:rPr>
          <w:rStyle w:val="afe"/>
          <w:lang w:eastAsia="ru-RU"/>
        </w:rPr>
        <w:footnoteReference w:id="51"/>
      </w:r>
      <w:r w:rsidR="00173501">
        <w:rPr>
          <w:lang w:eastAsia="ru-RU"/>
        </w:rPr>
        <w:t xml:space="preserve"> Выбор вида денежного потока влияет на способ его вычисления и на расчет ставки дисконтирования. Существует денежный поток для инвестированного капитала</w:t>
      </w:r>
      <w:r w:rsidR="006755F7">
        <w:rPr>
          <w:lang w:eastAsia="ru-RU"/>
        </w:rPr>
        <w:t xml:space="preserve"> (</w:t>
      </w:r>
      <w:r w:rsidR="006755F7">
        <w:rPr>
          <w:lang w:val="en-US" w:eastAsia="ru-RU"/>
        </w:rPr>
        <w:t>FCF</w:t>
      </w:r>
      <w:r w:rsidR="006755F7">
        <w:rPr>
          <w:lang w:eastAsia="ru-RU"/>
        </w:rPr>
        <w:t>)</w:t>
      </w:r>
      <w:r w:rsidR="00C32864">
        <w:rPr>
          <w:lang w:eastAsia="ru-RU"/>
        </w:rPr>
        <w:t xml:space="preserve"> или для</w:t>
      </w:r>
      <w:r w:rsidR="00B57AAE">
        <w:rPr>
          <w:lang w:eastAsia="ru-RU"/>
        </w:rPr>
        <w:t xml:space="preserve"> </w:t>
      </w:r>
      <w:r w:rsidR="00C32864">
        <w:rPr>
          <w:lang w:eastAsia="ru-RU"/>
        </w:rPr>
        <w:t>собственного капитала (</w:t>
      </w:r>
      <w:r w:rsidR="00C32864">
        <w:rPr>
          <w:lang w:val="en-US" w:eastAsia="ru-RU"/>
        </w:rPr>
        <w:t>FCFE</w:t>
      </w:r>
      <w:r w:rsidR="00C32864">
        <w:rPr>
          <w:lang w:eastAsia="ru-RU"/>
        </w:rPr>
        <w:t xml:space="preserve">), </w:t>
      </w:r>
      <w:r w:rsidR="00B57AAE">
        <w:rPr>
          <w:lang w:eastAsia="ru-RU"/>
        </w:rPr>
        <w:t>так называемый бездолговой денежный поток</w:t>
      </w:r>
      <w:r w:rsidR="00D12BEB">
        <w:rPr>
          <w:lang w:eastAsia="ru-RU"/>
        </w:rPr>
        <w:t xml:space="preserve"> (</w:t>
      </w:r>
      <w:r w:rsidR="00D12BEB">
        <w:rPr>
          <w:lang w:val="en-US" w:eastAsia="ru-RU"/>
        </w:rPr>
        <w:t>FCFE</w:t>
      </w:r>
      <w:r w:rsidR="00D12BEB">
        <w:rPr>
          <w:lang w:eastAsia="ru-RU"/>
        </w:rPr>
        <w:t>)</w:t>
      </w:r>
      <w:r w:rsidR="00B57AAE">
        <w:rPr>
          <w:lang w:eastAsia="ru-RU"/>
        </w:rPr>
        <w:t xml:space="preserve">. В дальнейшем при дисконтировании </w:t>
      </w:r>
      <w:r w:rsidR="00B57AAE">
        <w:rPr>
          <w:lang w:val="en-US" w:eastAsia="ru-RU"/>
        </w:rPr>
        <w:t>FCFE</w:t>
      </w:r>
      <w:r w:rsidR="00B57AAE">
        <w:rPr>
          <w:lang w:eastAsia="ru-RU"/>
        </w:rPr>
        <w:t xml:space="preserve"> результатом является рыночная стоимость собственного капитала, а в случае дисконтирования всего капитала — ценность всей компании. Главное отличие заключается в том, что при расчете </w:t>
      </w:r>
      <w:r w:rsidR="00B57AAE">
        <w:rPr>
          <w:lang w:val="en-US" w:eastAsia="ru-RU"/>
        </w:rPr>
        <w:t>FCFE</w:t>
      </w:r>
      <w:r w:rsidR="00B57AAE">
        <w:rPr>
          <w:lang w:eastAsia="ru-RU"/>
        </w:rPr>
        <w:t xml:space="preserve"> вычитаются долговые обязательства. </w:t>
      </w:r>
      <w:r w:rsidR="00D12BEB">
        <w:rPr>
          <w:lang w:eastAsia="ru-RU"/>
        </w:rPr>
        <w:t xml:space="preserve">Таким образом, денежный поток для </w:t>
      </w:r>
      <w:r w:rsidR="00C32864">
        <w:rPr>
          <w:lang w:eastAsia="ru-RU"/>
        </w:rPr>
        <w:t xml:space="preserve">собственного </w:t>
      </w:r>
      <w:r w:rsidR="00D12BEB">
        <w:rPr>
          <w:lang w:eastAsia="ru-RU"/>
        </w:rPr>
        <w:t>капитала не учитывает изменения в кредиторской задолженности, поэтому он используется для определения эффективности инвестиций.</w:t>
      </w:r>
      <w:r w:rsidR="006755F7" w:rsidRPr="006755F7">
        <w:rPr>
          <w:lang w:eastAsia="ru-RU"/>
        </w:rPr>
        <w:t xml:space="preserve"> </w:t>
      </w:r>
      <w:r w:rsidR="006755F7">
        <w:rPr>
          <w:lang w:eastAsia="ru-RU"/>
        </w:rPr>
        <w:t>В то время как д</w:t>
      </w:r>
      <w:r w:rsidR="00D12BEB">
        <w:rPr>
          <w:lang w:eastAsia="ru-RU"/>
        </w:rPr>
        <w:t xml:space="preserve">енежный поток для </w:t>
      </w:r>
      <w:r w:rsidR="00C32864">
        <w:rPr>
          <w:lang w:eastAsia="ru-RU"/>
        </w:rPr>
        <w:t xml:space="preserve">инвестируемого </w:t>
      </w:r>
      <w:r w:rsidR="00D12BEB">
        <w:rPr>
          <w:lang w:eastAsia="ru-RU"/>
        </w:rPr>
        <w:t xml:space="preserve">капитала отражает условия </w:t>
      </w:r>
      <w:r w:rsidR="00771D7D">
        <w:rPr>
          <w:lang w:eastAsia="ru-RU"/>
        </w:rPr>
        <w:t xml:space="preserve">финансирования не только за счет собственных средств, но и заемных. </w:t>
      </w:r>
    </w:p>
    <w:p w14:paraId="43BDCC69" w14:textId="15DD4305" w:rsidR="003D209A" w:rsidRDefault="00987CDC" w:rsidP="006301E2">
      <w:pPr>
        <w:rPr>
          <w:lang w:eastAsia="ru-RU"/>
        </w:rPr>
      </w:pPr>
      <w:r>
        <w:rPr>
          <w:lang w:eastAsia="ru-RU"/>
        </w:rPr>
        <w:t xml:space="preserve">Во-вторых, </w:t>
      </w:r>
      <w:r w:rsidR="00771D7D">
        <w:rPr>
          <w:lang w:eastAsia="ru-RU"/>
        </w:rPr>
        <w:t xml:space="preserve">важным является </w:t>
      </w:r>
      <w:r w:rsidR="0013296E">
        <w:rPr>
          <w:lang w:eastAsia="ru-RU"/>
        </w:rPr>
        <w:t xml:space="preserve">проведение </w:t>
      </w:r>
      <w:r>
        <w:rPr>
          <w:lang w:eastAsia="ru-RU"/>
        </w:rPr>
        <w:t>финансов</w:t>
      </w:r>
      <w:r w:rsidR="0013296E">
        <w:rPr>
          <w:lang w:eastAsia="ru-RU"/>
        </w:rPr>
        <w:t xml:space="preserve">ого </w:t>
      </w:r>
      <w:r>
        <w:rPr>
          <w:lang w:eastAsia="ru-RU"/>
        </w:rPr>
        <w:t>анализ</w:t>
      </w:r>
      <w:r w:rsidR="0013296E">
        <w:rPr>
          <w:lang w:eastAsia="ru-RU"/>
        </w:rPr>
        <w:t>а,</w:t>
      </w:r>
      <w:r>
        <w:rPr>
          <w:lang w:eastAsia="ru-RU"/>
        </w:rPr>
        <w:t xml:space="preserve"> прогнозирование доходов и расходов.</w:t>
      </w:r>
      <w:r w:rsidR="00B245D7">
        <w:rPr>
          <w:rStyle w:val="afe"/>
          <w:lang w:eastAsia="ru-RU"/>
        </w:rPr>
        <w:footnoteReference w:id="52"/>
      </w:r>
      <w:r>
        <w:rPr>
          <w:lang w:eastAsia="ru-RU"/>
        </w:rPr>
        <w:t xml:space="preserve"> На данном этапе необходимо оценить будущие валовые показатели</w:t>
      </w:r>
      <w:r w:rsidR="00B245D7">
        <w:rPr>
          <w:lang w:eastAsia="ru-RU"/>
        </w:rPr>
        <w:t xml:space="preserve"> и после</w:t>
      </w:r>
      <w:r>
        <w:rPr>
          <w:lang w:eastAsia="ru-RU"/>
        </w:rPr>
        <w:t xml:space="preserve"> провести расчет прибыли до налогообложения и выплаты процентов.</w:t>
      </w:r>
      <w:r w:rsidR="00B245D7">
        <w:rPr>
          <w:lang w:eastAsia="ru-RU"/>
        </w:rPr>
        <w:t xml:space="preserve"> </w:t>
      </w:r>
      <w:r w:rsidR="00771D7D">
        <w:rPr>
          <w:lang w:eastAsia="ru-RU"/>
        </w:rPr>
        <w:t>Сначала прогнозируется в</w:t>
      </w:r>
      <w:r w:rsidR="00B245D7">
        <w:rPr>
          <w:lang w:eastAsia="ru-RU"/>
        </w:rPr>
        <w:t xml:space="preserve">ыручка компании </w:t>
      </w:r>
      <w:r w:rsidR="00771D7D">
        <w:rPr>
          <w:lang w:eastAsia="ru-RU"/>
        </w:rPr>
        <w:t>по</w:t>
      </w:r>
      <w:r w:rsidR="00B245D7">
        <w:rPr>
          <w:lang w:eastAsia="ru-RU"/>
        </w:rPr>
        <w:t xml:space="preserve"> выбранн</w:t>
      </w:r>
      <w:r w:rsidR="00771D7D">
        <w:rPr>
          <w:lang w:eastAsia="ru-RU"/>
        </w:rPr>
        <w:t>ому</w:t>
      </w:r>
      <w:r w:rsidR="00B245D7">
        <w:rPr>
          <w:lang w:eastAsia="ru-RU"/>
        </w:rPr>
        <w:t xml:space="preserve"> оценщиком темпом роста: </w:t>
      </w:r>
      <w:r w:rsidR="00771D7D">
        <w:rPr>
          <w:lang w:eastAsia="ru-RU"/>
        </w:rPr>
        <w:t xml:space="preserve">либо </w:t>
      </w:r>
      <w:r w:rsidR="00B245D7">
        <w:rPr>
          <w:lang w:eastAsia="ru-RU"/>
        </w:rPr>
        <w:t>рас</w:t>
      </w:r>
      <w:r w:rsidR="003D209A">
        <w:rPr>
          <w:lang w:eastAsia="ru-RU"/>
        </w:rPr>
        <w:t>считанному</w:t>
      </w:r>
      <w:r w:rsidR="00B245D7">
        <w:rPr>
          <w:lang w:eastAsia="ru-RU"/>
        </w:rPr>
        <w:t xml:space="preserve"> </w:t>
      </w:r>
      <w:r w:rsidR="003D209A">
        <w:rPr>
          <w:lang w:eastAsia="ru-RU"/>
        </w:rPr>
        <w:t xml:space="preserve">по </w:t>
      </w:r>
      <w:r w:rsidR="00B245D7">
        <w:rPr>
          <w:lang w:eastAsia="ru-RU"/>
        </w:rPr>
        <w:t>коэффициентам роста</w:t>
      </w:r>
      <w:r w:rsidR="00771D7D">
        <w:rPr>
          <w:lang w:eastAsia="ru-RU"/>
        </w:rPr>
        <w:t xml:space="preserve">, либо по </w:t>
      </w:r>
      <w:r w:rsidR="00B245D7">
        <w:rPr>
          <w:lang w:eastAsia="ru-RU"/>
        </w:rPr>
        <w:t>экспертным данным</w:t>
      </w:r>
      <w:r w:rsidR="003D209A">
        <w:rPr>
          <w:lang w:eastAsia="ru-RU"/>
        </w:rPr>
        <w:t>. Темп роста организации может быть определен через показатели внутреннего (</w:t>
      </w:r>
      <w:r w:rsidR="00016D4D">
        <w:rPr>
          <w:lang w:eastAsia="ru-RU"/>
        </w:rPr>
        <w:t>4</w:t>
      </w:r>
      <w:r w:rsidR="003D209A">
        <w:rPr>
          <w:lang w:eastAsia="ru-RU"/>
        </w:rPr>
        <w:t>) или устойчивого (</w:t>
      </w:r>
      <w:r w:rsidR="00016D4D">
        <w:rPr>
          <w:lang w:eastAsia="ru-RU"/>
        </w:rPr>
        <w:t>5</w:t>
      </w:r>
      <w:r w:rsidR="003D209A">
        <w:rPr>
          <w:lang w:eastAsia="ru-RU"/>
        </w:rPr>
        <w:t xml:space="preserve">) роста: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D209A" w14:paraId="3E0E64D5" w14:textId="77777777" w:rsidTr="00771D7D">
        <w:tc>
          <w:tcPr>
            <w:tcW w:w="8642" w:type="dxa"/>
          </w:tcPr>
          <w:p w14:paraId="5C06FFBC" w14:textId="6C0D4041" w:rsidR="003D209A" w:rsidRPr="003D209A" w:rsidRDefault="0056120C" w:rsidP="00771D7D">
            <w:pPr>
              <w:tabs>
                <w:tab w:val="right" w:pos="9072"/>
              </w:tabs>
              <w:ind w:firstLine="0"/>
              <w:rPr>
                <w:rFonts w:ascii="Cambria Math" w:eastAsia="Calibri" w:hAnsi="Cambria Math" w:cs="Times New Roman"/>
                <w:i/>
              </w:rPr>
            </w:pPr>
            <m:oMathPara>
              <m:oMath>
                <m:sSub>
                  <m:sSubPr>
                    <m:ctrlPr>
                      <w:rPr>
                        <w:rFonts w:ascii="Cambria Math" w:hAnsi="Cambria Math"/>
                        <w:i/>
                        <w:lang w:eastAsia="ru-RU"/>
                      </w:rPr>
                    </m:ctrlPr>
                  </m:sSubPr>
                  <m:e>
                    <m:r>
                      <w:rPr>
                        <w:rFonts w:ascii="Cambria Math" w:hAnsi="Cambria Math"/>
                        <w:lang w:val="en-US" w:eastAsia="ru-RU"/>
                      </w:rPr>
                      <m:t>g</m:t>
                    </m:r>
                  </m:e>
                  <m:sub>
                    <m:r>
                      <w:rPr>
                        <w:rFonts w:ascii="Cambria Math" w:hAnsi="Cambria Math"/>
                        <w:lang w:eastAsia="ru-RU"/>
                      </w:rPr>
                      <m:t>внутренний</m:t>
                    </m:r>
                  </m:sub>
                </m:sSub>
                <m:r>
                  <w:rPr>
                    <w:rFonts w:ascii="Cambria Math" w:hAnsi="Cambria Math"/>
                    <w:lang w:eastAsia="ru-RU"/>
                  </w:rPr>
                  <m:t xml:space="preserve">= </m:t>
                </m:r>
                <m:f>
                  <m:fPr>
                    <m:ctrlPr>
                      <w:rPr>
                        <w:rFonts w:ascii="Cambria Math" w:hAnsi="Cambria Math"/>
                        <w:i/>
                        <w:lang w:eastAsia="ru-RU"/>
                      </w:rPr>
                    </m:ctrlPr>
                  </m:fPr>
                  <m:num>
                    <m:r>
                      <w:rPr>
                        <w:rFonts w:ascii="Cambria Math" w:hAnsi="Cambria Math"/>
                        <w:lang w:val="en-US" w:eastAsia="ru-RU"/>
                      </w:rPr>
                      <m:t>ROA</m:t>
                    </m:r>
                    <m:r>
                      <w:rPr>
                        <w:rFonts w:ascii="Cambria Math" w:hAnsi="Cambria Math"/>
                        <w:lang w:eastAsia="ru-RU"/>
                      </w:rPr>
                      <m:t>*</m:t>
                    </m:r>
                    <m:r>
                      <w:rPr>
                        <w:rFonts w:ascii="Cambria Math" w:hAnsi="Cambria Math"/>
                        <w:lang w:val="en-US" w:eastAsia="ru-RU"/>
                      </w:rPr>
                      <m:t>RR</m:t>
                    </m:r>
                  </m:num>
                  <m:den>
                    <m:r>
                      <w:rPr>
                        <w:rFonts w:ascii="Cambria Math" w:hAnsi="Cambria Math"/>
                        <w:lang w:eastAsia="ru-RU"/>
                      </w:rPr>
                      <m:t>1-ROA*RR</m:t>
                    </m:r>
                  </m:den>
                </m:f>
                <m:r>
                  <w:rPr>
                    <w:rFonts w:ascii="Cambria Math" w:hAnsi="Cambria Math"/>
                    <w:lang w:eastAsia="ru-RU"/>
                  </w:rPr>
                  <m:t xml:space="preserve"> </m:t>
                </m:r>
              </m:oMath>
            </m:oMathPara>
          </w:p>
        </w:tc>
        <w:tc>
          <w:tcPr>
            <w:tcW w:w="703" w:type="dxa"/>
          </w:tcPr>
          <w:p w14:paraId="138DB2BB" w14:textId="77777777" w:rsidR="003D209A" w:rsidRPr="003D209A" w:rsidRDefault="003D209A" w:rsidP="003D209A">
            <w:pPr>
              <w:pStyle w:val="af8"/>
              <w:numPr>
                <w:ilvl w:val="0"/>
                <w:numId w:val="6"/>
              </w:numPr>
              <w:tabs>
                <w:tab w:val="right" w:pos="9072"/>
              </w:tabs>
              <w:rPr>
                <w:rFonts w:eastAsia="Calibri" w:cs="Times New Roman"/>
              </w:rPr>
            </w:pPr>
          </w:p>
        </w:tc>
      </w:tr>
    </w:tbl>
    <w:p w14:paraId="38FA43B3" w14:textId="617BA22B" w:rsidR="003D209A" w:rsidRPr="003D209A" w:rsidRDefault="003D209A" w:rsidP="003D209A">
      <w:pPr>
        <w:spacing w:line="240" w:lineRule="auto"/>
        <w:ind w:left="709" w:firstLine="0"/>
        <w:rPr>
          <w:i/>
          <w:iCs/>
          <w:lang w:eastAsia="ru-RU"/>
        </w:rPr>
      </w:pPr>
      <w:r w:rsidRPr="003D209A">
        <w:rPr>
          <w:i/>
          <w:iCs/>
          <w:lang w:eastAsia="ru-RU"/>
        </w:rPr>
        <w:t xml:space="preserve">где </w:t>
      </w:r>
      <w:r w:rsidRPr="003D209A">
        <w:rPr>
          <w:i/>
          <w:iCs/>
          <w:lang w:val="en-US" w:eastAsia="ru-RU"/>
        </w:rPr>
        <w:t>ROA</w:t>
      </w:r>
      <w:r w:rsidRPr="003D209A">
        <w:rPr>
          <w:i/>
          <w:iCs/>
          <w:lang w:eastAsia="ru-RU"/>
        </w:rPr>
        <w:t xml:space="preserve"> — чистая рентабельность активов, </w:t>
      </w:r>
    </w:p>
    <w:p w14:paraId="0E3DB087" w14:textId="0BA4667C" w:rsidR="003D209A" w:rsidRDefault="003D209A" w:rsidP="003D209A">
      <w:pPr>
        <w:spacing w:line="240" w:lineRule="auto"/>
        <w:rPr>
          <w:i/>
          <w:iCs/>
          <w:lang w:eastAsia="ru-RU"/>
        </w:rPr>
      </w:pPr>
      <w:r w:rsidRPr="003D209A">
        <w:rPr>
          <w:i/>
          <w:iCs/>
          <w:lang w:val="en-US" w:eastAsia="ru-RU"/>
        </w:rPr>
        <w:t>RR</w:t>
      </w:r>
      <w:r w:rsidRPr="003D209A">
        <w:rPr>
          <w:i/>
          <w:iCs/>
          <w:lang w:eastAsia="ru-RU"/>
        </w:rPr>
        <w:t xml:space="preserve"> — коэффициент реинвестирования прибыли.</w:t>
      </w:r>
    </w:p>
    <w:p w14:paraId="3CFC4D3B" w14:textId="77777777" w:rsidR="003D209A" w:rsidRDefault="003D209A" w:rsidP="003D209A">
      <w:pPr>
        <w:spacing w:line="240" w:lineRule="auto"/>
        <w:rPr>
          <w:i/>
          <w:iCs/>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D209A" w14:paraId="47EAD2C6" w14:textId="77777777" w:rsidTr="00771D7D">
        <w:tc>
          <w:tcPr>
            <w:tcW w:w="8642" w:type="dxa"/>
          </w:tcPr>
          <w:p w14:paraId="36A750C1" w14:textId="1E82B335" w:rsidR="003D209A" w:rsidRPr="003D209A" w:rsidRDefault="0056120C" w:rsidP="00771D7D">
            <w:pPr>
              <w:tabs>
                <w:tab w:val="right" w:pos="9072"/>
              </w:tabs>
              <w:ind w:firstLine="0"/>
              <w:rPr>
                <w:rFonts w:ascii="Cambria Math" w:eastAsia="Calibri" w:hAnsi="Cambria Math" w:cs="Times New Roman"/>
                <w:i/>
              </w:rPr>
            </w:pPr>
            <m:oMathPara>
              <m:oMath>
                <m:sSub>
                  <m:sSubPr>
                    <m:ctrlPr>
                      <w:rPr>
                        <w:rFonts w:ascii="Cambria Math" w:hAnsi="Cambria Math"/>
                        <w:i/>
                        <w:lang w:eastAsia="ru-RU"/>
                      </w:rPr>
                    </m:ctrlPr>
                  </m:sSubPr>
                  <m:e>
                    <m:r>
                      <w:rPr>
                        <w:rFonts w:ascii="Cambria Math" w:hAnsi="Cambria Math"/>
                        <w:lang w:val="en-US" w:eastAsia="ru-RU"/>
                      </w:rPr>
                      <m:t>g</m:t>
                    </m:r>
                  </m:e>
                  <m:sub>
                    <m:r>
                      <w:rPr>
                        <w:rFonts w:ascii="Cambria Math" w:hAnsi="Cambria Math"/>
                        <w:lang w:eastAsia="ru-RU"/>
                      </w:rPr>
                      <m:t>устойчивый</m:t>
                    </m:r>
                  </m:sub>
                </m:sSub>
                <m:r>
                  <w:rPr>
                    <w:rFonts w:ascii="Cambria Math" w:hAnsi="Cambria Math"/>
                    <w:lang w:eastAsia="ru-RU"/>
                  </w:rPr>
                  <m:t xml:space="preserve">= </m:t>
                </m:r>
                <m:f>
                  <m:fPr>
                    <m:ctrlPr>
                      <w:rPr>
                        <w:rFonts w:ascii="Cambria Math" w:hAnsi="Cambria Math"/>
                        <w:i/>
                        <w:lang w:eastAsia="ru-RU"/>
                      </w:rPr>
                    </m:ctrlPr>
                  </m:fPr>
                  <m:num>
                    <m:r>
                      <w:rPr>
                        <w:rFonts w:ascii="Cambria Math" w:hAnsi="Cambria Math"/>
                        <w:lang w:val="en-US" w:eastAsia="ru-RU"/>
                      </w:rPr>
                      <m:t>ROE</m:t>
                    </m:r>
                    <m:r>
                      <w:rPr>
                        <w:rFonts w:ascii="Cambria Math" w:hAnsi="Cambria Math"/>
                        <w:lang w:eastAsia="ru-RU"/>
                      </w:rPr>
                      <m:t>*</m:t>
                    </m:r>
                    <m:r>
                      <w:rPr>
                        <w:rFonts w:ascii="Cambria Math" w:hAnsi="Cambria Math"/>
                        <w:lang w:val="en-US" w:eastAsia="ru-RU"/>
                      </w:rPr>
                      <m:t>RR</m:t>
                    </m:r>
                  </m:num>
                  <m:den>
                    <m:r>
                      <w:rPr>
                        <w:rFonts w:ascii="Cambria Math" w:hAnsi="Cambria Math"/>
                        <w:lang w:eastAsia="ru-RU"/>
                      </w:rPr>
                      <m:t>1-ROE*RR</m:t>
                    </m:r>
                  </m:den>
                </m:f>
                <m:r>
                  <w:rPr>
                    <w:rFonts w:ascii="Cambria Math" w:hAnsi="Cambria Math"/>
                    <w:lang w:eastAsia="ru-RU"/>
                  </w:rPr>
                  <m:t xml:space="preserve"> </m:t>
                </m:r>
              </m:oMath>
            </m:oMathPara>
          </w:p>
        </w:tc>
        <w:tc>
          <w:tcPr>
            <w:tcW w:w="703" w:type="dxa"/>
          </w:tcPr>
          <w:p w14:paraId="4BD1BA74" w14:textId="77777777" w:rsidR="003D209A" w:rsidRPr="003D209A" w:rsidRDefault="003D209A" w:rsidP="003D209A">
            <w:pPr>
              <w:pStyle w:val="af8"/>
              <w:numPr>
                <w:ilvl w:val="0"/>
                <w:numId w:val="6"/>
              </w:numPr>
              <w:tabs>
                <w:tab w:val="right" w:pos="9072"/>
              </w:tabs>
              <w:rPr>
                <w:rFonts w:eastAsia="Calibri" w:cs="Times New Roman"/>
              </w:rPr>
            </w:pPr>
          </w:p>
        </w:tc>
      </w:tr>
    </w:tbl>
    <w:p w14:paraId="7A57A4D1" w14:textId="387804C6" w:rsidR="003D209A" w:rsidRPr="003D209A" w:rsidRDefault="003D209A" w:rsidP="003D209A">
      <w:pPr>
        <w:spacing w:line="240" w:lineRule="auto"/>
        <w:ind w:left="709" w:firstLine="0"/>
        <w:rPr>
          <w:i/>
          <w:iCs/>
          <w:lang w:eastAsia="ru-RU"/>
        </w:rPr>
      </w:pPr>
      <w:r w:rsidRPr="003D209A">
        <w:rPr>
          <w:i/>
          <w:iCs/>
          <w:lang w:eastAsia="ru-RU"/>
        </w:rPr>
        <w:t xml:space="preserve">где </w:t>
      </w:r>
      <w:r w:rsidRPr="003D209A">
        <w:rPr>
          <w:i/>
          <w:iCs/>
          <w:lang w:val="en-US" w:eastAsia="ru-RU"/>
        </w:rPr>
        <w:t>ROA</w:t>
      </w:r>
      <w:r w:rsidRPr="003D209A">
        <w:rPr>
          <w:i/>
          <w:iCs/>
          <w:lang w:eastAsia="ru-RU"/>
        </w:rPr>
        <w:t xml:space="preserve"> — чистая рентабельность </w:t>
      </w:r>
      <w:r>
        <w:rPr>
          <w:i/>
          <w:iCs/>
          <w:lang w:eastAsia="ru-RU"/>
        </w:rPr>
        <w:t>собственного капитала.</w:t>
      </w:r>
      <w:r w:rsidRPr="003D209A">
        <w:rPr>
          <w:i/>
          <w:iCs/>
          <w:lang w:eastAsia="ru-RU"/>
        </w:rPr>
        <w:t xml:space="preserve"> </w:t>
      </w:r>
    </w:p>
    <w:p w14:paraId="47927A1E" w14:textId="08D5C07D" w:rsidR="00F25CD2" w:rsidRDefault="003D209A" w:rsidP="006301E2">
      <w:pPr>
        <w:rPr>
          <w:lang w:eastAsia="ru-RU"/>
        </w:rPr>
      </w:pPr>
      <w:r>
        <w:rPr>
          <w:lang w:eastAsia="ru-RU"/>
        </w:rPr>
        <w:t xml:space="preserve"> Однако развитие организации часто определяется через темп роста отрасли с учетом инфляции. Данный способ применим для компаний-лидеров на рынке с перспективами развития.</w:t>
      </w:r>
      <w:r w:rsidR="00F25CD2">
        <w:rPr>
          <w:lang w:eastAsia="ru-RU"/>
        </w:rPr>
        <w:t xml:space="preserve"> </w:t>
      </w:r>
      <w:r w:rsidR="00771D7D">
        <w:rPr>
          <w:lang w:eastAsia="ru-RU"/>
        </w:rPr>
        <w:t xml:space="preserve">После определения выручки через доли от неё рассчитываются другие статьи отчетностей, которые </w:t>
      </w:r>
      <w:r w:rsidR="00F25CD2">
        <w:rPr>
          <w:lang w:eastAsia="ru-RU"/>
        </w:rPr>
        <w:t>напрямую связаны с доходами</w:t>
      </w:r>
      <w:r w:rsidR="00771D7D">
        <w:rPr>
          <w:lang w:eastAsia="ru-RU"/>
        </w:rPr>
        <w:t xml:space="preserve"> </w:t>
      </w:r>
      <w:r w:rsidR="00F25CD2">
        <w:rPr>
          <w:lang w:eastAsia="ru-RU"/>
        </w:rPr>
        <w:t xml:space="preserve">— таким способом вычисляются себестоимость и другие переменные затраты. Внеоборотные активы </w:t>
      </w:r>
      <w:r w:rsidR="00F25CD2">
        <w:rPr>
          <w:lang w:eastAsia="ru-RU"/>
        </w:rPr>
        <w:lastRenderedPageBreak/>
        <w:t>рассчитываются через их оборачиваемость в последний отчетный период. Остальные значения зависят от конкретных условий компании</w:t>
      </w:r>
      <w:r w:rsidR="00771D7D">
        <w:rPr>
          <w:lang w:eastAsia="ru-RU"/>
        </w:rPr>
        <w:t xml:space="preserve">: либо </w:t>
      </w:r>
      <w:r w:rsidR="00F25CD2">
        <w:rPr>
          <w:lang w:eastAsia="ru-RU"/>
        </w:rPr>
        <w:t>делается предположение о неизменности величин</w:t>
      </w:r>
      <w:r w:rsidR="00771D7D">
        <w:rPr>
          <w:lang w:eastAsia="ru-RU"/>
        </w:rPr>
        <w:t xml:space="preserve"> статей, либо происходит перерасчет по данным организации.</w:t>
      </w:r>
      <w:r w:rsidR="00E06E28">
        <w:rPr>
          <w:lang w:eastAsia="ru-RU"/>
        </w:rPr>
        <w:t xml:space="preserve"> </w:t>
      </w:r>
    </w:p>
    <w:p w14:paraId="216517D5" w14:textId="039C490D" w:rsidR="00987CDC" w:rsidRDefault="006755F7" w:rsidP="00DD628F">
      <w:pPr>
        <w:rPr>
          <w:lang w:eastAsia="ru-RU"/>
        </w:rPr>
      </w:pPr>
      <w:r>
        <w:rPr>
          <w:lang w:eastAsia="ru-RU"/>
        </w:rPr>
        <w:t>Выбранный способ расчета темпов роста компании, прогноз статей отчетности являются субъективными значениями, зависящими от мнения оценщик</w:t>
      </w:r>
      <w:r w:rsidR="00625000">
        <w:rPr>
          <w:lang w:eastAsia="ru-RU"/>
        </w:rPr>
        <w:t>а</w:t>
      </w:r>
      <w:r>
        <w:rPr>
          <w:lang w:eastAsia="ru-RU"/>
        </w:rPr>
        <w:t xml:space="preserve"> и его опыта. </w:t>
      </w:r>
      <w:r w:rsidR="00DD628F">
        <w:rPr>
          <w:lang w:eastAsia="ru-RU"/>
        </w:rPr>
        <w:t>Н</w:t>
      </w:r>
      <w:r w:rsidR="00B245D7">
        <w:rPr>
          <w:lang w:eastAsia="ru-RU"/>
        </w:rPr>
        <w:t>а данном этапе вычисляется чистая прибыль компании, которая является базовой величиной в вычислении свободного денежного потока.</w:t>
      </w:r>
      <w:r w:rsidR="00F25CD2">
        <w:rPr>
          <w:rStyle w:val="afe"/>
          <w:lang w:eastAsia="ru-RU"/>
        </w:rPr>
        <w:footnoteReference w:id="53"/>
      </w:r>
      <w:r w:rsidR="00F25CD2">
        <w:rPr>
          <w:lang w:eastAsia="ru-RU"/>
        </w:rPr>
        <w:t xml:space="preserve"> Её </w:t>
      </w:r>
      <w:r w:rsidR="00771D7D">
        <w:rPr>
          <w:lang w:eastAsia="ru-RU"/>
        </w:rPr>
        <w:t xml:space="preserve">значение </w:t>
      </w:r>
      <w:r w:rsidR="00F25CD2">
        <w:rPr>
          <w:lang w:eastAsia="ru-RU"/>
        </w:rPr>
        <w:t xml:space="preserve">рассчитывается путем сведения всех полученных </w:t>
      </w:r>
      <w:r w:rsidR="00771D7D">
        <w:rPr>
          <w:lang w:eastAsia="ru-RU"/>
        </w:rPr>
        <w:t xml:space="preserve">статей </w:t>
      </w:r>
      <w:r w:rsidR="00F25CD2">
        <w:rPr>
          <w:lang w:eastAsia="ru-RU"/>
        </w:rPr>
        <w:t>в прогнозируемом отчете о прибылях и убытках.</w:t>
      </w:r>
    </w:p>
    <w:p w14:paraId="6656B367" w14:textId="5F4F4C6D" w:rsidR="002F6E03" w:rsidRPr="00957065" w:rsidRDefault="007C4702" w:rsidP="00F25CD2">
      <w:pPr>
        <w:rPr>
          <w:lang w:eastAsia="ru-RU"/>
        </w:rPr>
      </w:pPr>
      <w:r>
        <w:rPr>
          <w:lang w:eastAsia="ru-RU"/>
        </w:rPr>
        <w:t>Далее при необходимости про</w:t>
      </w:r>
      <w:r w:rsidR="00F25CD2">
        <w:rPr>
          <w:lang w:eastAsia="ru-RU"/>
        </w:rPr>
        <w:t>водится</w:t>
      </w:r>
      <w:r>
        <w:rPr>
          <w:lang w:eastAsia="ru-RU"/>
        </w:rPr>
        <w:t xml:space="preserve"> оценк</w:t>
      </w:r>
      <w:r w:rsidR="00F25CD2">
        <w:rPr>
          <w:lang w:eastAsia="ru-RU"/>
        </w:rPr>
        <w:t>а</w:t>
      </w:r>
      <w:r>
        <w:rPr>
          <w:lang w:eastAsia="ru-RU"/>
        </w:rPr>
        <w:t xml:space="preserve"> инвестиционных проектов: объем требуемых вложений, прирост собственного капитала. Данный этап важен для обеспечения планируемого развития/расширения предприятия и корректного учета изменений в стоимости компании. Также при реализации инвестиционных проектов важно определение способа привлечения денежных средств — за счет собственного или заемного капитала будет спонсироваться рост компании?</w:t>
      </w:r>
      <w:r w:rsidR="00771D7D">
        <w:rPr>
          <w:lang w:eastAsia="ru-RU"/>
        </w:rPr>
        <w:t xml:space="preserve"> Выбранны</w:t>
      </w:r>
      <w:r w:rsidR="00E06E28">
        <w:rPr>
          <w:lang w:eastAsia="ru-RU"/>
        </w:rPr>
        <w:t>й</w:t>
      </w:r>
      <w:r w:rsidR="00771D7D">
        <w:rPr>
          <w:lang w:eastAsia="ru-RU"/>
        </w:rPr>
        <w:t xml:space="preserve"> способ </w:t>
      </w:r>
      <w:r w:rsidR="00E06E28">
        <w:rPr>
          <w:lang w:eastAsia="ru-RU"/>
        </w:rPr>
        <w:t xml:space="preserve">инвестирования </w:t>
      </w:r>
      <w:r w:rsidR="00771D7D">
        <w:rPr>
          <w:lang w:eastAsia="ru-RU"/>
        </w:rPr>
        <w:t xml:space="preserve">необходимо отразить </w:t>
      </w:r>
      <w:r w:rsidR="00E06E28">
        <w:rPr>
          <w:lang w:eastAsia="ru-RU"/>
        </w:rPr>
        <w:t xml:space="preserve">в отчетах </w:t>
      </w:r>
      <w:r w:rsidR="00771D7D">
        <w:rPr>
          <w:lang w:eastAsia="ru-RU"/>
        </w:rPr>
        <w:t>баланс</w:t>
      </w:r>
      <w:r w:rsidR="00E06E28">
        <w:rPr>
          <w:lang w:eastAsia="ru-RU"/>
        </w:rPr>
        <w:t xml:space="preserve">а и о движении денежных средств для корректного прогнозирования и учета финансовых рисков. </w:t>
      </w:r>
      <w:r w:rsidR="00771D7D">
        <w:rPr>
          <w:lang w:eastAsia="ru-RU"/>
        </w:rPr>
        <w:t xml:space="preserve"> </w:t>
      </w:r>
    </w:p>
    <w:p w14:paraId="481AD144" w14:textId="413BF40B" w:rsidR="0048635A" w:rsidRDefault="00B245D7" w:rsidP="00F25CD2">
      <w:pPr>
        <w:rPr>
          <w:lang w:eastAsia="ru-RU"/>
        </w:rPr>
      </w:pPr>
      <w:r>
        <w:rPr>
          <w:lang w:eastAsia="ru-RU"/>
        </w:rPr>
        <w:t xml:space="preserve">После </w:t>
      </w:r>
      <w:r w:rsidR="00E06E28">
        <w:rPr>
          <w:lang w:eastAsia="ru-RU"/>
        </w:rPr>
        <w:t xml:space="preserve">построения отчетностей в прогнозном и постпрогнозном периодах </w:t>
      </w:r>
      <w:r w:rsidR="0048635A">
        <w:rPr>
          <w:lang w:eastAsia="ru-RU"/>
        </w:rPr>
        <w:t xml:space="preserve">проводится расчет денежного потока для каждого года в </w:t>
      </w:r>
      <w:r w:rsidR="00E06E28">
        <w:rPr>
          <w:lang w:eastAsia="ru-RU"/>
        </w:rPr>
        <w:t>рассматриваемых отрезках</w:t>
      </w:r>
      <w:r w:rsidR="0048635A">
        <w:rPr>
          <w:lang w:eastAsia="ru-RU"/>
        </w:rPr>
        <w:t xml:space="preserve">. </w:t>
      </w:r>
      <w:r w:rsidR="002F6E03">
        <w:rPr>
          <w:lang w:eastAsia="ru-RU"/>
        </w:rPr>
        <w:t xml:space="preserve">Существует несколько основных методов расчета </w:t>
      </w:r>
      <w:r w:rsidR="002F6E03">
        <w:rPr>
          <w:lang w:val="en-US" w:eastAsia="ru-RU"/>
        </w:rPr>
        <w:t>FCF</w:t>
      </w:r>
      <w:r w:rsidR="002F6E03" w:rsidRPr="002F6E03">
        <w:rPr>
          <w:lang w:eastAsia="ru-RU"/>
        </w:rPr>
        <w:t xml:space="preserve">. </w:t>
      </w:r>
      <w:r w:rsidR="002F6E03">
        <w:rPr>
          <w:lang w:eastAsia="ru-RU"/>
        </w:rPr>
        <w:t xml:space="preserve">Первый способ — свободный денежный поток рассчитывается через первичные данные прогнозируемого отчета о движении денежных средств. </w:t>
      </w:r>
      <w:r w:rsidR="00F25CD2">
        <w:rPr>
          <w:lang w:eastAsia="ru-RU"/>
        </w:rPr>
        <w:t>Общая формула</w:t>
      </w:r>
      <w:r w:rsidR="002F6E03">
        <w:rPr>
          <w:lang w:eastAsia="ru-RU"/>
        </w:rPr>
        <w:t xml:space="preserve"> в данном случае для вычисления </w:t>
      </w:r>
      <w:r w:rsidR="002F6E03">
        <w:rPr>
          <w:lang w:val="en-US" w:eastAsia="ru-RU"/>
        </w:rPr>
        <w:t>FCF</w:t>
      </w:r>
      <w:r w:rsidR="002F6E03">
        <w:rPr>
          <w:lang w:eastAsia="ru-RU"/>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2F6E03" w14:paraId="20EE3DF0" w14:textId="77777777" w:rsidTr="00771D7D">
        <w:tc>
          <w:tcPr>
            <w:tcW w:w="8642" w:type="dxa"/>
          </w:tcPr>
          <w:p w14:paraId="5C9C0C28" w14:textId="25DA61AA" w:rsidR="002F6E03" w:rsidRPr="002F6E03" w:rsidRDefault="002F6E03" w:rsidP="002F6E03">
            <w:pPr>
              <w:tabs>
                <w:tab w:val="right" w:pos="9072"/>
              </w:tabs>
              <w:ind w:firstLine="0"/>
              <w:jc w:val="center"/>
              <w:rPr>
                <w:rFonts w:ascii="Cambria Math" w:eastAsia="Calibri" w:hAnsi="Cambria Math" w:cs="Times New Roman"/>
                <w:i/>
                <w:lang w:val="en-US"/>
              </w:rPr>
            </w:pPr>
            <m:oMath>
              <m:r>
                <w:rPr>
                  <w:rFonts w:ascii="Cambria Math" w:hAnsi="Cambria Math"/>
                  <w:lang w:eastAsia="ru-RU"/>
                </w:rPr>
                <m:t>FCF= O</m:t>
              </m:r>
              <m:r>
                <w:rPr>
                  <w:rFonts w:ascii="Cambria Math" w:hAnsi="Cambria Math"/>
                  <w:lang w:val="en-US" w:eastAsia="ru-RU"/>
                </w:rPr>
                <m:t>CF-ICF</m:t>
              </m:r>
              <m:r>
                <w:rPr>
                  <w:rFonts w:ascii="Cambria Math" w:hAnsi="Cambria Math"/>
                  <w:lang w:eastAsia="ru-RU"/>
                </w:rPr>
                <m:t xml:space="preserve"> </m:t>
              </m:r>
            </m:oMath>
            <w:r>
              <w:rPr>
                <w:rFonts w:ascii="Cambria Math" w:eastAsia="Calibri" w:hAnsi="Cambria Math" w:cs="Times New Roman"/>
                <w:i/>
                <w:lang w:val="en-US" w:eastAsia="ru-RU"/>
              </w:rPr>
              <w:t>,</w:t>
            </w:r>
          </w:p>
        </w:tc>
        <w:tc>
          <w:tcPr>
            <w:tcW w:w="703" w:type="dxa"/>
          </w:tcPr>
          <w:p w14:paraId="698B52A4" w14:textId="77777777" w:rsidR="002F6E03" w:rsidRPr="002F6E03" w:rsidRDefault="002F6E03" w:rsidP="002F6E03">
            <w:pPr>
              <w:pStyle w:val="af8"/>
              <w:numPr>
                <w:ilvl w:val="0"/>
                <w:numId w:val="6"/>
              </w:numPr>
              <w:tabs>
                <w:tab w:val="right" w:pos="9072"/>
              </w:tabs>
              <w:rPr>
                <w:rFonts w:eastAsia="Calibri" w:cs="Times New Roman"/>
              </w:rPr>
            </w:pPr>
          </w:p>
        </w:tc>
      </w:tr>
    </w:tbl>
    <w:p w14:paraId="4855F097" w14:textId="23A59D32" w:rsidR="002F6E03" w:rsidRPr="002F6E03" w:rsidRDefault="002F6E03" w:rsidP="002F6E03">
      <w:pPr>
        <w:spacing w:line="240" w:lineRule="auto"/>
        <w:rPr>
          <w:i/>
          <w:iCs/>
          <w:lang w:eastAsia="ru-RU"/>
        </w:rPr>
      </w:pPr>
      <w:r w:rsidRPr="002F6E03">
        <w:rPr>
          <w:i/>
          <w:iCs/>
          <w:lang w:eastAsia="ru-RU"/>
        </w:rPr>
        <w:t xml:space="preserve">где </w:t>
      </w:r>
      <w:r w:rsidRPr="002F6E03">
        <w:rPr>
          <w:i/>
          <w:iCs/>
          <w:lang w:val="en-US" w:eastAsia="ru-RU"/>
        </w:rPr>
        <w:t>OCF</w:t>
      </w:r>
      <w:r w:rsidRPr="002F6E03">
        <w:rPr>
          <w:i/>
          <w:iCs/>
          <w:lang w:eastAsia="ru-RU"/>
        </w:rPr>
        <w:t xml:space="preserve"> — чистые денежные потоки от операционной деятельности, </w:t>
      </w:r>
    </w:p>
    <w:p w14:paraId="432FC661" w14:textId="3E7AD707" w:rsidR="002F6E03" w:rsidRPr="002F6E03" w:rsidRDefault="002F6E03" w:rsidP="002F6E03">
      <w:pPr>
        <w:spacing w:line="240" w:lineRule="auto"/>
        <w:rPr>
          <w:i/>
          <w:iCs/>
          <w:lang w:eastAsia="ru-RU"/>
        </w:rPr>
      </w:pPr>
      <w:r w:rsidRPr="002F6E03">
        <w:rPr>
          <w:i/>
          <w:iCs/>
          <w:lang w:val="en-US" w:eastAsia="ru-RU"/>
        </w:rPr>
        <w:t>ICF</w:t>
      </w:r>
      <w:r w:rsidRPr="002F6E03">
        <w:rPr>
          <w:i/>
          <w:iCs/>
          <w:lang w:eastAsia="ru-RU"/>
        </w:rPr>
        <w:t xml:space="preserve"> — чистые денежные потоки от инвестиционной деятельности. </w:t>
      </w:r>
    </w:p>
    <w:p w14:paraId="1A9B09D7" w14:textId="2E606CDC" w:rsidR="002F6E03" w:rsidRDefault="002F6E03" w:rsidP="006301E2">
      <w:pPr>
        <w:rPr>
          <w:lang w:eastAsia="ru-RU"/>
        </w:rPr>
      </w:pPr>
      <w:r>
        <w:rPr>
          <w:lang w:eastAsia="ru-RU"/>
        </w:rPr>
        <w:t xml:space="preserve">Вторым способом является более подробный расчет свободного денежного потока, который отражает причины изменения. Данный способ можно раскрыть через следующую формулу: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2F6E03" w14:paraId="06CCE3F3" w14:textId="77777777" w:rsidTr="00771D7D">
        <w:tc>
          <w:tcPr>
            <w:tcW w:w="8642" w:type="dxa"/>
          </w:tcPr>
          <w:p w14:paraId="224F1720" w14:textId="7B17F7CA" w:rsidR="002F6E03" w:rsidRPr="002F6E03" w:rsidRDefault="002F6E03" w:rsidP="00771D7D">
            <w:pPr>
              <w:tabs>
                <w:tab w:val="right" w:pos="9072"/>
              </w:tabs>
              <w:ind w:firstLine="0"/>
              <w:jc w:val="center"/>
              <w:rPr>
                <w:rFonts w:ascii="Cambria Math" w:eastAsia="Calibri" w:hAnsi="Cambria Math" w:cs="Times New Roman"/>
                <w:i/>
              </w:rPr>
            </w:pPr>
            <m:oMath>
              <m:r>
                <w:rPr>
                  <w:rFonts w:ascii="Cambria Math" w:hAnsi="Cambria Math"/>
                  <w:lang w:eastAsia="ru-RU"/>
                </w:rPr>
                <m:t xml:space="preserve">FCF= </m:t>
              </m:r>
              <m:r>
                <w:rPr>
                  <w:rFonts w:ascii="Cambria Math" w:hAnsi="Cambria Math"/>
                  <w:lang w:val="en-US" w:eastAsia="ru-RU"/>
                </w:rPr>
                <m:t>EBITDA</m:t>
              </m:r>
              <m:r>
                <w:rPr>
                  <w:rFonts w:ascii="Cambria Math" w:hAnsi="Cambria Math"/>
                  <w:lang w:eastAsia="ru-RU"/>
                </w:rPr>
                <m:t>-</m:t>
              </m:r>
              <m:r>
                <w:rPr>
                  <w:rFonts w:ascii="Cambria Math" w:hAnsi="Cambria Math"/>
                  <w:lang w:val="en-US" w:eastAsia="ru-RU"/>
                </w:rPr>
                <m:t>taxes</m:t>
              </m:r>
              <m:r>
                <w:rPr>
                  <w:rFonts w:ascii="Cambria Math" w:hAnsi="Cambria Math"/>
                  <w:lang w:eastAsia="ru-RU"/>
                </w:rPr>
                <m:t>-</m:t>
              </m:r>
              <m:r>
                <w:rPr>
                  <w:rFonts w:ascii="Cambria Math" w:hAnsi="Cambria Math"/>
                  <w:lang w:val="en-US" w:eastAsia="ru-RU"/>
                </w:rPr>
                <m:t>CAPEX</m:t>
              </m:r>
              <m:r>
                <w:rPr>
                  <w:rFonts w:ascii="Cambria Math" w:hAnsi="Cambria Math"/>
                  <w:lang w:eastAsia="ru-RU"/>
                </w:rPr>
                <m:t xml:space="preserve">- NWC </m:t>
              </m:r>
            </m:oMath>
            <w:r w:rsidRPr="002F6E03">
              <w:rPr>
                <w:rFonts w:ascii="Cambria Math" w:eastAsia="Calibri" w:hAnsi="Cambria Math" w:cs="Times New Roman"/>
                <w:i/>
                <w:lang w:eastAsia="ru-RU"/>
              </w:rPr>
              <w:t>,</w:t>
            </w:r>
          </w:p>
        </w:tc>
        <w:tc>
          <w:tcPr>
            <w:tcW w:w="703" w:type="dxa"/>
          </w:tcPr>
          <w:p w14:paraId="4F36DD19" w14:textId="77777777" w:rsidR="002F6E03" w:rsidRPr="002F6E03" w:rsidRDefault="002F6E03" w:rsidP="002F6E03">
            <w:pPr>
              <w:pStyle w:val="af8"/>
              <w:numPr>
                <w:ilvl w:val="0"/>
                <w:numId w:val="6"/>
              </w:numPr>
              <w:tabs>
                <w:tab w:val="right" w:pos="9072"/>
              </w:tabs>
              <w:rPr>
                <w:rFonts w:eastAsia="Calibri" w:cs="Times New Roman"/>
              </w:rPr>
            </w:pPr>
          </w:p>
        </w:tc>
      </w:tr>
    </w:tbl>
    <w:p w14:paraId="4B13C75F" w14:textId="1F037C54" w:rsidR="002F6E03" w:rsidRPr="003C4E8B" w:rsidRDefault="002F6E03" w:rsidP="003C4E8B">
      <w:pPr>
        <w:spacing w:line="240" w:lineRule="auto"/>
        <w:rPr>
          <w:i/>
          <w:iCs/>
          <w:lang w:eastAsia="ru-RU"/>
        </w:rPr>
      </w:pPr>
      <w:r w:rsidRPr="003C4E8B">
        <w:rPr>
          <w:i/>
          <w:iCs/>
          <w:lang w:eastAsia="ru-RU"/>
        </w:rPr>
        <w:t xml:space="preserve">где </w:t>
      </w:r>
      <w:r w:rsidRPr="003C4E8B">
        <w:rPr>
          <w:i/>
          <w:iCs/>
          <w:lang w:val="en-US" w:eastAsia="ru-RU"/>
        </w:rPr>
        <w:t>EBITDA</w:t>
      </w:r>
      <w:r w:rsidRPr="003C4E8B">
        <w:rPr>
          <w:i/>
          <w:iCs/>
          <w:lang w:eastAsia="ru-RU"/>
        </w:rPr>
        <w:t xml:space="preserve"> — прибыль до </w:t>
      </w:r>
      <w:r w:rsidR="003C4E8B" w:rsidRPr="003C4E8B">
        <w:rPr>
          <w:i/>
          <w:iCs/>
          <w:lang w:eastAsia="ru-RU"/>
        </w:rPr>
        <w:t xml:space="preserve">процентов, </w:t>
      </w:r>
      <w:r w:rsidRPr="003C4E8B">
        <w:rPr>
          <w:i/>
          <w:iCs/>
          <w:lang w:eastAsia="ru-RU"/>
        </w:rPr>
        <w:t>налогообложения</w:t>
      </w:r>
      <w:r w:rsidR="003C4E8B" w:rsidRPr="003C4E8B">
        <w:rPr>
          <w:i/>
          <w:iCs/>
          <w:lang w:eastAsia="ru-RU"/>
        </w:rPr>
        <w:t xml:space="preserve"> и амортизации</w:t>
      </w:r>
      <w:r w:rsidRPr="003C4E8B">
        <w:rPr>
          <w:i/>
          <w:iCs/>
          <w:lang w:eastAsia="ru-RU"/>
        </w:rPr>
        <w:t xml:space="preserve">, </w:t>
      </w:r>
    </w:p>
    <w:p w14:paraId="578C7E3A" w14:textId="798AAC0F" w:rsidR="002F6E03" w:rsidRPr="003C4E8B" w:rsidRDefault="002F6E03" w:rsidP="003C4E8B">
      <w:pPr>
        <w:spacing w:line="240" w:lineRule="auto"/>
        <w:rPr>
          <w:i/>
          <w:iCs/>
          <w:lang w:eastAsia="ru-RU"/>
        </w:rPr>
      </w:pPr>
      <w:r w:rsidRPr="003C4E8B">
        <w:rPr>
          <w:i/>
          <w:iCs/>
          <w:lang w:val="en-US" w:eastAsia="ru-RU"/>
        </w:rPr>
        <w:t>taxes</w:t>
      </w:r>
      <w:r w:rsidRPr="003C4E8B">
        <w:rPr>
          <w:i/>
          <w:iCs/>
          <w:lang w:eastAsia="ru-RU"/>
        </w:rPr>
        <w:t xml:space="preserve"> — </w:t>
      </w:r>
      <w:r w:rsidR="003C4E8B" w:rsidRPr="003C4E8B">
        <w:rPr>
          <w:i/>
          <w:iCs/>
          <w:lang w:eastAsia="ru-RU"/>
        </w:rPr>
        <w:t>уплаченный налог на прибыль,</w:t>
      </w:r>
    </w:p>
    <w:p w14:paraId="443CF064" w14:textId="79452734" w:rsidR="002F6E03" w:rsidRPr="003C4E8B" w:rsidRDefault="002F6E03" w:rsidP="003C4E8B">
      <w:pPr>
        <w:spacing w:line="240" w:lineRule="auto"/>
        <w:rPr>
          <w:i/>
          <w:iCs/>
          <w:lang w:eastAsia="ru-RU"/>
        </w:rPr>
      </w:pPr>
      <w:r w:rsidRPr="003C4E8B">
        <w:rPr>
          <w:i/>
          <w:iCs/>
          <w:lang w:val="en-US" w:eastAsia="ru-RU"/>
        </w:rPr>
        <w:t>CAPEX</w:t>
      </w:r>
      <w:r w:rsidRPr="003C4E8B">
        <w:rPr>
          <w:i/>
          <w:iCs/>
          <w:lang w:eastAsia="ru-RU"/>
        </w:rPr>
        <w:t xml:space="preserve"> —</w:t>
      </w:r>
      <w:r w:rsidR="003C4E8B" w:rsidRPr="003C4E8B">
        <w:rPr>
          <w:i/>
          <w:iCs/>
          <w:lang w:eastAsia="ru-RU"/>
        </w:rPr>
        <w:t xml:space="preserve"> капитальные затраты (инвестиции),</w:t>
      </w:r>
      <w:r w:rsidRPr="003C4E8B">
        <w:rPr>
          <w:i/>
          <w:iCs/>
          <w:lang w:eastAsia="ru-RU"/>
        </w:rPr>
        <w:t xml:space="preserve"> </w:t>
      </w:r>
    </w:p>
    <w:p w14:paraId="4574C38D" w14:textId="16E4B1E0" w:rsidR="002F6E03" w:rsidRPr="003C4E8B" w:rsidRDefault="002F6E03" w:rsidP="003C4E8B">
      <w:pPr>
        <w:spacing w:line="240" w:lineRule="auto"/>
        <w:rPr>
          <w:i/>
          <w:iCs/>
          <w:lang w:eastAsia="ru-RU"/>
        </w:rPr>
      </w:pPr>
      <w:r w:rsidRPr="003C4E8B">
        <w:rPr>
          <w:i/>
          <w:iCs/>
          <w:lang w:val="en-US" w:eastAsia="ru-RU"/>
        </w:rPr>
        <w:t>NWC</w:t>
      </w:r>
      <w:r w:rsidR="003C4E8B" w:rsidRPr="003C4E8B">
        <w:rPr>
          <w:i/>
          <w:iCs/>
          <w:lang w:eastAsia="ru-RU"/>
        </w:rPr>
        <w:t xml:space="preserve"> (</w:t>
      </w:r>
      <w:r w:rsidR="003C4E8B" w:rsidRPr="003C4E8B">
        <w:rPr>
          <w:i/>
          <w:iCs/>
          <w:lang w:val="en-US" w:eastAsia="ru-RU"/>
        </w:rPr>
        <w:t>Net</w:t>
      </w:r>
      <w:r w:rsidR="003C4E8B" w:rsidRPr="003C4E8B">
        <w:rPr>
          <w:i/>
          <w:iCs/>
          <w:lang w:eastAsia="ru-RU"/>
        </w:rPr>
        <w:t xml:space="preserve"> </w:t>
      </w:r>
      <w:r w:rsidR="003C4E8B" w:rsidRPr="003C4E8B">
        <w:rPr>
          <w:i/>
          <w:iCs/>
          <w:lang w:val="en-US" w:eastAsia="ru-RU"/>
        </w:rPr>
        <w:t>Working</w:t>
      </w:r>
      <w:r w:rsidR="003C4E8B" w:rsidRPr="003C4E8B">
        <w:rPr>
          <w:i/>
          <w:iCs/>
          <w:lang w:eastAsia="ru-RU"/>
        </w:rPr>
        <w:t xml:space="preserve"> </w:t>
      </w:r>
      <w:r w:rsidR="003C4E8B" w:rsidRPr="003C4E8B">
        <w:rPr>
          <w:i/>
          <w:iCs/>
          <w:lang w:val="en-US" w:eastAsia="ru-RU"/>
        </w:rPr>
        <w:t>Capital</w:t>
      </w:r>
      <w:r w:rsidR="003C4E8B" w:rsidRPr="003C4E8B">
        <w:rPr>
          <w:i/>
          <w:iCs/>
          <w:lang w:eastAsia="ru-RU"/>
        </w:rPr>
        <w:t xml:space="preserve">) — изменения в оборотном капитале. </w:t>
      </w:r>
    </w:p>
    <w:p w14:paraId="3E6CC313" w14:textId="3AF0357F" w:rsidR="00B57AAE" w:rsidRDefault="00B57AAE" w:rsidP="006301E2">
      <w:pPr>
        <w:rPr>
          <w:lang w:eastAsia="ru-RU"/>
        </w:rPr>
      </w:pPr>
      <w:r>
        <w:rPr>
          <w:lang w:eastAsia="ru-RU"/>
        </w:rPr>
        <w:lastRenderedPageBreak/>
        <w:t>При проведении оценки ценности компании по свободному денежному потоку для собственного капитала</w:t>
      </w:r>
      <w:r w:rsidR="006755F7">
        <w:rPr>
          <w:lang w:eastAsia="ru-RU"/>
        </w:rPr>
        <w:t>,</w:t>
      </w:r>
      <w:r>
        <w:rPr>
          <w:lang w:eastAsia="ru-RU"/>
        </w:rPr>
        <w:t xml:space="preserve"> </w:t>
      </w:r>
      <w:r>
        <w:rPr>
          <w:lang w:val="en-US" w:eastAsia="ru-RU"/>
        </w:rPr>
        <w:t>FCFE</w:t>
      </w:r>
      <w:r>
        <w:rPr>
          <w:lang w:eastAsia="ru-RU"/>
        </w:rPr>
        <w:t xml:space="preserve"> исчисляется следующим образом: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B57AAE" w14:paraId="14413D6E" w14:textId="77777777" w:rsidTr="00771D7D">
        <w:tc>
          <w:tcPr>
            <w:tcW w:w="8642" w:type="dxa"/>
          </w:tcPr>
          <w:p w14:paraId="6856E793" w14:textId="400CF32E" w:rsidR="00B57AAE" w:rsidRPr="00B57AAE" w:rsidRDefault="00B57AAE" w:rsidP="00771D7D">
            <w:pPr>
              <w:tabs>
                <w:tab w:val="right" w:pos="9072"/>
              </w:tabs>
              <w:ind w:firstLine="0"/>
              <w:jc w:val="center"/>
              <w:rPr>
                <w:rFonts w:ascii="Cambria Math" w:eastAsia="Calibri" w:hAnsi="Cambria Math" w:cs="Times New Roman"/>
                <w:i/>
                <w:lang w:val="en-US"/>
              </w:rPr>
            </w:pPr>
            <m:oMath>
              <m:r>
                <w:rPr>
                  <w:rFonts w:ascii="Cambria Math" w:hAnsi="Cambria Math"/>
                  <w:lang w:eastAsia="ru-RU"/>
                </w:rPr>
                <m:t>FCF</m:t>
              </m:r>
              <m:r>
                <w:rPr>
                  <w:rFonts w:ascii="Cambria Math" w:hAnsi="Cambria Math"/>
                  <w:lang w:val="en-US" w:eastAsia="ru-RU"/>
                </w:rPr>
                <m:t>E</m:t>
              </m:r>
              <m:r>
                <w:rPr>
                  <w:rFonts w:ascii="Cambria Math" w:hAnsi="Cambria Math"/>
                  <w:lang w:eastAsia="ru-RU"/>
                </w:rPr>
                <m:t>= FCF-taxes-debt</m:t>
              </m:r>
            </m:oMath>
            <w:r>
              <w:rPr>
                <w:rFonts w:ascii="Cambria Math" w:eastAsia="Calibri" w:hAnsi="Cambria Math" w:cs="Times New Roman"/>
                <w:i/>
                <w:lang w:val="en-US" w:eastAsia="ru-RU"/>
              </w:rPr>
              <w:t xml:space="preserve">, </w:t>
            </w:r>
          </w:p>
        </w:tc>
        <w:tc>
          <w:tcPr>
            <w:tcW w:w="703" w:type="dxa"/>
          </w:tcPr>
          <w:p w14:paraId="68FEDBC0" w14:textId="77777777" w:rsidR="00B57AAE" w:rsidRPr="00B57AAE" w:rsidRDefault="00B57AAE" w:rsidP="00B57AAE">
            <w:pPr>
              <w:pStyle w:val="af8"/>
              <w:numPr>
                <w:ilvl w:val="0"/>
                <w:numId w:val="6"/>
              </w:numPr>
              <w:tabs>
                <w:tab w:val="right" w:pos="9072"/>
              </w:tabs>
              <w:rPr>
                <w:rFonts w:eastAsia="Calibri" w:cs="Times New Roman"/>
              </w:rPr>
            </w:pPr>
          </w:p>
        </w:tc>
      </w:tr>
    </w:tbl>
    <w:p w14:paraId="16D4438B" w14:textId="682FDE72" w:rsidR="009050DA" w:rsidRDefault="009050DA" w:rsidP="00B57AAE">
      <w:pPr>
        <w:rPr>
          <w:lang w:eastAsia="ru-RU"/>
        </w:rPr>
      </w:pPr>
      <w:r w:rsidRPr="003C4E8B">
        <w:rPr>
          <w:i/>
          <w:iCs/>
          <w:lang w:eastAsia="ru-RU"/>
        </w:rPr>
        <w:t xml:space="preserve">где </w:t>
      </w:r>
      <w:proofErr w:type="spellStart"/>
      <w:r>
        <w:rPr>
          <w:i/>
          <w:iCs/>
          <w:lang w:eastAsia="ru-RU"/>
        </w:rPr>
        <w:t>debt</w:t>
      </w:r>
      <w:proofErr w:type="spellEnd"/>
      <w:r>
        <w:rPr>
          <w:i/>
          <w:iCs/>
          <w:lang w:eastAsia="ru-RU"/>
        </w:rPr>
        <w:t xml:space="preserve"> </w:t>
      </w:r>
      <w:r w:rsidRPr="003C4E8B">
        <w:rPr>
          <w:i/>
          <w:iCs/>
          <w:lang w:eastAsia="ru-RU"/>
        </w:rPr>
        <w:t>—</w:t>
      </w:r>
      <w:r w:rsidRPr="00B57AAE">
        <w:rPr>
          <w:i/>
          <w:iCs/>
          <w:lang w:eastAsia="ru-RU"/>
        </w:rPr>
        <w:t xml:space="preserve"> </w:t>
      </w:r>
      <w:r>
        <w:rPr>
          <w:i/>
          <w:iCs/>
          <w:lang w:eastAsia="ru-RU"/>
        </w:rPr>
        <w:t>(долг погашенный – долг выпущенный).</w:t>
      </w:r>
    </w:p>
    <w:p w14:paraId="5CE3E3A9" w14:textId="62D4BFF0" w:rsidR="003C4E8B" w:rsidRDefault="003C4E8B" w:rsidP="00B57AAE">
      <w:pPr>
        <w:rPr>
          <w:lang w:eastAsia="ru-RU"/>
        </w:rPr>
      </w:pPr>
      <w:r>
        <w:rPr>
          <w:lang w:eastAsia="ru-RU"/>
        </w:rPr>
        <w:t xml:space="preserve">Выбор метода расчета свободного денежного потока не влияет на правильность результатов оценки ценности компании. </w:t>
      </w:r>
      <w:r>
        <w:rPr>
          <w:lang w:val="en-US" w:eastAsia="ru-RU"/>
        </w:rPr>
        <w:t>FCF</w:t>
      </w:r>
      <w:r>
        <w:rPr>
          <w:lang w:eastAsia="ru-RU"/>
        </w:rPr>
        <w:t xml:space="preserve"> может быть вычислен любым методом</w:t>
      </w:r>
      <w:r w:rsidR="00B57AAE">
        <w:rPr>
          <w:lang w:eastAsia="ru-RU"/>
        </w:rPr>
        <w:t>, соответствующим выбранной цели оценки</w:t>
      </w:r>
      <w:r>
        <w:rPr>
          <w:lang w:eastAsia="ru-RU"/>
        </w:rPr>
        <w:t xml:space="preserve">. </w:t>
      </w:r>
    </w:p>
    <w:p w14:paraId="6FD9DDA5" w14:textId="46BA39CC" w:rsidR="0048635A" w:rsidRDefault="00B245D7" w:rsidP="006301E2">
      <w:pPr>
        <w:rPr>
          <w:lang w:eastAsia="ru-RU"/>
        </w:rPr>
      </w:pPr>
      <w:r>
        <w:rPr>
          <w:lang w:eastAsia="ru-RU"/>
        </w:rPr>
        <w:t xml:space="preserve">В-третьих, важным </w:t>
      </w:r>
      <w:r w:rsidR="0048635A">
        <w:rPr>
          <w:lang w:eastAsia="ru-RU"/>
        </w:rPr>
        <w:t xml:space="preserve">этапом является выбор правильной и корректной ставки дисконтирования. </w:t>
      </w:r>
      <w:r w:rsidR="004F2F8F">
        <w:rPr>
          <w:lang w:eastAsia="ru-RU"/>
        </w:rPr>
        <w:t>Существуют различные способы для расчета ставки — в следующем параграфе подробно разобраны основные методы вычисления и факторы, влияющие на выбор той или иной модели.</w:t>
      </w:r>
      <w:r w:rsidR="006A2A1D">
        <w:rPr>
          <w:lang w:eastAsia="ru-RU"/>
        </w:rPr>
        <w:t xml:space="preserve"> Важно отметить, что ставка дисконтирования должна полностью соответствовать выбранной модели денежного потока.</w:t>
      </w:r>
      <w:r w:rsidR="006A2A1D">
        <w:rPr>
          <w:rStyle w:val="afe"/>
          <w:lang w:eastAsia="ru-RU"/>
        </w:rPr>
        <w:footnoteReference w:id="54"/>
      </w:r>
      <w:r w:rsidR="006A2A1D">
        <w:rPr>
          <w:lang w:eastAsia="ru-RU"/>
        </w:rPr>
        <w:t xml:space="preserve"> </w:t>
      </w:r>
    </w:p>
    <w:p w14:paraId="222C4684" w14:textId="1FAF5EB8" w:rsidR="009050DA" w:rsidRDefault="004F2F8F" w:rsidP="009050DA">
      <w:pPr>
        <w:rPr>
          <w:lang w:eastAsia="ru-RU"/>
        </w:rPr>
      </w:pPr>
      <w:r>
        <w:rPr>
          <w:lang w:eastAsia="ru-RU"/>
        </w:rPr>
        <w:t>Заключительным</w:t>
      </w:r>
      <w:r w:rsidR="0048635A">
        <w:rPr>
          <w:lang w:eastAsia="ru-RU"/>
        </w:rPr>
        <w:t xml:space="preserve"> этапом является вычисление дисконтированной стоимости будущих денежных потоков в прогнозном периоде и стоимост</w:t>
      </w:r>
      <w:r w:rsidR="006755F7">
        <w:rPr>
          <w:lang w:eastAsia="ru-RU"/>
        </w:rPr>
        <w:t>и</w:t>
      </w:r>
      <w:r w:rsidR="0048635A">
        <w:rPr>
          <w:lang w:eastAsia="ru-RU"/>
        </w:rPr>
        <w:t xml:space="preserve"> предприятия в постпрогнозном. Сумма двух </w:t>
      </w:r>
      <w:r w:rsidR="009050DA">
        <w:rPr>
          <w:lang w:eastAsia="ru-RU"/>
        </w:rPr>
        <w:t xml:space="preserve">значений </w:t>
      </w:r>
      <w:r w:rsidR="0048635A">
        <w:rPr>
          <w:lang w:eastAsia="ru-RU"/>
        </w:rPr>
        <w:t xml:space="preserve">является ценностью всей компании. </w:t>
      </w:r>
      <w:r w:rsidR="009050DA">
        <w:rPr>
          <w:lang w:eastAsia="ru-RU"/>
        </w:rPr>
        <w:t>Общую формулу данного метода (</w:t>
      </w:r>
      <w:r w:rsidR="006C1BB6">
        <w:rPr>
          <w:lang w:eastAsia="ru-RU"/>
        </w:rPr>
        <w:t>9</w:t>
      </w:r>
      <w:r w:rsidR="009050DA">
        <w:rPr>
          <w:lang w:eastAsia="ru-RU"/>
        </w:rPr>
        <w:t xml:space="preserve">) можно представить следующим образом: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050DA" w14:paraId="429EC535" w14:textId="77777777" w:rsidTr="00771D7D">
        <w:tc>
          <w:tcPr>
            <w:tcW w:w="8642" w:type="dxa"/>
          </w:tcPr>
          <w:p w14:paraId="7BC1743D" w14:textId="2E78CB42" w:rsidR="009050DA" w:rsidRPr="009050DA" w:rsidRDefault="009050DA" w:rsidP="00771D7D">
            <w:pPr>
              <w:tabs>
                <w:tab w:val="right" w:pos="9072"/>
              </w:tabs>
              <w:ind w:firstLine="0"/>
              <w:jc w:val="center"/>
              <w:rPr>
                <w:rFonts w:ascii="Cambria Math" w:eastAsia="Calibri" w:hAnsi="Cambria Math" w:cs="Times New Roman"/>
                <w:i/>
              </w:rPr>
            </w:pPr>
            <m:oMath>
              <m:r>
                <w:rPr>
                  <w:rFonts w:ascii="Cambria Math" w:hAnsi="Cambria Math"/>
                  <w:lang w:eastAsia="ru-RU"/>
                </w:rPr>
                <m:t xml:space="preserve">V= </m:t>
              </m:r>
              <m:nary>
                <m:naryPr>
                  <m:chr m:val="∑"/>
                  <m:limLoc m:val="undOvr"/>
                  <m:ctrlPr>
                    <w:rPr>
                      <w:rFonts w:ascii="Cambria Math" w:hAnsi="Cambria Math"/>
                      <w:i/>
                      <w:lang w:eastAsia="ru-RU"/>
                    </w:rPr>
                  </m:ctrlPr>
                </m:naryPr>
                <m:sub>
                  <m:r>
                    <w:rPr>
                      <w:rFonts w:ascii="Cambria Math" w:hAnsi="Cambria Math"/>
                      <w:lang w:eastAsia="ru-RU"/>
                    </w:rPr>
                    <m:t>i=1</m:t>
                  </m:r>
                </m:sub>
                <m:sup>
                  <m:r>
                    <w:rPr>
                      <w:rFonts w:ascii="Cambria Math" w:hAnsi="Cambria Math"/>
                      <w:lang w:eastAsia="ru-RU"/>
                    </w:rPr>
                    <m:t>n</m:t>
                  </m:r>
                </m:sup>
                <m:e>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CF</m:t>
                          </m:r>
                        </m:e>
                        <m:sub>
                          <m:r>
                            <w:rPr>
                              <w:rFonts w:ascii="Cambria Math" w:hAnsi="Cambria Math"/>
                              <w:lang w:eastAsia="ru-RU"/>
                            </w:rPr>
                            <m:t>i</m:t>
                          </m:r>
                        </m:sub>
                      </m:sSub>
                    </m:num>
                    <m:den>
                      <m:sSup>
                        <m:sSupPr>
                          <m:ctrlPr>
                            <w:rPr>
                              <w:rFonts w:ascii="Cambria Math" w:hAnsi="Cambria Math"/>
                              <w:i/>
                              <w:lang w:eastAsia="ru-RU"/>
                            </w:rPr>
                          </m:ctrlPr>
                        </m:sSupPr>
                        <m:e>
                          <m:r>
                            <w:rPr>
                              <w:rFonts w:ascii="Cambria Math" w:hAnsi="Cambria Math"/>
                              <w:lang w:eastAsia="ru-RU"/>
                            </w:rPr>
                            <m:t>(1+Y)</m:t>
                          </m:r>
                        </m:e>
                        <m:sup>
                          <m:r>
                            <w:rPr>
                              <w:rFonts w:ascii="Cambria Math" w:hAnsi="Cambria Math"/>
                              <w:lang w:eastAsia="ru-RU"/>
                            </w:rPr>
                            <m:t>i</m:t>
                          </m:r>
                        </m:sup>
                      </m:sSup>
                    </m:den>
                  </m:f>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V</m:t>
                          </m:r>
                        </m:e>
                        <m:sub>
                          <m:r>
                            <w:rPr>
                              <w:rFonts w:ascii="Cambria Math" w:hAnsi="Cambria Math"/>
                              <w:lang w:eastAsia="ru-RU"/>
                            </w:rPr>
                            <m:t>term</m:t>
                          </m:r>
                        </m:sub>
                      </m:sSub>
                    </m:num>
                    <m:den>
                      <m:sSup>
                        <m:sSupPr>
                          <m:ctrlPr>
                            <w:rPr>
                              <w:rFonts w:ascii="Cambria Math" w:hAnsi="Cambria Math"/>
                              <w:i/>
                              <w:lang w:eastAsia="ru-RU"/>
                            </w:rPr>
                          </m:ctrlPr>
                        </m:sSupPr>
                        <m:e>
                          <m:r>
                            <w:rPr>
                              <w:rFonts w:ascii="Cambria Math" w:hAnsi="Cambria Math"/>
                              <w:lang w:eastAsia="ru-RU"/>
                            </w:rPr>
                            <m:t>(1+Y)</m:t>
                          </m:r>
                        </m:e>
                        <m:sup>
                          <m:r>
                            <w:rPr>
                              <w:rFonts w:ascii="Cambria Math" w:hAnsi="Cambria Math"/>
                              <w:lang w:eastAsia="ru-RU"/>
                            </w:rPr>
                            <m:t>n</m:t>
                          </m:r>
                        </m:sup>
                      </m:sSup>
                    </m:den>
                  </m:f>
                </m:e>
              </m:nary>
            </m:oMath>
            <w:r w:rsidRPr="009050DA">
              <w:rPr>
                <w:rFonts w:ascii="Cambria Math" w:eastAsia="Calibri" w:hAnsi="Cambria Math" w:cs="Times New Roman"/>
                <w:i/>
                <w:lang w:eastAsia="ru-RU"/>
              </w:rPr>
              <w:t xml:space="preserve">, </w:t>
            </w:r>
          </w:p>
        </w:tc>
        <w:tc>
          <w:tcPr>
            <w:tcW w:w="703" w:type="dxa"/>
          </w:tcPr>
          <w:p w14:paraId="47953854" w14:textId="77777777" w:rsidR="009050DA" w:rsidRPr="009050DA" w:rsidRDefault="009050DA" w:rsidP="009050DA">
            <w:pPr>
              <w:pStyle w:val="af8"/>
              <w:numPr>
                <w:ilvl w:val="0"/>
                <w:numId w:val="6"/>
              </w:numPr>
              <w:tabs>
                <w:tab w:val="right" w:pos="9072"/>
              </w:tabs>
              <w:rPr>
                <w:rFonts w:eastAsia="Calibri" w:cs="Times New Roman"/>
              </w:rPr>
            </w:pPr>
          </w:p>
        </w:tc>
      </w:tr>
    </w:tbl>
    <w:p w14:paraId="074F2A9E" w14:textId="77777777" w:rsidR="009050DA" w:rsidRPr="0006165C" w:rsidRDefault="009050DA" w:rsidP="009050DA">
      <w:pPr>
        <w:spacing w:line="240" w:lineRule="auto"/>
        <w:ind w:left="709" w:firstLine="0"/>
        <w:rPr>
          <w:i/>
          <w:iCs/>
          <w:lang w:eastAsia="ru-RU"/>
        </w:rPr>
      </w:pPr>
      <w:r w:rsidRPr="0006165C">
        <w:rPr>
          <w:i/>
          <w:iCs/>
          <w:lang w:eastAsia="ru-RU"/>
        </w:rPr>
        <w:t xml:space="preserve">где </w:t>
      </w:r>
      <w:r w:rsidRPr="0006165C">
        <w:rPr>
          <w:i/>
          <w:iCs/>
          <w:lang w:val="en-US" w:eastAsia="ru-RU"/>
        </w:rPr>
        <w:t>V</w:t>
      </w:r>
      <w:r w:rsidRPr="0006165C">
        <w:rPr>
          <w:i/>
          <w:iCs/>
          <w:lang w:eastAsia="ru-RU"/>
        </w:rPr>
        <w:t xml:space="preserve"> – текущая стоимость компании,</w:t>
      </w:r>
    </w:p>
    <w:p w14:paraId="0322AF77" w14:textId="77777777" w:rsidR="009050DA" w:rsidRPr="0006165C" w:rsidRDefault="009050DA" w:rsidP="009050DA">
      <w:pPr>
        <w:spacing w:line="240" w:lineRule="auto"/>
        <w:rPr>
          <w:i/>
          <w:iCs/>
          <w:lang w:eastAsia="ru-RU"/>
        </w:rPr>
      </w:pPr>
      <w:r w:rsidRPr="0006165C">
        <w:rPr>
          <w:i/>
          <w:iCs/>
          <w:lang w:val="en-US" w:eastAsia="ru-RU"/>
        </w:rPr>
        <w:t>CF</w:t>
      </w:r>
      <w:r w:rsidRPr="0006165C">
        <w:rPr>
          <w:i/>
          <w:iCs/>
          <w:lang w:eastAsia="ru-RU"/>
        </w:rPr>
        <w:t xml:space="preserve"> – денежный поток компании, </w:t>
      </w:r>
    </w:p>
    <w:p w14:paraId="64B22751" w14:textId="77777777" w:rsidR="009050DA" w:rsidRPr="0006165C" w:rsidRDefault="009050DA" w:rsidP="009050DA">
      <w:pPr>
        <w:spacing w:line="240" w:lineRule="auto"/>
        <w:rPr>
          <w:i/>
          <w:iCs/>
          <w:lang w:eastAsia="ru-RU"/>
        </w:rPr>
      </w:pPr>
      <w:r w:rsidRPr="0006165C">
        <w:rPr>
          <w:i/>
          <w:iCs/>
          <w:lang w:val="en-US" w:eastAsia="ru-RU"/>
        </w:rPr>
        <w:t>Y</w:t>
      </w:r>
      <w:r w:rsidRPr="0006165C">
        <w:rPr>
          <w:i/>
          <w:iCs/>
          <w:lang w:eastAsia="ru-RU"/>
        </w:rPr>
        <w:t xml:space="preserve"> – ставка дисконтирования, </w:t>
      </w:r>
    </w:p>
    <w:p w14:paraId="219B4C62" w14:textId="77777777" w:rsidR="009050DA" w:rsidRPr="0006165C" w:rsidRDefault="009050DA" w:rsidP="009050DA">
      <w:pPr>
        <w:spacing w:line="240" w:lineRule="auto"/>
        <w:rPr>
          <w:i/>
          <w:iCs/>
          <w:lang w:eastAsia="ru-RU"/>
        </w:rPr>
      </w:pPr>
      <w:proofErr w:type="spellStart"/>
      <w:r w:rsidRPr="0006165C">
        <w:rPr>
          <w:i/>
          <w:iCs/>
          <w:lang w:val="en-US" w:eastAsia="ru-RU"/>
        </w:rPr>
        <w:t>V</w:t>
      </w:r>
      <w:r w:rsidRPr="0006165C">
        <w:rPr>
          <w:i/>
          <w:iCs/>
          <w:vertAlign w:val="subscript"/>
          <w:lang w:val="en-US" w:eastAsia="ru-RU"/>
        </w:rPr>
        <w:t>term</w:t>
      </w:r>
      <w:proofErr w:type="spellEnd"/>
      <w:r w:rsidRPr="0006165C">
        <w:rPr>
          <w:i/>
          <w:iCs/>
          <w:vertAlign w:val="subscript"/>
          <w:lang w:eastAsia="ru-RU"/>
        </w:rPr>
        <w:t xml:space="preserve"> </w:t>
      </w:r>
      <w:r w:rsidRPr="0006165C">
        <w:rPr>
          <w:i/>
          <w:iCs/>
          <w:lang w:eastAsia="ru-RU"/>
        </w:rPr>
        <w:t xml:space="preserve">– ценность компании в постпрогнозный период, </w:t>
      </w:r>
    </w:p>
    <w:p w14:paraId="5DCE230B" w14:textId="77777777" w:rsidR="009050DA" w:rsidRPr="0006165C" w:rsidRDefault="009050DA" w:rsidP="009050DA">
      <w:pPr>
        <w:spacing w:line="240" w:lineRule="auto"/>
        <w:rPr>
          <w:i/>
          <w:iCs/>
          <w:lang w:eastAsia="ru-RU"/>
        </w:rPr>
      </w:pPr>
      <w:r w:rsidRPr="0006165C">
        <w:rPr>
          <w:i/>
          <w:iCs/>
          <w:lang w:val="en-US" w:eastAsia="ru-RU"/>
        </w:rPr>
        <w:t>n</w:t>
      </w:r>
      <w:r w:rsidRPr="0006165C">
        <w:rPr>
          <w:i/>
          <w:iCs/>
          <w:lang w:eastAsia="ru-RU"/>
        </w:rPr>
        <w:t xml:space="preserve"> – продолжительность прогнозного периода оценки, </w:t>
      </w:r>
    </w:p>
    <w:p w14:paraId="4D7379C0" w14:textId="388AA56B" w:rsidR="0048635A" w:rsidRPr="009050DA" w:rsidRDefault="009050DA" w:rsidP="009050DA">
      <w:pPr>
        <w:spacing w:line="240" w:lineRule="auto"/>
        <w:rPr>
          <w:i/>
          <w:iCs/>
          <w:lang w:eastAsia="ru-RU"/>
        </w:rPr>
      </w:pPr>
      <w:proofErr w:type="spellStart"/>
      <w:r w:rsidRPr="0006165C">
        <w:rPr>
          <w:i/>
          <w:iCs/>
          <w:lang w:val="en-US" w:eastAsia="ru-RU"/>
        </w:rPr>
        <w:t>i</w:t>
      </w:r>
      <w:proofErr w:type="spellEnd"/>
      <w:r w:rsidRPr="0006165C">
        <w:rPr>
          <w:i/>
          <w:iCs/>
          <w:lang w:eastAsia="ru-RU"/>
        </w:rPr>
        <w:t xml:space="preserve"> – порядковый номер периода оценки.</w:t>
      </w:r>
    </w:p>
    <w:p w14:paraId="28F8CB88" w14:textId="7C6D66F2" w:rsidR="006A0F44" w:rsidRDefault="00E06E28" w:rsidP="006A0F44">
      <w:pPr>
        <w:rPr>
          <w:lang w:eastAsia="ru-RU"/>
        </w:rPr>
      </w:pPr>
      <w:r w:rsidRPr="00E06E28">
        <w:rPr>
          <w:lang w:eastAsia="ru-RU"/>
        </w:rPr>
        <w:t>Полученное значение является результатом оценки ценности компании по методу дисконтирования денежных потоков.</w:t>
      </w:r>
      <w:r>
        <w:rPr>
          <w:lang w:eastAsia="ru-RU"/>
        </w:rPr>
        <w:t xml:space="preserve"> </w:t>
      </w:r>
    </w:p>
    <w:p w14:paraId="5819EA11" w14:textId="1B5C8BC2" w:rsidR="00775202" w:rsidRDefault="0069113E" w:rsidP="0071766E">
      <w:pPr>
        <w:pStyle w:val="2"/>
        <w:rPr>
          <w:lang w:eastAsia="ru-RU"/>
        </w:rPr>
      </w:pPr>
      <w:bookmarkStart w:id="16" w:name="_Toc41822236"/>
      <w:r>
        <w:rPr>
          <w:lang w:eastAsia="ru-RU"/>
        </w:rPr>
        <w:t xml:space="preserve">2.2. </w:t>
      </w:r>
      <w:r w:rsidR="00775202">
        <w:rPr>
          <w:lang w:eastAsia="ru-RU"/>
        </w:rPr>
        <w:t>Модели для расчета ставки дисконтирования</w:t>
      </w:r>
      <w:bookmarkEnd w:id="16"/>
      <w:r w:rsidR="00775202">
        <w:rPr>
          <w:lang w:eastAsia="ru-RU"/>
        </w:rPr>
        <w:t xml:space="preserve"> </w:t>
      </w:r>
    </w:p>
    <w:p w14:paraId="06C3D7BD" w14:textId="406886F2" w:rsidR="00CE778D" w:rsidRDefault="00E14501" w:rsidP="00CE778D">
      <w:pPr>
        <w:rPr>
          <w:lang w:eastAsia="ru-RU"/>
        </w:rPr>
      </w:pPr>
      <w:r>
        <w:rPr>
          <w:lang w:eastAsia="ru-RU"/>
        </w:rPr>
        <w:t xml:space="preserve">Ставка дисконтирования является процентной ставкой, </w:t>
      </w:r>
      <w:r w:rsidR="00351457">
        <w:rPr>
          <w:lang w:eastAsia="ru-RU"/>
        </w:rPr>
        <w:t xml:space="preserve">которая </w:t>
      </w:r>
      <w:r w:rsidR="00CE778D">
        <w:rPr>
          <w:lang w:eastAsia="ru-RU"/>
        </w:rPr>
        <w:t>корректирует прогнозируемые денежные потоки на величину риска: повышение неопределенности ведет к увеличению ставки. Однако данный показатель должен рассматриваться с точки зрения не менеджеров, а инвесторов, и акцентироваться на ожиданиях рынка о будущих перспектив</w:t>
      </w:r>
      <w:r w:rsidR="00B8329A">
        <w:rPr>
          <w:lang w:eastAsia="ru-RU"/>
        </w:rPr>
        <w:t>ах</w:t>
      </w:r>
      <w:r w:rsidR="00CE778D">
        <w:rPr>
          <w:lang w:eastAsia="ru-RU"/>
        </w:rPr>
        <w:t xml:space="preserve"> компании. </w:t>
      </w:r>
      <w:r w:rsidR="006A2A1D">
        <w:rPr>
          <w:lang w:eastAsia="ru-RU"/>
        </w:rPr>
        <w:t xml:space="preserve">При завышении ставки дисконта стоимость компании будет </w:t>
      </w:r>
      <w:r w:rsidR="006A2A1D">
        <w:rPr>
          <w:lang w:eastAsia="ru-RU"/>
        </w:rPr>
        <w:lastRenderedPageBreak/>
        <w:t xml:space="preserve">недооценена, и, наоборот, при снижении показателя ценность бизнеса будет </w:t>
      </w:r>
      <w:r w:rsidR="00CE778D">
        <w:rPr>
          <w:lang w:eastAsia="ru-RU"/>
        </w:rPr>
        <w:t xml:space="preserve">чрезмерно </w:t>
      </w:r>
      <w:r w:rsidR="006A2A1D">
        <w:rPr>
          <w:lang w:eastAsia="ru-RU"/>
        </w:rPr>
        <w:t>высокой и может служить риском принятия неэффективных управленческих решений.</w:t>
      </w:r>
      <w:r w:rsidR="006A2A1D">
        <w:rPr>
          <w:rStyle w:val="afe"/>
          <w:lang w:eastAsia="ru-RU"/>
        </w:rPr>
        <w:footnoteReference w:id="55"/>
      </w:r>
      <w:r>
        <w:rPr>
          <w:lang w:eastAsia="ru-RU"/>
        </w:rPr>
        <w:t xml:space="preserve"> Корректно выбранный показатель позволя</w:t>
      </w:r>
      <w:r w:rsidR="00B8329A">
        <w:rPr>
          <w:lang w:eastAsia="ru-RU"/>
        </w:rPr>
        <w:t>е</w:t>
      </w:r>
      <w:r>
        <w:rPr>
          <w:lang w:eastAsia="ru-RU"/>
        </w:rPr>
        <w:t xml:space="preserve">т более точно оценить стоимость компании, что особенно важно в модели </w:t>
      </w:r>
      <w:r>
        <w:rPr>
          <w:lang w:val="en-US" w:eastAsia="ru-RU"/>
        </w:rPr>
        <w:t>DCF</w:t>
      </w:r>
      <w:r>
        <w:rPr>
          <w:lang w:eastAsia="ru-RU"/>
        </w:rPr>
        <w:t xml:space="preserve">, так как в данном способе риск учитывается через ставку дисконтирования. </w:t>
      </w:r>
    </w:p>
    <w:p w14:paraId="36DBB800" w14:textId="0149B005" w:rsidR="00492E28" w:rsidRDefault="008C5780" w:rsidP="008F1CFE">
      <w:pPr>
        <w:rPr>
          <w:lang w:eastAsia="ru-RU"/>
        </w:rPr>
      </w:pPr>
      <w:r>
        <w:rPr>
          <w:lang w:eastAsia="ru-RU"/>
        </w:rPr>
        <w:t>Величина ставки зависят от многих факторов: от структуры компании,</w:t>
      </w:r>
      <w:r w:rsidR="00351457">
        <w:rPr>
          <w:lang w:eastAsia="ru-RU"/>
        </w:rPr>
        <w:t xml:space="preserve"> </w:t>
      </w:r>
      <w:r>
        <w:rPr>
          <w:lang w:eastAsia="ru-RU"/>
        </w:rPr>
        <w:t>инновационности проекта</w:t>
      </w:r>
      <w:r w:rsidR="00351457">
        <w:rPr>
          <w:lang w:eastAsia="ru-RU"/>
        </w:rPr>
        <w:t xml:space="preserve">, </w:t>
      </w:r>
      <w:r>
        <w:rPr>
          <w:lang w:eastAsia="ru-RU"/>
        </w:rPr>
        <w:t>экономических, географических и других рисков. Данные условия можно разделить на две группы: внутренние, зависящие от хода развития</w:t>
      </w:r>
      <w:r w:rsidR="00492E28">
        <w:rPr>
          <w:lang w:eastAsia="ru-RU"/>
        </w:rPr>
        <w:t xml:space="preserve"> компании</w:t>
      </w:r>
      <w:r>
        <w:rPr>
          <w:lang w:eastAsia="ru-RU"/>
        </w:rPr>
        <w:t xml:space="preserve">, и внешние, не связанные с реализацией </w:t>
      </w:r>
      <w:r w:rsidR="00492E28">
        <w:rPr>
          <w:lang w:eastAsia="ru-RU"/>
        </w:rPr>
        <w:t>проект</w:t>
      </w:r>
      <w:r w:rsidR="00B8329A">
        <w:rPr>
          <w:lang w:eastAsia="ru-RU"/>
        </w:rPr>
        <w:t>ов</w:t>
      </w:r>
      <w:r w:rsidR="00492E28">
        <w:rPr>
          <w:lang w:eastAsia="ru-RU"/>
        </w:rPr>
        <w:t>.</w:t>
      </w:r>
      <w:r w:rsidR="00492E28">
        <w:rPr>
          <w:rStyle w:val="afe"/>
          <w:lang w:eastAsia="ru-RU"/>
        </w:rPr>
        <w:footnoteReference w:id="56"/>
      </w:r>
      <w:r w:rsidR="00492E28">
        <w:rPr>
          <w:lang w:eastAsia="ru-RU"/>
        </w:rPr>
        <w:t xml:space="preserve"> Приведенные факторы и в том числе цели проведения оценки и специфики компании влияют на выбор подходящей ставки дисконтирования. </w:t>
      </w:r>
      <w:r w:rsidR="00351457">
        <w:rPr>
          <w:lang w:eastAsia="ru-RU"/>
        </w:rPr>
        <w:t xml:space="preserve">Для расчета ставки дисконтирования </w:t>
      </w:r>
      <w:r w:rsidR="00492E28">
        <w:rPr>
          <w:lang w:eastAsia="ru-RU"/>
        </w:rPr>
        <w:t>применяются следующие</w:t>
      </w:r>
      <w:r w:rsidR="00351457">
        <w:rPr>
          <w:lang w:eastAsia="ru-RU"/>
        </w:rPr>
        <w:t xml:space="preserve"> модели</w:t>
      </w:r>
      <w:r w:rsidR="00492E28">
        <w:rPr>
          <w:lang w:eastAsia="ru-RU"/>
        </w:rPr>
        <w:t>:</w:t>
      </w:r>
      <w:r w:rsidR="00351457">
        <w:rPr>
          <w:lang w:eastAsia="ru-RU"/>
        </w:rPr>
        <w:t xml:space="preserve"> </w:t>
      </w:r>
      <w:r w:rsidR="00492E28">
        <w:rPr>
          <w:lang w:val="en-US" w:eastAsia="ru-RU"/>
        </w:rPr>
        <w:t>CAPM</w:t>
      </w:r>
      <w:r w:rsidR="00492E28" w:rsidRPr="00492E28">
        <w:rPr>
          <w:lang w:eastAsia="ru-RU"/>
        </w:rPr>
        <w:t>,</w:t>
      </w:r>
      <w:r w:rsidR="00492E28">
        <w:rPr>
          <w:lang w:eastAsia="ru-RU"/>
        </w:rPr>
        <w:t xml:space="preserve"> </w:t>
      </w:r>
      <w:r w:rsidR="00492E28">
        <w:rPr>
          <w:lang w:val="en-US" w:eastAsia="ru-RU"/>
        </w:rPr>
        <w:t>WACC</w:t>
      </w:r>
      <w:r w:rsidR="00492E28" w:rsidRPr="00492E28">
        <w:rPr>
          <w:lang w:eastAsia="ru-RU"/>
        </w:rPr>
        <w:t xml:space="preserve">, </w:t>
      </w:r>
      <w:r w:rsidR="00492E28">
        <w:rPr>
          <w:lang w:eastAsia="ru-RU"/>
        </w:rPr>
        <w:t>метод кумулятивного построения и рыночной экстракции.</w:t>
      </w:r>
      <w:r w:rsidR="00F07D1A">
        <w:rPr>
          <w:lang w:eastAsia="ru-RU"/>
        </w:rPr>
        <w:t xml:space="preserve"> </w:t>
      </w:r>
    </w:p>
    <w:p w14:paraId="4F658C0D" w14:textId="1E5EDBDB" w:rsidR="008B6BFA" w:rsidRDefault="0021775C" w:rsidP="00025F91">
      <w:pPr>
        <w:rPr>
          <w:lang w:eastAsia="ru-RU"/>
        </w:rPr>
      </w:pPr>
      <w:r>
        <w:rPr>
          <w:lang w:eastAsia="ru-RU"/>
        </w:rPr>
        <w:t xml:space="preserve">Метод </w:t>
      </w:r>
      <w:r>
        <w:rPr>
          <w:lang w:val="en-US" w:eastAsia="ru-RU"/>
        </w:rPr>
        <w:t>CAPM</w:t>
      </w:r>
      <w:r>
        <w:rPr>
          <w:lang w:eastAsia="ru-RU"/>
        </w:rPr>
        <w:t xml:space="preserve"> предполагает анализ информации с фондового рынка, так как </w:t>
      </w:r>
      <w:r w:rsidR="00924C9C">
        <w:rPr>
          <w:lang w:eastAsia="ru-RU"/>
        </w:rPr>
        <w:t xml:space="preserve">имеет самое сильное влияние внешних, рыночных факторов. Расчеты по данной модели основываются на двух рисках: специфическом и рыночным. </w:t>
      </w:r>
      <w:r w:rsidR="008B6BFA">
        <w:rPr>
          <w:lang w:eastAsia="ru-RU"/>
        </w:rPr>
        <w:t xml:space="preserve">Формула расчета ставки дисконтирования по модели </w:t>
      </w:r>
      <w:r w:rsidR="008B6BFA">
        <w:rPr>
          <w:lang w:val="en-US" w:eastAsia="ru-RU"/>
        </w:rPr>
        <w:t>CAPM</w:t>
      </w:r>
      <w:r w:rsidR="008B6BFA">
        <w:rPr>
          <w:lang w:eastAsia="ru-RU"/>
        </w:rPr>
        <w:t xml:space="preserve"> можно представить следующим образом: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8B6BFA" w14:paraId="53B1B8F8" w14:textId="77777777" w:rsidTr="00932F89">
        <w:tc>
          <w:tcPr>
            <w:tcW w:w="8642" w:type="dxa"/>
          </w:tcPr>
          <w:p w14:paraId="672DCD62" w14:textId="3C6F0A0C" w:rsidR="008B6BFA" w:rsidRPr="009050DA" w:rsidRDefault="008B6BFA" w:rsidP="00932F89">
            <w:pPr>
              <w:tabs>
                <w:tab w:val="right" w:pos="9072"/>
              </w:tabs>
              <w:ind w:firstLine="0"/>
              <w:jc w:val="center"/>
              <w:rPr>
                <w:rFonts w:ascii="Cambria Math" w:eastAsia="Calibri" w:hAnsi="Cambria Math" w:cs="Times New Roman"/>
                <w:i/>
              </w:rPr>
            </w:pPr>
            <m:oMath>
              <m:r>
                <w:rPr>
                  <w:rFonts w:ascii="Cambria Math" w:hAnsi="Cambria Math"/>
                  <w:lang w:eastAsia="ru-RU"/>
                </w:rPr>
                <m:t xml:space="preserve">R= </m:t>
              </m:r>
              <m:sSub>
                <m:sSubPr>
                  <m:ctrlPr>
                    <w:rPr>
                      <w:rFonts w:ascii="Cambria Math" w:hAnsi="Cambria Math"/>
                      <w:i/>
                      <w:lang w:eastAsia="ru-RU"/>
                    </w:rPr>
                  </m:ctrlPr>
                </m:sSubPr>
                <m:e>
                  <m:r>
                    <w:rPr>
                      <w:rFonts w:ascii="Cambria Math" w:hAnsi="Cambria Math"/>
                      <w:lang w:eastAsia="ru-RU"/>
                    </w:rPr>
                    <m:t>R</m:t>
                  </m:r>
                </m:e>
                <m:sub>
                  <m:r>
                    <w:rPr>
                      <w:rFonts w:ascii="Cambria Math" w:hAnsi="Cambria Math"/>
                      <w:lang w:eastAsia="ru-RU"/>
                    </w:rPr>
                    <m:t>f</m:t>
                  </m:r>
                </m:sub>
              </m:sSub>
              <m:r>
                <w:rPr>
                  <w:rFonts w:ascii="Cambria Math" w:hAnsi="Cambria Math"/>
                  <w:lang w:eastAsia="ru-RU"/>
                </w:rPr>
                <m:t>+β*(</m:t>
              </m:r>
              <m:sSub>
                <m:sSubPr>
                  <m:ctrlPr>
                    <w:rPr>
                      <w:rFonts w:ascii="Cambria Math" w:hAnsi="Cambria Math"/>
                      <w:i/>
                      <w:lang w:eastAsia="ru-RU"/>
                    </w:rPr>
                  </m:ctrlPr>
                </m:sSubPr>
                <m:e>
                  <m:r>
                    <w:rPr>
                      <w:rFonts w:ascii="Cambria Math" w:hAnsi="Cambria Math"/>
                      <w:lang w:eastAsia="ru-RU"/>
                    </w:rPr>
                    <m:t>R</m:t>
                  </m:r>
                </m:e>
                <m:sub>
                  <m:r>
                    <w:rPr>
                      <w:rFonts w:ascii="Cambria Math" w:hAnsi="Cambria Math"/>
                      <w:lang w:eastAsia="ru-RU"/>
                    </w:rPr>
                    <m:t>m</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R</m:t>
                  </m:r>
                </m:e>
                <m:sub>
                  <m:r>
                    <w:rPr>
                      <w:rFonts w:ascii="Cambria Math" w:hAnsi="Cambria Math"/>
                      <w:lang w:eastAsia="ru-RU"/>
                    </w:rPr>
                    <m:t>f</m:t>
                  </m:r>
                </m:sub>
              </m:sSub>
              <m:r>
                <w:rPr>
                  <w:rFonts w:ascii="Cambria Math" w:hAnsi="Cambria Math"/>
                  <w:lang w:eastAsia="ru-RU"/>
                </w:rPr>
                <m:t>)</m:t>
              </m:r>
            </m:oMath>
            <w:r w:rsidRPr="009050DA">
              <w:rPr>
                <w:rFonts w:ascii="Cambria Math" w:eastAsia="Calibri" w:hAnsi="Cambria Math" w:cs="Times New Roman"/>
                <w:i/>
                <w:lang w:eastAsia="ru-RU"/>
              </w:rPr>
              <w:t xml:space="preserve">, </w:t>
            </w:r>
          </w:p>
        </w:tc>
        <w:tc>
          <w:tcPr>
            <w:tcW w:w="703" w:type="dxa"/>
          </w:tcPr>
          <w:p w14:paraId="632D15FF" w14:textId="77777777" w:rsidR="008B6BFA" w:rsidRPr="008B6BFA" w:rsidRDefault="008B6BFA" w:rsidP="008B6BFA">
            <w:pPr>
              <w:pStyle w:val="af8"/>
              <w:numPr>
                <w:ilvl w:val="0"/>
                <w:numId w:val="6"/>
              </w:numPr>
              <w:tabs>
                <w:tab w:val="right" w:pos="9072"/>
              </w:tabs>
              <w:rPr>
                <w:rFonts w:eastAsia="Calibri" w:cs="Times New Roman"/>
              </w:rPr>
            </w:pPr>
          </w:p>
        </w:tc>
      </w:tr>
    </w:tbl>
    <w:p w14:paraId="7D30BC7A" w14:textId="7F24A019" w:rsidR="008B6BFA" w:rsidRPr="008B6BFA" w:rsidRDefault="008B6BFA" w:rsidP="008B6BFA">
      <w:pPr>
        <w:spacing w:line="240" w:lineRule="auto"/>
        <w:ind w:left="709" w:firstLine="0"/>
        <w:rPr>
          <w:rFonts w:eastAsiaTheme="minorEastAsia"/>
          <w:i/>
          <w:lang w:eastAsia="ru-RU"/>
        </w:rPr>
      </w:pPr>
      <w:r>
        <w:rPr>
          <w:rFonts w:eastAsiaTheme="minorEastAsia"/>
          <w:i/>
          <w:lang w:eastAsia="ru-RU"/>
        </w:rPr>
        <w:t xml:space="preserve">где </w:t>
      </w:r>
      <w:r>
        <w:rPr>
          <w:rFonts w:eastAsiaTheme="minorEastAsia"/>
          <w:i/>
          <w:lang w:val="en-US" w:eastAsia="ru-RU"/>
        </w:rPr>
        <w:t>R</w:t>
      </w:r>
      <w:r>
        <w:rPr>
          <w:rFonts w:eastAsiaTheme="minorEastAsia"/>
          <w:i/>
          <w:lang w:eastAsia="ru-RU"/>
        </w:rPr>
        <w:t xml:space="preserve"> — ставка дисконтирования, </w:t>
      </w:r>
    </w:p>
    <w:p w14:paraId="7E89A230" w14:textId="48C1351F" w:rsidR="008B6BFA" w:rsidRPr="008B6BFA" w:rsidRDefault="008B6BFA" w:rsidP="008B6BFA">
      <w:pPr>
        <w:spacing w:line="240" w:lineRule="auto"/>
        <w:rPr>
          <w:rFonts w:eastAsiaTheme="minorEastAsia"/>
          <w:i/>
          <w:lang w:eastAsia="ru-RU"/>
        </w:rPr>
      </w:pPr>
      <w:r>
        <w:rPr>
          <w:rFonts w:eastAsiaTheme="minorEastAsia"/>
          <w:i/>
          <w:lang w:val="en-US" w:eastAsia="ru-RU"/>
        </w:rPr>
        <w:t>Rf</w:t>
      </w:r>
      <w:r>
        <w:rPr>
          <w:rFonts w:eastAsiaTheme="minorEastAsia"/>
          <w:i/>
          <w:lang w:eastAsia="ru-RU"/>
        </w:rPr>
        <w:t xml:space="preserve"> — безрисковая ставка доходности, </w:t>
      </w:r>
    </w:p>
    <w:p w14:paraId="4DA0997E" w14:textId="0BA4F552" w:rsidR="008B6BFA" w:rsidRPr="008B6BFA" w:rsidRDefault="008B6BFA" w:rsidP="008B6BFA">
      <w:pPr>
        <w:spacing w:line="240" w:lineRule="auto"/>
        <w:rPr>
          <w:rFonts w:eastAsiaTheme="minorEastAsia"/>
          <w:i/>
          <w:lang w:eastAsia="ru-RU"/>
        </w:rPr>
      </w:pPr>
      <w:r>
        <w:rPr>
          <w:rFonts w:eastAsiaTheme="minorEastAsia"/>
          <w:i/>
          <w:lang w:val="en-US" w:eastAsia="ru-RU"/>
        </w:rPr>
        <w:t>Rm</w:t>
      </w:r>
      <w:r>
        <w:rPr>
          <w:rFonts w:eastAsiaTheme="minorEastAsia"/>
          <w:i/>
          <w:lang w:eastAsia="ru-RU"/>
        </w:rPr>
        <w:t xml:space="preserve"> — доходность рынка, </w:t>
      </w:r>
    </w:p>
    <w:p w14:paraId="4183BDF2" w14:textId="59F3F208" w:rsidR="008B6BFA" w:rsidRDefault="008B6BFA" w:rsidP="008B6BFA">
      <w:pPr>
        <w:spacing w:line="240" w:lineRule="auto"/>
        <w:rPr>
          <w:rFonts w:eastAsiaTheme="minorEastAsia"/>
          <w:i/>
          <w:lang w:eastAsia="ru-RU"/>
        </w:rPr>
      </w:pPr>
      <w:r>
        <w:rPr>
          <w:rFonts w:eastAsiaTheme="minorEastAsia"/>
          <w:i/>
          <w:lang w:val="en-US" w:eastAsia="ru-RU"/>
        </w:rPr>
        <w:sym w:font="Symbol" w:char="F062"/>
      </w:r>
      <w:r>
        <w:rPr>
          <w:rFonts w:eastAsiaTheme="minorEastAsia"/>
          <w:i/>
          <w:lang w:eastAsia="ru-RU"/>
        </w:rPr>
        <w:t xml:space="preserve"> — </w:t>
      </w:r>
      <w:proofErr w:type="spellStart"/>
      <w:r>
        <w:rPr>
          <w:rFonts w:eastAsiaTheme="minorEastAsia"/>
          <w:i/>
          <w:lang w:eastAsia="ru-RU"/>
        </w:rPr>
        <w:t>бетта</w:t>
      </w:r>
      <w:proofErr w:type="spellEnd"/>
      <w:r>
        <w:rPr>
          <w:rFonts w:eastAsiaTheme="minorEastAsia"/>
          <w:i/>
          <w:lang w:eastAsia="ru-RU"/>
        </w:rPr>
        <w:t xml:space="preserve">-коэффициент. </w:t>
      </w:r>
    </w:p>
    <w:p w14:paraId="7E990222" w14:textId="7E3086BA" w:rsidR="008B6BFA" w:rsidRDefault="008B6BFA" w:rsidP="00025F91">
      <w:pPr>
        <w:rPr>
          <w:lang w:eastAsia="ru-RU"/>
        </w:rPr>
      </w:pPr>
      <w:r>
        <w:rPr>
          <w:lang w:eastAsia="ru-RU"/>
        </w:rPr>
        <w:t xml:space="preserve">В данном расчете </w:t>
      </w:r>
      <w:proofErr w:type="spellStart"/>
      <w:r>
        <w:rPr>
          <w:lang w:eastAsia="ru-RU"/>
        </w:rPr>
        <w:t>бетта</w:t>
      </w:r>
      <w:proofErr w:type="spellEnd"/>
      <w:r>
        <w:rPr>
          <w:lang w:eastAsia="ru-RU"/>
        </w:rPr>
        <w:t xml:space="preserve">-коэффициент </w:t>
      </w:r>
      <w:r w:rsidR="00B8329A">
        <w:rPr>
          <w:lang w:eastAsia="ru-RU"/>
        </w:rPr>
        <w:t xml:space="preserve">отражает </w:t>
      </w:r>
      <w:r>
        <w:rPr>
          <w:lang w:eastAsia="ru-RU"/>
        </w:rPr>
        <w:t>волатильность инвестиционного инструмента, поэтому требуется достаточная активность компании на рынке и статистика в течение 5 лет. Данный показатель можно оценить через</w:t>
      </w:r>
      <w:r w:rsidR="00025F91">
        <w:rPr>
          <w:lang w:eastAsia="ru-RU"/>
        </w:rPr>
        <w:t xml:space="preserve"> модель восходящего </w:t>
      </w:r>
      <w:proofErr w:type="spellStart"/>
      <w:r w:rsidR="00025F91">
        <w:rPr>
          <w:lang w:eastAsia="ru-RU"/>
        </w:rPr>
        <w:t>бетта</w:t>
      </w:r>
      <w:proofErr w:type="spellEnd"/>
      <w:r w:rsidR="00025F91">
        <w:rPr>
          <w:lang w:eastAsia="ru-RU"/>
        </w:rPr>
        <w:t>, то есть через компании-аналоги, или на основе регрессионного анализа доходности. Величина безрисковой ставки характеризуется государственными облигациями за 5</w:t>
      </w:r>
      <w:r w:rsidR="00A82137">
        <w:rPr>
          <w:lang w:eastAsia="ru-RU"/>
        </w:rPr>
        <w:t xml:space="preserve"> </w:t>
      </w:r>
      <w:r w:rsidR="00025F91">
        <w:rPr>
          <w:lang w:eastAsia="ru-RU"/>
        </w:rPr>
        <w:t xml:space="preserve">(10) лет. </w:t>
      </w:r>
    </w:p>
    <w:p w14:paraId="099D5AA0" w14:textId="660CBEB0" w:rsidR="00025F91" w:rsidRPr="00CF4740" w:rsidRDefault="00025F91" w:rsidP="00025F91">
      <w:pPr>
        <w:rPr>
          <w:lang w:eastAsia="ru-RU"/>
        </w:rPr>
      </w:pPr>
      <w:r>
        <w:rPr>
          <w:lang w:eastAsia="ru-RU"/>
        </w:rPr>
        <w:t xml:space="preserve">Можно выделить следующие </w:t>
      </w:r>
      <w:r w:rsidR="00A95F78">
        <w:rPr>
          <w:lang w:eastAsia="ru-RU"/>
        </w:rPr>
        <w:t xml:space="preserve">примеры </w:t>
      </w:r>
      <w:r>
        <w:rPr>
          <w:lang w:eastAsia="ru-RU"/>
        </w:rPr>
        <w:t>цел</w:t>
      </w:r>
      <w:r w:rsidR="00A95F78">
        <w:rPr>
          <w:lang w:eastAsia="ru-RU"/>
        </w:rPr>
        <w:t>ей</w:t>
      </w:r>
      <w:r>
        <w:rPr>
          <w:lang w:eastAsia="ru-RU"/>
        </w:rPr>
        <w:t xml:space="preserve"> оценки, при которых применение метода </w:t>
      </w:r>
      <w:r>
        <w:rPr>
          <w:lang w:val="en-US" w:eastAsia="ru-RU"/>
        </w:rPr>
        <w:t>CAPM</w:t>
      </w:r>
      <w:r>
        <w:rPr>
          <w:lang w:eastAsia="ru-RU"/>
        </w:rPr>
        <w:t xml:space="preserve"> будет обоснованным и подходящим: выпуск акций, проверка котировок ценных бумаг, обоснование проведенных сделок купли-продаже на рынке.</w:t>
      </w:r>
      <w:r>
        <w:rPr>
          <w:rStyle w:val="afe"/>
          <w:lang w:eastAsia="ru-RU"/>
        </w:rPr>
        <w:footnoteReference w:id="57"/>
      </w:r>
      <w:r>
        <w:rPr>
          <w:lang w:eastAsia="ru-RU"/>
        </w:rPr>
        <w:t xml:space="preserve"> Данные цели непосредственно являются подтверждение</w:t>
      </w:r>
      <w:r w:rsidR="00CF4740">
        <w:rPr>
          <w:lang w:eastAsia="ru-RU"/>
        </w:rPr>
        <w:t>м</w:t>
      </w:r>
      <w:r>
        <w:rPr>
          <w:lang w:eastAsia="ru-RU"/>
        </w:rPr>
        <w:t xml:space="preserve"> активной деятельности компании на </w:t>
      </w:r>
      <w:r>
        <w:rPr>
          <w:lang w:eastAsia="ru-RU"/>
        </w:rPr>
        <w:lastRenderedPageBreak/>
        <w:t xml:space="preserve">фондовом рынке. </w:t>
      </w:r>
      <w:r w:rsidR="00CF4740">
        <w:rPr>
          <w:lang w:eastAsia="ru-RU"/>
        </w:rPr>
        <w:t xml:space="preserve">Метод </w:t>
      </w:r>
      <w:r w:rsidR="00CF4740">
        <w:rPr>
          <w:lang w:val="en-US" w:eastAsia="ru-RU"/>
        </w:rPr>
        <w:t>CAPM</w:t>
      </w:r>
      <w:r w:rsidR="00CF4740" w:rsidRPr="00CF4740">
        <w:rPr>
          <w:lang w:eastAsia="ru-RU"/>
        </w:rPr>
        <w:t xml:space="preserve"> </w:t>
      </w:r>
      <w:r w:rsidR="00CF4740">
        <w:rPr>
          <w:lang w:eastAsia="ru-RU"/>
        </w:rPr>
        <w:t xml:space="preserve">также используется для определения стоимости собственного капитала компании. </w:t>
      </w:r>
    </w:p>
    <w:p w14:paraId="452FD0A3" w14:textId="17C2F6CF" w:rsidR="00CB11A2" w:rsidRDefault="00CB11A2" w:rsidP="00CB11A2">
      <w:pPr>
        <w:rPr>
          <w:lang w:eastAsia="ru-RU"/>
        </w:rPr>
      </w:pPr>
      <w:r>
        <w:rPr>
          <w:lang w:eastAsia="ru-RU"/>
        </w:rPr>
        <w:t>Однако в</w:t>
      </w:r>
      <w:r w:rsidR="00025F91">
        <w:rPr>
          <w:lang w:eastAsia="ru-RU"/>
        </w:rPr>
        <w:t xml:space="preserve"> силу условия рыночных факторов возникает ограничение на применение методики только открытыми акционерными обществами, которые ведут активную деятельность на рынке, так как при расчете необходимо большое количество статистических данных.</w:t>
      </w:r>
      <w:r w:rsidR="00A82137">
        <w:rPr>
          <w:lang w:eastAsia="ru-RU"/>
        </w:rPr>
        <w:t xml:space="preserve"> </w:t>
      </w:r>
      <w:r w:rsidR="00025F91">
        <w:rPr>
          <w:lang w:eastAsia="ru-RU"/>
        </w:rPr>
        <w:t>При несоблюдении данных ограничений результат дисконтирования будет искажен.</w:t>
      </w:r>
    </w:p>
    <w:p w14:paraId="0F225103" w14:textId="195A38E7" w:rsidR="00C209CB" w:rsidRDefault="00736538" w:rsidP="00CB11A2">
      <w:pPr>
        <w:rPr>
          <w:lang w:eastAsia="ru-RU"/>
        </w:rPr>
      </w:pPr>
      <w:r>
        <w:rPr>
          <w:lang w:eastAsia="ru-RU"/>
        </w:rPr>
        <w:t xml:space="preserve">Для расчета ставки дисконтирования используется </w:t>
      </w:r>
      <w:r w:rsidR="00C209CB">
        <w:rPr>
          <w:lang w:eastAsia="ru-RU"/>
        </w:rPr>
        <w:t>метод средневзвешенной цены капитала (</w:t>
      </w:r>
      <w:r w:rsidR="00C209CB">
        <w:rPr>
          <w:lang w:val="en-US" w:eastAsia="ru-RU"/>
        </w:rPr>
        <w:t>WACC</w:t>
      </w:r>
      <w:r w:rsidR="00C209CB" w:rsidRPr="00C209CB">
        <w:rPr>
          <w:lang w:eastAsia="ru-RU"/>
        </w:rPr>
        <w:t>)</w:t>
      </w:r>
      <w:r w:rsidR="00C209CB">
        <w:rPr>
          <w:lang w:eastAsia="ru-RU"/>
        </w:rPr>
        <w:t xml:space="preserve">, который строится на соотношении собственного (акционерного) и заемного капитала. Данная модель считается одной из самых универсальных и часто применяется в оценки ценности компании. Однако важно отметить, что модель </w:t>
      </w:r>
      <w:r w:rsidR="00C209CB">
        <w:rPr>
          <w:lang w:val="en-US" w:eastAsia="ru-RU"/>
        </w:rPr>
        <w:t>WACC</w:t>
      </w:r>
      <w:r w:rsidR="00C209CB">
        <w:rPr>
          <w:lang w:eastAsia="ru-RU"/>
        </w:rPr>
        <w:t xml:space="preserve">, как и </w:t>
      </w:r>
      <w:r w:rsidR="00C209CB">
        <w:rPr>
          <w:lang w:val="en-US" w:eastAsia="ru-RU"/>
        </w:rPr>
        <w:t>CAPM</w:t>
      </w:r>
      <w:r w:rsidR="00C209CB">
        <w:rPr>
          <w:lang w:eastAsia="ru-RU"/>
        </w:rPr>
        <w:t>, обладает ограничением на применение только для открытых акционерных компаний.</w:t>
      </w:r>
      <w:r w:rsidR="00D074CF">
        <w:rPr>
          <w:rStyle w:val="afe"/>
          <w:lang w:eastAsia="ru-RU"/>
        </w:rPr>
        <w:footnoteReference w:id="58"/>
      </w:r>
      <w:r w:rsidR="00A82137">
        <w:rPr>
          <w:lang w:eastAsia="ru-RU"/>
        </w:rPr>
        <w:t xml:space="preserve"> </w:t>
      </w:r>
      <w:r w:rsidR="001414EE">
        <w:rPr>
          <w:lang w:eastAsia="ru-RU"/>
        </w:rPr>
        <w:t>В</w:t>
      </w:r>
      <w:r w:rsidR="00C209CB">
        <w:rPr>
          <w:lang w:eastAsia="ru-RU"/>
        </w:rPr>
        <w:t xml:space="preserve"> отличии от первой рассмотренной модели, средневзвешенная цена капитала учитывает влияние налоговых выплат и корректирует заемные средства на «налоговой щит», что отражается в формуле: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C209CB" w14:paraId="79D5EEF4" w14:textId="77777777" w:rsidTr="00932F89">
        <w:tc>
          <w:tcPr>
            <w:tcW w:w="8642" w:type="dxa"/>
          </w:tcPr>
          <w:p w14:paraId="7FFCC692" w14:textId="051D998D" w:rsidR="00C209CB" w:rsidRPr="009050DA" w:rsidRDefault="00C209CB" w:rsidP="00932F89">
            <w:pPr>
              <w:tabs>
                <w:tab w:val="right" w:pos="9072"/>
              </w:tabs>
              <w:ind w:firstLine="0"/>
              <w:jc w:val="center"/>
              <w:rPr>
                <w:rFonts w:ascii="Cambria Math" w:eastAsia="Calibri" w:hAnsi="Cambria Math" w:cs="Times New Roman"/>
                <w:i/>
              </w:rPr>
            </w:pPr>
            <m:oMath>
              <m:r>
                <w:rPr>
                  <w:rFonts w:ascii="Cambria Math" w:hAnsi="Cambria Math"/>
                  <w:lang w:val="en-US" w:eastAsia="ru-RU"/>
                </w:rPr>
                <m:t>WACC</m:t>
              </m:r>
              <m:r>
                <w:rPr>
                  <w:rFonts w:ascii="Cambria Math" w:hAnsi="Cambria Math"/>
                  <w:lang w:eastAsia="ru-RU"/>
                </w:rPr>
                <m:t xml:space="preserve">= </m:t>
              </m:r>
              <m:sSub>
                <m:sSubPr>
                  <m:ctrlPr>
                    <w:rPr>
                      <w:rFonts w:ascii="Cambria Math" w:hAnsi="Cambria Math"/>
                      <w:i/>
                      <w:lang w:eastAsia="ru-RU"/>
                    </w:rPr>
                  </m:ctrlPr>
                </m:sSubPr>
                <m:e>
                  <m:r>
                    <w:rPr>
                      <w:rFonts w:ascii="Cambria Math" w:hAnsi="Cambria Math"/>
                      <w:lang w:eastAsia="ru-RU"/>
                    </w:rPr>
                    <m:t>W</m:t>
                  </m:r>
                </m:e>
                <m:sub>
                  <m:r>
                    <w:rPr>
                      <w:rFonts w:ascii="Cambria Math" w:hAnsi="Cambria Math"/>
                      <w:lang w:eastAsia="ru-RU"/>
                    </w:rPr>
                    <m:t>e</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R</m:t>
                  </m:r>
                </m:e>
                <m:sub>
                  <m:r>
                    <w:rPr>
                      <w:rFonts w:ascii="Cambria Math" w:hAnsi="Cambria Math"/>
                      <w:lang w:eastAsia="ru-RU"/>
                    </w:rPr>
                    <m:t>e</m:t>
                  </m:r>
                </m:sub>
              </m:sSub>
              <m:r>
                <w:rPr>
                  <w:rFonts w:ascii="Cambria Math" w:hAnsi="Cambria Math"/>
                  <w:lang w:eastAsia="ru-RU"/>
                </w:rPr>
                <m:t>+</m:t>
              </m:r>
              <m:d>
                <m:dPr>
                  <m:ctrlPr>
                    <w:rPr>
                      <w:rFonts w:ascii="Cambria Math" w:hAnsi="Cambria Math"/>
                      <w:i/>
                      <w:lang w:eastAsia="ru-RU"/>
                    </w:rPr>
                  </m:ctrlPr>
                </m:dPr>
                <m:e>
                  <m:r>
                    <w:rPr>
                      <w:rFonts w:ascii="Cambria Math" w:hAnsi="Cambria Math"/>
                      <w:lang w:eastAsia="ru-RU"/>
                    </w:rPr>
                    <m:t>1-T</m:t>
                  </m:r>
                </m:e>
              </m:d>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W</m:t>
                  </m:r>
                </m:e>
                <m:sub>
                  <m:r>
                    <w:rPr>
                      <w:rFonts w:ascii="Cambria Math" w:hAnsi="Cambria Math"/>
                      <w:lang w:eastAsia="ru-RU"/>
                    </w:rPr>
                    <m:t>d</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R</m:t>
                  </m:r>
                </m:e>
                <m:sub>
                  <m:r>
                    <w:rPr>
                      <w:rFonts w:ascii="Cambria Math" w:hAnsi="Cambria Math"/>
                      <w:lang w:eastAsia="ru-RU"/>
                    </w:rPr>
                    <m:t>d</m:t>
                  </m:r>
                </m:sub>
              </m:sSub>
            </m:oMath>
            <w:r w:rsidRPr="009050DA">
              <w:rPr>
                <w:rFonts w:ascii="Cambria Math" w:eastAsia="Calibri" w:hAnsi="Cambria Math" w:cs="Times New Roman"/>
                <w:i/>
                <w:lang w:eastAsia="ru-RU"/>
              </w:rPr>
              <w:t xml:space="preserve">, </w:t>
            </w:r>
          </w:p>
        </w:tc>
        <w:tc>
          <w:tcPr>
            <w:tcW w:w="703" w:type="dxa"/>
          </w:tcPr>
          <w:p w14:paraId="1F5ACF78" w14:textId="77777777" w:rsidR="00C209CB" w:rsidRPr="00D074CF" w:rsidRDefault="00C209CB" w:rsidP="00D074CF">
            <w:pPr>
              <w:pStyle w:val="af8"/>
              <w:numPr>
                <w:ilvl w:val="0"/>
                <w:numId w:val="6"/>
              </w:numPr>
              <w:tabs>
                <w:tab w:val="right" w:pos="9072"/>
              </w:tabs>
              <w:rPr>
                <w:rFonts w:eastAsia="Calibri" w:cs="Times New Roman"/>
              </w:rPr>
            </w:pPr>
          </w:p>
        </w:tc>
      </w:tr>
    </w:tbl>
    <w:p w14:paraId="008E3CAE" w14:textId="1F716863" w:rsidR="00D074CF" w:rsidRPr="008B6BFA" w:rsidRDefault="00D074CF" w:rsidP="00D074CF">
      <w:pPr>
        <w:spacing w:line="240" w:lineRule="auto"/>
        <w:ind w:left="709" w:firstLine="0"/>
        <w:rPr>
          <w:rFonts w:eastAsiaTheme="minorEastAsia"/>
          <w:i/>
          <w:lang w:eastAsia="ru-RU"/>
        </w:rPr>
      </w:pPr>
      <w:r>
        <w:rPr>
          <w:rFonts w:eastAsiaTheme="minorEastAsia"/>
          <w:i/>
          <w:lang w:eastAsia="ru-RU"/>
        </w:rPr>
        <w:t xml:space="preserve">где </w:t>
      </w:r>
      <w:r>
        <w:rPr>
          <w:rFonts w:eastAsiaTheme="minorEastAsia"/>
          <w:i/>
          <w:lang w:val="en-US" w:eastAsia="ru-RU"/>
        </w:rPr>
        <w:t>Wd</w:t>
      </w:r>
      <w:r w:rsidRPr="00D074CF">
        <w:rPr>
          <w:rFonts w:eastAsiaTheme="minorEastAsia"/>
          <w:i/>
          <w:lang w:eastAsia="ru-RU"/>
        </w:rPr>
        <w:t xml:space="preserve"> </w:t>
      </w:r>
      <w:r>
        <w:rPr>
          <w:rFonts w:eastAsiaTheme="minorEastAsia"/>
          <w:i/>
          <w:lang w:eastAsia="ru-RU"/>
        </w:rPr>
        <w:t xml:space="preserve">и </w:t>
      </w:r>
      <w:r>
        <w:rPr>
          <w:rFonts w:eastAsiaTheme="minorEastAsia"/>
          <w:i/>
          <w:lang w:val="en-US" w:eastAsia="ru-RU"/>
        </w:rPr>
        <w:t>We</w:t>
      </w:r>
      <w:r w:rsidRPr="00D074CF">
        <w:rPr>
          <w:rFonts w:eastAsiaTheme="minorEastAsia"/>
          <w:i/>
          <w:lang w:eastAsia="ru-RU"/>
        </w:rPr>
        <w:t xml:space="preserve"> </w:t>
      </w:r>
      <w:r>
        <w:rPr>
          <w:rFonts w:eastAsiaTheme="minorEastAsia"/>
          <w:i/>
          <w:lang w:eastAsia="ru-RU"/>
        </w:rPr>
        <w:t xml:space="preserve">— доли заемного и собственного капитала, соответственно, </w:t>
      </w:r>
    </w:p>
    <w:p w14:paraId="6BBA8858" w14:textId="29C1B002" w:rsidR="00D074CF" w:rsidRPr="008B6BFA" w:rsidRDefault="00D074CF" w:rsidP="00D074CF">
      <w:pPr>
        <w:spacing w:line="240" w:lineRule="auto"/>
        <w:rPr>
          <w:rFonts w:eastAsiaTheme="minorEastAsia"/>
          <w:i/>
          <w:lang w:eastAsia="ru-RU"/>
        </w:rPr>
      </w:pPr>
      <w:r>
        <w:rPr>
          <w:rFonts w:eastAsiaTheme="minorEastAsia"/>
          <w:i/>
          <w:lang w:val="en-US" w:eastAsia="ru-RU"/>
        </w:rPr>
        <w:t>Rd</w:t>
      </w:r>
      <w:r>
        <w:rPr>
          <w:rFonts w:eastAsiaTheme="minorEastAsia"/>
          <w:i/>
          <w:lang w:eastAsia="ru-RU"/>
        </w:rPr>
        <w:t xml:space="preserve"> и </w:t>
      </w:r>
      <w:r>
        <w:rPr>
          <w:rFonts w:eastAsiaTheme="minorEastAsia"/>
          <w:i/>
          <w:lang w:val="en-US" w:eastAsia="ru-RU"/>
        </w:rPr>
        <w:t>Re</w:t>
      </w:r>
      <w:r>
        <w:rPr>
          <w:rFonts w:eastAsiaTheme="minorEastAsia"/>
          <w:i/>
          <w:lang w:eastAsia="ru-RU"/>
        </w:rPr>
        <w:t xml:space="preserve"> — стоимость заемного и собственного капитала, соответственного, </w:t>
      </w:r>
    </w:p>
    <w:p w14:paraId="25D4CE7B" w14:textId="5D935B32" w:rsidR="00C209CB" w:rsidRPr="00D074CF" w:rsidRDefault="00D074CF" w:rsidP="00D074CF">
      <w:pPr>
        <w:spacing w:line="240" w:lineRule="auto"/>
        <w:rPr>
          <w:rFonts w:eastAsiaTheme="minorEastAsia"/>
          <w:i/>
          <w:lang w:eastAsia="ru-RU"/>
        </w:rPr>
      </w:pPr>
      <w:r>
        <w:rPr>
          <w:rFonts w:eastAsiaTheme="minorEastAsia"/>
          <w:i/>
          <w:lang w:val="en-US" w:eastAsia="ru-RU"/>
        </w:rPr>
        <w:t>T</w:t>
      </w:r>
      <w:r>
        <w:rPr>
          <w:rFonts w:eastAsiaTheme="minorEastAsia"/>
          <w:i/>
          <w:lang w:eastAsia="ru-RU"/>
        </w:rPr>
        <w:t xml:space="preserve"> — ставка налога на прибыль</w:t>
      </w:r>
      <w:r w:rsidRPr="00D074CF">
        <w:rPr>
          <w:rFonts w:eastAsiaTheme="minorEastAsia"/>
          <w:i/>
          <w:lang w:eastAsia="ru-RU"/>
        </w:rPr>
        <w:t>.</w:t>
      </w:r>
    </w:p>
    <w:p w14:paraId="19F7F193" w14:textId="43486600" w:rsidR="001414EE" w:rsidRPr="001414EE" w:rsidRDefault="001414EE" w:rsidP="00A54D94">
      <w:pPr>
        <w:rPr>
          <w:lang w:eastAsia="ru-RU"/>
        </w:rPr>
      </w:pPr>
      <w:r>
        <w:rPr>
          <w:lang w:eastAsia="ru-RU"/>
        </w:rPr>
        <w:t xml:space="preserve">При расчете данным методом важным условием является использование привычных, «обычных» источников финансирования для нового проекта компании. В случае если реализация инвестиционного проекта требует привлечения нового источника финансирования, необходимо пересчитать ставку дисконтирования, так как изменяется структура капитала компании. </w:t>
      </w:r>
      <w:r w:rsidR="00736538">
        <w:rPr>
          <w:lang w:eastAsia="ru-RU"/>
        </w:rPr>
        <w:t>Ч</w:t>
      </w:r>
      <w:r>
        <w:rPr>
          <w:lang w:eastAsia="ru-RU"/>
        </w:rPr>
        <w:t xml:space="preserve">астой практикой в использовании метода </w:t>
      </w:r>
      <w:r>
        <w:rPr>
          <w:lang w:val="en-US" w:eastAsia="ru-RU"/>
        </w:rPr>
        <w:t>WACC</w:t>
      </w:r>
      <w:r>
        <w:rPr>
          <w:lang w:eastAsia="ru-RU"/>
        </w:rPr>
        <w:t xml:space="preserve"> является ежегодное изменение ставки дисконтирования для </w:t>
      </w:r>
      <w:r w:rsidR="00517400">
        <w:rPr>
          <w:lang w:eastAsia="ru-RU"/>
        </w:rPr>
        <w:t xml:space="preserve">дальнейшей </w:t>
      </w:r>
      <w:r>
        <w:rPr>
          <w:lang w:eastAsia="ru-RU"/>
        </w:rPr>
        <w:t>корректной оценки.</w:t>
      </w:r>
    </w:p>
    <w:p w14:paraId="5DCD1AD8" w14:textId="6993D3C5" w:rsidR="00D074CF" w:rsidRPr="00517400" w:rsidRDefault="00A95F78" w:rsidP="00A54D94">
      <w:pPr>
        <w:rPr>
          <w:lang w:eastAsia="ru-RU"/>
        </w:rPr>
      </w:pPr>
      <w:r>
        <w:rPr>
          <w:lang w:eastAsia="ru-RU"/>
        </w:rPr>
        <w:t>Пример</w:t>
      </w:r>
      <w:r w:rsidR="00B8329A">
        <w:rPr>
          <w:lang w:eastAsia="ru-RU"/>
        </w:rPr>
        <w:t>а</w:t>
      </w:r>
      <w:r>
        <w:rPr>
          <w:lang w:eastAsia="ru-RU"/>
        </w:rPr>
        <w:t>м</w:t>
      </w:r>
      <w:r w:rsidR="00B8329A">
        <w:rPr>
          <w:lang w:eastAsia="ru-RU"/>
        </w:rPr>
        <w:t>и</w:t>
      </w:r>
      <w:r>
        <w:rPr>
          <w:lang w:eastAsia="ru-RU"/>
        </w:rPr>
        <w:t xml:space="preserve"> применения м</w:t>
      </w:r>
      <w:r w:rsidR="00D074CF">
        <w:rPr>
          <w:lang w:eastAsia="ru-RU"/>
        </w:rPr>
        <w:t>одел</w:t>
      </w:r>
      <w:r>
        <w:rPr>
          <w:lang w:eastAsia="ru-RU"/>
        </w:rPr>
        <w:t>и</w:t>
      </w:r>
      <w:r w:rsidR="00D074CF">
        <w:rPr>
          <w:lang w:eastAsia="ru-RU"/>
        </w:rPr>
        <w:t xml:space="preserve"> </w:t>
      </w:r>
      <w:r w:rsidR="00D074CF">
        <w:rPr>
          <w:lang w:val="en-US" w:eastAsia="ru-RU"/>
        </w:rPr>
        <w:t>WACC</w:t>
      </w:r>
      <w:r w:rsidR="00D074CF">
        <w:rPr>
          <w:lang w:eastAsia="ru-RU"/>
        </w:rPr>
        <w:t xml:space="preserve"> </w:t>
      </w:r>
      <w:r>
        <w:rPr>
          <w:lang w:eastAsia="ru-RU"/>
        </w:rPr>
        <w:t>мо</w:t>
      </w:r>
      <w:r w:rsidR="00B8329A">
        <w:rPr>
          <w:lang w:eastAsia="ru-RU"/>
        </w:rPr>
        <w:t>гут быть случаи</w:t>
      </w:r>
      <w:r w:rsidR="00D074CF">
        <w:rPr>
          <w:lang w:eastAsia="ru-RU"/>
        </w:rPr>
        <w:t>, когда необходимо разработать инвестиционный план компании, провести проверку эффективности вложений или при определении цены покупки с целью инвестиционной политики.</w:t>
      </w:r>
      <w:r w:rsidR="00517400">
        <w:rPr>
          <w:lang w:eastAsia="ru-RU"/>
        </w:rPr>
        <w:t xml:space="preserve"> Также </w:t>
      </w:r>
      <w:r w:rsidR="00517400">
        <w:rPr>
          <w:lang w:val="en-US" w:eastAsia="ru-RU"/>
        </w:rPr>
        <w:t>WACC</w:t>
      </w:r>
      <w:r w:rsidR="00517400">
        <w:rPr>
          <w:lang w:eastAsia="ru-RU"/>
        </w:rPr>
        <w:t xml:space="preserve"> считается наиболее подходящим для оценки будущих прогнозных денежных потоков.</w:t>
      </w:r>
      <w:r w:rsidR="00517400">
        <w:rPr>
          <w:rStyle w:val="afe"/>
          <w:lang w:eastAsia="ru-RU"/>
        </w:rPr>
        <w:footnoteReference w:id="59"/>
      </w:r>
      <w:r w:rsidR="00517400">
        <w:rPr>
          <w:lang w:eastAsia="ru-RU"/>
        </w:rPr>
        <w:t xml:space="preserve"> </w:t>
      </w:r>
    </w:p>
    <w:p w14:paraId="1FA37973" w14:textId="151A78AA" w:rsidR="001414EE" w:rsidRDefault="00736538" w:rsidP="00A54D94">
      <w:pPr>
        <w:rPr>
          <w:lang w:eastAsia="ru-RU"/>
        </w:rPr>
      </w:pPr>
      <w:r>
        <w:rPr>
          <w:lang w:eastAsia="ru-RU"/>
        </w:rPr>
        <w:lastRenderedPageBreak/>
        <w:t>М</w:t>
      </w:r>
      <w:r w:rsidR="001414EE">
        <w:rPr>
          <w:lang w:eastAsia="ru-RU"/>
        </w:rPr>
        <w:t>етод кумулятивного построения</w:t>
      </w:r>
      <w:r>
        <w:rPr>
          <w:lang w:eastAsia="ru-RU"/>
        </w:rPr>
        <w:t xml:space="preserve"> </w:t>
      </w:r>
      <w:r w:rsidR="00CD4D5F">
        <w:rPr>
          <w:lang w:eastAsia="ru-RU"/>
        </w:rPr>
        <w:t xml:space="preserve">основан на оценке риска недополучения прогнозируемых доходов. В данном способе ставка дисконтирования определяется как сумма безрисковой ставки дохода, инфляции и надбавок в виде премии за риск упущенных прибылей. В отличии от модели </w:t>
      </w:r>
      <w:r w:rsidR="00CD4D5F">
        <w:rPr>
          <w:lang w:val="en-US" w:eastAsia="ru-RU"/>
        </w:rPr>
        <w:t>CAPM</w:t>
      </w:r>
      <w:r w:rsidR="00CD4D5F">
        <w:rPr>
          <w:lang w:eastAsia="ru-RU"/>
        </w:rPr>
        <w:t>, к безрисковой ставке прибавляются лишь те риски, которые напрямую связаны с рассматриваемым инвестиционным проектом</w:t>
      </w:r>
      <w:r w:rsidR="00B66733">
        <w:rPr>
          <w:lang w:eastAsia="ru-RU"/>
        </w:rPr>
        <w:t xml:space="preserve"> или компании</w:t>
      </w:r>
      <w:r w:rsidR="00CD4D5F">
        <w:rPr>
          <w:lang w:eastAsia="ru-RU"/>
        </w:rPr>
        <w:t xml:space="preserve">. В общем виде данную модель можно представить следующим образом: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CD4D5F" w14:paraId="47241691" w14:textId="77777777" w:rsidTr="00932F89">
        <w:tc>
          <w:tcPr>
            <w:tcW w:w="8642" w:type="dxa"/>
          </w:tcPr>
          <w:p w14:paraId="18817768" w14:textId="12B14D4D" w:rsidR="00CD4D5F" w:rsidRPr="009050DA" w:rsidRDefault="0056120C" w:rsidP="00932F89">
            <w:pPr>
              <w:tabs>
                <w:tab w:val="right" w:pos="9072"/>
              </w:tabs>
              <w:ind w:firstLine="0"/>
              <w:jc w:val="center"/>
              <w:rPr>
                <w:rFonts w:ascii="Cambria Math" w:eastAsia="Calibri" w:hAnsi="Cambria Math" w:cs="Times New Roman"/>
                <w:i/>
              </w:rPr>
            </w:pPr>
            <m:oMath>
              <m:sSub>
                <m:sSubPr>
                  <m:ctrlPr>
                    <w:rPr>
                      <w:rFonts w:ascii="Cambria Math" w:hAnsi="Cambria Math"/>
                      <w:i/>
                      <w:lang w:eastAsia="ru-RU"/>
                    </w:rPr>
                  </m:ctrlPr>
                </m:sSubPr>
                <m:e>
                  <m:r>
                    <w:rPr>
                      <w:rFonts w:ascii="Cambria Math" w:hAnsi="Cambria Math"/>
                      <w:lang w:eastAsia="ru-RU"/>
                    </w:rPr>
                    <m:t>R</m:t>
                  </m:r>
                </m:e>
                <m:sub>
                  <m:r>
                    <w:rPr>
                      <w:rFonts w:ascii="Cambria Math" w:hAnsi="Cambria Math"/>
                      <w:lang w:eastAsia="ru-RU"/>
                    </w:rPr>
                    <m:t>e</m:t>
                  </m:r>
                </m:sub>
              </m:sSub>
              <m:r>
                <w:rPr>
                  <w:rFonts w:ascii="Cambria Math" w:hAnsi="Cambria Math"/>
                  <w:lang w:eastAsia="ru-RU"/>
                </w:rPr>
                <m:t xml:space="preserve">= </m:t>
              </m:r>
              <m:sSub>
                <m:sSubPr>
                  <m:ctrlPr>
                    <w:rPr>
                      <w:rFonts w:ascii="Cambria Math" w:hAnsi="Cambria Math"/>
                      <w:i/>
                      <w:lang w:eastAsia="ru-RU"/>
                    </w:rPr>
                  </m:ctrlPr>
                </m:sSubPr>
                <m:e>
                  <m:r>
                    <w:rPr>
                      <w:rFonts w:ascii="Cambria Math" w:hAnsi="Cambria Math"/>
                      <w:lang w:eastAsia="ru-RU"/>
                    </w:rPr>
                    <m:t>R</m:t>
                  </m:r>
                </m:e>
                <m:sub>
                  <m:r>
                    <w:rPr>
                      <w:rFonts w:ascii="Cambria Math" w:hAnsi="Cambria Math"/>
                      <w:lang w:eastAsia="ru-RU"/>
                    </w:rPr>
                    <m:t>f</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r</m:t>
                  </m:r>
                </m:e>
                <m:sub>
                  <m:r>
                    <w:rPr>
                      <w:rFonts w:ascii="Cambria Math" w:hAnsi="Cambria Math"/>
                      <w:lang w:eastAsia="ru-RU"/>
                    </w:rPr>
                    <m:t>p</m:t>
                  </m:r>
                </m:sub>
              </m:sSub>
              <m:r>
                <w:rPr>
                  <w:rFonts w:ascii="Cambria Math" w:hAnsi="Cambria Math"/>
                  <w:lang w:eastAsia="ru-RU"/>
                </w:rPr>
                <m:t>+</m:t>
              </m:r>
              <m:r>
                <w:rPr>
                  <w:rFonts w:ascii="Cambria Math" w:hAnsi="Cambria Math"/>
                  <w:lang w:val="en-US" w:eastAsia="ru-RU"/>
                </w:rPr>
                <m:t>I</m:t>
              </m:r>
            </m:oMath>
            <w:r w:rsidR="00CD4D5F" w:rsidRPr="009050DA">
              <w:rPr>
                <w:rFonts w:ascii="Cambria Math" w:eastAsia="Calibri" w:hAnsi="Cambria Math" w:cs="Times New Roman"/>
                <w:i/>
                <w:lang w:eastAsia="ru-RU"/>
              </w:rPr>
              <w:t xml:space="preserve">, </w:t>
            </w:r>
          </w:p>
        </w:tc>
        <w:tc>
          <w:tcPr>
            <w:tcW w:w="703" w:type="dxa"/>
          </w:tcPr>
          <w:p w14:paraId="39CEA1DB" w14:textId="77777777" w:rsidR="00CD4D5F" w:rsidRPr="00CD4D5F" w:rsidRDefault="00CD4D5F" w:rsidP="00CD4D5F">
            <w:pPr>
              <w:pStyle w:val="af8"/>
              <w:numPr>
                <w:ilvl w:val="0"/>
                <w:numId w:val="6"/>
              </w:numPr>
              <w:tabs>
                <w:tab w:val="right" w:pos="9072"/>
              </w:tabs>
              <w:rPr>
                <w:rFonts w:eastAsia="Calibri" w:cs="Times New Roman"/>
              </w:rPr>
            </w:pPr>
          </w:p>
        </w:tc>
      </w:tr>
    </w:tbl>
    <w:p w14:paraId="3D191681" w14:textId="17F99378" w:rsidR="00CD4D5F" w:rsidRDefault="00B66733" w:rsidP="00B66733">
      <w:pPr>
        <w:spacing w:line="240" w:lineRule="auto"/>
        <w:ind w:left="709" w:firstLine="0"/>
        <w:rPr>
          <w:rFonts w:eastAsiaTheme="minorEastAsia"/>
          <w:i/>
          <w:lang w:eastAsia="ru-RU"/>
        </w:rPr>
      </w:pPr>
      <w:r>
        <w:rPr>
          <w:rFonts w:eastAsiaTheme="minorEastAsia"/>
          <w:i/>
          <w:lang w:eastAsia="ru-RU"/>
        </w:rPr>
        <w:t>г</w:t>
      </w:r>
      <w:r w:rsidR="00CD4D5F">
        <w:rPr>
          <w:rFonts w:eastAsiaTheme="minorEastAsia"/>
          <w:i/>
          <w:lang w:eastAsia="ru-RU"/>
        </w:rPr>
        <w:t xml:space="preserve">де </w:t>
      </w:r>
      <w:r w:rsidR="00CD4D5F">
        <w:rPr>
          <w:rFonts w:eastAsiaTheme="minorEastAsia"/>
          <w:i/>
          <w:lang w:val="en-US" w:eastAsia="ru-RU"/>
        </w:rPr>
        <w:t>R</w:t>
      </w:r>
      <w:r w:rsidR="00CD4D5F" w:rsidRPr="00B66733">
        <w:rPr>
          <w:rFonts w:eastAsiaTheme="minorEastAsia"/>
          <w:i/>
          <w:vertAlign w:val="subscript"/>
          <w:lang w:val="en-US" w:eastAsia="ru-RU"/>
        </w:rPr>
        <w:t>e</w:t>
      </w:r>
      <w:r w:rsidR="00CD4D5F">
        <w:rPr>
          <w:rFonts w:eastAsiaTheme="minorEastAsia"/>
          <w:i/>
          <w:lang w:eastAsia="ru-RU"/>
        </w:rPr>
        <w:t xml:space="preserve"> — доли заемного и собственного капитала, соответственно,</w:t>
      </w:r>
    </w:p>
    <w:p w14:paraId="2FB1CE88" w14:textId="32836A9A" w:rsidR="00B66733" w:rsidRPr="00B66733" w:rsidRDefault="00B66733" w:rsidP="00B66733">
      <w:pPr>
        <w:spacing w:line="240" w:lineRule="auto"/>
        <w:ind w:left="709" w:firstLine="0"/>
        <w:rPr>
          <w:rFonts w:eastAsiaTheme="minorEastAsia"/>
          <w:i/>
          <w:lang w:eastAsia="ru-RU"/>
        </w:rPr>
      </w:pPr>
      <w:proofErr w:type="spellStart"/>
      <w:r>
        <w:rPr>
          <w:rFonts w:eastAsiaTheme="minorEastAsia"/>
          <w:i/>
          <w:lang w:val="en-US" w:eastAsia="ru-RU"/>
        </w:rPr>
        <w:t>r</w:t>
      </w:r>
      <w:r w:rsidRPr="00B66733">
        <w:rPr>
          <w:rFonts w:eastAsiaTheme="minorEastAsia"/>
          <w:i/>
          <w:vertAlign w:val="subscript"/>
          <w:lang w:val="en-US" w:eastAsia="ru-RU"/>
        </w:rPr>
        <w:t>p</w:t>
      </w:r>
      <w:proofErr w:type="spellEnd"/>
      <w:r w:rsidRPr="00B66733">
        <w:rPr>
          <w:rFonts w:eastAsiaTheme="minorEastAsia"/>
          <w:i/>
          <w:vertAlign w:val="subscript"/>
          <w:lang w:eastAsia="ru-RU"/>
        </w:rPr>
        <w:t xml:space="preserve"> </w:t>
      </w:r>
      <w:r w:rsidRPr="00B66733">
        <w:rPr>
          <w:rFonts w:eastAsiaTheme="minorEastAsia"/>
          <w:i/>
          <w:lang w:eastAsia="ru-RU"/>
        </w:rPr>
        <w:t xml:space="preserve">— </w:t>
      </w:r>
      <w:r>
        <w:rPr>
          <w:rFonts w:eastAsiaTheme="minorEastAsia"/>
          <w:i/>
          <w:lang w:eastAsia="ru-RU"/>
        </w:rPr>
        <w:t xml:space="preserve">премия за риск компании, </w:t>
      </w:r>
    </w:p>
    <w:p w14:paraId="088D7CE0" w14:textId="5C9B2521" w:rsidR="00B66733" w:rsidRDefault="00B66733" w:rsidP="00B66733">
      <w:pPr>
        <w:spacing w:line="240" w:lineRule="auto"/>
        <w:ind w:left="709" w:firstLine="0"/>
        <w:rPr>
          <w:rFonts w:eastAsiaTheme="minorEastAsia"/>
          <w:i/>
          <w:lang w:eastAsia="ru-RU"/>
        </w:rPr>
      </w:pPr>
      <w:r>
        <w:rPr>
          <w:rFonts w:eastAsiaTheme="minorEastAsia"/>
          <w:i/>
          <w:lang w:val="en-US" w:eastAsia="ru-RU"/>
        </w:rPr>
        <w:t>I</w:t>
      </w:r>
      <w:r w:rsidRPr="00B66733">
        <w:rPr>
          <w:rFonts w:eastAsiaTheme="minorEastAsia"/>
          <w:i/>
          <w:lang w:eastAsia="ru-RU"/>
        </w:rPr>
        <w:t xml:space="preserve"> </w:t>
      </w:r>
      <w:r>
        <w:rPr>
          <w:rFonts w:eastAsiaTheme="minorEastAsia"/>
          <w:i/>
          <w:lang w:eastAsia="ru-RU"/>
        </w:rPr>
        <w:t xml:space="preserve">— темп инфляции. </w:t>
      </w:r>
    </w:p>
    <w:p w14:paraId="46EC4837" w14:textId="36FA3EAF" w:rsidR="00B66733" w:rsidRDefault="00B66733" w:rsidP="00B66733">
      <w:pPr>
        <w:rPr>
          <w:lang w:eastAsia="ru-RU"/>
        </w:rPr>
      </w:pPr>
      <w:r>
        <w:rPr>
          <w:lang w:eastAsia="ru-RU"/>
        </w:rPr>
        <w:t xml:space="preserve">В данной формуле в премию компании входит риск, связанный с размером предприятия, риск качества управления, диверсификации клиентуры, финансовой структуры и прочие риски. </w:t>
      </w:r>
    </w:p>
    <w:p w14:paraId="011BB0B8" w14:textId="0A1E80A3" w:rsidR="00B66733" w:rsidRDefault="00B66733" w:rsidP="00B66733">
      <w:pPr>
        <w:rPr>
          <w:lang w:eastAsia="ru-RU"/>
        </w:rPr>
      </w:pPr>
      <w:r>
        <w:rPr>
          <w:lang w:eastAsia="ru-RU"/>
        </w:rPr>
        <w:t xml:space="preserve">Модель кумулятивного построения не обладает ограничением моделей </w:t>
      </w:r>
      <w:r>
        <w:rPr>
          <w:lang w:val="en-US" w:eastAsia="ru-RU"/>
        </w:rPr>
        <w:t>CAPM</w:t>
      </w:r>
      <w:r w:rsidRPr="00B66733">
        <w:rPr>
          <w:lang w:eastAsia="ru-RU"/>
        </w:rPr>
        <w:t xml:space="preserve"> </w:t>
      </w:r>
      <w:r>
        <w:rPr>
          <w:lang w:eastAsia="ru-RU"/>
        </w:rPr>
        <w:t xml:space="preserve">и </w:t>
      </w:r>
      <w:r>
        <w:rPr>
          <w:lang w:val="en-US" w:eastAsia="ru-RU"/>
        </w:rPr>
        <w:t>WACC</w:t>
      </w:r>
      <w:r>
        <w:rPr>
          <w:lang w:eastAsia="ru-RU"/>
        </w:rPr>
        <w:t xml:space="preserve"> и подходит для оценки закрытых компаний</w:t>
      </w:r>
      <w:r w:rsidR="00120087">
        <w:rPr>
          <w:lang w:eastAsia="ru-RU"/>
        </w:rPr>
        <w:t xml:space="preserve"> </w:t>
      </w:r>
      <w:r>
        <w:rPr>
          <w:lang w:eastAsia="ru-RU"/>
        </w:rPr>
        <w:t>при условии</w:t>
      </w:r>
      <w:r w:rsidR="00120087">
        <w:rPr>
          <w:lang w:eastAsia="ru-RU"/>
        </w:rPr>
        <w:t>,</w:t>
      </w:r>
      <w:r>
        <w:rPr>
          <w:lang w:eastAsia="ru-RU"/>
        </w:rPr>
        <w:t xml:space="preserve"> </w:t>
      </w:r>
      <w:r w:rsidR="00120087">
        <w:rPr>
          <w:lang w:eastAsia="ru-RU"/>
        </w:rPr>
        <w:t>что</w:t>
      </w:r>
      <w:r>
        <w:rPr>
          <w:lang w:eastAsia="ru-RU"/>
        </w:rPr>
        <w:t xml:space="preserve"> на рынке есть открытые акционерные аналоги, по которым можно оценить премию за риск. </w:t>
      </w:r>
      <w:r w:rsidR="00120087">
        <w:rPr>
          <w:lang w:eastAsia="ru-RU"/>
        </w:rPr>
        <w:t xml:space="preserve">Однако недостатком данной модели можно выделить высокую степень субъективности при расчете премии за риск; при этом для повышения обоснованности необходимо большое количество статистической информации о компании или аналогах, что в некоторых случаях является затруднительным. </w:t>
      </w:r>
    </w:p>
    <w:p w14:paraId="4F399C0B" w14:textId="29D6646B" w:rsidR="00120087" w:rsidRDefault="00120087" w:rsidP="00B66733">
      <w:pPr>
        <w:rPr>
          <w:lang w:eastAsia="ru-RU"/>
        </w:rPr>
      </w:pPr>
      <w:r>
        <w:rPr>
          <w:lang w:eastAsia="ru-RU"/>
        </w:rPr>
        <w:t>Пример</w:t>
      </w:r>
      <w:r w:rsidR="00B8329A">
        <w:rPr>
          <w:lang w:eastAsia="ru-RU"/>
        </w:rPr>
        <w:t>а</w:t>
      </w:r>
      <w:r>
        <w:rPr>
          <w:lang w:eastAsia="ru-RU"/>
        </w:rPr>
        <w:t>м</w:t>
      </w:r>
      <w:r w:rsidR="00B8329A">
        <w:rPr>
          <w:lang w:eastAsia="ru-RU"/>
        </w:rPr>
        <w:t>и</w:t>
      </w:r>
      <w:r>
        <w:rPr>
          <w:lang w:eastAsia="ru-RU"/>
        </w:rPr>
        <w:t xml:space="preserve"> выбора метода кумулятивного построения для расчета стоимости компании мо</w:t>
      </w:r>
      <w:r w:rsidR="00B8329A">
        <w:rPr>
          <w:lang w:eastAsia="ru-RU"/>
        </w:rPr>
        <w:t>гут</w:t>
      </w:r>
      <w:r>
        <w:rPr>
          <w:lang w:eastAsia="ru-RU"/>
        </w:rPr>
        <w:t xml:space="preserve"> быть ситуац</w:t>
      </w:r>
      <w:r w:rsidR="00B8329A">
        <w:rPr>
          <w:lang w:eastAsia="ru-RU"/>
        </w:rPr>
        <w:t>ии</w:t>
      </w:r>
      <w:r>
        <w:rPr>
          <w:lang w:eastAsia="ru-RU"/>
        </w:rPr>
        <w:t xml:space="preserve">, </w:t>
      </w:r>
      <w:r w:rsidR="00B8329A">
        <w:rPr>
          <w:lang w:eastAsia="ru-RU"/>
        </w:rPr>
        <w:t>в которых</w:t>
      </w:r>
      <w:r>
        <w:rPr>
          <w:lang w:eastAsia="ru-RU"/>
        </w:rPr>
        <w:t xml:space="preserve"> целью оценки является разработка планов компании, проверка эффективности менеджмента или подготовка к государственной приватизации. </w:t>
      </w:r>
    </w:p>
    <w:p w14:paraId="43896228" w14:textId="7E6C0D4A" w:rsidR="00A95F78" w:rsidRDefault="004731F7" w:rsidP="00B66733">
      <w:pPr>
        <w:rPr>
          <w:lang w:eastAsia="ru-RU"/>
        </w:rPr>
      </w:pPr>
      <w:r>
        <w:rPr>
          <w:lang w:eastAsia="ru-RU"/>
        </w:rPr>
        <w:t>Менее распространенным методом является р</w:t>
      </w:r>
      <w:r w:rsidR="00A95F78">
        <w:rPr>
          <w:lang w:eastAsia="ru-RU"/>
        </w:rPr>
        <w:t>ыночная экстракци</w:t>
      </w:r>
      <w:r w:rsidR="00B8329A">
        <w:rPr>
          <w:lang w:eastAsia="ru-RU"/>
        </w:rPr>
        <w:t>я</w:t>
      </w:r>
      <w:r>
        <w:rPr>
          <w:lang w:eastAsia="ru-RU"/>
        </w:rPr>
        <w:t>, которая относится</w:t>
      </w:r>
      <w:r w:rsidR="00A95F78">
        <w:rPr>
          <w:lang w:eastAsia="ru-RU"/>
        </w:rPr>
        <w:t xml:space="preserve"> к моделям мультипликаторов и отражает отраслевые риски компании. В данном способе происходи</w:t>
      </w:r>
      <w:r>
        <w:rPr>
          <w:lang w:eastAsia="ru-RU"/>
        </w:rPr>
        <w:t>т</w:t>
      </w:r>
      <w:r w:rsidR="00A95F78">
        <w:rPr>
          <w:lang w:eastAsia="ru-RU"/>
        </w:rPr>
        <w:t xml:space="preserve"> расчет определенного вида прибыли на одну акцию. При этом сохраняется ограничение на активную деятельность компании на фондовом рынке, так как требуется достаточно информации не только по самой рассматриваемой компании, но и по аналогам. </w:t>
      </w:r>
      <w:r>
        <w:rPr>
          <w:lang w:eastAsia="ru-RU"/>
        </w:rPr>
        <w:t xml:space="preserve">Можно выделить </w:t>
      </w:r>
      <w:r w:rsidR="00D133C7">
        <w:rPr>
          <w:lang w:eastAsia="ru-RU"/>
        </w:rPr>
        <w:t>следующие примеры целей,</w:t>
      </w:r>
      <w:r>
        <w:rPr>
          <w:lang w:eastAsia="ru-RU"/>
        </w:rPr>
        <w:t xml:space="preserve"> </w:t>
      </w:r>
      <w:r w:rsidR="00D133C7">
        <w:rPr>
          <w:lang w:eastAsia="ru-RU"/>
        </w:rPr>
        <w:t xml:space="preserve">при </w:t>
      </w:r>
      <w:r>
        <w:rPr>
          <w:lang w:eastAsia="ru-RU"/>
        </w:rPr>
        <w:t xml:space="preserve">которых </w:t>
      </w:r>
      <w:r w:rsidR="00D133C7">
        <w:rPr>
          <w:lang w:eastAsia="ru-RU"/>
        </w:rPr>
        <w:t xml:space="preserve">данный способ будет </w:t>
      </w:r>
      <w:r>
        <w:rPr>
          <w:lang w:eastAsia="ru-RU"/>
        </w:rPr>
        <w:t xml:space="preserve">наиболее подходящим </w:t>
      </w:r>
      <w:r w:rsidR="00D133C7">
        <w:rPr>
          <w:lang w:eastAsia="ru-RU"/>
        </w:rPr>
        <w:t>для расчета ставки дисконтирования</w:t>
      </w:r>
      <w:r w:rsidR="00B8329A">
        <w:rPr>
          <w:lang w:eastAsia="ru-RU"/>
        </w:rPr>
        <w:t>:</w:t>
      </w:r>
      <w:r w:rsidR="00D133C7">
        <w:rPr>
          <w:lang w:eastAsia="ru-RU"/>
        </w:rPr>
        <w:t xml:space="preserve"> обоснование цен приобретения компаний</w:t>
      </w:r>
      <w:r w:rsidR="00B8329A">
        <w:rPr>
          <w:lang w:eastAsia="ru-RU"/>
        </w:rPr>
        <w:t xml:space="preserve"> или </w:t>
      </w:r>
      <w:r w:rsidR="00D133C7">
        <w:rPr>
          <w:lang w:eastAsia="ru-RU"/>
        </w:rPr>
        <w:t xml:space="preserve">долей в </w:t>
      </w:r>
      <w:r w:rsidR="00B8329A">
        <w:rPr>
          <w:lang w:eastAsia="ru-RU"/>
        </w:rPr>
        <w:t>другом бизнесе</w:t>
      </w:r>
      <w:r w:rsidR="00D133C7">
        <w:rPr>
          <w:lang w:eastAsia="ru-RU"/>
        </w:rPr>
        <w:t>, проверка обоснованности котировок</w:t>
      </w:r>
      <w:r w:rsidR="00B8329A">
        <w:rPr>
          <w:lang w:eastAsia="ru-RU"/>
        </w:rPr>
        <w:t xml:space="preserve"> на фондовом рынке. </w:t>
      </w:r>
    </w:p>
    <w:p w14:paraId="1B768B61" w14:textId="2DCDC289" w:rsidR="00072906" w:rsidRPr="00D133C7" w:rsidRDefault="00D133C7" w:rsidP="00072906">
      <w:pPr>
        <w:rPr>
          <w:lang w:eastAsia="ru-RU"/>
        </w:rPr>
      </w:pPr>
      <w:r>
        <w:rPr>
          <w:lang w:eastAsia="ru-RU"/>
        </w:rPr>
        <w:lastRenderedPageBreak/>
        <w:t xml:space="preserve">Таким образом, метод </w:t>
      </w:r>
      <w:r>
        <w:rPr>
          <w:lang w:val="en-US" w:eastAsia="ru-RU"/>
        </w:rPr>
        <w:t>WACC</w:t>
      </w:r>
      <w:r>
        <w:rPr>
          <w:lang w:eastAsia="ru-RU"/>
        </w:rPr>
        <w:t xml:space="preserve"> чаще всего применяется для оценки инвестированного капитала при соблюдении условий организационно-правовой формы компании.</w:t>
      </w:r>
      <w:r w:rsidR="00072906">
        <w:rPr>
          <w:lang w:eastAsia="ru-RU"/>
        </w:rPr>
        <w:t xml:space="preserve"> Данный метод хорошо подходит для учета особенностей финансирования новых инвестиционных проектов.</w:t>
      </w:r>
      <w:r>
        <w:rPr>
          <w:lang w:eastAsia="ru-RU"/>
        </w:rPr>
        <w:t xml:space="preserve"> </w:t>
      </w:r>
      <w:r w:rsidR="00072906">
        <w:rPr>
          <w:lang w:eastAsia="ru-RU"/>
        </w:rPr>
        <w:t xml:space="preserve">Метод </w:t>
      </w:r>
      <w:r w:rsidR="00072906">
        <w:rPr>
          <w:lang w:val="en-US" w:eastAsia="ru-RU"/>
        </w:rPr>
        <w:t>CAPM</w:t>
      </w:r>
      <w:r w:rsidR="00072906">
        <w:rPr>
          <w:lang w:eastAsia="ru-RU"/>
        </w:rPr>
        <w:t xml:space="preserve"> применим в достаточно ограниченном количестве ситуаций, так как требуется наличие рассмотренных факторов (открытость информации, эффективность рынка капитала и так далее), достижение и соблюдение которых в российских условиях является затруднительным. </w:t>
      </w:r>
      <w:r>
        <w:rPr>
          <w:lang w:eastAsia="ru-RU"/>
        </w:rPr>
        <w:t>Метод кумулятивного построения применяется для оценки малых и закрытых компаний или в случае нехватки информации об аналогах.</w:t>
      </w:r>
      <w:r w:rsidR="00072906">
        <w:rPr>
          <w:lang w:eastAsia="ru-RU"/>
        </w:rPr>
        <w:t xml:space="preserve"> </w:t>
      </w:r>
    </w:p>
    <w:p w14:paraId="41712B07" w14:textId="2091899C" w:rsidR="00775202" w:rsidRDefault="0069113E" w:rsidP="0071766E">
      <w:pPr>
        <w:pStyle w:val="2"/>
        <w:rPr>
          <w:lang w:eastAsia="ru-RU"/>
        </w:rPr>
      </w:pPr>
      <w:bookmarkStart w:id="17" w:name="_Toc41822237"/>
      <w:r>
        <w:rPr>
          <w:lang w:eastAsia="ru-RU"/>
        </w:rPr>
        <w:t xml:space="preserve">2.3. </w:t>
      </w:r>
      <w:r w:rsidR="00C3509C">
        <w:rPr>
          <w:lang w:eastAsia="ru-RU"/>
        </w:rPr>
        <w:t xml:space="preserve">Методика расчета ценности компании на основе </w:t>
      </w:r>
      <w:r w:rsidR="00775202">
        <w:rPr>
          <w:lang w:eastAsia="ru-RU"/>
        </w:rPr>
        <w:t>достигнутой стоимости</w:t>
      </w:r>
      <w:bookmarkEnd w:id="17"/>
    </w:p>
    <w:p w14:paraId="6699FEF7" w14:textId="64C3263A" w:rsidR="008679E8" w:rsidRDefault="00814B91" w:rsidP="008B1E9D">
      <w:r>
        <w:t xml:space="preserve">Оценка компании на основе достигнутой стоимости представляет собой расчет стоимости свободных денежных потоков и инвестиций, которые обеспечивают постоянный уровень производственных активов. Данный метод подробно изложен в работе </w:t>
      </w:r>
      <w:proofErr w:type="spellStart"/>
      <w:r>
        <w:t>В.Т.Битюцких</w:t>
      </w:r>
      <w:proofErr w:type="spellEnd"/>
      <w:r w:rsidR="005F4B6C">
        <w:t>.</w:t>
      </w:r>
      <w:r w:rsidR="005F4B6C">
        <w:rPr>
          <w:rStyle w:val="afe"/>
        </w:rPr>
        <w:footnoteReference w:id="60"/>
      </w:r>
      <w:r w:rsidR="00581962">
        <w:t xml:space="preserve"> </w:t>
      </w:r>
      <w:r w:rsidR="008B34D1">
        <w:t>О</w:t>
      </w:r>
      <w:r w:rsidR="008679E8">
        <w:t>ценк</w:t>
      </w:r>
      <w:r w:rsidR="008B34D1">
        <w:t>у</w:t>
      </w:r>
      <w:r w:rsidR="008679E8">
        <w:t xml:space="preserve"> ценности компании методом достигнутой стоимости можно разделить на несколько этапов</w:t>
      </w:r>
      <w:r w:rsidR="008B34D1">
        <w:t>.</w:t>
      </w:r>
      <w:r w:rsidR="008679E8">
        <w:rPr>
          <w:rStyle w:val="afe"/>
        </w:rPr>
        <w:footnoteReference w:id="61"/>
      </w:r>
      <w:r w:rsidR="008679E8">
        <w:t xml:space="preserve"> </w:t>
      </w:r>
      <w:r w:rsidR="00B62322">
        <w:t xml:space="preserve">Первым шагом </w:t>
      </w:r>
      <w:r w:rsidR="00E42324">
        <w:t xml:space="preserve">требуется провести расчеты некоторых показателей, на которых в дальнейшем строится оценка стоимости компании. К данным показателям относится </w:t>
      </w:r>
      <w:r w:rsidR="008679E8" w:rsidRPr="008679E8">
        <w:t xml:space="preserve">расчет </w:t>
      </w:r>
      <w:r w:rsidR="00E42324">
        <w:t xml:space="preserve">величины </w:t>
      </w:r>
      <w:r w:rsidR="008679E8" w:rsidRPr="008679E8">
        <w:t xml:space="preserve">операционного рабочего капитала, </w:t>
      </w:r>
      <w:r w:rsidR="00E42324">
        <w:t>используемой компанией в своей текущей и основной деятельности. Также необходимо</w:t>
      </w:r>
      <w:r w:rsidR="008679E8" w:rsidRPr="008679E8">
        <w:t> вычисл</w:t>
      </w:r>
      <w:r w:rsidR="00E42324">
        <w:t>ить</w:t>
      </w:r>
      <w:r w:rsidR="008679E8" w:rsidRPr="008679E8">
        <w:t xml:space="preserve"> объем свободных денежных потоков доступных для акционеров компании и ее кредиторов</w:t>
      </w:r>
      <w:r w:rsidR="00E42324">
        <w:t>. Важно отметить, что данная величина представляется</w:t>
      </w:r>
      <w:r w:rsidR="008679E8" w:rsidRPr="008679E8">
        <w:t xml:space="preserve"> </w:t>
      </w:r>
      <w:r w:rsidR="00397F9C">
        <w:t>до вычета инвестиций</w:t>
      </w:r>
      <w:r w:rsidR="00E42324">
        <w:t xml:space="preserve">. </w:t>
      </w:r>
    </w:p>
    <w:p w14:paraId="4B5A6A59" w14:textId="1F46CD2E" w:rsidR="008679E8" w:rsidRPr="00E42324" w:rsidRDefault="00E42324" w:rsidP="00397F9C">
      <w:r>
        <w:t xml:space="preserve">Далее требуется </w:t>
      </w:r>
      <w:r w:rsidR="008679E8" w:rsidRPr="008679E8">
        <w:t>определ</w:t>
      </w:r>
      <w:r>
        <w:t>ить</w:t>
      </w:r>
      <w:r w:rsidR="008679E8" w:rsidRPr="008679E8">
        <w:t xml:space="preserve"> объем производственных активов компании по балансовой и первоначальной стоимости</w:t>
      </w:r>
      <w:r w:rsidR="00AD2D3E">
        <w:t xml:space="preserve"> (</w:t>
      </w:r>
      <w:r>
        <w:rPr>
          <w:lang w:val="en-US"/>
        </w:rPr>
        <w:t>PAC</w:t>
      </w:r>
      <w:r w:rsidR="00AD2D3E">
        <w:t>)</w:t>
      </w:r>
      <w:r>
        <w:t xml:space="preserve">. Данный показатель отражает </w:t>
      </w:r>
      <w:r w:rsidR="00397F9C">
        <w:t>средние за период</w:t>
      </w:r>
      <w:r>
        <w:t xml:space="preserve"> активы, которые по предположению являются постоянными в будущем. Более того, производимые инвестиции должны быть направлены на поддержание постоянного объема </w:t>
      </w:r>
      <w:r>
        <w:rPr>
          <w:lang w:val="en-US"/>
        </w:rPr>
        <w:t>PAC</w:t>
      </w:r>
      <w:r>
        <w:t xml:space="preserve">. </w:t>
      </w:r>
    </w:p>
    <w:p w14:paraId="717CB6DA" w14:textId="60D62B92" w:rsidR="0040687D" w:rsidRDefault="008679E8" w:rsidP="0040687D">
      <w:r w:rsidRPr="008679E8">
        <w:t> </w:t>
      </w:r>
      <w:r w:rsidR="00B62322">
        <w:t>Вторым этапом, можно выделить,</w:t>
      </w:r>
      <w:r w:rsidR="00E42324">
        <w:t xml:space="preserve"> </w:t>
      </w:r>
      <w:r w:rsidRPr="008679E8">
        <w:t>вычис</w:t>
      </w:r>
      <w:r w:rsidR="00E42324">
        <w:t>л</w:t>
      </w:r>
      <w:r w:rsidRPr="008679E8">
        <w:t>е</w:t>
      </w:r>
      <w:r w:rsidR="00E42324">
        <w:t>ния</w:t>
      </w:r>
      <w:r w:rsidRPr="008679E8">
        <w:t xml:space="preserve"> показателей рентабельности активов ROAA и нормализованной операционной прибыли NOPLAT;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40687D" w14:paraId="1BED03B2" w14:textId="77777777" w:rsidTr="00581962">
        <w:tc>
          <w:tcPr>
            <w:tcW w:w="8642" w:type="dxa"/>
          </w:tcPr>
          <w:p w14:paraId="71D2B818" w14:textId="44AABEE7" w:rsidR="0040687D" w:rsidRPr="009050DA" w:rsidRDefault="0040687D" w:rsidP="00581962">
            <w:pPr>
              <w:tabs>
                <w:tab w:val="right" w:pos="9072"/>
              </w:tabs>
              <w:ind w:firstLine="0"/>
              <w:jc w:val="center"/>
              <w:rPr>
                <w:rFonts w:ascii="Cambria Math" w:eastAsia="Calibri" w:hAnsi="Cambria Math" w:cs="Times New Roman"/>
                <w:i/>
              </w:rPr>
            </w:pPr>
            <m:oMath>
              <m:r>
                <w:rPr>
                  <w:rFonts w:ascii="Cambria Math" w:hAnsi="Cambria Math"/>
                  <w:lang w:val="en-US" w:eastAsia="ru-RU"/>
                </w:rPr>
                <w:lastRenderedPageBreak/>
                <m:t>NOPLAT</m:t>
              </m:r>
              <m:r>
                <w:rPr>
                  <w:rFonts w:ascii="Cambria Math" w:hAnsi="Cambria Math"/>
                  <w:lang w:eastAsia="ru-RU"/>
                </w:rPr>
                <m:t>= EBIT*(1-Taxes)</m:t>
              </m:r>
            </m:oMath>
            <w:r w:rsidRPr="009050DA">
              <w:rPr>
                <w:rFonts w:ascii="Cambria Math" w:eastAsia="Calibri" w:hAnsi="Cambria Math" w:cs="Times New Roman"/>
                <w:i/>
                <w:lang w:eastAsia="ru-RU"/>
              </w:rPr>
              <w:t xml:space="preserve">, </w:t>
            </w:r>
          </w:p>
        </w:tc>
        <w:tc>
          <w:tcPr>
            <w:tcW w:w="703" w:type="dxa"/>
          </w:tcPr>
          <w:p w14:paraId="3BED5BF1" w14:textId="77777777" w:rsidR="0040687D" w:rsidRPr="0040687D" w:rsidRDefault="0040687D" w:rsidP="0040687D">
            <w:pPr>
              <w:pStyle w:val="af8"/>
              <w:numPr>
                <w:ilvl w:val="0"/>
                <w:numId w:val="6"/>
              </w:numPr>
              <w:tabs>
                <w:tab w:val="right" w:pos="9072"/>
              </w:tabs>
              <w:rPr>
                <w:rFonts w:eastAsia="Calibri" w:cs="Times New Roman"/>
              </w:rPr>
            </w:pPr>
          </w:p>
        </w:tc>
      </w:tr>
    </w:tbl>
    <w:p w14:paraId="36939D95" w14:textId="77777777" w:rsidR="0040687D" w:rsidRDefault="0040687D" w:rsidP="0040687D">
      <w:pPr>
        <w:spacing w:line="240" w:lineRule="auto"/>
        <w:ind w:left="709" w:firstLine="0"/>
        <w:rPr>
          <w:rFonts w:eastAsiaTheme="minorEastAsia"/>
          <w:i/>
          <w:lang w:eastAsia="ru-RU"/>
        </w:rPr>
      </w:pPr>
      <w:r>
        <w:rPr>
          <w:rFonts w:eastAsiaTheme="minorEastAsia"/>
          <w:i/>
          <w:lang w:eastAsia="ru-RU"/>
        </w:rPr>
        <w:t xml:space="preserve">где </w:t>
      </w:r>
      <w:r>
        <w:rPr>
          <w:rFonts w:eastAsiaTheme="minorEastAsia"/>
          <w:i/>
          <w:lang w:val="en-US" w:eastAsia="ru-RU"/>
        </w:rPr>
        <w:t>NOPLAT</w:t>
      </w:r>
      <w:r>
        <w:rPr>
          <w:rFonts w:eastAsiaTheme="minorEastAsia"/>
          <w:i/>
          <w:lang w:eastAsia="ru-RU"/>
        </w:rPr>
        <w:t xml:space="preserve"> — нормализованная операционная прибыль,</w:t>
      </w:r>
    </w:p>
    <w:p w14:paraId="7CEBCC48" w14:textId="27457DAF" w:rsidR="0040687D" w:rsidRDefault="0040687D" w:rsidP="0040687D">
      <w:pPr>
        <w:spacing w:line="240" w:lineRule="auto"/>
        <w:ind w:left="709" w:firstLine="0"/>
        <w:rPr>
          <w:rFonts w:eastAsiaTheme="minorEastAsia"/>
          <w:i/>
          <w:lang w:eastAsia="ru-RU"/>
        </w:rPr>
      </w:pPr>
      <w:r>
        <w:rPr>
          <w:rFonts w:eastAsiaTheme="minorEastAsia"/>
          <w:i/>
          <w:lang w:val="en-US" w:eastAsia="ru-RU"/>
        </w:rPr>
        <w:t>EBIT</w:t>
      </w:r>
      <w:r w:rsidRPr="00C24C01">
        <w:rPr>
          <w:rFonts w:eastAsiaTheme="minorEastAsia"/>
          <w:i/>
          <w:lang w:eastAsia="ru-RU"/>
        </w:rPr>
        <w:t xml:space="preserve"> </w:t>
      </w:r>
      <w:r w:rsidRPr="00B66733">
        <w:rPr>
          <w:rFonts w:eastAsiaTheme="minorEastAsia"/>
          <w:i/>
          <w:lang w:eastAsia="ru-RU"/>
        </w:rPr>
        <w:t>—</w:t>
      </w:r>
      <w:r w:rsidRPr="00C24C01">
        <w:rPr>
          <w:rFonts w:eastAsiaTheme="minorEastAsia"/>
          <w:i/>
          <w:lang w:eastAsia="ru-RU"/>
        </w:rPr>
        <w:t xml:space="preserve"> </w:t>
      </w:r>
      <w:r>
        <w:rPr>
          <w:rFonts w:eastAsiaTheme="minorEastAsia"/>
          <w:i/>
          <w:lang w:eastAsia="ru-RU"/>
        </w:rPr>
        <w:t>операционная прибыль,</w:t>
      </w:r>
    </w:p>
    <w:p w14:paraId="3623EB61" w14:textId="4CCFC6CA" w:rsidR="0040687D" w:rsidRDefault="0040687D" w:rsidP="0040687D">
      <w:pPr>
        <w:spacing w:line="240" w:lineRule="auto"/>
        <w:ind w:left="709" w:firstLine="0"/>
        <w:rPr>
          <w:rFonts w:eastAsiaTheme="minorEastAsia"/>
          <w:i/>
          <w:lang w:eastAsia="ru-RU"/>
        </w:rPr>
      </w:pPr>
      <w:r>
        <w:rPr>
          <w:rFonts w:eastAsiaTheme="minorEastAsia"/>
          <w:i/>
          <w:lang w:val="en-US" w:eastAsia="ru-RU"/>
        </w:rPr>
        <w:t>Taxes</w:t>
      </w:r>
      <w:r w:rsidRPr="00C24C01">
        <w:rPr>
          <w:rFonts w:eastAsiaTheme="minorEastAsia"/>
          <w:i/>
          <w:lang w:eastAsia="ru-RU"/>
        </w:rPr>
        <w:t xml:space="preserve"> — </w:t>
      </w:r>
      <w:r w:rsidR="00C24C01">
        <w:rPr>
          <w:rFonts w:eastAsiaTheme="minorEastAsia"/>
          <w:i/>
          <w:lang w:eastAsia="ru-RU"/>
        </w:rPr>
        <w:t xml:space="preserve">эффективная ставка налога на прибыль. </w:t>
      </w:r>
    </w:p>
    <w:p w14:paraId="5A0A0B6C" w14:textId="4D238277" w:rsidR="00C24C01" w:rsidRPr="00C24C01" w:rsidRDefault="00B62322" w:rsidP="00814B91">
      <w:pPr>
        <w:rPr>
          <w:rFonts w:eastAsiaTheme="minorEastAsia"/>
          <w:i/>
          <w:lang w:eastAsia="ru-RU"/>
        </w:rPr>
      </w:pPr>
      <w:r>
        <w:t xml:space="preserve">В </w:t>
      </w:r>
      <w:r w:rsidR="00814B91">
        <w:t xml:space="preserve">данном подходе вместо классических показателей: </w:t>
      </w:r>
      <w:r w:rsidR="00814B91">
        <w:rPr>
          <w:lang w:val="en-US"/>
        </w:rPr>
        <w:t>EBITDA</w:t>
      </w:r>
      <w:r w:rsidR="00814B91" w:rsidRPr="00814B91">
        <w:t xml:space="preserve">, </w:t>
      </w:r>
      <w:r w:rsidR="00814B91">
        <w:rPr>
          <w:lang w:val="en-US"/>
        </w:rPr>
        <w:t>NI</w:t>
      </w:r>
      <w:r w:rsidR="00814B91">
        <w:t xml:space="preserve"> — применяется </w:t>
      </w:r>
      <w:r w:rsidR="00814B91">
        <w:rPr>
          <w:lang w:val="en-US"/>
        </w:rPr>
        <w:t>NOPLAT</w:t>
      </w:r>
      <w:r w:rsidR="00814B91">
        <w:t>, что</w:t>
      </w:r>
      <w:r w:rsidR="00F9538A">
        <w:t xml:space="preserve"> </w:t>
      </w:r>
      <w:r w:rsidR="00814B91">
        <w:t xml:space="preserve">показывает доступный объем прибыли для использования в компании. Данный показатель отражает долю операционной прибыли, которая поступает инвесторам. На основе нормализованной прибыли рассчитывается рентабельность активов: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32F89" w14:paraId="5BBC1D60" w14:textId="77777777" w:rsidTr="00932F89">
        <w:tc>
          <w:tcPr>
            <w:tcW w:w="8642" w:type="dxa"/>
          </w:tcPr>
          <w:p w14:paraId="0A3714DC" w14:textId="122AEAE6" w:rsidR="00932F89" w:rsidRPr="009050DA" w:rsidRDefault="00932F89" w:rsidP="00932F89">
            <w:pPr>
              <w:tabs>
                <w:tab w:val="right" w:pos="9072"/>
              </w:tabs>
              <w:ind w:firstLine="0"/>
              <w:jc w:val="center"/>
              <w:rPr>
                <w:rFonts w:ascii="Cambria Math" w:eastAsia="Calibri" w:hAnsi="Cambria Math" w:cs="Times New Roman"/>
                <w:i/>
              </w:rPr>
            </w:pPr>
            <m:oMath>
              <m:r>
                <w:rPr>
                  <w:rFonts w:ascii="Cambria Math" w:hAnsi="Cambria Math"/>
                  <w:lang w:val="en-US" w:eastAsia="ru-RU"/>
                </w:rPr>
                <m:t>ROAA</m:t>
              </m:r>
              <m:r>
                <w:rPr>
                  <w:rFonts w:ascii="Cambria Math" w:hAnsi="Cambria Math"/>
                  <w:lang w:eastAsia="ru-RU"/>
                </w:rPr>
                <m:t xml:space="preserve">= </m:t>
              </m:r>
              <m:f>
                <m:fPr>
                  <m:ctrlPr>
                    <w:rPr>
                      <w:rFonts w:ascii="Cambria Math" w:hAnsi="Cambria Math"/>
                      <w:i/>
                      <w:lang w:eastAsia="ru-RU"/>
                    </w:rPr>
                  </m:ctrlPr>
                </m:fPr>
                <m:num>
                  <m:r>
                    <w:rPr>
                      <w:rFonts w:ascii="Cambria Math" w:hAnsi="Cambria Math"/>
                      <w:lang w:eastAsia="ru-RU"/>
                    </w:rPr>
                    <m:t>NOPLAT+D</m:t>
                  </m:r>
                </m:num>
                <m:den>
                  <m:acc>
                    <m:accPr>
                      <m:chr m:val="̅"/>
                      <m:ctrlPr>
                        <w:rPr>
                          <w:rFonts w:ascii="Cambria Math" w:hAnsi="Cambria Math"/>
                          <w:i/>
                          <w:lang w:eastAsia="ru-RU"/>
                        </w:rPr>
                      </m:ctrlPr>
                    </m:accPr>
                    <m:e>
                      <m:r>
                        <w:rPr>
                          <w:rFonts w:ascii="Cambria Math" w:hAnsi="Cambria Math"/>
                          <w:lang w:eastAsia="ru-RU"/>
                        </w:rPr>
                        <m:t>PAC</m:t>
                      </m:r>
                    </m:e>
                  </m:acc>
                </m:den>
              </m:f>
            </m:oMath>
            <w:r w:rsidRPr="009050DA">
              <w:rPr>
                <w:rFonts w:ascii="Cambria Math" w:eastAsia="Calibri" w:hAnsi="Cambria Math" w:cs="Times New Roman"/>
                <w:i/>
                <w:lang w:eastAsia="ru-RU"/>
              </w:rPr>
              <w:t xml:space="preserve">, </w:t>
            </w:r>
          </w:p>
        </w:tc>
        <w:tc>
          <w:tcPr>
            <w:tcW w:w="703" w:type="dxa"/>
          </w:tcPr>
          <w:p w14:paraId="7E27E654" w14:textId="77777777" w:rsidR="00932F89" w:rsidRPr="0040687D" w:rsidRDefault="00932F89" w:rsidP="0040687D">
            <w:pPr>
              <w:pStyle w:val="af8"/>
              <w:numPr>
                <w:ilvl w:val="0"/>
                <w:numId w:val="6"/>
              </w:numPr>
              <w:tabs>
                <w:tab w:val="right" w:pos="9072"/>
              </w:tabs>
              <w:rPr>
                <w:rFonts w:eastAsia="Calibri" w:cs="Times New Roman"/>
              </w:rPr>
            </w:pPr>
          </w:p>
        </w:tc>
      </w:tr>
    </w:tbl>
    <w:p w14:paraId="29F4537F" w14:textId="6FF33826" w:rsidR="0040687D" w:rsidRDefault="0040687D" w:rsidP="0040687D">
      <w:pPr>
        <w:spacing w:line="240" w:lineRule="auto"/>
        <w:ind w:left="709" w:firstLine="0"/>
        <w:rPr>
          <w:rFonts w:eastAsiaTheme="minorEastAsia"/>
          <w:i/>
          <w:lang w:eastAsia="ru-RU"/>
        </w:rPr>
      </w:pPr>
      <w:r>
        <w:rPr>
          <w:rFonts w:eastAsiaTheme="minorEastAsia"/>
          <w:i/>
          <w:lang w:eastAsia="ru-RU"/>
        </w:rPr>
        <w:t xml:space="preserve">где </w:t>
      </w:r>
      <w:r w:rsidR="00C24C01">
        <w:rPr>
          <w:rFonts w:eastAsiaTheme="minorEastAsia"/>
          <w:i/>
          <w:lang w:val="en-US" w:eastAsia="ru-RU"/>
        </w:rPr>
        <w:t>ROAA</w:t>
      </w:r>
      <w:r w:rsidR="00C24C01" w:rsidRPr="00C24C01">
        <w:rPr>
          <w:rFonts w:eastAsiaTheme="minorEastAsia"/>
          <w:i/>
          <w:lang w:eastAsia="ru-RU"/>
        </w:rPr>
        <w:t xml:space="preserve"> </w:t>
      </w:r>
      <w:r>
        <w:rPr>
          <w:rFonts w:eastAsiaTheme="minorEastAsia"/>
          <w:i/>
          <w:lang w:eastAsia="ru-RU"/>
        </w:rPr>
        <w:t>—</w:t>
      </w:r>
      <w:r w:rsidR="00A200AB">
        <w:rPr>
          <w:rFonts w:eastAsiaTheme="minorEastAsia"/>
          <w:i/>
          <w:lang w:val="en-US" w:eastAsia="ru-RU"/>
        </w:rPr>
        <w:t xml:space="preserve"> </w:t>
      </w:r>
      <w:r w:rsidR="00A200AB">
        <w:rPr>
          <w:rFonts w:eastAsiaTheme="minorEastAsia"/>
          <w:i/>
          <w:lang w:eastAsia="ru-RU"/>
        </w:rPr>
        <w:t>эффективность инвестиций</w:t>
      </w:r>
      <w:r>
        <w:rPr>
          <w:rFonts w:eastAsiaTheme="minorEastAsia"/>
          <w:i/>
          <w:lang w:eastAsia="ru-RU"/>
        </w:rPr>
        <w:t>,</w:t>
      </w:r>
    </w:p>
    <w:p w14:paraId="1D3404B5" w14:textId="06652F26" w:rsidR="0040687D" w:rsidRPr="00B66733" w:rsidRDefault="0040687D" w:rsidP="0040687D">
      <w:pPr>
        <w:spacing w:line="240" w:lineRule="auto"/>
        <w:ind w:left="709" w:firstLine="0"/>
        <w:rPr>
          <w:rFonts w:eastAsiaTheme="minorEastAsia"/>
          <w:i/>
          <w:lang w:eastAsia="ru-RU"/>
        </w:rPr>
      </w:pPr>
      <w:r>
        <w:rPr>
          <w:rFonts w:eastAsiaTheme="minorEastAsia"/>
          <w:i/>
          <w:lang w:val="en-US" w:eastAsia="ru-RU"/>
        </w:rPr>
        <w:t>D</w:t>
      </w:r>
      <w:r w:rsidRPr="00B66733">
        <w:rPr>
          <w:rFonts w:eastAsiaTheme="minorEastAsia"/>
          <w:i/>
          <w:vertAlign w:val="subscript"/>
          <w:lang w:eastAsia="ru-RU"/>
        </w:rPr>
        <w:t xml:space="preserve"> </w:t>
      </w:r>
      <w:r w:rsidRPr="00B66733">
        <w:rPr>
          <w:rFonts w:eastAsiaTheme="minorEastAsia"/>
          <w:i/>
          <w:lang w:eastAsia="ru-RU"/>
        </w:rPr>
        <w:t xml:space="preserve">— </w:t>
      </w:r>
      <w:r>
        <w:rPr>
          <w:rFonts w:eastAsiaTheme="minorEastAsia"/>
          <w:i/>
          <w:lang w:eastAsia="ru-RU"/>
        </w:rPr>
        <w:t>амортизация,</w:t>
      </w:r>
    </w:p>
    <w:p w14:paraId="250A834C" w14:textId="7FAC59CC" w:rsidR="00932F89" w:rsidRPr="0040687D" w:rsidRDefault="0040687D" w:rsidP="0040687D">
      <w:pPr>
        <w:spacing w:line="240" w:lineRule="auto"/>
        <w:ind w:left="709" w:firstLine="0"/>
        <w:rPr>
          <w:rFonts w:eastAsiaTheme="minorEastAsia"/>
          <w:i/>
          <w:lang w:eastAsia="ru-RU"/>
        </w:rPr>
      </w:pPr>
      <w:r>
        <w:rPr>
          <w:rFonts w:eastAsiaTheme="minorEastAsia" w:cs="Times New Roman"/>
          <w:i/>
          <w:lang w:val="en-US" w:eastAsia="ru-RU"/>
        </w:rPr>
        <w:t>PAC</w:t>
      </w:r>
      <w:r w:rsidRPr="0040687D">
        <w:rPr>
          <w:rFonts w:eastAsiaTheme="minorEastAsia"/>
          <w:i/>
          <w:lang w:eastAsia="ru-RU"/>
        </w:rPr>
        <w:t xml:space="preserve"> </w:t>
      </w:r>
      <w:r>
        <w:rPr>
          <w:rFonts w:eastAsiaTheme="minorEastAsia"/>
          <w:i/>
          <w:lang w:eastAsia="ru-RU"/>
        </w:rPr>
        <w:t xml:space="preserve">— среднее значение производственных активов. </w:t>
      </w:r>
    </w:p>
    <w:p w14:paraId="38AAABDF" w14:textId="3004C5F6" w:rsidR="008B34D1" w:rsidRDefault="00581962" w:rsidP="00397F9C">
      <w:r>
        <w:rPr>
          <w:lang w:val="en-US"/>
        </w:rPr>
        <w:t>ROAA</w:t>
      </w:r>
      <w:r>
        <w:t xml:space="preserve"> можно описать как величин</w:t>
      </w:r>
      <w:r w:rsidR="00B95F75">
        <w:t>у</w:t>
      </w:r>
      <w:r>
        <w:t xml:space="preserve"> свободного денежного потока, которая аккумулируется производственными активами за отчетный период. Данный показатель учитывает в себе практически все факторы бизнеса, поэтому является устойчивым: для стабильных компаний</w:t>
      </w:r>
      <w:r w:rsidR="008B34D1">
        <w:t xml:space="preserve">, можно сказать, </w:t>
      </w:r>
      <w:r>
        <w:rPr>
          <w:lang w:val="en-US"/>
        </w:rPr>
        <w:t>ROAA</w:t>
      </w:r>
      <w:r w:rsidRPr="00581962">
        <w:t xml:space="preserve"> </w:t>
      </w:r>
      <w:r w:rsidR="008B34D1">
        <w:t xml:space="preserve">не изменяется. Однако и для развивающихся бизнесов показатель является устойчивым в силу того, что изменение факторов, учитывающихся в </w:t>
      </w:r>
      <w:r w:rsidR="008B34D1">
        <w:rPr>
          <w:lang w:val="en-US"/>
        </w:rPr>
        <w:t>ROAA</w:t>
      </w:r>
      <w:r w:rsidR="008B34D1">
        <w:t>, отрицательно коррелируют друг с другом. К примеру, если компания увеличивает количество продукции, то из-за эффекта масштаба снижаются операционные затраты, и, как следствие, компания уменьшает цены на товар.</w:t>
      </w:r>
      <w:r w:rsidR="008B34D1">
        <w:rPr>
          <w:rStyle w:val="afe"/>
        </w:rPr>
        <w:footnoteReference w:id="62"/>
      </w:r>
      <w:r w:rsidR="008B34D1">
        <w:t xml:space="preserve"> </w:t>
      </w:r>
    </w:p>
    <w:p w14:paraId="2681C1B8" w14:textId="7CAB6A58" w:rsidR="00DC4012" w:rsidRDefault="00DC4012" w:rsidP="00397F9C">
      <w:r>
        <w:t>В методе достигнутой стоимости свободный денежный поток представляется как произведение эффективности инвестиций и производственны</w:t>
      </w:r>
      <w:r w:rsidR="00B95F75">
        <w:t>х активов</w:t>
      </w:r>
      <w:r>
        <w:t xml:space="preserve">. Формула свободного денежного потока </w:t>
      </w:r>
      <w:r w:rsidR="00A200AB">
        <w:t xml:space="preserve">выглядит следующим образом: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A200AB" w14:paraId="5AC81B52" w14:textId="77777777" w:rsidTr="00D874C0">
        <w:tc>
          <w:tcPr>
            <w:tcW w:w="8642" w:type="dxa"/>
          </w:tcPr>
          <w:p w14:paraId="1BD788B6" w14:textId="71C6D0CA" w:rsidR="00A200AB" w:rsidRPr="009050DA" w:rsidRDefault="00A200AB" w:rsidP="00D874C0">
            <w:pPr>
              <w:tabs>
                <w:tab w:val="right" w:pos="9072"/>
              </w:tabs>
              <w:ind w:firstLine="0"/>
              <w:jc w:val="center"/>
              <w:rPr>
                <w:rFonts w:ascii="Cambria Math" w:eastAsia="Calibri" w:hAnsi="Cambria Math" w:cs="Times New Roman"/>
                <w:i/>
              </w:rPr>
            </w:pPr>
            <m:oMath>
              <m:r>
                <w:rPr>
                  <w:rFonts w:ascii="Cambria Math" w:hAnsi="Cambria Math"/>
                  <w:lang w:val="en-US" w:eastAsia="ru-RU"/>
                </w:rPr>
                <m:t>FCF</m:t>
              </m:r>
              <m:r>
                <w:rPr>
                  <w:rFonts w:ascii="Cambria Math" w:hAnsi="Cambria Math"/>
                  <w:lang w:eastAsia="ru-RU"/>
                </w:rPr>
                <m:t>= ROAA*</m:t>
              </m:r>
              <m:sSub>
                <m:sSubPr>
                  <m:ctrlPr>
                    <w:rPr>
                      <w:rFonts w:ascii="Cambria Math" w:hAnsi="Cambria Math"/>
                      <w:i/>
                      <w:lang w:eastAsia="ru-RU"/>
                    </w:rPr>
                  </m:ctrlPr>
                </m:sSubPr>
                <m:e>
                  <m:r>
                    <w:rPr>
                      <w:rFonts w:ascii="Cambria Math" w:hAnsi="Cambria Math"/>
                      <w:lang w:eastAsia="ru-RU"/>
                    </w:rPr>
                    <m:t>PAC</m:t>
                  </m:r>
                </m:e>
                <m:sub>
                  <m:r>
                    <w:rPr>
                      <w:rFonts w:ascii="Cambria Math" w:hAnsi="Cambria Math"/>
                      <w:lang w:eastAsia="ru-RU"/>
                    </w:rPr>
                    <m:t>T</m:t>
                  </m:r>
                </m:sub>
              </m:sSub>
            </m:oMath>
            <w:r w:rsidRPr="009050DA">
              <w:rPr>
                <w:rFonts w:ascii="Cambria Math" w:eastAsia="Calibri" w:hAnsi="Cambria Math" w:cs="Times New Roman"/>
                <w:i/>
                <w:lang w:eastAsia="ru-RU"/>
              </w:rPr>
              <w:t xml:space="preserve">, </w:t>
            </w:r>
          </w:p>
        </w:tc>
        <w:tc>
          <w:tcPr>
            <w:tcW w:w="703" w:type="dxa"/>
          </w:tcPr>
          <w:p w14:paraId="36A45E72" w14:textId="77777777" w:rsidR="00A200AB" w:rsidRPr="00A200AB" w:rsidRDefault="00A200AB" w:rsidP="00A200AB">
            <w:pPr>
              <w:pStyle w:val="af8"/>
              <w:numPr>
                <w:ilvl w:val="0"/>
                <w:numId w:val="6"/>
              </w:numPr>
              <w:tabs>
                <w:tab w:val="right" w:pos="9072"/>
              </w:tabs>
              <w:rPr>
                <w:rFonts w:eastAsia="Calibri" w:cs="Times New Roman"/>
              </w:rPr>
            </w:pPr>
          </w:p>
        </w:tc>
      </w:tr>
    </w:tbl>
    <w:p w14:paraId="085A1CA8" w14:textId="1640B0B8" w:rsidR="00A200AB" w:rsidRDefault="00A200AB" w:rsidP="00A200AB">
      <w:pPr>
        <w:spacing w:line="240" w:lineRule="auto"/>
        <w:ind w:left="709" w:firstLine="0"/>
        <w:rPr>
          <w:rFonts w:eastAsiaTheme="minorEastAsia"/>
          <w:i/>
          <w:lang w:eastAsia="ru-RU"/>
        </w:rPr>
      </w:pPr>
      <w:r>
        <w:rPr>
          <w:rFonts w:eastAsiaTheme="minorEastAsia"/>
          <w:i/>
          <w:lang w:eastAsia="ru-RU"/>
        </w:rPr>
        <w:t xml:space="preserve">где </w:t>
      </w:r>
      <w:r>
        <w:rPr>
          <w:rFonts w:eastAsiaTheme="minorEastAsia"/>
          <w:i/>
          <w:lang w:val="en-US" w:eastAsia="ru-RU"/>
        </w:rPr>
        <w:t>ROAA</w:t>
      </w:r>
      <w:r w:rsidRPr="00C24C01">
        <w:rPr>
          <w:rFonts w:eastAsiaTheme="minorEastAsia"/>
          <w:i/>
          <w:lang w:eastAsia="ru-RU"/>
        </w:rPr>
        <w:t xml:space="preserve"> </w:t>
      </w:r>
      <w:r>
        <w:rPr>
          <w:rFonts w:eastAsiaTheme="minorEastAsia"/>
          <w:i/>
          <w:lang w:eastAsia="ru-RU"/>
        </w:rPr>
        <w:t>—</w:t>
      </w:r>
      <w:r w:rsidRPr="00A200AB">
        <w:rPr>
          <w:rFonts w:eastAsiaTheme="minorEastAsia"/>
          <w:i/>
          <w:lang w:eastAsia="ru-RU"/>
        </w:rPr>
        <w:t xml:space="preserve"> </w:t>
      </w:r>
      <w:r>
        <w:rPr>
          <w:rFonts w:eastAsiaTheme="minorEastAsia"/>
          <w:i/>
          <w:lang w:eastAsia="ru-RU"/>
        </w:rPr>
        <w:t>эффективность инвестиций в конце рассматриваемого периода,</w:t>
      </w:r>
    </w:p>
    <w:p w14:paraId="7A0C4A01" w14:textId="14F06E5C" w:rsidR="00A200AB" w:rsidRPr="00A200AB" w:rsidRDefault="00A200AB" w:rsidP="00A200AB">
      <w:pPr>
        <w:spacing w:line="240" w:lineRule="auto"/>
        <w:ind w:left="709" w:firstLine="0"/>
        <w:rPr>
          <w:rFonts w:eastAsiaTheme="minorEastAsia"/>
          <w:i/>
          <w:lang w:eastAsia="ru-RU"/>
        </w:rPr>
      </w:pPr>
      <w:r>
        <w:rPr>
          <w:rFonts w:eastAsiaTheme="minorEastAsia" w:cs="Times New Roman"/>
          <w:i/>
          <w:lang w:val="en-US" w:eastAsia="ru-RU"/>
        </w:rPr>
        <w:t>PAC</w:t>
      </w:r>
      <w:r w:rsidRPr="0040687D">
        <w:rPr>
          <w:rFonts w:eastAsiaTheme="minorEastAsia"/>
          <w:i/>
          <w:lang w:eastAsia="ru-RU"/>
        </w:rPr>
        <w:t xml:space="preserve"> </w:t>
      </w:r>
      <w:r>
        <w:rPr>
          <w:rFonts w:eastAsiaTheme="minorEastAsia"/>
          <w:i/>
          <w:lang w:eastAsia="ru-RU"/>
        </w:rPr>
        <w:t xml:space="preserve">—значение производственных активов, созданных компанией к концу периода.  </w:t>
      </w:r>
    </w:p>
    <w:p w14:paraId="6129DD8D" w14:textId="5D0E3189" w:rsidR="00397F9C" w:rsidRDefault="00B62322" w:rsidP="00397F9C">
      <w:r>
        <w:t>Третьи этап —</w:t>
      </w:r>
      <w:r w:rsidR="006341FE">
        <w:t xml:space="preserve"> </w:t>
      </w:r>
      <w:r w:rsidR="008B34D1">
        <w:t>про</w:t>
      </w:r>
      <w:r>
        <w:t>ведение</w:t>
      </w:r>
      <w:r w:rsidR="008B34D1">
        <w:t xml:space="preserve"> р</w:t>
      </w:r>
      <w:r w:rsidR="00397F9C">
        <w:t>асчет</w:t>
      </w:r>
      <w:r>
        <w:t>ов</w:t>
      </w:r>
      <w:r w:rsidR="00397F9C">
        <w:t xml:space="preserve"> приведенной стоимости свободных денежных потоков компании и величины инвестиций, обеспечивающих постоянство производственных активов компании</w:t>
      </w:r>
      <w:r w:rsidR="005F4B6C">
        <w:t>, за отчетный период</w:t>
      </w:r>
      <w:r w:rsidR="00397F9C">
        <w:t xml:space="preserve">. </w:t>
      </w:r>
      <w:r w:rsidR="005F4B6C">
        <w:t xml:space="preserve">Разница данных двух величин представляет собой стоимость компании, оцененную методом достигнутой стоимости. </w:t>
      </w:r>
      <w:r w:rsidR="008B34D1">
        <w:t>Общая формула (</w:t>
      </w:r>
      <w:r w:rsidR="00195E50">
        <w:t>3</w:t>
      </w:r>
      <w:r w:rsidR="008B34D1">
        <w:t xml:space="preserve">) вычисления представлена ранее в работе. </w:t>
      </w:r>
      <w:r w:rsidR="00A123B1">
        <w:t xml:space="preserve">В данной формуле используется </w:t>
      </w:r>
      <w:r w:rsidR="002B2980">
        <w:t>средневзвешенная цена капитала (</w:t>
      </w:r>
      <w:r w:rsidR="002B2980">
        <w:rPr>
          <w:lang w:val="en-US"/>
        </w:rPr>
        <w:t>WACC</w:t>
      </w:r>
      <w:r w:rsidR="002B2980" w:rsidRPr="002B2980">
        <w:t>)</w:t>
      </w:r>
      <w:r w:rsidR="002B2980">
        <w:t xml:space="preserve"> для дисконтирования свободного </w:t>
      </w:r>
      <w:r w:rsidR="002B2980">
        <w:lastRenderedPageBreak/>
        <w:t xml:space="preserve">денежного потока в виде произведения возврата инвестиций и среднего значения производственных активов. Использование ставки дисконтирования является сходством с методом </w:t>
      </w:r>
      <w:r w:rsidR="002B2980">
        <w:rPr>
          <w:lang w:val="en-US"/>
        </w:rPr>
        <w:t>DCF</w:t>
      </w:r>
      <w:r w:rsidR="002B2980">
        <w:t xml:space="preserve">, однако в данном случае </w:t>
      </w:r>
      <w:r w:rsidR="002B2980">
        <w:rPr>
          <w:lang w:val="en-US"/>
        </w:rPr>
        <w:t>WACC</w:t>
      </w:r>
      <w:r w:rsidR="002B2980">
        <w:t xml:space="preserve"> применяется не для прогнозных данных, а для приведения существующих реальных значений. </w:t>
      </w:r>
    </w:p>
    <w:p w14:paraId="6709A27E" w14:textId="35B90D31" w:rsidR="00E175AF" w:rsidRDefault="00DE2FB2" w:rsidP="00203CF8">
      <w:r>
        <w:t>В методе достигнутой стоимости ценность бизнеса представляется как разница приведенной стоимости свободных денежных потоков и приведенной стоимости периодических инвестиций для обеспечения постоянного уровня производственных активов. В данном определении необходимо предположение о том, что все активы остаются неизменными в будущем: износ, амортизация активов нивелируется за счет постоянного уровня инвестиций. На практике в компаниях некоторые активы не подлежат амортизации, ярким примером является гудвилл, данный показатель учитывается в производственных активах, но не подвержен амортизации. В некоторых случаях же амортизируемые активы не восстанавливаются, что значит отсутствие инвестиций в данные статьи, например, нематериальные активы, возникшие при покупке другой компании по цене выше балансовой стоимости чистых активов. Вследствие того, что не все активы подвержены амортизации и восстановлению в будущем</w:t>
      </w:r>
      <w:r w:rsidR="00E175AF">
        <w:t>, формула (</w:t>
      </w:r>
      <w:r w:rsidR="00947F08">
        <w:t>3</w:t>
      </w:r>
      <w:r w:rsidR="00E175AF">
        <w:t xml:space="preserve">) ценности компании видоизменяется. </w:t>
      </w:r>
      <w:r w:rsidR="00E175AF">
        <w:rPr>
          <w:lang w:eastAsia="ru-RU"/>
        </w:rPr>
        <w:t xml:space="preserve">Формула стоимости принимает следующий вид: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E175AF" w14:paraId="3FAC4C75" w14:textId="77777777" w:rsidTr="00B72E74">
        <w:tc>
          <w:tcPr>
            <w:tcW w:w="8642" w:type="dxa"/>
          </w:tcPr>
          <w:p w14:paraId="77AB9AEE" w14:textId="77777777" w:rsidR="00E175AF" w:rsidRPr="0095678A" w:rsidRDefault="0056120C" w:rsidP="00B72E74">
            <w:pPr>
              <w:tabs>
                <w:tab w:val="right" w:pos="9072"/>
              </w:tabs>
              <w:ind w:firstLine="0"/>
              <w:rPr>
                <w:rFonts w:ascii="Cambria Math" w:eastAsia="Calibri" w:hAnsi="Cambria Math" w:cs="Times New Roman"/>
                <w:i/>
              </w:rPr>
            </w:pPr>
            <m:oMathPara>
              <m:oMath>
                <m:sSub>
                  <m:sSubPr>
                    <m:ctrlPr>
                      <w:rPr>
                        <w:rFonts w:ascii="Cambria Math" w:hAnsi="Cambria Math"/>
                        <w:i/>
                      </w:rPr>
                    </m:ctrlPr>
                  </m:sSubPr>
                  <m:e>
                    <m:r>
                      <w:rPr>
                        <w:rFonts w:ascii="Cambria Math" w:hAnsi="Cambria Math"/>
                        <w:lang w:val="en-US"/>
                      </w:rPr>
                      <m:t>EV</m:t>
                    </m:r>
                  </m:e>
                  <m:sub>
                    <m:r>
                      <w:rPr>
                        <w:rFonts w:ascii="Cambria Math" w:hAnsi="Cambria Math"/>
                      </w:rPr>
                      <m:t>e</m:t>
                    </m:r>
                  </m:sub>
                </m:sSub>
                <m:r>
                  <w:rPr>
                    <w:rFonts w:ascii="Cambria Math" w:hAnsi="Cambria Math"/>
                  </w:rPr>
                  <m:t xml:space="preserve">= </m:t>
                </m:r>
                <m:f>
                  <m:fPr>
                    <m:ctrlPr>
                      <w:rPr>
                        <w:rFonts w:ascii="Cambria Math" w:hAnsi="Cambria Math"/>
                        <w:i/>
                      </w:rPr>
                    </m:ctrlPr>
                  </m:fPr>
                  <m:num>
                    <m:r>
                      <w:rPr>
                        <w:rFonts w:ascii="Cambria Math" w:hAnsi="Cambria Math"/>
                      </w:rPr>
                      <m:t>ROAA×</m:t>
                    </m:r>
                    <m:sSub>
                      <m:sSubPr>
                        <m:ctrlPr>
                          <w:rPr>
                            <w:rFonts w:ascii="Cambria Math" w:hAnsi="Cambria Math"/>
                            <w:i/>
                          </w:rPr>
                        </m:ctrlPr>
                      </m:sSubPr>
                      <m:e>
                        <m:r>
                          <w:rPr>
                            <w:rFonts w:ascii="Cambria Math" w:hAnsi="Cambria Math"/>
                          </w:rPr>
                          <m:t>PAC</m:t>
                        </m:r>
                      </m:e>
                      <m:sub>
                        <m:r>
                          <w:rPr>
                            <w:rFonts w:ascii="Cambria Math" w:hAnsi="Cambria Math"/>
                          </w:rPr>
                          <m:t>T</m:t>
                        </m:r>
                      </m:sub>
                    </m:sSub>
                  </m:num>
                  <m:den>
                    <m:r>
                      <w:rPr>
                        <w:rFonts w:ascii="Cambria Math" w:hAnsi="Cambria Math"/>
                      </w:rPr>
                      <m:t>r</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1-q</m:t>
                    </m:r>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PAC</m:t>
                        </m:r>
                      </m:e>
                      <m:sub>
                        <m:r>
                          <w:rPr>
                            <w:rFonts w:ascii="Cambria Math" w:hAnsi="Cambria Math"/>
                          </w:rPr>
                          <m:t>T</m:t>
                        </m:r>
                      </m:sub>
                      <m:sup>
                        <m:r>
                          <w:rPr>
                            <w:rFonts w:ascii="Cambria Math" w:hAnsi="Cambria Math"/>
                          </w:rPr>
                          <m:t>*</m:t>
                        </m:r>
                      </m:sup>
                    </m:sSubSup>
                  </m:num>
                  <m:den>
                    <m:r>
                      <w:rPr>
                        <w:rFonts w:ascii="Cambria Math" w:hAnsi="Cambria Math"/>
                      </w:rPr>
                      <m:t>(</m:t>
                    </m:r>
                    <m:sSup>
                      <m:sSupPr>
                        <m:ctrlPr>
                          <w:rPr>
                            <w:rFonts w:ascii="Cambria Math" w:hAnsi="Cambria Math"/>
                            <w:i/>
                          </w:rPr>
                        </m:ctrlPr>
                      </m:sSupPr>
                      <m:e>
                        <m:r>
                          <w:rPr>
                            <w:rFonts w:ascii="Cambria Math" w:hAnsi="Cambria Math"/>
                          </w:rPr>
                          <m:t>1+r)</m:t>
                        </m:r>
                      </m:e>
                      <m:sup>
                        <m:r>
                          <w:rPr>
                            <w:rFonts w:ascii="Cambria Math" w:hAnsi="Cambria Math"/>
                          </w:rPr>
                          <m:t>τ</m:t>
                        </m:r>
                      </m:sup>
                    </m:sSup>
                  </m:den>
                </m:f>
                <m:r>
                  <w:rPr>
                    <w:rFonts w:ascii="Cambria Math" w:hAnsi="Cambria Math"/>
                  </w:rPr>
                  <m:t xml:space="preserve"> </m:t>
                </m:r>
              </m:oMath>
            </m:oMathPara>
          </w:p>
        </w:tc>
        <w:tc>
          <w:tcPr>
            <w:tcW w:w="703" w:type="dxa"/>
          </w:tcPr>
          <w:p w14:paraId="0D639087" w14:textId="715C2279" w:rsidR="00E175AF" w:rsidRPr="00947F08" w:rsidRDefault="00E175AF" w:rsidP="00947F08">
            <w:pPr>
              <w:pStyle w:val="af8"/>
              <w:numPr>
                <w:ilvl w:val="0"/>
                <w:numId w:val="6"/>
              </w:numPr>
              <w:tabs>
                <w:tab w:val="right" w:pos="9072"/>
              </w:tabs>
              <w:rPr>
                <w:rFonts w:eastAsia="Calibri" w:cs="Times New Roman"/>
              </w:rPr>
            </w:pPr>
          </w:p>
        </w:tc>
      </w:tr>
    </w:tbl>
    <w:p w14:paraId="4FFDEDEF" w14:textId="77777777" w:rsidR="00E175AF" w:rsidRPr="00F26C5E" w:rsidRDefault="00E175AF" w:rsidP="00E175AF">
      <w:pPr>
        <w:tabs>
          <w:tab w:val="right" w:pos="9072"/>
        </w:tabs>
        <w:spacing w:line="240" w:lineRule="auto"/>
        <w:ind w:left="709" w:firstLine="0"/>
        <w:rPr>
          <w:rFonts w:eastAsiaTheme="minorEastAsia"/>
        </w:rPr>
      </w:pPr>
      <w:r>
        <w:rPr>
          <w:rFonts w:eastAsiaTheme="minorEastAsia"/>
          <w:i/>
          <w:iCs/>
        </w:rPr>
        <w:t>г</w:t>
      </w:r>
      <w:r w:rsidRPr="00352DC9">
        <w:rPr>
          <w:rFonts w:eastAsiaTheme="minorEastAsia"/>
          <w:i/>
          <w:iCs/>
        </w:rPr>
        <w:t xml:space="preserve">де </w:t>
      </w:r>
      <w:proofErr w:type="spellStart"/>
      <w:r w:rsidRPr="00352DC9">
        <w:rPr>
          <w:rFonts w:eastAsiaTheme="minorEastAsia"/>
          <w:i/>
          <w:iCs/>
          <w:lang w:val="en-US"/>
        </w:rPr>
        <w:t>EV</w:t>
      </w:r>
      <w:r w:rsidRPr="00352DC9">
        <w:rPr>
          <w:rFonts w:eastAsiaTheme="minorEastAsia"/>
          <w:i/>
          <w:iCs/>
          <w:vertAlign w:val="subscript"/>
          <w:lang w:val="en-US"/>
        </w:rPr>
        <w:t>e</w:t>
      </w:r>
      <w:proofErr w:type="spellEnd"/>
      <w:r w:rsidRPr="00352DC9">
        <w:rPr>
          <w:rFonts w:eastAsiaTheme="minorEastAsia"/>
          <w:i/>
          <w:iCs/>
          <w:vertAlign w:val="subscript"/>
        </w:rPr>
        <w:t xml:space="preserve"> </w:t>
      </w:r>
      <w:r w:rsidRPr="00352DC9">
        <w:rPr>
          <w:rFonts w:eastAsiaTheme="minorEastAsia"/>
          <w:i/>
          <w:iCs/>
        </w:rPr>
        <w:t>– стоимость компании на конец отчетного периода,</w:t>
      </w:r>
    </w:p>
    <w:p w14:paraId="5B9DC3F6" w14:textId="11144AFA" w:rsidR="00E175AF" w:rsidRPr="00352DC9" w:rsidRDefault="00E175AF" w:rsidP="00E175AF">
      <w:pPr>
        <w:spacing w:line="240" w:lineRule="auto"/>
        <w:rPr>
          <w:rFonts w:eastAsiaTheme="minorEastAsia"/>
          <w:i/>
          <w:iCs/>
        </w:rPr>
      </w:pPr>
      <w:r w:rsidRPr="00352DC9">
        <w:rPr>
          <w:rFonts w:eastAsiaTheme="minorEastAsia"/>
          <w:i/>
          <w:iCs/>
          <w:lang w:val="en-US"/>
        </w:rPr>
        <w:t>ROAA</w:t>
      </w:r>
      <w:r w:rsidRPr="00352DC9">
        <w:rPr>
          <w:rFonts w:eastAsiaTheme="minorEastAsia"/>
          <w:i/>
          <w:iCs/>
        </w:rPr>
        <w:t xml:space="preserve"> – достигнутая эффективность инвестиций, </w:t>
      </w:r>
    </w:p>
    <w:p w14:paraId="4E73A1E9" w14:textId="77777777" w:rsidR="00E175AF" w:rsidRDefault="00E175AF" w:rsidP="00E175AF">
      <w:pPr>
        <w:spacing w:line="240" w:lineRule="auto"/>
        <w:rPr>
          <w:rFonts w:eastAsiaTheme="minorEastAsia"/>
          <w:i/>
          <w:iCs/>
        </w:rPr>
      </w:pPr>
      <w:r w:rsidRPr="00352DC9">
        <w:rPr>
          <w:rFonts w:eastAsiaTheme="minorEastAsia"/>
          <w:i/>
          <w:iCs/>
          <w:lang w:val="en-US"/>
        </w:rPr>
        <w:t>PAC</w:t>
      </w:r>
      <w:r w:rsidRPr="00352DC9">
        <w:rPr>
          <w:rFonts w:eastAsiaTheme="minorEastAsia"/>
          <w:i/>
          <w:iCs/>
          <w:vertAlign w:val="subscript"/>
          <w:lang w:val="en-US"/>
        </w:rPr>
        <w:t>T</w:t>
      </w:r>
      <w:r w:rsidRPr="00352DC9">
        <w:rPr>
          <w:rFonts w:eastAsiaTheme="minorEastAsia"/>
          <w:i/>
          <w:iCs/>
          <w:vertAlign w:val="subscript"/>
        </w:rPr>
        <w:t xml:space="preserve"> </w:t>
      </w:r>
      <w:r w:rsidRPr="00352DC9">
        <w:rPr>
          <w:rFonts w:eastAsiaTheme="minorEastAsia"/>
          <w:i/>
          <w:iCs/>
        </w:rPr>
        <w:t xml:space="preserve">– объем </w:t>
      </w:r>
      <w:r>
        <w:rPr>
          <w:rFonts w:eastAsiaTheme="minorEastAsia"/>
          <w:i/>
          <w:iCs/>
        </w:rPr>
        <w:t xml:space="preserve">производственных </w:t>
      </w:r>
      <w:r w:rsidRPr="00352DC9">
        <w:rPr>
          <w:rFonts w:eastAsiaTheme="minorEastAsia"/>
          <w:i/>
          <w:iCs/>
        </w:rPr>
        <w:t xml:space="preserve">активов, </w:t>
      </w:r>
    </w:p>
    <w:p w14:paraId="451756EA" w14:textId="77777777" w:rsidR="00E175AF" w:rsidRPr="00352DC9" w:rsidRDefault="00E175AF" w:rsidP="00E175AF">
      <w:pPr>
        <w:spacing w:line="240" w:lineRule="auto"/>
        <w:rPr>
          <w:rFonts w:eastAsiaTheme="minorEastAsia"/>
          <w:i/>
          <w:iCs/>
        </w:rPr>
      </w:pPr>
      <w:r w:rsidRPr="00352DC9">
        <w:rPr>
          <w:rFonts w:eastAsiaTheme="minorEastAsia"/>
          <w:i/>
          <w:iCs/>
          <w:lang w:val="en-US"/>
        </w:rPr>
        <w:t>PAC</w:t>
      </w:r>
      <w:r w:rsidRPr="00352DC9">
        <w:rPr>
          <w:rFonts w:eastAsiaTheme="minorEastAsia"/>
          <w:i/>
          <w:iCs/>
          <w:vertAlign w:val="subscript"/>
          <w:lang w:val="en-US"/>
        </w:rPr>
        <w:t>T</w:t>
      </w:r>
      <w:r>
        <w:rPr>
          <w:rFonts w:eastAsiaTheme="minorEastAsia"/>
          <w:i/>
          <w:iCs/>
        </w:rPr>
        <w:t>*</w:t>
      </w:r>
      <w:r w:rsidRPr="00352DC9">
        <w:rPr>
          <w:rFonts w:eastAsiaTheme="minorEastAsia"/>
          <w:i/>
          <w:iCs/>
          <w:vertAlign w:val="subscript"/>
        </w:rPr>
        <w:t xml:space="preserve"> </w:t>
      </w:r>
      <w:r w:rsidRPr="00352DC9">
        <w:rPr>
          <w:rFonts w:eastAsiaTheme="minorEastAsia"/>
          <w:i/>
          <w:iCs/>
        </w:rPr>
        <w:t xml:space="preserve">– объем </w:t>
      </w:r>
      <w:r>
        <w:rPr>
          <w:rFonts w:eastAsiaTheme="minorEastAsia"/>
          <w:i/>
          <w:iCs/>
        </w:rPr>
        <w:t xml:space="preserve">производственных </w:t>
      </w:r>
      <w:r w:rsidRPr="00352DC9">
        <w:rPr>
          <w:rFonts w:eastAsiaTheme="minorEastAsia"/>
          <w:i/>
          <w:iCs/>
        </w:rPr>
        <w:t>активов,</w:t>
      </w:r>
      <w:r>
        <w:rPr>
          <w:rFonts w:eastAsiaTheme="minorEastAsia"/>
          <w:i/>
          <w:iCs/>
        </w:rPr>
        <w:t xml:space="preserve"> подверженных амортизации, </w:t>
      </w:r>
    </w:p>
    <w:p w14:paraId="2B6E1EBC" w14:textId="77777777" w:rsidR="00E175AF" w:rsidRPr="00352DC9" w:rsidRDefault="00E175AF" w:rsidP="00E175AF">
      <w:pPr>
        <w:spacing w:line="240" w:lineRule="auto"/>
        <w:rPr>
          <w:rFonts w:eastAsiaTheme="minorEastAsia"/>
          <w:i/>
          <w:iCs/>
        </w:rPr>
      </w:pPr>
      <w:r w:rsidRPr="00352DC9">
        <w:rPr>
          <w:rFonts w:eastAsiaTheme="minorEastAsia"/>
          <w:i/>
          <w:iCs/>
          <w:lang w:val="en-US"/>
        </w:rPr>
        <w:t>r</w:t>
      </w:r>
      <w:r w:rsidRPr="00352DC9">
        <w:rPr>
          <w:rFonts w:eastAsiaTheme="minorEastAsia"/>
          <w:i/>
          <w:iCs/>
        </w:rPr>
        <w:t xml:space="preserve"> – рассчитанный </w:t>
      </w:r>
      <w:r w:rsidRPr="00352DC9">
        <w:rPr>
          <w:rFonts w:eastAsiaTheme="minorEastAsia"/>
          <w:i/>
          <w:iCs/>
          <w:lang w:val="en-US"/>
        </w:rPr>
        <w:t>WACC</w:t>
      </w:r>
      <w:r w:rsidRPr="00352DC9">
        <w:rPr>
          <w:rFonts w:eastAsiaTheme="minorEastAsia"/>
          <w:i/>
          <w:iCs/>
        </w:rPr>
        <w:t xml:space="preserve">, </w:t>
      </w:r>
    </w:p>
    <w:p w14:paraId="3A9DCFF7" w14:textId="77777777" w:rsidR="00E175AF" w:rsidRPr="00352DC9" w:rsidRDefault="00E175AF" w:rsidP="00E175AF">
      <w:pPr>
        <w:spacing w:line="240" w:lineRule="auto"/>
        <w:rPr>
          <w:rFonts w:eastAsiaTheme="minorEastAsia"/>
          <w:i/>
          <w:iCs/>
        </w:rPr>
      </w:pPr>
      <w:r w:rsidRPr="00352DC9">
        <w:rPr>
          <w:rFonts w:eastAsiaTheme="minorEastAsia"/>
          <w:i/>
          <w:iCs/>
          <w:lang w:val="en-US"/>
        </w:rPr>
        <w:t>q</w:t>
      </w:r>
      <w:r w:rsidRPr="00352DC9">
        <w:rPr>
          <w:rFonts w:eastAsiaTheme="minorEastAsia"/>
          <w:i/>
          <w:iCs/>
        </w:rPr>
        <w:t xml:space="preserve"> = 1/(1+</w:t>
      </w:r>
      <w:proofErr w:type="gramStart"/>
      <w:r w:rsidRPr="00352DC9">
        <w:rPr>
          <w:rFonts w:eastAsiaTheme="minorEastAsia"/>
          <w:i/>
          <w:iCs/>
          <w:lang w:val="en-US"/>
        </w:rPr>
        <w:t>r</w:t>
      </w:r>
      <w:r w:rsidRPr="00352DC9">
        <w:rPr>
          <w:rFonts w:eastAsiaTheme="minorEastAsia"/>
          <w:i/>
          <w:iCs/>
        </w:rPr>
        <w:t>)</w:t>
      </w:r>
      <w:r w:rsidRPr="00352DC9">
        <w:rPr>
          <w:rFonts w:eastAsiaTheme="minorEastAsia"/>
          <w:i/>
          <w:iCs/>
          <w:vertAlign w:val="superscript"/>
          <w:lang w:val="en-US"/>
        </w:rPr>
        <w:t>T</w:t>
      </w:r>
      <w:proofErr w:type="gramEnd"/>
    </w:p>
    <w:p w14:paraId="533FFD03" w14:textId="77777777" w:rsidR="00E175AF" w:rsidRDefault="00E175AF" w:rsidP="00E175AF">
      <w:pPr>
        <w:spacing w:line="240" w:lineRule="auto"/>
        <w:rPr>
          <w:rFonts w:eastAsiaTheme="minorEastAsia"/>
          <w:i/>
          <w:iCs/>
        </w:rPr>
      </w:pPr>
      <w:r w:rsidRPr="00352DC9">
        <w:rPr>
          <w:rFonts w:eastAsiaTheme="minorEastAsia"/>
          <w:i/>
          <w:iCs/>
          <w:lang w:val="en-US"/>
        </w:rPr>
        <w:sym w:font="Symbol" w:char="F074"/>
      </w:r>
      <w:r w:rsidRPr="00352DC9">
        <w:rPr>
          <w:rFonts w:eastAsiaTheme="minorEastAsia"/>
          <w:i/>
          <w:iCs/>
        </w:rPr>
        <w:t xml:space="preserve"> – средневзвешенное </w:t>
      </w:r>
      <w:r>
        <w:rPr>
          <w:rFonts w:eastAsiaTheme="minorEastAsia"/>
          <w:i/>
          <w:iCs/>
        </w:rPr>
        <w:t xml:space="preserve">время </w:t>
      </w:r>
      <w:r w:rsidRPr="00352DC9">
        <w:rPr>
          <w:rFonts w:eastAsiaTheme="minorEastAsia"/>
          <w:i/>
          <w:iCs/>
        </w:rPr>
        <w:t>существовани</w:t>
      </w:r>
      <w:r>
        <w:rPr>
          <w:rFonts w:eastAsiaTheme="minorEastAsia"/>
          <w:i/>
          <w:iCs/>
        </w:rPr>
        <w:t>я</w:t>
      </w:r>
      <w:r w:rsidRPr="00352DC9">
        <w:rPr>
          <w:rFonts w:eastAsiaTheme="minorEastAsia"/>
          <w:i/>
          <w:iCs/>
        </w:rPr>
        <w:t xml:space="preserve"> активов. </w:t>
      </w:r>
    </w:p>
    <w:p w14:paraId="3EB2E7E6" w14:textId="5FB73B06" w:rsidR="00E175AF" w:rsidRDefault="00E175AF" w:rsidP="00E175AF">
      <w:pPr>
        <w:rPr>
          <w:rFonts w:eastAsiaTheme="minorEastAsia"/>
        </w:rPr>
      </w:pPr>
      <w:r>
        <w:t xml:space="preserve">Условие амортизации части производственных активов изменяет расчет </w:t>
      </w:r>
      <w:r w:rsidRPr="00352DC9">
        <w:rPr>
          <w:rFonts w:eastAsiaTheme="minorEastAsia"/>
          <w:i/>
          <w:iCs/>
          <w:lang w:val="en-US"/>
        </w:rPr>
        <w:sym w:font="Symbol" w:char="F074"/>
      </w:r>
      <w:r>
        <w:rPr>
          <w:rFonts w:eastAsiaTheme="minorEastAsia"/>
        </w:rPr>
        <w:t>, применяющейся в общей формуле (1</w:t>
      </w:r>
      <w:r w:rsidR="00947F08">
        <w:rPr>
          <w:rFonts w:eastAsiaTheme="minorEastAsia"/>
        </w:rPr>
        <w:t>6</w:t>
      </w:r>
      <w:r>
        <w:rPr>
          <w:rFonts w:eastAsiaTheme="minorEastAsia"/>
        </w:rPr>
        <w:t xml:space="preserve">).  Расчет средневзвешенного существования активов проводится по формуле: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E175AF" w14:paraId="7AA83901" w14:textId="77777777" w:rsidTr="00B72E74">
        <w:tc>
          <w:tcPr>
            <w:tcW w:w="8642" w:type="dxa"/>
          </w:tcPr>
          <w:p w14:paraId="70772D7B" w14:textId="77777777" w:rsidR="00E175AF" w:rsidRPr="0095678A" w:rsidRDefault="00E175AF" w:rsidP="00B72E74">
            <w:pPr>
              <w:tabs>
                <w:tab w:val="right" w:pos="9072"/>
              </w:tabs>
              <w:ind w:firstLine="0"/>
              <w:rPr>
                <w:rFonts w:ascii="Cambria Math" w:eastAsia="Calibri" w:hAnsi="Cambria Math" w:cs="Times New Roman"/>
                <w:i/>
              </w:rPr>
            </w:pPr>
            <m:oMathPara>
              <m:oMath>
                <m:r>
                  <w:rPr>
                    <w:rFonts w:ascii="Cambria Math" w:hAnsi="Cambria Math"/>
                  </w:rPr>
                  <m:t xml:space="preserve"> </m:t>
                </m:r>
                <m:r>
                  <w:rPr>
                    <w:rFonts w:ascii="Cambria Math" w:eastAsiaTheme="minorEastAsia" w:hAnsi="Cambria Math"/>
                    <w:i/>
                    <w:iCs/>
                    <w:lang w:val="en-US"/>
                  </w:rPr>
                  <w:sym w:font="Symbol" w:char="F074"/>
                </m:r>
                <m:r>
                  <w:rPr>
                    <w:rFonts w:ascii="Cambria Math" w:eastAsiaTheme="minorEastAsia" w:hAnsi="Cambria Math"/>
                    <w:lang w:val="en-US"/>
                  </w:rPr>
                  <m:t xml:space="preserve"> =</m:t>
                </m:r>
                <m:d>
                  <m:dPr>
                    <m:ctrlPr>
                      <w:rPr>
                        <w:rFonts w:ascii="Cambria Math" w:eastAsiaTheme="minorEastAsia" w:hAnsi="Cambria Math"/>
                        <w:i/>
                        <w:iCs/>
                        <w:lang w:val="en-US"/>
                      </w:rPr>
                    </m:ctrlPr>
                  </m:dPr>
                  <m:e>
                    <m:r>
                      <w:rPr>
                        <w:rFonts w:ascii="Cambria Math" w:eastAsiaTheme="minorEastAsia" w:hAnsi="Cambria Math"/>
                        <w:lang w:val="en-US"/>
                      </w:rPr>
                      <m:t xml:space="preserve">1- </m:t>
                    </m:r>
                    <m:f>
                      <m:fPr>
                        <m:ctrlPr>
                          <w:rPr>
                            <w:rFonts w:ascii="Cambria Math" w:eastAsiaTheme="minorEastAsia" w:hAnsi="Cambria Math"/>
                            <w:i/>
                            <w:iCs/>
                            <w:lang w:val="en-US"/>
                          </w:rPr>
                        </m:ctrlPr>
                      </m:fPr>
                      <m:num>
                        <m:sSub>
                          <m:sSubPr>
                            <m:ctrlPr>
                              <w:rPr>
                                <w:rFonts w:ascii="Cambria Math" w:eastAsiaTheme="minorEastAsia" w:hAnsi="Cambria Math"/>
                                <w:i/>
                                <w:iCs/>
                                <w:lang w:val="en-US"/>
                              </w:rPr>
                            </m:ctrlPr>
                          </m:sSubPr>
                          <m:e>
                            <m:r>
                              <w:rPr>
                                <w:rFonts w:ascii="Cambria Math" w:eastAsiaTheme="minorEastAsia" w:hAnsi="Cambria Math"/>
                                <w:lang w:val="en-US"/>
                              </w:rPr>
                              <m:t>D</m:t>
                            </m:r>
                          </m:e>
                          <m:sub>
                            <m:r>
                              <w:rPr>
                                <w:rFonts w:ascii="Cambria Math" w:eastAsiaTheme="minorEastAsia" w:hAnsi="Cambria Math"/>
                                <w:lang w:val="en-US"/>
                              </w:rPr>
                              <m:t>cum</m:t>
                            </m:r>
                          </m:sub>
                        </m:sSub>
                      </m:num>
                      <m:den>
                        <m:sSubSup>
                          <m:sSubSupPr>
                            <m:ctrlPr>
                              <w:rPr>
                                <w:rFonts w:ascii="Cambria Math" w:eastAsiaTheme="minorEastAsia" w:hAnsi="Cambria Math"/>
                                <w:i/>
                                <w:iCs/>
                                <w:lang w:val="en-US"/>
                              </w:rPr>
                            </m:ctrlPr>
                          </m:sSubSupPr>
                          <m:e>
                            <m:r>
                              <w:rPr>
                                <w:rFonts w:ascii="Cambria Math" w:eastAsiaTheme="minorEastAsia" w:hAnsi="Cambria Math"/>
                                <w:lang w:val="en-US"/>
                              </w:rPr>
                              <m:t>PAC</m:t>
                            </m:r>
                          </m:e>
                          <m:sub>
                            <m:r>
                              <w:rPr>
                                <w:rFonts w:ascii="Cambria Math" w:eastAsiaTheme="minorEastAsia" w:hAnsi="Cambria Math"/>
                                <w:lang w:val="en-US"/>
                              </w:rPr>
                              <m:t>T</m:t>
                            </m:r>
                          </m:sub>
                          <m:sup>
                            <m:r>
                              <w:rPr>
                                <w:rFonts w:ascii="Cambria Math" w:eastAsiaTheme="minorEastAsia" w:hAnsi="Cambria Math"/>
                                <w:lang w:val="en-US"/>
                              </w:rPr>
                              <m:t>*</m:t>
                            </m:r>
                          </m:sup>
                        </m:sSubSup>
                      </m:den>
                    </m:f>
                  </m:e>
                </m:d>
                <m:r>
                  <w:rPr>
                    <w:rFonts w:ascii="Cambria Math" w:eastAsiaTheme="minorEastAsia" w:hAnsi="Cambria Math"/>
                    <w:lang w:val="en-US"/>
                  </w:rPr>
                  <m:t>*</m:t>
                </m:r>
                <m:sSub>
                  <m:sSubPr>
                    <m:ctrlPr>
                      <w:rPr>
                        <w:rFonts w:ascii="Cambria Math" w:eastAsiaTheme="minorEastAsia" w:hAnsi="Cambria Math"/>
                        <w:i/>
                        <w:iCs/>
                        <w:lang w:val="en-US"/>
                      </w:rPr>
                    </m:ctrlPr>
                  </m:sSubPr>
                  <m:e>
                    <m:r>
                      <w:rPr>
                        <w:rFonts w:ascii="Cambria Math" w:eastAsiaTheme="minorEastAsia" w:hAnsi="Cambria Math"/>
                        <w:lang w:val="en-US"/>
                      </w:rPr>
                      <m:t>T</m:t>
                    </m:r>
                  </m:e>
                  <m:sub>
                    <m:r>
                      <w:rPr>
                        <w:rFonts w:ascii="Cambria Math" w:eastAsiaTheme="minorEastAsia" w:hAnsi="Cambria Math"/>
                        <w:lang w:val="en-US"/>
                      </w:rPr>
                      <m:t>a</m:t>
                    </m:r>
                  </m:sub>
                </m:sSub>
              </m:oMath>
            </m:oMathPara>
          </w:p>
        </w:tc>
        <w:tc>
          <w:tcPr>
            <w:tcW w:w="703" w:type="dxa"/>
          </w:tcPr>
          <w:p w14:paraId="2718BA1A" w14:textId="77777777" w:rsidR="00E175AF" w:rsidRPr="00947F08" w:rsidRDefault="00E175AF" w:rsidP="00947F08">
            <w:pPr>
              <w:pStyle w:val="af8"/>
              <w:numPr>
                <w:ilvl w:val="0"/>
                <w:numId w:val="6"/>
              </w:numPr>
              <w:tabs>
                <w:tab w:val="right" w:pos="9072"/>
              </w:tabs>
              <w:rPr>
                <w:rFonts w:eastAsia="Calibri" w:cs="Times New Roman"/>
              </w:rPr>
            </w:pPr>
          </w:p>
        </w:tc>
      </w:tr>
    </w:tbl>
    <w:p w14:paraId="229FD918" w14:textId="77777777" w:rsidR="00E175AF" w:rsidRPr="0049087B" w:rsidRDefault="00E175AF" w:rsidP="00E175AF">
      <w:pPr>
        <w:tabs>
          <w:tab w:val="right" w:pos="9072"/>
        </w:tabs>
        <w:spacing w:line="240" w:lineRule="auto"/>
        <w:ind w:left="709" w:firstLine="0"/>
        <w:rPr>
          <w:rFonts w:eastAsiaTheme="minorEastAsia"/>
          <w:i/>
          <w:iCs/>
        </w:rPr>
      </w:pPr>
      <w:r>
        <w:rPr>
          <w:rFonts w:eastAsiaTheme="minorEastAsia"/>
          <w:i/>
          <w:iCs/>
        </w:rPr>
        <w:t>г</w:t>
      </w:r>
      <w:r w:rsidRPr="00352DC9">
        <w:rPr>
          <w:rFonts w:eastAsiaTheme="minorEastAsia"/>
          <w:i/>
          <w:iCs/>
        </w:rPr>
        <w:t xml:space="preserve">де </w:t>
      </w:r>
      <w:r>
        <w:rPr>
          <w:rFonts w:eastAsiaTheme="minorEastAsia"/>
          <w:i/>
          <w:iCs/>
          <w:lang w:val="en-US"/>
        </w:rPr>
        <w:t>Ta</w:t>
      </w:r>
      <w:r w:rsidRPr="0049087B">
        <w:rPr>
          <w:rFonts w:eastAsiaTheme="minorEastAsia"/>
          <w:i/>
          <w:iCs/>
        </w:rPr>
        <w:t xml:space="preserve"> = </w:t>
      </w:r>
      <w:r>
        <w:rPr>
          <w:rFonts w:eastAsiaTheme="minorEastAsia"/>
          <w:i/>
          <w:iCs/>
          <w:lang w:val="en-US"/>
        </w:rPr>
        <w:t>PAC</w:t>
      </w:r>
      <w:r w:rsidRPr="0049087B">
        <w:rPr>
          <w:rFonts w:eastAsiaTheme="minorEastAsia"/>
          <w:i/>
          <w:iCs/>
        </w:rPr>
        <w:t>*/</w:t>
      </w:r>
      <w:r>
        <w:rPr>
          <w:rFonts w:eastAsiaTheme="minorEastAsia"/>
          <w:i/>
          <w:iCs/>
          <w:lang w:val="en-US"/>
        </w:rPr>
        <w:t>D</w:t>
      </w:r>
      <w:r w:rsidRPr="0049087B">
        <w:rPr>
          <w:rFonts w:eastAsiaTheme="minorEastAsia"/>
          <w:i/>
          <w:iCs/>
        </w:rPr>
        <w:t>*,</w:t>
      </w:r>
    </w:p>
    <w:p w14:paraId="0F145754" w14:textId="0D0F3C22" w:rsidR="00E175AF" w:rsidRDefault="00E175AF" w:rsidP="00053620">
      <w:pPr>
        <w:tabs>
          <w:tab w:val="right" w:pos="9072"/>
        </w:tabs>
        <w:spacing w:line="240" w:lineRule="auto"/>
        <w:ind w:left="709" w:firstLine="0"/>
        <w:rPr>
          <w:rFonts w:eastAsiaTheme="minorEastAsia"/>
          <w:i/>
          <w:iCs/>
        </w:rPr>
      </w:pPr>
      <w:proofErr w:type="spellStart"/>
      <w:r>
        <w:rPr>
          <w:rFonts w:eastAsiaTheme="minorEastAsia"/>
          <w:i/>
          <w:iCs/>
          <w:lang w:val="en-US"/>
        </w:rPr>
        <w:t>Dcum</w:t>
      </w:r>
      <w:proofErr w:type="spellEnd"/>
      <w:r w:rsidRPr="002F1F70">
        <w:rPr>
          <w:rFonts w:eastAsiaTheme="minorEastAsia"/>
          <w:i/>
          <w:iCs/>
        </w:rPr>
        <w:t xml:space="preserve"> — </w:t>
      </w:r>
      <w:r>
        <w:rPr>
          <w:rFonts w:eastAsiaTheme="minorEastAsia"/>
          <w:i/>
          <w:iCs/>
        </w:rPr>
        <w:t xml:space="preserve">накопленная амортизация активов к концу отчетного периода. </w:t>
      </w:r>
    </w:p>
    <w:p w14:paraId="1C82A970" w14:textId="725FA1B7" w:rsidR="00053620" w:rsidRPr="00E175AF" w:rsidRDefault="00053620" w:rsidP="00053620">
      <w:r>
        <w:t>Применение формулы (1</w:t>
      </w:r>
      <w:r w:rsidR="00195E50">
        <w:t>6</w:t>
      </w:r>
      <w:r>
        <w:t xml:space="preserve">) нивелирует предположение о амортизации и восстановления всех активов компании, учитывая разницу между оборотными активами. </w:t>
      </w:r>
      <w:r>
        <w:lastRenderedPageBreak/>
        <w:t>Формулы (</w:t>
      </w:r>
      <w:r w:rsidR="00195E50">
        <w:t>3</w:t>
      </w:r>
      <w:r>
        <w:t>) и (1</w:t>
      </w:r>
      <w:r w:rsidR="00195E50">
        <w:t>6</w:t>
      </w:r>
      <w:r>
        <w:t xml:space="preserve">) могут быть использованы в равной степени, выбор определенной модели зависит от финансово-хозяйственной деятельности компании и структуры активов. </w:t>
      </w:r>
    </w:p>
    <w:p w14:paraId="20DD488D" w14:textId="77777777" w:rsidR="002D1903" w:rsidRDefault="005F4B6C" w:rsidP="00814B91">
      <w:r>
        <w:t>М</w:t>
      </w:r>
      <w:r w:rsidR="00814B91" w:rsidRPr="00973B87">
        <w:t>етод достигнутой стоимости можно использовать для оценки не только годовых результатов компании</w:t>
      </w:r>
      <w:r>
        <w:t xml:space="preserve"> — о</w:t>
      </w:r>
      <w:r w:rsidR="00814B91" w:rsidRPr="00973B87">
        <w:t xml:space="preserve">ценка ценности может быть </w:t>
      </w:r>
      <w:r w:rsidR="00C60095">
        <w:t xml:space="preserve">оперативной </w:t>
      </w:r>
      <w:r w:rsidR="00814B91" w:rsidRPr="00973B87">
        <w:t>и проводиться по необходимости, так как стоимость рассчит</w:t>
      </w:r>
      <w:r>
        <w:t>ывается</w:t>
      </w:r>
      <w:r w:rsidR="00814B91" w:rsidRPr="00973B87">
        <w:t xml:space="preserve"> по бухгалтерской информации за последние 12 месяцев. Данный способ расчета фактических значений по текущим показателям</w:t>
      </w:r>
      <w:r>
        <w:t xml:space="preserve">, а не на основе годовых результатов, </w:t>
      </w:r>
      <w:r w:rsidR="00814B91" w:rsidRPr="00973B87">
        <w:t xml:space="preserve">называется </w:t>
      </w:r>
      <w:r w:rsidR="00814B91" w:rsidRPr="00973B87">
        <w:rPr>
          <w:lang w:val="en-US"/>
        </w:rPr>
        <w:t>LTM</w:t>
      </w:r>
      <w:r w:rsidR="00814B91" w:rsidRPr="00973B87">
        <w:t xml:space="preserve"> (</w:t>
      </w:r>
      <w:r w:rsidR="00814B91" w:rsidRPr="00973B87">
        <w:rPr>
          <w:lang w:val="en-US"/>
        </w:rPr>
        <w:t>Last</w:t>
      </w:r>
      <w:r w:rsidR="00814B91" w:rsidRPr="00973B87">
        <w:t xml:space="preserve"> </w:t>
      </w:r>
      <w:r w:rsidR="00814B91" w:rsidRPr="00973B87">
        <w:rPr>
          <w:lang w:val="en-US"/>
        </w:rPr>
        <w:t>Twelve</w:t>
      </w:r>
      <w:r w:rsidR="00814B91" w:rsidRPr="00973B87">
        <w:t xml:space="preserve"> </w:t>
      </w:r>
      <w:r w:rsidR="00814B91" w:rsidRPr="00973B87">
        <w:rPr>
          <w:lang w:val="en-US"/>
        </w:rPr>
        <w:t>Months</w:t>
      </w:r>
      <w:r w:rsidR="00814B91" w:rsidRPr="00973B87">
        <w:t>)</w:t>
      </w:r>
      <w:r w:rsidR="00F273A0">
        <w:t>,</w:t>
      </w:r>
      <w:r w:rsidR="00814B91">
        <w:rPr>
          <w:rStyle w:val="afe"/>
        </w:rPr>
        <w:footnoteReference w:id="63"/>
      </w:r>
      <w:r w:rsidR="00F273A0">
        <w:t xml:space="preserve"> что позволяет вычислять стоимость для условного года. </w:t>
      </w:r>
      <w:r>
        <w:t xml:space="preserve">Таким образом, </w:t>
      </w:r>
      <w:r w:rsidR="00C60095">
        <w:t xml:space="preserve">метод достигнутой стоимости предоставляет </w:t>
      </w:r>
      <w:r>
        <w:t xml:space="preserve">возможность пересчета стоимости организации в любой момент времени и управления компанией на обновленных данных. </w:t>
      </w:r>
    </w:p>
    <w:p w14:paraId="5E1EADE8" w14:textId="77741FB4" w:rsidR="00814B91" w:rsidRPr="002D1903" w:rsidRDefault="002D1903" w:rsidP="00814B91">
      <w:r>
        <w:t>Р</w:t>
      </w:r>
      <w:r w:rsidR="00C60095">
        <w:t xml:space="preserve">ассчитанная стоимость бизнеса для условного года выявляет новые тенденции и изменения положения компании на рынке, при этом не учитывая сезонные (случайные) колебания в некоторых кварталах, так как информация аккумулируется за годовой период. Сравнивая с методом дисконтирования денежных потоков, в котором используется годовые данные и строится прогноз, способ достигнутой стоимости позволяет оперативно управлять бизнесом на основе своевременной информации. </w:t>
      </w:r>
    </w:p>
    <w:p w14:paraId="5FCAF4D4" w14:textId="19843EE2" w:rsidR="007F03C7" w:rsidRDefault="007F03C7" w:rsidP="00814B91">
      <w:r>
        <w:t>Возможность быстрого обновления значения ценности компании, благодаря оперативному пересчету по методу достигнутой стоимости, позволяет проанализировать потенциал развития компании. Оценщик может провести сравнение полученной стоимости компании на одну акцию с текущей рыночной ценой и прийти к выводу о привлекательности компании.</w:t>
      </w:r>
      <w:r>
        <w:rPr>
          <w:rStyle w:val="afe"/>
        </w:rPr>
        <w:footnoteReference w:id="64"/>
      </w:r>
      <w:r w:rsidR="00C60095">
        <w:t xml:space="preserve"> Также своевременный пересчет стоимости </w:t>
      </w:r>
      <w:r w:rsidR="006341FE">
        <w:t xml:space="preserve">организации </w:t>
      </w:r>
      <w:r w:rsidR="00C60095">
        <w:t>отражает перспективы развития</w:t>
      </w:r>
      <w:r w:rsidR="006341FE">
        <w:t xml:space="preserve"> — </w:t>
      </w:r>
      <w:r w:rsidR="00C60095">
        <w:t xml:space="preserve">управление процессами и деятельностью, происходящих в </w:t>
      </w:r>
      <w:r w:rsidR="006341FE">
        <w:t>фирме</w:t>
      </w:r>
      <w:r w:rsidR="00C60095">
        <w:t xml:space="preserve"> в настоящее время, позволяет оценить </w:t>
      </w:r>
      <w:r w:rsidR="006341FE">
        <w:t xml:space="preserve">результаты, которые компания сможет достичь в будущем. </w:t>
      </w:r>
    </w:p>
    <w:p w14:paraId="450A7CF6" w14:textId="02D875A7" w:rsidR="007F03C7" w:rsidRDefault="002D1903" w:rsidP="007F03C7">
      <w:r>
        <w:t>О</w:t>
      </w:r>
      <w:r w:rsidR="005B7BEA">
        <w:t>ценка ценности компании по методу достигнутой стоимости позволяет выявить влияние ключевых производственных</w:t>
      </w:r>
      <w:r w:rsidR="00B95F75">
        <w:t xml:space="preserve"> </w:t>
      </w:r>
      <w:r w:rsidR="005B7BEA">
        <w:t xml:space="preserve">и финансовых показателей на рыночную стоимость. </w:t>
      </w:r>
      <w:r w:rsidR="006341FE">
        <w:t xml:space="preserve">Данный метод является математически корректным и подходящим целям компании в </w:t>
      </w:r>
      <w:r w:rsidR="006341FE">
        <w:lastRenderedPageBreak/>
        <w:t>достижении прибыли: чем выше рассчитанная стоимость, тем лучше было управление в текущем году и тем лучше перспективы организации в будущем.</w:t>
      </w:r>
      <w:r w:rsidR="006341FE">
        <w:rPr>
          <w:rStyle w:val="afe"/>
        </w:rPr>
        <w:footnoteReference w:id="65"/>
      </w:r>
      <w:r w:rsidR="006341FE">
        <w:t xml:space="preserve"> </w:t>
      </w:r>
    </w:p>
    <w:p w14:paraId="69C2C020" w14:textId="4D3C6DE0" w:rsidR="00A23020" w:rsidRDefault="00A23020" w:rsidP="00A23020">
      <w:pPr>
        <w:pStyle w:val="2"/>
      </w:pPr>
      <w:bookmarkStart w:id="18" w:name="_Toc41822238"/>
      <w:r w:rsidRPr="00C31ADF">
        <w:t>2.4. Сравнение методов дисконтирования денежных потоков и достигнутой стоимости</w:t>
      </w:r>
      <w:bookmarkEnd w:id="18"/>
    </w:p>
    <w:p w14:paraId="3C045612" w14:textId="5147779C" w:rsidR="00E6036B" w:rsidRDefault="00E6036B" w:rsidP="00B62322">
      <w:r>
        <w:t>Методы достигнуто</w:t>
      </w:r>
      <w:r w:rsidR="001334BC">
        <w:t>й</w:t>
      </w:r>
      <w:r>
        <w:t xml:space="preserve"> стоимости и дисконтирования денежных потоков обладают существенными отличительными чертами, что демонстрируется как в теоретических предпосылках подходов, так и в способах проведения расчетов оценки компании. </w:t>
      </w:r>
    </w:p>
    <w:p w14:paraId="12685752" w14:textId="5F5B6006" w:rsidR="00AD4B14" w:rsidRDefault="00AD4B14" w:rsidP="00AD4B14">
      <w:r>
        <w:t xml:space="preserve">Анализируя теоретическую базу подходов, стоит отметить, что метод достигнутой стоимости не предполагает построения прогнозной отчетности. В отличии от метода дисконтирования денежных потоков, расчеты строятся только на реальных показателях компании за последний период времени, равному 12 месяцев. В классическом методе </w:t>
      </w:r>
      <w:r>
        <w:rPr>
          <w:lang w:val="en-US"/>
        </w:rPr>
        <w:t>DCF</w:t>
      </w:r>
      <w:r>
        <w:t xml:space="preserve"> необходимо построение прогнозного периода в 5-10 лет в зависимости от компании, сфер</w:t>
      </w:r>
      <w:r w:rsidR="00B95F75">
        <w:t xml:space="preserve">ы </w:t>
      </w:r>
      <w:r>
        <w:t xml:space="preserve">деятельности и других факторов. </w:t>
      </w:r>
      <w:r w:rsidR="00F5486D">
        <w:t>Рассмотренное о</w:t>
      </w:r>
      <w:r>
        <w:t>тличие</w:t>
      </w:r>
      <w:r w:rsidR="00F5486D">
        <w:t xml:space="preserve"> </w:t>
      </w:r>
      <w:r>
        <w:t xml:space="preserve">позволяет </w:t>
      </w:r>
      <w:r w:rsidR="00F5486D">
        <w:t xml:space="preserve">в методе достигнутой стоимости </w:t>
      </w:r>
      <w:r>
        <w:t>нивелировать проблемы, связанные с прогнозными данными: субъективность и ошибочность.</w:t>
      </w:r>
      <w:r w:rsidR="00F5486D">
        <w:t xml:space="preserve"> </w:t>
      </w:r>
    </w:p>
    <w:p w14:paraId="4EC39B62" w14:textId="4F7FB526" w:rsidR="00AD4B14" w:rsidRDefault="00F5486D" w:rsidP="003B796B">
      <w:r>
        <w:t xml:space="preserve">Данное отличие основано на различных предположениях: в методе достигнутой стоимости применяется принцип стационарности бизнеса. Расчеты оценки компании современным методом производятся в соответствии с данным принципом: достигнутое значения </w:t>
      </w:r>
      <w:r>
        <w:rPr>
          <w:lang w:val="en-US"/>
        </w:rPr>
        <w:t>ROAA</w:t>
      </w:r>
      <w:r>
        <w:t xml:space="preserve"> и производственных активов (</w:t>
      </w:r>
      <w:r>
        <w:rPr>
          <w:lang w:val="en-US"/>
        </w:rPr>
        <w:t>PAC</w:t>
      </w:r>
      <w:r>
        <w:t xml:space="preserve">) сохраняются неизменными в будущем, то есть компания ежегодно производит стабильный уровень свободных денежных потоков. В классическом методе </w:t>
      </w:r>
      <w:r>
        <w:rPr>
          <w:lang w:val="en-US"/>
        </w:rPr>
        <w:t>DCF</w:t>
      </w:r>
      <w:r>
        <w:t>, наоборот, происходит учет будущих изменений и перспектив компании —</w:t>
      </w:r>
      <w:r w:rsidR="000C11C7">
        <w:t xml:space="preserve"> прогноз свободного денежного потока построен на анализ</w:t>
      </w:r>
      <w:r w:rsidR="00B95F75">
        <w:t>е</w:t>
      </w:r>
      <w:r w:rsidR="000C11C7">
        <w:t xml:space="preserve"> финансовой отчетности и предполагаемом темпе роста/изменений в компании. </w:t>
      </w:r>
      <w:r w:rsidR="00F845EA">
        <w:t>Метод достигнутой стоимости позволяет рассчитать действительную стоимость компании на сегодняшний день без субъективного представления оценщика.</w:t>
      </w:r>
    </w:p>
    <w:p w14:paraId="4C4AA741" w14:textId="5ADE9CF4" w:rsidR="00C019E0" w:rsidRDefault="00C019E0" w:rsidP="00C019E0">
      <w:r>
        <w:t xml:space="preserve">В отличии от </w:t>
      </w:r>
      <w:r>
        <w:rPr>
          <w:lang w:val="en-US"/>
        </w:rPr>
        <w:t>DCF</w:t>
      </w:r>
      <w:r>
        <w:t xml:space="preserve">, метод достигнутой стоимости не требует построения прогнозных значений показателей деятельности компании, и предположений о будущем фирмы. Данный метод основан на доступной официальной информации об организации, что полностью нивелирует субъективность расчетов по </w:t>
      </w:r>
      <w:r>
        <w:rPr>
          <w:lang w:val="en-US"/>
        </w:rPr>
        <w:t>DCF</w:t>
      </w:r>
      <w:r>
        <w:t xml:space="preserve"> и трудност</w:t>
      </w:r>
      <w:r w:rsidR="00B95F75">
        <w:t>и</w:t>
      </w:r>
      <w:r>
        <w:t xml:space="preserve"> в построении прогнозов. Таким образом, любой инвестор, вне зависимости от доступа к информации компании, может провести независимую оценку стоимости организации, что демонстрирует привлекательность метода достигнутой стоимости как инструмента </w:t>
      </w:r>
      <w:r>
        <w:lastRenderedPageBreak/>
        <w:t xml:space="preserve">управления стоимостью компании, в особенности для корпоративного управления бизнесом. </w:t>
      </w:r>
    </w:p>
    <w:p w14:paraId="5A526320" w14:textId="293813C9" w:rsidR="006F7780" w:rsidRDefault="00CA13E7" w:rsidP="00B62322">
      <w:r>
        <w:t xml:space="preserve">Метод достигнутой стоимости позволяет оценивать компании за последние 12 месяцев, не привязываясь к отчетному годовому периоду, в сравнении с методом </w:t>
      </w:r>
      <w:r>
        <w:rPr>
          <w:lang w:val="en-US"/>
        </w:rPr>
        <w:t>DCF</w:t>
      </w:r>
      <w:r>
        <w:t>, в котором расчеты производятся на основе отчетных периодов.</w:t>
      </w:r>
      <w:r w:rsidR="003B796B">
        <w:t xml:space="preserve"> В методе достигнутой стоимости можно рекомендовать проводить оценку на основе квартального периода с применением концепции </w:t>
      </w:r>
      <w:r w:rsidR="003B796B">
        <w:rPr>
          <w:lang w:val="en-US"/>
        </w:rPr>
        <w:t>LTM</w:t>
      </w:r>
      <w:r w:rsidR="003B796B" w:rsidRPr="003B796B">
        <w:t xml:space="preserve"> </w:t>
      </w:r>
      <w:r w:rsidR="003B796B">
        <w:t>(</w:t>
      </w:r>
      <w:r w:rsidR="003B796B">
        <w:rPr>
          <w:lang w:val="en-US"/>
        </w:rPr>
        <w:t>Last</w:t>
      </w:r>
      <w:r w:rsidR="003B796B" w:rsidRPr="003B796B">
        <w:t xml:space="preserve"> </w:t>
      </w:r>
      <w:r w:rsidR="003B796B">
        <w:rPr>
          <w:lang w:val="en-US"/>
        </w:rPr>
        <w:t>Twelve</w:t>
      </w:r>
      <w:r w:rsidR="003B796B" w:rsidRPr="003B796B">
        <w:t xml:space="preserve"> </w:t>
      </w:r>
      <w:r w:rsidR="003B796B">
        <w:rPr>
          <w:lang w:val="en-US"/>
        </w:rPr>
        <w:t>Months</w:t>
      </w:r>
      <w:r w:rsidR="003B796B">
        <w:t xml:space="preserve">). </w:t>
      </w:r>
      <w:r>
        <w:t xml:space="preserve"> </w:t>
      </w:r>
      <w:r w:rsidR="006F7780">
        <w:t>Возможность оценки бизнеса в любой промежуток времени позволяет более оперативно обновлять ценность, тем самым управлять стоимость</w:t>
      </w:r>
      <w:r w:rsidR="00B95F75">
        <w:t>ю</w:t>
      </w:r>
      <w:r w:rsidR="006F7780">
        <w:t xml:space="preserve"> компании корректнее.</w:t>
      </w:r>
      <w:r w:rsidR="003B796B">
        <w:t xml:space="preserve"> </w:t>
      </w:r>
    </w:p>
    <w:p w14:paraId="3603FE05" w14:textId="77777777" w:rsidR="00C019E0" w:rsidRDefault="003B796B" w:rsidP="00B62322">
      <w:r>
        <w:t xml:space="preserve">При оценке достигнутой стоимости можно проводить декомпозицию результатов и сравнивать эффективность отдельных сегментов/отделов бизнеса. Для этой цели отчет о прибылях и убытках, производственные активы разделяются по подразделениям и вычисляется достигнутая стоимость для каждого из них, </w:t>
      </w:r>
      <w:r w:rsidR="00B62322">
        <w:t xml:space="preserve">в то время как сегментирование в методе </w:t>
      </w:r>
      <w:r w:rsidR="00B62322">
        <w:rPr>
          <w:lang w:val="en-US"/>
        </w:rPr>
        <w:t>DCF</w:t>
      </w:r>
      <w:r w:rsidR="00B62322">
        <w:t xml:space="preserve"> не является корректным.</w:t>
      </w:r>
      <w:r w:rsidR="00B62322" w:rsidRPr="00B62322">
        <w:t xml:space="preserve"> </w:t>
      </w:r>
      <w:r>
        <w:t xml:space="preserve">Для целей оценки конкретных проектов </w:t>
      </w:r>
      <w:r w:rsidR="00C019E0">
        <w:t>в методе</w:t>
      </w:r>
      <w:r>
        <w:t xml:space="preserve"> дисконтирования денежных потоков производят сравнение </w:t>
      </w:r>
      <w:r w:rsidR="00C019E0">
        <w:t xml:space="preserve">значений стоимости компании отдельно и в совокупности с рассматриваемом проектом, что увеличивает затратность метода. Метод достигнутой стоимости является менее трудоемким и позволяет оперативнее и легче проводить расчеты ценности компании. </w:t>
      </w:r>
    </w:p>
    <w:p w14:paraId="6E2D0EB8" w14:textId="44CE0D00" w:rsidR="00B62322" w:rsidRPr="005F4B6C" w:rsidRDefault="00C019E0" w:rsidP="00C019E0">
      <w:r>
        <w:t xml:space="preserve">Метод достигнутой стоимости позволяет проводить оценку ценности закрытых компаний, которые не ведут активной деятельности на фондовом рынке или имеют низкую ликвидность акций. </w:t>
      </w:r>
      <w:r w:rsidR="00B62322">
        <w:t>В отличии от классических методов, в данном подходе при вычислениях ценности не используются рыночные показатели</w:t>
      </w:r>
      <w:r>
        <w:t>,</w:t>
      </w:r>
      <w:r w:rsidR="00B62322">
        <w:t xml:space="preserve"> такие</w:t>
      </w:r>
      <w:r>
        <w:t xml:space="preserve"> </w:t>
      </w:r>
      <w:r w:rsidR="00B62322">
        <w:t xml:space="preserve">как текущая цена или рыночная капитализация, так как для расчета ценности компании требуется только отчетность предприятия.  В отличии от метода дисконтирования денежных потоков, в данном подходе вместо классических показателей: </w:t>
      </w:r>
      <w:r w:rsidR="00B62322">
        <w:rPr>
          <w:lang w:val="en-US"/>
        </w:rPr>
        <w:t>EBITDA</w:t>
      </w:r>
      <w:r w:rsidR="00B62322" w:rsidRPr="00814B91">
        <w:t xml:space="preserve">, </w:t>
      </w:r>
      <w:r w:rsidR="00B62322">
        <w:rPr>
          <w:lang w:val="en-US"/>
        </w:rPr>
        <w:t>NI</w:t>
      </w:r>
      <w:r w:rsidR="00B62322">
        <w:t xml:space="preserve"> — применяется </w:t>
      </w:r>
      <w:r w:rsidR="00B62322">
        <w:rPr>
          <w:lang w:val="en-US"/>
        </w:rPr>
        <w:t>NOPLAT</w:t>
      </w:r>
      <w:r w:rsidR="00B62322">
        <w:t xml:space="preserve">, </w:t>
      </w:r>
      <w:r w:rsidR="00CA13E7">
        <w:rPr>
          <w:lang w:val="en-US"/>
        </w:rPr>
        <w:t>ROAA</w:t>
      </w:r>
      <w:r w:rsidR="00CA13E7">
        <w:t xml:space="preserve">, </w:t>
      </w:r>
      <w:r w:rsidR="00B62322">
        <w:t>что показывает доступный объем прибыли для использования в компании</w:t>
      </w:r>
      <w:r w:rsidR="00CA13E7">
        <w:t xml:space="preserve"> на данный момент времени. </w:t>
      </w:r>
      <w:r w:rsidR="001334BC">
        <w:t xml:space="preserve">Различия в показателях демонстрируют преимущество метода достигнутой стоимости, так как финансовые махинации с производственными активами, нормализованной прибылью сложнее, чем изменение в дисконтированном денежном потоке. </w:t>
      </w:r>
    </w:p>
    <w:p w14:paraId="253F1A1A" w14:textId="6C17E3C0" w:rsidR="00C019E0" w:rsidRDefault="00524F51" w:rsidP="00C019E0">
      <w:r>
        <w:t>Расчеты оценки двумя методами значительно отлича</w:t>
      </w:r>
      <w:r w:rsidR="00CF0D3C">
        <w:t>ю</w:t>
      </w:r>
      <w:r>
        <w:t xml:space="preserve">тся: метод достигнутой </w:t>
      </w:r>
      <w:r w:rsidR="00CF0D3C">
        <w:t xml:space="preserve">стоимости </w:t>
      </w:r>
      <w:r>
        <w:t xml:space="preserve">представляет </w:t>
      </w:r>
      <w:r w:rsidR="00CF0D3C">
        <w:t xml:space="preserve">ценность </w:t>
      </w:r>
      <w:r>
        <w:t xml:space="preserve">компании как приведенную стоимость свободных денежных потоков минус приведенная стоимость периодических инвестиций. В силу того, что в данном методе предполагается стационарность и неизменность активов, но они </w:t>
      </w:r>
      <w:r>
        <w:lastRenderedPageBreak/>
        <w:t xml:space="preserve">подвержены амортизации/износу, необходимо периодическое восстановление. Условие сохранения активов в постоянном объеме объясняет необходимость периодических инвестиции. В классическом методе дисконтирования денежных потоков </w:t>
      </w:r>
      <w:r w:rsidR="00C80089">
        <w:t xml:space="preserve">ценность компании равна </w:t>
      </w:r>
      <w:r w:rsidR="00C80089" w:rsidRPr="00C80089">
        <w:t>дисконтированной стоимости будущих денежных потоков в прогнозном период</w:t>
      </w:r>
      <w:r w:rsidR="00CF0D3C">
        <w:t>е</w:t>
      </w:r>
      <w:r w:rsidR="00C80089" w:rsidRPr="00C80089">
        <w:t xml:space="preserve"> и стоимости предприятия в постпрогнозном</w:t>
      </w:r>
      <w:r w:rsidR="00C80089">
        <w:t xml:space="preserve">. </w:t>
      </w:r>
    </w:p>
    <w:p w14:paraId="42324D3A" w14:textId="1EC97E97" w:rsidR="00595A83" w:rsidRPr="004D00F0" w:rsidRDefault="00C80089" w:rsidP="00595A83">
      <w:r>
        <w:t xml:space="preserve">Формулы стоимости компании методами достигнутой стоимости и </w:t>
      </w:r>
      <w:r>
        <w:rPr>
          <w:lang w:val="en-US"/>
        </w:rPr>
        <w:t>DCF</w:t>
      </w:r>
      <w:r w:rsidRPr="00C80089">
        <w:t xml:space="preserve"> </w:t>
      </w:r>
      <w:r>
        <w:t xml:space="preserve">отличаются также способами расчета свободных денежных потоков. </w:t>
      </w:r>
      <w:r w:rsidR="004D00F0">
        <w:t xml:space="preserve">В достигнутой стоимости </w:t>
      </w:r>
      <w:r w:rsidR="004D00F0">
        <w:rPr>
          <w:lang w:val="en-US"/>
        </w:rPr>
        <w:t>FCF</w:t>
      </w:r>
      <w:r w:rsidR="004D00F0">
        <w:t xml:space="preserve"> равен произведению эффективности инвестиций и производственных активов в рассматриваемом периоде, а в дисконтировании денежных потоков </w:t>
      </w:r>
      <w:r w:rsidR="004D00F0">
        <w:rPr>
          <w:lang w:val="en-US"/>
        </w:rPr>
        <w:t>FCF</w:t>
      </w:r>
      <w:r w:rsidR="004D00F0">
        <w:t xml:space="preserve"> равен операционному потоку минус инвестиционному. Различие в способах расчета является значительном фактором, разграничивая классический и современный методы. </w:t>
      </w:r>
    </w:p>
    <w:p w14:paraId="225013CD" w14:textId="2438B39E" w:rsidR="00B62322" w:rsidRPr="00B62322" w:rsidRDefault="00DE6428" w:rsidP="00F5486D">
      <w:r>
        <w:t xml:space="preserve">Метод достигнутой стоимости </w:t>
      </w:r>
      <w:r w:rsidR="000C11C7">
        <w:t>является менее трудозатратным, так как в расчетах нет сложности представления отчетностей в будущем</w:t>
      </w:r>
      <w:r>
        <w:t xml:space="preserve">, </w:t>
      </w:r>
      <w:r w:rsidR="006315A2">
        <w:t xml:space="preserve">формулы </w:t>
      </w:r>
      <w:r>
        <w:t>представления ценности компаний</w:t>
      </w:r>
      <w:r w:rsidR="006315A2">
        <w:t xml:space="preserve"> проще, чем при дисконтировании денежных потоков</w:t>
      </w:r>
      <w:r>
        <w:t xml:space="preserve">. </w:t>
      </w:r>
    </w:p>
    <w:p w14:paraId="57FF2657" w14:textId="362D3BF2" w:rsidR="00DD44C4" w:rsidRDefault="00DD44C4" w:rsidP="00DD44C4">
      <w:pPr>
        <w:pStyle w:val="2"/>
      </w:pPr>
      <w:bookmarkStart w:id="19" w:name="_Toc41822239"/>
      <w:r>
        <w:t>Выводы по главе 2</w:t>
      </w:r>
      <w:bookmarkEnd w:id="19"/>
    </w:p>
    <w:p w14:paraId="239666CE" w14:textId="1F01A1B5" w:rsidR="00E511E3" w:rsidRDefault="00835E73" w:rsidP="00E511E3">
      <w:r>
        <w:t xml:space="preserve">Таким образом, методы дисконтирования денежных потоков и достигнутой стоимости обладают рядом существенных особенностей: отличия в прогнозировании данных, разные базовые величины для расчета, </w:t>
      </w:r>
      <w:r w:rsidR="003960CE">
        <w:t xml:space="preserve">уровень </w:t>
      </w:r>
      <w:r>
        <w:t>трудоемкост</w:t>
      </w:r>
      <w:r w:rsidR="003960CE">
        <w:t xml:space="preserve">и </w:t>
      </w:r>
      <w:r>
        <w:t xml:space="preserve">и возможность оперативного пересчета </w:t>
      </w:r>
      <w:r w:rsidR="00E511E3">
        <w:t xml:space="preserve">оценки ценности компании. </w:t>
      </w:r>
      <w:r w:rsidR="00120DC1">
        <w:t xml:space="preserve">Расчеты методом достигнутой стоимости полностью отличаются от классического способа </w:t>
      </w:r>
      <w:r w:rsidR="00120DC1">
        <w:rPr>
          <w:lang w:val="en-US"/>
        </w:rPr>
        <w:t>DCF</w:t>
      </w:r>
      <w:r w:rsidR="00011111">
        <w:t>. В</w:t>
      </w:r>
      <w:r w:rsidR="00E511E3">
        <w:t xml:space="preserve"> связи с этим, анализ данных двух методов представляется интересным с точки зрения сравнения результатов для </w:t>
      </w:r>
      <w:r w:rsidR="00595A83">
        <w:t xml:space="preserve">компаний. </w:t>
      </w:r>
    </w:p>
    <w:p w14:paraId="340DF2C5" w14:textId="16B81502" w:rsidR="003960CE" w:rsidRDefault="00E511E3" w:rsidP="003960CE">
      <w:r>
        <w:t xml:space="preserve">Для выявления возможных различий в </w:t>
      </w:r>
      <w:r w:rsidR="00FC60A3">
        <w:t>расчетах</w:t>
      </w:r>
      <w:r w:rsidR="00595A83">
        <w:t xml:space="preserve">, </w:t>
      </w:r>
      <w:r>
        <w:t>их влияни</w:t>
      </w:r>
      <w:r w:rsidR="00FC60A3">
        <w:t>е на результат</w:t>
      </w:r>
      <w:r w:rsidR="00595A83">
        <w:t xml:space="preserve"> оценки</w:t>
      </w:r>
      <w:r>
        <w:t>, целесообразн</w:t>
      </w:r>
      <w:r w:rsidR="00B358B8">
        <w:t>ым</w:t>
      </w:r>
      <w:r w:rsidR="00595A83">
        <w:t xml:space="preserve"> является рассмотрение разных компаний на российском рынке и расчет их ценности методами</w:t>
      </w:r>
      <w:r w:rsidR="00B358B8">
        <w:t xml:space="preserve"> дисконтирования денежных потоков и достигнутой стоимости</w:t>
      </w:r>
      <w:r w:rsidR="00595A83">
        <w:t xml:space="preserve">. </w:t>
      </w:r>
    </w:p>
    <w:p w14:paraId="190E68BA" w14:textId="3E53E892" w:rsidR="00DE0850" w:rsidRDefault="00FC60A3" w:rsidP="003960CE">
      <w:r>
        <w:t xml:space="preserve"> </w:t>
      </w:r>
      <w:r w:rsidR="00DE0850">
        <w:rPr>
          <w:lang w:eastAsia="ru-RU"/>
        </w:rPr>
        <w:br w:type="page"/>
      </w:r>
    </w:p>
    <w:p w14:paraId="75A345A0" w14:textId="5918BAA4" w:rsidR="00214859" w:rsidRDefault="00214859" w:rsidP="002B4757">
      <w:pPr>
        <w:pStyle w:val="1"/>
        <w:rPr>
          <w:lang w:eastAsia="ru-RU"/>
        </w:rPr>
      </w:pPr>
      <w:bookmarkStart w:id="20" w:name="_Toc41822240"/>
      <w:r>
        <w:rPr>
          <w:lang w:eastAsia="ru-RU"/>
        </w:rPr>
        <w:lastRenderedPageBreak/>
        <w:t xml:space="preserve">Глава 3. </w:t>
      </w:r>
      <w:r w:rsidR="00025044">
        <w:rPr>
          <w:lang w:eastAsia="ru-RU"/>
        </w:rPr>
        <w:t xml:space="preserve">ОЦЕНКА ЦЕННОСТИ РОССИЙСКИХ КОМПАНИЙ МЕТОДАМИ </w:t>
      </w:r>
      <w:r w:rsidR="00025044">
        <w:rPr>
          <w:lang w:val="en-US" w:eastAsia="ru-RU"/>
        </w:rPr>
        <w:t>DCF</w:t>
      </w:r>
      <w:r w:rsidR="00025044" w:rsidRPr="00025044">
        <w:rPr>
          <w:lang w:eastAsia="ru-RU"/>
        </w:rPr>
        <w:t xml:space="preserve"> </w:t>
      </w:r>
      <w:r w:rsidR="00025044">
        <w:rPr>
          <w:lang w:eastAsia="ru-RU"/>
        </w:rPr>
        <w:t>И ДОСТИГНУТОЙ СТОИМОСТИ</w:t>
      </w:r>
      <w:bookmarkEnd w:id="20"/>
      <w:r w:rsidR="00025044">
        <w:rPr>
          <w:lang w:eastAsia="ru-RU"/>
        </w:rPr>
        <w:t xml:space="preserve"> </w:t>
      </w:r>
    </w:p>
    <w:p w14:paraId="38A888A3" w14:textId="3CAB0EA7" w:rsidR="006E0D62" w:rsidRDefault="006E0D62" w:rsidP="006E0D62">
      <w:pPr>
        <w:pStyle w:val="2"/>
        <w:rPr>
          <w:lang w:eastAsia="ru-RU"/>
        </w:rPr>
      </w:pPr>
      <w:bookmarkStart w:id="21" w:name="_Toc41822241"/>
      <w:r>
        <w:rPr>
          <w:lang w:eastAsia="ru-RU"/>
        </w:rPr>
        <w:t>3.1. Характеристика выборки компаний и гипотезы исследования</w:t>
      </w:r>
      <w:bookmarkEnd w:id="21"/>
      <w:r>
        <w:rPr>
          <w:lang w:eastAsia="ru-RU"/>
        </w:rPr>
        <w:t xml:space="preserve"> </w:t>
      </w:r>
    </w:p>
    <w:p w14:paraId="095DF46A" w14:textId="58C3B96C" w:rsidR="00D874C0" w:rsidRDefault="00D874C0" w:rsidP="00D874C0">
      <w:pPr>
        <w:rPr>
          <w:lang w:eastAsia="ru-RU"/>
        </w:rPr>
      </w:pPr>
      <w:r>
        <w:rPr>
          <w:lang w:eastAsia="ru-RU"/>
        </w:rPr>
        <w:t xml:space="preserve">Для проверки метода достигнутой стоимости, его релевантности для оценки ценности компаний были выбраны компании </w:t>
      </w:r>
      <w:r w:rsidR="006315A2">
        <w:rPr>
          <w:lang w:eastAsia="ru-RU"/>
        </w:rPr>
        <w:t xml:space="preserve">как </w:t>
      </w:r>
      <w:r>
        <w:rPr>
          <w:lang w:eastAsia="ru-RU"/>
        </w:rPr>
        <w:t>со стабильным, низким темпом роста,</w:t>
      </w:r>
      <w:r w:rsidR="006315A2">
        <w:rPr>
          <w:lang w:eastAsia="ru-RU"/>
        </w:rPr>
        <w:t xml:space="preserve"> которые находятся на стадии зрелости жизненного цикла, так и с высоким темпом роста выручки.</w:t>
      </w:r>
      <w:r>
        <w:rPr>
          <w:lang w:eastAsia="ru-RU"/>
        </w:rPr>
        <w:t xml:space="preserve"> </w:t>
      </w:r>
    </w:p>
    <w:p w14:paraId="357CB896" w14:textId="2373E48E" w:rsidR="00D874C0" w:rsidRPr="00CF69D8" w:rsidRDefault="00D874C0" w:rsidP="00D874C0">
      <w:pPr>
        <w:rPr>
          <w:lang w:eastAsia="ru-RU"/>
        </w:rPr>
      </w:pPr>
      <w:r>
        <w:rPr>
          <w:lang w:eastAsia="ru-RU"/>
        </w:rPr>
        <w:t>Определение зрелости компании производилось по нескольким критериям</w:t>
      </w:r>
      <w:r w:rsidR="0057666E">
        <w:rPr>
          <w:lang w:eastAsia="ru-RU"/>
        </w:rPr>
        <w:t xml:space="preserve">. </w:t>
      </w:r>
      <w:r w:rsidR="004269BA">
        <w:rPr>
          <w:lang w:eastAsia="ru-RU"/>
        </w:rPr>
        <w:t xml:space="preserve">Важным критерием является </w:t>
      </w:r>
      <w:r w:rsidR="0057666E">
        <w:rPr>
          <w:lang w:eastAsia="ru-RU"/>
        </w:rPr>
        <w:t xml:space="preserve">наличие положительного свободного денежного потока при условии, что операционный денежный поток положительный, а инвестиционный и финансовый — отрицательный. В. </w:t>
      </w:r>
      <w:proofErr w:type="spellStart"/>
      <w:r w:rsidR="0057666E">
        <w:rPr>
          <w:lang w:eastAsia="ru-RU"/>
        </w:rPr>
        <w:t>Дикинсон</w:t>
      </w:r>
      <w:proofErr w:type="spellEnd"/>
      <w:r w:rsidR="0057666E">
        <w:rPr>
          <w:lang w:eastAsia="ru-RU"/>
        </w:rPr>
        <w:t xml:space="preserve"> </w:t>
      </w:r>
      <w:r w:rsidR="00CB4EF2">
        <w:rPr>
          <w:lang w:eastAsia="ru-RU"/>
        </w:rPr>
        <w:t>в 2007 году рассмотрела жизненный цикл компании и выделила пять стадий ЖЦ, которые можно определить по знакам трех потоков денежных средств.</w:t>
      </w:r>
      <w:r w:rsidR="00CB4EF2">
        <w:rPr>
          <w:rStyle w:val="afe"/>
          <w:lang w:eastAsia="ru-RU"/>
        </w:rPr>
        <w:footnoteReference w:id="66"/>
      </w:r>
      <w:r w:rsidR="00CF69D8" w:rsidRPr="00CF69D8">
        <w:rPr>
          <w:lang w:eastAsia="ru-RU"/>
        </w:rPr>
        <w:t xml:space="preserve"> </w:t>
      </w:r>
      <w:r w:rsidR="00CF69D8">
        <w:rPr>
          <w:lang w:eastAsia="ru-RU"/>
        </w:rPr>
        <w:t xml:space="preserve">В таблице ниже приведена зависимость стадии жизненного цикла от знака денежного потока по модели В. </w:t>
      </w:r>
      <w:proofErr w:type="spellStart"/>
      <w:r w:rsidR="00CF69D8">
        <w:rPr>
          <w:lang w:eastAsia="ru-RU"/>
        </w:rPr>
        <w:t>Дикинсон</w:t>
      </w:r>
      <w:proofErr w:type="spellEnd"/>
      <w:r w:rsidR="00CF69D8">
        <w:rPr>
          <w:lang w:eastAsia="ru-RU"/>
        </w:rPr>
        <w:t xml:space="preserve">. </w:t>
      </w:r>
    </w:p>
    <w:p w14:paraId="2335CB9D" w14:textId="4D73F923" w:rsidR="00CB4EF2" w:rsidRDefault="00CB4EF2" w:rsidP="00CB4EF2">
      <w:pPr>
        <w:pStyle w:val="a0"/>
        <w:rPr>
          <w:lang w:eastAsia="ru-RU"/>
        </w:rPr>
      </w:pPr>
      <w:r>
        <w:rPr>
          <w:lang w:eastAsia="ru-RU"/>
        </w:rPr>
        <w:t xml:space="preserve">Соотношение стадии жизненного цикла организации и знаков денежных потоков от разных видов деятельность </w:t>
      </w:r>
    </w:p>
    <w:tbl>
      <w:tblPr>
        <w:tblStyle w:val="af1"/>
        <w:tblW w:w="0" w:type="auto"/>
        <w:tblLook w:val="04A0" w:firstRow="1" w:lastRow="0" w:firstColumn="1" w:lastColumn="0" w:noHBand="0" w:noVBand="1"/>
      </w:tblPr>
      <w:tblGrid>
        <w:gridCol w:w="3256"/>
        <w:gridCol w:w="840"/>
        <w:gridCol w:w="692"/>
        <w:gridCol w:w="692"/>
        <w:gridCol w:w="819"/>
        <w:gridCol w:w="820"/>
        <w:gridCol w:w="819"/>
        <w:gridCol w:w="706"/>
        <w:gridCol w:w="701"/>
      </w:tblGrid>
      <w:tr w:rsidR="00CB4EF2" w14:paraId="53B6B957" w14:textId="77777777" w:rsidTr="00140CFC">
        <w:tc>
          <w:tcPr>
            <w:tcW w:w="3256" w:type="dxa"/>
            <w:vMerge w:val="restart"/>
          </w:tcPr>
          <w:p w14:paraId="39A9A03F" w14:textId="77777777" w:rsidR="00CB4EF2" w:rsidRPr="00D47FF2" w:rsidRDefault="00CB4EF2" w:rsidP="00D874C0">
            <w:pPr>
              <w:ind w:firstLine="0"/>
              <w:rPr>
                <w:sz w:val="22"/>
                <w:lang w:eastAsia="ru-RU"/>
              </w:rPr>
            </w:pPr>
          </w:p>
          <w:p w14:paraId="61941A95" w14:textId="503FC65C" w:rsidR="00CB4EF2" w:rsidRPr="00D47FF2" w:rsidRDefault="00CB4EF2" w:rsidP="00D47FF2">
            <w:pPr>
              <w:ind w:firstLine="0"/>
              <w:jc w:val="center"/>
              <w:rPr>
                <w:b/>
                <w:bCs/>
                <w:sz w:val="22"/>
                <w:lang w:eastAsia="ru-RU"/>
              </w:rPr>
            </w:pPr>
            <w:r w:rsidRPr="00D47FF2">
              <w:rPr>
                <w:b/>
                <w:bCs/>
                <w:sz w:val="22"/>
                <w:lang w:eastAsia="ru-RU"/>
              </w:rPr>
              <w:t>Денежный поток</w:t>
            </w:r>
          </w:p>
        </w:tc>
        <w:tc>
          <w:tcPr>
            <w:tcW w:w="6089" w:type="dxa"/>
            <w:gridSpan w:val="8"/>
          </w:tcPr>
          <w:p w14:paraId="4612A0FC" w14:textId="196666D1" w:rsidR="00CB4EF2" w:rsidRPr="00D47FF2" w:rsidRDefault="00CB4EF2" w:rsidP="00CB4EF2">
            <w:pPr>
              <w:ind w:firstLine="0"/>
              <w:jc w:val="center"/>
              <w:rPr>
                <w:b/>
                <w:bCs/>
                <w:sz w:val="22"/>
                <w:lang w:eastAsia="ru-RU"/>
              </w:rPr>
            </w:pPr>
            <w:r w:rsidRPr="00D47FF2">
              <w:rPr>
                <w:b/>
                <w:bCs/>
                <w:sz w:val="22"/>
                <w:lang w:eastAsia="ru-RU"/>
              </w:rPr>
              <w:t>Стадии жизненного цикла</w:t>
            </w:r>
          </w:p>
        </w:tc>
      </w:tr>
      <w:tr w:rsidR="00140CFC" w14:paraId="133077A3" w14:textId="77777777" w:rsidTr="00140CFC">
        <w:trPr>
          <w:cantSplit/>
          <w:trHeight w:val="1196"/>
        </w:trPr>
        <w:tc>
          <w:tcPr>
            <w:tcW w:w="3256" w:type="dxa"/>
            <w:vMerge/>
          </w:tcPr>
          <w:p w14:paraId="23F1179F" w14:textId="77777777" w:rsidR="00CB4EF2" w:rsidRPr="00D47FF2" w:rsidRDefault="00CB4EF2" w:rsidP="00D874C0">
            <w:pPr>
              <w:ind w:firstLine="0"/>
              <w:rPr>
                <w:sz w:val="22"/>
                <w:lang w:eastAsia="ru-RU"/>
              </w:rPr>
            </w:pPr>
          </w:p>
        </w:tc>
        <w:tc>
          <w:tcPr>
            <w:tcW w:w="840" w:type="dxa"/>
            <w:textDirection w:val="btLr"/>
          </w:tcPr>
          <w:p w14:paraId="73240081" w14:textId="25BFF01E" w:rsidR="00CB4EF2" w:rsidRPr="00D47FF2" w:rsidRDefault="00CB4EF2" w:rsidP="00D47FF2">
            <w:pPr>
              <w:ind w:left="113" w:right="113" w:firstLine="0"/>
              <w:jc w:val="left"/>
              <w:rPr>
                <w:sz w:val="22"/>
                <w:lang w:eastAsia="ru-RU"/>
              </w:rPr>
            </w:pPr>
            <w:r w:rsidRPr="00D47FF2">
              <w:rPr>
                <w:sz w:val="22"/>
                <w:lang w:eastAsia="ru-RU"/>
              </w:rPr>
              <w:t>Зарождение</w:t>
            </w:r>
          </w:p>
        </w:tc>
        <w:tc>
          <w:tcPr>
            <w:tcW w:w="692" w:type="dxa"/>
            <w:textDirection w:val="btLr"/>
          </w:tcPr>
          <w:p w14:paraId="47345B96" w14:textId="4E790585" w:rsidR="00CB4EF2" w:rsidRPr="00D47FF2" w:rsidRDefault="00CB4EF2" w:rsidP="00D47FF2">
            <w:pPr>
              <w:ind w:left="113" w:right="113" w:firstLine="0"/>
              <w:jc w:val="left"/>
              <w:rPr>
                <w:sz w:val="22"/>
                <w:lang w:eastAsia="ru-RU"/>
              </w:rPr>
            </w:pPr>
            <w:r w:rsidRPr="00D47FF2">
              <w:rPr>
                <w:sz w:val="22"/>
                <w:lang w:eastAsia="ru-RU"/>
              </w:rPr>
              <w:t>Рост</w:t>
            </w:r>
          </w:p>
        </w:tc>
        <w:tc>
          <w:tcPr>
            <w:tcW w:w="692" w:type="dxa"/>
            <w:textDirection w:val="btLr"/>
          </w:tcPr>
          <w:p w14:paraId="3EAA53BF" w14:textId="63BEDE62" w:rsidR="00CB4EF2" w:rsidRPr="00D47FF2" w:rsidRDefault="00CB4EF2" w:rsidP="00D47FF2">
            <w:pPr>
              <w:ind w:left="113" w:right="113" w:firstLine="0"/>
              <w:jc w:val="left"/>
              <w:rPr>
                <w:sz w:val="22"/>
                <w:lang w:eastAsia="ru-RU"/>
              </w:rPr>
            </w:pPr>
            <w:r w:rsidRPr="00D47FF2">
              <w:rPr>
                <w:sz w:val="22"/>
                <w:lang w:eastAsia="ru-RU"/>
              </w:rPr>
              <w:t>Зрелость</w:t>
            </w:r>
          </w:p>
        </w:tc>
        <w:tc>
          <w:tcPr>
            <w:tcW w:w="819" w:type="dxa"/>
            <w:textDirection w:val="btLr"/>
          </w:tcPr>
          <w:p w14:paraId="275BA074" w14:textId="41B04AD2" w:rsidR="00CB4EF2" w:rsidRPr="00D47FF2" w:rsidRDefault="00CB4EF2" w:rsidP="00D47FF2">
            <w:pPr>
              <w:ind w:left="113" w:right="113" w:firstLine="0"/>
              <w:jc w:val="left"/>
              <w:rPr>
                <w:sz w:val="22"/>
                <w:lang w:eastAsia="ru-RU"/>
              </w:rPr>
            </w:pPr>
            <w:r w:rsidRPr="00D47FF2">
              <w:rPr>
                <w:sz w:val="22"/>
                <w:lang w:eastAsia="ru-RU"/>
              </w:rPr>
              <w:t>Турбулентность</w:t>
            </w:r>
          </w:p>
        </w:tc>
        <w:tc>
          <w:tcPr>
            <w:tcW w:w="820" w:type="dxa"/>
            <w:textDirection w:val="btLr"/>
          </w:tcPr>
          <w:p w14:paraId="0127425C" w14:textId="3CD7FD00" w:rsidR="00CB4EF2" w:rsidRPr="00D47FF2" w:rsidRDefault="00CB4EF2" w:rsidP="00D47FF2">
            <w:pPr>
              <w:ind w:left="113" w:right="113" w:firstLine="0"/>
              <w:jc w:val="left"/>
              <w:rPr>
                <w:sz w:val="22"/>
                <w:lang w:eastAsia="ru-RU"/>
              </w:rPr>
            </w:pPr>
            <w:r w:rsidRPr="00D47FF2">
              <w:rPr>
                <w:sz w:val="22"/>
                <w:lang w:eastAsia="ru-RU"/>
              </w:rPr>
              <w:t>Турбулентность</w:t>
            </w:r>
          </w:p>
        </w:tc>
        <w:tc>
          <w:tcPr>
            <w:tcW w:w="819" w:type="dxa"/>
            <w:textDirection w:val="btLr"/>
          </w:tcPr>
          <w:p w14:paraId="5A296A15" w14:textId="49DCDC31" w:rsidR="00CB4EF2" w:rsidRPr="00D47FF2" w:rsidRDefault="00CB4EF2" w:rsidP="00D47FF2">
            <w:pPr>
              <w:ind w:left="113" w:right="113" w:firstLine="0"/>
              <w:jc w:val="left"/>
              <w:rPr>
                <w:sz w:val="22"/>
                <w:lang w:eastAsia="ru-RU"/>
              </w:rPr>
            </w:pPr>
            <w:r w:rsidRPr="00D47FF2">
              <w:rPr>
                <w:sz w:val="22"/>
                <w:lang w:eastAsia="ru-RU"/>
              </w:rPr>
              <w:t>турбулентность</w:t>
            </w:r>
          </w:p>
        </w:tc>
        <w:tc>
          <w:tcPr>
            <w:tcW w:w="706" w:type="dxa"/>
            <w:textDirection w:val="btLr"/>
          </w:tcPr>
          <w:p w14:paraId="01D79D59" w14:textId="3F287FF8" w:rsidR="00CB4EF2" w:rsidRPr="00D47FF2" w:rsidRDefault="00CB4EF2" w:rsidP="00D47FF2">
            <w:pPr>
              <w:ind w:left="113" w:right="113" w:firstLine="0"/>
              <w:jc w:val="left"/>
              <w:rPr>
                <w:sz w:val="22"/>
                <w:lang w:eastAsia="ru-RU"/>
              </w:rPr>
            </w:pPr>
            <w:r w:rsidRPr="00D47FF2">
              <w:rPr>
                <w:sz w:val="22"/>
                <w:lang w:eastAsia="ru-RU"/>
              </w:rPr>
              <w:t>Спад</w:t>
            </w:r>
          </w:p>
        </w:tc>
        <w:tc>
          <w:tcPr>
            <w:tcW w:w="701" w:type="dxa"/>
            <w:textDirection w:val="btLr"/>
          </w:tcPr>
          <w:p w14:paraId="47BC059F" w14:textId="2A7BBFEE" w:rsidR="00CB4EF2" w:rsidRPr="00D47FF2" w:rsidRDefault="00CB4EF2" w:rsidP="00D47FF2">
            <w:pPr>
              <w:ind w:left="113" w:right="113" w:firstLine="0"/>
              <w:jc w:val="left"/>
              <w:rPr>
                <w:sz w:val="22"/>
                <w:lang w:eastAsia="ru-RU"/>
              </w:rPr>
            </w:pPr>
            <w:r w:rsidRPr="00D47FF2">
              <w:rPr>
                <w:sz w:val="22"/>
                <w:lang w:eastAsia="ru-RU"/>
              </w:rPr>
              <w:t>Спад</w:t>
            </w:r>
          </w:p>
        </w:tc>
      </w:tr>
      <w:tr w:rsidR="00140CFC" w14:paraId="48124661" w14:textId="77777777" w:rsidTr="00140CFC">
        <w:tc>
          <w:tcPr>
            <w:tcW w:w="3256" w:type="dxa"/>
          </w:tcPr>
          <w:p w14:paraId="456A6EA6" w14:textId="1839C30D" w:rsidR="00CB4EF2" w:rsidRPr="00D47FF2" w:rsidRDefault="00CB4EF2" w:rsidP="00D874C0">
            <w:pPr>
              <w:ind w:firstLine="0"/>
              <w:rPr>
                <w:sz w:val="22"/>
                <w:lang w:eastAsia="ru-RU"/>
              </w:rPr>
            </w:pPr>
            <w:r w:rsidRPr="00D47FF2">
              <w:rPr>
                <w:sz w:val="22"/>
                <w:lang w:eastAsia="ru-RU"/>
              </w:rPr>
              <w:t>Операционный денежный поток</w:t>
            </w:r>
            <w:r w:rsidR="00D47FF2" w:rsidRPr="00D47FF2">
              <w:rPr>
                <w:sz w:val="22"/>
                <w:lang w:eastAsia="ru-RU"/>
              </w:rPr>
              <w:t xml:space="preserve"> (OCF)</w:t>
            </w:r>
          </w:p>
        </w:tc>
        <w:tc>
          <w:tcPr>
            <w:tcW w:w="840" w:type="dxa"/>
          </w:tcPr>
          <w:p w14:paraId="1F23A641" w14:textId="360AC39B" w:rsidR="00CB4EF2" w:rsidRPr="00D47FF2" w:rsidRDefault="00CB4EF2" w:rsidP="00D874C0">
            <w:pPr>
              <w:ind w:firstLine="0"/>
              <w:rPr>
                <w:sz w:val="22"/>
                <w:lang w:eastAsia="ru-RU"/>
              </w:rPr>
            </w:pPr>
            <w:r w:rsidRPr="00D47FF2">
              <w:rPr>
                <w:sz w:val="22"/>
                <w:lang w:eastAsia="ru-RU"/>
              </w:rPr>
              <w:t>-</w:t>
            </w:r>
          </w:p>
        </w:tc>
        <w:tc>
          <w:tcPr>
            <w:tcW w:w="692" w:type="dxa"/>
          </w:tcPr>
          <w:p w14:paraId="35ADDE2F" w14:textId="36FAD675" w:rsidR="00CB4EF2" w:rsidRPr="00D47FF2" w:rsidRDefault="00CB4EF2" w:rsidP="00D874C0">
            <w:pPr>
              <w:ind w:firstLine="0"/>
              <w:rPr>
                <w:sz w:val="22"/>
                <w:lang w:eastAsia="ru-RU"/>
              </w:rPr>
            </w:pPr>
            <w:r w:rsidRPr="00D47FF2">
              <w:rPr>
                <w:sz w:val="22"/>
                <w:lang w:eastAsia="ru-RU"/>
              </w:rPr>
              <w:t>+</w:t>
            </w:r>
          </w:p>
        </w:tc>
        <w:tc>
          <w:tcPr>
            <w:tcW w:w="692" w:type="dxa"/>
          </w:tcPr>
          <w:p w14:paraId="6A31915B" w14:textId="50021D92" w:rsidR="00CB4EF2" w:rsidRPr="00D47FF2" w:rsidRDefault="00CB4EF2" w:rsidP="00D874C0">
            <w:pPr>
              <w:ind w:firstLine="0"/>
              <w:rPr>
                <w:sz w:val="22"/>
                <w:lang w:eastAsia="ru-RU"/>
              </w:rPr>
            </w:pPr>
            <w:r w:rsidRPr="00D47FF2">
              <w:rPr>
                <w:sz w:val="22"/>
                <w:lang w:eastAsia="ru-RU"/>
              </w:rPr>
              <w:t>+</w:t>
            </w:r>
          </w:p>
        </w:tc>
        <w:tc>
          <w:tcPr>
            <w:tcW w:w="819" w:type="dxa"/>
          </w:tcPr>
          <w:p w14:paraId="0AA23990" w14:textId="5C1CDAEF" w:rsidR="00CB4EF2" w:rsidRPr="00D47FF2" w:rsidRDefault="00CB4EF2" w:rsidP="00D874C0">
            <w:pPr>
              <w:ind w:firstLine="0"/>
              <w:rPr>
                <w:sz w:val="22"/>
                <w:lang w:eastAsia="ru-RU"/>
              </w:rPr>
            </w:pPr>
            <w:r w:rsidRPr="00D47FF2">
              <w:rPr>
                <w:sz w:val="22"/>
                <w:lang w:eastAsia="ru-RU"/>
              </w:rPr>
              <w:t>-</w:t>
            </w:r>
          </w:p>
        </w:tc>
        <w:tc>
          <w:tcPr>
            <w:tcW w:w="820" w:type="dxa"/>
          </w:tcPr>
          <w:p w14:paraId="0C86F333" w14:textId="5A07EB20" w:rsidR="00CB4EF2" w:rsidRPr="00D47FF2" w:rsidRDefault="00CB4EF2" w:rsidP="00D874C0">
            <w:pPr>
              <w:ind w:firstLine="0"/>
              <w:rPr>
                <w:sz w:val="22"/>
                <w:lang w:eastAsia="ru-RU"/>
              </w:rPr>
            </w:pPr>
            <w:r w:rsidRPr="00D47FF2">
              <w:rPr>
                <w:sz w:val="22"/>
                <w:lang w:eastAsia="ru-RU"/>
              </w:rPr>
              <w:t>+</w:t>
            </w:r>
          </w:p>
        </w:tc>
        <w:tc>
          <w:tcPr>
            <w:tcW w:w="819" w:type="dxa"/>
          </w:tcPr>
          <w:p w14:paraId="302CB39C" w14:textId="13E43AFC" w:rsidR="00CB4EF2" w:rsidRPr="00D47FF2" w:rsidRDefault="00CB4EF2" w:rsidP="00D874C0">
            <w:pPr>
              <w:ind w:firstLine="0"/>
              <w:rPr>
                <w:sz w:val="22"/>
                <w:lang w:eastAsia="ru-RU"/>
              </w:rPr>
            </w:pPr>
            <w:r w:rsidRPr="00D47FF2">
              <w:rPr>
                <w:sz w:val="22"/>
                <w:lang w:eastAsia="ru-RU"/>
              </w:rPr>
              <w:t>+</w:t>
            </w:r>
          </w:p>
        </w:tc>
        <w:tc>
          <w:tcPr>
            <w:tcW w:w="706" w:type="dxa"/>
          </w:tcPr>
          <w:p w14:paraId="3DF33779" w14:textId="35B79CF4" w:rsidR="00CB4EF2" w:rsidRPr="00D47FF2" w:rsidRDefault="00CB4EF2" w:rsidP="00D874C0">
            <w:pPr>
              <w:ind w:firstLine="0"/>
              <w:rPr>
                <w:sz w:val="22"/>
                <w:lang w:eastAsia="ru-RU"/>
              </w:rPr>
            </w:pPr>
            <w:r w:rsidRPr="00D47FF2">
              <w:rPr>
                <w:sz w:val="22"/>
                <w:lang w:eastAsia="ru-RU"/>
              </w:rPr>
              <w:t>-</w:t>
            </w:r>
          </w:p>
        </w:tc>
        <w:tc>
          <w:tcPr>
            <w:tcW w:w="701" w:type="dxa"/>
          </w:tcPr>
          <w:p w14:paraId="36A3E198" w14:textId="43417C7D" w:rsidR="00CB4EF2" w:rsidRPr="00D47FF2" w:rsidRDefault="00CB4EF2" w:rsidP="00D874C0">
            <w:pPr>
              <w:ind w:firstLine="0"/>
              <w:rPr>
                <w:sz w:val="22"/>
                <w:lang w:eastAsia="ru-RU"/>
              </w:rPr>
            </w:pPr>
            <w:r w:rsidRPr="00D47FF2">
              <w:rPr>
                <w:sz w:val="22"/>
                <w:lang w:eastAsia="ru-RU"/>
              </w:rPr>
              <w:t>-</w:t>
            </w:r>
          </w:p>
        </w:tc>
      </w:tr>
      <w:tr w:rsidR="00140CFC" w14:paraId="5CD6ABE8" w14:textId="77777777" w:rsidTr="00140CFC">
        <w:tc>
          <w:tcPr>
            <w:tcW w:w="3256" w:type="dxa"/>
          </w:tcPr>
          <w:p w14:paraId="0022DFFE" w14:textId="562827B6" w:rsidR="00CB4EF2" w:rsidRPr="00D47FF2" w:rsidRDefault="00CB4EF2" w:rsidP="00D874C0">
            <w:pPr>
              <w:ind w:firstLine="0"/>
              <w:rPr>
                <w:sz w:val="22"/>
                <w:lang w:val="en-US" w:eastAsia="ru-RU"/>
              </w:rPr>
            </w:pPr>
            <w:r w:rsidRPr="00D47FF2">
              <w:rPr>
                <w:sz w:val="22"/>
                <w:lang w:eastAsia="ru-RU"/>
              </w:rPr>
              <w:t>Инвестиционный денежный поток</w:t>
            </w:r>
            <w:r w:rsidR="00D47FF2" w:rsidRPr="00D47FF2">
              <w:rPr>
                <w:sz w:val="22"/>
                <w:lang w:val="en-US" w:eastAsia="ru-RU"/>
              </w:rPr>
              <w:t xml:space="preserve"> (ICF)</w:t>
            </w:r>
          </w:p>
        </w:tc>
        <w:tc>
          <w:tcPr>
            <w:tcW w:w="840" w:type="dxa"/>
          </w:tcPr>
          <w:p w14:paraId="54F7C433" w14:textId="55FEE6F3" w:rsidR="00CB4EF2" w:rsidRPr="00D47FF2" w:rsidRDefault="00CB4EF2" w:rsidP="00D874C0">
            <w:pPr>
              <w:ind w:firstLine="0"/>
              <w:rPr>
                <w:sz w:val="22"/>
                <w:lang w:eastAsia="ru-RU"/>
              </w:rPr>
            </w:pPr>
            <w:r w:rsidRPr="00D47FF2">
              <w:rPr>
                <w:sz w:val="22"/>
                <w:lang w:eastAsia="ru-RU"/>
              </w:rPr>
              <w:t>-</w:t>
            </w:r>
          </w:p>
        </w:tc>
        <w:tc>
          <w:tcPr>
            <w:tcW w:w="692" w:type="dxa"/>
          </w:tcPr>
          <w:p w14:paraId="402EC9D2" w14:textId="5280EC6C" w:rsidR="00CB4EF2" w:rsidRPr="00D47FF2" w:rsidRDefault="00CB4EF2" w:rsidP="00D874C0">
            <w:pPr>
              <w:ind w:firstLine="0"/>
              <w:rPr>
                <w:sz w:val="22"/>
                <w:lang w:eastAsia="ru-RU"/>
              </w:rPr>
            </w:pPr>
            <w:r w:rsidRPr="00D47FF2">
              <w:rPr>
                <w:sz w:val="22"/>
                <w:lang w:eastAsia="ru-RU"/>
              </w:rPr>
              <w:t>-</w:t>
            </w:r>
          </w:p>
        </w:tc>
        <w:tc>
          <w:tcPr>
            <w:tcW w:w="692" w:type="dxa"/>
          </w:tcPr>
          <w:p w14:paraId="5E0157BA" w14:textId="7C35466C" w:rsidR="00CB4EF2" w:rsidRPr="00D47FF2" w:rsidRDefault="00CB4EF2" w:rsidP="00D874C0">
            <w:pPr>
              <w:ind w:firstLine="0"/>
              <w:rPr>
                <w:sz w:val="22"/>
                <w:lang w:eastAsia="ru-RU"/>
              </w:rPr>
            </w:pPr>
            <w:r w:rsidRPr="00D47FF2">
              <w:rPr>
                <w:sz w:val="22"/>
                <w:lang w:eastAsia="ru-RU"/>
              </w:rPr>
              <w:t>-</w:t>
            </w:r>
          </w:p>
        </w:tc>
        <w:tc>
          <w:tcPr>
            <w:tcW w:w="819" w:type="dxa"/>
          </w:tcPr>
          <w:p w14:paraId="748F5D9F" w14:textId="4ED4FDE3" w:rsidR="00CB4EF2" w:rsidRPr="00D47FF2" w:rsidRDefault="00CB4EF2" w:rsidP="00D874C0">
            <w:pPr>
              <w:ind w:firstLine="0"/>
              <w:rPr>
                <w:sz w:val="22"/>
                <w:lang w:eastAsia="ru-RU"/>
              </w:rPr>
            </w:pPr>
            <w:r w:rsidRPr="00D47FF2">
              <w:rPr>
                <w:sz w:val="22"/>
                <w:lang w:eastAsia="ru-RU"/>
              </w:rPr>
              <w:t>-</w:t>
            </w:r>
          </w:p>
        </w:tc>
        <w:tc>
          <w:tcPr>
            <w:tcW w:w="820" w:type="dxa"/>
          </w:tcPr>
          <w:p w14:paraId="3B07A1E9" w14:textId="7CD3FE77" w:rsidR="00CB4EF2" w:rsidRPr="00D47FF2" w:rsidRDefault="00CB4EF2" w:rsidP="00D874C0">
            <w:pPr>
              <w:ind w:firstLine="0"/>
              <w:rPr>
                <w:sz w:val="22"/>
                <w:lang w:eastAsia="ru-RU"/>
              </w:rPr>
            </w:pPr>
            <w:r w:rsidRPr="00D47FF2">
              <w:rPr>
                <w:sz w:val="22"/>
                <w:lang w:eastAsia="ru-RU"/>
              </w:rPr>
              <w:t>+</w:t>
            </w:r>
          </w:p>
        </w:tc>
        <w:tc>
          <w:tcPr>
            <w:tcW w:w="819" w:type="dxa"/>
          </w:tcPr>
          <w:p w14:paraId="2EDB38F1" w14:textId="240FF985" w:rsidR="00CB4EF2" w:rsidRPr="00D47FF2" w:rsidRDefault="00CB4EF2" w:rsidP="00D874C0">
            <w:pPr>
              <w:ind w:firstLine="0"/>
              <w:rPr>
                <w:sz w:val="22"/>
                <w:lang w:eastAsia="ru-RU"/>
              </w:rPr>
            </w:pPr>
            <w:r w:rsidRPr="00D47FF2">
              <w:rPr>
                <w:sz w:val="22"/>
                <w:lang w:eastAsia="ru-RU"/>
              </w:rPr>
              <w:t>+</w:t>
            </w:r>
          </w:p>
        </w:tc>
        <w:tc>
          <w:tcPr>
            <w:tcW w:w="706" w:type="dxa"/>
          </w:tcPr>
          <w:p w14:paraId="2B245277" w14:textId="600D1A73" w:rsidR="00CB4EF2" w:rsidRPr="00D47FF2" w:rsidRDefault="00CB4EF2" w:rsidP="00D874C0">
            <w:pPr>
              <w:ind w:firstLine="0"/>
              <w:rPr>
                <w:sz w:val="22"/>
                <w:lang w:eastAsia="ru-RU"/>
              </w:rPr>
            </w:pPr>
            <w:r w:rsidRPr="00D47FF2">
              <w:rPr>
                <w:sz w:val="22"/>
                <w:lang w:eastAsia="ru-RU"/>
              </w:rPr>
              <w:t>+</w:t>
            </w:r>
          </w:p>
        </w:tc>
        <w:tc>
          <w:tcPr>
            <w:tcW w:w="701" w:type="dxa"/>
          </w:tcPr>
          <w:p w14:paraId="2B7C5BB3" w14:textId="6A2C5EE6" w:rsidR="00CB4EF2" w:rsidRPr="00D47FF2" w:rsidRDefault="00CB4EF2" w:rsidP="00D874C0">
            <w:pPr>
              <w:ind w:firstLine="0"/>
              <w:rPr>
                <w:sz w:val="22"/>
                <w:lang w:eastAsia="ru-RU"/>
              </w:rPr>
            </w:pPr>
            <w:r w:rsidRPr="00D47FF2">
              <w:rPr>
                <w:sz w:val="22"/>
                <w:lang w:eastAsia="ru-RU"/>
              </w:rPr>
              <w:t>+</w:t>
            </w:r>
          </w:p>
        </w:tc>
      </w:tr>
      <w:tr w:rsidR="00140CFC" w14:paraId="37C357DD" w14:textId="77777777" w:rsidTr="00140CFC">
        <w:tc>
          <w:tcPr>
            <w:tcW w:w="3256" w:type="dxa"/>
          </w:tcPr>
          <w:p w14:paraId="53C9C6FB" w14:textId="77777777" w:rsidR="00CB4EF2" w:rsidRPr="00D47FF2" w:rsidRDefault="00CB4EF2" w:rsidP="00D874C0">
            <w:pPr>
              <w:ind w:firstLine="0"/>
              <w:rPr>
                <w:sz w:val="22"/>
                <w:lang w:eastAsia="ru-RU"/>
              </w:rPr>
            </w:pPr>
            <w:r w:rsidRPr="00D47FF2">
              <w:rPr>
                <w:sz w:val="22"/>
                <w:lang w:eastAsia="ru-RU"/>
              </w:rPr>
              <w:t>Финансовый денежный поток</w:t>
            </w:r>
          </w:p>
          <w:p w14:paraId="328DC0DE" w14:textId="6AB474AB" w:rsidR="00D47FF2" w:rsidRPr="00D47FF2" w:rsidRDefault="00D47FF2" w:rsidP="00D874C0">
            <w:pPr>
              <w:ind w:firstLine="0"/>
              <w:rPr>
                <w:sz w:val="22"/>
                <w:lang w:val="en-US" w:eastAsia="ru-RU"/>
              </w:rPr>
            </w:pPr>
            <w:r w:rsidRPr="00D47FF2">
              <w:rPr>
                <w:sz w:val="22"/>
                <w:lang w:val="en-US" w:eastAsia="ru-RU"/>
              </w:rPr>
              <w:t>(FCF)</w:t>
            </w:r>
          </w:p>
        </w:tc>
        <w:tc>
          <w:tcPr>
            <w:tcW w:w="840" w:type="dxa"/>
          </w:tcPr>
          <w:p w14:paraId="032CD979" w14:textId="0B7DF7FE" w:rsidR="00CB4EF2" w:rsidRPr="00D47FF2" w:rsidRDefault="00CB4EF2" w:rsidP="00D874C0">
            <w:pPr>
              <w:ind w:firstLine="0"/>
              <w:rPr>
                <w:sz w:val="22"/>
                <w:lang w:eastAsia="ru-RU"/>
              </w:rPr>
            </w:pPr>
            <w:r w:rsidRPr="00D47FF2">
              <w:rPr>
                <w:sz w:val="22"/>
                <w:lang w:eastAsia="ru-RU"/>
              </w:rPr>
              <w:t>+</w:t>
            </w:r>
          </w:p>
        </w:tc>
        <w:tc>
          <w:tcPr>
            <w:tcW w:w="692" w:type="dxa"/>
          </w:tcPr>
          <w:p w14:paraId="6A9F9BBF" w14:textId="7A9F760E" w:rsidR="00CB4EF2" w:rsidRPr="00D47FF2" w:rsidRDefault="00CB4EF2" w:rsidP="00D874C0">
            <w:pPr>
              <w:ind w:firstLine="0"/>
              <w:rPr>
                <w:sz w:val="22"/>
                <w:lang w:eastAsia="ru-RU"/>
              </w:rPr>
            </w:pPr>
            <w:r w:rsidRPr="00D47FF2">
              <w:rPr>
                <w:sz w:val="22"/>
                <w:lang w:eastAsia="ru-RU"/>
              </w:rPr>
              <w:t>+</w:t>
            </w:r>
          </w:p>
        </w:tc>
        <w:tc>
          <w:tcPr>
            <w:tcW w:w="692" w:type="dxa"/>
          </w:tcPr>
          <w:p w14:paraId="0826CF5A" w14:textId="22DB9C04" w:rsidR="00CB4EF2" w:rsidRPr="00D47FF2" w:rsidRDefault="00CB4EF2" w:rsidP="00D874C0">
            <w:pPr>
              <w:ind w:firstLine="0"/>
              <w:rPr>
                <w:sz w:val="22"/>
                <w:lang w:eastAsia="ru-RU"/>
              </w:rPr>
            </w:pPr>
            <w:r w:rsidRPr="00D47FF2">
              <w:rPr>
                <w:sz w:val="22"/>
                <w:lang w:eastAsia="ru-RU"/>
              </w:rPr>
              <w:t>-</w:t>
            </w:r>
          </w:p>
        </w:tc>
        <w:tc>
          <w:tcPr>
            <w:tcW w:w="819" w:type="dxa"/>
          </w:tcPr>
          <w:p w14:paraId="53ED5575" w14:textId="5DFD05D1" w:rsidR="00CB4EF2" w:rsidRPr="00D47FF2" w:rsidRDefault="00CB4EF2" w:rsidP="00D874C0">
            <w:pPr>
              <w:ind w:firstLine="0"/>
              <w:rPr>
                <w:sz w:val="22"/>
                <w:lang w:eastAsia="ru-RU"/>
              </w:rPr>
            </w:pPr>
            <w:r w:rsidRPr="00D47FF2">
              <w:rPr>
                <w:sz w:val="22"/>
                <w:lang w:eastAsia="ru-RU"/>
              </w:rPr>
              <w:t>-</w:t>
            </w:r>
          </w:p>
        </w:tc>
        <w:tc>
          <w:tcPr>
            <w:tcW w:w="820" w:type="dxa"/>
          </w:tcPr>
          <w:p w14:paraId="52F45852" w14:textId="6BD6253F" w:rsidR="00CB4EF2" w:rsidRPr="00D47FF2" w:rsidRDefault="00CB4EF2" w:rsidP="00D874C0">
            <w:pPr>
              <w:ind w:firstLine="0"/>
              <w:rPr>
                <w:sz w:val="22"/>
                <w:lang w:eastAsia="ru-RU"/>
              </w:rPr>
            </w:pPr>
            <w:r w:rsidRPr="00D47FF2">
              <w:rPr>
                <w:sz w:val="22"/>
                <w:lang w:eastAsia="ru-RU"/>
              </w:rPr>
              <w:t>+</w:t>
            </w:r>
          </w:p>
        </w:tc>
        <w:tc>
          <w:tcPr>
            <w:tcW w:w="819" w:type="dxa"/>
          </w:tcPr>
          <w:p w14:paraId="02ED346F" w14:textId="115FD235" w:rsidR="00CB4EF2" w:rsidRPr="00D47FF2" w:rsidRDefault="00CB4EF2" w:rsidP="00D874C0">
            <w:pPr>
              <w:ind w:firstLine="0"/>
              <w:rPr>
                <w:sz w:val="22"/>
                <w:lang w:eastAsia="ru-RU"/>
              </w:rPr>
            </w:pPr>
            <w:r w:rsidRPr="00D47FF2">
              <w:rPr>
                <w:sz w:val="22"/>
                <w:lang w:eastAsia="ru-RU"/>
              </w:rPr>
              <w:t>-</w:t>
            </w:r>
          </w:p>
        </w:tc>
        <w:tc>
          <w:tcPr>
            <w:tcW w:w="706" w:type="dxa"/>
          </w:tcPr>
          <w:p w14:paraId="6101365A" w14:textId="71BC9780" w:rsidR="00CB4EF2" w:rsidRPr="00D47FF2" w:rsidRDefault="00CB4EF2" w:rsidP="00D874C0">
            <w:pPr>
              <w:ind w:firstLine="0"/>
              <w:rPr>
                <w:sz w:val="22"/>
                <w:lang w:eastAsia="ru-RU"/>
              </w:rPr>
            </w:pPr>
            <w:r w:rsidRPr="00D47FF2">
              <w:rPr>
                <w:sz w:val="22"/>
                <w:lang w:eastAsia="ru-RU"/>
              </w:rPr>
              <w:t>+</w:t>
            </w:r>
          </w:p>
        </w:tc>
        <w:tc>
          <w:tcPr>
            <w:tcW w:w="701" w:type="dxa"/>
          </w:tcPr>
          <w:p w14:paraId="068F051A" w14:textId="6B0CEEA7" w:rsidR="00CB4EF2" w:rsidRPr="00D47FF2" w:rsidRDefault="00CB4EF2" w:rsidP="00D874C0">
            <w:pPr>
              <w:ind w:firstLine="0"/>
              <w:rPr>
                <w:sz w:val="22"/>
                <w:lang w:eastAsia="ru-RU"/>
              </w:rPr>
            </w:pPr>
            <w:r w:rsidRPr="00D47FF2">
              <w:rPr>
                <w:sz w:val="22"/>
                <w:lang w:eastAsia="ru-RU"/>
              </w:rPr>
              <w:t>-</w:t>
            </w:r>
          </w:p>
        </w:tc>
      </w:tr>
    </w:tbl>
    <w:p w14:paraId="76876FF5" w14:textId="1644DDF8" w:rsidR="00CB4EF2" w:rsidRDefault="00CB4EF2" w:rsidP="00CB4EF2">
      <w:pPr>
        <w:spacing w:line="240" w:lineRule="auto"/>
        <w:ind w:firstLine="0"/>
        <w:rPr>
          <w:i/>
          <w:iCs/>
          <w:lang w:val="en-US" w:eastAsia="ru-RU"/>
        </w:rPr>
      </w:pPr>
      <w:r w:rsidRPr="00CB4EF2">
        <w:rPr>
          <w:i/>
          <w:iCs/>
          <w:lang w:eastAsia="ru-RU"/>
        </w:rPr>
        <w:t>Источник</w:t>
      </w:r>
      <w:r w:rsidRPr="00CB4EF2">
        <w:rPr>
          <w:i/>
          <w:iCs/>
          <w:lang w:val="en-US" w:eastAsia="ru-RU"/>
        </w:rPr>
        <w:t>: [</w:t>
      </w:r>
      <w:r w:rsidRPr="00CB4EF2">
        <w:rPr>
          <w:i/>
          <w:iCs/>
          <w:lang w:eastAsia="ru-RU"/>
        </w:rPr>
        <w:t>составлено</w:t>
      </w:r>
      <w:r w:rsidRPr="00CB4EF2">
        <w:rPr>
          <w:i/>
          <w:iCs/>
          <w:lang w:val="en-US" w:eastAsia="ru-RU"/>
        </w:rPr>
        <w:t xml:space="preserve"> </w:t>
      </w:r>
      <w:r w:rsidRPr="00CB4EF2">
        <w:rPr>
          <w:i/>
          <w:iCs/>
          <w:lang w:eastAsia="ru-RU"/>
        </w:rPr>
        <w:t>автором</w:t>
      </w:r>
      <w:r w:rsidRPr="00CB4EF2">
        <w:rPr>
          <w:i/>
          <w:iCs/>
          <w:lang w:val="en-US" w:eastAsia="ru-RU"/>
        </w:rPr>
        <w:t xml:space="preserve"> </w:t>
      </w:r>
      <w:r w:rsidRPr="00CB4EF2">
        <w:rPr>
          <w:i/>
          <w:iCs/>
          <w:lang w:eastAsia="ru-RU"/>
        </w:rPr>
        <w:t>по</w:t>
      </w:r>
      <w:r w:rsidRPr="00CB4EF2">
        <w:rPr>
          <w:i/>
          <w:iCs/>
          <w:lang w:val="en-US" w:eastAsia="ru-RU"/>
        </w:rPr>
        <w:t xml:space="preserve"> V. Dickinson Cash Flow Patterns as a Proxy for Firm Life Cycle, 2007]</w:t>
      </w:r>
    </w:p>
    <w:p w14:paraId="6B0431A8" w14:textId="2D91A801" w:rsidR="009D723B" w:rsidRDefault="00D47FF2" w:rsidP="00D47FF2">
      <w:pPr>
        <w:rPr>
          <w:lang w:eastAsia="ru-RU"/>
        </w:rPr>
      </w:pPr>
      <w:r>
        <w:rPr>
          <w:lang w:eastAsia="ru-RU"/>
        </w:rPr>
        <w:t xml:space="preserve">Из приведенной таблицы видно, что на стадии жизненного цикла зрелости </w:t>
      </w:r>
      <w:r>
        <w:rPr>
          <w:lang w:val="en-US" w:eastAsia="ru-RU"/>
        </w:rPr>
        <w:t>OCF</w:t>
      </w:r>
      <w:r w:rsidRPr="00D47FF2">
        <w:rPr>
          <w:lang w:eastAsia="ru-RU"/>
        </w:rPr>
        <w:t>&gt;</w:t>
      </w:r>
      <w:r w:rsidR="006315A2" w:rsidRPr="00D47FF2">
        <w:rPr>
          <w:lang w:eastAsia="ru-RU"/>
        </w:rPr>
        <w:t>0, ICF &lt;</w:t>
      </w:r>
      <w:r w:rsidRPr="00D47FF2">
        <w:rPr>
          <w:lang w:eastAsia="ru-RU"/>
        </w:rPr>
        <w:t xml:space="preserve">0, </w:t>
      </w:r>
      <w:r w:rsidR="006315A2">
        <w:rPr>
          <w:lang w:val="en-US" w:eastAsia="ru-RU"/>
        </w:rPr>
        <w:t>FCF</w:t>
      </w:r>
      <w:r w:rsidR="006315A2" w:rsidRPr="00D47FF2">
        <w:rPr>
          <w:lang w:eastAsia="ru-RU"/>
        </w:rPr>
        <w:t xml:space="preserve"> &lt;</w:t>
      </w:r>
      <w:r w:rsidRPr="00D47FF2">
        <w:rPr>
          <w:lang w:eastAsia="ru-RU"/>
        </w:rPr>
        <w:t>0</w:t>
      </w:r>
      <w:r>
        <w:rPr>
          <w:lang w:eastAsia="ru-RU"/>
        </w:rPr>
        <w:t>, что служит одним из критериев для выбора стабильных компаний в данной работе.</w:t>
      </w:r>
    </w:p>
    <w:p w14:paraId="6C881D05" w14:textId="112084FF" w:rsidR="004269BA" w:rsidRDefault="007B6C5E" w:rsidP="00D47FF2">
      <w:pPr>
        <w:rPr>
          <w:lang w:eastAsia="ru-RU"/>
        </w:rPr>
      </w:pPr>
      <w:r>
        <w:rPr>
          <w:lang w:eastAsia="ru-RU"/>
        </w:rPr>
        <w:lastRenderedPageBreak/>
        <w:t>Важным критерием для выбора компании по стадии зрелости жизненного цикла является низкая долговая нагрузка компаний. Для анализа долговой нагрузки был выбран показатель чистый долг/</w:t>
      </w:r>
      <w:r>
        <w:rPr>
          <w:lang w:val="en-US" w:eastAsia="ru-RU"/>
        </w:rPr>
        <w:t>EBITDA</w:t>
      </w:r>
      <w:r w:rsidR="00792F6C">
        <w:rPr>
          <w:lang w:eastAsia="ru-RU"/>
        </w:rPr>
        <w:t>.</w:t>
      </w:r>
      <w:r w:rsidR="00792F6C">
        <w:rPr>
          <w:rStyle w:val="afe"/>
          <w:lang w:eastAsia="ru-RU"/>
        </w:rPr>
        <w:footnoteReference w:id="67"/>
      </w:r>
      <w:r w:rsidR="00792F6C">
        <w:rPr>
          <w:lang w:eastAsia="ru-RU"/>
        </w:rPr>
        <w:t xml:space="preserve"> </w:t>
      </w:r>
      <w:r>
        <w:rPr>
          <w:lang w:eastAsia="ru-RU"/>
        </w:rPr>
        <w:t xml:space="preserve">Нормативным значением данного коэффициента является величина не более 3. Данный критерий выделен в работах В. </w:t>
      </w:r>
      <w:proofErr w:type="spellStart"/>
      <w:r>
        <w:rPr>
          <w:lang w:eastAsia="ru-RU"/>
        </w:rPr>
        <w:t>Дикинсон</w:t>
      </w:r>
      <w:proofErr w:type="spellEnd"/>
      <w:r>
        <w:rPr>
          <w:lang w:eastAsia="ru-RU"/>
        </w:rPr>
        <w:t xml:space="preserve">, </w:t>
      </w:r>
      <w:r w:rsidRPr="007B6C5E">
        <w:rPr>
          <w:lang w:eastAsia="ru-RU"/>
        </w:rPr>
        <w:t xml:space="preserve">И.В. </w:t>
      </w:r>
      <w:proofErr w:type="spellStart"/>
      <w:r w:rsidRPr="007B6C5E">
        <w:rPr>
          <w:lang w:eastAsia="ru-RU"/>
        </w:rPr>
        <w:t>Ивашковской</w:t>
      </w:r>
      <w:proofErr w:type="spellEnd"/>
      <w:r>
        <w:rPr>
          <w:rStyle w:val="afe"/>
          <w:lang w:eastAsia="ru-RU"/>
        </w:rPr>
        <w:footnoteReference w:id="68"/>
      </w:r>
      <w:r>
        <w:rPr>
          <w:lang w:eastAsia="ru-RU"/>
        </w:rPr>
        <w:t xml:space="preserve">. </w:t>
      </w:r>
      <w:r w:rsidR="005B7DD2">
        <w:rPr>
          <w:lang w:eastAsia="ru-RU"/>
        </w:rPr>
        <w:t xml:space="preserve">Важным так же был показатель выплаты дивидендов на одну акцию, его среднее значение. </w:t>
      </w:r>
    </w:p>
    <w:p w14:paraId="77B95EB0" w14:textId="3A6D3EA0" w:rsidR="00155486" w:rsidRDefault="00155486" w:rsidP="00D47FF2">
      <w:pPr>
        <w:rPr>
          <w:lang w:eastAsia="ru-RU"/>
        </w:rPr>
      </w:pPr>
      <w:r>
        <w:rPr>
          <w:lang w:eastAsia="ru-RU"/>
        </w:rPr>
        <w:t>Для определения стабильных компаний учитывался темп роста выручки, его низкое значение в будущем.</w:t>
      </w:r>
      <w:r w:rsidR="000C0802">
        <w:rPr>
          <w:lang w:eastAsia="ru-RU"/>
        </w:rPr>
        <w:t xml:space="preserve"> Данное условие удовлетворяет предположению о стационарности в методе достигнутой стоимости. </w:t>
      </w:r>
    </w:p>
    <w:p w14:paraId="0C084D3B" w14:textId="44FC3958" w:rsidR="000C0802" w:rsidRDefault="000C0802" w:rsidP="00D47FF2">
      <w:pPr>
        <w:rPr>
          <w:lang w:eastAsia="ru-RU"/>
        </w:rPr>
      </w:pPr>
      <w:r>
        <w:rPr>
          <w:lang w:eastAsia="ru-RU"/>
        </w:rPr>
        <w:t>С учетом данных критериев отбора были выбраны 5 компаний из разных отраслей</w:t>
      </w:r>
      <w:r w:rsidR="00BD0E41">
        <w:rPr>
          <w:lang w:eastAsia="ru-RU"/>
        </w:rPr>
        <w:t xml:space="preserve">: ПАО «НКХП», ПАО «Новатэк», АК «АЛРОСА», ПАО «АКРОН» и </w:t>
      </w:r>
      <w:r w:rsidR="00BD0E41">
        <w:rPr>
          <w:lang w:val="en-US" w:eastAsia="ru-RU"/>
        </w:rPr>
        <w:t>HeadHunter</w:t>
      </w:r>
      <w:r w:rsidR="00BD0E41" w:rsidRPr="00BD0E41">
        <w:rPr>
          <w:lang w:eastAsia="ru-RU"/>
        </w:rPr>
        <w:t xml:space="preserve"> </w:t>
      </w:r>
      <w:r w:rsidR="00BD0E41">
        <w:rPr>
          <w:lang w:val="en-US" w:eastAsia="ru-RU"/>
        </w:rPr>
        <w:t>group</w:t>
      </w:r>
      <w:r w:rsidR="00BD0E41" w:rsidRPr="00BD0E41">
        <w:rPr>
          <w:lang w:eastAsia="ru-RU"/>
        </w:rPr>
        <w:t xml:space="preserve"> </w:t>
      </w:r>
      <w:r w:rsidR="00BD0E41">
        <w:rPr>
          <w:lang w:val="en-US" w:eastAsia="ru-RU"/>
        </w:rPr>
        <w:t>PLC</w:t>
      </w:r>
      <w:r w:rsidR="00BD0E41" w:rsidRPr="00BD0E41">
        <w:rPr>
          <w:lang w:eastAsia="ru-RU"/>
        </w:rPr>
        <w:t xml:space="preserve">. </w:t>
      </w:r>
      <w:r w:rsidR="0068056F">
        <w:rPr>
          <w:lang w:eastAsia="ru-RU"/>
        </w:rPr>
        <w:t xml:space="preserve">Все компании, кроме </w:t>
      </w:r>
      <w:r w:rsidR="0068056F">
        <w:rPr>
          <w:lang w:val="en-US" w:eastAsia="ru-RU"/>
        </w:rPr>
        <w:t>HeadHunter</w:t>
      </w:r>
      <w:r w:rsidR="0068056F">
        <w:rPr>
          <w:lang w:eastAsia="ru-RU"/>
        </w:rPr>
        <w:t xml:space="preserve">, удовлетворяют критериям стабильных компаний на стадии зрелости жизненного цикла. </w:t>
      </w:r>
      <w:r w:rsidR="0068056F">
        <w:rPr>
          <w:lang w:val="en-US" w:eastAsia="ru-RU"/>
        </w:rPr>
        <w:t>HeadHunter</w:t>
      </w:r>
      <w:r w:rsidR="0068056F">
        <w:rPr>
          <w:lang w:eastAsia="ru-RU"/>
        </w:rPr>
        <w:t xml:space="preserve"> обладает существенным темпом роста выручки (20-25% ежегодно с 2016 года), компания и отрасль находится на стадии роста. Выбор данной компании обусловлен сравнением результатов оценки двумя методами для стабильных и быстрорастущих бизнесов, </w:t>
      </w:r>
      <w:r w:rsidR="00DF31E8">
        <w:rPr>
          <w:lang w:eastAsia="ru-RU"/>
        </w:rPr>
        <w:t>а также демонстраци</w:t>
      </w:r>
      <w:r w:rsidR="000D6316">
        <w:rPr>
          <w:lang w:eastAsia="ru-RU"/>
        </w:rPr>
        <w:t>ей</w:t>
      </w:r>
      <w:r w:rsidR="00DF31E8">
        <w:rPr>
          <w:lang w:eastAsia="ru-RU"/>
        </w:rPr>
        <w:t xml:space="preserve"> разницы в ценности по методу </w:t>
      </w:r>
      <w:r w:rsidR="00DF31E8">
        <w:rPr>
          <w:lang w:val="en-US" w:eastAsia="ru-RU"/>
        </w:rPr>
        <w:t>DCF</w:t>
      </w:r>
      <w:r w:rsidR="00DF31E8">
        <w:rPr>
          <w:lang w:eastAsia="ru-RU"/>
        </w:rPr>
        <w:t xml:space="preserve"> и достигнутой стоимости для </w:t>
      </w:r>
      <w:r w:rsidR="000B1FCD">
        <w:rPr>
          <w:lang w:eastAsia="ru-RU"/>
        </w:rPr>
        <w:t>организаций</w:t>
      </w:r>
      <w:r w:rsidR="00DF31E8">
        <w:rPr>
          <w:lang w:eastAsia="ru-RU"/>
        </w:rPr>
        <w:t xml:space="preserve"> с высоким темпом роста. </w:t>
      </w:r>
    </w:p>
    <w:p w14:paraId="03047EB6" w14:textId="260F5885" w:rsidR="00F97149" w:rsidRDefault="00F97149" w:rsidP="00D47FF2">
      <w:pPr>
        <w:rPr>
          <w:lang w:eastAsia="ru-RU"/>
        </w:rPr>
      </w:pPr>
      <w:r>
        <w:rPr>
          <w:lang w:eastAsia="ru-RU"/>
        </w:rPr>
        <w:t xml:space="preserve">В рамках данного исследования будут рассмотрены следующие гипотезы: </w:t>
      </w:r>
    </w:p>
    <w:p w14:paraId="35C3AACD" w14:textId="3E29D1B2" w:rsidR="00F97149" w:rsidRDefault="00F97149" w:rsidP="00F97149">
      <w:pPr>
        <w:pStyle w:val="af8"/>
        <w:numPr>
          <w:ilvl w:val="0"/>
          <w:numId w:val="32"/>
        </w:numPr>
        <w:rPr>
          <w:lang w:eastAsia="ru-RU"/>
        </w:rPr>
      </w:pPr>
      <w:r>
        <w:rPr>
          <w:lang w:eastAsia="ru-RU"/>
        </w:rPr>
        <w:t xml:space="preserve">Оценка ценности компании методом достигнутой стоимости соответствует значению оценки </w:t>
      </w:r>
      <w:r w:rsidR="008F1C44">
        <w:rPr>
          <w:lang w:eastAsia="ru-RU"/>
        </w:rPr>
        <w:t xml:space="preserve">стоимости </w:t>
      </w:r>
      <w:r>
        <w:rPr>
          <w:lang w:eastAsia="ru-RU"/>
        </w:rPr>
        <w:t>метод</w:t>
      </w:r>
      <w:r w:rsidR="008F1C44">
        <w:rPr>
          <w:lang w:eastAsia="ru-RU"/>
        </w:rPr>
        <w:t>ом</w:t>
      </w:r>
      <w:r>
        <w:rPr>
          <w:lang w:eastAsia="ru-RU"/>
        </w:rPr>
        <w:t xml:space="preserve"> дисконтирования денежных потоков для компаний с низким темпом роста;</w:t>
      </w:r>
    </w:p>
    <w:p w14:paraId="6497FBFE" w14:textId="496AA89D" w:rsidR="0066766A" w:rsidRDefault="0066766A" w:rsidP="0066766A">
      <w:pPr>
        <w:pStyle w:val="af8"/>
        <w:numPr>
          <w:ilvl w:val="0"/>
          <w:numId w:val="32"/>
        </w:numPr>
        <w:rPr>
          <w:lang w:eastAsia="ru-RU"/>
        </w:rPr>
      </w:pPr>
      <w:r>
        <w:rPr>
          <w:lang w:eastAsia="ru-RU"/>
        </w:rPr>
        <w:t xml:space="preserve">Оценка ценности компании методом достигнутой стоимости соответствует значению оценки </w:t>
      </w:r>
      <w:r w:rsidR="008F1C44">
        <w:rPr>
          <w:lang w:eastAsia="ru-RU"/>
        </w:rPr>
        <w:t>стоимости методом</w:t>
      </w:r>
      <w:r>
        <w:rPr>
          <w:lang w:eastAsia="ru-RU"/>
        </w:rPr>
        <w:t xml:space="preserve"> дисконтирования денежных потоков для компаний с высоким темпом роста. </w:t>
      </w:r>
    </w:p>
    <w:p w14:paraId="0C9780AE" w14:textId="303C5C0E" w:rsidR="006B7E28" w:rsidRPr="008F1C44" w:rsidRDefault="00195994" w:rsidP="006B7E28">
      <w:pPr>
        <w:rPr>
          <w:lang w:eastAsia="ru-RU"/>
        </w:rPr>
      </w:pPr>
      <w:r>
        <w:rPr>
          <w:lang w:eastAsia="ru-RU"/>
        </w:rPr>
        <w:t xml:space="preserve">В </w:t>
      </w:r>
      <w:r w:rsidR="006B7E28">
        <w:rPr>
          <w:lang w:eastAsia="ru-RU"/>
        </w:rPr>
        <w:t xml:space="preserve">данном исследовании будет рассмотрена применимость метода достигнутой стоимости на практике, так как близкое значение результатов с методом </w:t>
      </w:r>
      <w:r w:rsidR="006B7E28">
        <w:rPr>
          <w:lang w:val="en-US" w:eastAsia="ru-RU"/>
        </w:rPr>
        <w:t>DCF</w:t>
      </w:r>
      <w:r w:rsidR="006B7E28">
        <w:rPr>
          <w:lang w:eastAsia="ru-RU"/>
        </w:rPr>
        <w:t xml:space="preserve"> демонстрирует возможность использования альтернативного</w:t>
      </w:r>
      <w:r>
        <w:rPr>
          <w:lang w:eastAsia="ru-RU"/>
        </w:rPr>
        <w:t xml:space="preserve">, менее </w:t>
      </w:r>
      <w:r w:rsidR="000D6316">
        <w:rPr>
          <w:lang w:eastAsia="ru-RU"/>
        </w:rPr>
        <w:t>трудозатратного</w:t>
      </w:r>
      <w:r>
        <w:rPr>
          <w:lang w:eastAsia="ru-RU"/>
        </w:rPr>
        <w:t xml:space="preserve"> </w:t>
      </w:r>
      <w:r w:rsidR="006B7E28">
        <w:rPr>
          <w:lang w:eastAsia="ru-RU"/>
        </w:rPr>
        <w:t xml:space="preserve">метода. </w:t>
      </w:r>
      <w:r w:rsidR="008F1C44">
        <w:rPr>
          <w:lang w:eastAsia="ru-RU"/>
        </w:rPr>
        <w:t xml:space="preserve">Соответствие результатов с методом </w:t>
      </w:r>
      <w:r w:rsidR="008F1C44">
        <w:rPr>
          <w:lang w:val="en-US" w:eastAsia="ru-RU"/>
        </w:rPr>
        <w:t>DCF</w:t>
      </w:r>
      <w:r w:rsidR="008F1C44">
        <w:rPr>
          <w:lang w:eastAsia="ru-RU"/>
        </w:rPr>
        <w:t xml:space="preserve"> является важным, так как данный метод является одним из самых распространенных в мире. </w:t>
      </w:r>
    </w:p>
    <w:p w14:paraId="2397B118" w14:textId="5D6E82E3" w:rsidR="00D803F9" w:rsidRPr="006B7E28" w:rsidRDefault="00D803F9" w:rsidP="006B7E28">
      <w:pPr>
        <w:rPr>
          <w:lang w:eastAsia="ru-RU"/>
        </w:rPr>
      </w:pPr>
      <w:r>
        <w:rPr>
          <w:lang w:eastAsia="ru-RU"/>
        </w:rPr>
        <w:lastRenderedPageBreak/>
        <w:t xml:space="preserve">Для того, чтобы исключить влияние кризиса 2020, вызванного пандемией коронавирусной инфекцией, </w:t>
      </w:r>
      <w:r w:rsidR="00DB5BD4">
        <w:rPr>
          <w:lang w:eastAsia="ru-RU"/>
        </w:rPr>
        <w:t xml:space="preserve">оценка ценности компаний проводится на конец 2019 отчетного года. </w:t>
      </w:r>
    </w:p>
    <w:p w14:paraId="33CC7CBE" w14:textId="601908C5" w:rsidR="006E0D62" w:rsidRDefault="006E0D62" w:rsidP="006E0D62">
      <w:pPr>
        <w:pStyle w:val="2"/>
        <w:rPr>
          <w:lang w:eastAsia="ru-RU"/>
        </w:rPr>
      </w:pPr>
      <w:bookmarkStart w:id="22" w:name="_Toc41822242"/>
      <w:r>
        <w:rPr>
          <w:lang w:eastAsia="ru-RU"/>
        </w:rPr>
        <w:t>3.2. Анализ финансово-экономической деятельности выбранных компаний</w:t>
      </w:r>
      <w:bookmarkEnd w:id="22"/>
      <w:r>
        <w:rPr>
          <w:lang w:eastAsia="ru-RU"/>
        </w:rPr>
        <w:t xml:space="preserve"> </w:t>
      </w:r>
    </w:p>
    <w:p w14:paraId="3B725B1D" w14:textId="55CE5B24" w:rsidR="0090066C" w:rsidRPr="0090066C" w:rsidRDefault="0090066C" w:rsidP="0090066C">
      <w:pPr>
        <w:rPr>
          <w:lang w:eastAsia="ru-RU"/>
        </w:rPr>
      </w:pPr>
      <w:r w:rsidRPr="009613DD">
        <w:rPr>
          <w:lang w:eastAsia="ru-RU"/>
        </w:rPr>
        <w:t>Анализ финансово-</w:t>
      </w:r>
      <w:r w:rsidR="00DB5BD4">
        <w:rPr>
          <w:lang w:eastAsia="ru-RU"/>
        </w:rPr>
        <w:t>экономической</w:t>
      </w:r>
      <w:r w:rsidRPr="009613DD">
        <w:rPr>
          <w:lang w:eastAsia="ru-RU"/>
        </w:rPr>
        <w:t xml:space="preserve"> деятельности компаний построен на бухгалтерских отчетностях по стандарту МСФО за 2016-2019 года. </w:t>
      </w:r>
      <w:r w:rsidR="003F4BB8" w:rsidRPr="009613DD">
        <w:rPr>
          <w:lang w:eastAsia="ru-RU"/>
        </w:rPr>
        <w:t>Для проведения оценки ценности компании предварительно необходимо провести анализ финансовой деятельности рассматриваемой компании. В данно</w:t>
      </w:r>
      <w:r w:rsidR="00DB5BD4">
        <w:rPr>
          <w:lang w:eastAsia="ru-RU"/>
        </w:rPr>
        <w:t>м разделе</w:t>
      </w:r>
      <w:r w:rsidR="003F4BB8" w:rsidRPr="009613DD">
        <w:rPr>
          <w:lang w:eastAsia="ru-RU"/>
        </w:rPr>
        <w:t xml:space="preserve"> приведены расчеты оборачиваемости дебиторской, кредиторской задолженностей и запасов, коэффициенты ликвидност</w:t>
      </w:r>
      <w:r w:rsidR="00DB5BD4">
        <w:rPr>
          <w:lang w:eastAsia="ru-RU"/>
        </w:rPr>
        <w:t>и</w:t>
      </w:r>
      <w:r w:rsidR="003F4BB8" w:rsidRPr="009613DD">
        <w:rPr>
          <w:lang w:eastAsia="ru-RU"/>
        </w:rPr>
        <w:t xml:space="preserve"> и изменение собственного капитала компаний. Проанализирован рост выручки за последние 4 года.</w:t>
      </w:r>
      <w:r w:rsidR="003F4BB8">
        <w:rPr>
          <w:lang w:eastAsia="ru-RU"/>
        </w:rPr>
        <w:t xml:space="preserve"> </w:t>
      </w:r>
    </w:p>
    <w:p w14:paraId="1B017FA3" w14:textId="14A0367D" w:rsidR="00F63EE6" w:rsidRDefault="00F63EE6" w:rsidP="00F63EE6">
      <w:pPr>
        <w:pStyle w:val="3"/>
        <w:rPr>
          <w:lang w:eastAsia="ru-RU"/>
        </w:rPr>
      </w:pPr>
      <w:bookmarkStart w:id="23" w:name="_Toc41822243"/>
      <w:r w:rsidRPr="00807368">
        <w:rPr>
          <w:lang w:eastAsia="ru-RU"/>
        </w:rPr>
        <w:t>3.2.1. Анализ финансово-экономической деятельности ПАО «НКХП»</w:t>
      </w:r>
      <w:bookmarkEnd w:id="23"/>
    </w:p>
    <w:p w14:paraId="7A5A457B" w14:textId="688B4A3E" w:rsidR="009613DD" w:rsidRDefault="0090066C" w:rsidP="0090066C">
      <w:pPr>
        <w:rPr>
          <w:lang w:eastAsia="ru-RU"/>
        </w:rPr>
      </w:pPr>
      <w:r w:rsidRPr="0090066C">
        <w:rPr>
          <w:lang w:eastAsia="ru-RU"/>
        </w:rPr>
        <w:t>ПАО «НКХП»</w:t>
      </w:r>
      <w:r>
        <w:rPr>
          <w:lang w:eastAsia="ru-RU"/>
        </w:rPr>
        <w:t xml:space="preserve">, </w:t>
      </w:r>
      <w:r w:rsidRPr="0090066C">
        <w:rPr>
          <w:lang w:eastAsia="ru-RU"/>
        </w:rPr>
        <w:t>Новороссийский комбинат хлебопродуктов</w:t>
      </w:r>
      <w:r w:rsidR="00DB5BD4">
        <w:rPr>
          <w:lang w:eastAsia="ru-RU"/>
        </w:rPr>
        <w:t>,</w:t>
      </w:r>
      <w:r>
        <w:rPr>
          <w:lang w:eastAsia="ru-RU"/>
        </w:rPr>
        <w:t xml:space="preserve"> является одним из крупнейших зерновых терминалов в России. </w:t>
      </w:r>
      <w:r w:rsidR="00A4255E">
        <w:rPr>
          <w:lang w:eastAsia="ru-RU"/>
        </w:rPr>
        <w:t>Терминал компании расположен на берегу Черного моря в Краснодарском крае, что позволяет осуществлять деятельность круглогодично, в силу месторасположения в акватории незамерзающего порта.</w:t>
      </w:r>
      <w:r w:rsidR="00A4255E">
        <w:rPr>
          <w:rStyle w:val="afe"/>
          <w:lang w:eastAsia="ru-RU"/>
        </w:rPr>
        <w:footnoteReference w:id="69"/>
      </w:r>
    </w:p>
    <w:p w14:paraId="61572649" w14:textId="02B1CEE1" w:rsidR="0090066C" w:rsidRDefault="0090066C" w:rsidP="0090066C">
      <w:pPr>
        <w:rPr>
          <w:lang w:eastAsia="ru-RU"/>
        </w:rPr>
      </w:pPr>
      <w:r>
        <w:rPr>
          <w:lang w:eastAsia="ru-RU"/>
        </w:rPr>
        <w:t>Основными видами деятельности является переработка, хранение и перевалка зерновых культур</w:t>
      </w:r>
      <w:r w:rsidR="00A4255E">
        <w:rPr>
          <w:lang w:eastAsia="ru-RU"/>
        </w:rPr>
        <w:t xml:space="preserve">, в том числе осуществление перевалки на экспорт водным транспортом. Экспортными регионами поставки готовой продукции являются страны Ближнего Востока, Юго-Восточной Азии и Дальнего Востока. </w:t>
      </w:r>
      <w:r w:rsidR="008A7EDC">
        <w:rPr>
          <w:lang w:eastAsia="ru-RU"/>
        </w:rPr>
        <w:t xml:space="preserve">Компания НКХП является лидером на рынке с максимальным объемом поставки зерновых культур. </w:t>
      </w:r>
    </w:p>
    <w:p w14:paraId="09BD6077" w14:textId="3F111F4B" w:rsidR="007921D3" w:rsidRDefault="003F4BB8" w:rsidP="00DB5BD4">
      <w:pPr>
        <w:rPr>
          <w:lang w:eastAsia="ru-RU"/>
        </w:rPr>
      </w:pPr>
      <w:r>
        <w:rPr>
          <w:lang w:eastAsia="ru-RU"/>
        </w:rPr>
        <w:t xml:space="preserve">В 2018 году выручка компании НКХП увеличилась в два раза, по сравнению с 2017 годом, что обусловлено оказанием нового вида услуг — </w:t>
      </w:r>
      <w:r w:rsidRPr="003F4BB8">
        <w:rPr>
          <w:lang w:eastAsia="ru-RU"/>
        </w:rPr>
        <w:t>транспортно-экспедиционно</w:t>
      </w:r>
      <w:r w:rsidR="00DB5BD4">
        <w:rPr>
          <w:lang w:eastAsia="ru-RU"/>
        </w:rPr>
        <w:t xml:space="preserve">го </w:t>
      </w:r>
      <w:r w:rsidRPr="003F4BB8">
        <w:rPr>
          <w:lang w:eastAsia="ru-RU"/>
        </w:rPr>
        <w:t>обслуживани</w:t>
      </w:r>
      <w:r w:rsidR="00DB5BD4">
        <w:rPr>
          <w:lang w:eastAsia="ru-RU"/>
        </w:rPr>
        <w:t xml:space="preserve">я </w:t>
      </w:r>
      <w:r w:rsidRPr="003F4BB8">
        <w:rPr>
          <w:lang w:eastAsia="ru-RU"/>
        </w:rPr>
        <w:t>грузов при осуществлении перевалки</w:t>
      </w:r>
      <w:r>
        <w:rPr>
          <w:lang w:eastAsia="ru-RU"/>
        </w:rPr>
        <w:t>.</w:t>
      </w:r>
      <w:r>
        <w:rPr>
          <w:rStyle w:val="afe"/>
          <w:lang w:eastAsia="ru-RU"/>
        </w:rPr>
        <w:footnoteReference w:id="70"/>
      </w:r>
      <w:r>
        <w:rPr>
          <w:lang w:eastAsia="ru-RU"/>
        </w:rPr>
        <w:t xml:space="preserve"> В таблице 4 видно, что в 2018 году выручка составила 13 млрд рублей, а в 2019 году значение увеличилось на 1 млрд рублей, в процентном соотношении темп роста составил 7%. В будущем ожидается замедление темпа роста и не превышение его значение 10%, </w:t>
      </w:r>
      <w:r w:rsidR="000F4171">
        <w:rPr>
          <w:lang w:eastAsia="ru-RU"/>
        </w:rPr>
        <w:t>согласно данным компании и экспертного анализа отрасли.</w:t>
      </w:r>
      <w:r w:rsidR="000F4171">
        <w:rPr>
          <w:rStyle w:val="afe"/>
          <w:lang w:eastAsia="ru-RU"/>
        </w:rPr>
        <w:footnoteReference w:id="71"/>
      </w:r>
      <w:r w:rsidR="000F4171">
        <w:rPr>
          <w:lang w:eastAsia="ru-RU"/>
        </w:rPr>
        <w:t xml:space="preserve"> </w:t>
      </w:r>
    </w:p>
    <w:p w14:paraId="40422B69" w14:textId="00C41613" w:rsidR="00DC0F98" w:rsidRDefault="00024D59" w:rsidP="00024D59">
      <w:pPr>
        <w:pStyle w:val="a0"/>
        <w:rPr>
          <w:lang w:eastAsia="ru-RU"/>
        </w:rPr>
      </w:pPr>
      <w:r>
        <w:rPr>
          <w:lang w:eastAsia="ru-RU"/>
        </w:rPr>
        <w:lastRenderedPageBreak/>
        <w:t>Изменение выручки компании НКХП в период 2016-2019 годы</w:t>
      </w:r>
    </w:p>
    <w:tbl>
      <w:tblPr>
        <w:tblStyle w:val="af1"/>
        <w:tblW w:w="0" w:type="auto"/>
        <w:tblInd w:w="108" w:type="dxa"/>
        <w:tblLook w:val="04A0" w:firstRow="1" w:lastRow="0" w:firstColumn="1" w:lastColumn="0" w:noHBand="0" w:noVBand="1"/>
      </w:tblPr>
      <w:tblGrid>
        <w:gridCol w:w="2263"/>
        <w:gridCol w:w="1843"/>
        <w:gridCol w:w="1843"/>
        <w:gridCol w:w="1701"/>
        <w:gridCol w:w="1695"/>
      </w:tblGrid>
      <w:tr w:rsidR="00024D59" w:rsidRPr="00D359F6" w14:paraId="1260D86A" w14:textId="77777777" w:rsidTr="00AE6842">
        <w:trPr>
          <w:trHeight w:val="290"/>
        </w:trPr>
        <w:tc>
          <w:tcPr>
            <w:tcW w:w="2263" w:type="dxa"/>
            <w:hideMark/>
          </w:tcPr>
          <w:p w14:paraId="4085C7BB" w14:textId="3D15066F" w:rsidR="00024D59" w:rsidRPr="00D359F6" w:rsidRDefault="00024D59" w:rsidP="00024D59">
            <w:pPr>
              <w:ind w:firstLine="26"/>
              <w:jc w:val="left"/>
              <w:rPr>
                <w:b/>
                <w:bCs/>
                <w:sz w:val="22"/>
                <w:lang w:eastAsia="ru-RU"/>
              </w:rPr>
            </w:pPr>
            <w:r w:rsidRPr="00D359F6">
              <w:rPr>
                <w:b/>
                <w:bCs/>
                <w:sz w:val="22"/>
                <w:lang w:eastAsia="ru-RU"/>
              </w:rPr>
              <w:t>Год</w:t>
            </w:r>
          </w:p>
        </w:tc>
        <w:tc>
          <w:tcPr>
            <w:tcW w:w="1843" w:type="dxa"/>
            <w:noWrap/>
            <w:hideMark/>
          </w:tcPr>
          <w:p w14:paraId="674C285F" w14:textId="2F492D39" w:rsidR="00024D59" w:rsidRPr="00D359F6" w:rsidRDefault="00024D59" w:rsidP="00024D59">
            <w:pPr>
              <w:ind w:firstLine="0"/>
              <w:jc w:val="center"/>
              <w:rPr>
                <w:b/>
                <w:bCs/>
                <w:sz w:val="22"/>
                <w:lang w:eastAsia="ru-RU"/>
              </w:rPr>
            </w:pPr>
            <w:r w:rsidRPr="00D359F6">
              <w:rPr>
                <w:b/>
                <w:bCs/>
                <w:sz w:val="22"/>
                <w:lang w:eastAsia="ru-RU"/>
              </w:rPr>
              <w:t>2016</w:t>
            </w:r>
          </w:p>
        </w:tc>
        <w:tc>
          <w:tcPr>
            <w:tcW w:w="1843" w:type="dxa"/>
            <w:hideMark/>
          </w:tcPr>
          <w:p w14:paraId="6FB5C3BD" w14:textId="77777777" w:rsidR="00024D59" w:rsidRPr="00D359F6" w:rsidRDefault="00024D59" w:rsidP="00024D59">
            <w:pPr>
              <w:ind w:firstLine="14"/>
              <w:jc w:val="center"/>
              <w:rPr>
                <w:b/>
                <w:bCs/>
                <w:sz w:val="22"/>
                <w:lang w:eastAsia="ru-RU"/>
              </w:rPr>
            </w:pPr>
            <w:r w:rsidRPr="00D359F6">
              <w:rPr>
                <w:b/>
                <w:bCs/>
                <w:sz w:val="22"/>
                <w:lang w:eastAsia="ru-RU"/>
              </w:rPr>
              <w:t>2017</w:t>
            </w:r>
          </w:p>
        </w:tc>
        <w:tc>
          <w:tcPr>
            <w:tcW w:w="1701" w:type="dxa"/>
            <w:noWrap/>
            <w:hideMark/>
          </w:tcPr>
          <w:p w14:paraId="2B2313D6" w14:textId="77777777" w:rsidR="00024D59" w:rsidRPr="00D359F6" w:rsidRDefault="00024D59" w:rsidP="00024D59">
            <w:pPr>
              <w:ind w:firstLine="14"/>
              <w:jc w:val="center"/>
              <w:rPr>
                <w:b/>
                <w:bCs/>
                <w:sz w:val="22"/>
                <w:lang w:eastAsia="ru-RU"/>
              </w:rPr>
            </w:pPr>
            <w:r w:rsidRPr="00D359F6">
              <w:rPr>
                <w:b/>
                <w:bCs/>
                <w:sz w:val="22"/>
                <w:lang w:eastAsia="ru-RU"/>
              </w:rPr>
              <w:t>2018</w:t>
            </w:r>
          </w:p>
        </w:tc>
        <w:tc>
          <w:tcPr>
            <w:tcW w:w="1695" w:type="dxa"/>
            <w:hideMark/>
          </w:tcPr>
          <w:p w14:paraId="7BBCBB0D" w14:textId="77777777" w:rsidR="00024D59" w:rsidRPr="00D359F6" w:rsidRDefault="00024D59" w:rsidP="00024D59">
            <w:pPr>
              <w:ind w:firstLine="14"/>
              <w:jc w:val="center"/>
              <w:rPr>
                <w:b/>
                <w:bCs/>
                <w:sz w:val="22"/>
                <w:lang w:eastAsia="ru-RU"/>
              </w:rPr>
            </w:pPr>
            <w:r w:rsidRPr="00D359F6">
              <w:rPr>
                <w:b/>
                <w:bCs/>
                <w:sz w:val="22"/>
                <w:lang w:eastAsia="ru-RU"/>
              </w:rPr>
              <w:t>2019</w:t>
            </w:r>
          </w:p>
        </w:tc>
      </w:tr>
      <w:tr w:rsidR="00024D59" w:rsidRPr="00D359F6" w14:paraId="5BAF54C6" w14:textId="77777777" w:rsidTr="00DB5BD4">
        <w:trPr>
          <w:trHeight w:val="300"/>
        </w:trPr>
        <w:tc>
          <w:tcPr>
            <w:tcW w:w="2263" w:type="dxa"/>
            <w:noWrap/>
            <w:hideMark/>
          </w:tcPr>
          <w:p w14:paraId="285B0332" w14:textId="50219E9F" w:rsidR="00024D59" w:rsidRPr="00D359F6" w:rsidRDefault="00024D59" w:rsidP="00024D59">
            <w:pPr>
              <w:ind w:firstLine="26"/>
              <w:jc w:val="left"/>
              <w:rPr>
                <w:b/>
                <w:bCs/>
                <w:sz w:val="22"/>
                <w:lang w:eastAsia="ru-RU"/>
              </w:rPr>
            </w:pPr>
            <w:r w:rsidRPr="00D359F6">
              <w:rPr>
                <w:b/>
                <w:bCs/>
                <w:sz w:val="22"/>
                <w:lang w:eastAsia="ru-RU"/>
              </w:rPr>
              <w:t>Выручка, тыс.руб.</w:t>
            </w:r>
          </w:p>
        </w:tc>
        <w:tc>
          <w:tcPr>
            <w:tcW w:w="1843" w:type="dxa"/>
            <w:noWrap/>
            <w:hideMark/>
          </w:tcPr>
          <w:p w14:paraId="469660D7" w14:textId="77777777" w:rsidR="00024D59" w:rsidRPr="00D359F6" w:rsidRDefault="00024D59" w:rsidP="00024D59">
            <w:pPr>
              <w:ind w:firstLine="14"/>
              <w:rPr>
                <w:sz w:val="22"/>
                <w:lang w:eastAsia="ru-RU"/>
              </w:rPr>
            </w:pPr>
            <w:r w:rsidRPr="00D359F6">
              <w:rPr>
                <w:sz w:val="22"/>
                <w:lang w:eastAsia="ru-RU"/>
              </w:rPr>
              <w:t xml:space="preserve">4 724 536  </w:t>
            </w:r>
          </w:p>
        </w:tc>
        <w:tc>
          <w:tcPr>
            <w:tcW w:w="1843" w:type="dxa"/>
            <w:noWrap/>
            <w:hideMark/>
          </w:tcPr>
          <w:p w14:paraId="120E037B" w14:textId="77777777" w:rsidR="00024D59" w:rsidRPr="00D359F6" w:rsidRDefault="00024D59" w:rsidP="00024D59">
            <w:pPr>
              <w:ind w:firstLine="14"/>
              <w:rPr>
                <w:sz w:val="22"/>
                <w:lang w:eastAsia="ru-RU"/>
              </w:rPr>
            </w:pPr>
            <w:r w:rsidRPr="00D359F6">
              <w:rPr>
                <w:sz w:val="22"/>
                <w:lang w:eastAsia="ru-RU"/>
              </w:rPr>
              <w:t xml:space="preserve">6 347 614  </w:t>
            </w:r>
          </w:p>
        </w:tc>
        <w:tc>
          <w:tcPr>
            <w:tcW w:w="1701" w:type="dxa"/>
            <w:noWrap/>
            <w:hideMark/>
          </w:tcPr>
          <w:p w14:paraId="3EA84453" w14:textId="77777777" w:rsidR="00024D59" w:rsidRPr="00D359F6" w:rsidRDefault="00024D59" w:rsidP="00024D59">
            <w:pPr>
              <w:ind w:firstLine="14"/>
              <w:rPr>
                <w:sz w:val="22"/>
                <w:lang w:eastAsia="ru-RU"/>
              </w:rPr>
            </w:pPr>
            <w:r w:rsidRPr="00D359F6">
              <w:rPr>
                <w:sz w:val="22"/>
                <w:lang w:eastAsia="ru-RU"/>
              </w:rPr>
              <w:t xml:space="preserve">13 596 860  </w:t>
            </w:r>
          </w:p>
        </w:tc>
        <w:tc>
          <w:tcPr>
            <w:tcW w:w="1695" w:type="dxa"/>
            <w:noWrap/>
            <w:hideMark/>
          </w:tcPr>
          <w:p w14:paraId="5851F84C" w14:textId="77777777" w:rsidR="00024D59" w:rsidRPr="00D359F6" w:rsidRDefault="00024D59" w:rsidP="00024D59">
            <w:pPr>
              <w:ind w:firstLine="14"/>
              <w:rPr>
                <w:sz w:val="22"/>
                <w:lang w:eastAsia="ru-RU"/>
              </w:rPr>
            </w:pPr>
            <w:r w:rsidRPr="00D359F6">
              <w:rPr>
                <w:sz w:val="22"/>
                <w:lang w:eastAsia="ru-RU"/>
              </w:rPr>
              <w:t xml:space="preserve">14 562 237  </w:t>
            </w:r>
          </w:p>
        </w:tc>
      </w:tr>
    </w:tbl>
    <w:p w14:paraId="154CB198" w14:textId="2E47C340" w:rsidR="008C0B4F" w:rsidRDefault="008C0B4F" w:rsidP="00081127">
      <w:pPr>
        <w:pStyle w:val="a"/>
        <w:numPr>
          <w:ilvl w:val="0"/>
          <w:numId w:val="0"/>
        </w:numPr>
        <w:spacing w:before="0" w:line="240" w:lineRule="auto"/>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НКХП</w:t>
      </w:r>
      <w:r w:rsidRPr="008C0B4F">
        <w:rPr>
          <w:lang w:eastAsia="ru-RU"/>
        </w:rPr>
        <w:t>]</w:t>
      </w:r>
    </w:p>
    <w:p w14:paraId="4E34E048" w14:textId="52009721" w:rsidR="00024D59" w:rsidRDefault="00081127" w:rsidP="00081127">
      <w:pPr>
        <w:rPr>
          <w:lang w:eastAsia="ru-RU"/>
        </w:rPr>
      </w:pPr>
      <w:r>
        <w:rPr>
          <w:lang w:eastAsia="ru-RU"/>
        </w:rPr>
        <w:t xml:space="preserve">Оборачиваемость запасов и кредиторской задолженности стабильно на уровне 6 и 7, соответственно. Оборачиваемость дебиторской задолженности за 2018-2019 года снизилась — причиной является рост данного показателя. В 2016 году дебиторская задолженность составляла 111 994 тыс. рублей, а в 2019 году значение превысило 420 000 тыс. рублей, темп роста составил практически 300%, что отражается в оборачиваемости данного показателя. Средние значения оборачиваемости представлены в таблице ниже. </w:t>
      </w:r>
    </w:p>
    <w:p w14:paraId="20822D40" w14:textId="5FBA5AC1" w:rsidR="00024D59" w:rsidRDefault="00024D59" w:rsidP="00024D59">
      <w:pPr>
        <w:pStyle w:val="a0"/>
        <w:rPr>
          <w:lang w:eastAsia="ru-RU"/>
        </w:rPr>
      </w:pPr>
      <w:bookmarkStart w:id="24" w:name="_Hlk41309173"/>
      <w:r>
        <w:rPr>
          <w:lang w:eastAsia="ru-RU"/>
        </w:rPr>
        <w:t xml:space="preserve">Оборачиваемость в период 2016-2019 годы </w:t>
      </w:r>
    </w:p>
    <w:tbl>
      <w:tblPr>
        <w:tblW w:w="7715" w:type="dxa"/>
        <w:jc w:val="center"/>
        <w:tblLook w:val="04A0" w:firstRow="1" w:lastRow="0" w:firstColumn="1" w:lastColumn="0" w:noHBand="0" w:noVBand="1"/>
      </w:tblPr>
      <w:tblGrid>
        <w:gridCol w:w="2944"/>
        <w:gridCol w:w="880"/>
        <w:gridCol w:w="1020"/>
        <w:gridCol w:w="800"/>
        <w:gridCol w:w="1040"/>
        <w:gridCol w:w="1031"/>
      </w:tblGrid>
      <w:tr w:rsidR="00024D59" w:rsidRPr="007E423F" w14:paraId="3D6CEBE6" w14:textId="77777777" w:rsidTr="00DB5BD4">
        <w:trPr>
          <w:trHeight w:val="290"/>
          <w:jc w:val="center"/>
        </w:trPr>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24"/>
          <w:p w14:paraId="061F812A" w14:textId="77777777" w:rsidR="00024D59" w:rsidRPr="007E423F" w:rsidRDefault="00024D59" w:rsidP="001525D7">
            <w:pPr>
              <w:spacing w:after="0" w:line="240" w:lineRule="auto"/>
              <w:ind w:firstLine="0"/>
              <w:jc w:val="left"/>
              <w:rPr>
                <w:rFonts w:eastAsia="Times New Roman" w:cs="Times New Roman"/>
                <w:b/>
                <w:bCs/>
                <w:color w:val="000000"/>
                <w:sz w:val="22"/>
                <w:lang w:eastAsia="ru-RU"/>
              </w:rPr>
            </w:pPr>
            <w:r w:rsidRPr="007E423F">
              <w:rPr>
                <w:rFonts w:eastAsia="Times New Roman" w:cs="Times New Roman"/>
                <w:b/>
                <w:bCs/>
                <w:color w:val="000000"/>
                <w:sz w:val="22"/>
                <w:lang w:eastAsia="ru-RU"/>
              </w:rPr>
              <w:t>Период</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01AACE1A" w14:textId="77777777" w:rsidR="00024D59" w:rsidRPr="007E423F" w:rsidRDefault="00024D59" w:rsidP="00024D59">
            <w:pPr>
              <w:spacing w:after="0" w:line="240" w:lineRule="auto"/>
              <w:ind w:firstLine="0"/>
              <w:jc w:val="right"/>
              <w:rPr>
                <w:rFonts w:eastAsia="Times New Roman" w:cs="Times New Roman"/>
                <w:b/>
                <w:bCs/>
                <w:color w:val="000000"/>
                <w:sz w:val="22"/>
                <w:lang w:eastAsia="ru-RU"/>
              </w:rPr>
            </w:pPr>
            <w:r w:rsidRPr="007E423F">
              <w:rPr>
                <w:rFonts w:eastAsia="Times New Roman" w:cs="Times New Roman"/>
                <w:b/>
                <w:bCs/>
                <w:color w:val="000000"/>
                <w:sz w:val="22"/>
                <w:lang w:eastAsia="ru-RU"/>
              </w:rPr>
              <w:t>2016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0B16482" w14:textId="77777777" w:rsidR="00024D59" w:rsidRPr="007E423F" w:rsidRDefault="00024D59" w:rsidP="00024D59">
            <w:pPr>
              <w:spacing w:after="0" w:line="240" w:lineRule="auto"/>
              <w:ind w:firstLine="0"/>
              <w:jc w:val="right"/>
              <w:rPr>
                <w:rFonts w:eastAsia="Times New Roman" w:cs="Times New Roman"/>
                <w:b/>
                <w:bCs/>
                <w:color w:val="000000"/>
                <w:sz w:val="22"/>
                <w:lang w:eastAsia="ru-RU"/>
              </w:rPr>
            </w:pPr>
            <w:r w:rsidRPr="007E423F">
              <w:rPr>
                <w:rFonts w:eastAsia="Times New Roman" w:cs="Times New Roman"/>
                <w:b/>
                <w:bCs/>
                <w:color w:val="000000"/>
                <w:sz w:val="22"/>
                <w:lang w:eastAsia="ru-RU"/>
              </w:rPr>
              <w:t>2017</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00699764" w14:textId="77777777" w:rsidR="00024D59" w:rsidRPr="007E423F" w:rsidRDefault="00024D59" w:rsidP="00024D59">
            <w:pPr>
              <w:spacing w:after="0" w:line="240" w:lineRule="auto"/>
              <w:ind w:firstLine="0"/>
              <w:jc w:val="right"/>
              <w:rPr>
                <w:rFonts w:eastAsia="Times New Roman" w:cs="Times New Roman"/>
                <w:b/>
                <w:bCs/>
                <w:color w:val="000000"/>
                <w:sz w:val="22"/>
                <w:lang w:eastAsia="ru-RU"/>
              </w:rPr>
            </w:pPr>
            <w:r w:rsidRPr="007E423F">
              <w:rPr>
                <w:rFonts w:eastAsia="Times New Roman" w:cs="Times New Roman"/>
                <w:b/>
                <w:bCs/>
                <w:color w:val="000000"/>
                <w:sz w:val="22"/>
                <w:lang w:eastAsia="ru-RU"/>
              </w:rPr>
              <w:t>2018</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DE1785E" w14:textId="77777777" w:rsidR="00024D59" w:rsidRPr="007E423F" w:rsidRDefault="00024D59" w:rsidP="00024D59">
            <w:pPr>
              <w:spacing w:after="0" w:line="240" w:lineRule="auto"/>
              <w:ind w:firstLine="0"/>
              <w:jc w:val="right"/>
              <w:rPr>
                <w:rFonts w:eastAsia="Times New Roman" w:cs="Times New Roman"/>
                <w:b/>
                <w:bCs/>
                <w:color w:val="000000"/>
                <w:sz w:val="22"/>
                <w:lang w:eastAsia="ru-RU"/>
              </w:rPr>
            </w:pPr>
            <w:r w:rsidRPr="007E423F">
              <w:rPr>
                <w:rFonts w:eastAsia="Times New Roman" w:cs="Times New Roman"/>
                <w:b/>
                <w:bCs/>
                <w:color w:val="000000"/>
                <w:sz w:val="22"/>
                <w:lang w:eastAsia="ru-RU"/>
              </w:rPr>
              <w:t>2019</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14:paraId="7DD3B252" w14:textId="77777777" w:rsidR="00024D59" w:rsidRPr="007E423F" w:rsidRDefault="00024D59" w:rsidP="00024D59">
            <w:pPr>
              <w:spacing w:after="0" w:line="240" w:lineRule="auto"/>
              <w:ind w:firstLine="0"/>
              <w:jc w:val="left"/>
              <w:rPr>
                <w:rFonts w:eastAsia="Times New Roman" w:cs="Times New Roman"/>
                <w:b/>
                <w:bCs/>
                <w:color w:val="000000"/>
                <w:sz w:val="22"/>
                <w:lang w:eastAsia="ru-RU"/>
              </w:rPr>
            </w:pPr>
            <w:r w:rsidRPr="007E423F">
              <w:rPr>
                <w:rFonts w:eastAsia="Times New Roman" w:cs="Times New Roman"/>
                <w:b/>
                <w:bCs/>
                <w:color w:val="000000"/>
                <w:sz w:val="22"/>
                <w:lang w:eastAsia="ru-RU"/>
              </w:rPr>
              <w:t>Среднее</w:t>
            </w:r>
          </w:p>
        </w:tc>
      </w:tr>
      <w:tr w:rsidR="00024D59" w:rsidRPr="007E423F" w14:paraId="03EFAFE8" w14:textId="77777777" w:rsidTr="00780951">
        <w:trPr>
          <w:trHeight w:val="206"/>
          <w:jc w:val="center"/>
        </w:trPr>
        <w:tc>
          <w:tcPr>
            <w:tcW w:w="2944" w:type="dxa"/>
            <w:tcBorders>
              <w:top w:val="nil"/>
              <w:left w:val="single" w:sz="4" w:space="0" w:color="auto"/>
              <w:bottom w:val="single" w:sz="4" w:space="0" w:color="auto"/>
              <w:right w:val="single" w:sz="4" w:space="0" w:color="auto"/>
            </w:tcBorders>
            <w:shd w:val="clear" w:color="auto" w:fill="auto"/>
            <w:vAlign w:val="center"/>
            <w:hideMark/>
          </w:tcPr>
          <w:p w14:paraId="16A2B6FE" w14:textId="77777777" w:rsidR="00024D59" w:rsidRPr="007E423F" w:rsidRDefault="00024D59" w:rsidP="00DB5BD4">
            <w:pPr>
              <w:spacing w:after="0" w:line="240" w:lineRule="auto"/>
              <w:ind w:firstLine="0"/>
              <w:jc w:val="left"/>
              <w:rPr>
                <w:rFonts w:eastAsia="Times New Roman" w:cs="Times New Roman"/>
                <w:b/>
                <w:bCs/>
                <w:color w:val="000000"/>
                <w:sz w:val="22"/>
                <w:lang w:eastAsia="ru-RU"/>
              </w:rPr>
            </w:pPr>
            <w:r w:rsidRPr="007E423F">
              <w:rPr>
                <w:rFonts w:eastAsia="Times New Roman" w:cs="Times New Roman"/>
                <w:b/>
                <w:bCs/>
                <w:color w:val="000000"/>
                <w:sz w:val="22"/>
                <w:lang w:eastAsia="ru-RU"/>
              </w:rPr>
              <w:t>Оборачиваемость ДЗ</w:t>
            </w:r>
          </w:p>
        </w:tc>
        <w:tc>
          <w:tcPr>
            <w:tcW w:w="880" w:type="dxa"/>
            <w:tcBorders>
              <w:top w:val="nil"/>
              <w:left w:val="nil"/>
              <w:bottom w:val="single" w:sz="4" w:space="0" w:color="auto"/>
              <w:right w:val="single" w:sz="4" w:space="0" w:color="auto"/>
            </w:tcBorders>
            <w:shd w:val="clear" w:color="auto" w:fill="auto"/>
            <w:noWrap/>
            <w:vAlign w:val="bottom"/>
            <w:hideMark/>
          </w:tcPr>
          <w:p w14:paraId="7B52D8FB" w14:textId="77777777"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42   </w:t>
            </w:r>
          </w:p>
        </w:tc>
        <w:tc>
          <w:tcPr>
            <w:tcW w:w="1020" w:type="dxa"/>
            <w:tcBorders>
              <w:top w:val="nil"/>
              <w:left w:val="nil"/>
              <w:bottom w:val="single" w:sz="4" w:space="0" w:color="auto"/>
              <w:right w:val="single" w:sz="4" w:space="0" w:color="auto"/>
            </w:tcBorders>
            <w:shd w:val="clear" w:color="auto" w:fill="auto"/>
            <w:noWrap/>
            <w:vAlign w:val="bottom"/>
            <w:hideMark/>
          </w:tcPr>
          <w:p w14:paraId="345B038E" w14:textId="30FCBDB0"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43   </w:t>
            </w:r>
          </w:p>
        </w:tc>
        <w:tc>
          <w:tcPr>
            <w:tcW w:w="800" w:type="dxa"/>
            <w:tcBorders>
              <w:top w:val="nil"/>
              <w:left w:val="nil"/>
              <w:bottom w:val="single" w:sz="4" w:space="0" w:color="auto"/>
              <w:right w:val="single" w:sz="4" w:space="0" w:color="auto"/>
            </w:tcBorders>
            <w:shd w:val="clear" w:color="auto" w:fill="auto"/>
            <w:noWrap/>
            <w:vAlign w:val="bottom"/>
            <w:hideMark/>
          </w:tcPr>
          <w:p w14:paraId="22A4277E" w14:textId="7199E286"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34   </w:t>
            </w:r>
          </w:p>
        </w:tc>
        <w:tc>
          <w:tcPr>
            <w:tcW w:w="1040" w:type="dxa"/>
            <w:tcBorders>
              <w:top w:val="nil"/>
              <w:left w:val="nil"/>
              <w:bottom w:val="single" w:sz="4" w:space="0" w:color="auto"/>
              <w:right w:val="single" w:sz="4" w:space="0" w:color="auto"/>
            </w:tcBorders>
            <w:shd w:val="clear" w:color="auto" w:fill="auto"/>
            <w:noWrap/>
            <w:vAlign w:val="bottom"/>
            <w:hideMark/>
          </w:tcPr>
          <w:p w14:paraId="0E8BDC80" w14:textId="17694C6A"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34   </w:t>
            </w:r>
          </w:p>
        </w:tc>
        <w:tc>
          <w:tcPr>
            <w:tcW w:w="1031" w:type="dxa"/>
            <w:tcBorders>
              <w:top w:val="nil"/>
              <w:left w:val="nil"/>
              <w:bottom w:val="single" w:sz="4" w:space="0" w:color="auto"/>
              <w:right w:val="single" w:sz="4" w:space="0" w:color="auto"/>
            </w:tcBorders>
            <w:shd w:val="clear" w:color="auto" w:fill="auto"/>
            <w:noWrap/>
            <w:vAlign w:val="bottom"/>
            <w:hideMark/>
          </w:tcPr>
          <w:p w14:paraId="2696D82B" w14:textId="77777777" w:rsidR="00024D59" w:rsidRPr="007E423F" w:rsidRDefault="00024D59" w:rsidP="00DB5BD4">
            <w:pPr>
              <w:spacing w:after="0" w:line="240" w:lineRule="auto"/>
              <w:ind w:firstLine="0"/>
              <w:jc w:val="left"/>
              <w:rPr>
                <w:rFonts w:eastAsia="Times New Roman" w:cs="Times New Roman"/>
                <w:color w:val="000000"/>
                <w:sz w:val="22"/>
                <w:lang w:eastAsia="ru-RU"/>
              </w:rPr>
            </w:pPr>
            <w:r w:rsidRPr="007E423F">
              <w:rPr>
                <w:rFonts w:eastAsia="Times New Roman" w:cs="Times New Roman"/>
                <w:color w:val="000000"/>
                <w:sz w:val="22"/>
                <w:lang w:eastAsia="ru-RU"/>
              </w:rPr>
              <w:t xml:space="preserve">          39   </w:t>
            </w:r>
          </w:p>
        </w:tc>
      </w:tr>
      <w:tr w:rsidR="00024D59" w:rsidRPr="007E423F" w14:paraId="46051B3B" w14:textId="77777777" w:rsidTr="00DB5BD4">
        <w:trPr>
          <w:trHeight w:val="114"/>
          <w:jc w:val="center"/>
        </w:trPr>
        <w:tc>
          <w:tcPr>
            <w:tcW w:w="2944" w:type="dxa"/>
            <w:tcBorders>
              <w:top w:val="nil"/>
              <w:left w:val="single" w:sz="4" w:space="0" w:color="auto"/>
              <w:bottom w:val="single" w:sz="4" w:space="0" w:color="auto"/>
              <w:right w:val="single" w:sz="4" w:space="0" w:color="auto"/>
            </w:tcBorders>
            <w:shd w:val="clear" w:color="auto" w:fill="auto"/>
            <w:vAlign w:val="center"/>
            <w:hideMark/>
          </w:tcPr>
          <w:p w14:paraId="1D3C194C" w14:textId="77777777" w:rsidR="00024D59" w:rsidRPr="007E423F" w:rsidRDefault="00024D59" w:rsidP="00DB5BD4">
            <w:pPr>
              <w:spacing w:after="0" w:line="240" w:lineRule="auto"/>
              <w:ind w:firstLine="0"/>
              <w:jc w:val="left"/>
              <w:rPr>
                <w:rFonts w:eastAsia="Times New Roman" w:cs="Times New Roman"/>
                <w:b/>
                <w:bCs/>
                <w:color w:val="000000"/>
                <w:sz w:val="22"/>
                <w:lang w:eastAsia="ru-RU"/>
              </w:rPr>
            </w:pPr>
            <w:r w:rsidRPr="007E423F">
              <w:rPr>
                <w:rFonts w:eastAsia="Times New Roman" w:cs="Times New Roman"/>
                <w:b/>
                <w:bCs/>
                <w:color w:val="000000"/>
                <w:sz w:val="22"/>
                <w:lang w:eastAsia="ru-RU"/>
              </w:rPr>
              <w:t>Оборачиваемость запасов</w:t>
            </w:r>
          </w:p>
        </w:tc>
        <w:tc>
          <w:tcPr>
            <w:tcW w:w="880" w:type="dxa"/>
            <w:tcBorders>
              <w:top w:val="nil"/>
              <w:left w:val="nil"/>
              <w:bottom w:val="single" w:sz="4" w:space="0" w:color="auto"/>
              <w:right w:val="single" w:sz="4" w:space="0" w:color="auto"/>
            </w:tcBorders>
            <w:shd w:val="clear" w:color="auto" w:fill="auto"/>
            <w:noWrap/>
            <w:vAlign w:val="bottom"/>
            <w:hideMark/>
          </w:tcPr>
          <w:p w14:paraId="25A32D10" w14:textId="3F0D649E"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5   </w:t>
            </w:r>
          </w:p>
        </w:tc>
        <w:tc>
          <w:tcPr>
            <w:tcW w:w="1020" w:type="dxa"/>
            <w:tcBorders>
              <w:top w:val="nil"/>
              <w:left w:val="nil"/>
              <w:bottom w:val="single" w:sz="4" w:space="0" w:color="auto"/>
              <w:right w:val="single" w:sz="4" w:space="0" w:color="auto"/>
            </w:tcBorders>
            <w:shd w:val="clear" w:color="auto" w:fill="auto"/>
            <w:noWrap/>
            <w:vAlign w:val="bottom"/>
            <w:hideMark/>
          </w:tcPr>
          <w:p w14:paraId="000477FD" w14:textId="61503FDF"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5   </w:t>
            </w:r>
          </w:p>
        </w:tc>
        <w:tc>
          <w:tcPr>
            <w:tcW w:w="800" w:type="dxa"/>
            <w:tcBorders>
              <w:top w:val="nil"/>
              <w:left w:val="nil"/>
              <w:bottom w:val="single" w:sz="4" w:space="0" w:color="auto"/>
              <w:right w:val="single" w:sz="4" w:space="0" w:color="auto"/>
            </w:tcBorders>
            <w:shd w:val="clear" w:color="auto" w:fill="auto"/>
            <w:noWrap/>
            <w:vAlign w:val="bottom"/>
            <w:hideMark/>
          </w:tcPr>
          <w:p w14:paraId="467BC8BA" w14:textId="1A21CD6D"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7   </w:t>
            </w:r>
          </w:p>
        </w:tc>
        <w:tc>
          <w:tcPr>
            <w:tcW w:w="1040" w:type="dxa"/>
            <w:tcBorders>
              <w:top w:val="nil"/>
              <w:left w:val="nil"/>
              <w:bottom w:val="single" w:sz="4" w:space="0" w:color="auto"/>
              <w:right w:val="single" w:sz="4" w:space="0" w:color="auto"/>
            </w:tcBorders>
            <w:shd w:val="clear" w:color="auto" w:fill="auto"/>
            <w:noWrap/>
            <w:vAlign w:val="bottom"/>
            <w:hideMark/>
          </w:tcPr>
          <w:p w14:paraId="15D05AAC" w14:textId="4A18F9EC"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6   </w:t>
            </w:r>
          </w:p>
        </w:tc>
        <w:tc>
          <w:tcPr>
            <w:tcW w:w="1031" w:type="dxa"/>
            <w:tcBorders>
              <w:top w:val="nil"/>
              <w:left w:val="nil"/>
              <w:bottom w:val="single" w:sz="4" w:space="0" w:color="auto"/>
              <w:right w:val="single" w:sz="4" w:space="0" w:color="auto"/>
            </w:tcBorders>
            <w:shd w:val="clear" w:color="auto" w:fill="auto"/>
            <w:noWrap/>
            <w:vAlign w:val="bottom"/>
            <w:hideMark/>
          </w:tcPr>
          <w:p w14:paraId="75332451" w14:textId="77777777" w:rsidR="00024D59" w:rsidRPr="007E423F" w:rsidRDefault="00024D59" w:rsidP="00DB5BD4">
            <w:pPr>
              <w:spacing w:after="0" w:line="240" w:lineRule="auto"/>
              <w:ind w:firstLine="0"/>
              <w:jc w:val="left"/>
              <w:rPr>
                <w:rFonts w:eastAsia="Times New Roman" w:cs="Times New Roman"/>
                <w:color w:val="000000"/>
                <w:sz w:val="22"/>
                <w:lang w:eastAsia="ru-RU"/>
              </w:rPr>
            </w:pPr>
            <w:r w:rsidRPr="007E423F">
              <w:rPr>
                <w:rFonts w:eastAsia="Times New Roman" w:cs="Times New Roman"/>
                <w:color w:val="000000"/>
                <w:sz w:val="22"/>
                <w:lang w:eastAsia="ru-RU"/>
              </w:rPr>
              <w:t xml:space="preserve">            6   </w:t>
            </w:r>
          </w:p>
        </w:tc>
      </w:tr>
      <w:tr w:rsidR="00024D59" w:rsidRPr="007E423F" w14:paraId="2DD64AA1" w14:textId="77777777" w:rsidTr="00DB5BD4">
        <w:trPr>
          <w:trHeight w:val="164"/>
          <w:jc w:val="center"/>
        </w:trPr>
        <w:tc>
          <w:tcPr>
            <w:tcW w:w="2944" w:type="dxa"/>
            <w:tcBorders>
              <w:top w:val="nil"/>
              <w:left w:val="single" w:sz="4" w:space="0" w:color="auto"/>
              <w:bottom w:val="single" w:sz="4" w:space="0" w:color="auto"/>
              <w:right w:val="single" w:sz="4" w:space="0" w:color="auto"/>
            </w:tcBorders>
            <w:shd w:val="clear" w:color="auto" w:fill="auto"/>
            <w:vAlign w:val="center"/>
            <w:hideMark/>
          </w:tcPr>
          <w:p w14:paraId="4CF27E2D" w14:textId="5D8D0ABD" w:rsidR="00024D59" w:rsidRPr="007E423F" w:rsidRDefault="00024D59" w:rsidP="00DB5BD4">
            <w:pPr>
              <w:spacing w:after="0" w:line="240" w:lineRule="auto"/>
              <w:ind w:firstLine="0"/>
              <w:jc w:val="left"/>
              <w:rPr>
                <w:rFonts w:eastAsia="Times New Roman" w:cs="Times New Roman"/>
                <w:b/>
                <w:bCs/>
                <w:color w:val="000000"/>
                <w:sz w:val="22"/>
                <w:lang w:eastAsia="ru-RU"/>
              </w:rPr>
            </w:pPr>
            <w:r w:rsidRPr="007E423F">
              <w:rPr>
                <w:rFonts w:eastAsia="Times New Roman" w:cs="Times New Roman"/>
                <w:b/>
                <w:bCs/>
                <w:color w:val="000000"/>
                <w:sz w:val="22"/>
                <w:lang w:eastAsia="ru-RU"/>
              </w:rPr>
              <w:t>Оборачиваемость КЗ</w:t>
            </w:r>
          </w:p>
        </w:tc>
        <w:tc>
          <w:tcPr>
            <w:tcW w:w="880" w:type="dxa"/>
            <w:tcBorders>
              <w:top w:val="nil"/>
              <w:left w:val="nil"/>
              <w:bottom w:val="single" w:sz="4" w:space="0" w:color="auto"/>
              <w:right w:val="single" w:sz="4" w:space="0" w:color="auto"/>
            </w:tcBorders>
            <w:shd w:val="clear" w:color="auto" w:fill="auto"/>
            <w:noWrap/>
            <w:vAlign w:val="bottom"/>
            <w:hideMark/>
          </w:tcPr>
          <w:p w14:paraId="0DDF52BA" w14:textId="07074E3A"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7   </w:t>
            </w:r>
          </w:p>
        </w:tc>
        <w:tc>
          <w:tcPr>
            <w:tcW w:w="1020" w:type="dxa"/>
            <w:tcBorders>
              <w:top w:val="nil"/>
              <w:left w:val="nil"/>
              <w:bottom w:val="single" w:sz="4" w:space="0" w:color="auto"/>
              <w:right w:val="single" w:sz="4" w:space="0" w:color="auto"/>
            </w:tcBorders>
            <w:shd w:val="clear" w:color="auto" w:fill="auto"/>
            <w:noWrap/>
            <w:vAlign w:val="bottom"/>
            <w:hideMark/>
          </w:tcPr>
          <w:p w14:paraId="4B755CE5" w14:textId="71C2881E"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6   </w:t>
            </w:r>
          </w:p>
        </w:tc>
        <w:tc>
          <w:tcPr>
            <w:tcW w:w="800" w:type="dxa"/>
            <w:tcBorders>
              <w:top w:val="nil"/>
              <w:left w:val="nil"/>
              <w:bottom w:val="single" w:sz="4" w:space="0" w:color="auto"/>
              <w:right w:val="single" w:sz="4" w:space="0" w:color="auto"/>
            </w:tcBorders>
            <w:shd w:val="clear" w:color="auto" w:fill="auto"/>
            <w:noWrap/>
            <w:vAlign w:val="bottom"/>
            <w:hideMark/>
          </w:tcPr>
          <w:p w14:paraId="7079A74A" w14:textId="64F00B5B"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7   </w:t>
            </w:r>
          </w:p>
        </w:tc>
        <w:tc>
          <w:tcPr>
            <w:tcW w:w="1040" w:type="dxa"/>
            <w:tcBorders>
              <w:top w:val="nil"/>
              <w:left w:val="nil"/>
              <w:bottom w:val="single" w:sz="4" w:space="0" w:color="auto"/>
              <w:right w:val="single" w:sz="4" w:space="0" w:color="auto"/>
            </w:tcBorders>
            <w:shd w:val="clear" w:color="auto" w:fill="auto"/>
            <w:noWrap/>
            <w:vAlign w:val="bottom"/>
            <w:hideMark/>
          </w:tcPr>
          <w:p w14:paraId="0613A385" w14:textId="58ED1BE3" w:rsidR="00024D59" w:rsidRPr="007E423F" w:rsidRDefault="00024D59" w:rsidP="00DB5BD4">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 xml:space="preserve">        7   </w:t>
            </w:r>
          </w:p>
        </w:tc>
        <w:tc>
          <w:tcPr>
            <w:tcW w:w="1031" w:type="dxa"/>
            <w:tcBorders>
              <w:top w:val="nil"/>
              <w:left w:val="nil"/>
              <w:bottom w:val="single" w:sz="4" w:space="0" w:color="auto"/>
              <w:right w:val="single" w:sz="4" w:space="0" w:color="auto"/>
            </w:tcBorders>
            <w:shd w:val="clear" w:color="auto" w:fill="auto"/>
            <w:noWrap/>
            <w:vAlign w:val="bottom"/>
            <w:hideMark/>
          </w:tcPr>
          <w:p w14:paraId="3A74CC81" w14:textId="77777777" w:rsidR="00024D59" w:rsidRPr="007E423F" w:rsidRDefault="00024D59" w:rsidP="00DB5BD4">
            <w:pPr>
              <w:spacing w:after="0" w:line="240" w:lineRule="auto"/>
              <w:ind w:firstLine="0"/>
              <w:jc w:val="left"/>
              <w:rPr>
                <w:rFonts w:eastAsia="Times New Roman" w:cs="Times New Roman"/>
                <w:color w:val="000000"/>
                <w:sz w:val="22"/>
                <w:lang w:eastAsia="ru-RU"/>
              </w:rPr>
            </w:pPr>
            <w:r w:rsidRPr="007E423F">
              <w:rPr>
                <w:rFonts w:eastAsia="Times New Roman" w:cs="Times New Roman"/>
                <w:color w:val="000000"/>
                <w:sz w:val="22"/>
                <w:lang w:eastAsia="ru-RU"/>
              </w:rPr>
              <w:t xml:space="preserve">            7   </w:t>
            </w:r>
          </w:p>
        </w:tc>
      </w:tr>
    </w:tbl>
    <w:p w14:paraId="69FE6CC9" w14:textId="2B066A81" w:rsidR="00024D59" w:rsidRDefault="00024D59" w:rsidP="007E423F">
      <w:pPr>
        <w:pStyle w:val="a"/>
        <w:numPr>
          <w:ilvl w:val="0"/>
          <w:numId w:val="0"/>
        </w:numPr>
        <w:spacing w:before="0" w:line="240" w:lineRule="auto"/>
        <w:ind w:left="1134"/>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НКХП</w:t>
      </w:r>
      <w:r w:rsidRPr="008C0B4F">
        <w:rPr>
          <w:lang w:eastAsia="ru-RU"/>
        </w:rPr>
        <w:t>]</w:t>
      </w:r>
    </w:p>
    <w:p w14:paraId="30309521" w14:textId="72965C3B" w:rsidR="00676BB4" w:rsidRDefault="00676BB4" w:rsidP="00676BB4">
      <w:pPr>
        <w:rPr>
          <w:lang w:eastAsia="ru-RU"/>
        </w:rPr>
      </w:pPr>
      <w:r>
        <w:rPr>
          <w:lang w:eastAsia="ru-RU"/>
        </w:rPr>
        <w:t>Собственный капитал компании НКХП ежегодно увеличивается за счет нераспределенной прибыли</w:t>
      </w:r>
      <w:r w:rsidR="00AA64C6">
        <w:rPr>
          <w:lang w:eastAsia="ru-RU"/>
        </w:rPr>
        <w:t xml:space="preserve">. </w:t>
      </w:r>
      <w:r w:rsidR="00421B7C">
        <w:rPr>
          <w:lang w:eastAsia="ru-RU"/>
        </w:rPr>
        <w:t>Структура капитала в 2019 году была следующая: 75% заемных средств и 25% собственных средств. По сравнению с предыдущими годами</w:t>
      </w:r>
      <w:r w:rsidR="00780951">
        <w:rPr>
          <w:lang w:eastAsia="ru-RU"/>
        </w:rPr>
        <w:t>,</w:t>
      </w:r>
      <w:r w:rsidR="00421B7C">
        <w:rPr>
          <w:lang w:eastAsia="ru-RU"/>
        </w:rPr>
        <w:t xml:space="preserve"> доля заемных средств уменьшается, так в 2017 году доля собственных средств составила 42%, что обусловлено уменьшением заемных средств в компании и изменение собственности.</w:t>
      </w:r>
      <w:r w:rsidR="009376B0">
        <w:rPr>
          <w:lang w:eastAsia="ru-RU"/>
        </w:rPr>
        <w:t xml:space="preserve"> </w:t>
      </w:r>
    </w:p>
    <w:p w14:paraId="24942E94" w14:textId="4210A717" w:rsidR="00024D59" w:rsidRDefault="007E423F" w:rsidP="007E423F">
      <w:pPr>
        <w:pStyle w:val="a0"/>
        <w:rPr>
          <w:lang w:eastAsia="ru-RU"/>
        </w:rPr>
      </w:pPr>
      <w:r>
        <w:rPr>
          <w:lang w:eastAsia="ru-RU"/>
        </w:rPr>
        <w:t>Изменение собственного капитала компании в 2016-2019 годы</w:t>
      </w:r>
    </w:p>
    <w:tbl>
      <w:tblPr>
        <w:tblW w:w="9303" w:type="dxa"/>
        <w:jc w:val="center"/>
        <w:tblLook w:val="04A0" w:firstRow="1" w:lastRow="0" w:firstColumn="1" w:lastColumn="0" w:noHBand="0" w:noVBand="1"/>
      </w:tblPr>
      <w:tblGrid>
        <w:gridCol w:w="2830"/>
        <w:gridCol w:w="1560"/>
        <w:gridCol w:w="1701"/>
        <w:gridCol w:w="1559"/>
        <w:gridCol w:w="1653"/>
      </w:tblGrid>
      <w:tr w:rsidR="00024D59" w:rsidRPr="00D359F6" w14:paraId="5792E9E0" w14:textId="77777777" w:rsidTr="00780951">
        <w:trPr>
          <w:trHeight w:val="29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1F2F7" w14:textId="77777777" w:rsidR="00024D59" w:rsidRPr="00D359F6" w:rsidRDefault="00024D59" w:rsidP="00024D59">
            <w:pPr>
              <w:spacing w:after="0" w:line="240" w:lineRule="auto"/>
              <w:ind w:firstLine="0"/>
              <w:jc w:val="center"/>
              <w:rPr>
                <w:rFonts w:eastAsia="Times New Roman" w:cs="Times New Roman"/>
                <w:b/>
                <w:bCs/>
                <w:color w:val="000000"/>
                <w:sz w:val="22"/>
                <w:lang w:eastAsia="ru-RU"/>
              </w:rPr>
            </w:pPr>
            <w:r w:rsidRPr="00D359F6">
              <w:rPr>
                <w:rFonts w:eastAsia="Times New Roman" w:cs="Times New Roman"/>
                <w:b/>
                <w:bCs/>
                <w:color w:val="000000"/>
                <w:sz w:val="22"/>
                <w:lang w:eastAsia="ru-RU"/>
              </w:rPr>
              <w:t>Период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22CD6A" w14:textId="77777777" w:rsidR="00024D59" w:rsidRPr="00D359F6" w:rsidRDefault="00024D59" w:rsidP="00024D59">
            <w:pPr>
              <w:spacing w:after="0" w:line="240" w:lineRule="auto"/>
              <w:ind w:firstLine="0"/>
              <w:jc w:val="center"/>
              <w:rPr>
                <w:rFonts w:eastAsia="Times New Roman" w:cs="Times New Roman"/>
                <w:b/>
                <w:bCs/>
                <w:color w:val="000000"/>
                <w:sz w:val="22"/>
                <w:lang w:eastAsia="ru-RU"/>
              </w:rPr>
            </w:pPr>
            <w:r w:rsidRPr="00D359F6">
              <w:rPr>
                <w:rFonts w:eastAsia="Times New Roman" w:cs="Times New Roman"/>
                <w:b/>
                <w:bCs/>
                <w:color w:val="000000"/>
                <w:sz w:val="22"/>
                <w:lang w:eastAsia="ru-RU"/>
              </w:rPr>
              <w:t>2016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2F33B3" w14:textId="77777777" w:rsidR="00024D59" w:rsidRPr="00D359F6" w:rsidRDefault="00024D59" w:rsidP="00024D59">
            <w:pPr>
              <w:spacing w:after="0" w:line="240" w:lineRule="auto"/>
              <w:ind w:firstLine="0"/>
              <w:jc w:val="center"/>
              <w:rPr>
                <w:rFonts w:eastAsia="Times New Roman" w:cs="Times New Roman"/>
                <w:b/>
                <w:bCs/>
                <w:color w:val="000000"/>
                <w:sz w:val="22"/>
                <w:lang w:eastAsia="ru-RU"/>
              </w:rPr>
            </w:pPr>
            <w:r w:rsidRPr="00D359F6">
              <w:rPr>
                <w:rFonts w:eastAsia="Times New Roman" w:cs="Times New Roman"/>
                <w:b/>
                <w:bCs/>
                <w:color w:val="000000"/>
                <w:sz w:val="22"/>
                <w:lang w:eastAsia="ru-RU"/>
              </w:rPr>
              <w:t>2017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DF2BD9" w14:textId="77777777" w:rsidR="00024D59" w:rsidRPr="00D359F6" w:rsidRDefault="00024D59" w:rsidP="00024D59">
            <w:pPr>
              <w:spacing w:after="0" w:line="240" w:lineRule="auto"/>
              <w:ind w:firstLine="0"/>
              <w:jc w:val="center"/>
              <w:rPr>
                <w:rFonts w:eastAsia="Times New Roman" w:cs="Times New Roman"/>
                <w:b/>
                <w:bCs/>
                <w:color w:val="000000"/>
                <w:sz w:val="22"/>
                <w:lang w:eastAsia="ru-RU"/>
              </w:rPr>
            </w:pPr>
            <w:r w:rsidRPr="00D359F6">
              <w:rPr>
                <w:rFonts w:eastAsia="Times New Roman" w:cs="Times New Roman"/>
                <w:b/>
                <w:bCs/>
                <w:color w:val="000000"/>
                <w:sz w:val="22"/>
                <w:lang w:eastAsia="ru-RU"/>
              </w:rPr>
              <w:t>2018</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04A20B29" w14:textId="77777777" w:rsidR="00024D59" w:rsidRPr="00D359F6" w:rsidRDefault="00024D59" w:rsidP="00024D59">
            <w:pPr>
              <w:spacing w:after="0" w:line="240" w:lineRule="auto"/>
              <w:ind w:firstLine="0"/>
              <w:jc w:val="center"/>
              <w:rPr>
                <w:rFonts w:eastAsia="Times New Roman" w:cs="Times New Roman"/>
                <w:b/>
                <w:bCs/>
                <w:color w:val="000000"/>
                <w:sz w:val="22"/>
                <w:lang w:eastAsia="ru-RU"/>
              </w:rPr>
            </w:pPr>
            <w:r w:rsidRPr="00D359F6">
              <w:rPr>
                <w:rFonts w:eastAsia="Times New Roman" w:cs="Times New Roman"/>
                <w:b/>
                <w:bCs/>
                <w:color w:val="000000"/>
                <w:sz w:val="22"/>
                <w:lang w:eastAsia="ru-RU"/>
              </w:rPr>
              <w:t>2019</w:t>
            </w:r>
          </w:p>
        </w:tc>
      </w:tr>
      <w:tr w:rsidR="00024D59" w:rsidRPr="00D359F6" w14:paraId="4FCE1090" w14:textId="77777777" w:rsidTr="00780951">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A23293E" w14:textId="77777777" w:rsidR="00024D59" w:rsidRPr="00D359F6" w:rsidRDefault="00024D59" w:rsidP="00024D59">
            <w:pPr>
              <w:spacing w:after="0" w:line="240" w:lineRule="auto"/>
              <w:ind w:firstLine="0"/>
              <w:jc w:val="left"/>
              <w:rPr>
                <w:rFonts w:eastAsia="Times New Roman" w:cs="Times New Roman"/>
                <w:b/>
                <w:bCs/>
                <w:sz w:val="22"/>
                <w:lang w:eastAsia="ru-RU"/>
              </w:rPr>
            </w:pPr>
            <w:r w:rsidRPr="00D359F6">
              <w:rPr>
                <w:rFonts w:eastAsia="Times New Roman" w:cs="Times New Roman"/>
                <w:b/>
                <w:bCs/>
                <w:sz w:val="22"/>
                <w:lang w:eastAsia="ru-RU"/>
              </w:rPr>
              <w:t>Акционерный капитал</w:t>
            </w:r>
          </w:p>
        </w:tc>
        <w:tc>
          <w:tcPr>
            <w:tcW w:w="1560" w:type="dxa"/>
            <w:tcBorders>
              <w:top w:val="nil"/>
              <w:left w:val="nil"/>
              <w:bottom w:val="single" w:sz="4" w:space="0" w:color="auto"/>
              <w:right w:val="single" w:sz="4" w:space="0" w:color="auto"/>
            </w:tcBorders>
            <w:shd w:val="clear" w:color="auto" w:fill="auto"/>
            <w:noWrap/>
            <w:vAlign w:val="bottom"/>
            <w:hideMark/>
          </w:tcPr>
          <w:p w14:paraId="71F1F474" w14:textId="77777777" w:rsidR="00024D59" w:rsidRPr="00D359F6" w:rsidRDefault="00024D59" w:rsidP="00024D59">
            <w:pPr>
              <w:spacing w:after="0" w:line="240" w:lineRule="auto"/>
              <w:ind w:firstLine="0"/>
              <w:jc w:val="left"/>
              <w:rPr>
                <w:rFonts w:eastAsia="Times New Roman" w:cs="Times New Roman"/>
                <w:sz w:val="22"/>
                <w:lang w:eastAsia="ru-RU"/>
              </w:rPr>
            </w:pPr>
            <w:r w:rsidRPr="00D359F6">
              <w:rPr>
                <w:rFonts w:eastAsia="Times New Roman" w:cs="Times New Roman"/>
                <w:sz w:val="22"/>
                <w:lang w:eastAsia="ru-RU"/>
              </w:rPr>
              <w:t xml:space="preserve">            67 597   </w:t>
            </w:r>
          </w:p>
        </w:tc>
        <w:tc>
          <w:tcPr>
            <w:tcW w:w="1701" w:type="dxa"/>
            <w:tcBorders>
              <w:top w:val="nil"/>
              <w:left w:val="nil"/>
              <w:bottom w:val="single" w:sz="4" w:space="0" w:color="auto"/>
              <w:right w:val="single" w:sz="4" w:space="0" w:color="auto"/>
            </w:tcBorders>
            <w:shd w:val="clear" w:color="auto" w:fill="auto"/>
            <w:noWrap/>
            <w:vAlign w:val="bottom"/>
            <w:hideMark/>
          </w:tcPr>
          <w:p w14:paraId="6A3C0A89" w14:textId="77777777" w:rsidR="00024D59" w:rsidRPr="00D359F6" w:rsidRDefault="00024D59" w:rsidP="00024D59">
            <w:pPr>
              <w:spacing w:after="0" w:line="240" w:lineRule="auto"/>
              <w:ind w:firstLine="0"/>
              <w:jc w:val="left"/>
              <w:rPr>
                <w:rFonts w:eastAsia="Times New Roman" w:cs="Times New Roman"/>
                <w:sz w:val="22"/>
                <w:lang w:eastAsia="ru-RU"/>
              </w:rPr>
            </w:pPr>
            <w:r w:rsidRPr="00D359F6">
              <w:rPr>
                <w:rFonts w:eastAsia="Times New Roman" w:cs="Times New Roman"/>
                <w:sz w:val="22"/>
                <w:lang w:eastAsia="ru-RU"/>
              </w:rPr>
              <w:t xml:space="preserve">              67 597   </w:t>
            </w:r>
          </w:p>
        </w:tc>
        <w:tc>
          <w:tcPr>
            <w:tcW w:w="1559" w:type="dxa"/>
            <w:tcBorders>
              <w:top w:val="nil"/>
              <w:left w:val="nil"/>
              <w:bottom w:val="single" w:sz="4" w:space="0" w:color="auto"/>
              <w:right w:val="single" w:sz="4" w:space="0" w:color="auto"/>
            </w:tcBorders>
            <w:shd w:val="clear" w:color="auto" w:fill="auto"/>
            <w:noWrap/>
            <w:vAlign w:val="bottom"/>
            <w:hideMark/>
          </w:tcPr>
          <w:p w14:paraId="1C6D287A" w14:textId="77777777" w:rsidR="00024D59" w:rsidRPr="00D359F6" w:rsidRDefault="00024D59" w:rsidP="00024D59">
            <w:pPr>
              <w:spacing w:after="0" w:line="240" w:lineRule="auto"/>
              <w:ind w:firstLine="0"/>
              <w:jc w:val="left"/>
              <w:rPr>
                <w:rFonts w:eastAsia="Times New Roman" w:cs="Times New Roman"/>
                <w:sz w:val="22"/>
                <w:lang w:eastAsia="ru-RU"/>
              </w:rPr>
            </w:pPr>
            <w:r w:rsidRPr="00D359F6">
              <w:rPr>
                <w:rFonts w:eastAsia="Times New Roman" w:cs="Times New Roman"/>
                <w:sz w:val="22"/>
                <w:lang w:eastAsia="ru-RU"/>
              </w:rPr>
              <w:t xml:space="preserve">             67 597   </w:t>
            </w:r>
          </w:p>
        </w:tc>
        <w:tc>
          <w:tcPr>
            <w:tcW w:w="1653" w:type="dxa"/>
            <w:tcBorders>
              <w:top w:val="nil"/>
              <w:left w:val="nil"/>
              <w:bottom w:val="single" w:sz="4" w:space="0" w:color="auto"/>
              <w:right w:val="single" w:sz="4" w:space="0" w:color="auto"/>
            </w:tcBorders>
            <w:shd w:val="clear" w:color="auto" w:fill="auto"/>
            <w:noWrap/>
            <w:vAlign w:val="bottom"/>
            <w:hideMark/>
          </w:tcPr>
          <w:p w14:paraId="22B689B8" w14:textId="77777777" w:rsidR="00024D59" w:rsidRPr="00D359F6" w:rsidRDefault="00024D59" w:rsidP="00024D59">
            <w:pPr>
              <w:spacing w:after="0" w:line="240" w:lineRule="auto"/>
              <w:ind w:firstLine="0"/>
              <w:jc w:val="left"/>
              <w:rPr>
                <w:rFonts w:eastAsia="Times New Roman" w:cs="Times New Roman"/>
                <w:sz w:val="22"/>
                <w:lang w:eastAsia="ru-RU"/>
              </w:rPr>
            </w:pPr>
            <w:r w:rsidRPr="00D359F6">
              <w:rPr>
                <w:rFonts w:eastAsia="Times New Roman" w:cs="Times New Roman"/>
                <w:sz w:val="22"/>
                <w:lang w:eastAsia="ru-RU"/>
              </w:rPr>
              <w:t xml:space="preserve">             67 597   </w:t>
            </w:r>
          </w:p>
        </w:tc>
      </w:tr>
      <w:tr w:rsidR="00024D59" w:rsidRPr="00D359F6" w14:paraId="416E2DF0" w14:textId="77777777" w:rsidTr="00780951">
        <w:trPr>
          <w:trHeight w:val="29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F5E5169" w14:textId="77777777" w:rsidR="00024D59" w:rsidRPr="00D359F6" w:rsidRDefault="00024D59" w:rsidP="00024D59">
            <w:pPr>
              <w:spacing w:after="0" w:line="240" w:lineRule="auto"/>
              <w:ind w:firstLine="0"/>
              <w:jc w:val="left"/>
              <w:rPr>
                <w:rFonts w:eastAsia="Times New Roman" w:cs="Times New Roman"/>
                <w:b/>
                <w:bCs/>
                <w:sz w:val="22"/>
                <w:lang w:eastAsia="ru-RU"/>
              </w:rPr>
            </w:pPr>
            <w:r w:rsidRPr="00D359F6">
              <w:rPr>
                <w:rFonts w:eastAsia="Times New Roman" w:cs="Times New Roman"/>
                <w:b/>
                <w:bCs/>
                <w:sz w:val="22"/>
                <w:lang w:eastAsia="ru-RU"/>
              </w:rPr>
              <w:t xml:space="preserve">Нераспределенная прибыль </w:t>
            </w:r>
          </w:p>
        </w:tc>
        <w:tc>
          <w:tcPr>
            <w:tcW w:w="1560" w:type="dxa"/>
            <w:tcBorders>
              <w:top w:val="nil"/>
              <w:left w:val="nil"/>
              <w:bottom w:val="single" w:sz="4" w:space="0" w:color="auto"/>
              <w:right w:val="single" w:sz="4" w:space="0" w:color="auto"/>
            </w:tcBorders>
            <w:shd w:val="clear" w:color="auto" w:fill="auto"/>
            <w:noWrap/>
            <w:vAlign w:val="bottom"/>
            <w:hideMark/>
          </w:tcPr>
          <w:p w14:paraId="5065EE9A" w14:textId="77777777" w:rsidR="00024D59" w:rsidRPr="00D359F6" w:rsidRDefault="00024D59" w:rsidP="00024D59">
            <w:pPr>
              <w:spacing w:after="0" w:line="240" w:lineRule="auto"/>
              <w:ind w:firstLine="0"/>
              <w:jc w:val="left"/>
              <w:rPr>
                <w:rFonts w:eastAsia="Times New Roman" w:cs="Times New Roman"/>
                <w:sz w:val="22"/>
                <w:lang w:eastAsia="ru-RU"/>
              </w:rPr>
            </w:pPr>
            <w:r w:rsidRPr="00D359F6">
              <w:rPr>
                <w:rFonts w:eastAsia="Times New Roman" w:cs="Times New Roman"/>
                <w:sz w:val="22"/>
                <w:lang w:eastAsia="ru-RU"/>
              </w:rPr>
              <w:t xml:space="preserve">       3 139 475   </w:t>
            </w:r>
          </w:p>
        </w:tc>
        <w:tc>
          <w:tcPr>
            <w:tcW w:w="1701" w:type="dxa"/>
            <w:tcBorders>
              <w:top w:val="nil"/>
              <w:left w:val="nil"/>
              <w:bottom w:val="single" w:sz="4" w:space="0" w:color="auto"/>
              <w:right w:val="single" w:sz="4" w:space="0" w:color="auto"/>
            </w:tcBorders>
            <w:shd w:val="clear" w:color="auto" w:fill="auto"/>
            <w:noWrap/>
            <w:vAlign w:val="bottom"/>
            <w:hideMark/>
          </w:tcPr>
          <w:p w14:paraId="717F7265" w14:textId="77777777" w:rsidR="00024D59" w:rsidRPr="00D359F6" w:rsidRDefault="00024D59" w:rsidP="00024D59">
            <w:pPr>
              <w:spacing w:after="0" w:line="240" w:lineRule="auto"/>
              <w:ind w:firstLine="0"/>
              <w:jc w:val="left"/>
              <w:rPr>
                <w:rFonts w:eastAsia="Times New Roman" w:cs="Times New Roman"/>
                <w:sz w:val="22"/>
                <w:lang w:eastAsia="ru-RU"/>
              </w:rPr>
            </w:pPr>
            <w:r w:rsidRPr="00D359F6">
              <w:rPr>
                <w:rFonts w:eastAsia="Times New Roman" w:cs="Times New Roman"/>
                <w:sz w:val="22"/>
                <w:lang w:eastAsia="ru-RU"/>
              </w:rPr>
              <w:t xml:space="preserve">         4 415 963   </w:t>
            </w:r>
          </w:p>
        </w:tc>
        <w:tc>
          <w:tcPr>
            <w:tcW w:w="1559" w:type="dxa"/>
            <w:tcBorders>
              <w:top w:val="nil"/>
              <w:left w:val="nil"/>
              <w:bottom w:val="single" w:sz="4" w:space="0" w:color="auto"/>
              <w:right w:val="single" w:sz="4" w:space="0" w:color="auto"/>
            </w:tcBorders>
            <w:shd w:val="clear" w:color="auto" w:fill="auto"/>
            <w:noWrap/>
            <w:vAlign w:val="bottom"/>
            <w:hideMark/>
          </w:tcPr>
          <w:p w14:paraId="41546E79" w14:textId="77777777" w:rsidR="00024D59" w:rsidRPr="00D359F6" w:rsidRDefault="00024D59" w:rsidP="00024D59">
            <w:pPr>
              <w:spacing w:after="0" w:line="240" w:lineRule="auto"/>
              <w:ind w:firstLine="0"/>
              <w:jc w:val="left"/>
              <w:rPr>
                <w:rFonts w:eastAsia="Times New Roman" w:cs="Times New Roman"/>
                <w:sz w:val="22"/>
                <w:lang w:eastAsia="ru-RU"/>
              </w:rPr>
            </w:pPr>
            <w:r w:rsidRPr="00D359F6">
              <w:rPr>
                <w:rFonts w:eastAsia="Times New Roman" w:cs="Times New Roman"/>
                <w:sz w:val="22"/>
                <w:lang w:eastAsia="ru-RU"/>
              </w:rPr>
              <w:t xml:space="preserve">        6 234 901   </w:t>
            </w:r>
          </w:p>
        </w:tc>
        <w:tc>
          <w:tcPr>
            <w:tcW w:w="1653" w:type="dxa"/>
            <w:tcBorders>
              <w:top w:val="nil"/>
              <w:left w:val="nil"/>
              <w:bottom w:val="single" w:sz="4" w:space="0" w:color="auto"/>
              <w:right w:val="single" w:sz="4" w:space="0" w:color="auto"/>
            </w:tcBorders>
            <w:shd w:val="clear" w:color="auto" w:fill="auto"/>
            <w:noWrap/>
            <w:vAlign w:val="bottom"/>
            <w:hideMark/>
          </w:tcPr>
          <w:p w14:paraId="5F1EF371" w14:textId="77777777" w:rsidR="00024D59" w:rsidRPr="00D359F6" w:rsidRDefault="00024D59" w:rsidP="00024D59">
            <w:pPr>
              <w:spacing w:after="0" w:line="240" w:lineRule="auto"/>
              <w:ind w:firstLine="0"/>
              <w:jc w:val="left"/>
              <w:rPr>
                <w:rFonts w:eastAsia="Times New Roman" w:cs="Times New Roman"/>
                <w:sz w:val="22"/>
                <w:lang w:eastAsia="ru-RU"/>
              </w:rPr>
            </w:pPr>
            <w:r w:rsidRPr="00D359F6">
              <w:rPr>
                <w:rFonts w:eastAsia="Times New Roman" w:cs="Times New Roman"/>
                <w:sz w:val="22"/>
                <w:lang w:eastAsia="ru-RU"/>
              </w:rPr>
              <w:t xml:space="preserve">        9 952 379   </w:t>
            </w:r>
          </w:p>
        </w:tc>
      </w:tr>
      <w:tr w:rsidR="00024D59" w:rsidRPr="00D359F6" w14:paraId="3CE2EFC3" w14:textId="77777777" w:rsidTr="00780951">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AE51BA4" w14:textId="77777777" w:rsidR="00024D59" w:rsidRPr="00D359F6" w:rsidRDefault="00024D59" w:rsidP="00024D59">
            <w:pPr>
              <w:spacing w:after="0" w:line="240" w:lineRule="auto"/>
              <w:ind w:firstLine="0"/>
              <w:jc w:val="left"/>
              <w:rPr>
                <w:rFonts w:eastAsia="Times New Roman" w:cs="Times New Roman"/>
                <w:b/>
                <w:bCs/>
                <w:color w:val="000000"/>
                <w:sz w:val="22"/>
                <w:lang w:eastAsia="ru-RU"/>
              </w:rPr>
            </w:pPr>
            <w:r w:rsidRPr="00D359F6">
              <w:rPr>
                <w:rFonts w:eastAsia="Times New Roman" w:cs="Times New Roman"/>
                <w:b/>
                <w:bCs/>
                <w:color w:val="000000"/>
                <w:sz w:val="22"/>
                <w:lang w:eastAsia="ru-RU"/>
              </w:rPr>
              <w:t>Собственный капитал компании</w:t>
            </w:r>
          </w:p>
        </w:tc>
        <w:tc>
          <w:tcPr>
            <w:tcW w:w="1560" w:type="dxa"/>
            <w:tcBorders>
              <w:top w:val="nil"/>
              <w:left w:val="nil"/>
              <w:bottom w:val="single" w:sz="4" w:space="0" w:color="auto"/>
              <w:right w:val="single" w:sz="4" w:space="0" w:color="auto"/>
            </w:tcBorders>
            <w:shd w:val="clear" w:color="auto" w:fill="auto"/>
            <w:noWrap/>
            <w:vAlign w:val="center"/>
            <w:hideMark/>
          </w:tcPr>
          <w:p w14:paraId="0262390D" w14:textId="77777777" w:rsidR="00024D59" w:rsidRPr="00D359F6" w:rsidRDefault="00024D59" w:rsidP="00024D59">
            <w:pPr>
              <w:spacing w:after="0" w:line="240" w:lineRule="auto"/>
              <w:ind w:firstLine="0"/>
              <w:jc w:val="right"/>
              <w:rPr>
                <w:rFonts w:eastAsia="Times New Roman" w:cs="Times New Roman"/>
                <w:b/>
                <w:bCs/>
                <w:color w:val="000000"/>
                <w:sz w:val="22"/>
                <w:lang w:eastAsia="ru-RU"/>
              </w:rPr>
            </w:pPr>
            <w:r w:rsidRPr="00D359F6">
              <w:rPr>
                <w:rFonts w:eastAsia="Times New Roman" w:cs="Times New Roman"/>
                <w:b/>
                <w:bCs/>
                <w:color w:val="000000"/>
                <w:sz w:val="22"/>
                <w:lang w:eastAsia="ru-RU"/>
              </w:rPr>
              <w:t xml:space="preserve">3 207 072  </w:t>
            </w:r>
          </w:p>
        </w:tc>
        <w:tc>
          <w:tcPr>
            <w:tcW w:w="1701" w:type="dxa"/>
            <w:tcBorders>
              <w:top w:val="nil"/>
              <w:left w:val="nil"/>
              <w:bottom w:val="single" w:sz="4" w:space="0" w:color="auto"/>
              <w:right w:val="single" w:sz="4" w:space="0" w:color="auto"/>
            </w:tcBorders>
            <w:shd w:val="clear" w:color="auto" w:fill="auto"/>
            <w:noWrap/>
            <w:vAlign w:val="center"/>
            <w:hideMark/>
          </w:tcPr>
          <w:p w14:paraId="0D334C5E" w14:textId="77777777" w:rsidR="00024D59" w:rsidRPr="00D359F6" w:rsidRDefault="00024D59" w:rsidP="00024D59">
            <w:pPr>
              <w:spacing w:after="0" w:line="240" w:lineRule="auto"/>
              <w:ind w:firstLine="0"/>
              <w:jc w:val="right"/>
              <w:rPr>
                <w:rFonts w:eastAsia="Times New Roman" w:cs="Times New Roman"/>
                <w:b/>
                <w:bCs/>
                <w:color w:val="000000"/>
                <w:sz w:val="22"/>
                <w:lang w:eastAsia="ru-RU"/>
              </w:rPr>
            </w:pPr>
            <w:r w:rsidRPr="00D359F6">
              <w:rPr>
                <w:rFonts w:eastAsia="Times New Roman" w:cs="Times New Roman"/>
                <w:b/>
                <w:bCs/>
                <w:color w:val="000000"/>
                <w:sz w:val="22"/>
                <w:lang w:eastAsia="ru-RU"/>
              </w:rPr>
              <w:t xml:space="preserve">4 483 560  </w:t>
            </w:r>
          </w:p>
        </w:tc>
        <w:tc>
          <w:tcPr>
            <w:tcW w:w="1559" w:type="dxa"/>
            <w:tcBorders>
              <w:top w:val="nil"/>
              <w:left w:val="nil"/>
              <w:bottom w:val="single" w:sz="4" w:space="0" w:color="auto"/>
              <w:right w:val="single" w:sz="4" w:space="0" w:color="auto"/>
            </w:tcBorders>
            <w:shd w:val="clear" w:color="auto" w:fill="auto"/>
            <w:noWrap/>
            <w:vAlign w:val="center"/>
            <w:hideMark/>
          </w:tcPr>
          <w:p w14:paraId="04055ED0" w14:textId="77777777" w:rsidR="00024D59" w:rsidRPr="00D359F6" w:rsidRDefault="00024D59" w:rsidP="00024D59">
            <w:pPr>
              <w:spacing w:after="0" w:line="240" w:lineRule="auto"/>
              <w:ind w:firstLine="0"/>
              <w:jc w:val="right"/>
              <w:rPr>
                <w:rFonts w:eastAsia="Times New Roman" w:cs="Times New Roman"/>
                <w:b/>
                <w:bCs/>
                <w:color w:val="000000"/>
                <w:sz w:val="22"/>
                <w:lang w:eastAsia="ru-RU"/>
              </w:rPr>
            </w:pPr>
            <w:r w:rsidRPr="00D359F6">
              <w:rPr>
                <w:rFonts w:eastAsia="Times New Roman" w:cs="Times New Roman"/>
                <w:b/>
                <w:bCs/>
                <w:color w:val="000000"/>
                <w:sz w:val="22"/>
                <w:lang w:eastAsia="ru-RU"/>
              </w:rPr>
              <w:t xml:space="preserve">6 302 498  </w:t>
            </w:r>
          </w:p>
        </w:tc>
        <w:tc>
          <w:tcPr>
            <w:tcW w:w="1653" w:type="dxa"/>
            <w:tcBorders>
              <w:top w:val="nil"/>
              <w:left w:val="nil"/>
              <w:bottom w:val="single" w:sz="4" w:space="0" w:color="auto"/>
              <w:right w:val="single" w:sz="4" w:space="0" w:color="auto"/>
            </w:tcBorders>
            <w:shd w:val="clear" w:color="auto" w:fill="auto"/>
            <w:noWrap/>
            <w:vAlign w:val="center"/>
            <w:hideMark/>
          </w:tcPr>
          <w:p w14:paraId="5D12FF8F" w14:textId="77777777" w:rsidR="00024D59" w:rsidRPr="00D359F6" w:rsidRDefault="00024D59" w:rsidP="00024D59">
            <w:pPr>
              <w:spacing w:after="0" w:line="240" w:lineRule="auto"/>
              <w:ind w:firstLine="0"/>
              <w:jc w:val="right"/>
              <w:rPr>
                <w:rFonts w:eastAsia="Times New Roman" w:cs="Times New Roman"/>
                <w:b/>
                <w:bCs/>
                <w:color w:val="000000"/>
                <w:sz w:val="22"/>
                <w:lang w:eastAsia="ru-RU"/>
              </w:rPr>
            </w:pPr>
            <w:r w:rsidRPr="00D359F6">
              <w:rPr>
                <w:rFonts w:eastAsia="Times New Roman" w:cs="Times New Roman"/>
                <w:b/>
                <w:bCs/>
                <w:color w:val="000000"/>
                <w:sz w:val="22"/>
                <w:lang w:eastAsia="ru-RU"/>
              </w:rPr>
              <w:t xml:space="preserve">10 019 976  </w:t>
            </w:r>
          </w:p>
        </w:tc>
      </w:tr>
    </w:tbl>
    <w:p w14:paraId="688A8E90" w14:textId="489C7243" w:rsidR="007E423F" w:rsidRDefault="007E423F" w:rsidP="007E423F">
      <w:pPr>
        <w:pStyle w:val="a"/>
        <w:numPr>
          <w:ilvl w:val="0"/>
          <w:numId w:val="0"/>
        </w:numPr>
        <w:spacing w:before="0" w:line="240" w:lineRule="auto"/>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НКХП</w:t>
      </w:r>
      <w:r w:rsidRPr="008C0B4F">
        <w:rPr>
          <w:lang w:eastAsia="ru-RU"/>
        </w:rPr>
        <w:t>]</w:t>
      </w:r>
    </w:p>
    <w:p w14:paraId="34D83DD8" w14:textId="3C898237" w:rsidR="001C6FE7" w:rsidRDefault="00D97414" w:rsidP="00D97414">
      <w:pPr>
        <w:rPr>
          <w:lang w:eastAsia="ru-RU"/>
        </w:rPr>
      </w:pPr>
      <w:r>
        <w:rPr>
          <w:lang w:eastAsia="ru-RU"/>
        </w:rPr>
        <w:t xml:space="preserve">Рассчитанные коэффициенты ликвидности представлены в таблице ниже. Коэффициенты текущей и абсолютной ликвидности соответствует норме и демонстрируют платежеспособность НКХП. В 2017 году все рассчитанные коэффициенты ликвидности увеличились в несколько раз, так как краткосрочные кредиты уменьшились с 1 433 409 тыс. рублей в 2016 году до 345 955 тыс. рублей в 2017 году, но после 2017 года </w:t>
      </w:r>
      <w:r>
        <w:rPr>
          <w:lang w:eastAsia="ru-RU"/>
        </w:rPr>
        <w:lastRenderedPageBreak/>
        <w:t xml:space="preserve">уровень краткосрочных кредитов возобновился и на протяжении двух лет был приблизительно 1 млрд рублей. В 2019 году все показатели увеличились, в сравнении с 2017 годом, что обусловлено ростом денежных средств и их эквивалентов при стабильности краткосрочных обязательств. </w:t>
      </w:r>
    </w:p>
    <w:p w14:paraId="35956F1B" w14:textId="2A13039C" w:rsidR="007E423F" w:rsidRDefault="007E423F" w:rsidP="007E423F">
      <w:pPr>
        <w:pStyle w:val="a0"/>
        <w:rPr>
          <w:lang w:eastAsia="ru-RU"/>
        </w:rPr>
      </w:pPr>
      <w:r w:rsidRPr="007E423F">
        <w:rPr>
          <w:lang w:eastAsia="ru-RU"/>
        </w:rPr>
        <w:t xml:space="preserve">Значения коэффициентов ликвидности </w:t>
      </w:r>
      <w:r>
        <w:rPr>
          <w:lang w:eastAsia="ru-RU"/>
        </w:rPr>
        <w:t xml:space="preserve">НКХП </w:t>
      </w:r>
      <w:r w:rsidRPr="007E423F">
        <w:rPr>
          <w:lang w:eastAsia="ru-RU"/>
        </w:rPr>
        <w:t>в 201</w:t>
      </w:r>
      <w:r>
        <w:rPr>
          <w:lang w:eastAsia="ru-RU"/>
        </w:rPr>
        <w:t>6</w:t>
      </w:r>
      <w:r w:rsidRPr="007E423F">
        <w:rPr>
          <w:lang w:eastAsia="ru-RU"/>
        </w:rPr>
        <w:t>-201</w:t>
      </w:r>
      <w:r>
        <w:rPr>
          <w:lang w:eastAsia="ru-RU"/>
        </w:rPr>
        <w:t>9</w:t>
      </w:r>
      <w:r w:rsidRPr="007E423F">
        <w:rPr>
          <w:lang w:eastAsia="ru-RU"/>
        </w:rPr>
        <w:t xml:space="preserve"> годах</w:t>
      </w:r>
    </w:p>
    <w:tbl>
      <w:tblPr>
        <w:tblW w:w="8170" w:type="dxa"/>
        <w:jc w:val="center"/>
        <w:tblLook w:val="04A0" w:firstRow="1" w:lastRow="0" w:firstColumn="1" w:lastColumn="0" w:noHBand="0" w:noVBand="1"/>
      </w:tblPr>
      <w:tblGrid>
        <w:gridCol w:w="4270"/>
        <w:gridCol w:w="975"/>
        <w:gridCol w:w="975"/>
        <w:gridCol w:w="975"/>
        <w:gridCol w:w="975"/>
      </w:tblGrid>
      <w:tr w:rsidR="007E423F" w:rsidRPr="007E423F" w14:paraId="791F1DAF" w14:textId="77777777" w:rsidTr="00990ABF">
        <w:trPr>
          <w:trHeight w:val="181"/>
          <w:jc w:val="center"/>
        </w:trPr>
        <w:tc>
          <w:tcPr>
            <w:tcW w:w="42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6B3E9BC" w14:textId="77777777" w:rsidR="007E423F" w:rsidRPr="007E423F" w:rsidRDefault="007E423F" w:rsidP="007E423F">
            <w:pPr>
              <w:spacing w:after="0" w:line="480" w:lineRule="auto"/>
              <w:ind w:firstLine="0"/>
              <w:jc w:val="center"/>
              <w:rPr>
                <w:rFonts w:eastAsia="Times New Roman" w:cs="Times New Roman"/>
                <w:b/>
                <w:bCs/>
                <w:color w:val="000000"/>
                <w:sz w:val="22"/>
                <w:lang w:eastAsia="ru-RU"/>
              </w:rPr>
            </w:pPr>
            <w:r w:rsidRPr="007E423F">
              <w:rPr>
                <w:rFonts w:eastAsia="Times New Roman" w:cs="Times New Roman"/>
                <w:b/>
                <w:bCs/>
                <w:color w:val="000000"/>
                <w:sz w:val="22"/>
                <w:lang w:eastAsia="ru-RU"/>
              </w:rPr>
              <w:t>Коэффициенты ликвидности</w:t>
            </w:r>
          </w:p>
        </w:tc>
        <w:tc>
          <w:tcPr>
            <w:tcW w:w="39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F1A9050" w14:textId="77777777" w:rsidR="007E423F" w:rsidRPr="007E423F" w:rsidRDefault="007E423F" w:rsidP="00990ABF">
            <w:pPr>
              <w:spacing w:after="0" w:line="240" w:lineRule="auto"/>
              <w:ind w:firstLine="0"/>
              <w:jc w:val="center"/>
              <w:rPr>
                <w:rFonts w:eastAsia="Times New Roman" w:cs="Times New Roman"/>
                <w:b/>
                <w:bCs/>
                <w:color w:val="000000"/>
                <w:sz w:val="22"/>
                <w:lang w:eastAsia="ru-RU"/>
              </w:rPr>
            </w:pPr>
            <w:r w:rsidRPr="007E423F">
              <w:rPr>
                <w:rFonts w:eastAsia="Times New Roman" w:cs="Times New Roman"/>
                <w:b/>
                <w:bCs/>
                <w:color w:val="000000"/>
                <w:sz w:val="22"/>
                <w:lang w:eastAsia="ru-RU"/>
              </w:rPr>
              <w:t>Значение коэффициентов ликвидности</w:t>
            </w:r>
          </w:p>
        </w:tc>
      </w:tr>
      <w:tr w:rsidR="007E423F" w:rsidRPr="007E423F" w14:paraId="59B1DCF4" w14:textId="77777777" w:rsidTr="00990ABF">
        <w:trPr>
          <w:trHeight w:val="104"/>
          <w:jc w:val="center"/>
        </w:trPr>
        <w:tc>
          <w:tcPr>
            <w:tcW w:w="4270" w:type="dxa"/>
            <w:vMerge/>
            <w:tcBorders>
              <w:top w:val="single" w:sz="4" w:space="0" w:color="auto"/>
              <w:left w:val="single" w:sz="4" w:space="0" w:color="auto"/>
              <w:bottom w:val="single" w:sz="4" w:space="0" w:color="auto"/>
              <w:right w:val="single" w:sz="4" w:space="0" w:color="auto"/>
            </w:tcBorders>
            <w:vAlign w:val="center"/>
            <w:hideMark/>
          </w:tcPr>
          <w:p w14:paraId="39C2AD7F" w14:textId="77777777" w:rsidR="007E423F" w:rsidRPr="007E423F" w:rsidRDefault="007E423F" w:rsidP="007E423F">
            <w:pPr>
              <w:spacing w:after="0" w:line="240" w:lineRule="auto"/>
              <w:ind w:firstLine="0"/>
              <w:jc w:val="left"/>
              <w:rPr>
                <w:rFonts w:eastAsia="Times New Roman" w:cs="Times New Roman"/>
                <w:color w:val="000000"/>
                <w:sz w:val="22"/>
                <w:lang w:eastAsia="ru-RU"/>
              </w:rPr>
            </w:pPr>
          </w:p>
        </w:tc>
        <w:tc>
          <w:tcPr>
            <w:tcW w:w="975" w:type="dxa"/>
            <w:tcBorders>
              <w:top w:val="nil"/>
              <w:left w:val="nil"/>
              <w:bottom w:val="single" w:sz="4" w:space="0" w:color="auto"/>
              <w:right w:val="single" w:sz="4" w:space="0" w:color="auto"/>
            </w:tcBorders>
            <w:shd w:val="clear" w:color="auto" w:fill="auto"/>
            <w:noWrap/>
            <w:vAlign w:val="bottom"/>
            <w:hideMark/>
          </w:tcPr>
          <w:p w14:paraId="7C86C2C4" w14:textId="77777777" w:rsidR="007E423F" w:rsidRPr="007E423F" w:rsidRDefault="007E423F" w:rsidP="007E423F">
            <w:pPr>
              <w:spacing w:after="0" w:line="240" w:lineRule="auto"/>
              <w:ind w:firstLine="0"/>
              <w:jc w:val="right"/>
              <w:rPr>
                <w:rFonts w:eastAsia="Times New Roman" w:cs="Times New Roman"/>
                <w:b/>
                <w:bCs/>
                <w:color w:val="000000"/>
                <w:sz w:val="22"/>
                <w:lang w:eastAsia="ru-RU"/>
              </w:rPr>
            </w:pPr>
            <w:r w:rsidRPr="007E423F">
              <w:rPr>
                <w:rFonts w:eastAsia="Times New Roman" w:cs="Times New Roman"/>
                <w:b/>
                <w:bCs/>
                <w:color w:val="000000"/>
                <w:sz w:val="22"/>
                <w:lang w:eastAsia="ru-RU"/>
              </w:rPr>
              <w:t>2016</w:t>
            </w:r>
          </w:p>
        </w:tc>
        <w:tc>
          <w:tcPr>
            <w:tcW w:w="975" w:type="dxa"/>
            <w:tcBorders>
              <w:top w:val="nil"/>
              <w:left w:val="nil"/>
              <w:bottom w:val="single" w:sz="4" w:space="0" w:color="auto"/>
              <w:right w:val="single" w:sz="4" w:space="0" w:color="auto"/>
            </w:tcBorders>
            <w:shd w:val="clear" w:color="auto" w:fill="auto"/>
            <w:noWrap/>
            <w:vAlign w:val="bottom"/>
            <w:hideMark/>
          </w:tcPr>
          <w:p w14:paraId="58EACD0B" w14:textId="77777777" w:rsidR="007E423F" w:rsidRPr="007E423F" w:rsidRDefault="007E423F" w:rsidP="007E423F">
            <w:pPr>
              <w:spacing w:after="0" w:line="240" w:lineRule="auto"/>
              <w:ind w:firstLine="0"/>
              <w:jc w:val="right"/>
              <w:rPr>
                <w:rFonts w:eastAsia="Times New Roman" w:cs="Times New Roman"/>
                <w:b/>
                <w:bCs/>
                <w:color w:val="000000"/>
                <w:sz w:val="22"/>
                <w:lang w:eastAsia="ru-RU"/>
              </w:rPr>
            </w:pPr>
            <w:r w:rsidRPr="007E423F">
              <w:rPr>
                <w:rFonts w:eastAsia="Times New Roman" w:cs="Times New Roman"/>
                <w:b/>
                <w:bCs/>
                <w:color w:val="000000"/>
                <w:sz w:val="22"/>
                <w:lang w:eastAsia="ru-RU"/>
              </w:rPr>
              <w:t>2017</w:t>
            </w:r>
          </w:p>
        </w:tc>
        <w:tc>
          <w:tcPr>
            <w:tcW w:w="975" w:type="dxa"/>
            <w:tcBorders>
              <w:top w:val="nil"/>
              <w:left w:val="nil"/>
              <w:bottom w:val="single" w:sz="4" w:space="0" w:color="auto"/>
              <w:right w:val="single" w:sz="4" w:space="0" w:color="auto"/>
            </w:tcBorders>
            <w:shd w:val="clear" w:color="auto" w:fill="auto"/>
            <w:noWrap/>
            <w:vAlign w:val="bottom"/>
            <w:hideMark/>
          </w:tcPr>
          <w:p w14:paraId="42C8F1F1" w14:textId="77777777" w:rsidR="007E423F" w:rsidRPr="007E423F" w:rsidRDefault="007E423F" w:rsidP="007E423F">
            <w:pPr>
              <w:spacing w:after="0" w:line="240" w:lineRule="auto"/>
              <w:ind w:firstLine="0"/>
              <w:jc w:val="right"/>
              <w:rPr>
                <w:rFonts w:eastAsia="Times New Roman" w:cs="Times New Roman"/>
                <w:b/>
                <w:bCs/>
                <w:color w:val="000000"/>
                <w:sz w:val="22"/>
                <w:lang w:eastAsia="ru-RU"/>
              </w:rPr>
            </w:pPr>
            <w:r w:rsidRPr="007E423F">
              <w:rPr>
                <w:rFonts w:eastAsia="Times New Roman" w:cs="Times New Roman"/>
                <w:b/>
                <w:bCs/>
                <w:color w:val="000000"/>
                <w:sz w:val="22"/>
                <w:lang w:eastAsia="ru-RU"/>
              </w:rPr>
              <w:t>2018</w:t>
            </w:r>
          </w:p>
        </w:tc>
        <w:tc>
          <w:tcPr>
            <w:tcW w:w="975" w:type="dxa"/>
            <w:tcBorders>
              <w:top w:val="nil"/>
              <w:left w:val="nil"/>
              <w:bottom w:val="single" w:sz="4" w:space="0" w:color="auto"/>
              <w:right w:val="single" w:sz="4" w:space="0" w:color="auto"/>
            </w:tcBorders>
            <w:shd w:val="clear" w:color="auto" w:fill="auto"/>
            <w:noWrap/>
            <w:vAlign w:val="bottom"/>
            <w:hideMark/>
          </w:tcPr>
          <w:p w14:paraId="31F68750" w14:textId="77777777" w:rsidR="007E423F" w:rsidRPr="007E423F" w:rsidRDefault="007E423F" w:rsidP="007E423F">
            <w:pPr>
              <w:spacing w:after="0" w:line="240" w:lineRule="auto"/>
              <w:ind w:firstLine="0"/>
              <w:jc w:val="right"/>
              <w:rPr>
                <w:rFonts w:eastAsia="Times New Roman" w:cs="Times New Roman"/>
                <w:b/>
                <w:bCs/>
                <w:color w:val="000000"/>
                <w:sz w:val="22"/>
                <w:lang w:eastAsia="ru-RU"/>
              </w:rPr>
            </w:pPr>
            <w:r w:rsidRPr="007E423F">
              <w:rPr>
                <w:rFonts w:eastAsia="Times New Roman" w:cs="Times New Roman"/>
                <w:b/>
                <w:bCs/>
                <w:color w:val="000000"/>
                <w:sz w:val="22"/>
                <w:lang w:eastAsia="ru-RU"/>
              </w:rPr>
              <w:t>2019</w:t>
            </w:r>
          </w:p>
        </w:tc>
      </w:tr>
      <w:tr w:rsidR="007E423F" w:rsidRPr="007E423F" w14:paraId="2B673D9D" w14:textId="77777777" w:rsidTr="007E423F">
        <w:trPr>
          <w:trHeight w:val="398"/>
          <w:jc w:val="center"/>
        </w:trPr>
        <w:tc>
          <w:tcPr>
            <w:tcW w:w="4270" w:type="dxa"/>
            <w:tcBorders>
              <w:top w:val="nil"/>
              <w:left w:val="single" w:sz="4" w:space="0" w:color="auto"/>
              <w:bottom w:val="single" w:sz="4" w:space="0" w:color="auto"/>
              <w:right w:val="single" w:sz="4" w:space="0" w:color="auto"/>
            </w:tcBorders>
            <w:shd w:val="clear" w:color="auto" w:fill="auto"/>
            <w:vAlign w:val="bottom"/>
            <w:hideMark/>
          </w:tcPr>
          <w:p w14:paraId="17767521" w14:textId="77777777" w:rsidR="007E423F" w:rsidRPr="007E423F" w:rsidRDefault="007E423F" w:rsidP="007E423F">
            <w:pPr>
              <w:spacing w:after="0" w:line="240" w:lineRule="auto"/>
              <w:ind w:firstLine="0"/>
              <w:jc w:val="left"/>
              <w:rPr>
                <w:rFonts w:eastAsia="Times New Roman" w:cs="Times New Roman"/>
                <w:color w:val="000000"/>
                <w:sz w:val="22"/>
                <w:lang w:eastAsia="ru-RU"/>
              </w:rPr>
            </w:pPr>
            <w:r w:rsidRPr="007E423F">
              <w:rPr>
                <w:rFonts w:eastAsia="Times New Roman" w:cs="Times New Roman"/>
                <w:color w:val="000000"/>
                <w:sz w:val="22"/>
                <w:lang w:eastAsia="ru-RU"/>
              </w:rPr>
              <w:t>Коэффициент текущей ликвидности</w:t>
            </w:r>
          </w:p>
        </w:tc>
        <w:tc>
          <w:tcPr>
            <w:tcW w:w="975" w:type="dxa"/>
            <w:tcBorders>
              <w:top w:val="nil"/>
              <w:left w:val="nil"/>
              <w:bottom w:val="single" w:sz="4" w:space="0" w:color="auto"/>
              <w:right w:val="single" w:sz="4" w:space="0" w:color="auto"/>
            </w:tcBorders>
            <w:shd w:val="clear" w:color="auto" w:fill="auto"/>
            <w:noWrap/>
            <w:vAlign w:val="bottom"/>
            <w:hideMark/>
          </w:tcPr>
          <w:p w14:paraId="36782976"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0,70</w:t>
            </w:r>
          </w:p>
        </w:tc>
        <w:tc>
          <w:tcPr>
            <w:tcW w:w="975" w:type="dxa"/>
            <w:tcBorders>
              <w:top w:val="nil"/>
              <w:left w:val="nil"/>
              <w:bottom w:val="single" w:sz="4" w:space="0" w:color="auto"/>
              <w:right w:val="single" w:sz="4" w:space="0" w:color="auto"/>
            </w:tcBorders>
            <w:shd w:val="clear" w:color="auto" w:fill="auto"/>
            <w:noWrap/>
            <w:vAlign w:val="bottom"/>
            <w:hideMark/>
          </w:tcPr>
          <w:p w14:paraId="3ADB6FBB"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3,41</w:t>
            </w:r>
          </w:p>
        </w:tc>
        <w:tc>
          <w:tcPr>
            <w:tcW w:w="975" w:type="dxa"/>
            <w:tcBorders>
              <w:top w:val="nil"/>
              <w:left w:val="nil"/>
              <w:bottom w:val="single" w:sz="4" w:space="0" w:color="auto"/>
              <w:right w:val="single" w:sz="4" w:space="0" w:color="auto"/>
            </w:tcBorders>
            <w:shd w:val="clear" w:color="auto" w:fill="auto"/>
            <w:noWrap/>
            <w:vAlign w:val="bottom"/>
            <w:hideMark/>
          </w:tcPr>
          <w:p w14:paraId="0F5A26F0"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1,74</w:t>
            </w:r>
          </w:p>
        </w:tc>
        <w:tc>
          <w:tcPr>
            <w:tcW w:w="975" w:type="dxa"/>
            <w:tcBorders>
              <w:top w:val="nil"/>
              <w:left w:val="nil"/>
              <w:bottom w:val="single" w:sz="4" w:space="0" w:color="auto"/>
              <w:right w:val="single" w:sz="4" w:space="0" w:color="auto"/>
            </w:tcBorders>
            <w:shd w:val="clear" w:color="auto" w:fill="auto"/>
            <w:noWrap/>
            <w:vAlign w:val="bottom"/>
            <w:hideMark/>
          </w:tcPr>
          <w:p w14:paraId="10947C0A"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2,05</w:t>
            </w:r>
          </w:p>
        </w:tc>
      </w:tr>
      <w:tr w:rsidR="007E423F" w:rsidRPr="007E423F" w14:paraId="481BEEE4" w14:textId="77777777" w:rsidTr="007E423F">
        <w:trPr>
          <w:trHeight w:val="275"/>
          <w:jc w:val="center"/>
        </w:trPr>
        <w:tc>
          <w:tcPr>
            <w:tcW w:w="4270" w:type="dxa"/>
            <w:tcBorders>
              <w:top w:val="nil"/>
              <w:left w:val="single" w:sz="4" w:space="0" w:color="auto"/>
              <w:bottom w:val="single" w:sz="4" w:space="0" w:color="auto"/>
              <w:right w:val="single" w:sz="4" w:space="0" w:color="auto"/>
            </w:tcBorders>
            <w:shd w:val="clear" w:color="auto" w:fill="auto"/>
            <w:vAlign w:val="bottom"/>
            <w:hideMark/>
          </w:tcPr>
          <w:p w14:paraId="32B3696E" w14:textId="77777777" w:rsidR="007E423F" w:rsidRPr="007E423F" w:rsidRDefault="007E423F" w:rsidP="007E423F">
            <w:pPr>
              <w:spacing w:after="0" w:line="240" w:lineRule="auto"/>
              <w:ind w:firstLine="0"/>
              <w:jc w:val="left"/>
              <w:rPr>
                <w:rFonts w:eastAsia="Times New Roman" w:cs="Times New Roman"/>
                <w:color w:val="000000"/>
                <w:sz w:val="22"/>
                <w:lang w:eastAsia="ru-RU"/>
              </w:rPr>
            </w:pPr>
            <w:r w:rsidRPr="007E423F">
              <w:rPr>
                <w:rFonts w:eastAsia="Times New Roman" w:cs="Times New Roman"/>
                <w:color w:val="000000"/>
                <w:sz w:val="22"/>
                <w:lang w:eastAsia="ru-RU"/>
              </w:rPr>
              <w:t>Коэффициент быстрой ликвидности</w:t>
            </w:r>
          </w:p>
        </w:tc>
        <w:tc>
          <w:tcPr>
            <w:tcW w:w="975" w:type="dxa"/>
            <w:tcBorders>
              <w:top w:val="nil"/>
              <w:left w:val="nil"/>
              <w:bottom w:val="single" w:sz="4" w:space="0" w:color="auto"/>
              <w:right w:val="single" w:sz="4" w:space="0" w:color="auto"/>
            </w:tcBorders>
            <w:shd w:val="clear" w:color="auto" w:fill="auto"/>
            <w:noWrap/>
            <w:vAlign w:val="bottom"/>
            <w:hideMark/>
          </w:tcPr>
          <w:p w14:paraId="27E0800C"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0,13</w:t>
            </w:r>
          </w:p>
        </w:tc>
        <w:tc>
          <w:tcPr>
            <w:tcW w:w="975" w:type="dxa"/>
            <w:tcBorders>
              <w:top w:val="nil"/>
              <w:left w:val="nil"/>
              <w:bottom w:val="single" w:sz="4" w:space="0" w:color="auto"/>
              <w:right w:val="single" w:sz="4" w:space="0" w:color="auto"/>
            </w:tcBorders>
            <w:shd w:val="clear" w:color="auto" w:fill="auto"/>
            <w:noWrap/>
            <w:vAlign w:val="bottom"/>
            <w:hideMark/>
          </w:tcPr>
          <w:p w14:paraId="6A9D1317"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2,25</w:t>
            </w:r>
          </w:p>
        </w:tc>
        <w:tc>
          <w:tcPr>
            <w:tcW w:w="975" w:type="dxa"/>
            <w:tcBorders>
              <w:top w:val="nil"/>
              <w:left w:val="nil"/>
              <w:bottom w:val="single" w:sz="4" w:space="0" w:color="auto"/>
              <w:right w:val="single" w:sz="4" w:space="0" w:color="auto"/>
            </w:tcBorders>
            <w:shd w:val="clear" w:color="auto" w:fill="auto"/>
            <w:noWrap/>
            <w:vAlign w:val="bottom"/>
            <w:hideMark/>
          </w:tcPr>
          <w:p w14:paraId="26F2452E"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0,70</w:t>
            </w:r>
          </w:p>
        </w:tc>
        <w:tc>
          <w:tcPr>
            <w:tcW w:w="975" w:type="dxa"/>
            <w:tcBorders>
              <w:top w:val="nil"/>
              <w:left w:val="nil"/>
              <w:bottom w:val="single" w:sz="4" w:space="0" w:color="auto"/>
              <w:right w:val="single" w:sz="4" w:space="0" w:color="auto"/>
            </w:tcBorders>
            <w:shd w:val="clear" w:color="auto" w:fill="auto"/>
            <w:noWrap/>
            <w:vAlign w:val="bottom"/>
            <w:hideMark/>
          </w:tcPr>
          <w:p w14:paraId="3754B7CC"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0,95</w:t>
            </w:r>
          </w:p>
        </w:tc>
      </w:tr>
      <w:tr w:rsidR="007E423F" w:rsidRPr="007E423F" w14:paraId="7C54E68C" w14:textId="77777777" w:rsidTr="007E423F">
        <w:trPr>
          <w:trHeight w:val="266"/>
          <w:jc w:val="center"/>
        </w:trPr>
        <w:tc>
          <w:tcPr>
            <w:tcW w:w="4270" w:type="dxa"/>
            <w:tcBorders>
              <w:top w:val="nil"/>
              <w:left w:val="single" w:sz="4" w:space="0" w:color="auto"/>
              <w:bottom w:val="single" w:sz="4" w:space="0" w:color="auto"/>
              <w:right w:val="single" w:sz="4" w:space="0" w:color="auto"/>
            </w:tcBorders>
            <w:shd w:val="clear" w:color="auto" w:fill="auto"/>
            <w:vAlign w:val="bottom"/>
            <w:hideMark/>
          </w:tcPr>
          <w:p w14:paraId="72A87C3D" w14:textId="77777777" w:rsidR="007E423F" w:rsidRPr="007E423F" w:rsidRDefault="007E423F" w:rsidP="007E423F">
            <w:pPr>
              <w:spacing w:after="0" w:line="240" w:lineRule="auto"/>
              <w:ind w:firstLine="0"/>
              <w:jc w:val="left"/>
              <w:rPr>
                <w:rFonts w:eastAsia="Times New Roman" w:cs="Times New Roman"/>
                <w:color w:val="000000"/>
                <w:sz w:val="22"/>
                <w:lang w:eastAsia="ru-RU"/>
              </w:rPr>
            </w:pPr>
            <w:r w:rsidRPr="007E423F">
              <w:rPr>
                <w:rFonts w:eastAsia="Times New Roman" w:cs="Times New Roman"/>
                <w:color w:val="000000"/>
                <w:sz w:val="22"/>
                <w:lang w:eastAsia="ru-RU"/>
              </w:rPr>
              <w:t>Коэффициент абсолютной ликвидности</w:t>
            </w:r>
          </w:p>
        </w:tc>
        <w:tc>
          <w:tcPr>
            <w:tcW w:w="975" w:type="dxa"/>
            <w:tcBorders>
              <w:top w:val="nil"/>
              <w:left w:val="nil"/>
              <w:bottom w:val="single" w:sz="4" w:space="0" w:color="auto"/>
              <w:right w:val="single" w:sz="4" w:space="0" w:color="auto"/>
            </w:tcBorders>
            <w:shd w:val="clear" w:color="auto" w:fill="auto"/>
            <w:noWrap/>
            <w:vAlign w:val="bottom"/>
            <w:hideMark/>
          </w:tcPr>
          <w:p w14:paraId="44B32114"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0,07</w:t>
            </w:r>
          </w:p>
        </w:tc>
        <w:tc>
          <w:tcPr>
            <w:tcW w:w="975" w:type="dxa"/>
            <w:tcBorders>
              <w:top w:val="nil"/>
              <w:left w:val="nil"/>
              <w:bottom w:val="single" w:sz="4" w:space="0" w:color="auto"/>
              <w:right w:val="single" w:sz="4" w:space="0" w:color="auto"/>
            </w:tcBorders>
            <w:shd w:val="clear" w:color="auto" w:fill="auto"/>
            <w:noWrap/>
            <w:vAlign w:val="bottom"/>
            <w:hideMark/>
          </w:tcPr>
          <w:p w14:paraId="2708CBEB"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2,08</w:t>
            </w:r>
          </w:p>
        </w:tc>
        <w:tc>
          <w:tcPr>
            <w:tcW w:w="975" w:type="dxa"/>
            <w:tcBorders>
              <w:top w:val="nil"/>
              <w:left w:val="nil"/>
              <w:bottom w:val="single" w:sz="4" w:space="0" w:color="auto"/>
              <w:right w:val="single" w:sz="4" w:space="0" w:color="auto"/>
            </w:tcBorders>
            <w:shd w:val="clear" w:color="auto" w:fill="auto"/>
            <w:noWrap/>
            <w:vAlign w:val="bottom"/>
            <w:hideMark/>
          </w:tcPr>
          <w:p w14:paraId="1783AD12"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0,55</w:t>
            </w:r>
          </w:p>
        </w:tc>
        <w:tc>
          <w:tcPr>
            <w:tcW w:w="975" w:type="dxa"/>
            <w:tcBorders>
              <w:top w:val="nil"/>
              <w:left w:val="nil"/>
              <w:bottom w:val="single" w:sz="4" w:space="0" w:color="auto"/>
              <w:right w:val="single" w:sz="4" w:space="0" w:color="auto"/>
            </w:tcBorders>
            <w:shd w:val="clear" w:color="auto" w:fill="auto"/>
            <w:noWrap/>
            <w:vAlign w:val="bottom"/>
            <w:hideMark/>
          </w:tcPr>
          <w:p w14:paraId="319355F2" w14:textId="77777777" w:rsidR="007E423F" w:rsidRPr="007E423F" w:rsidRDefault="007E423F" w:rsidP="007E423F">
            <w:pPr>
              <w:spacing w:after="0" w:line="240" w:lineRule="auto"/>
              <w:ind w:firstLine="0"/>
              <w:jc w:val="right"/>
              <w:rPr>
                <w:rFonts w:eastAsia="Times New Roman" w:cs="Times New Roman"/>
                <w:color w:val="000000"/>
                <w:sz w:val="22"/>
                <w:lang w:eastAsia="ru-RU"/>
              </w:rPr>
            </w:pPr>
            <w:r w:rsidRPr="007E423F">
              <w:rPr>
                <w:rFonts w:eastAsia="Times New Roman" w:cs="Times New Roman"/>
                <w:color w:val="000000"/>
                <w:sz w:val="22"/>
                <w:lang w:eastAsia="ru-RU"/>
              </w:rPr>
              <w:t>0,78</w:t>
            </w:r>
          </w:p>
        </w:tc>
      </w:tr>
    </w:tbl>
    <w:p w14:paraId="0906E288" w14:textId="76D68006" w:rsidR="00024D59" w:rsidRDefault="007E423F" w:rsidP="007E423F">
      <w:pPr>
        <w:pStyle w:val="a"/>
        <w:numPr>
          <w:ilvl w:val="0"/>
          <w:numId w:val="0"/>
        </w:numPr>
        <w:spacing w:before="0" w:line="240" w:lineRule="auto"/>
        <w:ind w:left="567"/>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НКХП</w:t>
      </w:r>
      <w:r w:rsidRPr="008C0B4F">
        <w:rPr>
          <w:lang w:eastAsia="ru-RU"/>
        </w:rPr>
        <w:t>]</w:t>
      </w:r>
    </w:p>
    <w:p w14:paraId="1DFA7046" w14:textId="0958C2FE" w:rsidR="00A4271E" w:rsidRPr="00A4271E" w:rsidRDefault="00A4271E" w:rsidP="00A4271E">
      <w:pPr>
        <w:rPr>
          <w:lang w:eastAsia="ru-RU"/>
        </w:rPr>
      </w:pPr>
      <w:r>
        <w:rPr>
          <w:lang w:eastAsia="ru-RU"/>
        </w:rPr>
        <w:t>Проведя анализ финансового состояния компании НКХП, стоит отметить</w:t>
      </w:r>
      <w:r w:rsidR="00734F75">
        <w:rPr>
          <w:lang w:eastAsia="ru-RU"/>
        </w:rPr>
        <w:t xml:space="preserve"> замедление темпов роста выручки </w:t>
      </w:r>
      <w:r w:rsidR="00B72BD2">
        <w:rPr>
          <w:lang w:eastAsia="ru-RU"/>
        </w:rPr>
        <w:t xml:space="preserve">с 2018 года, при этом остается положительный тренд на всем периоде с 2016 года. </w:t>
      </w:r>
      <w:r w:rsidR="00187011">
        <w:rPr>
          <w:lang w:eastAsia="ru-RU"/>
        </w:rPr>
        <w:t xml:space="preserve">Важным является увеличение доли собственных средств в структуре капитала и уменьшение долга компании. </w:t>
      </w:r>
    </w:p>
    <w:p w14:paraId="3FAAAFD3" w14:textId="0142B5DA" w:rsidR="00807368" w:rsidRDefault="00807368" w:rsidP="00807368">
      <w:pPr>
        <w:pStyle w:val="3"/>
        <w:rPr>
          <w:lang w:eastAsia="ru-RU"/>
        </w:rPr>
      </w:pPr>
      <w:bookmarkStart w:id="25" w:name="_Toc41822244"/>
      <w:r w:rsidRPr="00807368">
        <w:rPr>
          <w:lang w:eastAsia="ru-RU"/>
        </w:rPr>
        <w:t>3.2.</w:t>
      </w:r>
      <w:r>
        <w:rPr>
          <w:lang w:eastAsia="ru-RU"/>
        </w:rPr>
        <w:t>2</w:t>
      </w:r>
      <w:r w:rsidRPr="00807368">
        <w:rPr>
          <w:lang w:eastAsia="ru-RU"/>
        </w:rPr>
        <w:t>. Анализ финансово-экономической деятельности ПАО «Н</w:t>
      </w:r>
      <w:r>
        <w:rPr>
          <w:lang w:eastAsia="ru-RU"/>
        </w:rPr>
        <w:t>оватэк</w:t>
      </w:r>
      <w:r w:rsidRPr="00807368">
        <w:rPr>
          <w:lang w:eastAsia="ru-RU"/>
        </w:rPr>
        <w:t>»</w:t>
      </w:r>
      <w:bookmarkEnd w:id="25"/>
    </w:p>
    <w:p w14:paraId="774719F9" w14:textId="4D16E3C4" w:rsidR="00D85CA2" w:rsidRDefault="00D85CA2" w:rsidP="00D85CA2">
      <w:pPr>
        <w:rPr>
          <w:lang w:eastAsia="ru-RU"/>
        </w:rPr>
      </w:pPr>
      <w:r>
        <w:rPr>
          <w:lang w:eastAsia="ru-RU"/>
        </w:rPr>
        <w:t>ПАО «Новатэк» является одним из крупнейших производителей природного газа в России. Основными видами деятельности является разведка, добыча, переработка и реализация природного газа и жидких углеводородов. Добыча природного газа компанией Новатэк составл</w:t>
      </w:r>
      <w:r w:rsidR="00B21C8D">
        <w:rPr>
          <w:lang w:eastAsia="ru-RU"/>
        </w:rPr>
        <w:t>я</w:t>
      </w:r>
      <w:r>
        <w:rPr>
          <w:lang w:eastAsia="ru-RU"/>
        </w:rPr>
        <w:t xml:space="preserve">ет 9% от общероссийской. </w:t>
      </w:r>
      <w:r w:rsidR="00B21C8D">
        <w:rPr>
          <w:lang w:eastAsia="ru-RU"/>
        </w:rPr>
        <w:t>Основные месторождения находятся в Западной Сибири в Ямало-Ненецком Автономном Округе. Новатэк занимает 3 место по доказанным запасам газа и 8 место по добыче газа среди мировых публичных компаний.</w:t>
      </w:r>
      <w:r w:rsidR="00B21C8D">
        <w:rPr>
          <w:rStyle w:val="afe"/>
          <w:lang w:eastAsia="ru-RU"/>
        </w:rPr>
        <w:footnoteReference w:id="72"/>
      </w:r>
      <w:r w:rsidR="00B21C8D">
        <w:rPr>
          <w:lang w:eastAsia="ru-RU"/>
        </w:rPr>
        <w:t xml:space="preserve"> </w:t>
      </w:r>
    </w:p>
    <w:p w14:paraId="022CA242" w14:textId="573DD8A1" w:rsidR="0055512F" w:rsidRDefault="0055512F" w:rsidP="00D85CA2">
      <w:pPr>
        <w:rPr>
          <w:lang w:eastAsia="ru-RU"/>
        </w:rPr>
      </w:pPr>
      <w:r>
        <w:rPr>
          <w:lang w:eastAsia="ru-RU"/>
        </w:rPr>
        <w:t xml:space="preserve">Новатэк в 2018 году запустила производство СПГ на заводе «Ямал СПГ» и реализовала СПГ во многие экспортные страны, что благоприятно повлияло на выручку компании. В 2018 году выручка выросла на 42%, по сравнению с 2017 годом, но высокий скачок выручки связан с указанным новым производством, в дальнейшем рост выручки стабилизируется (в 2019 выручка выросла на 4%). </w:t>
      </w:r>
    </w:p>
    <w:p w14:paraId="4FEDD4EE" w14:textId="6F45EDEB" w:rsidR="008A1087" w:rsidRDefault="008A1087" w:rsidP="008A1087">
      <w:pPr>
        <w:pStyle w:val="a0"/>
        <w:rPr>
          <w:lang w:eastAsia="ru-RU"/>
        </w:rPr>
      </w:pPr>
      <w:r>
        <w:rPr>
          <w:lang w:eastAsia="ru-RU"/>
        </w:rPr>
        <w:t>Изменение выручки компании Новатэк в период 2016-2019 годы</w:t>
      </w:r>
    </w:p>
    <w:tbl>
      <w:tblPr>
        <w:tblW w:w="8985" w:type="dxa"/>
        <w:jc w:val="center"/>
        <w:tblLook w:val="04A0" w:firstRow="1" w:lastRow="0" w:firstColumn="1" w:lastColumn="0" w:noHBand="0" w:noVBand="1"/>
      </w:tblPr>
      <w:tblGrid>
        <w:gridCol w:w="4445"/>
        <w:gridCol w:w="1040"/>
        <w:gridCol w:w="960"/>
        <w:gridCol w:w="1220"/>
        <w:gridCol w:w="1320"/>
      </w:tblGrid>
      <w:tr w:rsidR="008A1087" w:rsidRPr="008A1087" w14:paraId="4A5991AB" w14:textId="77777777" w:rsidTr="00990ABF">
        <w:trPr>
          <w:trHeight w:val="300"/>
          <w:jc w:val="center"/>
        </w:trPr>
        <w:tc>
          <w:tcPr>
            <w:tcW w:w="4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DA119" w14:textId="77777777" w:rsidR="008A1087" w:rsidRPr="008A1087" w:rsidRDefault="008A1087" w:rsidP="008A1087">
            <w:pPr>
              <w:spacing w:after="0" w:line="240" w:lineRule="auto"/>
              <w:ind w:firstLine="0"/>
              <w:jc w:val="left"/>
              <w:rPr>
                <w:rFonts w:eastAsia="Times New Roman" w:cs="Times New Roman"/>
                <w:b/>
                <w:bCs/>
                <w:color w:val="000000"/>
                <w:sz w:val="22"/>
                <w:lang w:eastAsia="ru-RU"/>
              </w:rPr>
            </w:pPr>
            <w:r w:rsidRPr="008A1087">
              <w:rPr>
                <w:rFonts w:eastAsia="Times New Roman" w:cs="Times New Roman"/>
                <w:b/>
                <w:bCs/>
                <w:color w:val="000000"/>
                <w:sz w:val="22"/>
                <w:lang w:eastAsia="ru-RU"/>
              </w:rPr>
              <w:t>Период</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10A3804" w14:textId="77777777" w:rsidR="008A1087" w:rsidRPr="008A1087" w:rsidRDefault="008A1087" w:rsidP="008A1087">
            <w:pPr>
              <w:spacing w:after="0" w:line="240" w:lineRule="auto"/>
              <w:ind w:firstLine="0"/>
              <w:jc w:val="right"/>
              <w:rPr>
                <w:rFonts w:eastAsia="Times New Roman" w:cs="Times New Roman"/>
                <w:b/>
                <w:bCs/>
                <w:color w:val="000000"/>
                <w:sz w:val="22"/>
                <w:lang w:eastAsia="ru-RU"/>
              </w:rPr>
            </w:pPr>
            <w:r w:rsidRPr="008A1087">
              <w:rPr>
                <w:rFonts w:eastAsia="Times New Roman" w:cs="Times New Roman"/>
                <w:b/>
                <w:bCs/>
                <w:color w:val="000000"/>
                <w:sz w:val="22"/>
                <w:lang w:eastAsia="ru-RU"/>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13B5B7" w14:textId="77777777" w:rsidR="008A1087" w:rsidRPr="008A1087" w:rsidRDefault="008A1087" w:rsidP="008A1087">
            <w:pPr>
              <w:spacing w:after="0" w:line="240" w:lineRule="auto"/>
              <w:ind w:firstLine="0"/>
              <w:jc w:val="right"/>
              <w:rPr>
                <w:rFonts w:eastAsia="Times New Roman" w:cs="Times New Roman"/>
                <w:b/>
                <w:bCs/>
                <w:color w:val="000000"/>
                <w:sz w:val="22"/>
                <w:lang w:eastAsia="ru-RU"/>
              </w:rPr>
            </w:pPr>
            <w:r w:rsidRPr="008A1087">
              <w:rPr>
                <w:rFonts w:eastAsia="Times New Roman" w:cs="Times New Roman"/>
                <w:b/>
                <w:bCs/>
                <w:color w:val="000000"/>
                <w:sz w:val="22"/>
                <w:lang w:eastAsia="ru-RU"/>
              </w:rPr>
              <w:t>2017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F2EF32A" w14:textId="77777777" w:rsidR="008A1087" w:rsidRPr="008A1087" w:rsidRDefault="008A1087" w:rsidP="008A1087">
            <w:pPr>
              <w:spacing w:after="0" w:line="240" w:lineRule="auto"/>
              <w:ind w:firstLine="0"/>
              <w:jc w:val="right"/>
              <w:rPr>
                <w:rFonts w:eastAsia="Times New Roman" w:cs="Times New Roman"/>
                <w:b/>
                <w:bCs/>
                <w:color w:val="000000"/>
                <w:sz w:val="22"/>
                <w:lang w:eastAsia="ru-RU"/>
              </w:rPr>
            </w:pPr>
            <w:r w:rsidRPr="008A1087">
              <w:rPr>
                <w:rFonts w:eastAsia="Times New Roman" w:cs="Times New Roman"/>
                <w:b/>
                <w:bCs/>
                <w:color w:val="000000"/>
                <w:sz w:val="22"/>
                <w:lang w:eastAsia="ru-RU"/>
              </w:rPr>
              <w:t>2018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7336940" w14:textId="77777777" w:rsidR="008A1087" w:rsidRPr="008A1087" w:rsidRDefault="008A1087" w:rsidP="008A1087">
            <w:pPr>
              <w:spacing w:after="0" w:line="240" w:lineRule="auto"/>
              <w:ind w:firstLine="0"/>
              <w:jc w:val="right"/>
              <w:rPr>
                <w:rFonts w:eastAsia="Times New Roman" w:cs="Times New Roman"/>
                <w:b/>
                <w:bCs/>
                <w:color w:val="000000"/>
                <w:sz w:val="22"/>
                <w:lang w:eastAsia="ru-RU"/>
              </w:rPr>
            </w:pPr>
            <w:r w:rsidRPr="008A1087">
              <w:rPr>
                <w:rFonts w:eastAsia="Times New Roman" w:cs="Times New Roman"/>
                <w:b/>
                <w:bCs/>
                <w:color w:val="000000"/>
                <w:sz w:val="22"/>
                <w:lang w:eastAsia="ru-RU"/>
              </w:rPr>
              <w:t>2019</w:t>
            </w:r>
          </w:p>
        </w:tc>
      </w:tr>
      <w:tr w:rsidR="008A1087" w:rsidRPr="008A1087" w14:paraId="28B01761" w14:textId="77777777" w:rsidTr="00990ABF">
        <w:trPr>
          <w:trHeight w:val="326"/>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693629A8" w14:textId="1EBEA3B2" w:rsidR="008A1087" w:rsidRPr="008A1087" w:rsidRDefault="008A1087" w:rsidP="008A1087">
            <w:pPr>
              <w:spacing w:after="0" w:line="240" w:lineRule="auto"/>
              <w:ind w:firstLine="0"/>
              <w:jc w:val="left"/>
              <w:rPr>
                <w:rFonts w:eastAsia="Times New Roman" w:cs="Times New Roman"/>
                <w:b/>
                <w:bCs/>
                <w:color w:val="000000"/>
                <w:sz w:val="22"/>
                <w:lang w:eastAsia="ru-RU"/>
              </w:rPr>
            </w:pPr>
            <w:r w:rsidRPr="008A1087">
              <w:rPr>
                <w:rFonts w:eastAsia="Times New Roman" w:cs="Times New Roman"/>
                <w:b/>
                <w:bCs/>
                <w:color w:val="000000"/>
                <w:sz w:val="22"/>
                <w:lang w:eastAsia="ru-RU"/>
              </w:rPr>
              <w:t>Выручка от реализации</w:t>
            </w:r>
            <w:r w:rsidR="00D60A7E">
              <w:rPr>
                <w:rFonts w:eastAsia="Times New Roman" w:cs="Times New Roman"/>
                <w:b/>
                <w:bCs/>
                <w:color w:val="000000"/>
                <w:sz w:val="22"/>
                <w:lang w:eastAsia="ru-RU"/>
              </w:rPr>
              <w:t xml:space="preserve">, млн. рублей </w:t>
            </w:r>
          </w:p>
        </w:tc>
        <w:tc>
          <w:tcPr>
            <w:tcW w:w="1040" w:type="dxa"/>
            <w:tcBorders>
              <w:top w:val="nil"/>
              <w:left w:val="nil"/>
              <w:bottom w:val="single" w:sz="4" w:space="0" w:color="auto"/>
              <w:right w:val="single" w:sz="4" w:space="0" w:color="auto"/>
            </w:tcBorders>
            <w:shd w:val="clear" w:color="auto" w:fill="auto"/>
            <w:noWrap/>
            <w:vAlign w:val="center"/>
            <w:hideMark/>
          </w:tcPr>
          <w:p w14:paraId="5DE8F862" w14:textId="77777777" w:rsidR="008A1087" w:rsidRPr="008A1087" w:rsidRDefault="008A1087" w:rsidP="008A108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 xml:space="preserve">537 472  </w:t>
            </w:r>
          </w:p>
        </w:tc>
        <w:tc>
          <w:tcPr>
            <w:tcW w:w="960" w:type="dxa"/>
            <w:tcBorders>
              <w:top w:val="nil"/>
              <w:left w:val="nil"/>
              <w:bottom w:val="single" w:sz="4" w:space="0" w:color="auto"/>
              <w:right w:val="single" w:sz="4" w:space="0" w:color="auto"/>
            </w:tcBorders>
            <w:shd w:val="clear" w:color="auto" w:fill="auto"/>
            <w:noWrap/>
            <w:vAlign w:val="center"/>
            <w:hideMark/>
          </w:tcPr>
          <w:p w14:paraId="4D8DA616" w14:textId="77777777" w:rsidR="008A1087" w:rsidRPr="008A1087" w:rsidRDefault="008A1087" w:rsidP="008A108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 xml:space="preserve">583 186  </w:t>
            </w:r>
          </w:p>
        </w:tc>
        <w:tc>
          <w:tcPr>
            <w:tcW w:w="1220" w:type="dxa"/>
            <w:tcBorders>
              <w:top w:val="nil"/>
              <w:left w:val="nil"/>
              <w:bottom w:val="single" w:sz="4" w:space="0" w:color="auto"/>
              <w:right w:val="single" w:sz="4" w:space="0" w:color="auto"/>
            </w:tcBorders>
            <w:shd w:val="clear" w:color="auto" w:fill="auto"/>
            <w:vAlign w:val="center"/>
            <w:hideMark/>
          </w:tcPr>
          <w:p w14:paraId="4E2975B4" w14:textId="77777777" w:rsidR="008A1087" w:rsidRPr="008A1087" w:rsidRDefault="008A1087" w:rsidP="008A108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 xml:space="preserve">831 758  </w:t>
            </w:r>
          </w:p>
        </w:tc>
        <w:tc>
          <w:tcPr>
            <w:tcW w:w="1320" w:type="dxa"/>
            <w:tcBorders>
              <w:top w:val="nil"/>
              <w:left w:val="nil"/>
              <w:bottom w:val="single" w:sz="4" w:space="0" w:color="auto"/>
              <w:right w:val="single" w:sz="4" w:space="0" w:color="auto"/>
            </w:tcBorders>
            <w:shd w:val="clear" w:color="auto" w:fill="auto"/>
            <w:vAlign w:val="center"/>
            <w:hideMark/>
          </w:tcPr>
          <w:p w14:paraId="279560D2" w14:textId="77777777" w:rsidR="008A1087" w:rsidRPr="008A1087" w:rsidRDefault="008A1087" w:rsidP="008A108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 xml:space="preserve">862 803  </w:t>
            </w:r>
          </w:p>
        </w:tc>
      </w:tr>
    </w:tbl>
    <w:p w14:paraId="704A1BD8" w14:textId="14D1BA1C" w:rsidR="008A1087" w:rsidRDefault="008A1087" w:rsidP="00990ABF">
      <w:pPr>
        <w:pStyle w:val="a"/>
        <w:numPr>
          <w:ilvl w:val="0"/>
          <w:numId w:val="0"/>
        </w:numPr>
        <w:spacing w:before="0" w:line="240" w:lineRule="auto"/>
        <w:ind w:left="180"/>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Новатэк</w:t>
      </w:r>
      <w:r w:rsidRPr="008C0B4F">
        <w:rPr>
          <w:lang w:eastAsia="ru-RU"/>
        </w:rPr>
        <w:t>]</w:t>
      </w:r>
    </w:p>
    <w:p w14:paraId="4CDD7912" w14:textId="150447E8" w:rsidR="00B03BC1" w:rsidRDefault="00B03BC1" w:rsidP="00D60A7E">
      <w:pPr>
        <w:rPr>
          <w:lang w:eastAsia="ru-RU"/>
        </w:rPr>
      </w:pPr>
      <w:r>
        <w:rPr>
          <w:lang w:eastAsia="ru-RU"/>
        </w:rPr>
        <w:lastRenderedPageBreak/>
        <w:t xml:space="preserve">Оборачиваемость </w:t>
      </w:r>
      <w:r w:rsidR="00D60A7E">
        <w:rPr>
          <w:lang w:eastAsia="ru-RU"/>
        </w:rPr>
        <w:t xml:space="preserve">запасов в период с 2016 по 2018 год уменьшалась, что связано с ежегодным ростом данного показателя, но в 2019 году величина запасов снизилась на 5 млрд рублей. Среднее значение оборачиваемости запасов равно 42. Оборачиваемость дебиторской задолженности снизилось в 2019 году с 15 до 4, причиной является рост показателя на 150 млрд рублей. Оборачиваемость кредиторской задолженности наиболее стабильна.  </w:t>
      </w:r>
    </w:p>
    <w:p w14:paraId="491395AC" w14:textId="446B3418" w:rsidR="001525D7" w:rsidRPr="008C0B4F" w:rsidRDefault="001525D7" w:rsidP="001525D7">
      <w:pPr>
        <w:pStyle w:val="a0"/>
        <w:rPr>
          <w:lang w:eastAsia="ru-RU"/>
        </w:rPr>
      </w:pPr>
      <w:r>
        <w:rPr>
          <w:lang w:eastAsia="ru-RU"/>
        </w:rPr>
        <w:t xml:space="preserve">Оборачиваемость в период 2016-2019 годы </w:t>
      </w:r>
    </w:p>
    <w:tbl>
      <w:tblPr>
        <w:tblW w:w="6769" w:type="dxa"/>
        <w:jc w:val="center"/>
        <w:tblLook w:val="04A0" w:firstRow="1" w:lastRow="0" w:firstColumn="1" w:lastColumn="0" w:noHBand="0" w:noVBand="1"/>
      </w:tblPr>
      <w:tblGrid>
        <w:gridCol w:w="1900"/>
        <w:gridCol w:w="960"/>
        <w:gridCol w:w="960"/>
        <w:gridCol w:w="960"/>
        <w:gridCol w:w="960"/>
        <w:gridCol w:w="1029"/>
      </w:tblGrid>
      <w:tr w:rsidR="008A1087" w:rsidRPr="008A1087" w14:paraId="638CCF19" w14:textId="77777777" w:rsidTr="001525D7">
        <w:trPr>
          <w:trHeight w:val="29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B576C" w14:textId="77777777" w:rsidR="008A1087" w:rsidRPr="008A1087" w:rsidRDefault="008A1087" w:rsidP="008A1087">
            <w:pPr>
              <w:spacing w:after="0" w:line="240" w:lineRule="auto"/>
              <w:ind w:firstLine="0"/>
              <w:jc w:val="left"/>
              <w:rPr>
                <w:rFonts w:eastAsia="Times New Roman" w:cs="Times New Roman"/>
                <w:b/>
                <w:bCs/>
                <w:color w:val="000000"/>
                <w:sz w:val="22"/>
                <w:lang w:eastAsia="ru-RU"/>
              </w:rPr>
            </w:pPr>
            <w:r w:rsidRPr="008A1087">
              <w:rPr>
                <w:rFonts w:eastAsia="Times New Roman" w:cs="Times New Roman"/>
                <w:b/>
                <w:bCs/>
                <w:color w:val="000000"/>
                <w:sz w:val="22"/>
                <w:lang w:eastAsia="ru-RU"/>
              </w:rPr>
              <w:t>Период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85C4AA" w14:textId="77777777" w:rsidR="008A1087" w:rsidRPr="008A1087" w:rsidRDefault="008A1087" w:rsidP="008A1087">
            <w:pPr>
              <w:spacing w:after="0" w:line="240" w:lineRule="auto"/>
              <w:ind w:firstLine="0"/>
              <w:jc w:val="right"/>
              <w:rPr>
                <w:rFonts w:eastAsia="Times New Roman" w:cs="Times New Roman"/>
                <w:b/>
                <w:bCs/>
                <w:color w:val="000000"/>
                <w:sz w:val="22"/>
                <w:lang w:eastAsia="ru-RU"/>
              </w:rPr>
            </w:pPr>
            <w:r w:rsidRPr="008A1087">
              <w:rPr>
                <w:rFonts w:eastAsia="Times New Roman" w:cs="Times New Roman"/>
                <w:b/>
                <w:bCs/>
                <w:color w:val="000000"/>
                <w:sz w:val="22"/>
                <w:lang w:eastAsia="ru-RU"/>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D6A652" w14:textId="77777777" w:rsidR="008A1087" w:rsidRPr="008A1087" w:rsidRDefault="008A1087" w:rsidP="008A1087">
            <w:pPr>
              <w:spacing w:after="0" w:line="240" w:lineRule="auto"/>
              <w:ind w:firstLine="0"/>
              <w:jc w:val="right"/>
              <w:rPr>
                <w:rFonts w:eastAsia="Times New Roman" w:cs="Times New Roman"/>
                <w:b/>
                <w:bCs/>
                <w:color w:val="000000"/>
                <w:sz w:val="22"/>
                <w:lang w:eastAsia="ru-RU"/>
              </w:rPr>
            </w:pPr>
            <w:r w:rsidRPr="008A1087">
              <w:rPr>
                <w:rFonts w:eastAsia="Times New Roman" w:cs="Times New Roman"/>
                <w:b/>
                <w:bCs/>
                <w:color w:val="000000"/>
                <w:sz w:val="22"/>
                <w:lang w:eastAsia="ru-RU"/>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B7554F" w14:textId="77777777" w:rsidR="008A1087" w:rsidRPr="008A1087" w:rsidRDefault="008A1087" w:rsidP="008A1087">
            <w:pPr>
              <w:spacing w:after="0" w:line="240" w:lineRule="auto"/>
              <w:ind w:firstLine="0"/>
              <w:jc w:val="right"/>
              <w:rPr>
                <w:rFonts w:eastAsia="Times New Roman" w:cs="Times New Roman"/>
                <w:b/>
                <w:bCs/>
                <w:color w:val="000000"/>
                <w:sz w:val="22"/>
                <w:lang w:eastAsia="ru-RU"/>
              </w:rPr>
            </w:pPr>
            <w:r w:rsidRPr="008A1087">
              <w:rPr>
                <w:rFonts w:eastAsia="Times New Roman" w:cs="Times New Roman"/>
                <w:b/>
                <w:bCs/>
                <w:color w:val="000000"/>
                <w:sz w:val="22"/>
                <w:lang w:eastAsia="ru-RU"/>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50700B" w14:textId="77777777" w:rsidR="008A1087" w:rsidRPr="008A1087" w:rsidRDefault="008A1087" w:rsidP="008A1087">
            <w:pPr>
              <w:spacing w:after="0" w:line="240" w:lineRule="auto"/>
              <w:ind w:firstLine="0"/>
              <w:jc w:val="right"/>
              <w:rPr>
                <w:rFonts w:eastAsia="Times New Roman" w:cs="Times New Roman"/>
                <w:b/>
                <w:bCs/>
                <w:color w:val="000000"/>
                <w:sz w:val="22"/>
                <w:lang w:eastAsia="ru-RU"/>
              </w:rPr>
            </w:pPr>
            <w:r w:rsidRPr="008A1087">
              <w:rPr>
                <w:rFonts w:eastAsia="Times New Roman" w:cs="Times New Roman"/>
                <w:b/>
                <w:bCs/>
                <w:color w:val="000000"/>
                <w:sz w:val="22"/>
                <w:lang w:eastAsia="ru-RU"/>
              </w:rPr>
              <w:t>2019</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20E7469E" w14:textId="77777777" w:rsidR="008A1087" w:rsidRPr="008A1087" w:rsidRDefault="008A1087" w:rsidP="008A1087">
            <w:pPr>
              <w:spacing w:after="0" w:line="240" w:lineRule="auto"/>
              <w:ind w:firstLine="0"/>
              <w:jc w:val="left"/>
              <w:rPr>
                <w:rFonts w:eastAsia="Times New Roman" w:cs="Times New Roman"/>
                <w:b/>
                <w:bCs/>
                <w:color w:val="000000"/>
                <w:sz w:val="22"/>
                <w:lang w:eastAsia="ru-RU"/>
              </w:rPr>
            </w:pPr>
            <w:r w:rsidRPr="008A1087">
              <w:rPr>
                <w:rFonts w:eastAsia="Times New Roman" w:cs="Times New Roman"/>
                <w:b/>
                <w:bCs/>
                <w:color w:val="000000"/>
                <w:sz w:val="22"/>
                <w:lang w:eastAsia="ru-RU"/>
              </w:rPr>
              <w:t>Среднее</w:t>
            </w:r>
          </w:p>
        </w:tc>
      </w:tr>
      <w:tr w:rsidR="008A1087" w:rsidRPr="008A1087" w14:paraId="2CD55C7F" w14:textId="77777777" w:rsidTr="001525D7">
        <w:trPr>
          <w:trHeight w:val="580"/>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14:paraId="2BF1D8A9" w14:textId="77777777" w:rsidR="008A1087" w:rsidRPr="008A1087" w:rsidRDefault="008A1087" w:rsidP="008A1087">
            <w:pPr>
              <w:spacing w:after="0" w:line="240" w:lineRule="auto"/>
              <w:ind w:firstLine="0"/>
              <w:jc w:val="left"/>
              <w:rPr>
                <w:rFonts w:eastAsia="Times New Roman" w:cs="Times New Roman"/>
                <w:color w:val="000000"/>
                <w:sz w:val="22"/>
                <w:lang w:eastAsia="ru-RU"/>
              </w:rPr>
            </w:pPr>
            <w:r w:rsidRPr="008A1087">
              <w:rPr>
                <w:rFonts w:eastAsia="Times New Roman" w:cs="Times New Roman"/>
                <w:color w:val="000000"/>
                <w:sz w:val="22"/>
                <w:lang w:eastAsia="ru-RU"/>
              </w:rPr>
              <w:t>Оборачиваемость запасов</w:t>
            </w:r>
          </w:p>
        </w:tc>
        <w:tc>
          <w:tcPr>
            <w:tcW w:w="960" w:type="dxa"/>
            <w:tcBorders>
              <w:top w:val="nil"/>
              <w:left w:val="nil"/>
              <w:bottom w:val="single" w:sz="4" w:space="0" w:color="auto"/>
              <w:right w:val="single" w:sz="4" w:space="0" w:color="auto"/>
            </w:tcBorders>
            <w:shd w:val="clear" w:color="auto" w:fill="auto"/>
            <w:noWrap/>
            <w:vAlign w:val="bottom"/>
            <w:hideMark/>
          </w:tcPr>
          <w:p w14:paraId="7811986B" w14:textId="10224008"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43</w:t>
            </w:r>
          </w:p>
        </w:tc>
        <w:tc>
          <w:tcPr>
            <w:tcW w:w="960" w:type="dxa"/>
            <w:tcBorders>
              <w:top w:val="nil"/>
              <w:left w:val="nil"/>
              <w:bottom w:val="single" w:sz="4" w:space="0" w:color="auto"/>
              <w:right w:val="single" w:sz="4" w:space="0" w:color="auto"/>
            </w:tcBorders>
            <w:shd w:val="clear" w:color="auto" w:fill="auto"/>
            <w:noWrap/>
            <w:vAlign w:val="bottom"/>
            <w:hideMark/>
          </w:tcPr>
          <w:p w14:paraId="56113695" w14:textId="34D79F1C"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38</w:t>
            </w:r>
          </w:p>
        </w:tc>
        <w:tc>
          <w:tcPr>
            <w:tcW w:w="960" w:type="dxa"/>
            <w:tcBorders>
              <w:top w:val="nil"/>
              <w:left w:val="nil"/>
              <w:bottom w:val="single" w:sz="4" w:space="0" w:color="auto"/>
              <w:right w:val="single" w:sz="4" w:space="0" w:color="auto"/>
            </w:tcBorders>
            <w:shd w:val="clear" w:color="auto" w:fill="auto"/>
            <w:noWrap/>
            <w:vAlign w:val="bottom"/>
            <w:hideMark/>
          </w:tcPr>
          <w:p w14:paraId="6D67D9C1" w14:textId="442EB4DC"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35</w:t>
            </w:r>
          </w:p>
        </w:tc>
        <w:tc>
          <w:tcPr>
            <w:tcW w:w="960" w:type="dxa"/>
            <w:tcBorders>
              <w:top w:val="nil"/>
              <w:left w:val="nil"/>
              <w:bottom w:val="single" w:sz="4" w:space="0" w:color="auto"/>
              <w:right w:val="single" w:sz="4" w:space="0" w:color="auto"/>
            </w:tcBorders>
            <w:shd w:val="clear" w:color="auto" w:fill="auto"/>
            <w:noWrap/>
            <w:vAlign w:val="bottom"/>
            <w:hideMark/>
          </w:tcPr>
          <w:p w14:paraId="4419A2F8" w14:textId="184D210A"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52</w:t>
            </w:r>
          </w:p>
        </w:tc>
        <w:tc>
          <w:tcPr>
            <w:tcW w:w="1029" w:type="dxa"/>
            <w:tcBorders>
              <w:top w:val="nil"/>
              <w:left w:val="nil"/>
              <w:bottom w:val="single" w:sz="4" w:space="0" w:color="auto"/>
              <w:right w:val="single" w:sz="4" w:space="0" w:color="auto"/>
            </w:tcBorders>
            <w:shd w:val="clear" w:color="auto" w:fill="auto"/>
            <w:noWrap/>
            <w:vAlign w:val="bottom"/>
            <w:hideMark/>
          </w:tcPr>
          <w:p w14:paraId="268DE6A0" w14:textId="315E00D6"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42</w:t>
            </w:r>
          </w:p>
        </w:tc>
      </w:tr>
      <w:tr w:rsidR="008A1087" w:rsidRPr="008A1087" w14:paraId="03B42049" w14:textId="77777777" w:rsidTr="001525D7">
        <w:trPr>
          <w:trHeight w:val="560"/>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14:paraId="104A3BD9" w14:textId="77777777" w:rsidR="008A1087" w:rsidRPr="008A1087" w:rsidRDefault="008A1087" w:rsidP="008A1087">
            <w:pPr>
              <w:spacing w:after="0" w:line="240" w:lineRule="auto"/>
              <w:ind w:firstLine="0"/>
              <w:jc w:val="left"/>
              <w:rPr>
                <w:rFonts w:eastAsia="Times New Roman" w:cs="Times New Roman"/>
                <w:color w:val="000000"/>
                <w:sz w:val="22"/>
                <w:lang w:eastAsia="ru-RU"/>
              </w:rPr>
            </w:pPr>
            <w:r w:rsidRPr="008A1087">
              <w:rPr>
                <w:rFonts w:eastAsia="Times New Roman" w:cs="Times New Roman"/>
                <w:color w:val="000000"/>
                <w:sz w:val="22"/>
                <w:lang w:eastAsia="ru-RU"/>
              </w:rPr>
              <w:t>Оборачиваемость ДЗ</w:t>
            </w:r>
          </w:p>
        </w:tc>
        <w:tc>
          <w:tcPr>
            <w:tcW w:w="960" w:type="dxa"/>
            <w:tcBorders>
              <w:top w:val="nil"/>
              <w:left w:val="nil"/>
              <w:bottom w:val="single" w:sz="4" w:space="0" w:color="auto"/>
              <w:right w:val="single" w:sz="4" w:space="0" w:color="auto"/>
            </w:tcBorders>
            <w:shd w:val="clear" w:color="auto" w:fill="auto"/>
            <w:noWrap/>
            <w:vAlign w:val="bottom"/>
            <w:hideMark/>
          </w:tcPr>
          <w:p w14:paraId="0AE6A0CB" w14:textId="498719F4"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13</w:t>
            </w:r>
          </w:p>
        </w:tc>
        <w:tc>
          <w:tcPr>
            <w:tcW w:w="960" w:type="dxa"/>
            <w:tcBorders>
              <w:top w:val="nil"/>
              <w:left w:val="nil"/>
              <w:bottom w:val="single" w:sz="4" w:space="0" w:color="auto"/>
              <w:right w:val="single" w:sz="4" w:space="0" w:color="auto"/>
            </w:tcBorders>
            <w:shd w:val="clear" w:color="auto" w:fill="auto"/>
            <w:noWrap/>
            <w:vAlign w:val="bottom"/>
            <w:hideMark/>
          </w:tcPr>
          <w:p w14:paraId="4CB33E9F" w14:textId="72255A0B"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13</w:t>
            </w:r>
          </w:p>
        </w:tc>
        <w:tc>
          <w:tcPr>
            <w:tcW w:w="960" w:type="dxa"/>
            <w:tcBorders>
              <w:top w:val="nil"/>
              <w:left w:val="nil"/>
              <w:bottom w:val="single" w:sz="4" w:space="0" w:color="auto"/>
              <w:right w:val="single" w:sz="4" w:space="0" w:color="auto"/>
            </w:tcBorders>
            <w:shd w:val="clear" w:color="auto" w:fill="auto"/>
            <w:noWrap/>
            <w:vAlign w:val="bottom"/>
            <w:hideMark/>
          </w:tcPr>
          <w:p w14:paraId="1376406B" w14:textId="70865FAD"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14:paraId="3A91F681" w14:textId="29728908"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4</w:t>
            </w:r>
          </w:p>
        </w:tc>
        <w:tc>
          <w:tcPr>
            <w:tcW w:w="1029" w:type="dxa"/>
            <w:tcBorders>
              <w:top w:val="nil"/>
              <w:left w:val="nil"/>
              <w:bottom w:val="single" w:sz="4" w:space="0" w:color="auto"/>
              <w:right w:val="single" w:sz="4" w:space="0" w:color="auto"/>
            </w:tcBorders>
            <w:shd w:val="clear" w:color="auto" w:fill="auto"/>
            <w:noWrap/>
            <w:vAlign w:val="bottom"/>
            <w:hideMark/>
          </w:tcPr>
          <w:p w14:paraId="0CAA7E18" w14:textId="5474F133"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11</w:t>
            </w:r>
          </w:p>
        </w:tc>
      </w:tr>
      <w:tr w:rsidR="008A1087" w:rsidRPr="008A1087" w14:paraId="73D6170C" w14:textId="77777777" w:rsidTr="001525D7">
        <w:trPr>
          <w:trHeight w:val="590"/>
          <w:jc w:val="center"/>
        </w:trPr>
        <w:tc>
          <w:tcPr>
            <w:tcW w:w="1900" w:type="dxa"/>
            <w:tcBorders>
              <w:top w:val="nil"/>
              <w:left w:val="single" w:sz="4" w:space="0" w:color="auto"/>
              <w:bottom w:val="single" w:sz="4" w:space="0" w:color="auto"/>
              <w:right w:val="single" w:sz="4" w:space="0" w:color="auto"/>
            </w:tcBorders>
            <w:shd w:val="clear" w:color="auto" w:fill="auto"/>
            <w:vAlign w:val="bottom"/>
            <w:hideMark/>
          </w:tcPr>
          <w:p w14:paraId="30474186" w14:textId="77777777" w:rsidR="008A1087" w:rsidRPr="008A1087" w:rsidRDefault="008A1087" w:rsidP="008A1087">
            <w:pPr>
              <w:spacing w:after="0" w:line="240" w:lineRule="auto"/>
              <w:ind w:firstLine="0"/>
              <w:jc w:val="left"/>
              <w:rPr>
                <w:rFonts w:eastAsia="Times New Roman" w:cs="Times New Roman"/>
                <w:color w:val="000000"/>
                <w:sz w:val="22"/>
                <w:lang w:eastAsia="ru-RU"/>
              </w:rPr>
            </w:pPr>
            <w:r w:rsidRPr="008A1087">
              <w:rPr>
                <w:rFonts w:eastAsia="Times New Roman" w:cs="Times New Roman"/>
                <w:color w:val="000000"/>
                <w:sz w:val="22"/>
                <w:lang w:eastAsia="ru-RU"/>
              </w:rPr>
              <w:t>Оборачиваемость КЗ</w:t>
            </w:r>
          </w:p>
        </w:tc>
        <w:tc>
          <w:tcPr>
            <w:tcW w:w="960" w:type="dxa"/>
            <w:tcBorders>
              <w:top w:val="nil"/>
              <w:left w:val="nil"/>
              <w:bottom w:val="single" w:sz="4" w:space="0" w:color="auto"/>
              <w:right w:val="single" w:sz="4" w:space="0" w:color="auto"/>
            </w:tcBorders>
            <w:shd w:val="clear" w:color="auto" w:fill="auto"/>
            <w:noWrap/>
            <w:vAlign w:val="bottom"/>
            <w:hideMark/>
          </w:tcPr>
          <w:p w14:paraId="38A98394" w14:textId="70582E52"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14:paraId="5A298CB2" w14:textId="50ECB8C0"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9</w:t>
            </w:r>
          </w:p>
        </w:tc>
        <w:tc>
          <w:tcPr>
            <w:tcW w:w="960" w:type="dxa"/>
            <w:tcBorders>
              <w:top w:val="nil"/>
              <w:left w:val="nil"/>
              <w:bottom w:val="single" w:sz="4" w:space="0" w:color="auto"/>
              <w:right w:val="single" w:sz="4" w:space="0" w:color="auto"/>
            </w:tcBorders>
            <w:shd w:val="clear" w:color="auto" w:fill="auto"/>
            <w:noWrap/>
            <w:vAlign w:val="bottom"/>
            <w:hideMark/>
          </w:tcPr>
          <w:p w14:paraId="070770E5" w14:textId="3D5CDB59"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8</w:t>
            </w:r>
          </w:p>
        </w:tc>
        <w:tc>
          <w:tcPr>
            <w:tcW w:w="960" w:type="dxa"/>
            <w:tcBorders>
              <w:top w:val="nil"/>
              <w:left w:val="nil"/>
              <w:bottom w:val="single" w:sz="4" w:space="0" w:color="auto"/>
              <w:right w:val="single" w:sz="4" w:space="0" w:color="auto"/>
            </w:tcBorders>
            <w:shd w:val="clear" w:color="auto" w:fill="auto"/>
            <w:noWrap/>
            <w:vAlign w:val="bottom"/>
            <w:hideMark/>
          </w:tcPr>
          <w:p w14:paraId="4382A7B4" w14:textId="7805C460"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7</w:t>
            </w:r>
          </w:p>
        </w:tc>
        <w:tc>
          <w:tcPr>
            <w:tcW w:w="1029" w:type="dxa"/>
            <w:tcBorders>
              <w:top w:val="nil"/>
              <w:left w:val="nil"/>
              <w:bottom w:val="single" w:sz="4" w:space="0" w:color="auto"/>
              <w:right w:val="single" w:sz="4" w:space="0" w:color="auto"/>
            </w:tcBorders>
            <w:shd w:val="clear" w:color="auto" w:fill="auto"/>
            <w:noWrap/>
            <w:vAlign w:val="bottom"/>
            <w:hideMark/>
          </w:tcPr>
          <w:p w14:paraId="06688C2C" w14:textId="3F966483" w:rsidR="008A1087" w:rsidRPr="008A1087" w:rsidRDefault="008A1087" w:rsidP="001525D7">
            <w:pPr>
              <w:spacing w:after="0" w:line="240" w:lineRule="auto"/>
              <w:ind w:firstLine="0"/>
              <w:jc w:val="center"/>
              <w:rPr>
                <w:rFonts w:eastAsia="Times New Roman" w:cs="Times New Roman"/>
                <w:color w:val="000000"/>
                <w:sz w:val="22"/>
                <w:lang w:eastAsia="ru-RU"/>
              </w:rPr>
            </w:pPr>
            <w:r w:rsidRPr="008A1087">
              <w:rPr>
                <w:rFonts w:eastAsia="Times New Roman" w:cs="Times New Roman"/>
                <w:color w:val="000000"/>
                <w:sz w:val="22"/>
                <w:lang w:eastAsia="ru-RU"/>
              </w:rPr>
              <w:t>8</w:t>
            </w:r>
          </w:p>
        </w:tc>
      </w:tr>
    </w:tbl>
    <w:p w14:paraId="1B5FC73D" w14:textId="2E9975CD" w:rsidR="001525D7" w:rsidRDefault="001525D7" w:rsidP="001525D7">
      <w:pPr>
        <w:pStyle w:val="a"/>
        <w:numPr>
          <w:ilvl w:val="0"/>
          <w:numId w:val="0"/>
        </w:numPr>
        <w:spacing w:before="0" w:line="240" w:lineRule="auto"/>
        <w:ind w:left="993"/>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Новатэк</w:t>
      </w:r>
      <w:r w:rsidRPr="008C0B4F">
        <w:rPr>
          <w:lang w:eastAsia="ru-RU"/>
        </w:rPr>
        <w:t>]</w:t>
      </w:r>
    </w:p>
    <w:p w14:paraId="504901ED" w14:textId="1BC80CD1" w:rsidR="00EC0843" w:rsidRDefault="00EC0843" w:rsidP="008C05DD">
      <w:pPr>
        <w:rPr>
          <w:lang w:eastAsia="ru-RU"/>
        </w:rPr>
      </w:pPr>
      <w:r>
        <w:rPr>
          <w:lang w:eastAsia="ru-RU"/>
        </w:rPr>
        <w:t>Новатэк ежегодно занимается выкупом части акций из свободного обращения, величина выкупа представлена в таблице ниже. Собственный капитал компании ежегодно увеличивается</w:t>
      </w:r>
      <w:r w:rsidR="008C05DD">
        <w:rPr>
          <w:lang w:eastAsia="ru-RU"/>
        </w:rPr>
        <w:t xml:space="preserve">. В </w:t>
      </w:r>
      <w:r>
        <w:rPr>
          <w:lang w:eastAsia="ru-RU"/>
        </w:rPr>
        <w:t xml:space="preserve">2019 году </w:t>
      </w:r>
      <w:r w:rsidR="008C05DD">
        <w:rPr>
          <w:lang w:eastAsia="ru-RU"/>
        </w:rPr>
        <w:t xml:space="preserve">компания получила прибыль от выбытия доли владения в дочернем обществе в размере 683 млрд рублей — нераспределенная прибыль увеличилась практически в два раза, что повлияло на рост собственного капитала в 2019 году. Доля собственного капитала ежегодно увеличивается: в 2019 году доля СК составила 92%, а в 2016 году — 80%. </w:t>
      </w:r>
    </w:p>
    <w:p w14:paraId="30543642" w14:textId="5ECD57FF" w:rsidR="001525D7" w:rsidRDefault="001525D7" w:rsidP="001525D7">
      <w:pPr>
        <w:pStyle w:val="a0"/>
        <w:rPr>
          <w:lang w:eastAsia="ru-RU"/>
        </w:rPr>
      </w:pPr>
      <w:r>
        <w:rPr>
          <w:lang w:eastAsia="ru-RU"/>
        </w:rPr>
        <w:t>Изменение собственного капитала компании в 2016-2019 годы</w:t>
      </w:r>
    </w:p>
    <w:tbl>
      <w:tblPr>
        <w:tblW w:w="7420" w:type="dxa"/>
        <w:jc w:val="center"/>
        <w:tblLook w:val="04A0" w:firstRow="1" w:lastRow="0" w:firstColumn="1" w:lastColumn="0" w:noHBand="0" w:noVBand="1"/>
      </w:tblPr>
      <w:tblGrid>
        <w:gridCol w:w="2880"/>
        <w:gridCol w:w="1040"/>
        <w:gridCol w:w="960"/>
        <w:gridCol w:w="1220"/>
        <w:gridCol w:w="1320"/>
      </w:tblGrid>
      <w:tr w:rsidR="001525D7" w:rsidRPr="001525D7" w14:paraId="6F331550" w14:textId="77777777" w:rsidTr="001525D7">
        <w:trPr>
          <w:trHeight w:val="290"/>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45F3F" w14:textId="77777777" w:rsidR="001525D7" w:rsidRPr="001525D7" w:rsidRDefault="001525D7" w:rsidP="001525D7">
            <w:pPr>
              <w:spacing w:after="0" w:line="240" w:lineRule="auto"/>
              <w:ind w:firstLine="0"/>
              <w:jc w:val="left"/>
              <w:rPr>
                <w:rFonts w:eastAsia="Times New Roman" w:cs="Times New Roman"/>
                <w:b/>
                <w:bCs/>
                <w:color w:val="000000"/>
                <w:sz w:val="22"/>
                <w:lang w:eastAsia="ru-RU"/>
              </w:rPr>
            </w:pPr>
            <w:r w:rsidRPr="001525D7">
              <w:rPr>
                <w:rFonts w:eastAsia="Times New Roman" w:cs="Times New Roman"/>
                <w:b/>
                <w:bCs/>
                <w:color w:val="000000"/>
                <w:sz w:val="22"/>
                <w:lang w:eastAsia="ru-RU"/>
              </w:rPr>
              <w:t>Период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8F6CA6D" w14:textId="77777777" w:rsidR="001525D7" w:rsidRPr="001525D7" w:rsidRDefault="001525D7" w:rsidP="001525D7">
            <w:pPr>
              <w:spacing w:after="0" w:line="240" w:lineRule="auto"/>
              <w:ind w:firstLine="0"/>
              <w:jc w:val="right"/>
              <w:rPr>
                <w:rFonts w:eastAsia="Times New Roman" w:cs="Times New Roman"/>
                <w:b/>
                <w:bCs/>
                <w:color w:val="000000"/>
                <w:sz w:val="22"/>
                <w:lang w:eastAsia="ru-RU"/>
              </w:rPr>
            </w:pPr>
            <w:r w:rsidRPr="001525D7">
              <w:rPr>
                <w:rFonts w:eastAsia="Times New Roman" w:cs="Times New Roman"/>
                <w:b/>
                <w:bCs/>
                <w:color w:val="000000"/>
                <w:sz w:val="22"/>
                <w:lang w:eastAsia="ru-RU"/>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C0AFF0" w14:textId="77777777" w:rsidR="001525D7" w:rsidRPr="001525D7" w:rsidRDefault="001525D7" w:rsidP="001525D7">
            <w:pPr>
              <w:spacing w:after="0" w:line="240" w:lineRule="auto"/>
              <w:ind w:firstLine="0"/>
              <w:jc w:val="right"/>
              <w:rPr>
                <w:rFonts w:eastAsia="Times New Roman" w:cs="Times New Roman"/>
                <w:b/>
                <w:bCs/>
                <w:color w:val="000000"/>
                <w:sz w:val="22"/>
                <w:lang w:eastAsia="ru-RU"/>
              </w:rPr>
            </w:pPr>
            <w:r w:rsidRPr="001525D7">
              <w:rPr>
                <w:rFonts w:eastAsia="Times New Roman" w:cs="Times New Roman"/>
                <w:b/>
                <w:bCs/>
                <w:color w:val="000000"/>
                <w:sz w:val="22"/>
                <w:lang w:eastAsia="ru-RU"/>
              </w:rPr>
              <w:t>2017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12A32BA" w14:textId="77777777" w:rsidR="001525D7" w:rsidRPr="001525D7" w:rsidRDefault="001525D7" w:rsidP="001525D7">
            <w:pPr>
              <w:spacing w:after="0" w:line="240" w:lineRule="auto"/>
              <w:ind w:firstLine="0"/>
              <w:jc w:val="right"/>
              <w:rPr>
                <w:rFonts w:eastAsia="Times New Roman" w:cs="Times New Roman"/>
                <w:b/>
                <w:bCs/>
                <w:color w:val="000000"/>
                <w:sz w:val="22"/>
                <w:lang w:eastAsia="ru-RU"/>
              </w:rPr>
            </w:pPr>
            <w:r w:rsidRPr="001525D7">
              <w:rPr>
                <w:rFonts w:eastAsia="Times New Roman" w:cs="Times New Roman"/>
                <w:b/>
                <w:bCs/>
                <w:color w:val="000000"/>
                <w:sz w:val="22"/>
                <w:lang w:eastAsia="ru-RU"/>
              </w:rPr>
              <w:t>2018</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AE8C750" w14:textId="77777777" w:rsidR="001525D7" w:rsidRPr="001525D7" w:rsidRDefault="001525D7" w:rsidP="001525D7">
            <w:pPr>
              <w:spacing w:after="0" w:line="240" w:lineRule="auto"/>
              <w:ind w:firstLine="0"/>
              <w:jc w:val="right"/>
              <w:rPr>
                <w:rFonts w:eastAsia="Times New Roman" w:cs="Times New Roman"/>
                <w:b/>
                <w:bCs/>
                <w:color w:val="000000"/>
                <w:sz w:val="22"/>
                <w:lang w:eastAsia="ru-RU"/>
              </w:rPr>
            </w:pPr>
            <w:r w:rsidRPr="001525D7">
              <w:rPr>
                <w:rFonts w:eastAsia="Times New Roman" w:cs="Times New Roman"/>
                <w:b/>
                <w:bCs/>
                <w:color w:val="000000"/>
                <w:sz w:val="22"/>
                <w:lang w:eastAsia="ru-RU"/>
              </w:rPr>
              <w:t>2019</w:t>
            </w:r>
          </w:p>
        </w:tc>
      </w:tr>
      <w:tr w:rsidR="001525D7" w:rsidRPr="001525D7" w14:paraId="0C039C99" w14:textId="77777777" w:rsidTr="001525D7">
        <w:trPr>
          <w:trHeight w:val="290"/>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15C58252" w14:textId="77777777" w:rsidR="001525D7" w:rsidRPr="001525D7" w:rsidRDefault="001525D7" w:rsidP="001525D7">
            <w:pPr>
              <w:spacing w:after="0" w:line="240" w:lineRule="auto"/>
              <w:ind w:firstLine="0"/>
              <w:jc w:val="left"/>
              <w:rPr>
                <w:rFonts w:eastAsia="Times New Roman" w:cs="Times New Roman"/>
                <w:color w:val="000000"/>
                <w:sz w:val="22"/>
                <w:lang w:eastAsia="ru-RU"/>
              </w:rPr>
            </w:pPr>
            <w:r w:rsidRPr="001525D7">
              <w:rPr>
                <w:rFonts w:eastAsia="Times New Roman" w:cs="Times New Roman"/>
                <w:color w:val="000000"/>
                <w:sz w:val="22"/>
                <w:lang w:eastAsia="ru-RU"/>
              </w:rPr>
              <w:t xml:space="preserve">Уставный капитал </w:t>
            </w:r>
          </w:p>
        </w:tc>
        <w:tc>
          <w:tcPr>
            <w:tcW w:w="1040" w:type="dxa"/>
            <w:tcBorders>
              <w:top w:val="nil"/>
              <w:left w:val="nil"/>
              <w:bottom w:val="single" w:sz="4" w:space="0" w:color="auto"/>
              <w:right w:val="single" w:sz="4" w:space="0" w:color="auto"/>
            </w:tcBorders>
            <w:shd w:val="clear" w:color="auto" w:fill="auto"/>
            <w:vAlign w:val="center"/>
            <w:hideMark/>
          </w:tcPr>
          <w:p w14:paraId="552538C3"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393  </w:t>
            </w:r>
          </w:p>
        </w:tc>
        <w:tc>
          <w:tcPr>
            <w:tcW w:w="960" w:type="dxa"/>
            <w:tcBorders>
              <w:top w:val="nil"/>
              <w:left w:val="nil"/>
              <w:bottom w:val="single" w:sz="4" w:space="0" w:color="auto"/>
              <w:right w:val="single" w:sz="4" w:space="0" w:color="auto"/>
            </w:tcBorders>
            <w:shd w:val="clear" w:color="auto" w:fill="auto"/>
            <w:noWrap/>
            <w:vAlign w:val="center"/>
            <w:hideMark/>
          </w:tcPr>
          <w:p w14:paraId="0FFF7ACB"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393  </w:t>
            </w:r>
          </w:p>
        </w:tc>
        <w:tc>
          <w:tcPr>
            <w:tcW w:w="1220" w:type="dxa"/>
            <w:tcBorders>
              <w:top w:val="nil"/>
              <w:left w:val="nil"/>
              <w:bottom w:val="single" w:sz="4" w:space="0" w:color="auto"/>
              <w:right w:val="single" w:sz="4" w:space="0" w:color="auto"/>
            </w:tcBorders>
            <w:shd w:val="clear" w:color="auto" w:fill="auto"/>
            <w:vAlign w:val="center"/>
            <w:hideMark/>
          </w:tcPr>
          <w:p w14:paraId="57166B14"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393  </w:t>
            </w:r>
          </w:p>
        </w:tc>
        <w:tc>
          <w:tcPr>
            <w:tcW w:w="1320" w:type="dxa"/>
            <w:tcBorders>
              <w:top w:val="nil"/>
              <w:left w:val="nil"/>
              <w:bottom w:val="single" w:sz="4" w:space="0" w:color="auto"/>
              <w:right w:val="single" w:sz="4" w:space="0" w:color="auto"/>
            </w:tcBorders>
            <w:shd w:val="clear" w:color="auto" w:fill="auto"/>
            <w:vAlign w:val="center"/>
            <w:hideMark/>
          </w:tcPr>
          <w:p w14:paraId="1216B3FD"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393  </w:t>
            </w:r>
          </w:p>
        </w:tc>
      </w:tr>
      <w:tr w:rsidR="001525D7" w:rsidRPr="001525D7" w14:paraId="00D4BF20" w14:textId="77777777" w:rsidTr="001525D7">
        <w:trPr>
          <w:trHeight w:val="290"/>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019B4917" w14:textId="77777777" w:rsidR="001525D7" w:rsidRPr="001525D7" w:rsidRDefault="001525D7" w:rsidP="001525D7">
            <w:pPr>
              <w:spacing w:after="0" w:line="240" w:lineRule="auto"/>
              <w:ind w:firstLine="0"/>
              <w:jc w:val="left"/>
              <w:rPr>
                <w:rFonts w:eastAsia="Times New Roman" w:cs="Times New Roman"/>
                <w:color w:val="000000"/>
                <w:sz w:val="22"/>
                <w:lang w:eastAsia="ru-RU"/>
              </w:rPr>
            </w:pPr>
            <w:r w:rsidRPr="001525D7">
              <w:rPr>
                <w:rFonts w:eastAsia="Times New Roman" w:cs="Times New Roman"/>
                <w:color w:val="000000"/>
                <w:sz w:val="22"/>
                <w:lang w:eastAsia="ru-RU"/>
              </w:rPr>
              <w:t>Выкупленные собственные акции</w:t>
            </w:r>
          </w:p>
        </w:tc>
        <w:tc>
          <w:tcPr>
            <w:tcW w:w="1040" w:type="dxa"/>
            <w:tcBorders>
              <w:top w:val="nil"/>
              <w:left w:val="nil"/>
              <w:bottom w:val="single" w:sz="4" w:space="0" w:color="auto"/>
              <w:right w:val="single" w:sz="4" w:space="0" w:color="auto"/>
            </w:tcBorders>
            <w:shd w:val="clear" w:color="auto" w:fill="auto"/>
            <w:vAlign w:val="center"/>
            <w:hideMark/>
          </w:tcPr>
          <w:p w14:paraId="3D4FB0FA"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-6 913  </w:t>
            </w:r>
          </w:p>
        </w:tc>
        <w:tc>
          <w:tcPr>
            <w:tcW w:w="960" w:type="dxa"/>
            <w:tcBorders>
              <w:top w:val="nil"/>
              <w:left w:val="nil"/>
              <w:bottom w:val="single" w:sz="4" w:space="0" w:color="auto"/>
              <w:right w:val="single" w:sz="4" w:space="0" w:color="auto"/>
            </w:tcBorders>
            <w:shd w:val="clear" w:color="auto" w:fill="auto"/>
            <w:noWrap/>
            <w:vAlign w:val="center"/>
            <w:hideMark/>
          </w:tcPr>
          <w:p w14:paraId="35453473"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-8 353  </w:t>
            </w:r>
          </w:p>
        </w:tc>
        <w:tc>
          <w:tcPr>
            <w:tcW w:w="1220" w:type="dxa"/>
            <w:tcBorders>
              <w:top w:val="nil"/>
              <w:left w:val="nil"/>
              <w:bottom w:val="single" w:sz="4" w:space="0" w:color="auto"/>
              <w:right w:val="single" w:sz="4" w:space="0" w:color="auto"/>
            </w:tcBorders>
            <w:shd w:val="clear" w:color="auto" w:fill="auto"/>
            <w:vAlign w:val="center"/>
            <w:hideMark/>
          </w:tcPr>
          <w:p w14:paraId="3AF9E59C"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-10 445  </w:t>
            </w:r>
          </w:p>
        </w:tc>
        <w:tc>
          <w:tcPr>
            <w:tcW w:w="1320" w:type="dxa"/>
            <w:tcBorders>
              <w:top w:val="nil"/>
              <w:left w:val="nil"/>
              <w:bottom w:val="single" w:sz="4" w:space="0" w:color="auto"/>
              <w:right w:val="single" w:sz="4" w:space="0" w:color="auto"/>
            </w:tcBorders>
            <w:shd w:val="clear" w:color="auto" w:fill="auto"/>
            <w:vAlign w:val="center"/>
            <w:hideMark/>
          </w:tcPr>
          <w:p w14:paraId="1FEA769A"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-12 308  </w:t>
            </w:r>
          </w:p>
        </w:tc>
      </w:tr>
      <w:tr w:rsidR="001525D7" w:rsidRPr="001525D7" w14:paraId="6CD0A3FF" w14:textId="77777777" w:rsidTr="001525D7">
        <w:trPr>
          <w:trHeight w:val="290"/>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CB4E58B" w14:textId="77777777" w:rsidR="001525D7" w:rsidRPr="001525D7" w:rsidRDefault="001525D7" w:rsidP="001525D7">
            <w:pPr>
              <w:spacing w:after="0" w:line="240" w:lineRule="auto"/>
              <w:ind w:firstLine="0"/>
              <w:jc w:val="left"/>
              <w:rPr>
                <w:rFonts w:eastAsia="Times New Roman" w:cs="Times New Roman"/>
                <w:color w:val="000000"/>
                <w:sz w:val="22"/>
                <w:lang w:eastAsia="ru-RU"/>
              </w:rPr>
            </w:pPr>
            <w:r w:rsidRPr="001525D7">
              <w:rPr>
                <w:rFonts w:eastAsia="Times New Roman" w:cs="Times New Roman"/>
                <w:color w:val="000000"/>
                <w:sz w:val="22"/>
                <w:lang w:eastAsia="ru-RU"/>
              </w:rPr>
              <w:t>Добавочный капитал</w:t>
            </w:r>
          </w:p>
        </w:tc>
        <w:tc>
          <w:tcPr>
            <w:tcW w:w="1040" w:type="dxa"/>
            <w:tcBorders>
              <w:top w:val="nil"/>
              <w:left w:val="nil"/>
              <w:bottom w:val="single" w:sz="4" w:space="0" w:color="auto"/>
              <w:right w:val="single" w:sz="4" w:space="0" w:color="auto"/>
            </w:tcBorders>
            <w:shd w:val="clear" w:color="auto" w:fill="auto"/>
            <w:vAlign w:val="center"/>
            <w:hideMark/>
          </w:tcPr>
          <w:p w14:paraId="42D70B2B"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31 297  </w:t>
            </w:r>
          </w:p>
        </w:tc>
        <w:tc>
          <w:tcPr>
            <w:tcW w:w="960" w:type="dxa"/>
            <w:tcBorders>
              <w:top w:val="nil"/>
              <w:left w:val="nil"/>
              <w:bottom w:val="single" w:sz="4" w:space="0" w:color="auto"/>
              <w:right w:val="single" w:sz="4" w:space="0" w:color="auto"/>
            </w:tcBorders>
            <w:shd w:val="clear" w:color="auto" w:fill="auto"/>
            <w:vAlign w:val="center"/>
            <w:hideMark/>
          </w:tcPr>
          <w:p w14:paraId="4ED457CC"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31 297  </w:t>
            </w:r>
          </w:p>
        </w:tc>
        <w:tc>
          <w:tcPr>
            <w:tcW w:w="1220" w:type="dxa"/>
            <w:tcBorders>
              <w:top w:val="nil"/>
              <w:left w:val="nil"/>
              <w:bottom w:val="single" w:sz="4" w:space="0" w:color="auto"/>
              <w:right w:val="single" w:sz="4" w:space="0" w:color="auto"/>
            </w:tcBorders>
            <w:shd w:val="clear" w:color="auto" w:fill="auto"/>
            <w:vAlign w:val="center"/>
            <w:hideMark/>
          </w:tcPr>
          <w:p w14:paraId="43390B85"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31 397  </w:t>
            </w:r>
          </w:p>
        </w:tc>
        <w:tc>
          <w:tcPr>
            <w:tcW w:w="1320" w:type="dxa"/>
            <w:tcBorders>
              <w:top w:val="nil"/>
              <w:left w:val="nil"/>
              <w:bottom w:val="single" w:sz="4" w:space="0" w:color="auto"/>
              <w:right w:val="single" w:sz="4" w:space="0" w:color="auto"/>
            </w:tcBorders>
            <w:shd w:val="clear" w:color="auto" w:fill="auto"/>
            <w:vAlign w:val="center"/>
            <w:hideMark/>
          </w:tcPr>
          <w:p w14:paraId="7E7BC20F"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31 297  </w:t>
            </w:r>
          </w:p>
        </w:tc>
      </w:tr>
      <w:tr w:rsidR="001525D7" w:rsidRPr="001525D7" w14:paraId="0FD04A1A" w14:textId="77777777" w:rsidTr="001525D7">
        <w:trPr>
          <w:trHeight w:val="290"/>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1B3052DE" w14:textId="77777777" w:rsidR="001525D7" w:rsidRPr="001525D7" w:rsidRDefault="001525D7" w:rsidP="001525D7">
            <w:pPr>
              <w:spacing w:after="0" w:line="240" w:lineRule="auto"/>
              <w:ind w:firstLine="0"/>
              <w:jc w:val="left"/>
              <w:rPr>
                <w:rFonts w:eastAsia="Times New Roman" w:cs="Times New Roman"/>
                <w:color w:val="000000"/>
                <w:sz w:val="22"/>
                <w:lang w:eastAsia="ru-RU"/>
              </w:rPr>
            </w:pPr>
            <w:r w:rsidRPr="001525D7">
              <w:rPr>
                <w:rFonts w:eastAsia="Times New Roman" w:cs="Times New Roman"/>
                <w:color w:val="000000"/>
                <w:sz w:val="22"/>
                <w:lang w:eastAsia="ru-RU"/>
              </w:rPr>
              <w:t>Нераспределенная прибыль</w:t>
            </w:r>
          </w:p>
        </w:tc>
        <w:tc>
          <w:tcPr>
            <w:tcW w:w="1040" w:type="dxa"/>
            <w:tcBorders>
              <w:top w:val="nil"/>
              <w:left w:val="nil"/>
              <w:bottom w:val="single" w:sz="4" w:space="0" w:color="auto"/>
              <w:right w:val="single" w:sz="4" w:space="0" w:color="auto"/>
            </w:tcBorders>
            <w:shd w:val="clear" w:color="auto" w:fill="auto"/>
            <w:vAlign w:val="center"/>
            <w:hideMark/>
          </w:tcPr>
          <w:p w14:paraId="27E7D169"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618 680  </w:t>
            </w:r>
          </w:p>
        </w:tc>
        <w:tc>
          <w:tcPr>
            <w:tcW w:w="960" w:type="dxa"/>
            <w:tcBorders>
              <w:top w:val="nil"/>
              <w:left w:val="nil"/>
              <w:bottom w:val="single" w:sz="4" w:space="0" w:color="auto"/>
              <w:right w:val="single" w:sz="4" w:space="0" w:color="auto"/>
            </w:tcBorders>
            <w:shd w:val="clear" w:color="auto" w:fill="auto"/>
            <w:noWrap/>
            <w:vAlign w:val="center"/>
            <w:hideMark/>
          </w:tcPr>
          <w:p w14:paraId="03597CEB"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732 168  </w:t>
            </w:r>
          </w:p>
        </w:tc>
        <w:tc>
          <w:tcPr>
            <w:tcW w:w="1220" w:type="dxa"/>
            <w:tcBorders>
              <w:top w:val="nil"/>
              <w:left w:val="nil"/>
              <w:bottom w:val="single" w:sz="4" w:space="0" w:color="auto"/>
              <w:right w:val="single" w:sz="4" w:space="0" w:color="auto"/>
            </w:tcBorders>
            <w:shd w:val="clear" w:color="auto" w:fill="auto"/>
            <w:vAlign w:val="center"/>
            <w:hideMark/>
          </w:tcPr>
          <w:p w14:paraId="1B19F9B2"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843 094  </w:t>
            </w:r>
          </w:p>
        </w:tc>
        <w:tc>
          <w:tcPr>
            <w:tcW w:w="1320" w:type="dxa"/>
            <w:tcBorders>
              <w:top w:val="nil"/>
              <w:left w:val="nil"/>
              <w:bottom w:val="single" w:sz="4" w:space="0" w:color="auto"/>
              <w:right w:val="single" w:sz="4" w:space="0" w:color="auto"/>
            </w:tcBorders>
            <w:shd w:val="clear" w:color="auto" w:fill="auto"/>
            <w:vAlign w:val="center"/>
            <w:hideMark/>
          </w:tcPr>
          <w:p w14:paraId="4E8CEF97" w14:textId="77777777" w:rsidR="001525D7" w:rsidRPr="001525D7" w:rsidRDefault="001525D7" w:rsidP="001525D7">
            <w:pPr>
              <w:spacing w:after="0" w:line="240" w:lineRule="auto"/>
              <w:ind w:firstLine="0"/>
              <w:jc w:val="center"/>
              <w:rPr>
                <w:rFonts w:eastAsia="Times New Roman" w:cs="Times New Roman"/>
                <w:color w:val="000000"/>
                <w:sz w:val="22"/>
                <w:lang w:eastAsia="ru-RU"/>
              </w:rPr>
            </w:pPr>
            <w:r w:rsidRPr="001525D7">
              <w:rPr>
                <w:rFonts w:eastAsia="Times New Roman" w:cs="Times New Roman"/>
                <w:color w:val="000000"/>
                <w:sz w:val="22"/>
                <w:lang w:eastAsia="ru-RU"/>
              </w:rPr>
              <w:t xml:space="preserve">1 618 696  </w:t>
            </w:r>
          </w:p>
        </w:tc>
      </w:tr>
      <w:tr w:rsidR="001525D7" w:rsidRPr="001525D7" w14:paraId="17E13738" w14:textId="77777777" w:rsidTr="001525D7">
        <w:trPr>
          <w:trHeight w:val="290"/>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44B77D8B" w14:textId="77777777" w:rsidR="001525D7" w:rsidRPr="001525D7" w:rsidRDefault="001525D7" w:rsidP="001525D7">
            <w:pPr>
              <w:spacing w:after="0" w:line="240" w:lineRule="auto"/>
              <w:ind w:firstLine="0"/>
              <w:jc w:val="left"/>
              <w:rPr>
                <w:rFonts w:eastAsia="Times New Roman" w:cs="Times New Roman"/>
                <w:b/>
                <w:bCs/>
                <w:color w:val="000000"/>
                <w:sz w:val="22"/>
                <w:lang w:eastAsia="ru-RU"/>
              </w:rPr>
            </w:pPr>
            <w:r w:rsidRPr="001525D7">
              <w:rPr>
                <w:rFonts w:eastAsia="Times New Roman" w:cs="Times New Roman"/>
                <w:b/>
                <w:bCs/>
                <w:color w:val="000000"/>
                <w:sz w:val="22"/>
                <w:lang w:eastAsia="ru-RU"/>
              </w:rPr>
              <w:t>Собственный капитал компании</w:t>
            </w:r>
          </w:p>
        </w:tc>
        <w:tc>
          <w:tcPr>
            <w:tcW w:w="1040" w:type="dxa"/>
            <w:tcBorders>
              <w:top w:val="nil"/>
              <w:left w:val="nil"/>
              <w:bottom w:val="single" w:sz="4" w:space="0" w:color="auto"/>
              <w:right w:val="single" w:sz="4" w:space="0" w:color="auto"/>
            </w:tcBorders>
            <w:shd w:val="clear" w:color="auto" w:fill="auto"/>
            <w:vAlign w:val="center"/>
            <w:hideMark/>
          </w:tcPr>
          <w:p w14:paraId="4E581CE1" w14:textId="77777777" w:rsidR="001525D7" w:rsidRPr="001525D7" w:rsidRDefault="001525D7" w:rsidP="001525D7">
            <w:pPr>
              <w:spacing w:after="0" w:line="240" w:lineRule="auto"/>
              <w:ind w:firstLine="0"/>
              <w:jc w:val="center"/>
              <w:rPr>
                <w:rFonts w:eastAsia="Times New Roman" w:cs="Times New Roman"/>
                <w:b/>
                <w:bCs/>
                <w:color w:val="000000"/>
                <w:sz w:val="22"/>
                <w:lang w:eastAsia="ru-RU"/>
              </w:rPr>
            </w:pPr>
            <w:r w:rsidRPr="001525D7">
              <w:rPr>
                <w:rFonts w:eastAsia="Times New Roman" w:cs="Times New Roman"/>
                <w:b/>
                <w:bCs/>
                <w:color w:val="000000"/>
                <w:sz w:val="22"/>
                <w:lang w:eastAsia="ru-RU"/>
              </w:rPr>
              <w:t xml:space="preserve">648 350  </w:t>
            </w:r>
          </w:p>
        </w:tc>
        <w:tc>
          <w:tcPr>
            <w:tcW w:w="960" w:type="dxa"/>
            <w:tcBorders>
              <w:top w:val="nil"/>
              <w:left w:val="nil"/>
              <w:bottom w:val="single" w:sz="4" w:space="0" w:color="auto"/>
              <w:right w:val="single" w:sz="4" w:space="0" w:color="auto"/>
            </w:tcBorders>
            <w:shd w:val="clear" w:color="auto" w:fill="auto"/>
            <w:vAlign w:val="center"/>
            <w:hideMark/>
          </w:tcPr>
          <w:p w14:paraId="2558C659" w14:textId="77777777" w:rsidR="001525D7" w:rsidRPr="001525D7" w:rsidRDefault="001525D7" w:rsidP="001525D7">
            <w:pPr>
              <w:spacing w:after="0" w:line="240" w:lineRule="auto"/>
              <w:ind w:firstLine="0"/>
              <w:jc w:val="center"/>
              <w:rPr>
                <w:rFonts w:eastAsia="Times New Roman" w:cs="Times New Roman"/>
                <w:b/>
                <w:bCs/>
                <w:color w:val="000000"/>
                <w:sz w:val="22"/>
                <w:lang w:eastAsia="ru-RU"/>
              </w:rPr>
            </w:pPr>
            <w:r w:rsidRPr="001525D7">
              <w:rPr>
                <w:rFonts w:eastAsia="Times New Roman" w:cs="Times New Roman"/>
                <w:b/>
                <w:bCs/>
                <w:color w:val="000000"/>
                <w:sz w:val="22"/>
                <w:lang w:eastAsia="ru-RU"/>
              </w:rPr>
              <w:t xml:space="preserve">757 839  </w:t>
            </w:r>
          </w:p>
        </w:tc>
        <w:tc>
          <w:tcPr>
            <w:tcW w:w="1220" w:type="dxa"/>
            <w:tcBorders>
              <w:top w:val="nil"/>
              <w:left w:val="nil"/>
              <w:bottom w:val="single" w:sz="4" w:space="0" w:color="auto"/>
              <w:right w:val="single" w:sz="4" w:space="0" w:color="auto"/>
            </w:tcBorders>
            <w:shd w:val="clear" w:color="auto" w:fill="auto"/>
            <w:vAlign w:val="center"/>
            <w:hideMark/>
          </w:tcPr>
          <w:p w14:paraId="59BDF94E" w14:textId="77777777" w:rsidR="001525D7" w:rsidRPr="001525D7" w:rsidRDefault="001525D7" w:rsidP="001525D7">
            <w:pPr>
              <w:spacing w:after="0" w:line="240" w:lineRule="auto"/>
              <w:ind w:firstLine="0"/>
              <w:jc w:val="center"/>
              <w:rPr>
                <w:rFonts w:eastAsia="Times New Roman" w:cs="Times New Roman"/>
                <w:b/>
                <w:bCs/>
                <w:color w:val="000000"/>
                <w:sz w:val="22"/>
                <w:lang w:eastAsia="ru-RU"/>
              </w:rPr>
            </w:pPr>
            <w:r w:rsidRPr="001525D7">
              <w:rPr>
                <w:rFonts w:eastAsia="Times New Roman" w:cs="Times New Roman"/>
                <w:b/>
                <w:bCs/>
                <w:color w:val="000000"/>
                <w:sz w:val="22"/>
                <w:lang w:eastAsia="ru-RU"/>
              </w:rPr>
              <w:t xml:space="preserve">868 254  </w:t>
            </w:r>
          </w:p>
        </w:tc>
        <w:tc>
          <w:tcPr>
            <w:tcW w:w="1320" w:type="dxa"/>
            <w:tcBorders>
              <w:top w:val="nil"/>
              <w:left w:val="nil"/>
              <w:bottom w:val="single" w:sz="4" w:space="0" w:color="auto"/>
              <w:right w:val="single" w:sz="4" w:space="0" w:color="auto"/>
            </w:tcBorders>
            <w:shd w:val="clear" w:color="auto" w:fill="auto"/>
            <w:vAlign w:val="center"/>
            <w:hideMark/>
          </w:tcPr>
          <w:p w14:paraId="68120F48" w14:textId="77777777" w:rsidR="001525D7" w:rsidRPr="001525D7" w:rsidRDefault="001525D7" w:rsidP="001525D7">
            <w:pPr>
              <w:spacing w:after="0" w:line="240" w:lineRule="auto"/>
              <w:ind w:firstLine="0"/>
              <w:jc w:val="center"/>
              <w:rPr>
                <w:rFonts w:eastAsia="Times New Roman" w:cs="Times New Roman"/>
                <w:b/>
                <w:bCs/>
                <w:color w:val="000000"/>
                <w:sz w:val="22"/>
                <w:lang w:eastAsia="ru-RU"/>
              </w:rPr>
            </w:pPr>
            <w:r w:rsidRPr="001525D7">
              <w:rPr>
                <w:rFonts w:eastAsia="Times New Roman" w:cs="Times New Roman"/>
                <w:b/>
                <w:bCs/>
                <w:color w:val="000000"/>
                <w:sz w:val="22"/>
                <w:lang w:eastAsia="ru-RU"/>
              </w:rPr>
              <w:t xml:space="preserve">1 647 509  </w:t>
            </w:r>
          </w:p>
        </w:tc>
      </w:tr>
    </w:tbl>
    <w:p w14:paraId="722EE209" w14:textId="3EDC9A78" w:rsidR="008A1087" w:rsidRDefault="001525D7" w:rsidP="001525D7">
      <w:pPr>
        <w:pStyle w:val="a"/>
        <w:numPr>
          <w:ilvl w:val="0"/>
          <w:numId w:val="0"/>
        </w:numPr>
        <w:spacing w:before="0" w:line="240" w:lineRule="auto"/>
        <w:ind w:left="993"/>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Новатэк</w:t>
      </w:r>
      <w:r w:rsidRPr="008C0B4F">
        <w:rPr>
          <w:lang w:eastAsia="ru-RU"/>
        </w:rPr>
        <w:t>]</w:t>
      </w:r>
    </w:p>
    <w:p w14:paraId="301EBAFF" w14:textId="541C8436" w:rsidR="007F4B48" w:rsidRDefault="007F4B48" w:rsidP="00575ACB">
      <w:pPr>
        <w:rPr>
          <w:lang w:eastAsia="ru-RU"/>
        </w:rPr>
      </w:pPr>
      <w:r>
        <w:rPr>
          <w:lang w:eastAsia="ru-RU"/>
        </w:rPr>
        <w:t>Все значения коэффициентов ликвидности находятся в рекомендуемом диапазоне и отражают хороший уровень платежеспособности компании Новатэк.</w:t>
      </w:r>
      <w:r w:rsidR="00C16CB1">
        <w:rPr>
          <w:lang w:eastAsia="ru-RU"/>
        </w:rPr>
        <w:t xml:space="preserve"> В таблице ниже видно, что в 2019 году произошел рост коэффициентов ликвидности, что связано с ростом многих статей текущих активов: дебиторская задолженность увеличилась на 150 млрд рублей, </w:t>
      </w:r>
      <w:r w:rsidR="00B04789">
        <w:rPr>
          <w:lang w:eastAsia="ru-RU"/>
        </w:rPr>
        <w:t xml:space="preserve">денежные средства — на 10 млрд рублей. Важным является вложение средств в </w:t>
      </w:r>
      <w:r w:rsidR="00B04789">
        <w:rPr>
          <w:lang w:eastAsia="ru-RU"/>
        </w:rPr>
        <w:lastRenderedPageBreak/>
        <w:t xml:space="preserve">краткосрочные банковские депозиты в 2018 году, которые увеличились до 80 млрд рублей в 2019 году (в 2017 году краткосрочные депозиты были равны 25 млрд рублей). </w:t>
      </w:r>
    </w:p>
    <w:p w14:paraId="2A446675" w14:textId="79F56E05" w:rsidR="001525D7" w:rsidRDefault="001525D7" w:rsidP="001525D7">
      <w:pPr>
        <w:pStyle w:val="a0"/>
        <w:rPr>
          <w:lang w:eastAsia="ru-RU"/>
        </w:rPr>
      </w:pPr>
      <w:r w:rsidRPr="007E423F">
        <w:rPr>
          <w:lang w:eastAsia="ru-RU"/>
        </w:rPr>
        <w:t xml:space="preserve">Значения коэффициентов ликвидности </w:t>
      </w:r>
      <w:r>
        <w:rPr>
          <w:lang w:eastAsia="ru-RU"/>
        </w:rPr>
        <w:t xml:space="preserve">Новатэк </w:t>
      </w:r>
      <w:r w:rsidRPr="007E423F">
        <w:rPr>
          <w:lang w:eastAsia="ru-RU"/>
        </w:rPr>
        <w:t>в 201</w:t>
      </w:r>
      <w:r>
        <w:rPr>
          <w:lang w:eastAsia="ru-RU"/>
        </w:rPr>
        <w:t>6</w:t>
      </w:r>
      <w:r w:rsidRPr="007E423F">
        <w:rPr>
          <w:lang w:eastAsia="ru-RU"/>
        </w:rPr>
        <w:t>-201</w:t>
      </w:r>
      <w:r>
        <w:rPr>
          <w:lang w:eastAsia="ru-RU"/>
        </w:rPr>
        <w:t>9</w:t>
      </w:r>
      <w:r w:rsidRPr="007E423F">
        <w:rPr>
          <w:lang w:eastAsia="ru-RU"/>
        </w:rPr>
        <w:t xml:space="preserve"> годах</w:t>
      </w:r>
    </w:p>
    <w:tbl>
      <w:tblPr>
        <w:tblW w:w="8075" w:type="dxa"/>
        <w:jc w:val="center"/>
        <w:tblLook w:val="04A0" w:firstRow="1" w:lastRow="0" w:firstColumn="1" w:lastColumn="0" w:noHBand="0" w:noVBand="1"/>
      </w:tblPr>
      <w:tblGrid>
        <w:gridCol w:w="3970"/>
        <w:gridCol w:w="738"/>
        <w:gridCol w:w="960"/>
        <w:gridCol w:w="960"/>
        <w:gridCol w:w="1447"/>
      </w:tblGrid>
      <w:tr w:rsidR="001525D7" w:rsidRPr="001525D7" w14:paraId="167783E0" w14:textId="77777777" w:rsidTr="001525D7">
        <w:trPr>
          <w:trHeight w:val="387"/>
          <w:jc w:val="center"/>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E3AEEE7" w14:textId="77777777" w:rsidR="001525D7" w:rsidRPr="001525D7" w:rsidRDefault="001525D7" w:rsidP="001525D7">
            <w:pPr>
              <w:spacing w:after="0"/>
              <w:ind w:firstLine="0"/>
              <w:jc w:val="center"/>
              <w:rPr>
                <w:rFonts w:eastAsia="Times New Roman" w:cs="Times New Roman"/>
                <w:b/>
                <w:bCs/>
                <w:color w:val="000000"/>
                <w:sz w:val="22"/>
                <w:lang w:eastAsia="ru-RU"/>
              </w:rPr>
            </w:pPr>
            <w:r w:rsidRPr="001525D7">
              <w:rPr>
                <w:rFonts w:eastAsia="Times New Roman" w:cs="Times New Roman"/>
                <w:b/>
                <w:bCs/>
                <w:color w:val="000000"/>
                <w:sz w:val="22"/>
                <w:lang w:eastAsia="ru-RU"/>
              </w:rPr>
              <w:t>Коэффициенты ликвидности</w:t>
            </w:r>
          </w:p>
        </w:tc>
        <w:tc>
          <w:tcPr>
            <w:tcW w:w="410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EBE9DD" w14:textId="77777777" w:rsidR="001525D7" w:rsidRPr="001525D7" w:rsidRDefault="001525D7" w:rsidP="001525D7">
            <w:pPr>
              <w:spacing w:after="0" w:line="240" w:lineRule="auto"/>
              <w:ind w:firstLine="0"/>
              <w:jc w:val="center"/>
              <w:rPr>
                <w:rFonts w:eastAsia="Times New Roman" w:cs="Times New Roman"/>
                <w:b/>
                <w:bCs/>
                <w:color w:val="000000"/>
                <w:sz w:val="22"/>
                <w:lang w:eastAsia="ru-RU"/>
              </w:rPr>
            </w:pPr>
            <w:r w:rsidRPr="001525D7">
              <w:rPr>
                <w:rFonts w:eastAsia="Times New Roman" w:cs="Times New Roman"/>
                <w:b/>
                <w:bCs/>
                <w:color w:val="000000"/>
                <w:sz w:val="22"/>
                <w:lang w:eastAsia="ru-RU"/>
              </w:rPr>
              <w:t>Значение коэффициентов ликвидности</w:t>
            </w:r>
          </w:p>
        </w:tc>
      </w:tr>
      <w:tr w:rsidR="001525D7" w:rsidRPr="001525D7" w14:paraId="66EB68C0" w14:textId="77777777" w:rsidTr="001525D7">
        <w:trPr>
          <w:trHeight w:val="309"/>
          <w:jc w:val="center"/>
        </w:trPr>
        <w:tc>
          <w:tcPr>
            <w:tcW w:w="3970" w:type="dxa"/>
            <w:vMerge/>
            <w:tcBorders>
              <w:top w:val="single" w:sz="4" w:space="0" w:color="auto"/>
              <w:left w:val="single" w:sz="4" w:space="0" w:color="auto"/>
              <w:bottom w:val="single" w:sz="4" w:space="0" w:color="auto"/>
              <w:right w:val="single" w:sz="4" w:space="0" w:color="auto"/>
            </w:tcBorders>
            <w:vAlign w:val="center"/>
            <w:hideMark/>
          </w:tcPr>
          <w:p w14:paraId="020AF1E2" w14:textId="77777777" w:rsidR="001525D7" w:rsidRPr="001525D7" w:rsidRDefault="001525D7" w:rsidP="001525D7">
            <w:pPr>
              <w:spacing w:after="0" w:line="240" w:lineRule="auto"/>
              <w:ind w:firstLine="0"/>
              <w:jc w:val="left"/>
              <w:rPr>
                <w:rFonts w:eastAsia="Times New Roman" w:cs="Times New Roman"/>
                <w:color w:val="000000"/>
                <w:sz w:val="22"/>
                <w:lang w:eastAsia="ru-RU"/>
              </w:rPr>
            </w:pPr>
          </w:p>
        </w:tc>
        <w:tc>
          <w:tcPr>
            <w:tcW w:w="738" w:type="dxa"/>
            <w:tcBorders>
              <w:top w:val="nil"/>
              <w:left w:val="nil"/>
              <w:bottom w:val="single" w:sz="4" w:space="0" w:color="auto"/>
              <w:right w:val="single" w:sz="4" w:space="0" w:color="auto"/>
            </w:tcBorders>
            <w:shd w:val="clear" w:color="auto" w:fill="auto"/>
            <w:noWrap/>
            <w:vAlign w:val="bottom"/>
            <w:hideMark/>
          </w:tcPr>
          <w:p w14:paraId="78EE25D8" w14:textId="77777777" w:rsidR="001525D7" w:rsidRPr="001525D7" w:rsidRDefault="001525D7" w:rsidP="001525D7">
            <w:pPr>
              <w:spacing w:after="0" w:line="240" w:lineRule="auto"/>
              <w:ind w:firstLine="0"/>
              <w:jc w:val="right"/>
              <w:rPr>
                <w:rFonts w:eastAsia="Times New Roman" w:cs="Times New Roman"/>
                <w:b/>
                <w:bCs/>
                <w:color w:val="000000"/>
                <w:sz w:val="22"/>
                <w:lang w:eastAsia="ru-RU"/>
              </w:rPr>
            </w:pPr>
            <w:r w:rsidRPr="001525D7">
              <w:rPr>
                <w:rFonts w:eastAsia="Times New Roman" w:cs="Times New Roman"/>
                <w:b/>
                <w:bCs/>
                <w:color w:val="000000"/>
                <w:sz w:val="22"/>
                <w:lang w:eastAsia="ru-RU"/>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632EB8E5" w14:textId="77777777" w:rsidR="001525D7" w:rsidRPr="001525D7" w:rsidRDefault="001525D7" w:rsidP="001525D7">
            <w:pPr>
              <w:spacing w:after="0" w:line="240" w:lineRule="auto"/>
              <w:ind w:firstLine="0"/>
              <w:jc w:val="right"/>
              <w:rPr>
                <w:rFonts w:eastAsia="Times New Roman" w:cs="Times New Roman"/>
                <w:b/>
                <w:bCs/>
                <w:color w:val="000000"/>
                <w:sz w:val="22"/>
                <w:lang w:eastAsia="ru-RU"/>
              </w:rPr>
            </w:pPr>
            <w:r w:rsidRPr="001525D7">
              <w:rPr>
                <w:rFonts w:eastAsia="Times New Roman" w:cs="Times New Roman"/>
                <w:b/>
                <w:bCs/>
                <w:color w:val="000000"/>
                <w:sz w:val="22"/>
                <w:lang w:eastAsia="ru-RU"/>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1278097A" w14:textId="77777777" w:rsidR="001525D7" w:rsidRPr="001525D7" w:rsidRDefault="001525D7" w:rsidP="001525D7">
            <w:pPr>
              <w:spacing w:after="0" w:line="240" w:lineRule="auto"/>
              <w:ind w:firstLine="0"/>
              <w:jc w:val="right"/>
              <w:rPr>
                <w:rFonts w:eastAsia="Times New Roman" w:cs="Times New Roman"/>
                <w:b/>
                <w:bCs/>
                <w:color w:val="000000"/>
                <w:sz w:val="22"/>
                <w:lang w:eastAsia="ru-RU"/>
              </w:rPr>
            </w:pPr>
            <w:r w:rsidRPr="001525D7">
              <w:rPr>
                <w:rFonts w:eastAsia="Times New Roman" w:cs="Times New Roman"/>
                <w:b/>
                <w:bCs/>
                <w:color w:val="000000"/>
                <w:sz w:val="22"/>
                <w:lang w:eastAsia="ru-RU"/>
              </w:rPr>
              <w:t>2018</w:t>
            </w:r>
          </w:p>
        </w:tc>
        <w:tc>
          <w:tcPr>
            <w:tcW w:w="1447" w:type="dxa"/>
            <w:tcBorders>
              <w:top w:val="nil"/>
              <w:left w:val="nil"/>
              <w:bottom w:val="single" w:sz="4" w:space="0" w:color="auto"/>
              <w:right w:val="single" w:sz="4" w:space="0" w:color="auto"/>
            </w:tcBorders>
            <w:shd w:val="clear" w:color="auto" w:fill="auto"/>
            <w:noWrap/>
            <w:vAlign w:val="bottom"/>
            <w:hideMark/>
          </w:tcPr>
          <w:p w14:paraId="22105075" w14:textId="77777777" w:rsidR="001525D7" w:rsidRPr="001525D7" w:rsidRDefault="001525D7" w:rsidP="001525D7">
            <w:pPr>
              <w:spacing w:after="0" w:line="240" w:lineRule="auto"/>
              <w:ind w:firstLine="0"/>
              <w:jc w:val="right"/>
              <w:rPr>
                <w:rFonts w:eastAsia="Times New Roman" w:cs="Times New Roman"/>
                <w:b/>
                <w:bCs/>
                <w:color w:val="000000"/>
                <w:sz w:val="22"/>
                <w:lang w:eastAsia="ru-RU"/>
              </w:rPr>
            </w:pPr>
            <w:r w:rsidRPr="001525D7">
              <w:rPr>
                <w:rFonts w:eastAsia="Times New Roman" w:cs="Times New Roman"/>
                <w:b/>
                <w:bCs/>
                <w:color w:val="000000"/>
                <w:sz w:val="22"/>
                <w:lang w:eastAsia="ru-RU"/>
              </w:rPr>
              <w:t>2019</w:t>
            </w:r>
          </w:p>
        </w:tc>
      </w:tr>
      <w:tr w:rsidR="001525D7" w:rsidRPr="001525D7" w14:paraId="065D0647" w14:textId="77777777" w:rsidTr="001525D7">
        <w:trPr>
          <w:trHeight w:val="141"/>
          <w:jc w:val="center"/>
        </w:trPr>
        <w:tc>
          <w:tcPr>
            <w:tcW w:w="3970" w:type="dxa"/>
            <w:tcBorders>
              <w:top w:val="nil"/>
              <w:left w:val="single" w:sz="4" w:space="0" w:color="auto"/>
              <w:bottom w:val="single" w:sz="4" w:space="0" w:color="auto"/>
              <w:right w:val="single" w:sz="4" w:space="0" w:color="auto"/>
            </w:tcBorders>
            <w:shd w:val="clear" w:color="auto" w:fill="auto"/>
            <w:vAlign w:val="bottom"/>
            <w:hideMark/>
          </w:tcPr>
          <w:p w14:paraId="701E7C31" w14:textId="77777777" w:rsidR="001525D7" w:rsidRPr="001525D7" w:rsidRDefault="001525D7" w:rsidP="001525D7">
            <w:pPr>
              <w:spacing w:after="0" w:line="240" w:lineRule="auto"/>
              <w:ind w:firstLine="0"/>
              <w:jc w:val="left"/>
              <w:rPr>
                <w:rFonts w:eastAsia="Times New Roman" w:cs="Times New Roman"/>
                <w:color w:val="000000"/>
                <w:sz w:val="22"/>
                <w:lang w:eastAsia="ru-RU"/>
              </w:rPr>
            </w:pPr>
            <w:r w:rsidRPr="001525D7">
              <w:rPr>
                <w:rFonts w:eastAsia="Times New Roman" w:cs="Times New Roman"/>
                <w:color w:val="000000"/>
                <w:sz w:val="22"/>
                <w:lang w:eastAsia="ru-RU"/>
              </w:rPr>
              <w:t>Коэффициент текущей ликвидности</w:t>
            </w:r>
          </w:p>
        </w:tc>
        <w:tc>
          <w:tcPr>
            <w:tcW w:w="738" w:type="dxa"/>
            <w:tcBorders>
              <w:top w:val="nil"/>
              <w:left w:val="nil"/>
              <w:bottom w:val="single" w:sz="4" w:space="0" w:color="auto"/>
              <w:right w:val="single" w:sz="4" w:space="0" w:color="auto"/>
            </w:tcBorders>
            <w:shd w:val="clear" w:color="auto" w:fill="auto"/>
            <w:noWrap/>
            <w:vAlign w:val="bottom"/>
            <w:hideMark/>
          </w:tcPr>
          <w:p w14:paraId="5C8F59F6"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1,22</w:t>
            </w:r>
          </w:p>
        </w:tc>
        <w:tc>
          <w:tcPr>
            <w:tcW w:w="960" w:type="dxa"/>
            <w:tcBorders>
              <w:top w:val="nil"/>
              <w:left w:val="nil"/>
              <w:bottom w:val="single" w:sz="4" w:space="0" w:color="auto"/>
              <w:right w:val="single" w:sz="4" w:space="0" w:color="auto"/>
            </w:tcBorders>
            <w:shd w:val="clear" w:color="auto" w:fill="auto"/>
            <w:noWrap/>
            <w:vAlign w:val="bottom"/>
            <w:hideMark/>
          </w:tcPr>
          <w:p w14:paraId="027B1D72"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1,83</w:t>
            </w:r>
          </w:p>
        </w:tc>
        <w:tc>
          <w:tcPr>
            <w:tcW w:w="960" w:type="dxa"/>
            <w:tcBorders>
              <w:top w:val="nil"/>
              <w:left w:val="nil"/>
              <w:bottom w:val="single" w:sz="4" w:space="0" w:color="auto"/>
              <w:right w:val="single" w:sz="4" w:space="0" w:color="auto"/>
            </w:tcBorders>
            <w:shd w:val="clear" w:color="auto" w:fill="auto"/>
            <w:noWrap/>
            <w:vAlign w:val="bottom"/>
            <w:hideMark/>
          </w:tcPr>
          <w:p w14:paraId="4825412E"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2,74</w:t>
            </w:r>
          </w:p>
        </w:tc>
        <w:tc>
          <w:tcPr>
            <w:tcW w:w="1447" w:type="dxa"/>
            <w:tcBorders>
              <w:top w:val="nil"/>
              <w:left w:val="nil"/>
              <w:bottom w:val="single" w:sz="4" w:space="0" w:color="auto"/>
              <w:right w:val="single" w:sz="4" w:space="0" w:color="auto"/>
            </w:tcBorders>
            <w:shd w:val="clear" w:color="auto" w:fill="auto"/>
            <w:noWrap/>
            <w:vAlign w:val="bottom"/>
            <w:hideMark/>
          </w:tcPr>
          <w:p w14:paraId="58426657"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4,24</w:t>
            </w:r>
          </w:p>
        </w:tc>
      </w:tr>
      <w:tr w:rsidR="001525D7" w:rsidRPr="001525D7" w14:paraId="3FD5F2D1" w14:textId="77777777" w:rsidTr="001525D7">
        <w:trPr>
          <w:trHeight w:val="56"/>
          <w:jc w:val="center"/>
        </w:trPr>
        <w:tc>
          <w:tcPr>
            <w:tcW w:w="3970" w:type="dxa"/>
            <w:tcBorders>
              <w:top w:val="nil"/>
              <w:left w:val="single" w:sz="4" w:space="0" w:color="auto"/>
              <w:bottom w:val="single" w:sz="4" w:space="0" w:color="auto"/>
              <w:right w:val="single" w:sz="4" w:space="0" w:color="auto"/>
            </w:tcBorders>
            <w:shd w:val="clear" w:color="auto" w:fill="auto"/>
            <w:vAlign w:val="bottom"/>
            <w:hideMark/>
          </w:tcPr>
          <w:p w14:paraId="39C69022" w14:textId="77777777" w:rsidR="001525D7" w:rsidRPr="001525D7" w:rsidRDefault="001525D7" w:rsidP="001525D7">
            <w:pPr>
              <w:spacing w:after="0" w:line="240" w:lineRule="auto"/>
              <w:ind w:firstLine="0"/>
              <w:jc w:val="left"/>
              <w:rPr>
                <w:rFonts w:eastAsia="Times New Roman" w:cs="Times New Roman"/>
                <w:color w:val="000000"/>
                <w:sz w:val="22"/>
                <w:lang w:eastAsia="ru-RU"/>
              </w:rPr>
            </w:pPr>
            <w:r w:rsidRPr="001525D7">
              <w:rPr>
                <w:rFonts w:eastAsia="Times New Roman" w:cs="Times New Roman"/>
                <w:color w:val="000000"/>
                <w:sz w:val="22"/>
                <w:lang w:eastAsia="ru-RU"/>
              </w:rPr>
              <w:t>Коэффициент быстрой ликвидности</w:t>
            </w:r>
          </w:p>
        </w:tc>
        <w:tc>
          <w:tcPr>
            <w:tcW w:w="738" w:type="dxa"/>
            <w:tcBorders>
              <w:top w:val="nil"/>
              <w:left w:val="nil"/>
              <w:bottom w:val="single" w:sz="4" w:space="0" w:color="auto"/>
              <w:right w:val="single" w:sz="4" w:space="0" w:color="auto"/>
            </w:tcBorders>
            <w:shd w:val="clear" w:color="auto" w:fill="auto"/>
            <w:noWrap/>
            <w:vAlign w:val="bottom"/>
            <w:hideMark/>
          </w:tcPr>
          <w:p w14:paraId="119446FD"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0,83</w:t>
            </w:r>
          </w:p>
        </w:tc>
        <w:tc>
          <w:tcPr>
            <w:tcW w:w="960" w:type="dxa"/>
            <w:tcBorders>
              <w:top w:val="nil"/>
              <w:left w:val="nil"/>
              <w:bottom w:val="single" w:sz="4" w:space="0" w:color="auto"/>
              <w:right w:val="single" w:sz="4" w:space="0" w:color="auto"/>
            </w:tcBorders>
            <w:shd w:val="clear" w:color="auto" w:fill="auto"/>
            <w:noWrap/>
            <w:vAlign w:val="bottom"/>
            <w:hideMark/>
          </w:tcPr>
          <w:p w14:paraId="00741B33"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1,32</w:t>
            </w:r>
          </w:p>
        </w:tc>
        <w:tc>
          <w:tcPr>
            <w:tcW w:w="960" w:type="dxa"/>
            <w:tcBorders>
              <w:top w:val="nil"/>
              <w:left w:val="nil"/>
              <w:bottom w:val="single" w:sz="4" w:space="0" w:color="auto"/>
              <w:right w:val="single" w:sz="4" w:space="0" w:color="auto"/>
            </w:tcBorders>
            <w:shd w:val="clear" w:color="auto" w:fill="auto"/>
            <w:noWrap/>
            <w:vAlign w:val="bottom"/>
            <w:hideMark/>
          </w:tcPr>
          <w:p w14:paraId="01442B5A"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1,16</w:t>
            </w:r>
          </w:p>
        </w:tc>
        <w:tc>
          <w:tcPr>
            <w:tcW w:w="1447" w:type="dxa"/>
            <w:tcBorders>
              <w:top w:val="nil"/>
              <w:left w:val="nil"/>
              <w:bottom w:val="single" w:sz="4" w:space="0" w:color="auto"/>
              <w:right w:val="single" w:sz="4" w:space="0" w:color="auto"/>
            </w:tcBorders>
            <w:shd w:val="clear" w:color="auto" w:fill="auto"/>
            <w:noWrap/>
            <w:vAlign w:val="bottom"/>
            <w:hideMark/>
          </w:tcPr>
          <w:p w14:paraId="2F3FDB89"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3,13</w:t>
            </w:r>
          </w:p>
        </w:tc>
      </w:tr>
      <w:tr w:rsidR="001525D7" w:rsidRPr="001525D7" w14:paraId="6BD49B71" w14:textId="77777777" w:rsidTr="001525D7">
        <w:trPr>
          <w:trHeight w:val="149"/>
          <w:jc w:val="center"/>
        </w:trPr>
        <w:tc>
          <w:tcPr>
            <w:tcW w:w="3970" w:type="dxa"/>
            <w:tcBorders>
              <w:top w:val="nil"/>
              <w:left w:val="single" w:sz="4" w:space="0" w:color="auto"/>
              <w:bottom w:val="single" w:sz="4" w:space="0" w:color="auto"/>
              <w:right w:val="single" w:sz="4" w:space="0" w:color="auto"/>
            </w:tcBorders>
            <w:shd w:val="clear" w:color="auto" w:fill="auto"/>
            <w:vAlign w:val="bottom"/>
            <w:hideMark/>
          </w:tcPr>
          <w:p w14:paraId="0DD11787" w14:textId="77777777" w:rsidR="001525D7" w:rsidRPr="001525D7" w:rsidRDefault="001525D7" w:rsidP="001525D7">
            <w:pPr>
              <w:spacing w:after="0" w:line="240" w:lineRule="auto"/>
              <w:ind w:firstLine="0"/>
              <w:jc w:val="left"/>
              <w:rPr>
                <w:rFonts w:eastAsia="Times New Roman" w:cs="Times New Roman"/>
                <w:color w:val="000000"/>
                <w:sz w:val="22"/>
                <w:lang w:eastAsia="ru-RU"/>
              </w:rPr>
            </w:pPr>
            <w:r w:rsidRPr="001525D7">
              <w:rPr>
                <w:rFonts w:eastAsia="Times New Roman" w:cs="Times New Roman"/>
                <w:color w:val="000000"/>
                <w:sz w:val="22"/>
                <w:lang w:eastAsia="ru-RU"/>
              </w:rPr>
              <w:t>Коэффициент абсолютной ликвидности</w:t>
            </w:r>
          </w:p>
        </w:tc>
        <w:tc>
          <w:tcPr>
            <w:tcW w:w="738" w:type="dxa"/>
            <w:tcBorders>
              <w:top w:val="nil"/>
              <w:left w:val="nil"/>
              <w:bottom w:val="single" w:sz="4" w:space="0" w:color="auto"/>
              <w:right w:val="single" w:sz="4" w:space="0" w:color="auto"/>
            </w:tcBorders>
            <w:shd w:val="clear" w:color="auto" w:fill="auto"/>
            <w:noWrap/>
            <w:vAlign w:val="bottom"/>
            <w:hideMark/>
          </w:tcPr>
          <w:p w14:paraId="29805EE0"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0,44</w:t>
            </w:r>
          </w:p>
        </w:tc>
        <w:tc>
          <w:tcPr>
            <w:tcW w:w="960" w:type="dxa"/>
            <w:tcBorders>
              <w:top w:val="nil"/>
              <w:left w:val="nil"/>
              <w:bottom w:val="single" w:sz="4" w:space="0" w:color="auto"/>
              <w:right w:val="single" w:sz="4" w:space="0" w:color="auto"/>
            </w:tcBorders>
            <w:shd w:val="clear" w:color="auto" w:fill="auto"/>
            <w:noWrap/>
            <w:vAlign w:val="bottom"/>
            <w:hideMark/>
          </w:tcPr>
          <w:p w14:paraId="3CC48022"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0,79</w:t>
            </w:r>
          </w:p>
        </w:tc>
        <w:tc>
          <w:tcPr>
            <w:tcW w:w="960" w:type="dxa"/>
            <w:tcBorders>
              <w:top w:val="nil"/>
              <w:left w:val="nil"/>
              <w:bottom w:val="single" w:sz="4" w:space="0" w:color="auto"/>
              <w:right w:val="single" w:sz="4" w:space="0" w:color="auto"/>
            </w:tcBorders>
            <w:shd w:val="clear" w:color="auto" w:fill="auto"/>
            <w:noWrap/>
            <w:vAlign w:val="bottom"/>
            <w:hideMark/>
          </w:tcPr>
          <w:p w14:paraId="59745A23"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0,65</w:t>
            </w:r>
          </w:p>
        </w:tc>
        <w:tc>
          <w:tcPr>
            <w:tcW w:w="1447" w:type="dxa"/>
            <w:tcBorders>
              <w:top w:val="nil"/>
              <w:left w:val="nil"/>
              <w:bottom w:val="single" w:sz="4" w:space="0" w:color="auto"/>
              <w:right w:val="single" w:sz="4" w:space="0" w:color="auto"/>
            </w:tcBorders>
            <w:shd w:val="clear" w:color="auto" w:fill="auto"/>
            <w:noWrap/>
            <w:vAlign w:val="bottom"/>
            <w:hideMark/>
          </w:tcPr>
          <w:p w14:paraId="5FB2DCFC" w14:textId="77777777" w:rsidR="001525D7" w:rsidRPr="001525D7" w:rsidRDefault="001525D7" w:rsidP="001525D7">
            <w:pPr>
              <w:spacing w:after="0" w:line="240" w:lineRule="auto"/>
              <w:ind w:firstLine="0"/>
              <w:jc w:val="right"/>
              <w:rPr>
                <w:rFonts w:eastAsia="Times New Roman" w:cs="Times New Roman"/>
                <w:color w:val="000000"/>
                <w:sz w:val="22"/>
                <w:lang w:eastAsia="ru-RU"/>
              </w:rPr>
            </w:pPr>
            <w:r w:rsidRPr="001525D7">
              <w:rPr>
                <w:rFonts w:eastAsia="Times New Roman" w:cs="Times New Roman"/>
                <w:color w:val="000000"/>
                <w:sz w:val="22"/>
                <w:lang w:eastAsia="ru-RU"/>
              </w:rPr>
              <w:t>1,17</w:t>
            </w:r>
          </w:p>
        </w:tc>
      </w:tr>
    </w:tbl>
    <w:p w14:paraId="516449B1" w14:textId="689E971A" w:rsidR="001525D7" w:rsidRDefault="001525D7" w:rsidP="001525D7">
      <w:pPr>
        <w:pStyle w:val="a"/>
        <w:numPr>
          <w:ilvl w:val="0"/>
          <w:numId w:val="0"/>
        </w:numPr>
        <w:spacing w:before="0" w:line="240" w:lineRule="auto"/>
        <w:ind w:left="567"/>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Новатэк</w:t>
      </w:r>
      <w:r w:rsidRPr="008C0B4F">
        <w:rPr>
          <w:lang w:eastAsia="ru-RU"/>
        </w:rPr>
        <w:t>]</w:t>
      </w:r>
    </w:p>
    <w:p w14:paraId="2717A048" w14:textId="64412DE3" w:rsidR="003213B6" w:rsidRPr="00D85CA2" w:rsidRDefault="003213B6" w:rsidP="00051AA5">
      <w:pPr>
        <w:rPr>
          <w:lang w:eastAsia="ru-RU"/>
        </w:rPr>
      </w:pPr>
      <w:r>
        <w:rPr>
          <w:lang w:eastAsia="ru-RU"/>
        </w:rPr>
        <w:t>Финансовое состояние компании Новатэк можно характеризовать как стабильное и устойчивое, платежеспособность компании находится на высоком уровне.</w:t>
      </w:r>
      <w:r w:rsidR="00051AA5">
        <w:rPr>
          <w:lang w:eastAsia="ru-RU"/>
        </w:rPr>
        <w:t xml:space="preserve"> </w:t>
      </w:r>
      <w:r w:rsidR="00780951">
        <w:rPr>
          <w:lang w:eastAsia="ru-RU"/>
        </w:rPr>
        <w:t xml:space="preserve">Стоит отметить скачок выручки в 2019 году, не предполагается, что данное изменение приведет к дальнейшему увеличению темпов роста. </w:t>
      </w:r>
    </w:p>
    <w:p w14:paraId="12281024" w14:textId="23F6E9E3" w:rsidR="00807368" w:rsidRDefault="00807368" w:rsidP="00807368">
      <w:pPr>
        <w:pStyle w:val="3"/>
        <w:rPr>
          <w:lang w:eastAsia="ru-RU"/>
        </w:rPr>
      </w:pPr>
      <w:bookmarkStart w:id="26" w:name="_Toc41822245"/>
      <w:r w:rsidRPr="00807368">
        <w:rPr>
          <w:lang w:eastAsia="ru-RU"/>
        </w:rPr>
        <w:t>3.2.</w:t>
      </w:r>
      <w:r>
        <w:rPr>
          <w:lang w:eastAsia="ru-RU"/>
        </w:rPr>
        <w:t>3</w:t>
      </w:r>
      <w:r w:rsidRPr="00807368">
        <w:rPr>
          <w:lang w:eastAsia="ru-RU"/>
        </w:rPr>
        <w:t>. Анализ финансово-экономической деятельности А</w:t>
      </w:r>
      <w:r>
        <w:rPr>
          <w:lang w:eastAsia="ru-RU"/>
        </w:rPr>
        <w:t>К</w:t>
      </w:r>
      <w:r w:rsidRPr="00807368">
        <w:rPr>
          <w:lang w:eastAsia="ru-RU"/>
        </w:rPr>
        <w:t xml:space="preserve"> «</w:t>
      </w:r>
      <w:r>
        <w:rPr>
          <w:lang w:eastAsia="ru-RU"/>
        </w:rPr>
        <w:t>АЛРОСА</w:t>
      </w:r>
      <w:r w:rsidRPr="00807368">
        <w:rPr>
          <w:lang w:eastAsia="ru-RU"/>
        </w:rPr>
        <w:t>»</w:t>
      </w:r>
      <w:bookmarkEnd w:id="26"/>
    </w:p>
    <w:p w14:paraId="1ED2CBBD" w14:textId="47853D3A" w:rsidR="00B21C8D" w:rsidRDefault="00B21C8D" w:rsidP="00B21C8D">
      <w:pPr>
        <w:rPr>
          <w:lang w:eastAsia="ru-RU"/>
        </w:rPr>
      </w:pPr>
      <w:r>
        <w:rPr>
          <w:lang w:eastAsia="ru-RU"/>
        </w:rPr>
        <w:t xml:space="preserve">«АЛРОСА» — российская государственная горнорудная компания, занимающаяся алмазодобывающей деятельностью. Компания </w:t>
      </w:r>
      <w:r w:rsidRPr="00B21C8D">
        <w:rPr>
          <w:lang w:eastAsia="ru-RU"/>
        </w:rPr>
        <w:t>занимается разведкой месторождений, добычей, обработкой и продажей алмазного сырья.</w:t>
      </w:r>
      <w:r w:rsidR="0011603E">
        <w:rPr>
          <w:lang w:eastAsia="ru-RU"/>
        </w:rPr>
        <w:t xml:space="preserve"> АЛРОСА владеет собственным бриллиантовым производством и торговыми брендами.</w:t>
      </w:r>
      <w:r>
        <w:rPr>
          <w:lang w:eastAsia="ru-RU"/>
        </w:rPr>
        <w:t xml:space="preserve"> </w:t>
      </w:r>
      <w:r w:rsidR="0011603E">
        <w:rPr>
          <w:lang w:eastAsia="ru-RU"/>
        </w:rPr>
        <w:t xml:space="preserve">Основная продукция компании — природные алмазы, а также бриллианты. </w:t>
      </w:r>
      <w:r>
        <w:rPr>
          <w:lang w:eastAsia="ru-RU"/>
        </w:rPr>
        <w:t>АЛРОСА является лидером на рынке</w:t>
      </w:r>
      <w:r w:rsidR="0011603E">
        <w:rPr>
          <w:rStyle w:val="afe"/>
          <w:lang w:eastAsia="ru-RU"/>
        </w:rPr>
        <w:footnoteReference w:id="73"/>
      </w:r>
      <w:r w:rsidR="0011603E">
        <w:rPr>
          <w:lang w:eastAsia="ru-RU"/>
        </w:rPr>
        <w:t xml:space="preserve">  и представлена в десяти странах мира.</w:t>
      </w:r>
      <w:r>
        <w:rPr>
          <w:lang w:eastAsia="ru-RU"/>
        </w:rPr>
        <w:t xml:space="preserve"> </w:t>
      </w:r>
    </w:p>
    <w:p w14:paraId="002CA1CE" w14:textId="465CEDDC" w:rsidR="001931C3" w:rsidRDefault="001931C3" w:rsidP="00B21C8D">
      <w:pPr>
        <w:rPr>
          <w:lang w:eastAsia="ru-RU"/>
        </w:rPr>
      </w:pPr>
      <w:r>
        <w:rPr>
          <w:lang w:eastAsia="ru-RU"/>
        </w:rPr>
        <w:t xml:space="preserve">Выручка компании АЛРОСА в 2016 – 2018 годах составляла приблизительно 300 миллиардов рублей, при этом значение снизилось в 2017 году и вновь выросло в 2018 году. Анализируя снижение выручки в 2019 году до 232 миллиардов рублей, можно выделить основную причину в </w:t>
      </w:r>
      <w:r w:rsidR="0011603E">
        <w:rPr>
          <w:lang w:eastAsia="ru-RU"/>
        </w:rPr>
        <w:t xml:space="preserve">высоком уровне запасов у ритейлеров. Стоит отметить, что спрос на ювелирные украшения у конечных потребителей вырос, при этом высокий уровень запасов </w:t>
      </w:r>
      <w:r w:rsidR="00780951">
        <w:rPr>
          <w:lang w:eastAsia="ru-RU"/>
        </w:rPr>
        <w:t xml:space="preserve">ритейлеров </w:t>
      </w:r>
      <w:r w:rsidR="0011603E">
        <w:rPr>
          <w:lang w:eastAsia="ru-RU"/>
        </w:rPr>
        <w:t>повлиял на активность добывающих компаний. Компания ожидает стабилизацию активности у ритейлеров после сокращения запасов и рост выручки в дальнейшем.</w:t>
      </w:r>
    </w:p>
    <w:p w14:paraId="7CB24613" w14:textId="70852ECF" w:rsidR="00A557E8" w:rsidRDefault="00A557E8" w:rsidP="00A557E8">
      <w:pPr>
        <w:pStyle w:val="a0"/>
        <w:rPr>
          <w:lang w:eastAsia="ru-RU"/>
        </w:rPr>
      </w:pPr>
      <w:r>
        <w:rPr>
          <w:lang w:eastAsia="ru-RU"/>
        </w:rPr>
        <w:t>Изменение выручки компании Алроса в период 2016-2019 годы</w:t>
      </w:r>
    </w:p>
    <w:tbl>
      <w:tblPr>
        <w:tblW w:w="7492" w:type="dxa"/>
        <w:jc w:val="center"/>
        <w:tblLook w:val="04A0" w:firstRow="1" w:lastRow="0" w:firstColumn="1" w:lastColumn="0" w:noHBand="0" w:noVBand="1"/>
      </w:tblPr>
      <w:tblGrid>
        <w:gridCol w:w="1565"/>
        <w:gridCol w:w="1559"/>
        <w:gridCol w:w="1417"/>
        <w:gridCol w:w="1418"/>
        <w:gridCol w:w="1533"/>
      </w:tblGrid>
      <w:tr w:rsidR="00A557E8" w:rsidRPr="001525D7" w14:paraId="44C70748" w14:textId="77777777" w:rsidTr="00A557E8">
        <w:trPr>
          <w:trHeight w:val="427"/>
          <w:jc w:val="center"/>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E3EB1" w14:textId="77777777" w:rsidR="001525D7" w:rsidRPr="001525D7" w:rsidRDefault="001525D7" w:rsidP="001525D7">
            <w:pPr>
              <w:spacing w:after="0" w:line="240" w:lineRule="auto"/>
              <w:ind w:firstLine="0"/>
              <w:jc w:val="left"/>
              <w:rPr>
                <w:rFonts w:eastAsia="Times New Roman" w:cs="Times New Roman"/>
                <w:b/>
                <w:bCs/>
                <w:color w:val="000000"/>
                <w:sz w:val="22"/>
                <w:lang w:eastAsia="ru-RU"/>
              </w:rPr>
            </w:pPr>
            <w:r w:rsidRPr="001525D7">
              <w:rPr>
                <w:rFonts w:eastAsia="Times New Roman" w:cs="Times New Roman"/>
                <w:b/>
                <w:bCs/>
                <w:color w:val="000000"/>
                <w:sz w:val="22"/>
                <w:lang w:eastAsia="ru-RU"/>
              </w:rPr>
              <w:t>Период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A7DDAB" w14:textId="77777777" w:rsidR="001525D7" w:rsidRPr="001525D7" w:rsidRDefault="001525D7" w:rsidP="001525D7">
            <w:pPr>
              <w:spacing w:after="0" w:line="240" w:lineRule="auto"/>
              <w:ind w:firstLine="0"/>
              <w:jc w:val="center"/>
              <w:rPr>
                <w:rFonts w:eastAsia="Times New Roman" w:cs="Times New Roman"/>
                <w:b/>
                <w:bCs/>
                <w:color w:val="000000"/>
                <w:sz w:val="22"/>
                <w:lang w:eastAsia="ru-RU"/>
              </w:rPr>
            </w:pPr>
            <w:r w:rsidRPr="001525D7">
              <w:rPr>
                <w:rFonts w:eastAsia="Times New Roman" w:cs="Times New Roman"/>
                <w:b/>
                <w:bCs/>
                <w:color w:val="000000"/>
                <w:sz w:val="22"/>
                <w:lang w:eastAsia="ru-RU"/>
              </w:rPr>
              <w:t>2016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EFF35E" w14:textId="77777777" w:rsidR="001525D7" w:rsidRPr="001525D7" w:rsidRDefault="001525D7" w:rsidP="001525D7">
            <w:pPr>
              <w:spacing w:after="0" w:line="240" w:lineRule="auto"/>
              <w:ind w:firstLine="0"/>
              <w:jc w:val="center"/>
              <w:rPr>
                <w:rFonts w:eastAsia="Times New Roman" w:cs="Times New Roman"/>
                <w:b/>
                <w:bCs/>
                <w:color w:val="000000"/>
                <w:sz w:val="22"/>
                <w:lang w:eastAsia="ru-RU"/>
              </w:rPr>
            </w:pPr>
            <w:r w:rsidRPr="001525D7">
              <w:rPr>
                <w:rFonts w:eastAsia="Times New Roman" w:cs="Times New Roman"/>
                <w:b/>
                <w:bCs/>
                <w:color w:val="000000"/>
                <w:sz w:val="22"/>
                <w:lang w:eastAsia="ru-RU"/>
              </w:rPr>
              <w:t>2017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581592" w14:textId="77777777" w:rsidR="001525D7" w:rsidRPr="001525D7" w:rsidRDefault="001525D7" w:rsidP="001525D7">
            <w:pPr>
              <w:spacing w:after="0" w:line="240" w:lineRule="auto"/>
              <w:ind w:firstLine="0"/>
              <w:jc w:val="center"/>
              <w:rPr>
                <w:rFonts w:eastAsia="Times New Roman" w:cs="Times New Roman"/>
                <w:b/>
                <w:bCs/>
                <w:color w:val="000000"/>
                <w:sz w:val="22"/>
                <w:lang w:eastAsia="ru-RU"/>
              </w:rPr>
            </w:pPr>
            <w:r w:rsidRPr="001525D7">
              <w:rPr>
                <w:rFonts w:eastAsia="Times New Roman" w:cs="Times New Roman"/>
                <w:b/>
                <w:bCs/>
                <w:color w:val="000000"/>
                <w:sz w:val="22"/>
                <w:lang w:eastAsia="ru-RU"/>
              </w:rPr>
              <w:t>2018</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14:paraId="3E405343" w14:textId="77777777" w:rsidR="001525D7" w:rsidRPr="001525D7" w:rsidRDefault="001525D7" w:rsidP="001525D7">
            <w:pPr>
              <w:spacing w:after="0" w:line="240" w:lineRule="auto"/>
              <w:ind w:left="58" w:firstLine="0"/>
              <w:jc w:val="center"/>
              <w:rPr>
                <w:rFonts w:eastAsia="Times New Roman" w:cs="Times New Roman"/>
                <w:b/>
                <w:bCs/>
                <w:color w:val="000000"/>
                <w:sz w:val="22"/>
                <w:lang w:eastAsia="ru-RU"/>
              </w:rPr>
            </w:pPr>
            <w:r w:rsidRPr="001525D7">
              <w:rPr>
                <w:rFonts w:eastAsia="Times New Roman" w:cs="Times New Roman"/>
                <w:b/>
                <w:bCs/>
                <w:color w:val="000000"/>
                <w:sz w:val="22"/>
                <w:lang w:eastAsia="ru-RU"/>
              </w:rPr>
              <w:t>2019</w:t>
            </w:r>
          </w:p>
        </w:tc>
      </w:tr>
      <w:tr w:rsidR="00A557E8" w:rsidRPr="001525D7" w14:paraId="130777B6" w14:textId="77777777" w:rsidTr="00A557E8">
        <w:trPr>
          <w:trHeight w:val="290"/>
          <w:jc w:val="center"/>
        </w:trPr>
        <w:tc>
          <w:tcPr>
            <w:tcW w:w="1565" w:type="dxa"/>
            <w:tcBorders>
              <w:top w:val="nil"/>
              <w:left w:val="single" w:sz="4" w:space="0" w:color="auto"/>
              <w:bottom w:val="single" w:sz="4" w:space="0" w:color="auto"/>
              <w:right w:val="single" w:sz="4" w:space="0" w:color="auto"/>
            </w:tcBorders>
            <w:shd w:val="clear" w:color="auto" w:fill="auto"/>
            <w:vAlign w:val="center"/>
            <w:hideMark/>
          </w:tcPr>
          <w:p w14:paraId="226F3C1C" w14:textId="7FD2D4EE" w:rsidR="001525D7" w:rsidRPr="001525D7" w:rsidRDefault="001525D7" w:rsidP="001525D7">
            <w:pPr>
              <w:spacing w:after="0" w:line="240" w:lineRule="auto"/>
              <w:ind w:firstLine="0"/>
              <w:jc w:val="left"/>
              <w:rPr>
                <w:rFonts w:eastAsia="Times New Roman" w:cs="Times New Roman"/>
                <w:b/>
                <w:bCs/>
                <w:color w:val="000000"/>
                <w:sz w:val="22"/>
                <w:lang w:eastAsia="ru-RU"/>
              </w:rPr>
            </w:pPr>
            <w:r w:rsidRPr="001525D7">
              <w:rPr>
                <w:rFonts w:eastAsia="Times New Roman" w:cs="Times New Roman"/>
                <w:b/>
                <w:bCs/>
                <w:color w:val="000000"/>
                <w:sz w:val="22"/>
                <w:lang w:eastAsia="ru-RU"/>
              </w:rPr>
              <w:t>Выручка</w:t>
            </w:r>
            <w:r w:rsidR="001931C3">
              <w:rPr>
                <w:rFonts w:eastAsia="Times New Roman" w:cs="Times New Roman"/>
                <w:b/>
                <w:bCs/>
                <w:color w:val="000000"/>
                <w:sz w:val="22"/>
                <w:lang w:eastAsia="ru-RU"/>
              </w:rPr>
              <w:t>, млн. рублей</w:t>
            </w:r>
            <w:r w:rsidRPr="001525D7">
              <w:rPr>
                <w:rFonts w:eastAsia="Times New Roman" w:cs="Times New Roman"/>
                <w:b/>
                <w:bCs/>
                <w:color w:val="000000"/>
                <w:sz w:val="22"/>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061C7AE" w14:textId="1AA6C183" w:rsidR="001525D7" w:rsidRPr="001525D7" w:rsidRDefault="001525D7" w:rsidP="00A557E8">
            <w:pPr>
              <w:spacing w:after="0" w:line="240" w:lineRule="auto"/>
              <w:ind w:left="-388" w:firstLine="567"/>
              <w:jc w:val="center"/>
              <w:rPr>
                <w:rFonts w:eastAsia="Times New Roman" w:cs="Times New Roman"/>
                <w:color w:val="000000"/>
                <w:sz w:val="22"/>
                <w:lang w:eastAsia="ru-RU"/>
              </w:rPr>
            </w:pPr>
            <w:r w:rsidRPr="001525D7">
              <w:rPr>
                <w:rFonts w:eastAsia="Times New Roman" w:cs="Times New Roman"/>
                <w:color w:val="000000"/>
                <w:sz w:val="22"/>
                <w:lang w:eastAsia="ru-RU"/>
              </w:rPr>
              <w:t>314 336</w:t>
            </w:r>
          </w:p>
        </w:tc>
        <w:tc>
          <w:tcPr>
            <w:tcW w:w="1417" w:type="dxa"/>
            <w:tcBorders>
              <w:top w:val="nil"/>
              <w:left w:val="nil"/>
              <w:bottom w:val="single" w:sz="4" w:space="0" w:color="auto"/>
              <w:right w:val="single" w:sz="4" w:space="0" w:color="auto"/>
            </w:tcBorders>
            <w:shd w:val="clear" w:color="auto" w:fill="auto"/>
            <w:vAlign w:val="center"/>
            <w:hideMark/>
          </w:tcPr>
          <w:p w14:paraId="623618F4" w14:textId="4ED8F9AD" w:rsidR="001525D7" w:rsidRPr="001525D7" w:rsidRDefault="001525D7" w:rsidP="00A557E8">
            <w:pPr>
              <w:spacing w:after="0" w:line="240" w:lineRule="auto"/>
              <w:ind w:left="-388" w:firstLine="0"/>
              <w:jc w:val="center"/>
              <w:rPr>
                <w:rFonts w:eastAsia="Times New Roman" w:cs="Times New Roman"/>
                <w:color w:val="000000"/>
                <w:sz w:val="22"/>
                <w:lang w:eastAsia="ru-RU"/>
              </w:rPr>
            </w:pPr>
            <w:r w:rsidRPr="001525D7">
              <w:rPr>
                <w:rFonts w:eastAsia="Times New Roman" w:cs="Times New Roman"/>
                <w:color w:val="000000"/>
                <w:sz w:val="22"/>
                <w:lang w:eastAsia="ru-RU"/>
              </w:rPr>
              <w:t>269 706</w:t>
            </w:r>
          </w:p>
        </w:tc>
        <w:tc>
          <w:tcPr>
            <w:tcW w:w="1418" w:type="dxa"/>
            <w:tcBorders>
              <w:top w:val="nil"/>
              <w:left w:val="nil"/>
              <w:bottom w:val="single" w:sz="4" w:space="0" w:color="auto"/>
              <w:right w:val="single" w:sz="4" w:space="0" w:color="auto"/>
            </w:tcBorders>
            <w:shd w:val="clear" w:color="auto" w:fill="auto"/>
            <w:vAlign w:val="center"/>
            <w:hideMark/>
          </w:tcPr>
          <w:p w14:paraId="50683210" w14:textId="1C7D9653" w:rsidR="001525D7" w:rsidRPr="001525D7" w:rsidRDefault="001525D7" w:rsidP="00A557E8">
            <w:pPr>
              <w:spacing w:after="0" w:line="240" w:lineRule="auto"/>
              <w:ind w:left="-388" w:firstLine="0"/>
              <w:jc w:val="center"/>
              <w:rPr>
                <w:rFonts w:eastAsia="Times New Roman" w:cs="Times New Roman"/>
                <w:color w:val="000000"/>
                <w:sz w:val="22"/>
                <w:lang w:eastAsia="ru-RU"/>
              </w:rPr>
            </w:pPr>
            <w:r w:rsidRPr="001525D7">
              <w:rPr>
                <w:rFonts w:eastAsia="Times New Roman" w:cs="Times New Roman"/>
                <w:color w:val="000000"/>
                <w:sz w:val="22"/>
                <w:lang w:eastAsia="ru-RU"/>
              </w:rPr>
              <w:t>293 870</w:t>
            </w:r>
          </w:p>
        </w:tc>
        <w:tc>
          <w:tcPr>
            <w:tcW w:w="1533" w:type="dxa"/>
            <w:tcBorders>
              <w:top w:val="nil"/>
              <w:left w:val="nil"/>
              <w:bottom w:val="single" w:sz="4" w:space="0" w:color="auto"/>
              <w:right w:val="single" w:sz="4" w:space="0" w:color="auto"/>
            </w:tcBorders>
            <w:shd w:val="clear" w:color="auto" w:fill="auto"/>
            <w:vAlign w:val="center"/>
            <w:hideMark/>
          </w:tcPr>
          <w:p w14:paraId="48557F75" w14:textId="77777777" w:rsidR="001525D7" w:rsidRPr="001525D7" w:rsidRDefault="001525D7" w:rsidP="00A557E8">
            <w:pPr>
              <w:spacing w:after="0" w:line="240" w:lineRule="auto"/>
              <w:ind w:left="-388" w:firstLine="0"/>
              <w:jc w:val="center"/>
              <w:rPr>
                <w:rFonts w:eastAsia="Times New Roman" w:cs="Times New Roman"/>
                <w:color w:val="000000"/>
                <w:sz w:val="22"/>
                <w:lang w:eastAsia="ru-RU"/>
              </w:rPr>
            </w:pPr>
            <w:r w:rsidRPr="001525D7">
              <w:rPr>
                <w:rFonts w:eastAsia="Times New Roman" w:cs="Times New Roman"/>
                <w:color w:val="000000"/>
                <w:sz w:val="22"/>
                <w:lang w:eastAsia="ru-RU"/>
              </w:rPr>
              <w:t>232 856</w:t>
            </w:r>
          </w:p>
        </w:tc>
      </w:tr>
    </w:tbl>
    <w:p w14:paraId="76AC977E" w14:textId="5356787C" w:rsidR="001525D7" w:rsidRDefault="00A557E8" w:rsidP="00A557E8">
      <w:pPr>
        <w:pStyle w:val="a"/>
        <w:numPr>
          <w:ilvl w:val="0"/>
          <w:numId w:val="0"/>
        </w:numPr>
        <w:spacing w:before="0" w:line="240" w:lineRule="auto"/>
        <w:ind w:left="851"/>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Алроса</w:t>
      </w:r>
      <w:r w:rsidRPr="008C0B4F">
        <w:rPr>
          <w:lang w:eastAsia="ru-RU"/>
        </w:rPr>
        <w:t>]</w:t>
      </w:r>
    </w:p>
    <w:p w14:paraId="37591187" w14:textId="3A2409B3" w:rsidR="00F3548C" w:rsidRDefault="00F3548C" w:rsidP="000C0D27">
      <w:pPr>
        <w:rPr>
          <w:lang w:eastAsia="ru-RU"/>
        </w:rPr>
      </w:pPr>
      <w:r>
        <w:rPr>
          <w:lang w:eastAsia="ru-RU"/>
        </w:rPr>
        <w:lastRenderedPageBreak/>
        <w:t xml:space="preserve">Средняя оборачиваемость запасов компании составляет 1,28 — с 2017 года показатель ежегодно снижается, что </w:t>
      </w:r>
      <w:r w:rsidR="00F36299">
        <w:rPr>
          <w:lang w:eastAsia="ru-RU"/>
        </w:rPr>
        <w:t xml:space="preserve">обусловлено увеличением уровня запасов в компании. В 2019 году запасы составили 121 миллиард рублей, в 2017 году — 91 миллиард рублей, </w:t>
      </w:r>
      <w:r w:rsidR="000C0D27">
        <w:rPr>
          <w:lang w:eastAsia="ru-RU"/>
        </w:rPr>
        <w:t xml:space="preserve">в процентном соотношении запасы увеличились на </w:t>
      </w:r>
      <w:r w:rsidR="00F36299">
        <w:rPr>
          <w:lang w:eastAsia="ru-RU"/>
        </w:rPr>
        <w:t xml:space="preserve">30%. </w:t>
      </w:r>
      <w:r w:rsidR="000C0D27">
        <w:rPr>
          <w:lang w:eastAsia="ru-RU"/>
        </w:rPr>
        <w:t xml:space="preserve">Оборачиваемость дебиторской задолженности увеличивается с 2017 года, так как уровень ДЗ снижается. В 2017 году был рост дебиторской задолженности, после чего заметно постепенное снижение до уровня 2016 года (в 2016 году дебиторская задолженность составила 15 179 миллионов рублей, а в 2019 году — 15 161 миллионов рублей). Оборачиваемость кредиторской задолженности наиболее стабильна, среднее значение равно 5,63. </w:t>
      </w:r>
    </w:p>
    <w:p w14:paraId="2F9E34DC" w14:textId="5F95FE36" w:rsidR="00A557E8" w:rsidRDefault="00A557E8" w:rsidP="00A557E8">
      <w:pPr>
        <w:pStyle w:val="a0"/>
        <w:rPr>
          <w:lang w:eastAsia="ru-RU"/>
        </w:rPr>
      </w:pPr>
      <w:r>
        <w:rPr>
          <w:lang w:eastAsia="ru-RU"/>
        </w:rPr>
        <w:t xml:space="preserve">Оборачиваемость в период 2016-2019 годы </w:t>
      </w:r>
    </w:p>
    <w:tbl>
      <w:tblPr>
        <w:tblW w:w="6829" w:type="dxa"/>
        <w:jc w:val="center"/>
        <w:tblLook w:val="04A0" w:firstRow="1" w:lastRow="0" w:firstColumn="1" w:lastColumn="0" w:noHBand="0" w:noVBand="1"/>
      </w:tblPr>
      <w:tblGrid>
        <w:gridCol w:w="1960"/>
        <w:gridCol w:w="960"/>
        <w:gridCol w:w="960"/>
        <w:gridCol w:w="960"/>
        <w:gridCol w:w="960"/>
        <w:gridCol w:w="1029"/>
      </w:tblGrid>
      <w:tr w:rsidR="00A557E8" w:rsidRPr="00A557E8" w14:paraId="595A4315" w14:textId="77777777" w:rsidTr="00A557E8">
        <w:trPr>
          <w:trHeight w:val="29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6FCFD" w14:textId="77777777" w:rsidR="00A557E8" w:rsidRPr="00A557E8" w:rsidRDefault="00A557E8" w:rsidP="00A557E8">
            <w:pPr>
              <w:spacing w:after="0" w:line="240" w:lineRule="auto"/>
              <w:ind w:firstLine="0"/>
              <w:jc w:val="left"/>
              <w:rPr>
                <w:rFonts w:eastAsia="Times New Roman" w:cs="Times New Roman"/>
                <w:b/>
                <w:bCs/>
                <w:color w:val="000000"/>
                <w:sz w:val="22"/>
                <w:lang w:eastAsia="ru-RU"/>
              </w:rPr>
            </w:pPr>
            <w:r w:rsidRPr="00A557E8">
              <w:rPr>
                <w:rFonts w:eastAsia="Times New Roman" w:cs="Times New Roman"/>
                <w:b/>
                <w:bCs/>
                <w:color w:val="000000"/>
                <w:sz w:val="22"/>
                <w:lang w:eastAsia="ru-RU"/>
              </w:rPr>
              <w:t>Период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A469F9" w14:textId="77777777" w:rsidR="00A557E8" w:rsidRPr="00A557E8" w:rsidRDefault="00A557E8" w:rsidP="00A557E8">
            <w:pPr>
              <w:spacing w:after="0" w:line="240" w:lineRule="auto"/>
              <w:ind w:firstLine="0"/>
              <w:jc w:val="right"/>
              <w:rPr>
                <w:rFonts w:eastAsia="Times New Roman" w:cs="Times New Roman"/>
                <w:b/>
                <w:bCs/>
                <w:color w:val="000000"/>
                <w:sz w:val="22"/>
                <w:lang w:eastAsia="ru-RU"/>
              </w:rPr>
            </w:pPr>
            <w:r w:rsidRPr="00A557E8">
              <w:rPr>
                <w:rFonts w:eastAsia="Times New Roman" w:cs="Times New Roman"/>
                <w:b/>
                <w:bCs/>
                <w:color w:val="000000"/>
                <w:sz w:val="22"/>
                <w:lang w:eastAsia="ru-RU"/>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825D29" w14:textId="77777777" w:rsidR="00A557E8" w:rsidRPr="00A557E8" w:rsidRDefault="00A557E8" w:rsidP="00A557E8">
            <w:pPr>
              <w:spacing w:after="0" w:line="240" w:lineRule="auto"/>
              <w:ind w:firstLine="0"/>
              <w:jc w:val="right"/>
              <w:rPr>
                <w:rFonts w:eastAsia="Times New Roman" w:cs="Times New Roman"/>
                <w:b/>
                <w:bCs/>
                <w:color w:val="000000"/>
                <w:sz w:val="22"/>
                <w:lang w:eastAsia="ru-RU"/>
              </w:rPr>
            </w:pPr>
            <w:r w:rsidRPr="00A557E8">
              <w:rPr>
                <w:rFonts w:eastAsia="Times New Roman" w:cs="Times New Roman"/>
                <w:b/>
                <w:bCs/>
                <w:color w:val="000000"/>
                <w:sz w:val="22"/>
                <w:lang w:eastAsia="ru-RU"/>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3CB05C" w14:textId="77777777" w:rsidR="00A557E8" w:rsidRPr="00A557E8" w:rsidRDefault="00A557E8" w:rsidP="00A557E8">
            <w:pPr>
              <w:spacing w:after="0" w:line="240" w:lineRule="auto"/>
              <w:ind w:firstLine="0"/>
              <w:jc w:val="right"/>
              <w:rPr>
                <w:rFonts w:eastAsia="Times New Roman" w:cs="Times New Roman"/>
                <w:b/>
                <w:bCs/>
                <w:color w:val="000000"/>
                <w:sz w:val="22"/>
                <w:lang w:eastAsia="ru-RU"/>
              </w:rPr>
            </w:pPr>
            <w:r w:rsidRPr="00A557E8">
              <w:rPr>
                <w:rFonts w:eastAsia="Times New Roman" w:cs="Times New Roman"/>
                <w:b/>
                <w:bCs/>
                <w:color w:val="000000"/>
                <w:sz w:val="22"/>
                <w:lang w:eastAsia="ru-RU"/>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467151" w14:textId="77777777" w:rsidR="00A557E8" w:rsidRPr="00A557E8" w:rsidRDefault="00A557E8" w:rsidP="00A557E8">
            <w:pPr>
              <w:spacing w:after="0" w:line="240" w:lineRule="auto"/>
              <w:ind w:firstLine="0"/>
              <w:jc w:val="right"/>
              <w:rPr>
                <w:rFonts w:eastAsia="Times New Roman" w:cs="Times New Roman"/>
                <w:b/>
                <w:bCs/>
                <w:color w:val="000000"/>
                <w:sz w:val="22"/>
                <w:lang w:eastAsia="ru-RU"/>
              </w:rPr>
            </w:pPr>
            <w:r w:rsidRPr="00A557E8">
              <w:rPr>
                <w:rFonts w:eastAsia="Times New Roman" w:cs="Times New Roman"/>
                <w:b/>
                <w:bCs/>
                <w:color w:val="000000"/>
                <w:sz w:val="22"/>
                <w:lang w:eastAsia="ru-RU"/>
              </w:rPr>
              <w:t>2019</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07761D9A" w14:textId="77777777" w:rsidR="00A557E8" w:rsidRPr="00A557E8" w:rsidRDefault="00A557E8" w:rsidP="00A557E8">
            <w:pPr>
              <w:spacing w:after="0" w:line="240" w:lineRule="auto"/>
              <w:ind w:firstLine="0"/>
              <w:jc w:val="left"/>
              <w:rPr>
                <w:rFonts w:eastAsia="Times New Roman" w:cs="Times New Roman"/>
                <w:b/>
                <w:bCs/>
                <w:color w:val="000000"/>
                <w:sz w:val="22"/>
                <w:lang w:eastAsia="ru-RU"/>
              </w:rPr>
            </w:pPr>
            <w:r w:rsidRPr="00A557E8">
              <w:rPr>
                <w:rFonts w:eastAsia="Times New Roman" w:cs="Times New Roman"/>
                <w:b/>
                <w:bCs/>
                <w:color w:val="000000"/>
                <w:sz w:val="22"/>
                <w:lang w:eastAsia="ru-RU"/>
              </w:rPr>
              <w:t>Среднее</w:t>
            </w:r>
          </w:p>
        </w:tc>
      </w:tr>
      <w:tr w:rsidR="00A557E8" w:rsidRPr="00A557E8" w14:paraId="64E4B552" w14:textId="77777777" w:rsidTr="00A557E8">
        <w:trPr>
          <w:trHeight w:val="57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76CC67EC"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Оборачиваемость запасов</w:t>
            </w:r>
          </w:p>
        </w:tc>
        <w:tc>
          <w:tcPr>
            <w:tcW w:w="960" w:type="dxa"/>
            <w:tcBorders>
              <w:top w:val="nil"/>
              <w:left w:val="nil"/>
              <w:bottom w:val="single" w:sz="4" w:space="0" w:color="auto"/>
              <w:right w:val="single" w:sz="4" w:space="0" w:color="auto"/>
            </w:tcBorders>
            <w:shd w:val="clear" w:color="auto" w:fill="auto"/>
            <w:noWrap/>
            <w:vAlign w:val="bottom"/>
            <w:hideMark/>
          </w:tcPr>
          <w:p w14:paraId="1ABBCD23"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1,32 </w:t>
            </w:r>
          </w:p>
        </w:tc>
        <w:tc>
          <w:tcPr>
            <w:tcW w:w="960" w:type="dxa"/>
            <w:tcBorders>
              <w:top w:val="nil"/>
              <w:left w:val="nil"/>
              <w:bottom w:val="single" w:sz="4" w:space="0" w:color="auto"/>
              <w:right w:val="single" w:sz="4" w:space="0" w:color="auto"/>
            </w:tcBorders>
            <w:shd w:val="clear" w:color="auto" w:fill="auto"/>
            <w:noWrap/>
            <w:vAlign w:val="bottom"/>
            <w:hideMark/>
          </w:tcPr>
          <w:p w14:paraId="31B969B1"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1,46 </w:t>
            </w:r>
          </w:p>
        </w:tc>
        <w:tc>
          <w:tcPr>
            <w:tcW w:w="960" w:type="dxa"/>
            <w:tcBorders>
              <w:top w:val="nil"/>
              <w:left w:val="nil"/>
              <w:bottom w:val="single" w:sz="4" w:space="0" w:color="auto"/>
              <w:right w:val="single" w:sz="4" w:space="0" w:color="auto"/>
            </w:tcBorders>
            <w:shd w:val="clear" w:color="auto" w:fill="auto"/>
            <w:noWrap/>
            <w:vAlign w:val="bottom"/>
            <w:hideMark/>
          </w:tcPr>
          <w:p w14:paraId="31188B0F"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1,37 </w:t>
            </w:r>
          </w:p>
        </w:tc>
        <w:tc>
          <w:tcPr>
            <w:tcW w:w="960" w:type="dxa"/>
            <w:tcBorders>
              <w:top w:val="nil"/>
              <w:left w:val="nil"/>
              <w:bottom w:val="single" w:sz="4" w:space="0" w:color="auto"/>
              <w:right w:val="single" w:sz="4" w:space="0" w:color="auto"/>
            </w:tcBorders>
            <w:shd w:val="clear" w:color="auto" w:fill="auto"/>
            <w:noWrap/>
            <w:vAlign w:val="bottom"/>
            <w:hideMark/>
          </w:tcPr>
          <w:p w14:paraId="159B9D89"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0,98 </w:t>
            </w:r>
          </w:p>
        </w:tc>
        <w:tc>
          <w:tcPr>
            <w:tcW w:w="1029" w:type="dxa"/>
            <w:tcBorders>
              <w:top w:val="nil"/>
              <w:left w:val="nil"/>
              <w:bottom w:val="single" w:sz="4" w:space="0" w:color="auto"/>
              <w:right w:val="single" w:sz="4" w:space="0" w:color="auto"/>
            </w:tcBorders>
            <w:shd w:val="clear" w:color="auto" w:fill="auto"/>
            <w:noWrap/>
            <w:vAlign w:val="bottom"/>
            <w:hideMark/>
          </w:tcPr>
          <w:p w14:paraId="0DF75781"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1,28 </w:t>
            </w:r>
          </w:p>
        </w:tc>
      </w:tr>
      <w:tr w:rsidR="00A557E8" w:rsidRPr="00A557E8" w14:paraId="285149D5" w14:textId="77777777" w:rsidTr="00A557E8">
        <w:trPr>
          <w:trHeight w:val="60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350CF33D"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Оборачиваемость ДЗ</w:t>
            </w:r>
          </w:p>
        </w:tc>
        <w:tc>
          <w:tcPr>
            <w:tcW w:w="960" w:type="dxa"/>
            <w:tcBorders>
              <w:top w:val="nil"/>
              <w:left w:val="nil"/>
              <w:bottom w:val="single" w:sz="4" w:space="0" w:color="auto"/>
              <w:right w:val="single" w:sz="4" w:space="0" w:color="auto"/>
            </w:tcBorders>
            <w:shd w:val="clear" w:color="auto" w:fill="auto"/>
            <w:noWrap/>
            <w:vAlign w:val="bottom"/>
            <w:hideMark/>
          </w:tcPr>
          <w:p w14:paraId="4CDC4CF1"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20,71 </w:t>
            </w:r>
          </w:p>
        </w:tc>
        <w:tc>
          <w:tcPr>
            <w:tcW w:w="960" w:type="dxa"/>
            <w:tcBorders>
              <w:top w:val="nil"/>
              <w:left w:val="nil"/>
              <w:bottom w:val="single" w:sz="4" w:space="0" w:color="auto"/>
              <w:right w:val="single" w:sz="4" w:space="0" w:color="auto"/>
            </w:tcBorders>
            <w:shd w:val="clear" w:color="auto" w:fill="auto"/>
            <w:noWrap/>
            <w:vAlign w:val="bottom"/>
            <w:hideMark/>
          </w:tcPr>
          <w:p w14:paraId="3A8094F7"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9,10 </w:t>
            </w:r>
          </w:p>
        </w:tc>
        <w:tc>
          <w:tcPr>
            <w:tcW w:w="960" w:type="dxa"/>
            <w:tcBorders>
              <w:top w:val="nil"/>
              <w:left w:val="nil"/>
              <w:bottom w:val="single" w:sz="4" w:space="0" w:color="auto"/>
              <w:right w:val="single" w:sz="4" w:space="0" w:color="auto"/>
            </w:tcBorders>
            <w:shd w:val="clear" w:color="auto" w:fill="auto"/>
            <w:noWrap/>
            <w:vAlign w:val="bottom"/>
            <w:hideMark/>
          </w:tcPr>
          <w:p w14:paraId="71DF9248"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13,20 </w:t>
            </w:r>
          </w:p>
        </w:tc>
        <w:tc>
          <w:tcPr>
            <w:tcW w:w="960" w:type="dxa"/>
            <w:tcBorders>
              <w:top w:val="nil"/>
              <w:left w:val="nil"/>
              <w:bottom w:val="single" w:sz="4" w:space="0" w:color="auto"/>
              <w:right w:val="single" w:sz="4" w:space="0" w:color="auto"/>
            </w:tcBorders>
            <w:shd w:val="clear" w:color="auto" w:fill="auto"/>
            <w:noWrap/>
            <w:vAlign w:val="bottom"/>
            <w:hideMark/>
          </w:tcPr>
          <w:p w14:paraId="28FBCA18"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15,36 </w:t>
            </w:r>
          </w:p>
        </w:tc>
        <w:tc>
          <w:tcPr>
            <w:tcW w:w="1029" w:type="dxa"/>
            <w:tcBorders>
              <w:top w:val="nil"/>
              <w:left w:val="nil"/>
              <w:bottom w:val="single" w:sz="4" w:space="0" w:color="auto"/>
              <w:right w:val="single" w:sz="4" w:space="0" w:color="auto"/>
            </w:tcBorders>
            <w:shd w:val="clear" w:color="auto" w:fill="auto"/>
            <w:noWrap/>
            <w:vAlign w:val="bottom"/>
            <w:hideMark/>
          </w:tcPr>
          <w:p w14:paraId="5E84D0F6"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14,59 </w:t>
            </w:r>
          </w:p>
        </w:tc>
      </w:tr>
      <w:tr w:rsidR="00A557E8" w:rsidRPr="00A557E8" w14:paraId="18390411" w14:textId="77777777" w:rsidTr="00A557E8">
        <w:trPr>
          <w:trHeight w:val="620"/>
          <w:jc w:val="center"/>
        </w:trPr>
        <w:tc>
          <w:tcPr>
            <w:tcW w:w="1960" w:type="dxa"/>
            <w:tcBorders>
              <w:top w:val="nil"/>
              <w:left w:val="single" w:sz="4" w:space="0" w:color="auto"/>
              <w:bottom w:val="single" w:sz="4" w:space="0" w:color="auto"/>
              <w:right w:val="single" w:sz="4" w:space="0" w:color="auto"/>
            </w:tcBorders>
            <w:shd w:val="clear" w:color="auto" w:fill="auto"/>
            <w:vAlign w:val="bottom"/>
            <w:hideMark/>
          </w:tcPr>
          <w:p w14:paraId="518A2966"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Оборачиваемость КЗ</w:t>
            </w:r>
          </w:p>
        </w:tc>
        <w:tc>
          <w:tcPr>
            <w:tcW w:w="960" w:type="dxa"/>
            <w:tcBorders>
              <w:top w:val="nil"/>
              <w:left w:val="nil"/>
              <w:bottom w:val="single" w:sz="4" w:space="0" w:color="auto"/>
              <w:right w:val="single" w:sz="4" w:space="0" w:color="auto"/>
            </w:tcBorders>
            <w:shd w:val="clear" w:color="auto" w:fill="auto"/>
            <w:noWrap/>
            <w:vAlign w:val="bottom"/>
            <w:hideMark/>
          </w:tcPr>
          <w:p w14:paraId="3C6310A9"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5,09 </w:t>
            </w:r>
          </w:p>
        </w:tc>
        <w:tc>
          <w:tcPr>
            <w:tcW w:w="960" w:type="dxa"/>
            <w:tcBorders>
              <w:top w:val="nil"/>
              <w:left w:val="nil"/>
              <w:bottom w:val="single" w:sz="4" w:space="0" w:color="auto"/>
              <w:right w:val="single" w:sz="4" w:space="0" w:color="auto"/>
            </w:tcBorders>
            <w:shd w:val="clear" w:color="auto" w:fill="auto"/>
            <w:noWrap/>
            <w:vAlign w:val="bottom"/>
            <w:hideMark/>
          </w:tcPr>
          <w:p w14:paraId="3F82FEBC"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6,02 </w:t>
            </w:r>
          </w:p>
        </w:tc>
        <w:tc>
          <w:tcPr>
            <w:tcW w:w="960" w:type="dxa"/>
            <w:tcBorders>
              <w:top w:val="nil"/>
              <w:left w:val="nil"/>
              <w:bottom w:val="single" w:sz="4" w:space="0" w:color="auto"/>
              <w:right w:val="single" w:sz="4" w:space="0" w:color="auto"/>
            </w:tcBorders>
            <w:shd w:val="clear" w:color="auto" w:fill="auto"/>
            <w:noWrap/>
            <w:vAlign w:val="bottom"/>
            <w:hideMark/>
          </w:tcPr>
          <w:p w14:paraId="1F7335E2"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5,80 </w:t>
            </w:r>
          </w:p>
        </w:tc>
        <w:tc>
          <w:tcPr>
            <w:tcW w:w="960" w:type="dxa"/>
            <w:tcBorders>
              <w:top w:val="nil"/>
              <w:left w:val="nil"/>
              <w:bottom w:val="single" w:sz="4" w:space="0" w:color="auto"/>
              <w:right w:val="single" w:sz="4" w:space="0" w:color="auto"/>
            </w:tcBorders>
            <w:shd w:val="clear" w:color="auto" w:fill="auto"/>
            <w:noWrap/>
            <w:vAlign w:val="bottom"/>
            <w:hideMark/>
          </w:tcPr>
          <w:p w14:paraId="21E6F2CC"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5,62 </w:t>
            </w:r>
          </w:p>
        </w:tc>
        <w:tc>
          <w:tcPr>
            <w:tcW w:w="1029" w:type="dxa"/>
            <w:tcBorders>
              <w:top w:val="nil"/>
              <w:left w:val="nil"/>
              <w:bottom w:val="single" w:sz="4" w:space="0" w:color="auto"/>
              <w:right w:val="single" w:sz="4" w:space="0" w:color="auto"/>
            </w:tcBorders>
            <w:shd w:val="clear" w:color="auto" w:fill="auto"/>
            <w:noWrap/>
            <w:vAlign w:val="bottom"/>
            <w:hideMark/>
          </w:tcPr>
          <w:p w14:paraId="33FD51D4" w14:textId="77777777" w:rsidR="00A557E8" w:rsidRPr="00A557E8" w:rsidRDefault="00A557E8" w:rsidP="00A557E8">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5,63 </w:t>
            </w:r>
          </w:p>
        </w:tc>
      </w:tr>
    </w:tbl>
    <w:p w14:paraId="5877B85A" w14:textId="3C58AE50" w:rsidR="00A557E8" w:rsidRDefault="00A557E8" w:rsidP="00A557E8">
      <w:pPr>
        <w:pStyle w:val="a"/>
        <w:numPr>
          <w:ilvl w:val="0"/>
          <w:numId w:val="0"/>
        </w:numPr>
        <w:spacing w:before="0" w:line="240" w:lineRule="auto"/>
        <w:ind w:left="1276"/>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Алроса</w:t>
      </w:r>
      <w:r w:rsidRPr="008C0B4F">
        <w:rPr>
          <w:lang w:eastAsia="ru-RU"/>
        </w:rPr>
        <w:t>]</w:t>
      </w:r>
    </w:p>
    <w:p w14:paraId="3124118C" w14:textId="57D1EFD8" w:rsidR="000C0D27" w:rsidRDefault="000C0D27" w:rsidP="006D2917">
      <w:pPr>
        <w:rPr>
          <w:lang w:eastAsia="ru-RU"/>
        </w:rPr>
      </w:pPr>
      <w:r>
        <w:rPr>
          <w:lang w:eastAsia="ru-RU"/>
        </w:rPr>
        <w:t xml:space="preserve">Структура капитала в компании непостоянна, в 2016 году доля собственного капитала составляла 64%, а в 2017 году — 82%, что обусловлено ростом нераспределенной прибыли. </w:t>
      </w:r>
      <w:r w:rsidR="006D2917">
        <w:rPr>
          <w:lang w:eastAsia="ru-RU"/>
        </w:rPr>
        <w:t>В 2018 году нераспределенная прибыль снизилась, так как в компании было принято решение о нераспределенной прибыли по итогам 2018 года равной 0 рублей, а часть нераспределенной прибыли прошлых лет была направлена на вознаграждение членам Ревизионной комиссии, выплату дивидендов.</w:t>
      </w:r>
      <w:r w:rsidR="006D2917">
        <w:rPr>
          <w:rStyle w:val="afe"/>
          <w:lang w:eastAsia="ru-RU"/>
        </w:rPr>
        <w:footnoteReference w:id="74"/>
      </w:r>
      <w:r w:rsidR="006D2917">
        <w:rPr>
          <w:lang w:eastAsia="ru-RU"/>
        </w:rPr>
        <w:t xml:space="preserve"> В 2019 году структура капитала была следующая: доля заемного капитала равна 25%, а доля собственного капитала — 75%. </w:t>
      </w:r>
    </w:p>
    <w:p w14:paraId="38B51618" w14:textId="19287142" w:rsidR="00A557E8" w:rsidRDefault="00A557E8" w:rsidP="00A557E8">
      <w:pPr>
        <w:pStyle w:val="a0"/>
        <w:rPr>
          <w:lang w:eastAsia="ru-RU"/>
        </w:rPr>
      </w:pPr>
      <w:r>
        <w:rPr>
          <w:lang w:eastAsia="ru-RU"/>
        </w:rPr>
        <w:t>Изменение собственного капитала компании в 2016-2019 годы</w:t>
      </w:r>
    </w:p>
    <w:tbl>
      <w:tblPr>
        <w:tblW w:w="8148" w:type="dxa"/>
        <w:jc w:val="center"/>
        <w:tblLook w:val="04A0" w:firstRow="1" w:lastRow="0" w:firstColumn="1" w:lastColumn="0" w:noHBand="0" w:noVBand="1"/>
      </w:tblPr>
      <w:tblGrid>
        <w:gridCol w:w="3045"/>
        <w:gridCol w:w="1275"/>
        <w:gridCol w:w="1303"/>
        <w:gridCol w:w="1249"/>
        <w:gridCol w:w="1276"/>
      </w:tblGrid>
      <w:tr w:rsidR="00A557E8" w:rsidRPr="00A557E8" w14:paraId="12358B46" w14:textId="77777777" w:rsidTr="00780951">
        <w:trPr>
          <w:trHeight w:val="290"/>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7877A" w14:textId="77777777" w:rsidR="00A557E8" w:rsidRPr="00A557E8" w:rsidRDefault="00A557E8" w:rsidP="00A557E8">
            <w:pPr>
              <w:spacing w:after="0" w:line="240" w:lineRule="auto"/>
              <w:ind w:firstLine="0"/>
              <w:jc w:val="left"/>
              <w:rPr>
                <w:rFonts w:eastAsia="Times New Roman" w:cs="Times New Roman"/>
                <w:b/>
                <w:bCs/>
                <w:color w:val="000000"/>
                <w:sz w:val="22"/>
                <w:lang w:eastAsia="ru-RU"/>
              </w:rPr>
            </w:pPr>
            <w:r w:rsidRPr="00A557E8">
              <w:rPr>
                <w:rFonts w:eastAsia="Times New Roman" w:cs="Times New Roman"/>
                <w:b/>
                <w:bCs/>
                <w:color w:val="000000"/>
                <w:sz w:val="22"/>
                <w:lang w:eastAsia="ru-RU"/>
              </w:rPr>
              <w:t>Период</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525AB" w14:textId="77777777" w:rsidR="00A557E8" w:rsidRPr="00A557E8" w:rsidRDefault="00A557E8" w:rsidP="00A557E8">
            <w:pPr>
              <w:spacing w:after="0" w:line="240" w:lineRule="auto"/>
              <w:ind w:firstLine="0"/>
              <w:jc w:val="right"/>
              <w:rPr>
                <w:rFonts w:eastAsia="Times New Roman" w:cs="Times New Roman"/>
                <w:b/>
                <w:bCs/>
                <w:color w:val="000000"/>
                <w:sz w:val="22"/>
                <w:lang w:eastAsia="ru-RU"/>
              </w:rPr>
            </w:pPr>
            <w:r w:rsidRPr="00A557E8">
              <w:rPr>
                <w:rFonts w:eastAsia="Times New Roman" w:cs="Times New Roman"/>
                <w:b/>
                <w:bCs/>
                <w:color w:val="000000"/>
                <w:sz w:val="22"/>
                <w:lang w:eastAsia="ru-RU"/>
              </w:rPr>
              <w:t>2016</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2672DC80" w14:textId="77777777" w:rsidR="00A557E8" w:rsidRPr="00A557E8" w:rsidRDefault="00A557E8" w:rsidP="00A557E8">
            <w:pPr>
              <w:spacing w:after="0" w:line="240" w:lineRule="auto"/>
              <w:ind w:firstLine="0"/>
              <w:jc w:val="right"/>
              <w:rPr>
                <w:rFonts w:eastAsia="Times New Roman" w:cs="Times New Roman"/>
                <w:b/>
                <w:bCs/>
                <w:color w:val="000000"/>
                <w:sz w:val="22"/>
                <w:lang w:eastAsia="ru-RU"/>
              </w:rPr>
            </w:pPr>
            <w:r w:rsidRPr="00A557E8">
              <w:rPr>
                <w:rFonts w:eastAsia="Times New Roman" w:cs="Times New Roman"/>
                <w:b/>
                <w:bCs/>
                <w:color w:val="000000"/>
                <w:sz w:val="22"/>
                <w:lang w:eastAsia="ru-RU"/>
              </w:rPr>
              <w:t>2017</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F81EA00" w14:textId="77777777" w:rsidR="00A557E8" w:rsidRPr="00A557E8" w:rsidRDefault="00A557E8" w:rsidP="00A557E8">
            <w:pPr>
              <w:spacing w:after="0" w:line="240" w:lineRule="auto"/>
              <w:ind w:firstLine="0"/>
              <w:jc w:val="right"/>
              <w:rPr>
                <w:rFonts w:eastAsia="Times New Roman" w:cs="Times New Roman"/>
                <w:b/>
                <w:bCs/>
                <w:color w:val="000000"/>
                <w:sz w:val="22"/>
                <w:lang w:eastAsia="ru-RU"/>
              </w:rPr>
            </w:pPr>
            <w:r w:rsidRPr="00A557E8">
              <w:rPr>
                <w:rFonts w:eastAsia="Times New Roman" w:cs="Times New Roman"/>
                <w:b/>
                <w:bCs/>
                <w:color w:val="000000"/>
                <w:sz w:val="22"/>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FAD120" w14:textId="77777777" w:rsidR="00A557E8" w:rsidRPr="00A557E8" w:rsidRDefault="00A557E8" w:rsidP="00A557E8">
            <w:pPr>
              <w:spacing w:after="0" w:line="240" w:lineRule="auto"/>
              <w:ind w:firstLine="0"/>
              <w:jc w:val="right"/>
              <w:rPr>
                <w:rFonts w:eastAsia="Times New Roman" w:cs="Times New Roman"/>
                <w:b/>
                <w:bCs/>
                <w:color w:val="000000"/>
                <w:sz w:val="22"/>
                <w:lang w:eastAsia="ru-RU"/>
              </w:rPr>
            </w:pPr>
            <w:r w:rsidRPr="00A557E8">
              <w:rPr>
                <w:rFonts w:eastAsia="Times New Roman" w:cs="Times New Roman"/>
                <w:b/>
                <w:bCs/>
                <w:color w:val="000000"/>
                <w:sz w:val="22"/>
                <w:lang w:eastAsia="ru-RU"/>
              </w:rPr>
              <w:t>2019</w:t>
            </w:r>
          </w:p>
        </w:tc>
      </w:tr>
      <w:tr w:rsidR="00A557E8" w:rsidRPr="00A557E8" w14:paraId="3E19F70A" w14:textId="77777777" w:rsidTr="00780951">
        <w:trPr>
          <w:trHeight w:val="210"/>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CBD52" w14:textId="77777777" w:rsidR="00A557E8" w:rsidRPr="00A557E8" w:rsidRDefault="00A557E8" w:rsidP="00780951">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Акционерный капитал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7B1CD"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12 473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1B1CFC76"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12 473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420DFF6D"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12 473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0CDA28"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12 473 </w:t>
            </w:r>
          </w:p>
        </w:tc>
      </w:tr>
      <w:tr w:rsidR="00A557E8" w:rsidRPr="00A557E8" w14:paraId="713C93AC" w14:textId="77777777" w:rsidTr="00780951">
        <w:trPr>
          <w:trHeight w:val="244"/>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7118E" w14:textId="77777777" w:rsidR="00A557E8" w:rsidRPr="00A557E8" w:rsidRDefault="00A557E8" w:rsidP="00780951">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Добавочный капитал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D91CAC"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10 431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122DD325"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10 431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309F20F"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10 431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97E518"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10 431 </w:t>
            </w:r>
          </w:p>
        </w:tc>
      </w:tr>
      <w:tr w:rsidR="00A557E8" w:rsidRPr="00A557E8" w14:paraId="5905040E" w14:textId="77777777" w:rsidTr="00780951">
        <w:trPr>
          <w:trHeight w:val="290"/>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A290B" w14:textId="77777777" w:rsidR="00A557E8" w:rsidRPr="00A557E8" w:rsidRDefault="00A557E8" w:rsidP="00780951">
            <w:pPr>
              <w:spacing w:after="0" w:line="240" w:lineRule="auto"/>
              <w:ind w:firstLine="0"/>
              <w:jc w:val="left"/>
              <w:rPr>
                <w:rFonts w:eastAsia="Times New Roman" w:cs="Times New Roman"/>
                <w:color w:val="000000"/>
                <w:sz w:val="22"/>
                <w:lang w:eastAsia="ru-RU"/>
              </w:rPr>
            </w:pPr>
            <w:r w:rsidRPr="00A557E8">
              <w:rPr>
                <w:rFonts w:eastAsia="Times New Roman" w:cs="Times New Roman"/>
                <w:color w:val="000000"/>
                <w:sz w:val="22"/>
                <w:lang w:eastAsia="ru-RU"/>
              </w:rPr>
              <w:t xml:space="preserve"> Нераспределенная прибыль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0552B5"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234 298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724296B5"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243 921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F9C9D5A"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224 976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4D92C9"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230 737 </w:t>
            </w:r>
          </w:p>
        </w:tc>
      </w:tr>
      <w:tr w:rsidR="00A557E8" w:rsidRPr="00A557E8" w14:paraId="6D3B1233" w14:textId="77777777" w:rsidTr="00780951">
        <w:trPr>
          <w:trHeight w:val="290"/>
          <w:jc w:val="center"/>
        </w:trPr>
        <w:tc>
          <w:tcPr>
            <w:tcW w:w="3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8187" w14:textId="77777777" w:rsidR="00A557E8" w:rsidRPr="00A557E8" w:rsidRDefault="00A557E8" w:rsidP="00780951">
            <w:pPr>
              <w:spacing w:after="0" w:line="240" w:lineRule="auto"/>
              <w:ind w:firstLine="0"/>
              <w:jc w:val="left"/>
              <w:rPr>
                <w:rFonts w:eastAsia="Times New Roman" w:cs="Times New Roman"/>
                <w:b/>
                <w:bCs/>
                <w:color w:val="000000"/>
                <w:sz w:val="22"/>
                <w:lang w:eastAsia="ru-RU"/>
              </w:rPr>
            </w:pPr>
            <w:r w:rsidRPr="00A557E8">
              <w:rPr>
                <w:rFonts w:eastAsia="Times New Roman" w:cs="Times New Roman"/>
                <w:color w:val="000000"/>
                <w:sz w:val="22"/>
                <w:lang w:eastAsia="ru-RU"/>
              </w:rPr>
              <w:t xml:space="preserve"> </w:t>
            </w:r>
            <w:r w:rsidRPr="00A557E8">
              <w:rPr>
                <w:rFonts w:eastAsia="Times New Roman" w:cs="Times New Roman"/>
                <w:b/>
                <w:bCs/>
                <w:color w:val="000000"/>
                <w:sz w:val="22"/>
                <w:lang w:eastAsia="ru-RU"/>
              </w:rPr>
              <w:t xml:space="preserve">Собственный капитал компании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6AD5DC"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257 202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5D9B2D24"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266 825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251F9E37"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247 880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05592E" w14:textId="77777777" w:rsidR="00A557E8" w:rsidRPr="00A557E8" w:rsidRDefault="00A557E8" w:rsidP="00780951">
            <w:pPr>
              <w:spacing w:after="0" w:line="240" w:lineRule="auto"/>
              <w:ind w:firstLine="0"/>
              <w:jc w:val="right"/>
              <w:rPr>
                <w:rFonts w:eastAsia="Times New Roman" w:cs="Times New Roman"/>
                <w:color w:val="000000"/>
                <w:sz w:val="22"/>
                <w:lang w:eastAsia="ru-RU"/>
              </w:rPr>
            </w:pPr>
            <w:r w:rsidRPr="00A557E8">
              <w:rPr>
                <w:rFonts w:eastAsia="Times New Roman" w:cs="Times New Roman"/>
                <w:color w:val="000000"/>
                <w:sz w:val="22"/>
                <w:lang w:eastAsia="ru-RU"/>
              </w:rPr>
              <w:t xml:space="preserve">    253 641 </w:t>
            </w:r>
          </w:p>
        </w:tc>
      </w:tr>
    </w:tbl>
    <w:p w14:paraId="37DC6876" w14:textId="2BEB083D" w:rsidR="00A557E8" w:rsidRDefault="00A557E8" w:rsidP="00780951">
      <w:pPr>
        <w:pStyle w:val="a"/>
        <w:numPr>
          <w:ilvl w:val="0"/>
          <w:numId w:val="0"/>
        </w:numPr>
        <w:spacing w:before="0" w:line="240" w:lineRule="auto"/>
        <w:ind w:left="567"/>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Алроса</w:t>
      </w:r>
      <w:r w:rsidRPr="008C0B4F">
        <w:rPr>
          <w:lang w:eastAsia="ru-RU"/>
        </w:rPr>
        <w:t>]</w:t>
      </w:r>
    </w:p>
    <w:p w14:paraId="72A7CCAC" w14:textId="1A37B853" w:rsidR="006D2917" w:rsidRDefault="003D787F" w:rsidP="00B44EB0">
      <w:pPr>
        <w:rPr>
          <w:lang w:eastAsia="ru-RU"/>
        </w:rPr>
      </w:pPr>
      <w:r>
        <w:rPr>
          <w:lang w:eastAsia="ru-RU"/>
        </w:rPr>
        <w:lastRenderedPageBreak/>
        <w:t>Коэффициенты ликвидности в 2017 году снизились, по сравнению с 2016 годом, причиной является увеличение краткосрочных обязательств (краткосрочные кредиты в 2016 году составляли 666</w:t>
      </w:r>
      <w:r w:rsidR="00A15C1B">
        <w:rPr>
          <w:lang w:eastAsia="ru-RU"/>
        </w:rPr>
        <w:t xml:space="preserve"> млн рублей, а в 2017 году — 34 миллиарда рублей). В дальнейшем уровень краткосрочных кредитов и займов была в диапазоне 35 миллиардом рублей. Величина коэффициента быстрой ликвидности в 2018 и 2019 году оставалась постоянной, а значение показателя текущей и абсолютной ликвидности выросло. Оборотные активы суммарно увеличились, при этом денежные средства снизились на 10 миллиардов рублей, компенсируя которые, краткосрочные финансовые вложения увеличились на ту же сумму. </w:t>
      </w:r>
    </w:p>
    <w:p w14:paraId="5AECF6E0" w14:textId="4346777F" w:rsidR="00E97753" w:rsidRDefault="00E97753" w:rsidP="00E97753">
      <w:pPr>
        <w:pStyle w:val="a0"/>
        <w:rPr>
          <w:lang w:eastAsia="ru-RU"/>
        </w:rPr>
      </w:pPr>
      <w:r w:rsidRPr="007E423F">
        <w:rPr>
          <w:lang w:eastAsia="ru-RU"/>
        </w:rPr>
        <w:t xml:space="preserve">Значения коэффициентов ликвидности </w:t>
      </w:r>
      <w:r>
        <w:rPr>
          <w:lang w:eastAsia="ru-RU"/>
        </w:rPr>
        <w:t xml:space="preserve">Алроса </w:t>
      </w:r>
      <w:r w:rsidRPr="007E423F">
        <w:rPr>
          <w:lang w:eastAsia="ru-RU"/>
        </w:rPr>
        <w:t>в 201</w:t>
      </w:r>
      <w:r>
        <w:rPr>
          <w:lang w:eastAsia="ru-RU"/>
        </w:rPr>
        <w:t>6</w:t>
      </w:r>
      <w:r w:rsidRPr="007E423F">
        <w:rPr>
          <w:lang w:eastAsia="ru-RU"/>
        </w:rPr>
        <w:t>-201</w:t>
      </w:r>
      <w:r>
        <w:rPr>
          <w:lang w:eastAsia="ru-RU"/>
        </w:rPr>
        <w:t>9</w:t>
      </w:r>
      <w:r w:rsidRPr="007E423F">
        <w:rPr>
          <w:lang w:eastAsia="ru-RU"/>
        </w:rPr>
        <w:t xml:space="preserve"> годах</w:t>
      </w:r>
    </w:p>
    <w:tbl>
      <w:tblPr>
        <w:tblW w:w="7700" w:type="dxa"/>
        <w:jc w:val="center"/>
        <w:tblLook w:val="04A0" w:firstRow="1" w:lastRow="0" w:firstColumn="1" w:lastColumn="0" w:noHBand="0" w:noVBand="1"/>
      </w:tblPr>
      <w:tblGrid>
        <w:gridCol w:w="3860"/>
        <w:gridCol w:w="960"/>
        <w:gridCol w:w="960"/>
        <w:gridCol w:w="960"/>
        <w:gridCol w:w="960"/>
      </w:tblGrid>
      <w:tr w:rsidR="00E97753" w:rsidRPr="00E97753" w14:paraId="696375D7" w14:textId="77777777" w:rsidTr="00E97753">
        <w:trPr>
          <w:trHeight w:val="470"/>
          <w:jc w:val="center"/>
        </w:trPr>
        <w:tc>
          <w:tcPr>
            <w:tcW w:w="3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B737C69" w14:textId="77777777" w:rsidR="00E97753" w:rsidRPr="00E97753" w:rsidRDefault="00E97753" w:rsidP="00E97753">
            <w:pPr>
              <w:spacing w:after="0" w:line="480" w:lineRule="auto"/>
              <w:ind w:firstLine="0"/>
              <w:jc w:val="center"/>
              <w:rPr>
                <w:rFonts w:eastAsia="Times New Roman" w:cs="Times New Roman"/>
                <w:b/>
                <w:bCs/>
                <w:color w:val="000000"/>
                <w:sz w:val="22"/>
                <w:lang w:eastAsia="ru-RU"/>
              </w:rPr>
            </w:pPr>
            <w:r w:rsidRPr="00E97753">
              <w:rPr>
                <w:rFonts w:eastAsia="Times New Roman" w:cs="Times New Roman"/>
                <w:b/>
                <w:bCs/>
                <w:color w:val="000000"/>
                <w:sz w:val="22"/>
                <w:lang w:eastAsia="ru-RU"/>
              </w:rPr>
              <w:t>Коэффициенты ликвидности</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78B278" w14:textId="77777777" w:rsidR="00E97753" w:rsidRPr="00E97753" w:rsidRDefault="00E97753" w:rsidP="00E97753">
            <w:pPr>
              <w:spacing w:after="0" w:line="240" w:lineRule="auto"/>
              <w:ind w:firstLine="0"/>
              <w:jc w:val="center"/>
              <w:rPr>
                <w:rFonts w:eastAsia="Times New Roman" w:cs="Times New Roman"/>
                <w:b/>
                <w:bCs/>
                <w:color w:val="000000"/>
                <w:sz w:val="22"/>
                <w:lang w:eastAsia="ru-RU"/>
              </w:rPr>
            </w:pPr>
            <w:r w:rsidRPr="00E97753">
              <w:rPr>
                <w:rFonts w:eastAsia="Times New Roman" w:cs="Times New Roman"/>
                <w:b/>
                <w:bCs/>
                <w:color w:val="000000"/>
                <w:sz w:val="22"/>
                <w:lang w:eastAsia="ru-RU"/>
              </w:rPr>
              <w:t>Значение коэффициентов ликвидности</w:t>
            </w:r>
          </w:p>
        </w:tc>
      </w:tr>
      <w:tr w:rsidR="00E97753" w:rsidRPr="00E97753" w14:paraId="6C5F9676" w14:textId="77777777" w:rsidTr="00E97753">
        <w:trPr>
          <w:trHeight w:val="470"/>
          <w:jc w:val="center"/>
        </w:trPr>
        <w:tc>
          <w:tcPr>
            <w:tcW w:w="3860" w:type="dxa"/>
            <w:vMerge/>
            <w:tcBorders>
              <w:top w:val="single" w:sz="4" w:space="0" w:color="auto"/>
              <w:left w:val="single" w:sz="4" w:space="0" w:color="auto"/>
              <w:bottom w:val="single" w:sz="4" w:space="0" w:color="auto"/>
              <w:right w:val="single" w:sz="4" w:space="0" w:color="auto"/>
            </w:tcBorders>
            <w:vAlign w:val="center"/>
            <w:hideMark/>
          </w:tcPr>
          <w:p w14:paraId="27ACA78D" w14:textId="77777777" w:rsidR="00E97753" w:rsidRPr="00E97753" w:rsidRDefault="00E97753" w:rsidP="00E97753">
            <w:pPr>
              <w:spacing w:after="0" w:line="240" w:lineRule="auto"/>
              <w:ind w:firstLine="0"/>
              <w:jc w:val="left"/>
              <w:rPr>
                <w:rFonts w:eastAsia="Times New Roman" w:cs="Times New Roman"/>
                <w:color w:val="000000"/>
                <w:sz w:val="22"/>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14:paraId="25A49C06" w14:textId="77777777" w:rsidR="00E97753" w:rsidRPr="00E97753" w:rsidRDefault="00E97753" w:rsidP="00E97753">
            <w:pPr>
              <w:spacing w:after="0" w:line="240" w:lineRule="auto"/>
              <w:ind w:firstLine="0"/>
              <w:jc w:val="right"/>
              <w:rPr>
                <w:rFonts w:eastAsia="Times New Roman" w:cs="Times New Roman"/>
                <w:b/>
                <w:bCs/>
                <w:color w:val="000000"/>
                <w:sz w:val="22"/>
                <w:lang w:eastAsia="ru-RU"/>
              </w:rPr>
            </w:pPr>
            <w:r w:rsidRPr="00E97753">
              <w:rPr>
                <w:rFonts w:eastAsia="Times New Roman" w:cs="Times New Roman"/>
                <w:b/>
                <w:bCs/>
                <w:color w:val="000000"/>
                <w:sz w:val="22"/>
                <w:lang w:eastAsia="ru-RU"/>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370256D1" w14:textId="77777777" w:rsidR="00E97753" w:rsidRPr="00E97753" w:rsidRDefault="00E97753" w:rsidP="00E97753">
            <w:pPr>
              <w:spacing w:after="0" w:line="240" w:lineRule="auto"/>
              <w:ind w:firstLine="0"/>
              <w:jc w:val="right"/>
              <w:rPr>
                <w:rFonts w:eastAsia="Times New Roman" w:cs="Times New Roman"/>
                <w:b/>
                <w:bCs/>
                <w:color w:val="000000"/>
                <w:sz w:val="22"/>
                <w:lang w:eastAsia="ru-RU"/>
              </w:rPr>
            </w:pPr>
            <w:r w:rsidRPr="00E97753">
              <w:rPr>
                <w:rFonts w:eastAsia="Times New Roman" w:cs="Times New Roman"/>
                <w:b/>
                <w:bCs/>
                <w:color w:val="000000"/>
                <w:sz w:val="22"/>
                <w:lang w:eastAsia="ru-RU"/>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6FC95216" w14:textId="77777777" w:rsidR="00E97753" w:rsidRPr="00E97753" w:rsidRDefault="00E97753" w:rsidP="00E97753">
            <w:pPr>
              <w:spacing w:after="0" w:line="240" w:lineRule="auto"/>
              <w:ind w:firstLine="0"/>
              <w:jc w:val="right"/>
              <w:rPr>
                <w:rFonts w:eastAsia="Times New Roman" w:cs="Times New Roman"/>
                <w:b/>
                <w:bCs/>
                <w:color w:val="000000"/>
                <w:sz w:val="22"/>
                <w:lang w:eastAsia="ru-RU"/>
              </w:rPr>
            </w:pPr>
            <w:r w:rsidRPr="00E97753">
              <w:rPr>
                <w:rFonts w:eastAsia="Times New Roman" w:cs="Times New Roman"/>
                <w:b/>
                <w:bCs/>
                <w:color w:val="000000"/>
                <w:sz w:val="22"/>
                <w:lang w:eastAsia="ru-RU"/>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195EFEBF" w14:textId="77777777" w:rsidR="00E97753" w:rsidRPr="00E97753" w:rsidRDefault="00E97753" w:rsidP="00E97753">
            <w:pPr>
              <w:spacing w:after="0" w:line="240" w:lineRule="auto"/>
              <w:ind w:firstLine="0"/>
              <w:jc w:val="right"/>
              <w:rPr>
                <w:rFonts w:eastAsia="Times New Roman" w:cs="Times New Roman"/>
                <w:b/>
                <w:bCs/>
                <w:color w:val="000000"/>
                <w:sz w:val="22"/>
                <w:lang w:eastAsia="ru-RU"/>
              </w:rPr>
            </w:pPr>
            <w:r w:rsidRPr="00E97753">
              <w:rPr>
                <w:rFonts w:eastAsia="Times New Roman" w:cs="Times New Roman"/>
                <w:b/>
                <w:bCs/>
                <w:color w:val="000000"/>
                <w:sz w:val="22"/>
                <w:lang w:eastAsia="ru-RU"/>
              </w:rPr>
              <w:t>2019</w:t>
            </w:r>
          </w:p>
        </w:tc>
      </w:tr>
      <w:tr w:rsidR="00E97753" w:rsidRPr="00E97753" w14:paraId="1ED72FA0" w14:textId="77777777" w:rsidTr="00780951">
        <w:trPr>
          <w:trHeight w:val="362"/>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2A1C2C19" w14:textId="77777777" w:rsidR="00E97753" w:rsidRPr="00E97753" w:rsidRDefault="00E97753" w:rsidP="00E97753">
            <w:pPr>
              <w:spacing w:after="0" w:line="240" w:lineRule="auto"/>
              <w:ind w:firstLine="0"/>
              <w:jc w:val="left"/>
              <w:rPr>
                <w:rFonts w:eastAsia="Times New Roman" w:cs="Times New Roman"/>
                <w:color w:val="000000"/>
                <w:sz w:val="22"/>
                <w:lang w:eastAsia="ru-RU"/>
              </w:rPr>
            </w:pPr>
            <w:r w:rsidRPr="00E97753">
              <w:rPr>
                <w:rFonts w:eastAsia="Times New Roman" w:cs="Times New Roman"/>
                <w:color w:val="000000"/>
                <w:sz w:val="22"/>
                <w:lang w:eastAsia="ru-RU"/>
              </w:rPr>
              <w:t>Коэффициент текущей ликвидности</w:t>
            </w:r>
          </w:p>
        </w:tc>
        <w:tc>
          <w:tcPr>
            <w:tcW w:w="960" w:type="dxa"/>
            <w:tcBorders>
              <w:top w:val="nil"/>
              <w:left w:val="nil"/>
              <w:bottom w:val="single" w:sz="4" w:space="0" w:color="auto"/>
              <w:right w:val="single" w:sz="4" w:space="0" w:color="auto"/>
            </w:tcBorders>
            <w:shd w:val="clear" w:color="auto" w:fill="auto"/>
            <w:noWrap/>
            <w:vAlign w:val="bottom"/>
            <w:hideMark/>
          </w:tcPr>
          <w:p w14:paraId="15D47F0B"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4,75</w:t>
            </w:r>
          </w:p>
        </w:tc>
        <w:tc>
          <w:tcPr>
            <w:tcW w:w="960" w:type="dxa"/>
            <w:tcBorders>
              <w:top w:val="nil"/>
              <w:left w:val="nil"/>
              <w:bottom w:val="single" w:sz="4" w:space="0" w:color="auto"/>
              <w:right w:val="single" w:sz="4" w:space="0" w:color="auto"/>
            </w:tcBorders>
            <w:shd w:val="clear" w:color="auto" w:fill="auto"/>
            <w:noWrap/>
            <w:vAlign w:val="bottom"/>
            <w:hideMark/>
          </w:tcPr>
          <w:p w14:paraId="141A992C"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2,23</w:t>
            </w:r>
          </w:p>
        </w:tc>
        <w:tc>
          <w:tcPr>
            <w:tcW w:w="960" w:type="dxa"/>
            <w:tcBorders>
              <w:top w:val="nil"/>
              <w:left w:val="nil"/>
              <w:bottom w:val="single" w:sz="4" w:space="0" w:color="auto"/>
              <w:right w:val="single" w:sz="4" w:space="0" w:color="auto"/>
            </w:tcBorders>
            <w:shd w:val="clear" w:color="auto" w:fill="auto"/>
            <w:noWrap/>
            <w:vAlign w:val="bottom"/>
            <w:hideMark/>
          </w:tcPr>
          <w:p w14:paraId="5B72EE19"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2,07</w:t>
            </w:r>
          </w:p>
        </w:tc>
        <w:tc>
          <w:tcPr>
            <w:tcW w:w="960" w:type="dxa"/>
            <w:tcBorders>
              <w:top w:val="nil"/>
              <w:left w:val="nil"/>
              <w:bottom w:val="single" w:sz="4" w:space="0" w:color="auto"/>
              <w:right w:val="single" w:sz="4" w:space="0" w:color="auto"/>
            </w:tcBorders>
            <w:shd w:val="clear" w:color="auto" w:fill="auto"/>
            <w:noWrap/>
            <w:vAlign w:val="bottom"/>
            <w:hideMark/>
          </w:tcPr>
          <w:p w14:paraId="63250900"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2,78</w:t>
            </w:r>
          </w:p>
        </w:tc>
      </w:tr>
      <w:tr w:rsidR="00E97753" w:rsidRPr="00E97753" w14:paraId="03BEDDD8" w14:textId="77777777" w:rsidTr="00E97753">
        <w:trPr>
          <w:trHeight w:val="38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404AD2CF" w14:textId="77777777" w:rsidR="00E97753" w:rsidRPr="00E97753" w:rsidRDefault="00E97753" w:rsidP="00E97753">
            <w:pPr>
              <w:spacing w:after="0" w:line="240" w:lineRule="auto"/>
              <w:ind w:firstLine="0"/>
              <w:jc w:val="left"/>
              <w:rPr>
                <w:rFonts w:eastAsia="Times New Roman" w:cs="Times New Roman"/>
                <w:color w:val="000000"/>
                <w:sz w:val="22"/>
                <w:lang w:eastAsia="ru-RU"/>
              </w:rPr>
            </w:pPr>
            <w:r w:rsidRPr="00E97753">
              <w:rPr>
                <w:rFonts w:eastAsia="Times New Roman" w:cs="Times New Roman"/>
                <w:color w:val="000000"/>
                <w:sz w:val="22"/>
                <w:lang w:eastAsia="ru-RU"/>
              </w:rPr>
              <w:t>Коэффициент быстрой ликвидности</w:t>
            </w:r>
          </w:p>
        </w:tc>
        <w:tc>
          <w:tcPr>
            <w:tcW w:w="960" w:type="dxa"/>
            <w:tcBorders>
              <w:top w:val="nil"/>
              <w:left w:val="nil"/>
              <w:bottom w:val="single" w:sz="4" w:space="0" w:color="auto"/>
              <w:right w:val="single" w:sz="4" w:space="0" w:color="auto"/>
            </w:tcBorders>
            <w:shd w:val="clear" w:color="auto" w:fill="auto"/>
            <w:noWrap/>
            <w:vAlign w:val="bottom"/>
            <w:hideMark/>
          </w:tcPr>
          <w:p w14:paraId="11862632"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2,04</w:t>
            </w:r>
          </w:p>
        </w:tc>
        <w:tc>
          <w:tcPr>
            <w:tcW w:w="960" w:type="dxa"/>
            <w:tcBorders>
              <w:top w:val="nil"/>
              <w:left w:val="nil"/>
              <w:bottom w:val="single" w:sz="4" w:space="0" w:color="auto"/>
              <w:right w:val="single" w:sz="4" w:space="0" w:color="auto"/>
            </w:tcBorders>
            <w:shd w:val="clear" w:color="auto" w:fill="auto"/>
            <w:noWrap/>
            <w:vAlign w:val="bottom"/>
            <w:hideMark/>
          </w:tcPr>
          <w:p w14:paraId="6273FB38"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0,49</w:t>
            </w:r>
          </w:p>
        </w:tc>
        <w:tc>
          <w:tcPr>
            <w:tcW w:w="960" w:type="dxa"/>
            <w:tcBorders>
              <w:top w:val="nil"/>
              <w:left w:val="nil"/>
              <w:bottom w:val="single" w:sz="4" w:space="0" w:color="auto"/>
              <w:right w:val="single" w:sz="4" w:space="0" w:color="auto"/>
            </w:tcBorders>
            <w:shd w:val="clear" w:color="auto" w:fill="auto"/>
            <w:noWrap/>
            <w:vAlign w:val="bottom"/>
            <w:hideMark/>
          </w:tcPr>
          <w:p w14:paraId="16796FE2"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0,82</w:t>
            </w:r>
          </w:p>
        </w:tc>
        <w:tc>
          <w:tcPr>
            <w:tcW w:w="960" w:type="dxa"/>
            <w:tcBorders>
              <w:top w:val="nil"/>
              <w:left w:val="nil"/>
              <w:bottom w:val="single" w:sz="4" w:space="0" w:color="auto"/>
              <w:right w:val="single" w:sz="4" w:space="0" w:color="auto"/>
            </w:tcBorders>
            <w:shd w:val="clear" w:color="auto" w:fill="auto"/>
            <w:noWrap/>
            <w:vAlign w:val="bottom"/>
            <w:hideMark/>
          </w:tcPr>
          <w:p w14:paraId="4BC5F117"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0,82</w:t>
            </w:r>
          </w:p>
        </w:tc>
      </w:tr>
      <w:tr w:rsidR="00E97753" w:rsidRPr="00E97753" w14:paraId="17EF67B6" w14:textId="77777777" w:rsidTr="00E97753">
        <w:trPr>
          <w:trHeight w:val="47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14:paraId="4C515CD1" w14:textId="77777777" w:rsidR="00E97753" w:rsidRPr="00E97753" w:rsidRDefault="00E97753" w:rsidP="00E97753">
            <w:pPr>
              <w:spacing w:after="0" w:line="240" w:lineRule="auto"/>
              <w:ind w:firstLine="0"/>
              <w:jc w:val="left"/>
              <w:rPr>
                <w:rFonts w:eastAsia="Times New Roman" w:cs="Times New Roman"/>
                <w:color w:val="000000"/>
                <w:sz w:val="22"/>
                <w:lang w:eastAsia="ru-RU"/>
              </w:rPr>
            </w:pPr>
            <w:r w:rsidRPr="00E97753">
              <w:rPr>
                <w:rFonts w:eastAsia="Times New Roman" w:cs="Times New Roman"/>
                <w:color w:val="000000"/>
                <w:sz w:val="22"/>
                <w:lang w:eastAsia="ru-RU"/>
              </w:rPr>
              <w:t>Коэффициент абсолютной ликвидности</w:t>
            </w:r>
          </w:p>
        </w:tc>
        <w:tc>
          <w:tcPr>
            <w:tcW w:w="960" w:type="dxa"/>
            <w:tcBorders>
              <w:top w:val="nil"/>
              <w:left w:val="nil"/>
              <w:bottom w:val="single" w:sz="4" w:space="0" w:color="auto"/>
              <w:right w:val="single" w:sz="4" w:space="0" w:color="auto"/>
            </w:tcBorders>
            <w:shd w:val="clear" w:color="auto" w:fill="auto"/>
            <w:noWrap/>
            <w:vAlign w:val="bottom"/>
            <w:hideMark/>
          </w:tcPr>
          <w:p w14:paraId="6862A45A"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1,62</w:t>
            </w:r>
          </w:p>
        </w:tc>
        <w:tc>
          <w:tcPr>
            <w:tcW w:w="960" w:type="dxa"/>
            <w:tcBorders>
              <w:top w:val="nil"/>
              <w:left w:val="nil"/>
              <w:bottom w:val="single" w:sz="4" w:space="0" w:color="auto"/>
              <w:right w:val="single" w:sz="4" w:space="0" w:color="auto"/>
            </w:tcBorders>
            <w:shd w:val="clear" w:color="auto" w:fill="auto"/>
            <w:noWrap/>
            <w:vAlign w:val="bottom"/>
            <w:hideMark/>
          </w:tcPr>
          <w:p w14:paraId="2B47F626"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0,10</w:t>
            </w:r>
          </w:p>
        </w:tc>
        <w:tc>
          <w:tcPr>
            <w:tcW w:w="960" w:type="dxa"/>
            <w:tcBorders>
              <w:top w:val="nil"/>
              <w:left w:val="nil"/>
              <w:bottom w:val="single" w:sz="4" w:space="0" w:color="auto"/>
              <w:right w:val="single" w:sz="4" w:space="0" w:color="auto"/>
            </w:tcBorders>
            <w:shd w:val="clear" w:color="auto" w:fill="auto"/>
            <w:noWrap/>
            <w:vAlign w:val="bottom"/>
            <w:hideMark/>
          </w:tcPr>
          <w:p w14:paraId="02BAE766"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0,53</w:t>
            </w:r>
          </w:p>
        </w:tc>
        <w:tc>
          <w:tcPr>
            <w:tcW w:w="960" w:type="dxa"/>
            <w:tcBorders>
              <w:top w:val="nil"/>
              <w:left w:val="nil"/>
              <w:bottom w:val="single" w:sz="4" w:space="0" w:color="auto"/>
              <w:right w:val="single" w:sz="4" w:space="0" w:color="auto"/>
            </w:tcBorders>
            <w:shd w:val="clear" w:color="auto" w:fill="auto"/>
            <w:noWrap/>
            <w:vAlign w:val="bottom"/>
            <w:hideMark/>
          </w:tcPr>
          <w:p w14:paraId="574BF47E" w14:textId="77777777" w:rsidR="00E97753" w:rsidRPr="00E97753" w:rsidRDefault="00E97753" w:rsidP="00E97753">
            <w:pPr>
              <w:spacing w:after="0" w:line="240" w:lineRule="auto"/>
              <w:ind w:firstLine="0"/>
              <w:jc w:val="right"/>
              <w:rPr>
                <w:rFonts w:eastAsia="Times New Roman" w:cs="Times New Roman"/>
                <w:color w:val="000000"/>
                <w:sz w:val="22"/>
                <w:lang w:eastAsia="ru-RU"/>
              </w:rPr>
            </w:pPr>
            <w:r w:rsidRPr="00E97753">
              <w:rPr>
                <w:rFonts w:eastAsia="Times New Roman" w:cs="Times New Roman"/>
                <w:color w:val="000000"/>
                <w:sz w:val="22"/>
                <w:lang w:eastAsia="ru-RU"/>
              </w:rPr>
              <w:t>0,59</w:t>
            </w:r>
          </w:p>
        </w:tc>
      </w:tr>
    </w:tbl>
    <w:p w14:paraId="21194578" w14:textId="1EA0340A" w:rsidR="00A557E8" w:rsidRDefault="00E97753" w:rsidP="00E97753">
      <w:pPr>
        <w:pStyle w:val="a"/>
        <w:numPr>
          <w:ilvl w:val="0"/>
          <w:numId w:val="0"/>
        </w:numPr>
        <w:spacing w:before="0" w:line="240" w:lineRule="auto"/>
        <w:ind w:left="851"/>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Алроса</w:t>
      </w:r>
      <w:r w:rsidRPr="008C0B4F">
        <w:rPr>
          <w:lang w:eastAsia="ru-RU"/>
        </w:rPr>
        <w:t>]</w:t>
      </w:r>
    </w:p>
    <w:p w14:paraId="02F938D5" w14:textId="635DD688" w:rsidR="00B44EB0" w:rsidRPr="00B21C8D" w:rsidRDefault="00B44EB0" w:rsidP="0075049D">
      <w:pPr>
        <w:rPr>
          <w:lang w:eastAsia="ru-RU"/>
        </w:rPr>
      </w:pPr>
      <w:r>
        <w:rPr>
          <w:lang w:eastAsia="ru-RU"/>
        </w:rPr>
        <w:t xml:space="preserve">Выручка компании ежегодно изменялась как в положительную, так и в отрицательную сторону, при этом в компании АЛРОСА ожидается низкий темп роста в дальнейшем, этап сезонного спада активности ритейлеров пройден в 2019 году. Так как темп роста ожидается положительным и низким, компания АЛРОСА представляется интересной для оценки методами </w:t>
      </w:r>
      <w:r>
        <w:rPr>
          <w:lang w:val="en-US" w:eastAsia="ru-RU"/>
        </w:rPr>
        <w:t>DCF</w:t>
      </w:r>
      <w:r>
        <w:rPr>
          <w:lang w:eastAsia="ru-RU"/>
        </w:rPr>
        <w:t xml:space="preserve"> и достигнутой стоимости, несмотря на колебание выручки в периоде 2016-2019 годы. Коэффициенты ликвидности </w:t>
      </w:r>
      <w:r w:rsidR="0075049D">
        <w:rPr>
          <w:lang w:eastAsia="ru-RU"/>
        </w:rPr>
        <w:t xml:space="preserve">демонстрируют платежеспособность компании и отсутствие риска ликвидности. </w:t>
      </w:r>
    </w:p>
    <w:p w14:paraId="1BD4934D" w14:textId="274A6516" w:rsidR="004A3443" w:rsidRDefault="00807368" w:rsidP="004A3443">
      <w:pPr>
        <w:pStyle w:val="3"/>
        <w:rPr>
          <w:lang w:eastAsia="ru-RU"/>
        </w:rPr>
      </w:pPr>
      <w:bookmarkStart w:id="27" w:name="_Toc41822246"/>
      <w:r w:rsidRPr="00807368">
        <w:rPr>
          <w:lang w:eastAsia="ru-RU"/>
        </w:rPr>
        <w:t>3.2.</w:t>
      </w:r>
      <w:r>
        <w:rPr>
          <w:lang w:eastAsia="ru-RU"/>
        </w:rPr>
        <w:t>4</w:t>
      </w:r>
      <w:r w:rsidRPr="00807368">
        <w:rPr>
          <w:lang w:eastAsia="ru-RU"/>
        </w:rPr>
        <w:t>. Анализ финансово-экономической деятельности ПАО «</w:t>
      </w:r>
      <w:r>
        <w:rPr>
          <w:lang w:eastAsia="ru-RU"/>
        </w:rPr>
        <w:t>АКРОН</w:t>
      </w:r>
      <w:r w:rsidRPr="00807368">
        <w:rPr>
          <w:lang w:eastAsia="ru-RU"/>
        </w:rPr>
        <w:t>»</w:t>
      </w:r>
      <w:bookmarkEnd w:id="27"/>
      <w:r w:rsidR="004A3443" w:rsidRPr="004A3443">
        <w:rPr>
          <w:lang w:eastAsia="ru-RU"/>
        </w:rPr>
        <w:t xml:space="preserve"> </w:t>
      </w:r>
    </w:p>
    <w:p w14:paraId="6C14B69C" w14:textId="054579C6" w:rsidR="002B6CB8" w:rsidRDefault="002B6CB8" w:rsidP="002B6CB8">
      <w:pPr>
        <w:rPr>
          <w:lang w:eastAsia="ru-RU"/>
        </w:rPr>
      </w:pPr>
      <w:r>
        <w:rPr>
          <w:lang w:eastAsia="ru-RU"/>
        </w:rPr>
        <w:t xml:space="preserve">ПАО «АКРОН» является </w:t>
      </w:r>
      <w:r w:rsidR="007F75DB">
        <w:rPr>
          <w:lang w:eastAsia="ru-RU"/>
        </w:rPr>
        <w:t>крупнейшим производителем сложных удобрений в России. В ассортимент компании входят не только сложные удобрения, но и азотные удобрения. АКРОН поставляет продукцию на экспорт, основными экспортными регионами являются Китай, Бразилия, Евросоюз и США, во многих из которых работают собственные трейдинговые компании. АКРОН входит в десятку мировых лидеров по производственным мощностям — суммарная мощность на химических заводах и горно-обогатительном комбинате составляет свыше 7 млн тонн конечной продукции.</w:t>
      </w:r>
      <w:r w:rsidR="007F75DB">
        <w:rPr>
          <w:rStyle w:val="afe"/>
          <w:lang w:eastAsia="ru-RU"/>
        </w:rPr>
        <w:footnoteReference w:id="75"/>
      </w:r>
      <w:r w:rsidR="007F75DB">
        <w:rPr>
          <w:lang w:eastAsia="ru-RU"/>
        </w:rPr>
        <w:t xml:space="preserve"> </w:t>
      </w:r>
    </w:p>
    <w:p w14:paraId="555D4A10" w14:textId="621A1D70" w:rsidR="00A148AE" w:rsidRDefault="00A148AE" w:rsidP="002B6CB8">
      <w:pPr>
        <w:rPr>
          <w:lang w:eastAsia="ru-RU"/>
        </w:rPr>
      </w:pPr>
      <w:r>
        <w:rPr>
          <w:lang w:eastAsia="ru-RU"/>
        </w:rPr>
        <w:lastRenderedPageBreak/>
        <w:t xml:space="preserve">Выручка компании Акрон ежегодно увеличивается: в 2017 году темп роста составил 6%, в 2018 — 14%, а в 2019 — 6%. Средний уровень темпа роста составил 10% в периоде 2016-2019 годы. </w:t>
      </w:r>
      <w:r w:rsidR="005A3D27">
        <w:rPr>
          <w:lang w:eastAsia="ru-RU"/>
        </w:rPr>
        <w:t xml:space="preserve">В таблице ниже представлены значения выручки компании в миллионах рублей. </w:t>
      </w:r>
    </w:p>
    <w:p w14:paraId="072C28CA" w14:textId="000D0771" w:rsidR="001D46AA" w:rsidRDefault="001D46AA" w:rsidP="001D46AA">
      <w:pPr>
        <w:pStyle w:val="a0"/>
        <w:rPr>
          <w:lang w:eastAsia="ru-RU"/>
        </w:rPr>
      </w:pPr>
      <w:r>
        <w:rPr>
          <w:lang w:eastAsia="ru-RU"/>
        </w:rPr>
        <w:t>Изменение выручки компании Акрон в период 2016-2019 годы</w:t>
      </w:r>
    </w:p>
    <w:tbl>
      <w:tblPr>
        <w:tblW w:w="6660" w:type="dxa"/>
        <w:jc w:val="center"/>
        <w:tblLook w:val="04A0" w:firstRow="1" w:lastRow="0" w:firstColumn="1" w:lastColumn="0" w:noHBand="0" w:noVBand="1"/>
      </w:tblPr>
      <w:tblGrid>
        <w:gridCol w:w="2200"/>
        <w:gridCol w:w="1080"/>
        <w:gridCol w:w="960"/>
        <w:gridCol w:w="1180"/>
        <w:gridCol w:w="1240"/>
      </w:tblGrid>
      <w:tr w:rsidR="001D46AA" w:rsidRPr="001D46AA" w14:paraId="098C5AD1" w14:textId="77777777" w:rsidTr="001D46AA">
        <w:trPr>
          <w:trHeight w:val="410"/>
          <w:jc w:val="center"/>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4989" w14:textId="77777777" w:rsidR="001D46AA" w:rsidRPr="001D46AA" w:rsidRDefault="001D46AA" w:rsidP="001D46AA">
            <w:pPr>
              <w:spacing w:after="0" w:line="240" w:lineRule="auto"/>
              <w:ind w:firstLine="0"/>
              <w:jc w:val="left"/>
              <w:rPr>
                <w:rFonts w:eastAsia="Times New Roman" w:cs="Times New Roman"/>
                <w:b/>
                <w:bCs/>
                <w:color w:val="000000"/>
                <w:sz w:val="22"/>
                <w:lang w:eastAsia="ru-RU"/>
              </w:rPr>
            </w:pPr>
            <w:r w:rsidRPr="001D46AA">
              <w:rPr>
                <w:rFonts w:eastAsia="Times New Roman" w:cs="Times New Roman"/>
                <w:b/>
                <w:bCs/>
                <w:color w:val="000000"/>
                <w:sz w:val="22"/>
                <w:lang w:eastAsia="ru-RU"/>
              </w:rPr>
              <w:t>Период</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E4CCD95"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2016</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377AB8A"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2017</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40FCA1E1"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2018</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36DAF8ED"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2019</w:t>
            </w:r>
          </w:p>
        </w:tc>
      </w:tr>
      <w:tr w:rsidR="001D46AA" w:rsidRPr="001D46AA" w14:paraId="34B5D4C5" w14:textId="77777777" w:rsidTr="001D46AA">
        <w:trPr>
          <w:trHeight w:val="290"/>
          <w:jc w:val="center"/>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884B8AC" w14:textId="77777777" w:rsidR="001D46AA" w:rsidRPr="001D46AA" w:rsidRDefault="001D46AA" w:rsidP="001D46AA">
            <w:pPr>
              <w:spacing w:after="0" w:line="240" w:lineRule="auto"/>
              <w:ind w:firstLine="0"/>
              <w:jc w:val="left"/>
              <w:rPr>
                <w:rFonts w:eastAsia="Times New Roman" w:cs="Times New Roman"/>
                <w:b/>
                <w:bCs/>
                <w:color w:val="000000"/>
                <w:sz w:val="22"/>
                <w:lang w:eastAsia="ru-RU"/>
              </w:rPr>
            </w:pPr>
            <w:r w:rsidRPr="001D46AA">
              <w:rPr>
                <w:rFonts w:eastAsia="Times New Roman" w:cs="Times New Roman"/>
                <w:b/>
                <w:bCs/>
                <w:color w:val="000000"/>
                <w:sz w:val="22"/>
                <w:lang w:eastAsia="ru-RU"/>
              </w:rPr>
              <w:t>Выручка, млн. руб.</w:t>
            </w:r>
          </w:p>
        </w:tc>
        <w:tc>
          <w:tcPr>
            <w:tcW w:w="1080" w:type="dxa"/>
            <w:tcBorders>
              <w:top w:val="nil"/>
              <w:left w:val="nil"/>
              <w:bottom w:val="single" w:sz="4" w:space="0" w:color="auto"/>
              <w:right w:val="single" w:sz="4" w:space="0" w:color="auto"/>
            </w:tcBorders>
            <w:shd w:val="clear" w:color="auto" w:fill="auto"/>
            <w:noWrap/>
            <w:vAlign w:val="bottom"/>
            <w:hideMark/>
          </w:tcPr>
          <w:p w14:paraId="46AD99E4"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89 359  </w:t>
            </w:r>
          </w:p>
        </w:tc>
        <w:tc>
          <w:tcPr>
            <w:tcW w:w="960" w:type="dxa"/>
            <w:tcBorders>
              <w:top w:val="nil"/>
              <w:left w:val="nil"/>
              <w:bottom w:val="single" w:sz="4" w:space="0" w:color="auto"/>
              <w:right w:val="single" w:sz="4" w:space="0" w:color="auto"/>
            </w:tcBorders>
            <w:shd w:val="clear" w:color="auto" w:fill="auto"/>
            <w:noWrap/>
            <w:vAlign w:val="bottom"/>
            <w:hideMark/>
          </w:tcPr>
          <w:p w14:paraId="0CF59FE4"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94 342  </w:t>
            </w:r>
          </w:p>
        </w:tc>
        <w:tc>
          <w:tcPr>
            <w:tcW w:w="1180" w:type="dxa"/>
            <w:tcBorders>
              <w:top w:val="nil"/>
              <w:left w:val="nil"/>
              <w:bottom w:val="single" w:sz="4" w:space="0" w:color="auto"/>
              <w:right w:val="single" w:sz="4" w:space="0" w:color="auto"/>
            </w:tcBorders>
            <w:shd w:val="clear" w:color="auto" w:fill="auto"/>
            <w:vAlign w:val="bottom"/>
            <w:hideMark/>
          </w:tcPr>
          <w:p w14:paraId="46039C0F"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108 062  </w:t>
            </w:r>
          </w:p>
        </w:tc>
        <w:tc>
          <w:tcPr>
            <w:tcW w:w="1240" w:type="dxa"/>
            <w:tcBorders>
              <w:top w:val="nil"/>
              <w:left w:val="nil"/>
              <w:bottom w:val="single" w:sz="4" w:space="0" w:color="auto"/>
              <w:right w:val="single" w:sz="4" w:space="0" w:color="auto"/>
            </w:tcBorders>
            <w:shd w:val="clear" w:color="auto" w:fill="auto"/>
            <w:vAlign w:val="bottom"/>
            <w:hideMark/>
          </w:tcPr>
          <w:p w14:paraId="1386C810"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114 835  </w:t>
            </w:r>
          </w:p>
        </w:tc>
      </w:tr>
    </w:tbl>
    <w:p w14:paraId="3A177F95" w14:textId="524747D3" w:rsidR="001D46AA" w:rsidRDefault="001D46AA" w:rsidP="001D46AA">
      <w:pPr>
        <w:pStyle w:val="a"/>
        <w:numPr>
          <w:ilvl w:val="0"/>
          <w:numId w:val="0"/>
        </w:numPr>
        <w:spacing w:before="0" w:line="240" w:lineRule="auto"/>
        <w:ind w:left="1276"/>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Акрон</w:t>
      </w:r>
      <w:r w:rsidRPr="008C0B4F">
        <w:rPr>
          <w:lang w:eastAsia="ru-RU"/>
        </w:rPr>
        <w:t>]</w:t>
      </w:r>
    </w:p>
    <w:p w14:paraId="139B5853" w14:textId="5E90DD4A" w:rsidR="00A252C0" w:rsidRDefault="00A252C0" w:rsidP="00A252C0">
      <w:pPr>
        <w:rPr>
          <w:lang w:eastAsia="ru-RU"/>
        </w:rPr>
      </w:pPr>
      <w:r>
        <w:rPr>
          <w:lang w:eastAsia="ru-RU"/>
        </w:rPr>
        <w:t xml:space="preserve">Оборачиваемость запасов, дебиторской и кредиторской задолженностей практически не изменяется в периоде 2016-2019 годов. Среднее значение оборачиваемости запасов составляет 3,38; дебиторской задолженности — 10,12; кредиторской задолженности — 7,14. Запасы и дебиторская задолженность ежегодно росли на 8% и 12%, соответственно. В 2019 году уровень запасов и дебиторской задолженности практически соответствует значениям 2018 года, при этом выручка и себестоимость выросли на 6%. Оборачиваемость кредиторской задолженности в 2017 году вырос на 3, так как величина КЗ снизилась на 2 миллиарда рублей. </w:t>
      </w:r>
    </w:p>
    <w:p w14:paraId="5C659A63" w14:textId="081C1B35" w:rsidR="001D46AA" w:rsidRPr="00B21C8D" w:rsidRDefault="001D46AA" w:rsidP="001D46AA">
      <w:pPr>
        <w:pStyle w:val="a0"/>
        <w:rPr>
          <w:lang w:eastAsia="ru-RU"/>
        </w:rPr>
      </w:pPr>
      <w:r>
        <w:rPr>
          <w:lang w:eastAsia="ru-RU"/>
        </w:rPr>
        <w:t xml:space="preserve">Оборачиваемость в период 2016-2019 годы </w:t>
      </w:r>
    </w:p>
    <w:tbl>
      <w:tblPr>
        <w:tblW w:w="6926" w:type="dxa"/>
        <w:jc w:val="center"/>
        <w:tblLook w:val="04A0" w:firstRow="1" w:lastRow="0" w:firstColumn="1" w:lastColumn="0" w:noHBand="0" w:noVBand="1"/>
      </w:tblPr>
      <w:tblGrid>
        <w:gridCol w:w="2481"/>
        <w:gridCol w:w="860"/>
        <w:gridCol w:w="848"/>
        <w:gridCol w:w="848"/>
        <w:gridCol w:w="860"/>
        <w:gridCol w:w="1029"/>
      </w:tblGrid>
      <w:tr w:rsidR="001D46AA" w:rsidRPr="001D46AA" w14:paraId="0DE1C8EF" w14:textId="77777777" w:rsidTr="001D46AA">
        <w:trPr>
          <w:trHeight w:val="690"/>
          <w:jc w:val="center"/>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4291" w14:textId="77777777" w:rsidR="001D46AA" w:rsidRPr="001D46AA" w:rsidRDefault="001D46AA" w:rsidP="001D46AA">
            <w:pPr>
              <w:spacing w:after="0" w:line="480" w:lineRule="auto"/>
              <w:ind w:firstLine="0"/>
              <w:jc w:val="center"/>
              <w:rPr>
                <w:rFonts w:eastAsia="Times New Roman" w:cs="Times New Roman"/>
                <w:b/>
                <w:bCs/>
                <w:color w:val="000000"/>
                <w:sz w:val="22"/>
                <w:lang w:eastAsia="ru-RU"/>
              </w:rPr>
            </w:pPr>
            <w:r w:rsidRPr="001D46AA">
              <w:rPr>
                <w:rFonts w:eastAsia="Times New Roman" w:cs="Times New Roman"/>
                <w:b/>
                <w:bCs/>
                <w:color w:val="000000"/>
                <w:sz w:val="22"/>
                <w:lang w:eastAsia="ru-RU"/>
              </w:rPr>
              <w:t>Период</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73F58A51" w14:textId="77777777" w:rsidR="001D46AA" w:rsidRPr="001D46AA" w:rsidRDefault="001D46AA" w:rsidP="001D46AA">
            <w:pPr>
              <w:spacing w:after="0" w:line="480" w:lineRule="auto"/>
              <w:ind w:firstLine="0"/>
              <w:jc w:val="center"/>
              <w:rPr>
                <w:rFonts w:eastAsia="Times New Roman" w:cs="Times New Roman"/>
                <w:b/>
                <w:bCs/>
                <w:color w:val="000000"/>
                <w:sz w:val="22"/>
                <w:lang w:eastAsia="ru-RU"/>
              </w:rPr>
            </w:pPr>
            <w:r w:rsidRPr="001D46AA">
              <w:rPr>
                <w:rFonts w:eastAsia="Times New Roman" w:cs="Times New Roman"/>
                <w:b/>
                <w:bCs/>
                <w:color w:val="000000"/>
                <w:sz w:val="22"/>
                <w:lang w:eastAsia="ru-RU"/>
              </w:rPr>
              <w:t>2016</w:t>
            </w:r>
          </w:p>
        </w:tc>
        <w:tc>
          <w:tcPr>
            <w:tcW w:w="848" w:type="dxa"/>
            <w:tcBorders>
              <w:top w:val="single" w:sz="4" w:space="0" w:color="auto"/>
              <w:left w:val="nil"/>
              <w:bottom w:val="single" w:sz="4" w:space="0" w:color="auto"/>
              <w:right w:val="single" w:sz="4" w:space="0" w:color="auto"/>
            </w:tcBorders>
            <w:shd w:val="clear" w:color="auto" w:fill="auto"/>
            <w:vAlign w:val="bottom"/>
            <w:hideMark/>
          </w:tcPr>
          <w:p w14:paraId="2DC84DDF" w14:textId="77777777" w:rsidR="001D46AA" w:rsidRPr="001D46AA" w:rsidRDefault="001D46AA" w:rsidP="001D46AA">
            <w:pPr>
              <w:spacing w:after="0" w:line="480" w:lineRule="auto"/>
              <w:ind w:firstLine="0"/>
              <w:jc w:val="center"/>
              <w:rPr>
                <w:rFonts w:eastAsia="Times New Roman" w:cs="Times New Roman"/>
                <w:b/>
                <w:bCs/>
                <w:color w:val="000000"/>
                <w:sz w:val="22"/>
                <w:lang w:eastAsia="ru-RU"/>
              </w:rPr>
            </w:pPr>
            <w:r w:rsidRPr="001D46AA">
              <w:rPr>
                <w:rFonts w:eastAsia="Times New Roman" w:cs="Times New Roman"/>
                <w:b/>
                <w:bCs/>
                <w:color w:val="000000"/>
                <w:sz w:val="22"/>
                <w:lang w:eastAsia="ru-RU"/>
              </w:rPr>
              <w:t>2017</w:t>
            </w:r>
          </w:p>
        </w:tc>
        <w:tc>
          <w:tcPr>
            <w:tcW w:w="848" w:type="dxa"/>
            <w:tcBorders>
              <w:top w:val="single" w:sz="4" w:space="0" w:color="auto"/>
              <w:left w:val="nil"/>
              <w:bottom w:val="single" w:sz="4" w:space="0" w:color="auto"/>
              <w:right w:val="single" w:sz="4" w:space="0" w:color="auto"/>
            </w:tcBorders>
            <w:shd w:val="clear" w:color="auto" w:fill="auto"/>
            <w:vAlign w:val="bottom"/>
            <w:hideMark/>
          </w:tcPr>
          <w:p w14:paraId="78603502" w14:textId="77777777" w:rsidR="001D46AA" w:rsidRPr="001D46AA" w:rsidRDefault="001D46AA" w:rsidP="001D46AA">
            <w:pPr>
              <w:spacing w:after="0" w:line="480" w:lineRule="auto"/>
              <w:ind w:firstLine="0"/>
              <w:jc w:val="center"/>
              <w:rPr>
                <w:rFonts w:eastAsia="Times New Roman" w:cs="Times New Roman"/>
                <w:b/>
                <w:bCs/>
                <w:color w:val="000000"/>
                <w:sz w:val="22"/>
                <w:lang w:eastAsia="ru-RU"/>
              </w:rPr>
            </w:pPr>
            <w:r w:rsidRPr="001D46AA">
              <w:rPr>
                <w:rFonts w:eastAsia="Times New Roman" w:cs="Times New Roman"/>
                <w:b/>
                <w:bCs/>
                <w:color w:val="000000"/>
                <w:sz w:val="22"/>
                <w:lang w:eastAsia="ru-RU"/>
              </w:rPr>
              <w:t>2018</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1DDE7521" w14:textId="77777777" w:rsidR="001D46AA" w:rsidRPr="001D46AA" w:rsidRDefault="001D46AA" w:rsidP="001D46AA">
            <w:pPr>
              <w:spacing w:after="0" w:line="480" w:lineRule="auto"/>
              <w:ind w:firstLine="0"/>
              <w:jc w:val="center"/>
              <w:rPr>
                <w:rFonts w:eastAsia="Times New Roman" w:cs="Times New Roman"/>
                <w:b/>
                <w:bCs/>
                <w:color w:val="000000"/>
                <w:sz w:val="22"/>
                <w:lang w:eastAsia="ru-RU"/>
              </w:rPr>
            </w:pPr>
            <w:r w:rsidRPr="001D46AA">
              <w:rPr>
                <w:rFonts w:eastAsia="Times New Roman" w:cs="Times New Roman"/>
                <w:b/>
                <w:bCs/>
                <w:color w:val="000000"/>
                <w:sz w:val="22"/>
                <w:lang w:eastAsia="ru-RU"/>
              </w:rPr>
              <w:t>2019</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7A403FF0" w14:textId="77777777" w:rsidR="001D46AA" w:rsidRPr="001D46AA" w:rsidRDefault="001D46AA" w:rsidP="001D46AA">
            <w:pPr>
              <w:spacing w:after="0" w:line="480" w:lineRule="auto"/>
              <w:ind w:firstLine="0"/>
              <w:jc w:val="center"/>
              <w:rPr>
                <w:rFonts w:eastAsia="Times New Roman" w:cs="Times New Roman"/>
                <w:b/>
                <w:bCs/>
                <w:color w:val="000000"/>
                <w:sz w:val="22"/>
                <w:lang w:eastAsia="ru-RU"/>
              </w:rPr>
            </w:pPr>
            <w:r w:rsidRPr="001D46AA">
              <w:rPr>
                <w:rFonts w:eastAsia="Times New Roman" w:cs="Times New Roman"/>
                <w:b/>
                <w:bCs/>
                <w:color w:val="000000"/>
                <w:sz w:val="22"/>
                <w:lang w:eastAsia="ru-RU"/>
              </w:rPr>
              <w:t>Среднее</w:t>
            </w:r>
          </w:p>
        </w:tc>
      </w:tr>
      <w:tr w:rsidR="001D46AA" w:rsidRPr="001D46AA" w14:paraId="29F98F0E" w14:textId="77777777" w:rsidTr="001D46AA">
        <w:trPr>
          <w:trHeight w:val="290"/>
          <w:jc w:val="center"/>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29E63E49" w14:textId="77777777" w:rsidR="001D46AA" w:rsidRPr="001D46AA" w:rsidRDefault="001D46AA" w:rsidP="001D46AA">
            <w:pPr>
              <w:spacing w:after="0" w:line="240" w:lineRule="auto"/>
              <w:ind w:firstLine="0"/>
              <w:jc w:val="left"/>
              <w:rPr>
                <w:rFonts w:eastAsia="Times New Roman" w:cs="Times New Roman"/>
                <w:b/>
                <w:bCs/>
                <w:color w:val="000000"/>
                <w:sz w:val="22"/>
                <w:lang w:eastAsia="ru-RU"/>
              </w:rPr>
            </w:pPr>
            <w:r w:rsidRPr="001D46AA">
              <w:rPr>
                <w:rFonts w:eastAsia="Times New Roman" w:cs="Times New Roman"/>
                <w:b/>
                <w:bCs/>
                <w:color w:val="000000"/>
                <w:sz w:val="22"/>
                <w:lang w:eastAsia="ru-RU"/>
              </w:rPr>
              <w:t>Оборачиваемость запасов</w:t>
            </w:r>
          </w:p>
        </w:tc>
        <w:tc>
          <w:tcPr>
            <w:tcW w:w="860" w:type="dxa"/>
            <w:tcBorders>
              <w:top w:val="nil"/>
              <w:left w:val="nil"/>
              <w:bottom w:val="single" w:sz="4" w:space="0" w:color="auto"/>
              <w:right w:val="single" w:sz="4" w:space="0" w:color="auto"/>
            </w:tcBorders>
            <w:shd w:val="clear" w:color="auto" w:fill="auto"/>
            <w:noWrap/>
            <w:vAlign w:val="bottom"/>
            <w:hideMark/>
          </w:tcPr>
          <w:p w14:paraId="00F0389C" w14:textId="77777777" w:rsidR="001D46AA" w:rsidRPr="001D46AA" w:rsidRDefault="001D46AA" w:rsidP="00A252C0">
            <w:pPr>
              <w:spacing w:after="0" w:line="240" w:lineRule="auto"/>
              <w:ind w:firstLine="0"/>
              <w:rPr>
                <w:rFonts w:eastAsia="Times New Roman" w:cs="Times New Roman"/>
                <w:color w:val="000000"/>
                <w:sz w:val="22"/>
                <w:lang w:eastAsia="ru-RU"/>
              </w:rPr>
            </w:pPr>
            <w:r w:rsidRPr="001D46AA">
              <w:rPr>
                <w:rFonts w:eastAsia="Times New Roman" w:cs="Times New Roman"/>
                <w:color w:val="000000"/>
                <w:sz w:val="22"/>
                <w:lang w:eastAsia="ru-RU"/>
              </w:rPr>
              <w:t>3,14</w:t>
            </w:r>
          </w:p>
        </w:tc>
        <w:tc>
          <w:tcPr>
            <w:tcW w:w="848" w:type="dxa"/>
            <w:tcBorders>
              <w:top w:val="nil"/>
              <w:left w:val="nil"/>
              <w:bottom w:val="single" w:sz="4" w:space="0" w:color="auto"/>
              <w:right w:val="single" w:sz="4" w:space="0" w:color="auto"/>
            </w:tcBorders>
            <w:shd w:val="clear" w:color="auto" w:fill="auto"/>
            <w:noWrap/>
            <w:vAlign w:val="bottom"/>
            <w:hideMark/>
          </w:tcPr>
          <w:p w14:paraId="1AB87418"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3,47</w:t>
            </w:r>
          </w:p>
        </w:tc>
        <w:tc>
          <w:tcPr>
            <w:tcW w:w="848" w:type="dxa"/>
            <w:tcBorders>
              <w:top w:val="nil"/>
              <w:left w:val="nil"/>
              <w:bottom w:val="single" w:sz="4" w:space="0" w:color="auto"/>
              <w:right w:val="single" w:sz="4" w:space="0" w:color="auto"/>
            </w:tcBorders>
            <w:shd w:val="clear" w:color="auto" w:fill="auto"/>
            <w:noWrap/>
            <w:vAlign w:val="bottom"/>
            <w:hideMark/>
          </w:tcPr>
          <w:p w14:paraId="314A71C5"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3,26</w:t>
            </w:r>
          </w:p>
        </w:tc>
        <w:tc>
          <w:tcPr>
            <w:tcW w:w="860" w:type="dxa"/>
            <w:tcBorders>
              <w:top w:val="nil"/>
              <w:left w:val="nil"/>
              <w:bottom w:val="single" w:sz="4" w:space="0" w:color="auto"/>
              <w:right w:val="single" w:sz="4" w:space="0" w:color="auto"/>
            </w:tcBorders>
            <w:shd w:val="clear" w:color="auto" w:fill="auto"/>
            <w:noWrap/>
            <w:vAlign w:val="bottom"/>
            <w:hideMark/>
          </w:tcPr>
          <w:p w14:paraId="0FFB68A0"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3,65</w:t>
            </w:r>
          </w:p>
        </w:tc>
        <w:tc>
          <w:tcPr>
            <w:tcW w:w="1029" w:type="dxa"/>
            <w:tcBorders>
              <w:top w:val="nil"/>
              <w:left w:val="nil"/>
              <w:bottom w:val="single" w:sz="4" w:space="0" w:color="auto"/>
              <w:right w:val="single" w:sz="4" w:space="0" w:color="auto"/>
            </w:tcBorders>
            <w:shd w:val="clear" w:color="auto" w:fill="auto"/>
            <w:noWrap/>
            <w:vAlign w:val="bottom"/>
            <w:hideMark/>
          </w:tcPr>
          <w:p w14:paraId="3AE979FC"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3,38 </w:t>
            </w:r>
          </w:p>
        </w:tc>
      </w:tr>
      <w:tr w:rsidR="001D46AA" w:rsidRPr="001D46AA" w14:paraId="4D668D87" w14:textId="77777777" w:rsidTr="001D46AA">
        <w:trPr>
          <w:trHeight w:val="460"/>
          <w:jc w:val="center"/>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65F1C76D" w14:textId="77777777" w:rsidR="001D46AA" w:rsidRPr="001D46AA" w:rsidRDefault="001D46AA" w:rsidP="001D46AA">
            <w:pPr>
              <w:spacing w:after="0" w:line="240" w:lineRule="auto"/>
              <w:ind w:firstLine="0"/>
              <w:jc w:val="left"/>
              <w:rPr>
                <w:rFonts w:eastAsia="Times New Roman" w:cs="Times New Roman"/>
                <w:b/>
                <w:bCs/>
                <w:color w:val="000000"/>
                <w:sz w:val="22"/>
                <w:lang w:eastAsia="ru-RU"/>
              </w:rPr>
            </w:pPr>
            <w:r w:rsidRPr="001D46AA">
              <w:rPr>
                <w:rFonts w:eastAsia="Times New Roman" w:cs="Times New Roman"/>
                <w:b/>
                <w:bCs/>
                <w:color w:val="000000"/>
                <w:sz w:val="22"/>
                <w:lang w:eastAsia="ru-RU"/>
              </w:rPr>
              <w:t>Оборачиваемость ДЗ</w:t>
            </w:r>
          </w:p>
        </w:tc>
        <w:tc>
          <w:tcPr>
            <w:tcW w:w="860" w:type="dxa"/>
            <w:tcBorders>
              <w:top w:val="nil"/>
              <w:left w:val="nil"/>
              <w:bottom w:val="single" w:sz="4" w:space="0" w:color="auto"/>
              <w:right w:val="single" w:sz="4" w:space="0" w:color="auto"/>
            </w:tcBorders>
            <w:shd w:val="clear" w:color="auto" w:fill="auto"/>
            <w:noWrap/>
            <w:vAlign w:val="bottom"/>
            <w:hideMark/>
          </w:tcPr>
          <w:p w14:paraId="077C9B69"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10,43 </w:t>
            </w:r>
          </w:p>
        </w:tc>
        <w:tc>
          <w:tcPr>
            <w:tcW w:w="848" w:type="dxa"/>
            <w:tcBorders>
              <w:top w:val="nil"/>
              <w:left w:val="nil"/>
              <w:bottom w:val="single" w:sz="4" w:space="0" w:color="auto"/>
              <w:right w:val="single" w:sz="4" w:space="0" w:color="auto"/>
            </w:tcBorders>
            <w:shd w:val="clear" w:color="auto" w:fill="auto"/>
            <w:noWrap/>
            <w:vAlign w:val="bottom"/>
            <w:hideMark/>
          </w:tcPr>
          <w:p w14:paraId="5262B375"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9,49 </w:t>
            </w:r>
          </w:p>
        </w:tc>
        <w:tc>
          <w:tcPr>
            <w:tcW w:w="848" w:type="dxa"/>
            <w:tcBorders>
              <w:top w:val="nil"/>
              <w:left w:val="nil"/>
              <w:bottom w:val="single" w:sz="4" w:space="0" w:color="auto"/>
              <w:right w:val="single" w:sz="4" w:space="0" w:color="auto"/>
            </w:tcBorders>
            <w:shd w:val="clear" w:color="auto" w:fill="auto"/>
            <w:noWrap/>
            <w:vAlign w:val="bottom"/>
            <w:hideMark/>
          </w:tcPr>
          <w:p w14:paraId="2F8B5EB4"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9,99 </w:t>
            </w:r>
          </w:p>
        </w:tc>
        <w:tc>
          <w:tcPr>
            <w:tcW w:w="860" w:type="dxa"/>
            <w:tcBorders>
              <w:top w:val="nil"/>
              <w:left w:val="nil"/>
              <w:bottom w:val="single" w:sz="4" w:space="0" w:color="auto"/>
              <w:right w:val="single" w:sz="4" w:space="0" w:color="auto"/>
            </w:tcBorders>
            <w:shd w:val="clear" w:color="auto" w:fill="auto"/>
            <w:noWrap/>
            <w:vAlign w:val="bottom"/>
            <w:hideMark/>
          </w:tcPr>
          <w:p w14:paraId="10BCF902"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10,56 </w:t>
            </w:r>
          </w:p>
        </w:tc>
        <w:tc>
          <w:tcPr>
            <w:tcW w:w="1029" w:type="dxa"/>
            <w:tcBorders>
              <w:top w:val="nil"/>
              <w:left w:val="nil"/>
              <w:bottom w:val="single" w:sz="4" w:space="0" w:color="auto"/>
              <w:right w:val="single" w:sz="4" w:space="0" w:color="auto"/>
            </w:tcBorders>
            <w:shd w:val="clear" w:color="auto" w:fill="auto"/>
            <w:noWrap/>
            <w:vAlign w:val="bottom"/>
            <w:hideMark/>
          </w:tcPr>
          <w:p w14:paraId="3CA97E7E"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10,12 </w:t>
            </w:r>
          </w:p>
        </w:tc>
      </w:tr>
      <w:tr w:rsidR="001D46AA" w:rsidRPr="001D46AA" w14:paraId="6794A90E" w14:textId="77777777" w:rsidTr="001D46AA">
        <w:trPr>
          <w:trHeight w:val="290"/>
          <w:jc w:val="center"/>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14:paraId="72504124" w14:textId="77777777" w:rsidR="001D46AA" w:rsidRPr="001D46AA" w:rsidRDefault="001D46AA" w:rsidP="001D46AA">
            <w:pPr>
              <w:spacing w:after="0" w:line="240" w:lineRule="auto"/>
              <w:ind w:firstLine="0"/>
              <w:jc w:val="left"/>
              <w:rPr>
                <w:rFonts w:eastAsia="Times New Roman" w:cs="Times New Roman"/>
                <w:b/>
                <w:bCs/>
                <w:color w:val="000000"/>
                <w:sz w:val="22"/>
                <w:lang w:eastAsia="ru-RU"/>
              </w:rPr>
            </w:pPr>
            <w:r w:rsidRPr="001D46AA">
              <w:rPr>
                <w:rFonts w:eastAsia="Times New Roman" w:cs="Times New Roman"/>
                <w:b/>
                <w:bCs/>
                <w:color w:val="000000"/>
                <w:sz w:val="22"/>
                <w:lang w:eastAsia="ru-RU"/>
              </w:rPr>
              <w:t>Оборачиваемость КЗ</w:t>
            </w:r>
          </w:p>
        </w:tc>
        <w:tc>
          <w:tcPr>
            <w:tcW w:w="860" w:type="dxa"/>
            <w:tcBorders>
              <w:top w:val="nil"/>
              <w:left w:val="nil"/>
              <w:bottom w:val="single" w:sz="4" w:space="0" w:color="auto"/>
              <w:right w:val="single" w:sz="4" w:space="0" w:color="auto"/>
            </w:tcBorders>
            <w:shd w:val="clear" w:color="auto" w:fill="auto"/>
            <w:noWrap/>
            <w:vAlign w:val="bottom"/>
            <w:hideMark/>
          </w:tcPr>
          <w:p w14:paraId="0BDFFEC3"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6,22 </w:t>
            </w:r>
          </w:p>
        </w:tc>
        <w:tc>
          <w:tcPr>
            <w:tcW w:w="848" w:type="dxa"/>
            <w:tcBorders>
              <w:top w:val="nil"/>
              <w:left w:val="nil"/>
              <w:bottom w:val="single" w:sz="4" w:space="0" w:color="auto"/>
              <w:right w:val="single" w:sz="4" w:space="0" w:color="auto"/>
            </w:tcBorders>
            <w:shd w:val="clear" w:color="auto" w:fill="auto"/>
            <w:noWrap/>
            <w:vAlign w:val="bottom"/>
            <w:hideMark/>
          </w:tcPr>
          <w:p w14:paraId="2B3D3BE8"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9,11 </w:t>
            </w:r>
          </w:p>
        </w:tc>
        <w:tc>
          <w:tcPr>
            <w:tcW w:w="848" w:type="dxa"/>
            <w:tcBorders>
              <w:top w:val="nil"/>
              <w:left w:val="nil"/>
              <w:bottom w:val="single" w:sz="4" w:space="0" w:color="auto"/>
              <w:right w:val="single" w:sz="4" w:space="0" w:color="auto"/>
            </w:tcBorders>
            <w:shd w:val="clear" w:color="auto" w:fill="auto"/>
            <w:noWrap/>
            <w:vAlign w:val="bottom"/>
            <w:hideMark/>
          </w:tcPr>
          <w:p w14:paraId="67300E8B"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7,53 </w:t>
            </w:r>
          </w:p>
        </w:tc>
        <w:tc>
          <w:tcPr>
            <w:tcW w:w="860" w:type="dxa"/>
            <w:tcBorders>
              <w:top w:val="nil"/>
              <w:left w:val="nil"/>
              <w:bottom w:val="single" w:sz="4" w:space="0" w:color="auto"/>
              <w:right w:val="single" w:sz="4" w:space="0" w:color="auto"/>
            </w:tcBorders>
            <w:shd w:val="clear" w:color="auto" w:fill="auto"/>
            <w:noWrap/>
            <w:vAlign w:val="bottom"/>
            <w:hideMark/>
          </w:tcPr>
          <w:p w14:paraId="39AACD7A"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5,68 </w:t>
            </w:r>
          </w:p>
        </w:tc>
        <w:tc>
          <w:tcPr>
            <w:tcW w:w="1029" w:type="dxa"/>
            <w:tcBorders>
              <w:top w:val="nil"/>
              <w:left w:val="nil"/>
              <w:bottom w:val="single" w:sz="4" w:space="0" w:color="auto"/>
              <w:right w:val="single" w:sz="4" w:space="0" w:color="auto"/>
            </w:tcBorders>
            <w:shd w:val="clear" w:color="auto" w:fill="auto"/>
            <w:noWrap/>
            <w:vAlign w:val="bottom"/>
            <w:hideMark/>
          </w:tcPr>
          <w:p w14:paraId="68999922"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 xml:space="preserve">         7,14 </w:t>
            </w:r>
          </w:p>
        </w:tc>
      </w:tr>
    </w:tbl>
    <w:p w14:paraId="47620330" w14:textId="3A4F5232" w:rsidR="001D46AA" w:rsidRDefault="001D46AA" w:rsidP="001D46AA">
      <w:pPr>
        <w:pStyle w:val="a"/>
        <w:numPr>
          <w:ilvl w:val="0"/>
          <w:numId w:val="0"/>
        </w:numPr>
        <w:spacing w:before="0" w:line="240" w:lineRule="auto"/>
        <w:ind w:left="1276"/>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Акрон</w:t>
      </w:r>
      <w:r w:rsidRPr="008C0B4F">
        <w:rPr>
          <w:lang w:eastAsia="ru-RU"/>
        </w:rPr>
        <w:t>]</w:t>
      </w:r>
    </w:p>
    <w:p w14:paraId="10111C16" w14:textId="586739FA" w:rsidR="00A252C0" w:rsidRDefault="00A252C0" w:rsidP="00773551">
      <w:pPr>
        <w:rPr>
          <w:lang w:eastAsia="ru-RU"/>
        </w:rPr>
      </w:pPr>
      <w:r>
        <w:rPr>
          <w:lang w:eastAsia="ru-RU"/>
        </w:rPr>
        <w:t xml:space="preserve">В 2018 году величина нераспределенной прибыли снизилась на 3 млрд рублей, так как компания приняла решение о выплате дивидендов из нераспределенной прибыли прошлых лет, что повлияло на уровень собственного капитала. Доля собственного капитала в 2018 году </w:t>
      </w:r>
      <w:r w:rsidR="00773551">
        <w:rPr>
          <w:lang w:eastAsia="ru-RU"/>
        </w:rPr>
        <w:t xml:space="preserve">была равна 53%, в то время как в 2017 году — 62%. Структура капитала АКРОН в 2019 году была распределена на 47% заемного капитала и 53% собственного капитала. </w:t>
      </w:r>
    </w:p>
    <w:p w14:paraId="0B280A15" w14:textId="1A178E70" w:rsidR="00C327C5" w:rsidRDefault="00C327C5" w:rsidP="00773551">
      <w:pPr>
        <w:rPr>
          <w:lang w:eastAsia="ru-RU"/>
        </w:rPr>
      </w:pPr>
    </w:p>
    <w:p w14:paraId="14C02B1E" w14:textId="2B42DBDE" w:rsidR="00C327C5" w:rsidRDefault="00C327C5" w:rsidP="00773551">
      <w:pPr>
        <w:rPr>
          <w:lang w:eastAsia="ru-RU"/>
        </w:rPr>
      </w:pPr>
    </w:p>
    <w:p w14:paraId="41EA2EDD" w14:textId="77777777" w:rsidR="00C327C5" w:rsidRDefault="00C327C5" w:rsidP="00780951">
      <w:pPr>
        <w:ind w:firstLine="0"/>
        <w:rPr>
          <w:lang w:eastAsia="ru-RU"/>
        </w:rPr>
      </w:pPr>
    </w:p>
    <w:p w14:paraId="3EB52C9D" w14:textId="64133B07" w:rsidR="001D46AA" w:rsidRDefault="001D46AA" w:rsidP="001D46AA">
      <w:pPr>
        <w:pStyle w:val="a0"/>
        <w:rPr>
          <w:lang w:eastAsia="ru-RU"/>
        </w:rPr>
      </w:pPr>
      <w:r>
        <w:rPr>
          <w:lang w:eastAsia="ru-RU"/>
        </w:rPr>
        <w:lastRenderedPageBreak/>
        <w:t>Изменение собственного капитала компании в 2016-2019 годы</w:t>
      </w:r>
    </w:p>
    <w:tbl>
      <w:tblPr>
        <w:tblW w:w="6660" w:type="dxa"/>
        <w:jc w:val="center"/>
        <w:tblLook w:val="04A0" w:firstRow="1" w:lastRow="0" w:firstColumn="1" w:lastColumn="0" w:noHBand="0" w:noVBand="1"/>
      </w:tblPr>
      <w:tblGrid>
        <w:gridCol w:w="2200"/>
        <w:gridCol w:w="1080"/>
        <w:gridCol w:w="960"/>
        <w:gridCol w:w="1180"/>
        <w:gridCol w:w="1240"/>
      </w:tblGrid>
      <w:tr w:rsidR="001D46AA" w:rsidRPr="001D46AA" w14:paraId="2389ACAB" w14:textId="77777777" w:rsidTr="001D46AA">
        <w:trPr>
          <w:trHeight w:val="290"/>
          <w:jc w:val="center"/>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6F825" w14:textId="77777777" w:rsidR="001D46AA" w:rsidRPr="001D46AA" w:rsidRDefault="001D46AA" w:rsidP="001D46AA">
            <w:pPr>
              <w:spacing w:after="0" w:line="240" w:lineRule="auto"/>
              <w:ind w:firstLine="0"/>
              <w:jc w:val="left"/>
              <w:rPr>
                <w:rFonts w:eastAsia="Times New Roman" w:cs="Times New Roman"/>
                <w:b/>
                <w:bCs/>
                <w:color w:val="000000"/>
                <w:sz w:val="22"/>
                <w:lang w:eastAsia="ru-RU"/>
              </w:rPr>
            </w:pPr>
            <w:r w:rsidRPr="001D46AA">
              <w:rPr>
                <w:rFonts w:eastAsia="Times New Roman" w:cs="Times New Roman"/>
                <w:b/>
                <w:bCs/>
                <w:color w:val="000000"/>
                <w:sz w:val="22"/>
                <w:lang w:eastAsia="ru-RU"/>
              </w:rPr>
              <w:t>Период</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56DA50D9"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5C7186"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2017</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457BC93E"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2018</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38E425C4"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2019</w:t>
            </w:r>
          </w:p>
        </w:tc>
      </w:tr>
      <w:tr w:rsidR="001D46AA" w:rsidRPr="001D46AA" w14:paraId="6DFAD8B9" w14:textId="77777777" w:rsidTr="001D46AA">
        <w:trPr>
          <w:trHeight w:val="290"/>
          <w:jc w:val="center"/>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3B1D524"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Акционерный капитал</w:t>
            </w:r>
          </w:p>
        </w:tc>
        <w:tc>
          <w:tcPr>
            <w:tcW w:w="1080" w:type="dxa"/>
            <w:tcBorders>
              <w:top w:val="nil"/>
              <w:left w:val="nil"/>
              <w:bottom w:val="single" w:sz="4" w:space="0" w:color="auto"/>
              <w:right w:val="single" w:sz="4" w:space="0" w:color="auto"/>
            </w:tcBorders>
            <w:shd w:val="clear" w:color="auto" w:fill="auto"/>
            <w:vAlign w:val="bottom"/>
            <w:hideMark/>
          </w:tcPr>
          <w:p w14:paraId="084AA8B0"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3 046  </w:t>
            </w:r>
          </w:p>
        </w:tc>
        <w:tc>
          <w:tcPr>
            <w:tcW w:w="960" w:type="dxa"/>
            <w:tcBorders>
              <w:top w:val="nil"/>
              <w:left w:val="nil"/>
              <w:bottom w:val="single" w:sz="4" w:space="0" w:color="auto"/>
              <w:right w:val="single" w:sz="4" w:space="0" w:color="auto"/>
            </w:tcBorders>
            <w:shd w:val="clear" w:color="auto" w:fill="auto"/>
            <w:vAlign w:val="bottom"/>
            <w:hideMark/>
          </w:tcPr>
          <w:p w14:paraId="33361CEA"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3 046  </w:t>
            </w:r>
          </w:p>
        </w:tc>
        <w:tc>
          <w:tcPr>
            <w:tcW w:w="1180" w:type="dxa"/>
            <w:tcBorders>
              <w:top w:val="nil"/>
              <w:left w:val="nil"/>
              <w:bottom w:val="single" w:sz="4" w:space="0" w:color="auto"/>
              <w:right w:val="single" w:sz="4" w:space="0" w:color="auto"/>
            </w:tcBorders>
            <w:shd w:val="clear" w:color="auto" w:fill="auto"/>
            <w:vAlign w:val="bottom"/>
            <w:hideMark/>
          </w:tcPr>
          <w:p w14:paraId="3E000098"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3 046  </w:t>
            </w:r>
          </w:p>
        </w:tc>
        <w:tc>
          <w:tcPr>
            <w:tcW w:w="1240" w:type="dxa"/>
            <w:tcBorders>
              <w:top w:val="nil"/>
              <w:left w:val="nil"/>
              <w:bottom w:val="single" w:sz="4" w:space="0" w:color="auto"/>
              <w:right w:val="single" w:sz="4" w:space="0" w:color="auto"/>
            </w:tcBorders>
            <w:shd w:val="clear" w:color="auto" w:fill="auto"/>
            <w:vAlign w:val="bottom"/>
            <w:hideMark/>
          </w:tcPr>
          <w:p w14:paraId="21239AEA"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3 046  </w:t>
            </w:r>
          </w:p>
        </w:tc>
      </w:tr>
      <w:tr w:rsidR="001D46AA" w:rsidRPr="001D46AA" w14:paraId="7AAE582E" w14:textId="77777777" w:rsidTr="001D46AA">
        <w:trPr>
          <w:trHeight w:val="460"/>
          <w:jc w:val="center"/>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B59299E" w14:textId="77777777" w:rsidR="001D46AA" w:rsidRPr="001D46AA" w:rsidRDefault="001D46AA" w:rsidP="001D46AA">
            <w:pPr>
              <w:spacing w:after="0" w:line="240" w:lineRule="auto"/>
              <w:ind w:firstLine="0"/>
              <w:jc w:val="left"/>
              <w:rPr>
                <w:rFonts w:eastAsia="Times New Roman" w:cs="Times New Roman"/>
                <w:color w:val="000000"/>
                <w:sz w:val="22"/>
                <w:lang w:eastAsia="ru-RU"/>
              </w:rPr>
            </w:pPr>
            <w:r w:rsidRPr="001D46AA">
              <w:rPr>
                <w:rFonts w:eastAsia="Times New Roman" w:cs="Times New Roman"/>
                <w:color w:val="000000"/>
                <w:sz w:val="22"/>
                <w:lang w:eastAsia="ru-RU"/>
              </w:rPr>
              <w:t>Нераспределенная прибыль</w:t>
            </w:r>
          </w:p>
        </w:tc>
        <w:tc>
          <w:tcPr>
            <w:tcW w:w="1080" w:type="dxa"/>
            <w:tcBorders>
              <w:top w:val="nil"/>
              <w:left w:val="nil"/>
              <w:bottom w:val="single" w:sz="4" w:space="0" w:color="auto"/>
              <w:right w:val="single" w:sz="4" w:space="0" w:color="auto"/>
            </w:tcBorders>
            <w:shd w:val="clear" w:color="auto" w:fill="auto"/>
            <w:vAlign w:val="bottom"/>
            <w:hideMark/>
          </w:tcPr>
          <w:p w14:paraId="369E6858"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68 439  </w:t>
            </w:r>
          </w:p>
        </w:tc>
        <w:tc>
          <w:tcPr>
            <w:tcW w:w="960" w:type="dxa"/>
            <w:tcBorders>
              <w:top w:val="nil"/>
              <w:left w:val="nil"/>
              <w:bottom w:val="single" w:sz="4" w:space="0" w:color="auto"/>
              <w:right w:val="single" w:sz="4" w:space="0" w:color="auto"/>
            </w:tcBorders>
            <w:shd w:val="clear" w:color="auto" w:fill="auto"/>
            <w:noWrap/>
            <w:vAlign w:val="bottom"/>
            <w:hideMark/>
          </w:tcPr>
          <w:p w14:paraId="7615B88E"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68 035  </w:t>
            </w:r>
          </w:p>
        </w:tc>
        <w:tc>
          <w:tcPr>
            <w:tcW w:w="1180" w:type="dxa"/>
            <w:tcBorders>
              <w:top w:val="nil"/>
              <w:left w:val="nil"/>
              <w:bottom w:val="single" w:sz="4" w:space="0" w:color="auto"/>
              <w:right w:val="single" w:sz="4" w:space="0" w:color="auto"/>
            </w:tcBorders>
            <w:shd w:val="clear" w:color="auto" w:fill="auto"/>
            <w:vAlign w:val="bottom"/>
            <w:hideMark/>
          </w:tcPr>
          <w:p w14:paraId="3A560F74"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65 253  </w:t>
            </w:r>
          </w:p>
        </w:tc>
        <w:tc>
          <w:tcPr>
            <w:tcW w:w="1240" w:type="dxa"/>
            <w:tcBorders>
              <w:top w:val="nil"/>
              <w:left w:val="nil"/>
              <w:bottom w:val="single" w:sz="4" w:space="0" w:color="auto"/>
              <w:right w:val="single" w:sz="4" w:space="0" w:color="auto"/>
            </w:tcBorders>
            <w:shd w:val="clear" w:color="auto" w:fill="auto"/>
            <w:vAlign w:val="bottom"/>
            <w:hideMark/>
          </w:tcPr>
          <w:p w14:paraId="129BB653" w14:textId="77777777" w:rsidR="001D46AA" w:rsidRPr="001D46AA" w:rsidRDefault="001D46AA" w:rsidP="001D46AA">
            <w:pPr>
              <w:spacing w:after="0" w:line="240" w:lineRule="auto"/>
              <w:ind w:firstLine="0"/>
              <w:jc w:val="right"/>
              <w:rPr>
                <w:rFonts w:eastAsia="Times New Roman" w:cs="Times New Roman"/>
                <w:color w:val="000000"/>
                <w:sz w:val="22"/>
                <w:lang w:eastAsia="ru-RU"/>
              </w:rPr>
            </w:pPr>
            <w:r w:rsidRPr="001D46AA">
              <w:rPr>
                <w:rFonts w:eastAsia="Times New Roman" w:cs="Times New Roman"/>
                <w:color w:val="000000"/>
                <w:sz w:val="22"/>
                <w:lang w:eastAsia="ru-RU"/>
              </w:rPr>
              <w:t xml:space="preserve">73 157  </w:t>
            </w:r>
          </w:p>
        </w:tc>
      </w:tr>
      <w:tr w:rsidR="001D46AA" w:rsidRPr="001D46AA" w14:paraId="5ED606D4" w14:textId="77777777" w:rsidTr="001D46AA">
        <w:trPr>
          <w:trHeight w:val="470"/>
          <w:jc w:val="center"/>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D79C83D" w14:textId="77777777" w:rsidR="001D46AA" w:rsidRPr="001D46AA" w:rsidRDefault="001D46AA" w:rsidP="001D46AA">
            <w:pPr>
              <w:spacing w:after="0" w:line="240" w:lineRule="auto"/>
              <w:ind w:firstLine="0"/>
              <w:jc w:val="left"/>
              <w:rPr>
                <w:rFonts w:eastAsia="Times New Roman" w:cs="Times New Roman"/>
                <w:b/>
                <w:bCs/>
                <w:color w:val="000000"/>
                <w:sz w:val="22"/>
                <w:lang w:eastAsia="ru-RU"/>
              </w:rPr>
            </w:pPr>
            <w:r w:rsidRPr="001D46AA">
              <w:rPr>
                <w:rFonts w:eastAsia="Times New Roman" w:cs="Times New Roman"/>
                <w:b/>
                <w:bCs/>
                <w:color w:val="000000"/>
                <w:sz w:val="22"/>
                <w:lang w:eastAsia="ru-RU"/>
              </w:rPr>
              <w:t>Собственный капитал компании</w:t>
            </w:r>
          </w:p>
        </w:tc>
        <w:tc>
          <w:tcPr>
            <w:tcW w:w="1080" w:type="dxa"/>
            <w:tcBorders>
              <w:top w:val="nil"/>
              <w:left w:val="nil"/>
              <w:bottom w:val="single" w:sz="4" w:space="0" w:color="auto"/>
              <w:right w:val="single" w:sz="4" w:space="0" w:color="auto"/>
            </w:tcBorders>
            <w:shd w:val="clear" w:color="auto" w:fill="auto"/>
            <w:vAlign w:val="bottom"/>
            <w:hideMark/>
          </w:tcPr>
          <w:p w14:paraId="14037274"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 xml:space="preserve">71 485  </w:t>
            </w:r>
          </w:p>
        </w:tc>
        <w:tc>
          <w:tcPr>
            <w:tcW w:w="960" w:type="dxa"/>
            <w:tcBorders>
              <w:top w:val="nil"/>
              <w:left w:val="nil"/>
              <w:bottom w:val="single" w:sz="4" w:space="0" w:color="auto"/>
              <w:right w:val="single" w:sz="4" w:space="0" w:color="auto"/>
            </w:tcBorders>
            <w:shd w:val="clear" w:color="auto" w:fill="auto"/>
            <w:vAlign w:val="bottom"/>
            <w:hideMark/>
          </w:tcPr>
          <w:p w14:paraId="634A78A5"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 xml:space="preserve">71 081  </w:t>
            </w:r>
          </w:p>
        </w:tc>
        <w:tc>
          <w:tcPr>
            <w:tcW w:w="1180" w:type="dxa"/>
            <w:tcBorders>
              <w:top w:val="nil"/>
              <w:left w:val="nil"/>
              <w:bottom w:val="single" w:sz="4" w:space="0" w:color="auto"/>
              <w:right w:val="single" w:sz="4" w:space="0" w:color="auto"/>
            </w:tcBorders>
            <w:shd w:val="clear" w:color="auto" w:fill="auto"/>
            <w:vAlign w:val="bottom"/>
            <w:hideMark/>
          </w:tcPr>
          <w:p w14:paraId="3B034E19"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 xml:space="preserve">68 299  </w:t>
            </w:r>
          </w:p>
        </w:tc>
        <w:tc>
          <w:tcPr>
            <w:tcW w:w="1240" w:type="dxa"/>
            <w:tcBorders>
              <w:top w:val="nil"/>
              <w:left w:val="nil"/>
              <w:bottom w:val="single" w:sz="4" w:space="0" w:color="auto"/>
              <w:right w:val="single" w:sz="4" w:space="0" w:color="auto"/>
            </w:tcBorders>
            <w:shd w:val="clear" w:color="auto" w:fill="auto"/>
            <w:vAlign w:val="bottom"/>
            <w:hideMark/>
          </w:tcPr>
          <w:p w14:paraId="08D7EE1A" w14:textId="77777777" w:rsidR="001D46AA" w:rsidRPr="001D46AA" w:rsidRDefault="001D46AA" w:rsidP="001D46AA">
            <w:pPr>
              <w:spacing w:after="0" w:line="240" w:lineRule="auto"/>
              <w:ind w:firstLine="0"/>
              <w:jc w:val="right"/>
              <w:rPr>
                <w:rFonts w:eastAsia="Times New Roman" w:cs="Times New Roman"/>
                <w:b/>
                <w:bCs/>
                <w:color w:val="000000"/>
                <w:sz w:val="22"/>
                <w:lang w:eastAsia="ru-RU"/>
              </w:rPr>
            </w:pPr>
            <w:r w:rsidRPr="001D46AA">
              <w:rPr>
                <w:rFonts w:eastAsia="Times New Roman" w:cs="Times New Roman"/>
                <w:b/>
                <w:bCs/>
                <w:color w:val="000000"/>
                <w:sz w:val="22"/>
                <w:lang w:eastAsia="ru-RU"/>
              </w:rPr>
              <w:t xml:space="preserve">76 203  </w:t>
            </w:r>
          </w:p>
        </w:tc>
      </w:tr>
    </w:tbl>
    <w:p w14:paraId="4B8C8FE9" w14:textId="0F98A922" w:rsidR="001D46AA" w:rsidRDefault="001D46AA" w:rsidP="001D46AA">
      <w:pPr>
        <w:pStyle w:val="a"/>
        <w:numPr>
          <w:ilvl w:val="0"/>
          <w:numId w:val="0"/>
        </w:numPr>
        <w:spacing w:before="0" w:line="240" w:lineRule="auto"/>
        <w:ind w:left="1276"/>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Акрон</w:t>
      </w:r>
      <w:r w:rsidRPr="008C0B4F">
        <w:rPr>
          <w:lang w:eastAsia="ru-RU"/>
        </w:rPr>
        <w:t>]</w:t>
      </w:r>
    </w:p>
    <w:p w14:paraId="6E9D3864" w14:textId="124A5A2A" w:rsidR="00773551" w:rsidRDefault="00773551" w:rsidP="00773551">
      <w:pPr>
        <w:rPr>
          <w:lang w:eastAsia="ru-RU"/>
        </w:rPr>
      </w:pPr>
      <w:r>
        <w:rPr>
          <w:lang w:eastAsia="ru-RU"/>
        </w:rPr>
        <w:t xml:space="preserve">Коэффициент текущей ликвидности увеличивается на временном промежутке с 2016 года — показатель был равен 1,06 в 2016 году и 1,27 в 2019 году. Коэффициенты быстрой и абсолютной ликвидности в этом периоде уменьшались, что обусловлено снижением величины денежных средств и их эквивалентов. Коэффициенты текущей и абсолютной ликвидности находятся в нормативном значении, демонстрируя платежеспособность компании АКРОН. Коэффициент быстрой ликвидности ниже 1, но не является критическим. </w:t>
      </w:r>
    </w:p>
    <w:p w14:paraId="5B09E1A2" w14:textId="699F4367" w:rsidR="00D66A3B" w:rsidRDefault="00D66A3B" w:rsidP="00D66A3B">
      <w:pPr>
        <w:pStyle w:val="a0"/>
        <w:rPr>
          <w:lang w:eastAsia="ru-RU"/>
        </w:rPr>
      </w:pPr>
      <w:r w:rsidRPr="007E423F">
        <w:rPr>
          <w:lang w:eastAsia="ru-RU"/>
        </w:rPr>
        <w:t xml:space="preserve">Значения коэффициентов ликвидности </w:t>
      </w:r>
      <w:r>
        <w:rPr>
          <w:lang w:eastAsia="ru-RU"/>
        </w:rPr>
        <w:t xml:space="preserve">Акрон </w:t>
      </w:r>
      <w:r w:rsidRPr="007E423F">
        <w:rPr>
          <w:lang w:eastAsia="ru-RU"/>
        </w:rPr>
        <w:t>в 201</w:t>
      </w:r>
      <w:r>
        <w:rPr>
          <w:lang w:eastAsia="ru-RU"/>
        </w:rPr>
        <w:t>6</w:t>
      </w:r>
      <w:r w:rsidRPr="007E423F">
        <w:rPr>
          <w:lang w:eastAsia="ru-RU"/>
        </w:rPr>
        <w:t>-201</w:t>
      </w:r>
      <w:r>
        <w:rPr>
          <w:lang w:eastAsia="ru-RU"/>
        </w:rPr>
        <w:t>9</w:t>
      </w:r>
      <w:r w:rsidRPr="007E423F">
        <w:rPr>
          <w:lang w:eastAsia="ru-RU"/>
        </w:rPr>
        <w:t xml:space="preserve"> годах</w:t>
      </w:r>
    </w:p>
    <w:tbl>
      <w:tblPr>
        <w:tblW w:w="7720" w:type="dxa"/>
        <w:jc w:val="center"/>
        <w:tblLook w:val="04A0" w:firstRow="1" w:lastRow="0" w:firstColumn="1" w:lastColumn="0" w:noHBand="0" w:noVBand="1"/>
      </w:tblPr>
      <w:tblGrid>
        <w:gridCol w:w="3880"/>
        <w:gridCol w:w="960"/>
        <w:gridCol w:w="960"/>
        <w:gridCol w:w="960"/>
        <w:gridCol w:w="960"/>
      </w:tblGrid>
      <w:tr w:rsidR="00D66A3B" w:rsidRPr="00D66A3B" w14:paraId="4EC13D35" w14:textId="77777777" w:rsidTr="00D66A3B">
        <w:trPr>
          <w:trHeight w:val="460"/>
          <w:jc w:val="center"/>
        </w:trPr>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C7EE2C" w14:textId="77777777" w:rsidR="00D66A3B" w:rsidRPr="00D66A3B" w:rsidRDefault="00D66A3B" w:rsidP="0059222A">
            <w:pPr>
              <w:spacing w:after="0" w:line="480" w:lineRule="auto"/>
              <w:ind w:firstLine="0"/>
              <w:jc w:val="center"/>
              <w:rPr>
                <w:rFonts w:eastAsia="Times New Roman" w:cs="Times New Roman"/>
                <w:b/>
                <w:bCs/>
                <w:color w:val="000000"/>
                <w:sz w:val="22"/>
                <w:lang w:eastAsia="ru-RU"/>
              </w:rPr>
            </w:pPr>
            <w:r w:rsidRPr="00D66A3B">
              <w:rPr>
                <w:rFonts w:eastAsia="Times New Roman" w:cs="Times New Roman"/>
                <w:b/>
                <w:bCs/>
                <w:color w:val="000000"/>
                <w:sz w:val="22"/>
                <w:lang w:eastAsia="ru-RU"/>
              </w:rPr>
              <w:t>Коэффициенты ликвидности</w:t>
            </w:r>
          </w:p>
        </w:tc>
        <w:tc>
          <w:tcPr>
            <w:tcW w:w="38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08D431" w14:textId="77777777" w:rsidR="00D66A3B" w:rsidRPr="00D66A3B" w:rsidRDefault="00D66A3B" w:rsidP="00D66A3B">
            <w:pPr>
              <w:spacing w:after="0" w:line="240" w:lineRule="auto"/>
              <w:ind w:firstLine="0"/>
              <w:jc w:val="center"/>
              <w:rPr>
                <w:rFonts w:eastAsia="Times New Roman" w:cs="Times New Roman"/>
                <w:b/>
                <w:bCs/>
                <w:color w:val="000000"/>
                <w:sz w:val="22"/>
                <w:lang w:eastAsia="ru-RU"/>
              </w:rPr>
            </w:pPr>
            <w:r w:rsidRPr="00D66A3B">
              <w:rPr>
                <w:rFonts w:eastAsia="Times New Roman" w:cs="Times New Roman"/>
                <w:b/>
                <w:bCs/>
                <w:color w:val="000000"/>
                <w:sz w:val="22"/>
                <w:lang w:eastAsia="ru-RU"/>
              </w:rPr>
              <w:t>Значение коэффициентов ликвидности</w:t>
            </w:r>
          </w:p>
        </w:tc>
      </w:tr>
      <w:tr w:rsidR="00D66A3B" w:rsidRPr="00D66A3B" w14:paraId="75AA54DC" w14:textId="77777777" w:rsidTr="0059222A">
        <w:trPr>
          <w:trHeight w:val="50"/>
          <w:jc w:val="center"/>
        </w:trPr>
        <w:tc>
          <w:tcPr>
            <w:tcW w:w="3880" w:type="dxa"/>
            <w:vMerge/>
            <w:tcBorders>
              <w:top w:val="single" w:sz="4" w:space="0" w:color="auto"/>
              <w:left w:val="single" w:sz="4" w:space="0" w:color="auto"/>
              <w:bottom w:val="single" w:sz="4" w:space="0" w:color="auto"/>
              <w:right w:val="single" w:sz="4" w:space="0" w:color="auto"/>
            </w:tcBorders>
            <w:vAlign w:val="center"/>
            <w:hideMark/>
          </w:tcPr>
          <w:p w14:paraId="6655F930" w14:textId="77777777" w:rsidR="00D66A3B" w:rsidRPr="00D66A3B" w:rsidRDefault="00D66A3B" w:rsidP="00D66A3B">
            <w:pPr>
              <w:spacing w:after="0" w:line="240" w:lineRule="auto"/>
              <w:ind w:firstLine="0"/>
              <w:jc w:val="left"/>
              <w:rPr>
                <w:rFonts w:eastAsia="Times New Roman" w:cs="Times New Roman"/>
                <w:color w:val="000000"/>
                <w:sz w:val="22"/>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14:paraId="0B45859A" w14:textId="77777777" w:rsidR="00D66A3B" w:rsidRPr="00D66A3B" w:rsidRDefault="00D66A3B" w:rsidP="0059222A">
            <w:pPr>
              <w:spacing w:after="0" w:line="240" w:lineRule="auto"/>
              <w:ind w:firstLine="0"/>
              <w:jc w:val="right"/>
              <w:rPr>
                <w:rFonts w:eastAsia="Times New Roman" w:cs="Times New Roman"/>
                <w:b/>
                <w:bCs/>
                <w:color w:val="000000"/>
                <w:sz w:val="22"/>
                <w:lang w:eastAsia="ru-RU"/>
              </w:rPr>
            </w:pPr>
            <w:r w:rsidRPr="00D66A3B">
              <w:rPr>
                <w:rFonts w:eastAsia="Times New Roman" w:cs="Times New Roman"/>
                <w:b/>
                <w:bCs/>
                <w:color w:val="000000"/>
                <w:sz w:val="22"/>
                <w:lang w:eastAsia="ru-RU"/>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05230C49" w14:textId="77777777" w:rsidR="00D66A3B" w:rsidRPr="00D66A3B" w:rsidRDefault="00D66A3B" w:rsidP="0059222A">
            <w:pPr>
              <w:spacing w:after="0" w:line="240" w:lineRule="auto"/>
              <w:ind w:firstLine="0"/>
              <w:jc w:val="right"/>
              <w:rPr>
                <w:rFonts w:eastAsia="Times New Roman" w:cs="Times New Roman"/>
                <w:b/>
                <w:bCs/>
                <w:color w:val="000000"/>
                <w:sz w:val="22"/>
                <w:lang w:eastAsia="ru-RU"/>
              </w:rPr>
            </w:pPr>
            <w:r w:rsidRPr="00D66A3B">
              <w:rPr>
                <w:rFonts w:eastAsia="Times New Roman" w:cs="Times New Roman"/>
                <w:b/>
                <w:bCs/>
                <w:color w:val="000000"/>
                <w:sz w:val="22"/>
                <w:lang w:eastAsia="ru-RU"/>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2C9B0DDC" w14:textId="77777777" w:rsidR="00D66A3B" w:rsidRPr="00D66A3B" w:rsidRDefault="00D66A3B" w:rsidP="0059222A">
            <w:pPr>
              <w:spacing w:after="0" w:line="240" w:lineRule="auto"/>
              <w:ind w:firstLine="0"/>
              <w:jc w:val="right"/>
              <w:rPr>
                <w:rFonts w:eastAsia="Times New Roman" w:cs="Times New Roman"/>
                <w:b/>
                <w:bCs/>
                <w:color w:val="000000"/>
                <w:sz w:val="22"/>
                <w:lang w:eastAsia="ru-RU"/>
              </w:rPr>
            </w:pPr>
            <w:r w:rsidRPr="00D66A3B">
              <w:rPr>
                <w:rFonts w:eastAsia="Times New Roman" w:cs="Times New Roman"/>
                <w:b/>
                <w:bCs/>
                <w:color w:val="000000"/>
                <w:sz w:val="22"/>
                <w:lang w:eastAsia="ru-RU"/>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36F7362" w14:textId="77777777" w:rsidR="00D66A3B" w:rsidRPr="00D66A3B" w:rsidRDefault="00D66A3B" w:rsidP="0059222A">
            <w:pPr>
              <w:spacing w:after="0" w:line="240" w:lineRule="auto"/>
              <w:ind w:firstLine="0"/>
              <w:jc w:val="right"/>
              <w:rPr>
                <w:rFonts w:eastAsia="Times New Roman" w:cs="Times New Roman"/>
                <w:b/>
                <w:bCs/>
                <w:color w:val="000000"/>
                <w:sz w:val="22"/>
                <w:lang w:eastAsia="ru-RU"/>
              </w:rPr>
            </w:pPr>
            <w:r w:rsidRPr="00D66A3B">
              <w:rPr>
                <w:rFonts w:eastAsia="Times New Roman" w:cs="Times New Roman"/>
                <w:b/>
                <w:bCs/>
                <w:color w:val="000000"/>
                <w:sz w:val="22"/>
                <w:lang w:eastAsia="ru-RU"/>
              </w:rPr>
              <w:t>2019</w:t>
            </w:r>
          </w:p>
        </w:tc>
      </w:tr>
      <w:tr w:rsidR="00D66A3B" w:rsidRPr="00D66A3B" w14:paraId="45EED3C3" w14:textId="77777777" w:rsidTr="00D66A3B">
        <w:trPr>
          <w:trHeight w:val="370"/>
          <w:jc w:val="center"/>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22866918" w14:textId="77777777" w:rsidR="00D66A3B" w:rsidRPr="00D66A3B" w:rsidRDefault="00D66A3B" w:rsidP="00D66A3B">
            <w:pPr>
              <w:spacing w:after="0" w:line="240" w:lineRule="auto"/>
              <w:ind w:firstLine="0"/>
              <w:jc w:val="left"/>
              <w:rPr>
                <w:rFonts w:eastAsia="Times New Roman" w:cs="Times New Roman"/>
                <w:color w:val="000000"/>
                <w:sz w:val="22"/>
                <w:lang w:eastAsia="ru-RU"/>
              </w:rPr>
            </w:pPr>
            <w:r w:rsidRPr="00D66A3B">
              <w:rPr>
                <w:rFonts w:eastAsia="Times New Roman" w:cs="Times New Roman"/>
                <w:color w:val="000000"/>
                <w:sz w:val="22"/>
                <w:lang w:eastAsia="ru-RU"/>
              </w:rPr>
              <w:t>Коэффициент текущей ликвидности</w:t>
            </w:r>
          </w:p>
        </w:tc>
        <w:tc>
          <w:tcPr>
            <w:tcW w:w="960" w:type="dxa"/>
            <w:tcBorders>
              <w:top w:val="nil"/>
              <w:left w:val="nil"/>
              <w:bottom w:val="single" w:sz="4" w:space="0" w:color="auto"/>
              <w:right w:val="single" w:sz="4" w:space="0" w:color="auto"/>
            </w:tcBorders>
            <w:shd w:val="clear" w:color="auto" w:fill="auto"/>
            <w:noWrap/>
            <w:vAlign w:val="bottom"/>
            <w:hideMark/>
          </w:tcPr>
          <w:p w14:paraId="197A8A39"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1,06</w:t>
            </w:r>
          </w:p>
        </w:tc>
        <w:tc>
          <w:tcPr>
            <w:tcW w:w="960" w:type="dxa"/>
            <w:tcBorders>
              <w:top w:val="nil"/>
              <w:left w:val="nil"/>
              <w:bottom w:val="single" w:sz="4" w:space="0" w:color="auto"/>
              <w:right w:val="single" w:sz="4" w:space="0" w:color="auto"/>
            </w:tcBorders>
            <w:shd w:val="clear" w:color="auto" w:fill="auto"/>
            <w:noWrap/>
            <w:vAlign w:val="bottom"/>
            <w:hideMark/>
          </w:tcPr>
          <w:p w14:paraId="0D1571A5"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1,17</w:t>
            </w:r>
          </w:p>
        </w:tc>
        <w:tc>
          <w:tcPr>
            <w:tcW w:w="960" w:type="dxa"/>
            <w:tcBorders>
              <w:top w:val="nil"/>
              <w:left w:val="nil"/>
              <w:bottom w:val="single" w:sz="4" w:space="0" w:color="auto"/>
              <w:right w:val="single" w:sz="4" w:space="0" w:color="auto"/>
            </w:tcBorders>
            <w:shd w:val="clear" w:color="auto" w:fill="auto"/>
            <w:noWrap/>
            <w:vAlign w:val="bottom"/>
            <w:hideMark/>
          </w:tcPr>
          <w:p w14:paraId="0AB57E9E"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1,21</w:t>
            </w:r>
          </w:p>
        </w:tc>
        <w:tc>
          <w:tcPr>
            <w:tcW w:w="960" w:type="dxa"/>
            <w:tcBorders>
              <w:top w:val="nil"/>
              <w:left w:val="nil"/>
              <w:bottom w:val="single" w:sz="4" w:space="0" w:color="auto"/>
              <w:right w:val="single" w:sz="4" w:space="0" w:color="auto"/>
            </w:tcBorders>
            <w:shd w:val="clear" w:color="auto" w:fill="auto"/>
            <w:noWrap/>
            <w:vAlign w:val="bottom"/>
            <w:hideMark/>
          </w:tcPr>
          <w:p w14:paraId="6FC7254C"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1,27</w:t>
            </w:r>
          </w:p>
        </w:tc>
      </w:tr>
      <w:tr w:rsidR="00D66A3B" w:rsidRPr="00D66A3B" w14:paraId="6A629160" w14:textId="77777777" w:rsidTr="00D66A3B">
        <w:trPr>
          <w:trHeight w:val="370"/>
          <w:jc w:val="center"/>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763EC31E" w14:textId="77777777" w:rsidR="00D66A3B" w:rsidRPr="00D66A3B" w:rsidRDefault="00D66A3B" w:rsidP="00D66A3B">
            <w:pPr>
              <w:spacing w:after="0" w:line="240" w:lineRule="auto"/>
              <w:ind w:firstLine="0"/>
              <w:jc w:val="left"/>
              <w:rPr>
                <w:rFonts w:eastAsia="Times New Roman" w:cs="Times New Roman"/>
                <w:color w:val="000000"/>
                <w:sz w:val="22"/>
                <w:lang w:eastAsia="ru-RU"/>
              </w:rPr>
            </w:pPr>
            <w:r w:rsidRPr="00D66A3B">
              <w:rPr>
                <w:rFonts w:eastAsia="Times New Roman" w:cs="Times New Roman"/>
                <w:color w:val="000000"/>
                <w:sz w:val="22"/>
                <w:lang w:eastAsia="ru-RU"/>
              </w:rPr>
              <w:t>Коэффициент быстрой ликвидности</w:t>
            </w:r>
          </w:p>
        </w:tc>
        <w:tc>
          <w:tcPr>
            <w:tcW w:w="960" w:type="dxa"/>
            <w:tcBorders>
              <w:top w:val="nil"/>
              <w:left w:val="nil"/>
              <w:bottom w:val="single" w:sz="4" w:space="0" w:color="auto"/>
              <w:right w:val="single" w:sz="4" w:space="0" w:color="auto"/>
            </w:tcBorders>
            <w:shd w:val="clear" w:color="auto" w:fill="auto"/>
            <w:noWrap/>
            <w:vAlign w:val="bottom"/>
            <w:hideMark/>
          </w:tcPr>
          <w:p w14:paraId="60D04996"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0,77</w:t>
            </w:r>
          </w:p>
        </w:tc>
        <w:tc>
          <w:tcPr>
            <w:tcW w:w="960" w:type="dxa"/>
            <w:tcBorders>
              <w:top w:val="nil"/>
              <w:left w:val="nil"/>
              <w:bottom w:val="single" w:sz="4" w:space="0" w:color="auto"/>
              <w:right w:val="single" w:sz="4" w:space="0" w:color="auto"/>
            </w:tcBorders>
            <w:shd w:val="clear" w:color="auto" w:fill="auto"/>
            <w:noWrap/>
            <w:vAlign w:val="bottom"/>
            <w:hideMark/>
          </w:tcPr>
          <w:p w14:paraId="31A3EAB7"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0,71</w:t>
            </w:r>
          </w:p>
        </w:tc>
        <w:tc>
          <w:tcPr>
            <w:tcW w:w="960" w:type="dxa"/>
            <w:tcBorders>
              <w:top w:val="nil"/>
              <w:left w:val="nil"/>
              <w:bottom w:val="single" w:sz="4" w:space="0" w:color="auto"/>
              <w:right w:val="single" w:sz="4" w:space="0" w:color="auto"/>
            </w:tcBorders>
            <w:shd w:val="clear" w:color="auto" w:fill="auto"/>
            <w:noWrap/>
            <w:vAlign w:val="bottom"/>
            <w:hideMark/>
          </w:tcPr>
          <w:p w14:paraId="7870458B"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0,66</w:t>
            </w:r>
          </w:p>
        </w:tc>
        <w:tc>
          <w:tcPr>
            <w:tcW w:w="960" w:type="dxa"/>
            <w:tcBorders>
              <w:top w:val="nil"/>
              <w:left w:val="nil"/>
              <w:bottom w:val="single" w:sz="4" w:space="0" w:color="auto"/>
              <w:right w:val="single" w:sz="4" w:space="0" w:color="auto"/>
            </w:tcBorders>
            <w:shd w:val="clear" w:color="auto" w:fill="auto"/>
            <w:noWrap/>
            <w:vAlign w:val="bottom"/>
            <w:hideMark/>
          </w:tcPr>
          <w:p w14:paraId="0628E840"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0,75</w:t>
            </w:r>
          </w:p>
        </w:tc>
      </w:tr>
      <w:tr w:rsidR="00D66A3B" w:rsidRPr="00D66A3B" w14:paraId="4E63CD69" w14:textId="77777777" w:rsidTr="00D66A3B">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626FFD91" w14:textId="77777777" w:rsidR="00D66A3B" w:rsidRPr="00D66A3B" w:rsidRDefault="00D66A3B" w:rsidP="00D66A3B">
            <w:pPr>
              <w:spacing w:after="0" w:line="240" w:lineRule="auto"/>
              <w:ind w:firstLine="0"/>
              <w:jc w:val="left"/>
              <w:rPr>
                <w:rFonts w:eastAsia="Times New Roman" w:cs="Times New Roman"/>
                <w:color w:val="000000"/>
                <w:sz w:val="22"/>
                <w:lang w:eastAsia="ru-RU"/>
              </w:rPr>
            </w:pPr>
            <w:r w:rsidRPr="00D66A3B">
              <w:rPr>
                <w:rFonts w:eastAsia="Times New Roman" w:cs="Times New Roman"/>
                <w:color w:val="000000"/>
                <w:sz w:val="22"/>
                <w:lang w:eastAsia="ru-RU"/>
              </w:rPr>
              <w:t>Коэффициент абсолютной ликвидности</w:t>
            </w:r>
          </w:p>
        </w:tc>
        <w:tc>
          <w:tcPr>
            <w:tcW w:w="960" w:type="dxa"/>
            <w:tcBorders>
              <w:top w:val="nil"/>
              <w:left w:val="nil"/>
              <w:bottom w:val="single" w:sz="4" w:space="0" w:color="auto"/>
              <w:right w:val="single" w:sz="4" w:space="0" w:color="auto"/>
            </w:tcBorders>
            <w:shd w:val="clear" w:color="auto" w:fill="auto"/>
            <w:noWrap/>
            <w:vAlign w:val="bottom"/>
            <w:hideMark/>
          </w:tcPr>
          <w:p w14:paraId="7D5FA0E1"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0,61</w:t>
            </w:r>
          </w:p>
        </w:tc>
        <w:tc>
          <w:tcPr>
            <w:tcW w:w="960" w:type="dxa"/>
            <w:tcBorders>
              <w:top w:val="nil"/>
              <w:left w:val="nil"/>
              <w:bottom w:val="single" w:sz="4" w:space="0" w:color="auto"/>
              <w:right w:val="single" w:sz="4" w:space="0" w:color="auto"/>
            </w:tcBorders>
            <w:shd w:val="clear" w:color="auto" w:fill="auto"/>
            <w:noWrap/>
            <w:vAlign w:val="bottom"/>
            <w:hideMark/>
          </w:tcPr>
          <w:p w14:paraId="58ABC595"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0,42</w:t>
            </w:r>
          </w:p>
        </w:tc>
        <w:tc>
          <w:tcPr>
            <w:tcW w:w="960" w:type="dxa"/>
            <w:tcBorders>
              <w:top w:val="nil"/>
              <w:left w:val="nil"/>
              <w:bottom w:val="single" w:sz="4" w:space="0" w:color="auto"/>
              <w:right w:val="single" w:sz="4" w:space="0" w:color="auto"/>
            </w:tcBorders>
            <w:shd w:val="clear" w:color="auto" w:fill="auto"/>
            <w:noWrap/>
            <w:vAlign w:val="bottom"/>
            <w:hideMark/>
          </w:tcPr>
          <w:p w14:paraId="50C7CA0E"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0,32</w:t>
            </w:r>
          </w:p>
        </w:tc>
        <w:tc>
          <w:tcPr>
            <w:tcW w:w="960" w:type="dxa"/>
            <w:tcBorders>
              <w:top w:val="nil"/>
              <w:left w:val="nil"/>
              <w:bottom w:val="single" w:sz="4" w:space="0" w:color="auto"/>
              <w:right w:val="single" w:sz="4" w:space="0" w:color="auto"/>
            </w:tcBorders>
            <w:shd w:val="clear" w:color="auto" w:fill="auto"/>
            <w:noWrap/>
            <w:vAlign w:val="bottom"/>
            <w:hideMark/>
          </w:tcPr>
          <w:p w14:paraId="1B9F6EA1" w14:textId="77777777" w:rsidR="00D66A3B" w:rsidRPr="00D66A3B" w:rsidRDefault="00D66A3B" w:rsidP="00D66A3B">
            <w:pPr>
              <w:spacing w:after="0" w:line="240" w:lineRule="auto"/>
              <w:ind w:firstLine="0"/>
              <w:jc w:val="right"/>
              <w:rPr>
                <w:rFonts w:eastAsia="Times New Roman" w:cs="Times New Roman"/>
                <w:color w:val="000000"/>
                <w:sz w:val="22"/>
                <w:lang w:eastAsia="ru-RU"/>
              </w:rPr>
            </w:pPr>
            <w:r w:rsidRPr="00D66A3B">
              <w:rPr>
                <w:rFonts w:eastAsia="Times New Roman" w:cs="Times New Roman"/>
                <w:color w:val="000000"/>
                <w:sz w:val="22"/>
                <w:lang w:eastAsia="ru-RU"/>
              </w:rPr>
              <w:t>0,43</w:t>
            </w:r>
          </w:p>
        </w:tc>
      </w:tr>
    </w:tbl>
    <w:p w14:paraId="181AB039" w14:textId="4F8CFCB2" w:rsidR="001D46AA" w:rsidRDefault="00D66A3B" w:rsidP="00D66A3B">
      <w:pPr>
        <w:pStyle w:val="a"/>
        <w:numPr>
          <w:ilvl w:val="0"/>
          <w:numId w:val="0"/>
        </w:numPr>
        <w:spacing w:before="0" w:line="240" w:lineRule="auto"/>
        <w:ind w:left="851"/>
        <w:jc w:val="both"/>
        <w:rPr>
          <w:lang w:eastAsia="ru-RU"/>
        </w:rPr>
      </w:pPr>
      <w:r>
        <w:rPr>
          <w:lang w:eastAsia="ru-RU"/>
        </w:rPr>
        <w:t xml:space="preserve">Источник: </w:t>
      </w:r>
      <w:r w:rsidRPr="008C0B4F">
        <w:rPr>
          <w:lang w:eastAsia="ru-RU"/>
        </w:rPr>
        <w:t>[</w:t>
      </w:r>
      <w:r>
        <w:rPr>
          <w:lang w:eastAsia="ru-RU"/>
        </w:rPr>
        <w:t>составлено автором по отчетности компании Акрон</w:t>
      </w:r>
      <w:r w:rsidRPr="008C0B4F">
        <w:rPr>
          <w:lang w:eastAsia="ru-RU"/>
        </w:rPr>
        <w:t>]</w:t>
      </w:r>
    </w:p>
    <w:p w14:paraId="6EC716FF" w14:textId="7A0F4555" w:rsidR="003136E3" w:rsidRPr="007F75DB" w:rsidRDefault="000E4753" w:rsidP="000E4753">
      <w:pPr>
        <w:rPr>
          <w:lang w:eastAsia="ru-RU"/>
        </w:rPr>
      </w:pPr>
      <w:r>
        <w:rPr>
          <w:lang w:eastAsia="ru-RU"/>
        </w:rPr>
        <w:t xml:space="preserve">При анализе финансового состояния компании Акрон был выделен стабильный темп роста компании в среднем в 10%. Стоит отметить непостоянство структуры капитала, при этом доля заемного капитала находилась в диапазоне 37-47%. Оборачиваемость статей баланса демонстрировала стабильность показателей в 2016-2019 годах. </w:t>
      </w:r>
    </w:p>
    <w:p w14:paraId="252A573B" w14:textId="716864B1" w:rsidR="004A3443" w:rsidRPr="004A3443" w:rsidRDefault="004A3443" w:rsidP="004A3443">
      <w:pPr>
        <w:pStyle w:val="3"/>
        <w:rPr>
          <w:lang w:eastAsia="ru-RU"/>
        </w:rPr>
      </w:pPr>
      <w:bookmarkStart w:id="28" w:name="_Toc41822247"/>
      <w:r>
        <w:rPr>
          <w:lang w:eastAsia="ru-RU"/>
        </w:rPr>
        <w:t xml:space="preserve">3.2.5. </w:t>
      </w:r>
      <w:r w:rsidRPr="006E0D62">
        <w:rPr>
          <w:lang w:eastAsia="ru-RU"/>
        </w:rPr>
        <w:t xml:space="preserve">Анализ финансово-экономической деятельности </w:t>
      </w:r>
      <w:r w:rsidRPr="006E0D62">
        <w:rPr>
          <w:lang w:val="en-US" w:eastAsia="ru-RU"/>
        </w:rPr>
        <w:t>HeadHunter</w:t>
      </w:r>
      <w:r>
        <w:rPr>
          <w:lang w:eastAsia="ru-RU"/>
        </w:rPr>
        <w:t xml:space="preserve"> </w:t>
      </w:r>
      <w:r>
        <w:rPr>
          <w:lang w:val="en-US" w:eastAsia="ru-RU"/>
        </w:rPr>
        <w:t>Group</w:t>
      </w:r>
      <w:bookmarkEnd w:id="28"/>
    </w:p>
    <w:p w14:paraId="167A7A9C" w14:textId="756B5BEE" w:rsidR="009870E2" w:rsidRDefault="009870E2" w:rsidP="0022553F">
      <w:pPr>
        <w:rPr>
          <w:lang w:eastAsia="ru-RU"/>
        </w:rPr>
      </w:pPr>
      <w:r>
        <w:rPr>
          <w:lang w:eastAsia="ru-RU"/>
        </w:rPr>
        <w:t xml:space="preserve">Компания </w:t>
      </w:r>
      <w:r>
        <w:rPr>
          <w:lang w:val="en-US" w:eastAsia="ru-RU"/>
        </w:rPr>
        <w:t>HeadHunter</w:t>
      </w:r>
      <w:r w:rsidRPr="00D21495">
        <w:rPr>
          <w:lang w:eastAsia="ru-RU"/>
        </w:rPr>
        <w:t xml:space="preserve"> </w:t>
      </w:r>
      <w:r>
        <w:rPr>
          <w:lang w:eastAsia="ru-RU"/>
        </w:rPr>
        <w:t>является крупнейшей интернет-рекрутинговой платформой, занимающейся подбором персонала в России и странах СНГ: Белоруссии, Казахстане и Украине. Основными видами деятельности компании являются: предоставление доступа к базе резюме, публикация вакансий и комплексные подписки.</w:t>
      </w:r>
      <w:r>
        <w:rPr>
          <w:rStyle w:val="afe"/>
          <w:lang w:eastAsia="ru-RU"/>
        </w:rPr>
        <w:footnoteReference w:id="76"/>
      </w:r>
      <w:r>
        <w:rPr>
          <w:lang w:eastAsia="ru-RU"/>
        </w:rPr>
        <w:t xml:space="preserve"> Компания </w:t>
      </w:r>
      <w:r>
        <w:rPr>
          <w:lang w:val="en-US" w:eastAsia="ru-RU"/>
        </w:rPr>
        <w:t>HeadHunter</w:t>
      </w:r>
      <w:r w:rsidRPr="000A7B24">
        <w:rPr>
          <w:lang w:eastAsia="ru-RU"/>
        </w:rPr>
        <w:t xml:space="preserve"> </w:t>
      </w:r>
      <w:r>
        <w:rPr>
          <w:lang w:eastAsia="ru-RU"/>
        </w:rPr>
        <w:t xml:space="preserve">является лидером на рынке онлайн-рекрутинга в России и странах СНГ. Компания </w:t>
      </w:r>
      <w:r>
        <w:rPr>
          <w:lang w:eastAsia="ru-RU"/>
        </w:rPr>
        <w:lastRenderedPageBreak/>
        <w:t xml:space="preserve">обладает самой большой базой данных в силу исторического успеха на рынке — на декабрь 2019 года количество резюме равно 41,8 миллионов. </w:t>
      </w:r>
    </w:p>
    <w:p w14:paraId="0BEDC3EC" w14:textId="0F2195BF" w:rsidR="0022553F" w:rsidRDefault="004A3443" w:rsidP="0022553F">
      <w:pPr>
        <w:rPr>
          <w:lang w:eastAsia="ru-RU"/>
        </w:rPr>
      </w:pPr>
      <w:r w:rsidRPr="0022553F">
        <w:t>Выручка компании HeadHunter в последние годы существенно выросла</w:t>
      </w:r>
      <w:r w:rsidR="009870E2">
        <w:t>, в</w:t>
      </w:r>
      <w:r w:rsidRPr="0022553F">
        <w:t xml:space="preserve"> 2018 году рост доходов от основных видов деятельности составил порядка 30%, что обосновывается как изменениями в отрасли рекрутмента, так и лидирующей позиции компании. Доходы компании с 2006 года были в основном направлены на рост бизнеса, с тех пор развитие компании осуществлялось за счет собственных средств. На рисунке 4 представлена динамика выручки компании HeadHunter с 2014 по 2018 годы.</w:t>
      </w:r>
    </w:p>
    <w:p w14:paraId="0195C3AD" w14:textId="6ABEEC41" w:rsidR="004A3443" w:rsidRDefault="0022553F" w:rsidP="0022553F">
      <w:pPr>
        <w:pStyle w:val="a0"/>
        <w:rPr>
          <w:lang w:eastAsia="ru-RU"/>
        </w:rPr>
      </w:pPr>
      <w:r>
        <w:rPr>
          <w:lang w:eastAsia="ru-RU"/>
        </w:rPr>
        <w:t xml:space="preserve">Изменение выручки компании </w:t>
      </w:r>
      <w:r w:rsidRPr="00EA027A">
        <w:rPr>
          <w:lang w:val="en-US" w:eastAsia="ru-RU"/>
        </w:rPr>
        <w:t>HeadHunter</w:t>
      </w:r>
      <w:r>
        <w:rPr>
          <w:lang w:eastAsia="ru-RU"/>
        </w:rPr>
        <w:t xml:space="preserve"> в период с 201</w:t>
      </w:r>
      <w:r w:rsidR="009870E2">
        <w:rPr>
          <w:lang w:eastAsia="ru-RU"/>
        </w:rPr>
        <w:t>6</w:t>
      </w:r>
      <w:r>
        <w:rPr>
          <w:lang w:eastAsia="ru-RU"/>
        </w:rPr>
        <w:t>-201</w:t>
      </w:r>
      <w:r w:rsidR="009870E2">
        <w:rPr>
          <w:lang w:eastAsia="ru-RU"/>
        </w:rPr>
        <w:t xml:space="preserve">9 </w:t>
      </w:r>
      <w:r>
        <w:rPr>
          <w:lang w:eastAsia="ru-RU"/>
        </w:rPr>
        <w:t>годы</w:t>
      </w:r>
    </w:p>
    <w:tbl>
      <w:tblPr>
        <w:tblW w:w="8840" w:type="dxa"/>
        <w:jc w:val="center"/>
        <w:tblLook w:val="04A0" w:firstRow="1" w:lastRow="0" w:firstColumn="1" w:lastColumn="0" w:noHBand="0" w:noVBand="1"/>
      </w:tblPr>
      <w:tblGrid>
        <w:gridCol w:w="2600"/>
        <w:gridCol w:w="1520"/>
        <w:gridCol w:w="1620"/>
        <w:gridCol w:w="1580"/>
        <w:gridCol w:w="1520"/>
      </w:tblGrid>
      <w:tr w:rsidR="0022553F" w:rsidRPr="0022553F" w14:paraId="4F701C8C" w14:textId="77777777" w:rsidTr="0022553F">
        <w:trPr>
          <w:trHeight w:val="290"/>
          <w:jc w:val="center"/>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CDED8" w14:textId="77777777" w:rsidR="0022553F" w:rsidRPr="0022553F" w:rsidRDefault="0022553F" w:rsidP="0022553F">
            <w:pPr>
              <w:spacing w:after="0" w:line="240" w:lineRule="auto"/>
              <w:ind w:firstLine="0"/>
              <w:jc w:val="left"/>
              <w:rPr>
                <w:rFonts w:eastAsia="Times New Roman" w:cs="Times New Roman"/>
                <w:b/>
                <w:bCs/>
                <w:color w:val="000000"/>
                <w:sz w:val="22"/>
                <w:lang w:eastAsia="ru-RU"/>
              </w:rPr>
            </w:pPr>
            <w:r w:rsidRPr="0022553F">
              <w:rPr>
                <w:rFonts w:eastAsia="Times New Roman" w:cs="Times New Roman"/>
                <w:b/>
                <w:bCs/>
                <w:color w:val="000000"/>
                <w:sz w:val="22"/>
                <w:lang w:eastAsia="ru-RU"/>
              </w:rPr>
              <w:t>Период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188DE341" w14:textId="77777777" w:rsidR="0022553F" w:rsidRPr="0022553F" w:rsidRDefault="0022553F" w:rsidP="0022553F">
            <w:pPr>
              <w:spacing w:after="0" w:line="240" w:lineRule="auto"/>
              <w:ind w:firstLine="0"/>
              <w:jc w:val="center"/>
              <w:rPr>
                <w:rFonts w:eastAsia="Times New Roman" w:cs="Times New Roman"/>
                <w:b/>
                <w:bCs/>
                <w:color w:val="000000"/>
                <w:sz w:val="22"/>
                <w:lang w:eastAsia="ru-RU"/>
              </w:rPr>
            </w:pPr>
            <w:r w:rsidRPr="0022553F">
              <w:rPr>
                <w:rFonts w:eastAsia="Times New Roman" w:cs="Times New Roman"/>
                <w:b/>
                <w:bCs/>
                <w:color w:val="000000"/>
                <w:sz w:val="22"/>
                <w:lang w:eastAsia="ru-RU"/>
              </w:rPr>
              <w:t>2016</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65405D7" w14:textId="77777777" w:rsidR="0022553F" w:rsidRPr="0022553F" w:rsidRDefault="0022553F" w:rsidP="0022553F">
            <w:pPr>
              <w:spacing w:after="0" w:line="240" w:lineRule="auto"/>
              <w:ind w:firstLine="0"/>
              <w:jc w:val="center"/>
              <w:rPr>
                <w:rFonts w:eastAsia="Times New Roman" w:cs="Times New Roman"/>
                <w:b/>
                <w:bCs/>
                <w:color w:val="000000"/>
                <w:sz w:val="22"/>
                <w:lang w:eastAsia="ru-RU"/>
              </w:rPr>
            </w:pPr>
            <w:r w:rsidRPr="0022553F">
              <w:rPr>
                <w:rFonts w:eastAsia="Times New Roman" w:cs="Times New Roman"/>
                <w:b/>
                <w:bCs/>
                <w:color w:val="000000"/>
                <w:sz w:val="22"/>
                <w:lang w:eastAsia="ru-RU"/>
              </w:rPr>
              <w:t>2017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070B8B0" w14:textId="77777777" w:rsidR="0022553F" w:rsidRPr="0022553F" w:rsidRDefault="0022553F" w:rsidP="0022553F">
            <w:pPr>
              <w:spacing w:after="0" w:line="240" w:lineRule="auto"/>
              <w:ind w:firstLine="0"/>
              <w:jc w:val="center"/>
              <w:rPr>
                <w:rFonts w:eastAsia="Times New Roman" w:cs="Times New Roman"/>
                <w:b/>
                <w:bCs/>
                <w:color w:val="000000"/>
                <w:sz w:val="22"/>
                <w:lang w:eastAsia="ru-RU"/>
              </w:rPr>
            </w:pPr>
            <w:r w:rsidRPr="0022553F">
              <w:rPr>
                <w:rFonts w:eastAsia="Times New Roman" w:cs="Times New Roman"/>
                <w:b/>
                <w:bCs/>
                <w:color w:val="000000"/>
                <w:sz w:val="22"/>
                <w:lang w:eastAsia="ru-RU"/>
              </w:rPr>
              <w:t>2018</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F69F886" w14:textId="77777777" w:rsidR="0022553F" w:rsidRPr="0022553F" w:rsidRDefault="0022553F" w:rsidP="0022553F">
            <w:pPr>
              <w:spacing w:after="0" w:line="240" w:lineRule="auto"/>
              <w:ind w:firstLine="0"/>
              <w:jc w:val="center"/>
              <w:rPr>
                <w:rFonts w:eastAsia="Times New Roman" w:cs="Times New Roman"/>
                <w:b/>
                <w:bCs/>
                <w:color w:val="000000"/>
                <w:sz w:val="22"/>
                <w:lang w:eastAsia="ru-RU"/>
              </w:rPr>
            </w:pPr>
            <w:r w:rsidRPr="0022553F">
              <w:rPr>
                <w:rFonts w:eastAsia="Times New Roman" w:cs="Times New Roman"/>
                <w:b/>
                <w:bCs/>
                <w:color w:val="000000"/>
                <w:sz w:val="22"/>
                <w:lang w:eastAsia="ru-RU"/>
              </w:rPr>
              <w:t>2019</w:t>
            </w:r>
          </w:p>
        </w:tc>
      </w:tr>
      <w:tr w:rsidR="0022553F" w:rsidRPr="0022553F" w14:paraId="7463AB8C" w14:textId="77777777" w:rsidTr="0022553F">
        <w:trPr>
          <w:trHeight w:val="290"/>
          <w:jc w:val="center"/>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B04080B" w14:textId="50D8A48F" w:rsidR="0022553F" w:rsidRPr="0022553F" w:rsidRDefault="0022553F" w:rsidP="0022553F">
            <w:pPr>
              <w:spacing w:after="0" w:line="240" w:lineRule="auto"/>
              <w:ind w:firstLine="0"/>
              <w:jc w:val="left"/>
              <w:rPr>
                <w:rFonts w:eastAsia="Times New Roman" w:cs="Times New Roman"/>
                <w:b/>
                <w:bCs/>
                <w:color w:val="000000"/>
                <w:sz w:val="22"/>
                <w:lang w:eastAsia="ru-RU"/>
              </w:rPr>
            </w:pPr>
            <w:r w:rsidRPr="0022553F">
              <w:rPr>
                <w:rFonts w:eastAsia="Times New Roman" w:cs="Times New Roman"/>
                <w:b/>
                <w:bCs/>
                <w:color w:val="000000"/>
                <w:sz w:val="22"/>
                <w:lang w:eastAsia="ru-RU"/>
              </w:rPr>
              <w:t>Выручка, тыс.руб.</w:t>
            </w:r>
          </w:p>
        </w:tc>
        <w:tc>
          <w:tcPr>
            <w:tcW w:w="1520" w:type="dxa"/>
            <w:tcBorders>
              <w:top w:val="nil"/>
              <w:left w:val="nil"/>
              <w:bottom w:val="single" w:sz="4" w:space="0" w:color="auto"/>
              <w:right w:val="single" w:sz="4" w:space="0" w:color="auto"/>
            </w:tcBorders>
            <w:shd w:val="clear" w:color="auto" w:fill="auto"/>
            <w:noWrap/>
            <w:vAlign w:val="bottom"/>
            <w:hideMark/>
          </w:tcPr>
          <w:p w14:paraId="04B55807" w14:textId="77777777" w:rsidR="0022553F" w:rsidRPr="0022553F" w:rsidRDefault="0022553F" w:rsidP="0022553F">
            <w:pPr>
              <w:spacing w:after="0" w:line="240" w:lineRule="auto"/>
              <w:ind w:firstLine="0"/>
              <w:jc w:val="right"/>
              <w:rPr>
                <w:rFonts w:eastAsia="Times New Roman" w:cs="Times New Roman"/>
                <w:color w:val="000000"/>
                <w:sz w:val="22"/>
                <w:lang w:eastAsia="ru-RU"/>
              </w:rPr>
            </w:pPr>
            <w:r w:rsidRPr="0022553F">
              <w:rPr>
                <w:rFonts w:eastAsia="Times New Roman" w:cs="Times New Roman"/>
                <w:color w:val="000000"/>
                <w:sz w:val="22"/>
                <w:lang w:eastAsia="ru-RU"/>
              </w:rPr>
              <w:t xml:space="preserve">3 739 596,26  </w:t>
            </w:r>
          </w:p>
        </w:tc>
        <w:tc>
          <w:tcPr>
            <w:tcW w:w="1620" w:type="dxa"/>
            <w:tcBorders>
              <w:top w:val="nil"/>
              <w:left w:val="nil"/>
              <w:bottom w:val="single" w:sz="4" w:space="0" w:color="auto"/>
              <w:right w:val="single" w:sz="4" w:space="0" w:color="auto"/>
            </w:tcBorders>
            <w:shd w:val="clear" w:color="auto" w:fill="auto"/>
            <w:noWrap/>
            <w:vAlign w:val="bottom"/>
            <w:hideMark/>
          </w:tcPr>
          <w:p w14:paraId="3BFEC9B4" w14:textId="77777777" w:rsidR="0022553F" w:rsidRPr="0022553F" w:rsidRDefault="0022553F" w:rsidP="0022553F">
            <w:pPr>
              <w:spacing w:after="0" w:line="240" w:lineRule="auto"/>
              <w:ind w:firstLine="0"/>
              <w:jc w:val="right"/>
              <w:rPr>
                <w:rFonts w:eastAsia="Times New Roman" w:cs="Times New Roman"/>
                <w:color w:val="000000"/>
                <w:sz w:val="22"/>
                <w:lang w:eastAsia="ru-RU"/>
              </w:rPr>
            </w:pPr>
            <w:r w:rsidRPr="0022553F">
              <w:rPr>
                <w:rFonts w:eastAsia="Times New Roman" w:cs="Times New Roman"/>
                <w:color w:val="000000"/>
                <w:sz w:val="22"/>
                <w:lang w:eastAsia="ru-RU"/>
              </w:rPr>
              <w:t xml:space="preserve">4 732 539,35  </w:t>
            </w:r>
          </w:p>
        </w:tc>
        <w:tc>
          <w:tcPr>
            <w:tcW w:w="1580" w:type="dxa"/>
            <w:tcBorders>
              <w:top w:val="nil"/>
              <w:left w:val="nil"/>
              <w:bottom w:val="single" w:sz="4" w:space="0" w:color="auto"/>
              <w:right w:val="single" w:sz="4" w:space="0" w:color="auto"/>
            </w:tcBorders>
            <w:shd w:val="clear" w:color="auto" w:fill="auto"/>
            <w:noWrap/>
            <w:vAlign w:val="bottom"/>
            <w:hideMark/>
          </w:tcPr>
          <w:p w14:paraId="388CCAF8" w14:textId="77777777" w:rsidR="0022553F" w:rsidRPr="0022553F" w:rsidRDefault="0022553F" w:rsidP="0022553F">
            <w:pPr>
              <w:spacing w:after="0" w:line="240" w:lineRule="auto"/>
              <w:ind w:firstLine="0"/>
              <w:jc w:val="right"/>
              <w:rPr>
                <w:rFonts w:eastAsia="Times New Roman" w:cs="Times New Roman"/>
                <w:color w:val="000000"/>
                <w:sz w:val="22"/>
                <w:lang w:eastAsia="ru-RU"/>
              </w:rPr>
            </w:pPr>
            <w:r w:rsidRPr="0022553F">
              <w:rPr>
                <w:rFonts w:eastAsia="Times New Roman" w:cs="Times New Roman"/>
                <w:color w:val="000000"/>
                <w:sz w:val="22"/>
                <w:lang w:eastAsia="ru-RU"/>
              </w:rPr>
              <w:t xml:space="preserve">6 117 772,83  </w:t>
            </w:r>
          </w:p>
        </w:tc>
        <w:tc>
          <w:tcPr>
            <w:tcW w:w="1520" w:type="dxa"/>
            <w:tcBorders>
              <w:top w:val="nil"/>
              <w:left w:val="nil"/>
              <w:bottom w:val="single" w:sz="4" w:space="0" w:color="auto"/>
              <w:right w:val="single" w:sz="4" w:space="0" w:color="auto"/>
            </w:tcBorders>
            <w:shd w:val="clear" w:color="auto" w:fill="auto"/>
            <w:noWrap/>
            <w:vAlign w:val="bottom"/>
            <w:hideMark/>
          </w:tcPr>
          <w:p w14:paraId="0C535800" w14:textId="77777777" w:rsidR="0022553F" w:rsidRPr="0022553F" w:rsidRDefault="0022553F" w:rsidP="0022553F">
            <w:pPr>
              <w:spacing w:after="0" w:line="240" w:lineRule="auto"/>
              <w:ind w:firstLine="0"/>
              <w:jc w:val="right"/>
              <w:rPr>
                <w:rFonts w:eastAsia="Times New Roman" w:cs="Times New Roman"/>
                <w:color w:val="000000"/>
                <w:sz w:val="22"/>
                <w:lang w:eastAsia="ru-RU"/>
              </w:rPr>
            </w:pPr>
            <w:r w:rsidRPr="0022553F">
              <w:rPr>
                <w:rFonts w:eastAsia="Times New Roman" w:cs="Times New Roman"/>
                <w:color w:val="000000"/>
                <w:sz w:val="22"/>
                <w:lang w:eastAsia="ru-RU"/>
              </w:rPr>
              <w:t xml:space="preserve">7 788 741,00  </w:t>
            </w:r>
          </w:p>
        </w:tc>
      </w:tr>
    </w:tbl>
    <w:p w14:paraId="6980869B" w14:textId="34EFC97C" w:rsidR="004A3443" w:rsidRDefault="0022553F" w:rsidP="0022553F">
      <w:pPr>
        <w:ind w:left="284" w:firstLine="0"/>
        <w:rPr>
          <w:i/>
          <w:iCs/>
          <w:lang w:eastAsia="ru-RU"/>
        </w:rPr>
      </w:pPr>
      <w:r w:rsidRPr="00EA027A">
        <w:rPr>
          <w:i/>
          <w:iCs/>
          <w:lang w:eastAsia="ru-RU"/>
        </w:rPr>
        <w:t xml:space="preserve">Источник: [составлено автором по отчетности компании </w:t>
      </w:r>
      <w:r w:rsidRPr="00EA027A">
        <w:rPr>
          <w:i/>
          <w:iCs/>
          <w:lang w:val="en-US" w:eastAsia="ru-RU"/>
        </w:rPr>
        <w:t>HeadHunter</w:t>
      </w:r>
      <w:r w:rsidRPr="00EA027A">
        <w:rPr>
          <w:i/>
          <w:iCs/>
          <w:lang w:eastAsia="ru-RU"/>
        </w:rPr>
        <w:t>]</w:t>
      </w:r>
    </w:p>
    <w:p w14:paraId="6E116918" w14:textId="110C17B2" w:rsidR="0034521A" w:rsidRPr="0034521A" w:rsidRDefault="0034521A" w:rsidP="004600D4">
      <w:pPr>
        <w:rPr>
          <w:lang w:eastAsia="ru-RU"/>
        </w:rPr>
      </w:pPr>
      <w:r>
        <w:rPr>
          <w:lang w:eastAsia="ru-RU"/>
        </w:rPr>
        <w:t xml:space="preserve">Показатели оборачиваемости запасов, дебиторской и кредиторской задолженности стабильны в компании </w:t>
      </w:r>
      <w:r>
        <w:rPr>
          <w:lang w:val="en-US" w:eastAsia="ru-RU"/>
        </w:rPr>
        <w:t>HeadHunter</w:t>
      </w:r>
      <w:r>
        <w:rPr>
          <w:lang w:eastAsia="ru-RU"/>
        </w:rPr>
        <w:t>. В таблице ниже представлены значения оборачиваемости по годам с 2016 по 2019, средние значения равны: 435,69;146,24;3,40 для оборачиваемости запасов, дебиторской задолженности и кредиторской задолженности, соответственно. Запасы и кредиторская задолженность увеличивались пропорционально себестоимости, в 2016 году величина запасов составляла 4 750 тыс. рублей, а в 2019 — 9 886 тыс. рублей. Кредиторская задолженность увеличилась на 400 млн. рублей</w:t>
      </w:r>
      <w:r w:rsidR="004600D4">
        <w:rPr>
          <w:lang w:eastAsia="ru-RU"/>
        </w:rPr>
        <w:t xml:space="preserve">. Оборачиваемость дебиторской задолженности в 2017 году снизилось на 15, так как сумма ДЗ уменьшилась на 40 млн рублей. Важно отметить, что резких изменений оборачиваемости не было. </w:t>
      </w:r>
    </w:p>
    <w:p w14:paraId="07DE89D1" w14:textId="7F59D93C" w:rsidR="0034521A" w:rsidRDefault="0034521A" w:rsidP="0034521A">
      <w:pPr>
        <w:pStyle w:val="a0"/>
        <w:rPr>
          <w:lang w:eastAsia="ru-RU"/>
        </w:rPr>
      </w:pPr>
      <w:r>
        <w:rPr>
          <w:lang w:eastAsia="ru-RU"/>
        </w:rPr>
        <w:t>Оборачиваемость в период 2016-2019</w:t>
      </w:r>
    </w:p>
    <w:tbl>
      <w:tblPr>
        <w:tblW w:w="8661" w:type="dxa"/>
        <w:jc w:val="center"/>
        <w:tblLook w:val="04A0" w:firstRow="1" w:lastRow="0" w:firstColumn="1" w:lastColumn="0" w:noHBand="0" w:noVBand="1"/>
      </w:tblPr>
      <w:tblGrid>
        <w:gridCol w:w="2865"/>
        <w:gridCol w:w="1180"/>
        <w:gridCol w:w="1360"/>
        <w:gridCol w:w="1300"/>
        <w:gridCol w:w="960"/>
        <w:gridCol w:w="1029"/>
      </w:tblGrid>
      <w:tr w:rsidR="0034521A" w:rsidRPr="0034521A" w14:paraId="2048D680" w14:textId="77777777" w:rsidTr="0034521A">
        <w:trPr>
          <w:trHeight w:val="290"/>
          <w:jc w:val="center"/>
        </w:trPr>
        <w:tc>
          <w:tcPr>
            <w:tcW w:w="2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07884" w14:textId="77777777" w:rsidR="0034521A" w:rsidRPr="0034521A" w:rsidRDefault="0034521A" w:rsidP="0034521A">
            <w:pPr>
              <w:spacing w:after="0" w:line="240" w:lineRule="auto"/>
              <w:ind w:firstLine="0"/>
              <w:jc w:val="center"/>
              <w:rPr>
                <w:rFonts w:eastAsia="Times New Roman" w:cs="Times New Roman"/>
                <w:b/>
                <w:bCs/>
                <w:color w:val="000000"/>
                <w:sz w:val="22"/>
                <w:lang w:eastAsia="ru-RU"/>
              </w:rPr>
            </w:pPr>
            <w:r w:rsidRPr="0034521A">
              <w:rPr>
                <w:rFonts w:eastAsia="Times New Roman" w:cs="Times New Roman"/>
                <w:b/>
                <w:bCs/>
                <w:color w:val="000000"/>
                <w:sz w:val="22"/>
                <w:lang w:eastAsia="ru-RU"/>
              </w:rPr>
              <w:t>Период</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5CC0BEF" w14:textId="77777777" w:rsidR="0034521A" w:rsidRPr="0034521A" w:rsidRDefault="0034521A" w:rsidP="0034521A">
            <w:pPr>
              <w:spacing w:after="0" w:line="240" w:lineRule="auto"/>
              <w:ind w:firstLine="0"/>
              <w:jc w:val="center"/>
              <w:rPr>
                <w:rFonts w:eastAsia="Times New Roman" w:cs="Times New Roman"/>
                <w:b/>
                <w:bCs/>
                <w:color w:val="000000"/>
                <w:sz w:val="22"/>
                <w:lang w:eastAsia="ru-RU"/>
              </w:rPr>
            </w:pPr>
            <w:r w:rsidRPr="0034521A">
              <w:rPr>
                <w:rFonts w:eastAsia="Times New Roman" w:cs="Times New Roman"/>
                <w:b/>
                <w:bCs/>
                <w:color w:val="000000"/>
                <w:sz w:val="22"/>
                <w:lang w:eastAsia="ru-RU"/>
              </w:rPr>
              <w:t>2016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FF2C191" w14:textId="77777777" w:rsidR="0034521A" w:rsidRPr="0034521A" w:rsidRDefault="0034521A" w:rsidP="0034521A">
            <w:pPr>
              <w:spacing w:after="0" w:line="240" w:lineRule="auto"/>
              <w:ind w:firstLine="0"/>
              <w:jc w:val="center"/>
              <w:rPr>
                <w:rFonts w:eastAsia="Times New Roman" w:cs="Times New Roman"/>
                <w:b/>
                <w:bCs/>
                <w:color w:val="000000"/>
                <w:sz w:val="22"/>
                <w:lang w:eastAsia="ru-RU"/>
              </w:rPr>
            </w:pPr>
            <w:r w:rsidRPr="0034521A">
              <w:rPr>
                <w:rFonts w:eastAsia="Times New Roman" w:cs="Times New Roman"/>
                <w:b/>
                <w:bCs/>
                <w:color w:val="000000"/>
                <w:sz w:val="22"/>
                <w:lang w:eastAsia="ru-RU"/>
              </w:rPr>
              <w:t>2017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EF8B2B8" w14:textId="77777777" w:rsidR="0034521A" w:rsidRPr="0034521A" w:rsidRDefault="0034521A" w:rsidP="0034521A">
            <w:pPr>
              <w:spacing w:after="0" w:line="240" w:lineRule="auto"/>
              <w:ind w:firstLine="0"/>
              <w:jc w:val="center"/>
              <w:rPr>
                <w:rFonts w:eastAsia="Times New Roman" w:cs="Times New Roman"/>
                <w:b/>
                <w:bCs/>
                <w:color w:val="000000"/>
                <w:sz w:val="22"/>
                <w:lang w:eastAsia="ru-RU"/>
              </w:rPr>
            </w:pPr>
            <w:r w:rsidRPr="0034521A">
              <w:rPr>
                <w:rFonts w:eastAsia="Times New Roman" w:cs="Times New Roman"/>
                <w:b/>
                <w:bCs/>
                <w:color w:val="000000"/>
                <w:sz w:val="22"/>
                <w:lang w:eastAsia="ru-RU"/>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ECE48E" w14:textId="77777777" w:rsidR="0034521A" w:rsidRPr="0034521A" w:rsidRDefault="0034521A" w:rsidP="0034521A">
            <w:pPr>
              <w:spacing w:after="0" w:line="240" w:lineRule="auto"/>
              <w:ind w:firstLine="0"/>
              <w:jc w:val="center"/>
              <w:rPr>
                <w:rFonts w:eastAsia="Times New Roman" w:cs="Times New Roman"/>
                <w:b/>
                <w:bCs/>
                <w:color w:val="000000"/>
                <w:sz w:val="22"/>
                <w:lang w:eastAsia="ru-RU"/>
              </w:rPr>
            </w:pPr>
            <w:r w:rsidRPr="0034521A">
              <w:rPr>
                <w:rFonts w:eastAsia="Times New Roman" w:cs="Times New Roman"/>
                <w:b/>
                <w:bCs/>
                <w:color w:val="000000"/>
                <w:sz w:val="22"/>
                <w:lang w:eastAsia="ru-RU"/>
              </w:rPr>
              <w:t>2019</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1C08FFC5" w14:textId="77777777" w:rsidR="0034521A" w:rsidRPr="0034521A" w:rsidRDefault="0034521A" w:rsidP="0034521A">
            <w:pPr>
              <w:spacing w:after="0" w:line="240" w:lineRule="auto"/>
              <w:ind w:firstLine="0"/>
              <w:jc w:val="center"/>
              <w:rPr>
                <w:rFonts w:eastAsia="Times New Roman" w:cs="Times New Roman"/>
                <w:b/>
                <w:bCs/>
                <w:color w:val="000000"/>
                <w:sz w:val="22"/>
                <w:lang w:eastAsia="ru-RU"/>
              </w:rPr>
            </w:pPr>
            <w:r w:rsidRPr="0034521A">
              <w:rPr>
                <w:rFonts w:eastAsia="Times New Roman" w:cs="Times New Roman"/>
                <w:b/>
                <w:bCs/>
                <w:color w:val="000000"/>
                <w:sz w:val="22"/>
                <w:lang w:eastAsia="ru-RU"/>
              </w:rPr>
              <w:t>Среднее</w:t>
            </w:r>
          </w:p>
        </w:tc>
      </w:tr>
      <w:tr w:rsidR="0034521A" w:rsidRPr="0034521A" w14:paraId="18680326" w14:textId="77777777" w:rsidTr="0034521A">
        <w:trPr>
          <w:trHeight w:val="290"/>
          <w:jc w:val="center"/>
        </w:trPr>
        <w:tc>
          <w:tcPr>
            <w:tcW w:w="2865" w:type="dxa"/>
            <w:tcBorders>
              <w:top w:val="nil"/>
              <w:left w:val="single" w:sz="4" w:space="0" w:color="auto"/>
              <w:bottom w:val="single" w:sz="4" w:space="0" w:color="auto"/>
              <w:right w:val="single" w:sz="4" w:space="0" w:color="auto"/>
            </w:tcBorders>
            <w:shd w:val="clear" w:color="auto" w:fill="auto"/>
            <w:noWrap/>
            <w:vAlign w:val="bottom"/>
            <w:hideMark/>
          </w:tcPr>
          <w:p w14:paraId="2559AD3D"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Оборачиваемость запасов</w:t>
            </w:r>
          </w:p>
        </w:tc>
        <w:tc>
          <w:tcPr>
            <w:tcW w:w="1180" w:type="dxa"/>
            <w:tcBorders>
              <w:top w:val="nil"/>
              <w:left w:val="nil"/>
              <w:bottom w:val="single" w:sz="4" w:space="0" w:color="auto"/>
              <w:right w:val="single" w:sz="4" w:space="0" w:color="auto"/>
            </w:tcBorders>
            <w:shd w:val="clear" w:color="auto" w:fill="auto"/>
            <w:noWrap/>
            <w:vAlign w:val="bottom"/>
            <w:hideMark/>
          </w:tcPr>
          <w:p w14:paraId="7C57D499"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434,97</w:t>
            </w:r>
          </w:p>
        </w:tc>
        <w:tc>
          <w:tcPr>
            <w:tcW w:w="1360" w:type="dxa"/>
            <w:tcBorders>
              <w:top w:val="nil"/>
              <w:left w:val="nil"/>
              <w:bottom w:val="single" w:sz="4" w:space="0" w:color="auto"/>
              <w:right w:val="single" w:sz="4" w:space="0" w:color="auto"/>
            </w:tcBorders>
            <w:shd w:val="clear" w:color="auto" w:fill="auto"/>
            <w:noWrap/>
            <w:vAlign w:val="bottom"/>
            <w:hideMark/>
          </w:tcPr>
          <w:p w14:paraId="5083F0CF"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434,97</w:t>
            </w:r>
          </w:p>
        </w:tc>
        <w:tc>
          <w:tcPr>
            <w:tcW w:w="1300" w:type="dxa"/>
            <w:tcBorders>
              <w:top w:val="nil"/>
              <w:left w:val="nil"/>
              <w:bottom w:val="single" w:sz="4" w:space="0" w:color="auto"/>
              <w:right w:val="single" w:sz="4" w:space="0" w:color="auto"/>
            </w:tcBorders>
            <w:shd w:val="clear" w:color="auto" w:fill="auto"/>
            <w:noWrap/>
            <w:vAlign w:val="bottom"/>
            <w:hideMark/>
          </w:tcPr>
          <w:p w14:paraId="70BA1F85"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434,97</w:t>
            </w:r>
          </w:p>
        </w:tc>
        <w:tc>
          <w:tcPr>
            <w:tcW w:w="960" w:type="dxa"/>
            <w:tcBorders>
              <w:top w:val="nil"/>
              <w:left w:val="nil"/>
              <w:bottom w:val="single" w:sz="4" w:space="0" w:color="auto"/>
              <w:right w:val="single" w:sz="4" w:space="0" w:color="auto"/>
            </w:tcBorders>
            <w:shd w:val="clear" w:color="auto" w:fill="auto"/>
            <w:noWrap/>
            <w:vAlign w:val="bottom"/>
            <w:hideMark/>
          </w:tcPr>
          <w:p w14:paraId="2F5827DB"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437,83</w:t>
            </w:r>
          </w:p>
        </w:tc>
        <w:tc>
          <w:tcPr>
            <w:tcW w:w="996" w:type="dxa"/>
            <w:tcBorders>
              <w:top w:val="nil"/>
              <w:left w:val="nil"/>
              <w:bottom w:val="single" w:sz="4" w:space="0" w:color="auto"/>
              <w:right w:val="single" w:sz="4" w:space="0" w:color="auto"/>
            </w:tcBorders>
            <w:shd w:val="clear" w:color="auto" w:fill="auto"/>
            <w:noWrap/>
            <w:vAlign w:val="bottom"/>
            <w:hideMark/>
          </w:tcPr>
          <w:p w14:paraId="63FDBDD2"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435,69</w:t>
            </w:r>
          </w:p>
        </w:tc>
      </w:tr>
      <w:tr w:rsidR="0034521A" w:rsidRPr="0034521A" w14:paraId="069110AC" w14:textId="77777777" w:rsidTr="0034521A">
        <w:trPr>
          <w:trHeight w:val="290"/>
          <w:jc w:val="center"/>
        </w:trPr>
        <w:tc>
          <w:tcPr>
            <w:tcW w:w="2865" w:type="dxa"/>
            <w:tcBorders>
              <w:top w:val="nil"/>
              <w:left w:val="single" w:sz="4" w:space="0" w:color="auto"/>
              <w:bottom w:val="single" w:sz="4" w:space="0" w:color="auto"/>
              <w:right w:val="single" w:sz="4" w:space="0" w:color="auto"/>
            </w:tcBorders>
            <w:shd w:val="clear" w:color="auto" w:fill="auto"/>
            <w:noWrap/>
            <w:vAlign w:val="bottom"/>
            <w:hideMark/>
          </w:tcPr>
          <w:p w14:paraId="694D84D2"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Оборачиваемость ДЗ</w:t>
            </w:r>
          </w:p>
        </w:tc>
        <w:tc>
          <w:tcPr>
            <w:tcW w:w="1180" w:type="dxa"/>
            <w:tcBorders>
              <w:top w:val="nil"/>
              <w:left w:val="nil"/>
              <w:bottom w:val="single" w:sz="4" w:space="0" w:color="auto"/>
              <w:right w:val="single" w:sz="4" w:space="0" w:color="auto"/>
            </w:tcBorders>
            <w:shd w:val="clear" w:color="auto" w:fill="auto"/>
            <w:noWrap/>
            <w:vAlign w:val="bottom"/>
            <w:hideMark/>
          </w:tcPr>
          <w:p w14:paraId="5DED5915"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150,25</w:t>
            </w:r>
          </w:p>
        </w:tc>
        <w:tc>
          <w:tcPr>
            <w:tcW w:w="1360" w:type="dxa"/>
            <w:tcBorders>
              <w:top w:val="nil"/>
              <w:left w:val="nil"/>
              <w:bottom w:val="single" w:sz="4" w:space="0" w:color="auto"/>
              <w:right w:val="single" w:sz="4" w:space="0" w:color="auto"/>
            </w:tcBorders>
            <w:shd w:val="clear" w:color="auto" w:fill="auto"/>
            <w:noWrap/>
            <w:vAlign w:val="bottom"/>
            <w:hideMark/>
          </w:tcPr>
          <w:p w14:paraId="757F70F0"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134,50</w:t>
            </w:r>
          </w:p>
        </w:tc>
        <w:tc>
          <w:tcPr>
            <w:tcW w:w="1300" w:type="dxa"/>
            <w:tcBorders>
              <w:top w:val="nil"/>
              <w:left w:val="nil"/>
              <w:bottom w:val="single" w:sz="4" w:space="0" w:color="auto"/>
              <w:right w:val="single" w:sz="4" w:space="0" w:color="auto"/>
            </w:tcBorders>
            <w:shd w:val="clear" w:color="auto" w:fill="auto"/>
            <w:noWrap/>
            <w:vAlign w:val="bottom"/>
            <w:hideMark/>
          </w:tcPr>
          <w:p w14:paraId="351CA01F"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150,25</w:t>
            </w:r>
          </w:p>
        </w:tc>
        <w:tc>
          <w:tcPr>
            <w:tcW w:w="960" w:type="dxa"/>
            <w:tcBorders>
              <w:top w:val="nil"/>
              <w:left w:val="nil"/>
              <w:bottom w:val="single" w:sz="4" w:space="0" w:color="auto"/>
              <w:right w:val="single" w:sz="4" w:space="0" w:color="auto"/>
            </w:tcBorders>
            <w:shd w:val="clear" w:color="auto" w:fill="auto"/>
            <w:noWrap/>
            <w:vAlign w:val="bottom"/>
            <w:hideMark/>
          </w:tcPr>
          <w:p w14:paraId="2637A5B2"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149,97</w:t>
            </w:r>
          </w:p>
        </w:tc>
        <w:tc>
          <w:tcPr>
            <w:tcW w:w="996" w:type="dxa"/>
            <w:tcBorders>
              <w:top w:val="nil"/>
              <w:left w:val="nil"/>
              <w:bottom w:val="single" w:sz="4" w:space="0" w:color="auto"/>
              <w:right w:val="single" w:sz="4" w:space="0" w:color="auto"/>
            </w:tcBorders>
            <w:shd w:val="clear" w:color="auto" w:fill="auto"/>
            <w:noWrap/>
            <w:vAlign w:val="bottom"/>
            <w:hideMark/>
          </w:tcPr>
          <w:p w14:paraId="3FDC6EBD"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146,24</w:t>
            </w:r>
          </w:p>
        </w:tc>
      </w:tr>
      <w:tr w:rsidR="0034521A" w:rsidRPr="0034521A" w14:paraId="24EABE36" w14:textId="77777777" w:rsidTr="0034521A">
        <w:trPr>
          <w:trHeight w:val="290"/>
          <w:jc w:val="center"/>
        </w:trPr>
        <w:tc>
          <w:tcPr>
            <w:tcW w:w="2865" w:type="dxa"/>
            <w:tcBorders>
              <w:top w:val="nil"/>
              <w:left w:val="single" w:sz="4" w:space="0" w:color="auto"/>
              <w:bottom w:val="single" w:sz="4" w:space="0" w:color="auto"/>
              <w:right w:val="single" w:sz="4" w:space="0" w:color="auto"/>
            </w:tcBorders>
            <w:shd w:val="clear" w:color="auto" w:fill="auto"/>
            <w:noWrap/>
            <w:vAlign w:val="bottom"/>
            <w:hideMark/>
          </w:tcPr>
          <w:p w14:paraId="063938F5"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Оборачиваемость КЗ</w:t>
            </w:r>
          </w:p>
        </w:tc>
        <w:tc>
          <w:tcPr>
            <w:tcW w:w="1180" w:type="dxa"/>
            <w:tcBorders>
              <w:top w:val="nil"/>
              <w:left w:val="nil"/>
              <w:bottom w:val="single" w:sz="4" w:space="0" w:color="auto"/>
              <w:right w:val="single" w:sz="4" w:space="0" w:color="auto"/>
            </w:tcBorders>
            <w:shd w:val="clear" w:color="auto" w:fill="auto"/>
            <w:noWrap/>
            <w:vAlign w:val="bottom"/>
            <w:hideMark/>
          </w:tcPr>
          <w:p w14:paraId="5C4AB165"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4,40</w:t>
            </w:r>
          </w:p>
        </w:tc>
        <w:tc>
          <w:tcPr>
            <w:tcW w:w="1360" w:type="dxa"/>
            <w:tcBorders>
              <w:top w:val="nil"/>
              <w:left w:val="nil"/>
              <w:bottom w:val="single" w:sz="4" w:space="0" w:color="auto"/>
              <w:right w:val="single" w:sz="4" w:space="0" w:color="auto"/>
            </w:tcBorders>
            <w:shd w:val="clear" w:color="auto" w:fill="auto"/>
            <w:noWrap/>
            <w:vAlign w:val="bottom"/>
            <w:hideMark/>
          </w:tcPr>
          <w:p w14:paraId="388457D8"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3,03</w:t>
            </w:r>
          </w:p>
        </w:tc>
        <w:tc>
          <w:tcPr>
            <w:tcW w:w="1300" w:type="dxa"/>
            <w:tcBorders>
              <w:top w:val="nil"/>
              <w:left w:val="nil"/>
              <w:bottom w:val="single" w:sz="4" w:space="0" w:color="auto"/>
              <w:right w:val="single" w:sz="4" w:space="0" w:color="auto"/>
            </w:tcBorders>
            <w:shd w:val="clear" w:color="auto" w:fill="auto"/>
            <w:noWrap/>
            <w:vAlign w:val="bottom"/>
            <w:hideMark/>
          </w:tcPr>
          <w:p w14:paraId="482ABF60"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3,03</w:t>
            </w:r>
          </w:p>
        </w:tc>
        <w:tc>
          <w:tcPr>
            <w:tcW w:w="960" w:type="dxa"/>
            <w:tcBorders>
              <w:top w:val="nil"/>
              <w:left w:val="nil"/>
              <w:bottom w:val="single" w:sz="4" w:space="0" w:color="auto"/>
              <w:right w:val="single" w:sz="4" w:space="0" w:color="auto"/>
            </w:tcBorders>
            <w:shd w:val="clear" w:color="auto" w:fill="auto"/>
            <w:noWrap/>
            <w:vAlign w:val="bottom"/>
            <w:hideMark/>
          </w:tcPr>
          <w:p w14:paraId="2AFCB1C6"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3,14</w:t>
            </w:r>
          </w:p>
        </w:tc>
        <w:tc>
          <w:tcPr>
            <w:tcW w:w="996" w:type="dxa"/>
            <w:tcBorders>
              <w:top w:val="nil"/>
              <w:left w:val="nil"/>
              <w:bottom w:val="single" w:sz="4" w:space="0" w:color="auto"/>
              <w:right w:val="single" w:sz="4" w:space="0" w:color="auto"/>
            </w:tcBorders>
            <w:shd w:val="clear" w:color="auto" w:fill="auto"/>
            <w:noWrap/>
            <w:vAlign w:val="bottom"/>
            <w:hideMark/>
          </w:tcPr>
          <w:p w14:paraId="3B3CC1FC" w14:textId="77777777" w:rsidR="0034521A" w:rsidRPr="0034521A" w:rsidRDefault="0034521A" w:rsidP="0034521A">
            <w:pPr>
              <w:spacing w:after="0" w:line="240" w:lineRule="auto"/>
              <w:ind w:firstLine="0"/>
              <w:jc w:val="center"/>
              <w:rPr>
                <w:rFonts w:eastAsia="Times New Roman" w:cs="Times New Roman"/>
                <w:color w:val="000000"/>
                <w:sz w:val="22"/>
                <w:lang w:eastAsia="ru-RU"/>
              </w:rPr>
            </w:pPr>
            <w:r w:rsidRPr="0034521A">
              <w:rPr>
                <w:rFonts w:eastAsia="Times New Roman" w:cs="Times New Roman"/>
                <w:color w:val="000000"/>
                <w:sz w:val="22"/>
                <w:lang w:eastAsia="ru-RU"/>
              </w:rPr>
              <w:t>3,40</w:t>
            </w:r>
          </w:p>
        </w:tc>
      </w:tr>
    </w:tbl>
    <w:p w14:paraId="7A19FCAA" w14:textId="6371BA8A" w:rsidR="009D0331" w:rsidRPr="0022553F" w:rsidRDefault="0034521A" w:rsidP="0034521A">
      <w:pPr>
        <w:ind w:left="284" w:firstLine="0"/>
        <w:rPr>
          <w:i/>
          <w:iCs/>
          <w:lang w:eastAsia="ru-RU"/>
        </w:rPr>
      </w:pPr>
      <w:r w:rsidRPr="00EA027A">
        <w:rPr>
          <w:i/>
          <w:iCs/>
          <w:lang w:eastAsia="ru-RU"/>
        </w:rPr>
        <w:t xml:space="preserve">Источник: [составлено автором по отчетности компании </w:t>
      </w:r>
      <w:r w:rsidRPr="00EA027A">
        <w:rPr>
          <w:i/>
          <w:iCs/>
          <w:lang w:val="en-US" w:eastAsia="ru-RU"/>
        </w:rPr>
        <w:t>HeadHunter</w:t>
      </w:r>
      <w:r w:rsidRPr="00EA027A">
        <w:rPr>
          <w:i/>
          <w:iCs/>
          <w:lang w:eastAsia="ru-RU"/>
        </w:rPr>
        <w:t>]</w:t>
      </w:r>
    </w:p>
    <w:p w14:paraId="5EE6CC79" w14:textId="0434BF0C" w:rsidR="00232BC5" w:rsidRPr="00232BC5" w:rsidRDefault="004A3443" w:rsidP="00232BC5">
      <w:pPr>
        <w:rPr>
          <w:lang w:eastAsia="ru-RU"/>
        </w:rPr>
      </w:pPr>
      <w:r>
        <w:rPr>
          <w:lang w:eastAsia="ru-RU"/>
        </w:rPr>
        <w:t xml:space="preserve">Собственный капитал компании значительно снизился в 2018 году в силу изменения структуры капитала компании: </w:t>
      </w:r>
      <w:r>
        <w:rPr>
          <w:lang w:val="en-US" w:eastAsia="ru-RU"/>
        </w:rPr>
        <w:t>HeadHunter</w:t>
      </w:r>
      <w:r>
        <w:rPr>
          <w:lang w:eastAsia="ru-RU"/>
        </w:rPr>
        <w:t xml:space="preserve"> увеличил долю займов компании практически в 2 раза, снизив финансирование собственными средствами. На 31 декабря 2018 года была следующая структура капитала организации: 66% собственного капитала и 34% краткосрочных обязательств, в то время как в 2017 году — 87% и 12%, соответственно. </w:t>
      </w:r>
      <w:r w:rsidR="00232BC5">
        <w:rPr>
          <w:lang w:eastAsia="ru-RU"/>
        </w:rPr>
        <w:t xml:space="preserve">В таблице ниже представлено изменение собственного капитала компании </w:t>
      </w:r>
      <w:r w:rsidR="00232BC5">
        <w:rPr>
          <w:lang w:val="en-US" w:eastAsia="ru-RU"/>
        </w:rPr>
        <w:t>HeadHunter</w:t>
      </w:r>
      <w:r w:rsidR="00232BC5" w:rsidRPr="00232BC5">
        <w:rPr>
          <w:lang w:eastAsia="ru-RU"/>
        </w:rPr>
        <w:t xml:space="preserve"> </w:t>
      </w:r>
      <w:r w:rsidR="00232BC5">
        <w:rPr>
          <w:lang w:eastAsia="ru-RU"/>
        </w:rPr>
        <w:t xml:space="preserve">в тысячах рублей. </w:t>
      </w:r>
    </w:p>
    <w:p w14:paraId="71B06CBE" w14:textId="2D8236EF" w:rsidR="004A3443" w:rsidRDefault="004600D4" w:rsidP="004600D4">
      <w:pPr>
        <w:pStyle w:val="a0"/>
        <w:rPr>
          <w:lang w:eastAsia="ru-RU"/>
        </w:rPr>
      </w:pPr>
      <w:r>
        <w:rPr>
          <w:lang w:eastAsia="ru-RU"/>
        </w:rPr>
        <w:lastRenderedPageBreak/>
        <w:t>Изменение собственного капитала компании в 201</w:t>
      </w:r>
      <w:r w:rsidR="00384603">
        <w:rPr>
          <w:lang w:eastAsia="ru-RU"/>
        </w:rPr>
        <w:t>6</w:t>
      </w:r>
      <w:r>
        <w:rPr>
          <w:lang w:eastAsia="ru-RU"/>
        </w:rPr>
        <w:t>-201</w:t>
      </w:r>
      <w:r w:rsidR="00384603">
        <w:rPr>
          <w:lang w:eastAsia="ru-RU"/>
        </w:rPr>
        <w:t>9</w:t>
      </w:r>
      <w:r>
        <w:rPr>
          <w:lang w:eastAsia="ru-RU"/>
        </w:rPr>
        <w:t xml:space="preserve"> гг.</w:t>
      </w:r>
    </w:p>
    <w:tbl>
      <w:tblPr>
        <w:tblW w:w="9136" w:type="dxa"/>
        <w:jc w:val="center"/>
        <w:tblLook w:val="04A0" w:firstRow="1" w:lastRow="0" w:firstColumn="1" w:lastColumn="0" w:noHBand="0" w:noVBand="1"/>
      </w:tblPr>
      <w:tblGrid>
        <w:gridCol w:w="2675"/>
        <w:gridCol w:w="1520"/>
        <w:gridCol w:w="1620"/>
        <w:gridCol w:w="1580"/>
        <w:gridCol w:w="1741"/>
      </w:tblGrid>
      <w:tr w:rsidR="004600D4" w:rsidRPr="004600D4" w14:paraId="4EE54D16" w14:textId="77777777" w:rsidTr="004600D4">
        <w:trPr>
          <w:trHeight w:val="290"/>
          <w:jc w:val="center"/>
        </w:trPr>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756EE" w14:textId="77777777" w:rsidR="004600D4" w:rsidRPr="004600D4" w:rsidRDefault="004600D4" w:rsidP="004600D4">
            <w:pPr>
              <w:spacing w:after="0" w:line="240" w:lineRule="auto"/>
              <w:ind w:firstLine="0"/>
              <w:jc w:val="center"/>
              <w:rPr>
                <w:rFonts w:eastAsia="Times New Roman" w:cs="Times New Roman"/>
                <w:b/>
                <w:bCs/>
                <w:color w:val="000000"/>
                <w:sz w:val="22"/>
                <w:lang w:eastAsia="ru-RU"/>
              </w:rPr>
            </w:pPr>
            <w:r w:rsidRPr="004600D4">
              <w:rPr>
                <w:rFonts w:eastAsia="Times New Roman" w:cs="Times New Roman"/>
                <w:b/>
                <w:bCs/>
                <w:color w:val="000000"/>
                <w:sz w:val="22"/>
                <w:lang w:eastAsia="ru-RU"/>
              </w:rPr>
              <w:t>Период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65ED410" w14:textId="77777777" w:rsidR="004600D4" w:rsidRPr="004600D4" w:rsidRDefault="004600D4" w:rsidP="004600D4">
            <w:pPr>
              <w:spacing w:after="0" w:line="240" w:lineRule="auto"/>
              <w:ind w:firstLine="0"/>
              <w:jc w:val="center"/>
              <w:rPr>
                <w:rFonts w:eastAsia="Times New Roman" w:cs="Times New Roman"/>
                <w:b/>
                <w:bCs/>
                <w:color w:val="000000"/>
                <w:sz w:val="22"/>
                <w:lang w:eastAsia="ru-RU"/>
              </w:rPr>
            </w:pPr>
            <w:r w:rsidRPr="004600D4">
              <w:rPr>
                <w:rFonts w:eastAsia="Times New Roman" w:cs="Times New Roman"/>
                <w:b/>
                <w:bCs/>
                <w:color w:val="000000"/>
                <w:sz w:val="22"/>
                <w:lang w:eastAsia="ru-RU"/>
              </w:rPr>
              <w:t>2016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EFA16FE" w14:textId="77777777" w:rsidR="004600D4" w:rsidRPr="004600D4" w:rsidRDefault="004600D4" w:rsidP="004600D4">
            <w:pPr>
              <w:spacing w:after="0" w:line="240" w:lineRule="auto"/>
              <w:ind w:firstLine="0"/>
              <w:jc w:val="center"/>
              <w:rPr>
                <w:rFonts w:eastAsia="Times New Roman" w:cs="Times New Roman"/>
                <w:b/>
                <w:bCs/>
                <w:color w:val="000000"/>
                <w:sz w:val="22"/>
                <w:lang w:eastAsia="ru-RU"/>
              </w:rPr>
            </w:pPr>
            <w:r w:rsidRPr="004600D4">
              <w:rPr>
                <w:rFonts w:eastAsia="Times New Roman" w:cs="Times New Roman"/>
                <w:b/>
                <w:bCs/>
                <w:color w:val="000000"/>
                <w:sz w:val="22"/>
                <w:lang w:eastAsia="ru-RU"/>
              </w:rPr>
              <w:t>2017</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B50FC6A" w14:textId="77777777" w:rsidR="004600D4" w:rsidRPr="004600D4" w:rsidRDefault="004600D4" w:rsidP="004600D4">
            <w:pPr>
              <w:spacing w:after="0" w:line="240" w:lineRule="auto"/>
              <w:ind w:firstLine="0"/>
              <w:jc w:val="center"/>
              <w:rPr>
                <w:rFonts w:eastAsia="Times New Roman" w:cs="Times New Roman"/>
                <w:b/>
                <w:bCs/>
                <w:color w:val="000000"/>
                <w:sz w:val="22"/>
                <w:lang w:eastAsia="ru-RU"/>
              </w:rPr>
            </w:pPr>
            <w:r w:rsidRPr="004600D4">
              <w:rPr>
                <w:rFonts w:eastAsia="Times New Roman" w:cs="Times New Roman"/>
                <w:b/>
                <w:bCs/>
                <w:color w:val="000000"/>
                <w:sz w:val="22"/>
                <w:lang w:eastAsia="ru-RU"/>
              </w:rPr>
              <w:t>2018</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1CF06F2A" w14:textId="77777777" w:rsidR="004600D4" w:rsidRPr="004600D4" w:rsidRDefault="004600D4" w:rsidP="004600D4">
            <w:pPr>
              <w:spacing w:after="0" w:line="240" w:lineRule="auto"/>
              <w:ind w:firstLine="0"/>
              <w:jc w:val="center"/>
              <w:rPr>
                <w:rFonts w:eastAsia="Times New Roman" w:cs="Times New Roman"/>
                <w:b/>
                <w:bCs/>
                <w:color w:val="000000"/>
                <w:sz w:val="22"/>
                <w:lang w:eastAsia="ru-RU"/>
              </w:rPr>
            </w:pPr>
            <w:r w:rsidRPr="004600D4">
              <w:rPr>
                <w:rFonts w:eastAsia="Times New Roman" w:cs="Times New Roman"/>
                <w:b/>
                <w:bCs/>
                <w:color w:val="000000"/>
                <w:sz w:val="22"/>
                <w:lang w:eastAsia="ru-RU"/>
              </w:rPr>
              <w:t>2019</w:t>
            </w:r>
          </w:p>
        </w:tc>
      </w:tr>
      <w:tr w:rsidR="004600D4" w:rsidRPr="004600D4" w14:paraId="2A463A08" w14:textId="77777777" w:rsidTr="004600D4">
        <w:trPr>
          <w:trHeight w:val="29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14:paraId="4DCB32FD" w14:textId="77777777" w:rsidR="004600D4" w:rsidRPr="004600D4" w:rsidRDefault="004600D4" w:rsidP="004600D4">
            <w:pPr>
              <w:spacing w:after="0" w:line="240" w:lineRule="auto"/>
              <w:ind w:firstLine="0"/>
              <w:jc w:val="center"/>
              <w:rPr>
                <w:rFonts w:eastAsia="Times New Roman" w:cs="Times New Roman"/>
                <w:color w:val="000000"/>
                <w:sz w:val="22"/>
                <w:lang w:eastAsia="ru-RU"/>
              </w:rPr>
            </w:pPr>
            <w:r w:rsidRPr="004600D4">
              <w:rPr>
                <w:rFonts w:eastAsia="Times New Roman" w:cs="Times New Roman"/>
                <w:color w:val="000000"/>
                <w:sz w:val="22"/>
                <w:lang w:eastAsia="ru-RU"/>
              </w:rPr>
              <w:t>Уставный капитал</w:t>
            </w:r>
          </w:p>
        </w:tc>
        <w:tc>
          <w:tcPr>
            <w:tcW w:w="1520" w:type="dxa"/>
            <w:tcBorders>
              <w:top w:val="nil"/>
              <w:left w:val="nil"/>
              <w:bottom w:val="single" w:sz="4" w:space="0" w:color="auto"/>
              <w:right w:val="single" w:sz="4" w:space="0" w:color="auto"/>
            </w:tcBorders>
            <w:shd w:val="clear" w:color="auto" w:fill="auto"/>
            <w:vAlign w:val="center"/>
            <w:hideMark/>
          </w:tcPr>
          <w:p w14:paraId="076FE044" w14:textId="77777777" w:rsidR="004600D4" w:rsidRPr="004600D4" w:rsidRDefault="004600D4" w:rsidP="004600D4">
            <w:pPr>
              <w:spacing w:after="0" w:line="240" w:lineRule="auto"/>
              <w:ind w:firstLine="0"/>
              <w:jc w:val="right"/>
              <w:rPr>
                <w:rFonts w:eastAsia="Times New Roman" w:cs="Times New Roman"/>
                <w:color w:val="000000"/>
                <w:sz w:val="22"/>
                <w:lang w:eastAsia="ru-RU"/>
              </w:rPr>
            </w:pPr>
            <w:r w:rsidRPr="004600D4">
              <w:rPr>
                <w:rFonts w:eastAsia="Times New Roman" w:cs="Times New Roman"/>
                <w:color w:val="000000"/>
                <w:sz w:val="22"/>
                <w:lang w:eastAsia="ru-RU"/>
              </w:rPr>
              <w:t>8 547</w:t>
            </w:r>
          </w:p>
        </w:tc>
        <w:tc>
          <w:tcPr>
            <w:tcW w:w="1620" w:type="dxa"/>
            <w:tcBorders>
              <w:top w:val="nil"/>
              <w:left w:val="nil"/>
              <w:bottom w:val="single" w:sz="4" w:space="0" w:color="auto"/>
              <w:right w:val="single" w:sz="4" w:space="0" w:color="auto"/>
            </w:tcBorders>
            <w:shd w:val="clear" w:color="auto" w:fill="auto"/>
            <w:vAlign w:val="center"/>
            <w:hideMark/>
          </w:tcPr>
          <w:p w14:paraId="69FB47B3" w14:textId="77777777" w:rsidR="004600D4" w:rsidRPr="004600D4" w:rsidRDefault="004600D4" w:rsidP="004600D4">
            <w:pPr>
              <w:spacing w:after="0" w:line="240" w:lineRule="auto"/>
              <w:ind w:firstLine="0"/>
              <w:jc w:val="right"/>
              <w:rPr>
                <w:rFonts w:eastAsia="Times New Roman" w:cs="Times New Roman"/>
                <w:color w:val="000000"/>
                <w:sz w:val="22"/>
                <w:lang w:eastAsia="ru-RU"/>
              </w:rPr>
            </w:pPr>
            <w:r w:rsidRPr="004600D4">
              <w:rPr>
                <w:rFonts w:eastAsia="Times New Roman" w:cs="Times New Roman"/>
                <w:color w:val="000000"/>
                <w:sz w:val="22"/>
                <w:lang w:eastAsia="ru-RU"/>
              </w:rPr>
              <w:t>8 547</w:t>
            </w:r>
          </w:p>
        </w:tc>
        <w:tc>
          <w:tcPr>
            <w:tcW w:w="1580" w:type="dxa"/>
            <w:tcBorders>
              <w:top w:val="nil"/>
              <w:left w:val="nil"/>
              <w:bottom w:val="single" w:sz="4" w:space="0" w:color="auto"/>
              <w:right w:val="single" w:sz="4" w:space="0" w:color="auto"/>
            </w:tcBorders>
            <w:shd w:val="clear" w:color="auto" w:fill="auto"/>
            <w:vAlign w:val="center"/>
            <w:hideMark/>
          </w:tcPr>
          <w:p w14:paraId="67FA844D" w14:textId="77777777" w:rsidR="004600D4" w:rsidRPr="004600D4" w:rsidRDefault="004600D4" w:rsidP="004600D4">
            <w:pPr>
              <w:spacing w:after="0" w:line="240" w:lineRule="auto"/>
              <w:ind w:firstLine="0"/>
              <w:jc w:val="right"/>
              <w:rPr>
                <w:rFonts w:eastAsia="Times New Roman" w:cs="Times New Roman"/>
                <w:color w:val="000000"/>
                <w:sz w:val="22"/>
                <w:lang w:eastAsia="ru-RU"/>
              </w:rPr>
            </w:pPr>
            <w:r w:rsidRPr="004600D4">
              <w:rPr>
                <w:rFonts w:eastAsia="Times New Roman" w:cs="Times New Roman"/>
                <w:color w:val="000000"/>
                <w:sz w:val="22"/>
                <w:lang w:eastAsia="ru-RU"/>
              </w:rPr>
              <w:t>8 547</w:t>
            </w:r>
          </w:p>
        </w:tc>
        <w:tc>
          <w:tcPr>
            <w:tcW w:w="1741" w:type="dxa"/>
            <w:tcBorders>
              <w:top w:val="nil"/>
              <w:left w:val="nil"/>
              <w:bottom w:val="single" w:sz="4" w:space="0" w:color="auto"/>
              <w:right w:val="single" w:sz="4" w:space="0" w:color="auto"/>
            </w:tcBorders>
            <w:shd w:val="clear" w:color="auto" w:fill="auto"/>
            <w:vAlign w:val="center"/>
            <w:hideMark/>
          </w:tcPr>
          <w:p w14:paraId="10B27BDB" w14:textId="77777777" w:rsidR="004600D4" w:rsidRPr="004600D4" w:rsidRDefault="004600D4" w:rsidP="004600D4">
            <w:pPr>
              <w:spacing w:after="0" w:line="240" w:lineRule="auto"/>
              <w:ind w:firstLine="0"/>
              <w:jc w:val="right"/>
              <w:rPr>
                <w:rFonts w:eastAsia="Times New Roman" w:cs="Times New Roman"/>
                <w:color w:val="000000"/>
                <w:sz w:val="22"/>
                <w:lang w:eastAsia="ru-RU"/>
              </w:rPr>
            </w:pPr>
            <w:r w:rsidRPr="004600D4">
              <w:rPr>
                <w:rFonts w:eastAsia="Times New Roman" w:cs="Times New Roman"/>
                <w:color w:val="000000"/>
                <w:sz w:val="22"/>
                <w:lang w:eastAsia="ru-RU"/>
              </w:rPr>
              <w:t>8 547</w:t>
            </w:r>
          </w:p>
        </w:tc>
      </w:tr>
      <w:tr w:rsidR="004600D4" w:rsidRPr="004600D4" w14:paraId="021E797C" w14:textId="77777777" w:rsidTr="004600D4">
        <w:trPr>
          <w:trHeight w:val="56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14:paraId="632D0498" w14:textId="77777777" w:rsidR="004600D4" w:rsidRPr="004600D4" w:rsidRDefault="004600D4" w:rsidP="004600D4">
            <w:pPr>
              <w:spacing w:after="0" w:line="240" w:lineRule="auto"/>
              <w:ind w:firstLine="0"/>
              <w:jc w:val="center"/>
              <w:rPr>
                <w:rFonts w:eastAsia="Times New Roman" w:cs="Times New Roman"/>
                <w:color w:val="000000"/>
                <w:sz w:val="22"/>
                <w:lang w:eastAsia="ru-RU"/>
              </w:rPr>
            </w:pPr>
            <w:r w:rsidRPr="004600D4">
              <w:rPr>
                <w:rFonts w:eastAsia="Times New Roman" w:cs="Times New Roman"/>
                <w:color w:val="000000"/>
                <w:sz w:val="22"/>
                <w:lang w:eastAsia="ru-RU"/>
              </w:rPr>
              <w:t>Нераспределенная прибыль</w:t>
            </w:r>
          </w:p>
        </w:tc>
        <w:tc>
          <w:tcPr>
            <w:tcW w:w="1520" w:type="dxa"/>
            <w:tcBorders>
              <w:top w:val="nil"/>
              <w:left w:val="nil"/>
              <w:bottom w:val="single" w:sz="4" w:space="0" w:color="auto"/>
              <w:right w:val="single" w:sz="4" w:space="0" w:color="auto"/>
            </w:tcBorders>
            <w:shd w:val="clear" w:color="auto" w:fill="auto"/>
            <w:vAlign w:val="center"/>
            <w:hideMark/>
          </w:tcPr>
          <w:p w14:paraId="51162431" w14:textId="77777777" w:rsidR="004600D4" w:rsidRPr="004600D4" w:rsidRDefault="004600D4" w:rsidP="004600D4">
            <w:pPr>
              <w:spacing w:after="0" w:line="240" w:lineRule="auto"/>
              <w:ind w:firstLine="0"/>
              <w:jc w:val="right"/>
              <w:rPr>
                <w:rFonts w:eastAsia="Times New Roman" w:cs="Times New Roman"/>
                <w:color w:val="000000"/>
                <w:sz w:val="22"/>
                <w:lang w:eastAsia="ru-RU"/>
              </w:rPr>
            </w:pPr>
            <w:r w:rsidRPr="004600D4">
              <w:rPr>
                <w:rFonts w:eastAsia="Times New Roman" w:cs="Times New Roman"/>
                <w:color w:val="000000"/>
                <w:sz w:val="22"/>
                <w:lang w:eastAsia="ru-RU"/>
              </w:rPr>
              <w:t>2 741 746</w:t>
            </w:r>
          </w:p>
        </w:tc>
        <w:tc>
          <w:tcPr>
            <w:tcW w:w="1620" w:type="dxa"/>
            <w:tcBorders>
              <w:top w:val="nil"/>
              <w:left w:val="nil"/>
              <w:bottom w:val="single" w:sz="4" w:space="0" w:color="auto"/>
              <w:right w:val="single" w:sz="4" w:space="0" w:color="auto"/>
            </w:tcBorders>
            <w:shd w:val="clear" w:color="auto" w:fill="auto"/>
            <w:vAlign w:val="center"/>
            <w:hideMark/>
          </w:tcPr>
          <w:p w14:paraId="597757FF" w14:textId="77777777" w:rsidR="004600D4" w:rsidRPr="004600D4" w:rsidRDefault="004600D4" w:rsidP="004600D4">
            <w:pPr>
              <w:spacing w:after="0" w:line="240" w:lineRule="auto"/>
              <w:ind w:firstLine="0"/>
              <w:jc w:val="right"/>
              <w:rPr>
                <w:rFonts w:eastAsia="Times New Roman" w:cs="Times New Roman"/>
                <w:color w:val="000000"/>
                <w:sz w:val="22"/>
                <w:lang w:eastAsia="ru-RU"/>
              </w:rPr>
            </w:pPr>
            <w:r w:rsidRPr="004600D4">
              <w:rPr>
                <w:rFonts w:eastAsia="Times New Roman" w:cs="Times New Roman"/>
                <w:color w:val="000000"/>
                <w:sz w:val="22"/>
                <w:lang w:eastAsia="ru-RU"/>
              </w:rPr>
              <w:t>3 066 265</w:t>
            </w:r>
          </w:p>
        </w:tc>
        <w:tc>
          <w:tcPr>
            <w:tcW w:w="1580" w:type="dxa"/>
            <w:tcBorders>
              <w:top w:val="nil"/>
              <w:left w:val="nil"/>
              <w:bottom w:val="single" w:sz="4" w:space="0" w:color="auto"/>
              <w:right w:val="single" w:sz="4" w:space="0" w:color="auto"/>
            </w:tcBorders>
            <w:shd w:val="clear" w:color="auto" w:fill="auto"/>
            <w:vAlign w:val="center"/>
            <w:hideMark/>
          </w:tcPr>
          <w:p w14:paraId="5277B690" w14:textId="77777777" w:rsidR="004600D4" w:rsidRPr="004600D4" w:rsidRDefault="004600D4" w:rsidP="004600D4">
            <w:pPr>
              <w:spacing w:after="0" w:line="240" w:lineRule="auto"/>
              <w:ind w:firstLine="0"/>
              <w:jc w:val="right"/>
              <w:rPr>
                <w:rFonts w:eastAsia="Times New Roman" w:cs="Times New Roman"/>
                <w:color w:val="000000"/>
                <w:sz w:val="22"/>
                <w:lang w:eastAsia="ru-RU"/>
              </w:rPr>
            </w:pPr>
            <w:r w:rsidRPr="004600D4">
              <w:rPr>
                <w:rFonts w:eastAsia="Times New Roman" w:cs="Times New Roman"/>
                <w:color w:val="000000"/>
                <w:sz w:val="22"/>
                <w:lang w:eastAsia="ru-RU"/>
              </w:rPr>
              <w:t>2 476 759</w:t>
            </w:r>
          </w:p>
        </w:tc>
        <w:tc>
          <w:tcPr>
            <w:tcW w:w="1741" w:type="dxa"/>
            <w:tcBorders>
              <w:top w:val="nil"/>
              <w:left w:val="nil"/>
              <w:bottom w:val="single" w:sz="4" w:space="0" w:color="auto"/>
              <w:right w:val="single" w:sz="4" w:space="0" w:color="auto"/>
            </w:tcBorders>
            <w:shd w:val="clear" w:color="auto" w:fill="auto"/>
            <w:vAlign w:val="center"/>
            <w:hideMark/>
          </w:tcPr>
          <w:p w14:paraId="55A3A5DA" w14:textId="77777777" w:rsidR="004600D4" w:rsidRPr="004600D4" w:rsidRDefault="004600D4" w:rsidP="004600D4">
            <w:pPr>
              <w:spacing w:after="0" w:line="240" w:lineRule="auto"/>
              <w:ind w:firstLine="0"/>
              <w:jc w:val="right"/>
              <w:rPr>
                <w:rFonts w:eastAsia="Times New Roman" w:cs="Times New Roman"/>
                <w:color w:val="000000"/>
                <w:sz w:val="22"/>
                <w:lang w:eastAsia="ru-RU"/>
              </w:rPr>
            </w:pPr>
            <w:r w:rsidRPr="004600D4">
              <w:rPr>
                <w:rFonts w:eastAsia="Times New Roman" w:cs="Times New Roman"/>
                <w:color w:val="000000"/>
                <w:sz w:val="22"/>
                <w:lang w:eastAsia="ru-RU"/>
              </w:rPr>
              <w:t>2 924 284</w:t>
            </w:r>
          </w:p>
        </w:tc>
      </w:tr>
      <w:tr w:rsidR="004600D4" w:rsidRPr="004600D4" w14:paraId="319F948E" w14:textId="77777777" w:rsidTr="004600D4">
        <w:trPr>
          <w:trHeight w:val="56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14:paraId="662742FE" w14:textId="77777777" w:rsidR="004600D4" w:rsidRPr="004600D4" w:rsidRDefault="004600D4" w:rsidP="004600D4">
            <w:pPr>
              <w:spacing w:after="0" w:line="240" w:lineRule="auto"/>
              <w:ind w:firstLine="0"/>
              <w:jc w:val="center"/>
              <w:rPr>
                <w:rFonts w:eastAsia="Times New Roman" w:cs="Times New Roman"/>
                <w:b/>
                <w:bCs/>
                <w:color w:val="000000"/>
                <w:sz w:val="22"/>
                <w:lang w:eastAsia="ru-RU"/>
              </w:rPr>
            </w:pPr>
            <w:r w:rsidRPr="004600D4">
              <w:rPr>
                <w:rFonts w:eastAsia="Times New Roman" w:cs="Times New Roman"/>
                <w:b/>
                <w:bCs/>
                <w:color w:val="000000"/>
                <w:sz w:val="22"/>
                <w:lang w:eastAsia="ru-RU"/>
              </w:rPr>
              <w:t>Собственный капитал компании</w:t>
            </w:r>
          </w:p>
        </w:tc>
        <w:tc>
          <w:tcPr>
            <w:tcW w:w="1520" w:type="dxa"/>
            <w:tcBorders>
              <w:top w:val="nil"/>
              <w:left w:val="nil"/>
              <w:bottom w:val="single" w:sz="4" w:space="0" w:color="auto"/>
              <w:right w:val="single" w:sz="4" w:space="0" w:color="auto"/>
            </w:tcBorders>
            <w:shd w:val="clear" w:color="auto" w:fill="auto"/>
            <w:vAlign w:val="center"/>
            <w:hideMark/>
          </w:tcPr>
          <w:p w14:paraId="0B41E5EB" w14:textId="77777777" w:rsidR="004600D4" w:rsidRPr="004600D4" w:rsidRDefault="004600D4" w:rsidP="004600D4">
            <w:pPr>
              <w:spacing w:after="0" w:line="240" w:lineRule="auto"/>
              <w:ind w:firstLine="0"/>
              <w:jc w:val="right"/>
              <w:rPr>
                <w:rFonts w:eastAsia="Times New Roman" w:cs="Times New Roman"/>
                <w:b/>
                <w:bCs/>
                <w:color w:val="000000"/>
                <w:sz w:val="22"/>
                <w:lang w:eastAsia="ru-RU"/>
              </w:rPr>
            </w:pPr>
            <w:r w:rsidRPr="004600D4">
              <w:rPr>
                <w:rFonts w:eastAsia="Times New Roman" w:cs="Times New Roman"/>
                <w:b/>
                <w:bCs/>
                <w:color w:val="000000"/>
                <w:sz w:val="22"/>
                <w:lang w:eastAsia="ru-RU"/>
              </w:rPr>
              <w:t>2 750 293</w:t>
            </w:r>
          </w:p>
        </w:tc>
        <w:tc>
          <w:tcPr>
            <w:tcW w:w="1620" w:type="dxa"/>
            <w:tcBorders>
              <w:top w:val="nil"/>
              <w:left w:val="nil"/>
              <w:bottom w:val="single" w:sz="4" w:space="0" w:color="auto"/>
              <w:right w:val="single" w:sz="4" w:space="0" w:color="auto"/>
            </w:tcBorders>
            <w:shd w:val="clear" w:color="auto" w:fill="auto"/>
            <w:vAlign w:val="center"/>
            <w:hideMark/>
          </w:tcPr>
          <w:p w14:paraId="7A1E121A" w14:textId="77777777" w:rsidR="004600D4" w:rsidRPr="004600D4" w:rsidRDefault="004600D4" w:rsidP="004600D4">
            <w:pPr>
              <w:spacing w:after="0" w:line="240" w:lineRule="auto"/>
              <w:ind w:firstLine="0"/>
              <w:jc w:val="right"/>
              <w:rPr>
                <w:rFonts w:eastAsia="Times New Roman" w:cs="Times New Roman"/>
                <w:b/>
                <w:bCs/>
                <w:color w:val="000000"/>
                <w:sz w:val="22"/>
                <w:lang w:eastAsia="ru-RU"/>
              </w:rPr>
            </w:pPr>
            <w:r w:rsidRPr="004600D4">
              <w:rPr>
                <w:rFonts w:eastAsia="Times New Roman" w:cs="Times New Roman"/>
                <w:b/>
                <w:bCs/>
                <w:color w:val="000000"/>
                <w:sz w:val="22"/>
                <w:lang w:eastAsia="ru-RU"/>
              </w:rPr>
              <w:t>3 074 812</w:t>
            </w:r>
          </w:p>
        </w:tc>
        <w:tc>
          <w:tcPr>
            <w:tcW w:w="1580" w:type="dxa"/>
            <w:tcBorders>
              <w:top w:val="nil"/>
              <w:left w:val="nil"/>
              <w:bottom w:val="single" w:sz="4" w:space="0" w:color="auto"/>
              <w:right w:val="single" w:sz="4" w:space="0" w:color="auto"/>
            </w:tcBorders>
            <w:shd w:val="clear" w:color="auto" w:fill="auto"/>
            <w:vAlign w:val="center"/>
            <w:hideMark/>
          </w:tcPr>
          <w:p w14:paraId="6EA97650" w14:textId="77777777" w:rsidR="004600D4" w:rsidRPr="004600D4" w:rsidRDefault="004600D4" w:rsidP="004600D4">
            <w:pPr>
              <w:spacing w:after="0" w:line="240" w:lineRule="auto"/>
              <w:ind w:firstLine="0"/>
              <w:jc w:val="right"/>
              <w:rPr>
                <w:rFonts w:eastAsia="Times New Roman" w:cs="Times New Roman"/>
                <w:b/>
                <w:bCs/>
                <w:color w:val="000000"/>
                <w:sz w:val="22"/>
                <w:lang w:eastAsia="ru-RU"/>
              </w:rPr>
            </w:pPr>
            <w:r w:rsidRPr="004600D4">
              <w:rPr>
                <w:rFonts w:eastAsia="Times New Roman" w:cs="Times New Roman"/>
                <w:b/>
                <w:bCs/>
                <w:color w:val="000000"/>
                <w:sz w:val="22"/>
                <w:lang w:eastAsia="ru-RU"/>
              </w:rPr>
              <w:t>2 485 306</w:t>
            </w:r>
          </w:p>
        </w:tc>
        <w:tc>
          <w:tcPr>
            <w:tcW w:w="1741" w:type="dxa"/>
            <w:tcBorders>
              <w:top w:val="nil"/>
              <w:left w:val="nil"/>
              <w:bottom w:val="single" w:sz="4" w:space="0" w:color="auto"/>
              <w:right w:val="single" w:sz="4" w:space="0" w:color="auto"/>
            </w:tcBorders>
            <w:shd w:val="clear" w:color="auto" w:fill="auto"/>
            <w:vAlign w:val="center"/>
            <w:hideMark/>
          </w:tcPr>
          <w:p w14:paraId="762CD977" w14:textId="77777777" w:rsidR="004600D4" w:rsidRPr="004600D4" w:rsidRDefault="004600D4" w:rsidP="004600D4">
            <w:pPr>
              <w:spacing w:after="0" w:line="240" w:lineRule="auto"/>
              <w:ind w:firstLine="0"/>
              <w:jc w:val="right"/>
              <w:rPr>
                <w:rFonts w:eastAsia="Times New Roman" w:cs="Times New Roman"/>
                <w:b/>
                <w:bCs/>
                <w:color w:val="000000"/>
                <w:sz w:val="22"/>
                <w:lang w:eastAsia="ru-RU"/>
              </w:rPr>
            </w:pPr>
            <w:r w:rsidRPr="004600D4">
              <w:rPr>
                <w:rFonts w:eastAsia="Times New Roman" w:cs="Times New Roman"/>
                <w:b/>
                <w:bCs/>
                <w:color w:val="000000"/>
                <w:sz w:val="22"/>
                <w:lang w:eastAsia="ru-RU"/>
              </w:rPr>
              <w:t>2 932 831</w:t>
            </w:r>
          </w:p>
        </w:tc>
      </w:tr>
    </w:tbl>
    <w:p w14:paraId="337379EA" w14:textId="10EF3E3C" w:rsidR="004A3443" w:rsidRPr="004A3722" w:rsidRDefault="004A3443" w:rsidP="004600D4">
      <w:pPr>
        <w:ind w:left="142" w:firstLine="0"/>
        <w:rPr>
          <w:rFonts w:asciiTheme="minorHAnsi" w:hAnsiTheme="minorHAnsi"/>
          <w:i/>
          <w:iCs/>
          <w:sz w:val="22"/>
        </w:rPr>
      </w:pPr>
      <w:r w:rsidRPr="004A3722">
        <w:rPr>
          <w:i/>
          <w:iCs/>
          <w:lang w:eastAsia="ru-RU"/>
        </w:rPr>
        <w:t xml:space="preserve">Источник: [составлено автором по отчетности компании </w:t>
      </w:r>
      <w:r w:rsidRPr="004A3722">
        <w:rPr>
          <w:i/>
          <w:iCs/>
          <w:lang w:val="en-US" w:eastAsia="ru-RU"/>
        </w:rPr>
        <w:t>HeadHunter</w:t>
      </w:r>
      <w:r w:rsidRPr="004A3722">
        <w:rPr>
          <w:i/>
          <w:iCs/>
          <w:lang w:eastAsia="ru-RU"/>
        </w:rPr>
        <w:t>]</w:t>
      </w:r>
      <w:r>
        <w:rPr>
          <w:i/>
          <w:iCs/>
          <w:lang w:val="en-US" w:eastAsia="ru-RU"/>
        </w:rPr>
        <w:fldChar w:fldCharType="begin"/>
      </w:r>
      <w:r w:rsidRPr="004A3722">
        <w:rPr>
          <w:i/>
          <w:iCs/>
          <w:lang w:eastAsia="ru-RU"/>
        </w:rPr>
        <w:instrText xml:space="preserve"> </w:instrText>
      </w:r>
      <w:r w:rsidRPr="004A3722">
        <w:rPr>
          <w:i/>
          <w:iCs/>
          <w:lang w:val="en-US" w:eastAsia="ru-RU"/>
        </w:rPr>
        <w:instrText>LINK</w:instrText>
      </w:r>
      <w:r w:rsidRPr="004A3722">
        <w:rPr>
          <w:i/>
          <w:iCs/>
          <w:lang w:eastAsia="ru-RU"/>
        </w:rPr>
        <w:instrText xml:space="preserve"> </w:instrText>
      </w:r>
      <w:r>
        <w:rPr>
          <w:i/>
          <w:iCs/>
          <w:lang w:eastAsia="ru-RU"/>
        </w:rPr>
        <w:instrText xml:space="preserve">Excel.Sheet.12 E:\\данные\\СПАРК-Отчет_Report_20200316_145121.xlsx Report!R8C9:R11C15 </w:instrText>
      </w:r>
      <w:r w:rsidRPr="004A3722">
        <w:rPr>
          <w:i/>
          <w:iCs/>
          <w:lang w:eastAsia="ru-RU"/>
        </w:rPr>
        <w:instrText>\</w:instrText>
      </w:r>
      <w:r w:rsidRPr="004A3722">
        <w:rPr>
          <w:i/>
          <w:iCs/>
          <w:lang w:val="en-US" w:eastAsia="ru-RU"/>
        </w:rPr>
        <w:instrText>a</w:instrText>
      </w:r>
      <w:r w:rsidRPr="004A3722">
        <w:rPr>
          <w:i/>
          <w:iCs/>
          <w:lang w:eastAsia="ru-RU"/>
        </w:rPr>
        <w:instrText xml:space="preserve"> \</w:instrText>
      </w:r>
      <w:r w:rsidRPr="004A3722">
        <w:rPr>
          <w:i/>
          <w:iCs/>
          <w:lang w:val="en-US" w:eastAsia="ru-RU"/>
        </w:rPr>
        <w:instrText>f</w:instrText>
      </w:r>
      <w:r w:rsidRPr="004A3722">
        <w:rPr>
          <w:i/>
          <w:iCs/>
          <w:lang w:eastAsia="ru-RU"/>
        </w:rPr>
        <w:instrText xml:space="preserve"> 4 \</w:instrText>
      </w:r>
      <w:r w:rsidRPr="004A3722">
        <w:rPr>
          <w:i/>
          <w:iCs/>
          <w:lang w:val="en-US" w:eastAsia="ru-RU"/>
        </w:rPr>
        <w:instrText>h</w:instrText>
      </w:r>
      <w:r w:rsidRPr="004A3722">
        <w:rPr>
          <w:i/>
          <w:iCs/>
          <w:lang w:eastAsia="ru-RU"/>
        </w:rPr>
        <w:instrText xml:space="preserve"> </w:instrText>
      </w:r>
      <w:r>
        <w:rPr>
          <w:i/>
          <w:iCs/>
          <w:lang w:val="en-US" w:eastAsia="ru-RU"/>
        </w:rPr>
        <w:fldChar w:fldCharType="separate"/>
      </w:r>
    </w:p>
    <w:p w14:paraId="7018DD4C" w14:textId="77777777" w:rsidR="004A3443" w:rsidRDefault="004A3443" w:rsidP="004A3443">
      <w:pPr>
        <w:rPr>
          <w:lang w:eastAsia="ru-RU"/>
        </w:rPr>
      </w:pPr>
      <w:r>
        <w:rPr>
          <w:lang w:val="en-US" w:eastAsia="ru-RU"/>
        </w:rPr>
        <w:fldChar w:fldCharType="end"/>
      </w:r>
      <w:r>
        <w:rPr>
          <w:lang w:eastAsia="ru-RU"/>
        </w:rPr>
        <w:t xml:space="preserve">Были рассчитаны коэффициенты ликвидности: текущей, быстрой и абсолютный — результаты представлены в таблице ниже. Все значения компании </w:t>
      </w:r>
      <w:r>
        <w:rPr>
          <w:lang w:val="en-US" w:eastAsia="ru-RU"/>
        </w:rPr>
        <w:t>HeadHunter</w:t>
      </w:r>
      <w:r>
        <w:rPr>
          <w:lang w:eastAsia="ru-RU"/>
        </w:rPr>
        <w:t xml:space="preserve"> соответствуют норме, что демонстрирует хороший уровень платежеспособности. В период с 2014 по 2017 годы все три показателя существенно увеличились практически в 2 раза, но в 2018 году значения вернулись на уровень 2016 года. Данный скачок в 2017 году обусловлен приобретением краткосрочных финансовых вложений (КФВ): около 2 миллиардов рублей было вложено в данные бумаги, что отразилось на коэффициентах ликвидности. В 2018 году КФВ уменьшились до уровня в 600 миллионов рублей. Изменение денежных средств и краткосрочных обязательств в 2018 году сбалансировали друг друга, компенсировав значительное увеличение показателей. </w:t>
      </w:r>
    </w:p>
    <w:p w14:paraId="4439AB5E" w14:textId="77777777" w:rsidR="00842438" w:rsidRDefault="004A3443" w:rsidP="00842438">
      <w:pPr>
        <w:rPr>
          <w:lang w:eastAsia="ru-RU"/>
        </w:rPr>
      </w:pPr>
      <w:r>
        <w:rPr>
          <w:lang w:eastAsia="ru-RU"/>
        </w:rPr>
        <w:t xml:space="preserve">Несмотря на снижение коэффициентов ликвидности, все значения находятся в диапазоне рекомендуемых значений. Изменение показателей обоснованное и не влечет за собой негативных последствий. </w:t>
      </w:r>
    </w:p>
    <w:p w14:paraId="04EE9DE8" w14:textId="0DE3A7B0" w:rsidR="004A3443" w:rsidRDefault="00842438" w:rsidP="00842438">
      <w:pPr>
        <w:pStyle w:val="a0"/>
        <w:rPr>
          <w:lang w:eastAsia="ru-RU"/>
        </w:rPr>
      </w:pPr>
      <w:r>
        <w:rPr>
          <w:lang w:eastAsia="ru-RU"/>
        </w:rPr>
        <w:t>Значения коэффициентов ликвидности компании в 2016-2019 годах</w:t>
      </w:r>
    </w:p>
    <w:tbl>
      <w:tblPr>
        <w:tblW w:w="6658" w:type="dxa"/>
        <w:jc w:val="center"/>
        <w:tblLook w:val="04A0" w:firstRow="1" w:lastRow="0" w:firstColumn="1" w:lastColumn="0" w:noHBand="0" w:noVBand="1"/>
      </w:tblPr>
      <w:tblGrid>
        <w:gridCol w:w="2830"/>
        <w:gridCol w:w="825"/>
        <w:gridCol w:w="1018"/>
        <w:gridCol w:w="992"/>
        <w:gridCol w:w="993"/>
      </w:tblGrid>
      <w:tr w:rsidR="008743E1" w:rsidRPr="00842438" w14:paraId="4CFA03A2" w14:textId="77777777" w:rsidTr="00842438">
        <w:trPr>
          <w:trHeight w:val="290"/>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B9D203" w14:textId="77777777" w:rsidR="008743E1" w:rsidRPr="00842438" w:rsidRDefault="008743E1" w:rsidP="00842438">
            <w:pPr>
              <w:spacing w:after="0" w:line="240" w:lineRule="auto"/>
              <w:ind w:firstLine="0"/>
              <w:jc w:val="center"/>
              <w:rPr>
                <w:rFonts w:eastAsia="Times New Roman" w:cs="Times New Roman"/>
                <w:b/>
                <w:bCs/>
                <w:color w:val="000000"/>
                <w:sz w:val="22"/>
                <w:lang w:eastAsia="ru-RU"/>
              </w:rPr>
            </w:pPr>
            <w:r w:rsidRPr="00842438">
              <w:rPr>
                <w:rFonts w:eastAsia="Times New Roman" w:cs="Times New Roman"/>
                <w:b/>
                <w:bCs/>
                <w:color w:val="000000"/>
                <w:sz w:val="22"/>
                <w:lang w:eastAsia="ru-RU"/>
              </w:rPr>
              <w:t>Коэффициенты ликвидности</w:t>
            </w: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14:paraId="23BAB68D" w14:textId="77777777" w:rsidR="008743E1" w:rsidRPr="00842438" w:rsidRDefault="008743E1" w:rsidP="008743E1">
            <w:pPr>
              <w:spacing w:after="0" w:line="240" w:lineRule="auto"/>
              <w:ind w:firstLine="0"/>
              <w:jc w:val="center"/>
              <w:rPr>
                <w:rFonts w:eastAsia="Times New Roman" w:cs="Times New Roman"/>
                <w:b/>
                <w:bCs/>
                <w:color w:val="000000"/>
                <w:sz w:val="22"/>
                <w:lang w:eastAsia="ru-RU"/>
              </w:rPr>
            </w:pPr>
            <w:r w:rsidRPr="00842438">
              <w:rPr>
                <w:rFonts w:eastAsia="Times New Roman" w:cs="Times New Roman"/>
                <w:b/>
                <w:bCs/>
                <w:color w:val="000000"/>
                <w:sz w:val="22"/>
                <w:lang w:eastAsia="ru-RU"/>
              </w:rPr>
              <w:t>Значение коэффициентов ликвидности</w:t>
            </w:r>
          </w:p>
        </w:tc>
      </w:tr>
      <w:tr w:rsidR="008743E1" w:rsidRPr="00842438" w14:paraId="28C0AE81" w14:textId="77777777" w:rsidTr="00842438">
        <w:trPr>
          <w:trHeight w:val="29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E6A3179" w14:textId="77777777" w:rsidR="008743E1" w:rsidRPr="00842438" w:rsidRDefault="008743E1" w:rsidP="00842438">
            <w:pPr>
              <w:spacing w:after="0" w:line="240" w:lineRule="auto"/>
              <w:ind w:firstLine="0"/>
              <w:jc w:val="center"/>
              <w:rPr>
                <w:rFonts w:eastAsia="Times New Roman" w:cs="Times New Roman"/>
                <w:b/>
                <w:bCs/>
                <w:color w:val="000000"/>
                <w:sz w:val="22"/>
                <w:lang w:eastAsia="ru-RU"/>
              </w:rPr>
            </w:pPr>
          </w:p>
        </w:tc>
        <w:tc>
          <w:tcPr>
            <w:tcW w:w="825" w:type="dxa"/>
            <w:tcBorders>
              <w:top w:val="nil"/>
              <w:left w:val="nil"/>
              <w:bottom w:val="single" w:sz="4" w:space="0" w:color="auto"/>
              <w:right w:val="single" w:sz="4" w:space="0" w:color="auto"/>
            </w:tcBorders>
            <w:shd w:val="clear" w:color="auto" w:fill="auto"/>
            <w:noWrap/>
            <w:vAlign w:val="bottom"/>
            <w:hideMark/>
          </w:tcPr>
          <w:p w14:paraId="3AF8BDB5" w14:textId="77777777" w:rsidR="008743E1" w:rsidRPr="00842438" w:rsidRDefault="008743E1" w:rsidP="008743E1">
            <w:pPr>
              <w:spacing w:after="0" w:line="240" w:lineRule="auto"/>
              <w:ind w:firstLine="0"/>
              <w:jc w:val="right"/>
              <w:rPr>
                <w:rFonts w:eastAsia="Times New Roman" w:cs="Times New Roman"/>
                <w:b/>
                <w:bCs/>
                <w:color w:val="000000"/>
                <w:sz w:val="22"/>
                <w:lang w:eastAsia="ru-RU"/>
              </w:rPr>
            </w:pPr>
            <w:r w:rsidRPr="00842438">
              <w:rPr>
                <w:rFonts w:eastAsia="Times New Roman" w:cs="Times New Roman"/>
                <w:b/>
                <w:bCs/>
                <w:color w:val="000000"/>
                <w:sz w:val="22"/>
                <w:lang w:eastAsia="ru-RU"/>
              </w:rPr>
              <w:t>2016</w:t>
            </w:r>
          </w:p>
        </w:tc>
        <w:tc>
          <w:tcPr>
            <w:tcW w:w="1018" w:type="dxa"/>
            <w:tcBorders>
              <w:top w:val="nil"/>
              <w:left w:val="nil"/>
              <w:bottom w:val="single" w:sz="4" w:space="0" w:color="auto"/>
              <w:right w:val="single" w:sz="4" w:space="0" w:color="auto"/>
            </w:tcBorders>
            <w:shd w:val="clear" w:color="auto" w:fill="auto"/>
            <w:noWrap/>
            <w:vAlign w:val="bottom"/>
            <w:hideMark/>
          </w:tcPr>
          <w:p w14:paraId="73929EEB" w14:textId="77777777" w:rsidR="008743E1" w:rsidRPr="00842438" w:rsidRDefault="008743E1" w:rsidP="008743E1">
            <w:pPr>
              <w:spacing w:after="0" w:line="240" w:lineRule="auto"/>
              <w:ind w:firstLine="0"/>
              <w:jc w:val="right"/>
              <w:rPr>
                <w:rFonts w:eastAsia="Times New Roman" w:cs="Times New Roman"/>
                <w:b/>
                <w:bCs/>
                <w:color w:val="000000"/>
                <w:sz w:val="22"/>
                <w:lang w:eastAsia="ru-RU"/>
              </w:rPr>
            </w:pPr>
            <w:r w:rsidRPr="00842438">
              <w:rPr>
                <w:rFonts w:eastAsia="Times New Roman" w:cs="Times New Roman"/>
                <w:b/>
                <w:bCs/>
                <w:color w:val="000000"/>
                <w:sz w:val="22"/>
                <w:lang w:eastAsia="ru-RU"/>
              </w:rPr>
              <w:t>2017</w:t>
            </w:r>
          </w:p>
        </w:tc>
        <w:tc>
          <w:tcPr>
            <w:tcW w:w="992" w:type="dxa"/>
            <w:tcBorders>
              <w:top w:val="nil"/>
              <w:left w:val="nil"/>
              <w:bottom w:val="single" w:sz="4" w:space="0" w:color="auto"/>
              <w:right w:val="single" w:sz="4" w:space="0" w:color="auto"/>
            </w:tcBorders>
            <w:shd w:val="clear" w:color="auto" w:fill="auto"/>
            <w:noWrap/>
            <w:vAlign w:val="bottom"/>
            <w:hideMark/>
          </w:tcPr>
          <w:p w14:paraId="5AE7993A" w14:textId="77777777" w:rsidR="008743E1" w:rsidRPr="00842438" w:rsidRDefault="008743E1" w:rsidP="008743E1">
            <w:pPr>
              <w:spacing w:after="0" w:line="240" w:lineRule="auto"/>
              <w:ind w:firstLine="0"/>
              <w:jc w:val="right"/>
              <w:rPr>
                <w:rFonts w:eastAsia="Times New Roman" w:cs="Times New Roman"/>
                <w:b/>
                <w:bCs/>
                <w:color w:val="000000"/>
                <w:sz w:val="22"/>
                <w:lang w:eastAsia="ru-RU"/>
              </w:rPr>
            </w:pPr>
            <w:r w:rsidRPr="00842438">
              <w:rPr>
                <w:rFonts w:eastAsia="Times New Roman" w:cs="Times New Roman"/>
                <w:b/>
                <w:bCs/>
                <w:color w:val="000000"/>
                <w:sz w:val="22"/>
                <w:lang w:eastAsia="ru-RU"/>
              </w:rPr>
              <w:t>2018</w:t>
            </w:r>
          </w:p>
        </w:tc>
        <w:tc>
          <w:tcPr>
            <w:tcW w:w="993" w:type="dxa"/>
            <w:tcBorders>
              <w:top w:val="nil"/>
              <w:left w:val="nil"/>
              <w:bottom w:val="single" w:sz="4" w:space="0" w:color="auto"/>
              <w:right w:val="single" w:sz="4" w:space="0" w:color="auto"/>
            </w:tcBorders>
            <w:shd w:val="clear" w:color="auto" w:fill="auto"/>
            <w:noWrap/>
            <w:vAlign w:val="bottom"/>
            <w:hideMark/>
          </w:tcPr>
          <w:p w14:paraId="01EE29A7" w14:textId="77777777" w:rsidR="008743E1" w:rsidRPr="00842438" w:rsidRDefault="008743E1" w:rsidP="008743E1">
            <w:pPr>
              <w:spacing w:after="0" w:line="240" w:lineRule="auto"/>
              <w:ind w:firstLine="0"/>
              <w:jc w:val="right"/>
              <w:rPr>
                <w:rFonts w:eastAsia="Times New Roman" w:cs="Times New Roman"/>
                <w:b/>
                <w:bCs/>
                <w:color w:val="000000"/>
                <w:sz w:val="22"/>
                <w:lang w:eastAsia="ru-RU"/>
              </w:rPr>
            </w:pPr>
            <w:r w:rsidRPr="00842438">
              <w:rPr>
                <w:rFonts w:eastAsia="Times New Roman" w:cs="Times New Roman"/>
                <w:b/>
                <w:bCs/>
                <w:color w:val="000000"/>
                <w:sz w:val="22"/>
                <w:lang w:eastAsia="ru-RU"/>
              </w:rPr>
              <w:t>2019</w:t>
            </w:r>
          </w:p>
        </w:tc>
      </w:tr>
      <w:tr w:rsidR="008743E1" w:rsidRPr="00842438" w14:paraId="131AC53E" w14:textId="77777777" w:rsidTr="00842438">
        <w:trPr>
          <w:trHeight w:val="431"/>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02F3659C" w14:textId="77777777" w:rsidR="008743E1" w:rsidRPr="00842438" w:rsidRDefault="008743E1" w:rsidP="00842438">
            <w:pPr>
              <w:spacing w:after="0" w:line="240" w:lineRule="auto"/>
              <w:ind w:firstLine="0"/>
              <w:jc w:val="center"/>
              <w:rPr>
                <w:rFonts w:eastAsia="Times New Roman" w:cs="Times New Roman"/>
                <w:color w:val="000000"/>
                <w:sz w:val="22"/>
                <w:lang w:eastAsia="ru-RU"/>
              </w:rPr>
            </w:pPr>
            <w:r w:rsidRPr="00842438">
              <w:rPr>
                <w:rFonts w:eastAsia="Times New Roman" w:cs="Times New Roman"/>
                <w:color w:val="000000"/>
                <w:sz w:val="22"/>
                <w:lang w:eastAsia="ru-RU"/>
              </w:rPr>
              <w:t>Коэффициент текущей ликвидности</w:t>
            </w:r>
          </w:p>
        </w:tc>
        <w:tc>
          <w:tcPr>
            <w:tcW w:w="825" w:type="dxa"/>
            <w:tcBorders>
              <w:top w:val="nil"/>
              <w:left w:val="nil"/>
              <w:bottom w:val="single" w:sz="4" w:space="0" w:color="auto"/>
              <w:right w:val="single" w:sz="4" w:space="0" w:color="auto"/>
            </w:tcBorders>
            <w:shd w:val="clear" w:color="auto" w:fill="auto"/>
            <w:noWrap/>
            <w:vAlign w:val="bottom"/>
            <w:hideMark/>
          </w:tcPr>
          <w:p w14:paraId="4E8DB483"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0,85</w:t>
            </w:r>
          </w:p>
        </w:tc>
        <w:tc>
          <w:tcPr>
            <w:tcW w:w="1018" w:type="dxa"/>
            <w:tcBorders>
              <w:top w:val="nil"/>
              <w:left w:val="nil"/>
              <w:bottom w:val="single" w:sz="4" w:space="0" w:color="auto"/>
              <w:right w:val="single" w:sz="4" w:space="0" w:color="auto"/>
            </w:tcBorders>
            <w:shd w:val="clear" w:color="auto" w:fill="auto"/>
            <w:noWrap/>
            <w:vAlign w:val="bottom"/>
            <w:hideMark/>
          </w:tcPr>
          <w:p w14:paraId="2D52F131"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0,55</w:t>
            </w:r>
          </w:p>
        </w:tc>
        <w:tc>
          <w:tcPr>
            <w:tcW w:w="992" w:type="dxa"/>
            <w:tcBorders>
              <w:top w:val="nil"/>
              <w:left w:val="nil"/>
              <w:bottom w:val="single" w:sz="4" w:space="0" w:color="auto"/>
              <w:right w:val="single" w:sz="4" w:space="0" w:color="auto"/>
            </w:tcBorders>
            <w:shd w:val="clear" w:color="auto" w:fill="auto"/>
            <w:noWrap/>
            <w:vAlign w:val="bottom"/>
            <w:hideMark/>
          </w:tcPr>
          <w:p w14:paraId="61FBA8FC"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0,73</w:t>
            </w:r>
          </w:p>
        </w:tc>
        <w:tc>
          <w:tcPr>
            <w:tcW w:w="993" w:type="dxa"/>
            <w:tcBorders>
              <w:top w:val="nil"/>
              <w:left w:val="nil"/>
              <w:bottom w:val="single" w:sz="4" w:space="0" w:color="auto"/>
              <w:right w:val="single" w:sz="4" w:space="0" w:color="auto"/>
            </w:tcBorders>
            <w:shd w:val="clear" w:color="auto" w:fill="auto"/>
            <w:noWrap/>
            <w:vAlign w:val="bottom"/>
            <w:hideMark/>
          </w:tcPr>
          <w:p w14:paraId="0E8EB0A1"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0,55</w:t>
            </w:r>
          </w:p>
        </w:tc>
      </w:tr>
      <w:tr w:rsidR="008743E1" w:rsidRPr="00842438" w14:paraId="06A5E7C2" w14:textId="77777777" w:rsidTr="00842438">
        <w:trPr>
          <w:trHeight w:val="467"/>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050D8A35" w14:textId="77777777" w:rsidR="008743E1" w:rsidRPr="00842438" w:rsidRDefault="008743E1" w:rsidP="00842438">
            <w:pPr>
              <w:spacing w:after="0" w:line="240" w:lineRule="auto"/>
              <w:ind w:firstLine="0"/>
              <w:jc w:val="center"/>
              <w:rPr>
                <w:rFonts w:eastAsia="Times New Roman" w:cs="Times New Roman"/>
                <w:color w:val="000000"/>
                <w:sz w:val="22"/>
                <w:lang w:eastAsia="ru-RU"/>
              </w:rPr>
            </w:pPr>
            <w:r w:rsidRPr="00842438">
              <w:rPr>
                <w:rFonts w:eastAsia="Times New Roman" w:cs="Times New Roman"/>
                <w:color w:val="000000"/>
                <w:sz w:val="22"/>
                <w:lang w:eastAsia="ru-RU"/>
              </w:rPr>
              <w:t>Коэффициент быстрой ликвидности</w:t>
            </w:r>
          </w:p>
        </w:tc>
        <w:tc>
          <w:tcPr>
            <w:tcW w:w="825" w:type="dxa"/>
            <w:tcBorders>
              <w:top w:val="nil"/>
              <w:left w:val="nil"/>
              <w:bottom w:val="single" w:sz="4" w:space="0" w:color="auto"/>
              <w:right w:val="single" w:sz="4" w:space="0" w:color="auto"/>
            </w:tcBorders>
            <w:shd w:val="clear" w:color="auto" w:fill="auto"/>
            <w:noWrap/>
            <w:vAlign w:val="bottom"/>
            <w:hideMark/>
          </w:tcPr>
          <w:p w14:paraId="737BCCF2"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0,31</w:t>
            </w:r>
          </w:p>
        </w:tc>
        <w:tc>
          <w:tcPr>
            <w:tcW w:w="1018" w:type="dxa"/>
            <w:tcBorders>
              <w:top w:val="nil"/>
              <w:left w:val="nil"/>
              <w:bottom w:val="single" w:sz="4" w:space="0" w:color="auto"/>
              <w:right w:val="single" w:sz="4" w:space="0" w:color="auto"/>
            </w:tcBorders>
            <w:shd w:val="clear" w:color="auto" w:fill="auto"/>
            <w:noWrap/>
            <w:vAlign w:val="bottom"/>
            <w:hideMark/>
          </w:tcPr>
          <w:p w14:paraId="6F725ADE"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0,54</w:t>
            </w:r>
          </w:p>
        </w:tc>
        <w:tc>
          <w:tcPr>
            <w:tcW w:w="992" w:type="dxa"/>
            <w:tcBorders>
              <w:top w:val="nil"/>
              <w:left w:val="nil"/>
              <w:bottom w:val="single" w:sz="4" w:space="0" w:color="auto"/>
              <w:right w:val="single" w:sz="4" w:space="0" w:color="auto"/>
            </w:tcBorders>
            <w:shd w:val="clear" w:color="auto" w:fill="auto"/>
            <w:noWrap/>
            <w:vAlign w:val="bottom"/>
            <w:hideMark/>
          </w:tcPr>
          <w:p w14:paraId="1114F9B4"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0,73</w:t>
            </w:r>
          </w:p>
        </w:tc>
        <w:tc>
          <w:tcPr>
            <w:tcW w:w="993" w:type="dxa"/>
            <w:tcBorders>
              <w:top w:val="nil"/>
              <w:left w:val="nil"/>
              <w:bottom w:val="single" w:sz="4" w:space="0" w:color="auto"/>
              <w:right w:val="single" w:sz="4" w:space="0" w:color="auto"/>
            </w:tcBorders>
            <w:shd w:val="clear" w:color="auto" w:fill="auto"/>
            <w:noWrap/>
            <w:vAlign w:val="bottom"/>
            <w:hideMark/>
          </w:tcPr>
          <w:p w14:paraId="6CBC1606"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0,55</w:t>
            </w:r>
          </w:p>
        </w:tc>
      </w:tr>
      <w:tr w:rsidR="008743E1" w:rsidRPr="00842438" w14:paraId="7D25BCC3" w14:textId="77777777" w:rsidTr="00842438">
        <w:trPr>
          <w:trHeight w:val="247"/>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5B8AF75" w14:textId="77777777" w:rsidR="008743E1" w:rsidRPr="00842438" w:rsidRDefault="008743E1" w:rsidP="00842438">
            <w:pPr>
              <w:spacing w:after="0" w:line="240" w:lineRule="auto"/>
              <w:ind w:firstLine="0"/>
              <w:jc w:val="center"/>
              <w:rPr>
                <w:rFonts w:eastAsia="Times New Roman" w:cs="Times New Roman"/>
                <w:color w:val="000000"/>
                <w:sz w:val="22"/>
                <w:lang w:eastAsia="ru-RU"/>
              </w:rPr>
            </w:pPr>
            <w:r w:rsidRPr="00842438">
              <w:rPr>
                <w:rFonts w:eastAsia="Times New Roman" w:cs="Times New Roman"/>
                <w:color w:val="000000"/>
                <w:sz w:val="22"/>
                <w:lang w:eastAsia="ru-RU"/>
              </w:rPr>
              <w:t>Коэффициент абсолютной ликвидности</w:t>
            </w:r>
          </w:p>
        </w:tc>
        <w:tc>
          <w:tcPr>
            <w:tcW w:w="825" w:type="dxa"/>
            <w:tcBorders>
              <w:top w:val="nil"/>
              <w:left w:val="nil"/>
              <w:bottom w:val="single" w:sz="4" w:space="0" w:color="auto"/>
              <w:right w:val="single" w:sz="4" w:space="0" w:color="auto"/>
            </w:tcBorders>
            <w:shd w:val="clear" w:color="auto" w:fill="auto"/>
            <w:noWrap/>
            <w:vAlign w:val="bottom"/>
            <w:hideMark/>
          </w:tcPr>
          <w:p w14:paraId="392FD4E6"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0,27</w:t>
            </w:r>
          </w:p>
        </w:tc>
        <w:tc>
          <w:tcPr>
            <w:tcW w:w="1018" w:type="dxa"/>
            <w:tcBorders>
              <w:top w:val="nil"/>
              <w:left w:val="nil"/>
              <w:bottom w:val="single" w:sz="4" w:space="0" w:color="auto"/>
              <w:right w:val="single" w:sz="4" w:space="0" w:color="auto"/>
            </w:tcBorders>
            <w:shd w:val="clear" w:color="auto" w:fill="auto"/>
            <w:noWrap/>
            <w:vAlign w:val="bottom"/>
            <w:hideMark/>
          </w:tcPr>
          <w:p w14:paraId="7B075AA3"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0,53</w:t>
            </w:r>
          </w:p>
        </w:tc>
        <w:tc>
          <w:tcPr>
            <w:tcW w:w="992" w:type="dxa"/>
            <w:tcBorders>
              <w:top w:val="nil"/>
              <w:left w:val="nil"/>
              <w:bottom w:val="single" w:sz="4" w:space="0" w:color="auto"/>
              <w:right w:val="single" w:sz="4" w:space="0" w:color="auto"/>
            </w:tcBorders>
            <w:shd w:val="clear" w:color="auto" w:fill="auto"/>
            <w:noWrap/>
            <w:vAlign w:val="bottom"/>
            <w:hideMark/>
          </w:tcPr>
          <w:p w14:paraId="642D0C4F"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0,72</w:t>
            </w:r>
          </w:p>
        </w:tc>
        <w:tc>
          <w:tcPr>
            <w:tcW w:w="993" w:type="dxa"/>
            <w:tcBorders>
              <w:top w:val="nil"/>
              <w:left w:val="nil"/>
              <w:bottom w:val="single" w:sz="4" w:space="0" w:color="auto"/>
              <w:right w:val="single" w:sz="4" w:space="0" w:color="auto"/>
            </w:tcBorders>
            <w:shd w:val="clear" w:color="auto" w:fill="auto"/>
            <w:noWrap/>
            <w:vAlign w:val="bottom"/>
            <w:hideMark/>
          </w:tcPr>
          <w:p w14:paraId="2F3E1E86" w14:textId="77777777" w:rsidR="008743E1" w:rsidRPr="00842438" w:rsidRDefault="008743E1" w:rsidP="008743E1">
            <w:pPr>
              <w:spacing w:after="0" w:line="240" w:lineRule="auto"/>
              <w:ind w:firstLine="0"/>
              <w:jc w:val="right"/>
              <w:rPr>
                <w:rFonts w:eastAsia="Times New Roman" w:cs="Times New Roman"/>
                <w:color w:val="000000"/>
                <w:sz w:val="22"/>
                <w:lang w:eastAsia="ru-RU"/>
              </w:rPr>
            </w:pPr>
            <w:r w:rsidRPr="00842438">
              <w:rPr>
                <w:rFonts w:eastAsia="Times New Roman" w:cs="Times New Roman"/>
                <w:color w:val="000000"/>
                <w:sz w:val="22"/>
                <w:lang w:eastAsia="ru-RU"/>
              </w:rPr>
              <w:t>0,54</w:t>
            </w:r>
          </w:p>
        </w:tc>
      </w:tr>
    </w:tbl>
    <w:p w14:paraId="2AC64123" w14:textId="58D18F29" w:rsidR="004A3443" w:rsidRPr="004A3722" w:rsidRDefault="004A3443" w:rsidP="00DE1E06">
      <w:pPr>
        <w:ind w:left="1276" w:firstLine="0"/>
        <w:rPr>
          <w:rFonts w:asciiTheme="minorHAnsi" w:hAnsiTheme="minorHAnsi"/>
          <w:i/>
          <w:iCs/>
          <w:sz w:val="22"/>
        </w:rPr>
      </w:pPr>
      <w:r w:rsidRPr="004A3722">
        <w:rPr>
          <w:i/>
          <w:iCs/>
          <w:lang w:eastAsia="ru-RU"/>
        </w:rPr>
        <w:t xml:space="preserve">Источник: [составлено автором по отчетности компании </w:t>
      </w:r>
      <w:r w:rsidRPr="004A3722">
        <w:rPr>
          <w:i/>
          <w:iCs/>
          <w:lang w:val="en-US" w:eastAsia="ru-RU"/>
        </w:rPr>
        <w:t>HeadHunter</w:t>
      </w:r>
      <w:r w:rsidRPr="004A3722">
        <w:rPr>
          <w:i/>
          <w:iCs/>
          <w:lang w:eastAsia="ru-RU"/>
        </w:rPr>
        <w:t>]</w:t>
      </w:r>
      <w:r>
        <w:rPr>
          <w:i/>
          <w:iCs/>
          <w:lang w:val="en-US" w:eastAsia="ru-RU"/>
        </w:rPr>
        <w:fldChar w:fldCharType="begin"/>
      </w:r>
      <w:r w:rsidRPr="004A3722">
        <w:rPr>
          <w:i/>
          <w:iCs/>
          <w:lang w:eastAsia="ru-RU"/>
        </w:rPr>
        <w:instrText xml:space="preserve"> </w:instrText>
      </w:r>
      <w:r w:rsidRPr="004A3722">
        <w:rPr>
          <w:i/>
          <w:iCs/>
          <w:lang w:val="en-US" w:eastAsia="ru-RU"/>
        </w:rPr>
        <w:instrText>LINK</w:instrText>
      </w:r>
      <w:r w:rsidRPr="004A3722">
        <w:rPr>
          <w:i/>
          <w:iCs/>
          <w:lang w:eastAsia="ru-RU"/>
        </w:rPr>
        <w:instrText xml:space="preserve"> </w:instrText>
      </w:r>
      <w:r>
        <w:rPr>
          <w:i/>
          <w:iCs/>
          <w:lang w:eastAsia="ru-RU"/>
        </w:rPr>
        <w:instrText xml:space="preserve">Excel.Sheet.12 E:\\данные\\СПАРК-Отчет_Report_20200316_145121.xlsx Report!R8C9:R11C15 </w:instrText>
      </w:r>
      <w:r w:rsidRPr="004A3722">
        <w:rPr>
          <w:i/>
          <w:iCs/>
          <w:lang w:eastAsia="ru-RU"/>
        </w:rPr>
        <w:instrText>\</w:instrText>
      </w:r>
      <w:r w:rsidRPr="004A3722">
        <w:rPr>
          <w:i/>
          <w:iCs/>
          <w:lang w:val="en-US" w:eastAsia="ru-RU"/>
        </w:rPr>
        <w:instrText>a</w:instrText>
      </w:r>
      <w:r w:rsidRPr="004A3722">
        <w:rPr>
          <w:i/>
          <w:iCs/>
          <w:lang w:eastAsia="ru-RU"/>
        </w:rPr>
        <w:instrText xml:space="preserve"> \</w:instrText>
      </w:r>
      <w:r w:rsidRPr="004A3722">
        <w:rPr>
          <w:i/>
          <w:iCs/>
          <w:lang w:val="en-US" w:eastAsia="ru-RU"/>
        </w:rPr>
        <w:instrText>f</w:instrText>
      </w:r>
      <w:r w:rsidRPr="004A3722">
        <w:rPr>
          <w:i/>
          <w:iCs/>
          <w:lang w:eastAsia="ru-RU"/>
        </w:rPr>
        <w:instrText xml:space="preserve"> 4 \</w:instrText>
      </w:r>
      <w:r w:rsidRPr="004A3722">
        <w:rPr>
          <w:i/>
          <w:iCs/>
          <w:lang w:val="en-US" w:eastAsia="ru-RU"/>
        </w:rPr>
        <w:instrText>h</w:instrText>
      </w:r>
      <w:r w:rsidRPr="004A3722">
        <w:rPr>
          <w:i/>
          <w:iCs/>
          <w:lang w:eastAsia="ru-RU"/>
        </w:rPr>
        <w:instrText xml:space="preserve"> </w:instrText>
      </w:r>
      <w:r>
        <w:rPr>
          <w:i/>
          <w:iCs/>
          <w:lang w:val="en-US" w:eastAsia="ru-RU"/>
        </w:rPr>
        <w:fldChar w:fldCharType="separate"/>
      </w:r>
    </w:p>
    <w:p w14:paraId="104845CE" w14:textId="3903A08B" w:rsidR="00807368" w:rsidRPr="00807368" w:rsidRDefault="004A3443" w:rsidP="00140CFC">
      <w:pPr>
        <w:rPr>
          <w:lang w:eastAsia="ru-RU"/>
        </w:rPr>
      </w:pPr>
      <w:r>
        <w:rPr>
          <w:lang w:val="en-US" w:eastAsia="ru-RU"/>
        </w:rPr>
        <w:fldChar w:fldCharType="end"/>
      </w:r>
      <w:r>
        <w:rPr>
          <w:lang w:eastAsia="ru-RU"/>
        </w:rPr>
        <w:t xml:space="preserve">В ходе анализа финансового состояние компании </w:t>
      </w:r>
      <w:r>
        <w:rPr>
          <w:lang w:val="en-US" w:eastAsia="ru-RU"/>
        </w:rPr>
        <w:t>HeadHunter</w:t>
      </w:r>
      <w:r>
        <w:rPr>
          <w:lang w:eastAsia="ru-RU"/>
        </w:rPr>
        <w:t xml:space="preserve"> были выделены следующие важные изменения показателей.</w:t>
      </w:r>
      <w:r w:rsidR="00232BC5">
        <w:rPr>
          <w:lang w:eastAsia="ru-RU"/>
        </w:rPr>
        <w:t xml:space="preserve"> В</w:t>
      </w:r>
      <w:r>
        <w:rPr>
          <w:lang w:eastAsia="ru-RU"/>
        </w:rPr>
        <w:t xml:space="preserve">ыручка компании имеет положительный тренд на протяжении рассматриваемого периода, а в 2018 году был существенный рост данного показателя на 30%. </w:t>
      </w:r>
      <w:r w:rsidR="00232BC5">
        <w:rPr>
          <w:lang w:eastAsia="ru-RU"/>
        </w:rPr>
        <w:t>З</w:t>
      </w:r>
      <w:r>
        <w:rPr>
          <w:lang w:eastAsia="ru-RU"/>
        </w:rPr>
        <w:t xml:space="preserve">начения коэффициентов ликвидности компании </w:t>
      </w:r>
      <w:r>
        <w:rPr>
          <w:lang w:val="en-US" w:eastAsia="ru-RU"/>
        </w:rPr>
        <w:t>HeadHunter</w:t>
      </w:r>
      <w:r>
        <w:rPr>
          <w:lang w:eastAsia="ru-RU"/>
        </w:rPr>
        <w:t xml:space="preserve"> находятся в рекомендуемом диапазоне, при этом в 2018 году было снижение данных показателей в силу изменения политики компании. </w:t>
      </w:r>
    </w:p>
    <w:p w14:paraId="6565D716" w14:textId="2354B170" w:rsidR="006E0D62" w:rsidRDefault="006E0D62" w:rsidP="006E0D62">
      <w:pPr>
        <w:pStyle w:val="2"/>
        <w:rPr>
          <w:lang w:eastAsia="ru-RU"/>
        </w:rPr>
      </w:pPr>
      <w:bookmarkStart w:id="29" w:name="_Toc41822248"/>
      <w:r>
        <w:rPr>
          <w:lang w:eastAsia="ru-RU"/>
        </w:rPr>
        <w:lastRenderedPageBreak/>
        <w:t>3.3. Апробация методик оценки ценности компани</w:t>
      </w:r>
      <w:r w:rsidR="00F63EE6">
        <w:rPr>
          <w:lang w:eastAsia="ru-RU"/>
        </w:rPr>
        <w:t>и на примере российских компаний</w:t>
      </w:r>
      <w:bookmarkEnd w:id="29"/>
      <w:r w:rsidR="00F63EE6">
        <w:rPr>
          <w:lang w:eastAsia="ru-RU"/>
        </w:rPr>
        <w:t xml:space="preserve"> </w:t>
      </w:r>
    </w:p>
    <w:p w14:paraId="137E5AC3" w14:textId="5B32C62B" w:rsidR="0049087B" w:rsidRDefault="009378EB" w:rsidP="00E2589D">
      <w:pPr>
        <w:rPr>
          <w:lang w:eastAsia="ru-RU"/>
        </w:rPr>
      </w:pPr>
      <w:r>
        <w:rPr>
          <w:lang w:eastAsia="ru-RU"/>
        </w:rPr>
        <w:t>Анализ деятельности компаний позволил провести</w:t>
      </w:r>
      <w:r w:rsidR="00EB7BC6">
        <w:rPr>
          <w:lang w:eastAsia="ru-RU"/>
        </w:rPr>
        <w:t xml:space="preserve"> </w:t>
      </w:r>
      <w:r w:rsidR="0049087B">
        <w:rPr>
          <w:lang w:eastAsia="ru-RU"/>
        </w:rPr>
        <w:t xml:space="preserve">расчеты оценки ценности двумя методами: дисконтированием денежных потоков и достигнутой стоимости. В первую очередь был рассмотрен классический </w:t>
      </w:r>
      <w:r w:rsidR="00EB7BC6">
        <w:rPr>
          <w:lang w:eastAsia="ru-RU"/>
        </w:rPr>
        <w:t xml:space="preserve">метод </w:t>
      </w:r>
      <w:r w:rsidR="00EB7BC6">
        <w:rPr>
          <w:lang w:val="en-US" w:eastAsia="ru-RU"/>
        </w:rPr>
        <w:t>DCF</w:t>
      </w:r>
      <w:r w:rsidR="0049087B">
        <w:rPr>
          <w:lang w:eastAsia="ru-RU"/>
        </w:rPr>
        <w:t>, входящий в доходный подход</w:t>
      </w:r>
      <w:r w:rsidR="00EB7BC6">
        <w:rPr>
          <w:lang w:eastAsia="ru-RU"/>
        </w:rPr>
        <w:t xml:space="preserve">. </w:t>
      </w:r>
    </w:p>
    <w:p w14:paraId="3D36DC8A" w14:textId="77777777" w:rsidR="00EB7BC6" w:rsidRDefault="0023579D" w:rsidP="00E2589D">
      <w:pPr>
        <w:rPr>
          <w:lang w:eastAsia="ru-RU"/>
        </w:rPr>
      </w:pPr>
      <w:r>
        <w:rPr>
          <w:lang w:eastAsia="ru-RU"/>
        </w:rPr>
        <w:t>Для расчета стоимости компани</w:t>
      </w:r>
      <w:r w:rsidR="00EB7BC6">
        <w:rPr>
          <w:lang w:eastAsia="ru-RU"/>
        </w:rPr>
        <w:t xml:space="preserve">й </w:t>
      </w:r>
      <w:r>
        <w:rPr>
          <w:lang w:eastAsia="ru-RU"/>
        </w:rPr>
        <w:t xml:space="preserve">была выбрана модель денежного потока </w:t>
      </w:r>
      <w:r>
        <w:rPr>
          <w:lang w:val="en-US" w:eastAsia="ru-RU"/>
        </w:rPr>
        <w:t>Free</w:t>
      </w:r>
      <w:r w:rsidRPr="0023579D">
        <w:rPr>
          <w:lang w:eastAsia="ru-RU"/>
        </w:rPr>
        <w:t xml:space="preserve"> </w:t>
      </w:r>
      <w:r>
        <w:rPr>
          <w:lang w:val="en-US" w:eastAsia="ru-RU"/>
        </w:rPr>
        <w:t>Cash</w:t>
      </w:r>
      <w:r w:rsidRPr="0023579D">
        <w:rPr>
          <w:lang w:eastAsia="ru-RU"/>
        </w:rPr>
        <w:t xml:space="preserve"> </w:t>
      </w:r>
      <w:r>
        <w:rPr>
          <w:lang w:val="en-US" w:eastAsia="ru-RU"/>
        </w:rPr>
        <w:t>Flow</w:t>
      </w:r>
      <w:r>
        <w:rPr>
          <w:lang w:eastAsia="ru-RU"/>
        </w:rPr>
        <w:t>, которая была рассчитана как разность между операционным денежным потоком и инвестиционным. Прогнозный период был выбран в пять лет до 202</w:t>
      </w:r>
      <w:r w:rsidR="00EB7BC6">
        <w:rPr>
          <w:lang w:eastAsia="ru-RU"/>
        </w:rPr>
        <w:t>4</w:t>
      </w:r>
      <w:r>
        <w:rPr>
          <w:lang w:eastAsia="ru-RU"/>
        </w:rPr>
        <w:t xml:space="preserve"> года (оценка производилась на конец 201</w:t>
      </w:r>
      <w:r w:rsidR="00EB7BC6">
        <w:rPr>
          <w:lang w:eastAsia="ru-RU"/>
        </w:rPr>
        <w:t>9</w:t>
      </w:r>
      <w:r>
        <w:rPr>
          <w:lang w:eastAsia="ru-RU"/>
        </w:rPr>
        <w:t xml:space="preserve"> года</w:t>
      </w:r>
      <w:r w:rsidRPr="0023579D">
        <w:rPr>
          <w:lang w:eastAsia="ru-RU"/>
        </w:rPr>
        <w:t>).</w:t>
      </w:r>
      <w:r>
        <w:rPr>
          <w:lang w:eastAsia="ru-RU"/>
        </w:rPr>
        <w:t xml:space="preserve"> Для построения денежных потоков </w:t>
      </w:r>
      <w:r w:rsidR="00EB7BC6">
        <w:rPr>
          <w:lang w:eastAsia="ru-RU"/>
        </w:rPr>
        <w:t xml:space="preserve">необходимо сделать несколько допущений: определить темп роста, долю себестоимости, уровень инвестиций в активы и выплачиваемые дивиденды. </w:t>
      </w:r>
    </w:p>
    <w:p w14:paraId="00C24D2F" w14:textId="77777777" w:rsidR="00232BC5" w:rsidRDefault="00EB7BC6" w:rsidP="00E2589D">
      <w:pPr>
        <w:rPr>
          <w:lang w:eastAsia="ru-RU"/>
        </w:rPr>
      </w:pPr>
      <w:r>
        <w:rPr>
          <w:lang w:eastAsia="ru-RU"/>
        </w:rPr>
        <w:t>Темп роста для всех выбранных компаний оценивался по историческим данным, учитывая экспертное мнение аналитиков об отрасли и конкретной организации. Компания НКХП ведет свою деятельность на рынке зерновых культур, рост отрасли которой предполагается в 4-5%</w:t>
      </w:r>
      <w:r w:rsidR="00786EE0">
        <w:rPr>
          <w:lang w:eastAsia="ru-RU"/>
        </w:rPr>
        <w:t>. Принимая во внимание фактор лидирующей позиции компании, данный темп роста был использован для темпа роста выручки, учитывая инфляцию в 4%.</w:t>
      </w:r>
    </w:p>
    <w:p w14:paraId="5BD5A5D2" w14:textId="77777777" w:rsidR="00232BC5" w:rsidRDefault="00786EE0" w:rsidP="00E2589D">
      <w:pPr>
        <w:rPr>
          <w:lang w:eastAsia="ru-RU"/>
        </w:rPr>
      </w:pPr>
      <w:r>
        <w:rPr>
          <w:lang w:eastAsia="ru-RU"/>
        </w:rPr>
        <w:t xml:space="preserve">Выручка компании Новатэк в 2019 году выросла на 4%, несмотря на скачок в 2018 году, исторический рост был на уровне 7-9%. Дальнейший темп роста был определен на уровне 9%. </w:t>
      </w:r>
    </w:p>
    <w:p w14:paraId="7FD2D00D" w14:textId="77777777" w:rsidR="00232BC5" w:rsidRDefault="00786EE0" w:rsidP="00E2589D">
      <w:pPr>
        <w:rPr>
          <w:lang w:eastAsia="ru-RU"/>
        </w:rPr>
      </w:pPr>
      <w:r>
        <w:rPr>
          <w:lang w:eastAsia="ru-RU"/>
        </w:rPr>
        <w:t xml:space="preserve">В компания Алроса в силу причин низкой активности ритейлеров замедлился рост выручки, но предполагается, что в будущем при сокращении запасов продавцов спрос на продукцию компании возобновится. Учитывая перенасыщении на рынке ритейлеров, темп роста определен на уровне </w:t>
      </w:r>
      <w:r w:rsidR="00173740">
        <w:rPr>
          <w:lang w:eastAsia="ru-RU"/>
        </w:rPr>
        <w:t>2</w:t>
      </w:r>
      <w:r>
        <w:rPr>
          <w:lang w:eastAsia="ru-RU"/>
        </w:rPr>
        <w:t xml:space="preserve">% для компании Алроса. </w:t>
      </w:r>
    </w:p>
    <w:p w14:paraId="58A803F2" w14:textId="77777777" w:rsidR="00232BC5" w:rsidRDefault="00786EE0" w:rsidP="00E2589D">
      <w:pPr>
        <w:rPr>
          <w:lang w:eastAsia="ru-RU"/>
        </w:rPr>
      </w:pPr>
      <w:r>
        <w:rPr>
          <w:lang w:eastAsia="ru-RU"/>
        </w:rPr>
        <w:t xml:space="preserve">Рост выручки компании Акрон был наиболее стабилен и составил в среднем 10% на протяжении рассматриваемого исторического периода. Темп роста до 2024 года принят в 10% без изменений.  </w:t>
      </w:r>
    </w:p>
    <w:p w14:paraId="3BD6E2F1" w14:textId="40AC3FC5" w:rsidR="0049087B" w:rsidRDefault="00786EE0" w:rsidP="00E2589D">
      <w:pPr>
        <w:rPr>
          <w:lang w:eastAsia="ru-RU"/>
        </w:rPr>
      </w:pPr>
      <w:r>
        <w:rPr>
          <w:lang w:eastAsia="ru-RU"/>
        </w:rPr>
        <w:t xml:space="preserve">Компания </w:t>
      </w:r>
      <w:r>
        <w:rPr>
          <w:lang w:val="en-US" w:eastAsia="ru-RU"/>
        </w:rPr>
        <w:t>HeadHunter</w:t>
      </w:r>
      <w:r w:rsidRPr="00786EE0">
        <w:rPr>
          <w:lang w:eastAsia="ru-RU"/>
        </w:rPr>
        <w:t xml:space="preserve"> </w:t>
      </w:r>
      <w:r>
        <w:rPr>
          <w:lang w:eastAsia="ru-RU"/>
        </w:rPr>
        <w:t xml:space="preserve">обладает </w:t>
      </w:r>
      <w:r w:rsidR="0023579D">
        <w:rPr>
          <w:lang w:eastAsia="ru-RU"/>
        </w:rPr>
        <w:t>значительны</w:t>
      </w:r>
      <w:r>
        <w:rPr>
          <w:lang w:eastAsia="ru-RU"/>
        </w:rPr>
        <w:t xml:space="preserve">м </w:t>
      </w:r>
      <w:r w:rsidR="0023579D">
        <w:rPr>
          <w:lang w:eastAsia="ru-RU"/>
        </w:rPr>
        <w:t>рост</w:t>
      </w:r>
      <w:r>
        <w:rPr>
          <w:lang w:eastAsia="ru-RU"/>
        </w:rPr>
        <w:t xml:space="preserve">ом </w:t>
      </w:r>
      <w:r w:rsidR="0023579D">
        <w:rPr>
          <w:lang w:eastAsia="ru-RU"/>
        </w:rPr>
        <w:t>выручки в 20% из-за существенного роста отрасли и перспектив компании</w:t>
      </w:r>
      <w:r w:rsidR="00011111">
        <w:rPr>
          <w:rStyle w:val="afe"/>
          <w:lang w:eastAsia="ru-RU"/>
        </w:rPr>
        <w:footnoteReference w:id="77"/>
      </w:r>
      <w:r>
        <w:rPr>
          <w:lang w:eastAsia="ru-RU"/>
        </w:rPr>
        <w:t xml:space="preserve"> (исторический рост составил 27-29%). Стабильный темп роста отрасли </w:t>
      </w:r>
      <w:r w:rsidR="00376E0E">
        <w:rPr>
          <w:lang w:eastAsia="ru-RU"/>
        </w:rPr>
        <w:t xml:space="preserve">и переход многих </w:t>
      </w:r>
      <w:proofErr w:type="spellStart"/>
      <w:r w:rsidR="00D0677C">
        <w:rPr>
          <w:lang w:val="en-US" w:eastAsia="ru-RU"/>
        </w:rPr>
        <w:t>hr</w:t>
      </w:r>
      <w:proofErr w:type="spellEnd"/>
      <w:r w:rsidR="00D0677C">
        <w:rPr>
          <w:lang w:eastAsia="ru-RU"/>
        </w:rPr>
        <w:t>-услуги</w:t>
      </w:r>
      <w:r w:rsidR="00376E0E">
        <w:rPr>
          <w:lang w:eastAsia="ru-RU"/>
        </w:rPr>
        <w:t xml:space="preserve"> в онлайн сектор</w:t>
      </w:r>
      <w:r w:rsidR="00D0677C">
        <w:rPr>
          <w:lang w:eastAsia="ru-RU"/>
        </w:rPr>
        <w:t xml:space="preserve"> </w:t>
      </w:r>
      <w:r w:rsidR="00376E0E">
        <w:rPr>
          <w:lang w:eastAsia="ru-RU"/>
        </w:rPr>
        <w:t xml:space="preserve">обосновывает высокий темп роста в 20% до 2024 года. </w:t>
      </w:r>
      <w:r w:rsidR="00DF68F7">
        <w:rPr>
          <w:lang w:eastAsia="ru-RU"/>
        </w:rPr>
        <w:t xml:space="preserve">Прогнозный темп роста для каждой компании представлен в таблице ниже. </w:t>
      </w:r>
    </w:p>
    <w:p w14:paraId="2B172EC7" w14:textId="77777777" w:rsidR="00232BC5" w:rsidRDefault="00232BC5" w:rsidP="00E2589D">
      <w:pPr>
        <w:rPr>
          <w:lang w:eastAsia="ru-RU"/>
        </w:rPr>
      </w:pPr>
    </w:p>
    <w:p w14:paraId="63194784" w14:textId="11CED4A6" w:rsidR="00DF68F7" w:rsidRDefault="00DF68F7" w:rsidP="00DF68F7">
      <w:pPr>
        <w:pStyle w:val="a0"/>
        <w:rPr>
          <w:lang w:eastAsia="ru-RU"/>
        </w:rPr>
      </w:pPr>
      <w:r>
        <w:rPr>
          <w:lang w:eastAsia="ru-RU"/>
        </w:rPr>
        <w:lastRenderedPageBreak/>
        <w:t>Прогнозные темпы роста для выбранных компаний</w:t>
      </w:r>
    </w:p>
    <w:tbl>
      <w:tblPr>
        <w:tblStyle w:val="af1"/>
        <w:tblW w:w="0" w:type="auto"/>
        <w:jc w:val="center"/>
        <w:tblLook w:val="04A0" w:firstRow="1" w:lastRow="0" w:firstColumn="1" w:lastColumn="0" w:noHBand="0" w:noVBand="1"/>
      </w:tblPr>
      <w:tblGrid>
        <w:gridCol w:w="3543"/>
        <w:gridCol w:w="3261"/>
      </w:tblGrid>
      <w:tr w:rsidR="00DF68F7" w14:paraId="7D86BE6A" w14:textId="77777777" w:rsidTr="00DF68F7">
        <w:trPr>
          <w:jc w:val="center"/>
        </w:trPr>
        <w:tc>
          <w:tcPr>
            <w:tcW w:w="3543" w:type="dxa"/>
          </w:tcPr>
          <w:p w14:paraId="194A279A" w14:textId="34651C3A" w:rsidR="00DF68F7" w:rsidRPr="00DF68F7" w:rsidRDefault="00DF68F7" w:rsidP="00DF68F7">
            <w:pPr>
              <w:ind w:firstLine="0"/>
              <w:jc w:val="center"/>
              <w:rPr>
                <w:b/>
                <w:bCs/>
                <w:lang w:eastAsia="ru-RU"/>
              </w:rPr>
            </w:pPr>
            <w:r w:rsidRPr="00DF68F7">
              <w:rPr>
                <w:b/>
                <w:bCs/>
                <w:lang w:eastAsia="ru-RU"/>
              </w:rPr>
              <w:t>Название компании</w:t>
            </w:r>
          </w:p>
        </w:tc>
        <w:tc>
          <w:tcPr>
            <w:tcW w:w="3261" w:type="dxa"/>
          </w:tcPr>
          <w:p w14:paraId="4CDE0C32" w14:textId="587126D7" w:rsidR="00DF68F7" w:rsidRPr="00DF68F7" w:rsidRDefault="00DF68F7" w:rsidP="00DF68F7">
            <w:pPr>
              <w:ind w:firstLine="0"/>
              <w:jc w:val="center"/>
              <w:rPr>
                <w:b/>
                <w:bCs/>
                <w:lang w:eastAsia="ru-RU"/>
              </w:rPr>
            </w:pPr>
            <w:r w:rsidRPr="00DF68F7">
              <w:rPr>
                <w:b/>
                <w:bCs/>
                <w:lang w:eastAsia="ru-RU"/>
              </w:rPr>
              <w:t>Прогнозный темп роста</w:t>
            </w:r>
          </w:p>
        </w:tc>
      </w:tr>
      <w:tr w:rsidR="00DF68F7" w14:paraId="39B4F3AD" w14:textId="77777777" w:rsidTr="002A1E64">
        <w:trPr>
          <w:trHeight w:val="239"/>
          <w:jc w:val="center"/>
        </w:trPr>
        <w:tc>
          <w:tcPr>
            <w:tcW w:w="3543" w:type="dxa"/>
          </w:tcPr>
          <w:p w14:paraId="3543EA0F" w14:textId="7BA5C13A" w:rsidR="00DF68F7" w:rsidRDefault="00DF68F7" w:rsidP="002A1E64">
            <w:pPr>
              <w:spacing w:line="240" w:lineRule="auto"/>
              <w:ind w:firstLine="0"/>
              <w:rPr>
                <w:lang w:eastAsia="ru-RU"/>
              </w:rPr>
            </w:pPr>
            <w:r>
              <w:rPr>
                <w:lang w:eastAsia="ru-RU"/>
              </w:rPr>
              <w:t>ПАО «НКХП»</w:t>
            </w:r>
          </w:p>
        </w:tc>
        <w:tc>
          <w:tcPr>
            <w:tcW w:w="3261" w:type="dxa"/>
          </w:tcPr>
          <w:p w14:paraId="09771D8A" w14:textId="44A527C4" w:rsidR="00DF68F7" w:rsidRDefault="00DF68F7" w:rsidP="002A1E64">
            <w:pPr>
              <w:spacing w:line="240" w:lineRule="auto"/>
              <w:ind w:firstLine="0"/>
              <w:jc w:val="center"/>
              <w:rPr>
                <w:lang w:eastAsia="ru-RU"/>
              </w:rPr>
            </w:pPr>
            <w:r>
              <w:rPr>
                <w:lang w:eastAsia="ru-RU"/>
              </w:rPr>
              <w:t>8%</w:t>
            </w:r>
          </w:p>
        </w:tc>
      </w:tr>
      <w:tr w:rsidR="00DF68F7" w14:paraId="0BA59956" w14:textId="77777777" w:rsidTr="00DF68F7">
        <w:trPr>
          <w:jc w:val="center"/>
        </w:trPr>
        <w:tc>
          <w:tcPr>
            <w:tcW w:w="3543" w:type="dxa"/>
          </w:tcPr>
          <w:p w14:paraId="6DF504B1" w14:textId="0A8D0702" w:rsidR="00DF68F7" w:rsidRDefault="00DF68F7" w:rsidP="002A1E64">
            <w:pPr>
              <w:spacing w:line="240" w:lineRule="auto"/>
              <w:ind w:firstLine="0"/>
              <w:rPr>
                <w:lang w:eastAsia="ru-RU"/>
              </w:rPr>
            </w:pPr>
            <w:r>
              <w:rPr>
                <w:lang w:eastAsia="ru-RU"/>
              </w:rPr>
              <w:t>ПАО «Новатэк»</w:t>
            </w:r>
          </w:p>
        </w:tc>
        <w:tc>
          <w:tcPr>
            <w:tcW w:w="3261" w:type="dxa"/>
          </w:tcPr>
          <w:p w14:paraId="6BC1FA20" w14:textId="276F0CE8" w:rsidR="00DF68F7" w:rsidRDefault="00DF68F7" w:rsidP="002A1E64">
            <w:pPr>
              <w:spacing w:line="240" w:lineRule="auto"/>
              <w:ind w:firstLine="0"/>
              <w:jc w:val="center"/>
              <w:rPr>
                <w:lang w:eastAsia="ru-RU"/>
              </w:rPr>
            </w:pPr>
            <w:r>
              <w:rPr>
                <w:lang w:eastAsia="ru-RU"/>
              </w:rPr>
              <w:t>9%</w:t>
            </w:r>
          </w:p>
        </w:tc>
      </w:tr>
      <w:tr w:rsidR="00DF68F7" w14:paraId="21D68E9E" w14:textId="77777777" w:rsidTr="00DF68F7">
        <w:trPr>
          <w:jc w:val="center"/>
        </w:trPr>
        <w:tc>
          <w:tcPr>
            <w:tcW w:w="3543" w:type="dxa"/>
          </w:tcPr>
          <w:p w14:paraId="6AF82785" w14:textId="78D6C0F2" w:rsidR="00DF68F7" w:rsidRDefault="00DF68F7" w:rsidP="002A1E64">
            <w:pPr>
              <w:spacing w:line="240" w:lineRule="auto"/>
              <w:ind w:firstLine="0"/>
              <w:rPr>
                <w:lang w:eastAsia="ru-RU"/>
              </w:rPr>
            </w:pPr>
            <w:r>
              <w:rPr>
                <w:lang w:eastAsia="ru-RU"/>
              </w:rPr>
              <w:t>АК «АЛРОСА»</w:t>
            </w:r>
          </w:p>
        </w:tc>
        <w:tc>
          <w:tcPr>
            <w:tcW w:w="3261" w:type="dxa"/>
          </w:tcPr>
          <w:p w14:paraId="4D110AC2" w14:textId="0B14B73D" w:rsidR="00DF68F7" w:rsidRDefault="00173740" w:rsidP="002A1E64">
            <w:pPr>
              <w:spacing w:line="240" w:lineRule="auto"/>
              <w:ind w:firstLine="0"/>
              <w:jc w:val="center"/>
              <w:rPr>
                <w:lang w:eastAsia="ru-RU"/>
              </w:rPr>
            </w:pPr>
            <w:r>
              <w:rPr>
                <w:lang w:eastAsia="ru-RU"/>
              </w:rPr>
              <w:t>2</w:t>
            </w:r>
            <w:r w:rsidR="00DF68F7">
              <w:rPr>
                <w:lang w:eastAsia="ru-RU"/>
              </w:rPr>
              <w:t>%</w:t>
            </w:r>
          </w:p>
        </w:tc>
      </w:tr>
      <w:tr w:rsidR="00DF68F7" w14:paraId="44818BFE" w14:textId="77777777" w:rsidTr="00DF68F7">
        <w:trPr>
          <w:jc w:val="center"/>
        </w:trPr>
        <w:tc>
          <w:tcPr>
            <w:tcW w:w="3543" w:type="dxa"/>
          </w:tcPr>
          <w:p w14:paraId="3F2A0A95" w14:textId="702D7AB2" w:rsidR="00DF68F7" w:rsidRDefault="00DF68F7" w:rsidP="002A1E64">
            <w:pPr>
              <w:spacing w:line="240" w:lineRule="auto"/>
              <w:ind w:firstLine="0"/>
              <w:rPr>
                <w:lang w:eastAsia="ru-RU"/>
              </w:rPr>
            </w:pPr>
            <w:r>
              <w:rPr>
                <w:lang w:eastAsia="ru-RU"/>
              </w:rPr>
              <w:t>ПАО «АКРОН»</w:t>
            </w:r>
          </w:p>
        </w:tc>
        <w:tc>
          <w:tcPr>
            <w:tcW w:w="3261" w:type="dxa"/>
          </w:tcPr>
          <w:p w14:paraId="4AE4BF09" w14:textId="10C8955E" w:rsidR="00DF68F7" w:rsidRDefault="00DF68F7" w:rsidP="002A1E64">
            <w:pPr>
              <w:spacing w:line="240" w:lineRule="auto"/>
              <w:ind w:firstLine="0"/>
              <w:jc w:val="center"/>
              <w:rPr>
                <w:lang w:eastAsia="ru-RU"/>
              </w:rPr>
            </w:pPr>
            <w:r>
              <w:rPr>
                <w:lang w:eastAsia="ru-RU"/>
              </w:rPr>
              <w:t>10%</w:t>
            </w:r>
          </w:p>
        </w:tc>
      </w:tr>
      <w:tr w:rsidR="00DF68F7" w14:paraId="03964901" w14:textId="77777777" w:rsidTr="00DF68F7">
        <w:trPr>
          <w:jc w:val="center"/>
        </w:trPr>
        <w:tc>
          <w:tcPr>
            <w:tcW w:w="3543" w:type="dxa"/>
          </w:tcPr>
          <w:p w14:paraId="3B4DA7D1" w14:textId="156230B8" w:rsidR="00DF68F7" w:rsidRPr="00DF68F7" w:rsidRDefault="00DF68F7" w:rsidP="002A1E64">
            <w:pPr>
              <w:spacing w:line="240" w:lineRule="auto"/>
              <w:ind w:firstLine="0"/>
              <w:rPr>
                <w:lang w:val="en-US" w:eastAsia="ru-RU"/>
              </w:rPr>
            </w:pPr>
            <w:r>
              <w:rPr>
                <w:lang w:val="en-US" w:eastAsia="ru-RU"/>
              </w:rPr>
              <w:t>HeadHunter group PLC</w:t>
            </w:r>
          </w:p>
        </w:tc>
        <w:tc>
          <w:tcPr>
            <w:tcW w:w="3261" w:type="dxa"/>
          </w:tcPr>
          <w:p w14:paraId="2D2BC7A1" w14:textId="1DDF38BA" w:rsidR="00DF68F7" w:rsidRPr="00DF68F7" w:rsidRDefault="00DF68F7" w:rsidP="002A1E64">
            <w:pPr>
              <w:spacing w:line="240" w:lineRule="auto"/>
              <w:ind w:firstLine="0"/>
              <w:jc w:val="center"/>
              <w:rPr>
                <w:lang w:eastAsia="ru-RU"/>
              </w:rPr>
            </w:pPr>
            <w:r>
              <w:rPr>
                <w:lang w:val="en-US" w:eastAsia="ru-RU"/>
              </w:rPr>
              <w:t>20%</w:t>
            </w:r>
          </w:p>
        </w:tc>
      </w:tr>
    </w:tbl>
    <w:p w14:paraId="41FB40CF" w14:textId="5AC37A75" w:rsidR="00DF68F7" w:rsidRPr="00DF68F7" w:rsidRDefault="00DF68F7" w:rsidP="00DF68F7">
      <w:pPr>
        <w:ind w:left="567"/>
        <w:rPr>
          <w:i/>
          <w:iCs/>
          <w:lang w:val="en-US" w:eastAsia="ru-RU"/>
        </w:rPr>
      </w:pPr>
      <w:r w:rsidRPr="00DF68F7">
        <w:rPr>
          <w:i/>
          <w:iCs/>
          <w:lang w:eastAsia="ru-RU"/>
        </w:rPr>
        <w:t xml:space="preserve">Источник: </w:t>
      </w:r>
      <w:r w:rsidRPr="00DF68F7">
        <w:rPr>
          <w:i/>
          <w:iCs/>
          <w:lang w:val="en-US" w:eastAsia="ru-RU"/>
        </w:rPr>
        <w:t>[</w:t>
      </w:r>
      <w:r w:rsidRPr="00DF68F7">
        <w:rPr>
          <w:i/>
          <w:iCs/>
          <w:lang w:eastAsia="ru-RU"/>
        </w:rPr>
        <w:t>расчеты автора</w:t>
      </w:r>
      <w:r w:rsidRPr="00DF68F7">
        <w:rPr>
          <w:i/>
          <w:iCs/>
          <w:lang w:val="en-US" w:eastAsia="ru-RU"/>
        </w:rPr>
        <w:t>]</w:t>
      </w:r>
    </w:p>
    <w:p w14:paraId="6D50DC9C" w14:textId="77777777" w:rsidR="00173740" w:rsidRDefault="00173740" w:rsidP="00E2589D">
      <w:pPr>
        <w:rPr>
          <w:lang w:eastAsia="ru-RU"/>
        </w:rPr>
      </w:pPr>
      <w:r>
        <w:rPr>
          <w:lang w:eastAsia="ru-RU"/>
        </w:rPr>
        <w:t xml:space="preserve">Постпрогнозный темп роста выбран на уровне оценок выбранных компаний: НКХП — 4%, Новатэк — 3,1%, Алроса — 1%, Акрон — 4%, </w:t>
      </w:r>
      <w:r>
        <w:rPr>
          <w:lang w:val="en-US" w:eastAsia="ru-RU"/>
        </w:rPr>
        <w:t>HeadHunter</w:t>
      </w:r>
      <w:r w:rsidRPr="00173740">
        <w:rPr>
          <w:lang w:eastAsia="ru-RU"/>
        </w:rPr>
        <w:t xml:space="preserve"> — </w:t>
      </w:r>
      <w:r>
        <w:rPr>
          <w:lang w:eastAsia="ru-RU"/>
        </w:rPr>
        <w:t xml:space="preserve">4%. Темп роста после 2024 года соответствует расчетам компаний в официальных документах для инвесторов. </w:t>
      </w:r>
    </w:p>
    <w:p w14:paraId="1E4E58F4" w14:textId="7BE54E73" w:rsidR="00D0677C" w:rsidRPr="00851E1A" w:rsidRDefault="00851E1A" w:rsidP="00E2589D">
      <w:pPr>
        <w:rPr>
          <w:lang w:eastAsia="ru-RU"/>
        </w:rPr>
      </w:pPr>
      <w:r>
        <w:rPr>
          <w:lang w:eastAsia="ru-RU"/>
        </w:rPr>
        <w:t xml:space="preserve">Себестоимость и другие переменные затраты принимаются как </w:t>
      </w:r>
      <w:r w:rsidR="00D0677C">
        <w:rPr>
          <w:lang w:eastAsia="ru-RU"/>
        </w:rPr>
        <w:t>стабильная доля от выручки компани</w:t>
      </w:r>
      <w:r>
        <w:rPr>
          <w:lang w:eastAsia="ru-RU"/>
        </w:rPr>
        <w:t>й</w:t>
      </w:r>
      <w:r w:rsidR="00D0677C">
        <w:rPr>
          <w:lang w:eastAsia="ru-RU"/>
        </w:rPr>
        <w:t xml:space="preserve">. </w:t>
      </w:r>
      <w:r>
        <w:rPr>
          <w:lang w:eastAsia="ru-RU"/>
        </w:rPr>
        <w:t xml:space="preserve">Для всех выбранных компаний доли затрат остаются неизменными на всем рассматриваемом периоде. Доля переменных затрат, включая себестоимость, в компании НКХП составила 63%, Новатэк — 68%, Алроса — 46%, Акрон — 68%, </w:t>
      </w:r>
      <w:r>
        <w:rPr>
          <w:lang w:val="en-US" w:eastAsia="ru-RU"/>
        </w:rPr>
        <w:t>HeadHunter</w:t>
      </w:r>
      <w:r w:rsidRPr="00851E1A">
        <w:rPr>
          <w:lang w:eastAsia="ru-RU"/>
        </w:rPr>
        <w:t xml:space="preserve"> — </w:t>
      </w:r>
      <w:r>
        <w:rPr>
          <w:lang w:eastAsia="ru-RU"/>
        </w:rPr>
        <w:t xml:space="preserve">55%. Для отсутствия неточности данных был проведен расчет доли затрат с 2016 года и определен средний уровень, который использовался для построения прогноза. </w:t>
      </w:r>
    </w:p>
    <w:p w14:paraId="29BBED0F" w14:textId="2FD85BEF" w:rsidR="00F144FD" w:rsidRDefault="00851E1A" w:rsidP="00E2589D">
      <w:pPr>
        <w:rPr>
          <w:lang w:eastAsia="ru-RU"/>
        </w:rPr>
      </w:pPr>
      <w:r>
        <w:rPr>
          <w:lang w:eastAsia="ru-RU"/>
        </w:rPr>
        <w:t>Основные средства всех компаний ежегодно увеличивались за счет постоянных инвестиций, принимается допущение о сохранении уровня инвестиций в основные средства и нематериальные активы. Уровень инвестиций определялся как разница между балансовой стоимостью основных средств</w:t>
      </w:r>
      <w:r w:rsidR="005E3467">
        <w:rPr>
          <w:lang w:eastAsia="ru-RU"/>
        </w:rPr>
        <w:t xml:space="preserve"> по годам</w:t>
      </w:r>
      <w:r>
        <w:rPr>
          <w:lang w:eastAsia="ru-RU"/>
        </w:rPr>
        <w:t>, учитывая амортизацию и износ активов.</w:t>
      </w:r>
      <w:r w:rsidR="008E699F">
        <w:rPr>
          <w:lang w:eastAsia="ru-RU"/>
        </w:rPr>
        <w:t xml:space="preserve"> </w:t>
      </w:r>
      <w:r w:rsidR="003D5A73">
        <w:rPr>
          <w:lang w:eastAsia="ru-RU"/>
        </w:rPr>
        <w:t xml:space="preserve">Средняя величина за период 2016-2019 годов принималась неизменной, предполагалось сохранение стабильного уровня инвестиций на прогнозном периоде. </w:t>
      </w:r>
      <w:r w:rsidR="001C7EF1">
        <w:rPr>
          <w:lang w:eastAsia="ru-RU"/>
        </w:rPr>
        <w:t xml:space="preserve">Амортизация в представленных компаниях рассчитывается линейным методом, доля амортизации активов стабильна на всем историческом периоде — принимается допущении о сохранении доли для прогнозных данных. </w:t>
      </w:r>
    </w:p>
    <w:p w14:paraId="0F07693A" w14:textId="1A4BBE16" w:rsidR="003718E4" w:rsidRDefault="003718E4" w:rsidP="00E2589D">
      <w:pPr>
        <w:rPr>
          <w:lang w:eastAsia="ru-RU"/>
        </w:rPr>
      </w:pPr>
      <w:r>
        <w:rPr>
          <w:lang w:eastAsia="ru-RU"/>
        </w:rPr>
        <w:t xml:space="preserve">Статьи кредиторской и дебиторской задолженности и запасов были вычислены через коэффициент оборачиваемости. Показатель был рассчитан на данных </w:t>
      </w:r>
      <w:r w:rsidR="00D34D7F">
        <w:rPr>
          <w:lang w:eastAsia="ru-RU"/>
        </w:rPr>
        <w:t>2016-</w:t>
      </w:r>
      <w:r>
        <w:rPr>
          <w:lang w:eastAsia="ru-RU"/>
        </w:rPr>
        <w:t>201</w:t>
      </w:r>
      <w:r w:rsidR="00D34D7F">
        <w:rPr>
          <w:lang w:eastAsia="ru-RU"/>
        </w:rPr>
        <w:t>9</w:t>
      </w:r>
      <w:r>
        <w:rPr>
          <w:lang w:eastAsia="ru-RU"/>
        </w:rPr>
        <w:t xml:space="preserve"> год</w:t>
      </w:r>
      <w:r w:rsidR="00D34D7F">
        <w:rPr>
          <w:lang w:eastAsia="ru-RU"/>
        </w:rPr>
        <w:t xml:space="preserve">ов, среднее значение </w:t>
      </w:r>
      <w:proofErr w:type="spellStart"/>
      <w:r>
        <w:rPr>
          <w:lang w:eastAsia="ru-RU"/>
        </w:rPr>
        <w:t>принимал</w:t>
      </w:r>
      <w:r w:rsidR="00232BC5">
        <w:rPr>
          <w:lang w:eastAsia="ru-RU"/>
        </w:rPr>
        <w:t>о</w:t>
      </w:r>
      <w:r>
        <w:rPr>
          <w:lang w:eastAsia="ru-RU"/>
        </w:rPr>
        <w:t>ся</w:t>
      </w:r>
      <w:proofErr w:type="spellEnd"/>
      <w:r>
        <w:rPr>
          <w:lang w:eastAsia="ru-RU"/>
        </w:rPr>
        <w:t xml:space="preserve"> неизменным в прогнозном периоде</w:t>
      </w:r>
      <w:r w:rsidR="00D34D7F">
        <w:rPr>
          <w:lang w:eastAsia="ru-RU"/>
        </w:rPr>
        <w:t xml:space="preserve"> для всех компаний. </w:t>
      </w:r>
    </w:p>
    <w:p w14:paraId="0C3EEA6E" w14:textId="77777777" w:rsidR="008177CE" w:rsidRDefault="001978EF" w:rsidP="00E2589D">
      <w:pPr>
        <w:rPr>
          <w:lang w:eastAsia="ru-RU"/>
        </w:rPr>
      </w:pPr>
      <w:r>
        <w:rPr>
          <w:lang w:eastAsia="ru-RU"/>
        </w:rPr>
        <w:t xml:space="preserve">Собственный капитал компаний увеличивается только на величину нераспределенной прибыли, предполагается, что никаких изменений в акционерном капитале не будет на прогнозном периоде. Стоит отметить, что собственный капитал </w:t>
      </w:r>
      <w:r>
        <w:rPr>
          <w:lang w:eastAsia="ru-RU"/>
        </w:rPr>
        <w:lastRenderedPageBreak/>
        <w:t xml:space="preserve">компании </w:t>
      </w:r>
      <w:r>
        <w:rPr>
          <w:lang w:val="en-US" w:eastAsia="ru-RU"/>
        </w:rPr>
        <w:t>HeadHunter</w:t>
      </w:r>
      <w:r>
        <w:rPr>
          <w:lang w:eastAsia="ru-RU"/>
        </w:rPr>
        <w:t xml:space="preserve"> не изменятся, независимо от реализации </w:t>
      </w:r>
      <w:r>
        <w:rPr>
          <w:lang w:val="en-US" w:eastAsia="ru-RU"/>
        </w:rPr>
        <w:t>IPO</w:t>
      </w:r>
      <w:r w:rsidRPr="001978EF">
        <w:rPr>
          <w:lang w:eastAsia="ru-RU"/>
        </w:rPr>
        <w:t xml:space="preserve"> </w:t>
      </w:r>
      <w:r>
        <w:rPr>
          <w:lang w:eastAsia="ru-RU"/>
        </w:rPr>
        <w:t>в</w:t>
      </w:r>
      <w:r w:rsidR="007D29BE">
        <w:rPr>
          <w:lang w:eastAsia="ru-RU"/>
        </w:rPr>
        <w:t xml:space="preserve"> 2019 году</w:t>
      </w:r>
      <w:r>
        <w:rPr>
          <w:lang w:eastAsia="ru-RU"/>
        </w:rPr>
        <w:t xml:space="preserve">, так как </w:t>
      </w:r>
      <w:r w:rsidR="007D29BE">
        <w:rPr>
          <w:lang w:eastAsia="ru-RU"/>
        </w:rPr>
        <w:t xml:space="preserve"> средства не были направлены в компанию из-за полного финансового контроля инвесторов Эльбрус и </w:t>
      </w:r>
      <w:r w:rsidR="007D29BE">
        <w:rPr>
          <w:lang w:val="en-US" w:eastAsia="ru-RU"/>
        </w:rPr>
        <w:t>Goldman</w:t>
      </w:r>
      <w:r w:rsidR="007D29BE" w:rsidRPr="007D29BE">
        <w:rPr>
          <w:lang w:eastAsia="ru-RU"/>
        </w:rPr>
        <w:t xml:space="preserve"> </w:t>
      </w:r>
      <w:r w:rsidR="007D29BE">
        <w:rPr>
          <w:lang w:val="en-US" w:eastAsia="ru-RU"/>
        </w:rPr>
        <w:t>Sachs</w:t>
      </w:r>
      <w:r w:rsidR="007D29BE">
        <w:rPr>
          <w:lang w:eastAsia="ru-RU"/>
        </w:rPr>
        <w:t>.</w:t>
      </w:r>
      <w:r w:rsidR="00011111">
        <w:rPr>
          <w:rStyle w:val="afe"/>
          <w:lang w:eastAsia="ru-RU"/>
        </w:rPr>
        <w:footnoteReference w:id="78"/>
      </w:r>
      <w:r>
        <w:rPr>
          <w:lang w:eastAsia="ru-RU"/>
        </w:rPr>
        <w:t xml:space="preserve"> Важным является сохранение уровня выкупа собственных акций в компании Новатэк (в 2019 году стоимость выкупленный акций составила 12</w:t>
      </w:r>
      <w:r w:rsidR="008177CE">
        <w:rPr>
          <w:lang w:eastAsia="ru-RU"/>
        </w:rPr>
        <w:t> 308 млн рублей, величина сохраняется на период 2020-2024 годов).</w:t>
      </w:r>
      <w:r>
        <w:rPr>
          <w:lang w:eastAsia="ru-RU"/>
        </w:rPr>
        <w:t xml:space="preserve"> </w:t>
      </w:r>
    </w:p>
    <w:p w14:paraId="4D4DB957" w14:textId="77777777" w:rsidR="00AB1C80" w:rsidRDefault="008177CE" w:rsidP="00E2589D">
      <w:pPr>
        <w:rPr>
          <w:lang w:eastAsia="ru-RU"/>
        </w:rPr>
      </w:pPr>
      <w:r>
        <w:rPr>
          <w:lang w:eastAsia="ru-RU"/>
        </w:rPr>
        <w:t>Все компании являются публичными акционерными обществами, которые выплачивают дивиденды. Уровень дивидендов признается стабильным либо в процентном соотношении от чистой прибыли, либо в денежном значении. В компании НКХП платится 40-50% чистой прибыли в качестве дивидендов два раза в год — за 9 месяцев и год.</w:t>
      </w:r>
    </w:p>
    <w:p w14:paraId="67D527EF" w14:textId="77777777" w:rsidR="00AB1C80" w:rsidRDefault="008177CE" w:rsidP="00E2589D">
      <w:pPr>
        <w:rPr>
          <w:lang w:eastAsia="ru-RU"/>
        </w:rPr>
      </w:pPr>
      <w:r>
        <w:rPr>
          <w:lang w:eastAsia="ru-RU"/>
        </w:rPr>
        <w:t xml:space="preserve">Дивиденды Новатэк на историческом периоде составляли около 20% в год от чистой прибыли, соответствующий процент применялся для дивидендов в 2020-2024 годах. В компании Алроса процент чистой прибыли на дивиденды ежегодно изменялся, например, в 2016 году доля дивидендов составила 12% от чистой прибыли, а в 2019 — 91%. </w:t>
      </w:r>
      <w:r w:rsidR="007D29BE">
        <w:rPr>
          <w:lang w:eastAsia="ru-RU"/>
        </w:rPr>
        <w:t xml:space="preserve">При этом </w:t>
      </w:r>
      <w:r>
        <w:rPr>
          <w:lang w:eastAsia="ru-RU"/>
        </w:rPr>
        <w:t>в денежном соотношении дивиденды были приблизительно одинаковыми (в 201</w:t>
      </w:r>
      <w:r w:rsidR="008E26E4">
        <w:rPr>
          <w:lang w:eastAsia="ru-RU"/>
        </w:rPr>
        <w:t>7</w:t>
      </w:r>
      <w:r>
        <w:rPr>
          <w:lang w:eastAsia="ru-RU"/>
        </w:rPr>
        <w:t xml:space="preserve"> году</w:t>
      </w:r>
      <w:r w:rsidR="008E26E4">
        <w:rPr>
          <w:lang w:eastAsia="ru-RU"/>
        </w:rPr>
        <w:t xml:space="preserve"> — 65 706 млн рублей, в 2019 — 57 246 млн рублей), средняя величина дивидендов составила 54 768 млн рублей, данный уровень дивидендов принимается на прогнозном периоде.</w:t>
      </w:r>
    </w:p>
    <w:p w14:paraId="2D97D494" w14:textId="39CC25DB" w:rsidR="003718E4" w:rsidRDefault="008E26E4" w:rsidP="00E2589D">
      <w:pPr>
        <w:rPr>
          <w:lang w:eastAsia="ru-RU"/>
        </w:rPr>
      </w:pPr>
      <w:r>
        <w:rPr>
          <w:lang w:eastAsia="ru-RU"/>
        </w:rPr>
        <w:t xml:space="preserve"> В компании Акрон дивидендные выплаты ежегодно увеличились на 2% в среднем, принимается допущении о росте дивидендов на указанный процент в 2020-2024 годах. </w:t>
      </w:r>
      <w:r>
        <w:rPr>
          <w:lang w:val="en-US" w:eastAsia="ru-RU"/>
        </w:rPr>
        <w:t>HeadHunter</w:t>
      </w:r>
      <w:r>
        <w:rPr>
          <w:lang w:eastAsia="ru-RU"/>
        </w:rPr>
        <w:t xml:space="preserve"> реализовала </w:t>
      </w:r>
      <w:r>
        <w:rPr>
          <w:lang w:val="en-US" w:eastAsia="ru-RU"/>
        </w:rPr>
        <w:t>IPO</w:t>
      </w:r>
      <w:r w:rsidRPr="008E26E4">
        <w:rPr>
          <w:lang w:eastAsia="ru-RU"/>
        </w:rPr>
        <w:t xml:space="preserve"> </w:t>
      </w:r>
      <w:r>
        <w:rPr>
          <w:lang w:eastAsia="ru-RU"/>
        </w:rPr>
        <w:t xml:space="preserve">только в 2019 году, поэтому исторические сведения о дивидендах не релевантно использовать для прогнозного периода. Компания </w:t>
      </w:r>
      <w:r>
        <w:rPr>
          <w:lang w:val="en-US" w:eastAsia="ru-RU"/>
        </w:rPr>
        <w:t>HeadHunter</w:t>
      </w:r>
      <w:r>
        <w:rPr>
          <w:lang w:eastAsia="ru-RU"/>
        </w:rPr>
        <w:t xml:space="preserve"> в 2019 году объявила дивиденды в размере 0,5</w:t>
      </w:r>
      <w:r w:rsidRPr="008E26E4">
        <w:rPr>
          <w:lang w:eastAsia="ru-RU"/>
        </w:rPr>
        <w:t xml:space="preserve">$ </w:t>
      </w:r>
      <w:r>
        <w:rPr>
          <w:lang w:eastAsia="ru-RU"/>
        </w:rPr>
        <w:t xml:space="preserve">на акцию. </w:t>
      </w:r>
      <w:r w:rsidR="007D29BE">
        <w:rPr>
          <w:lang w:eastAsia="ru-RU"/>
        </w:rPr>
        <w:t xml:space="preserve">Было принято допущение, что выплаты дивидендов </w:t>
      </w:r>
      <w:r>
        <w:rPr>
          <w:lang w:eastAsia="ru-RU"/>
        </w:rPr>
        <w:t>в компании</w:t>
      </w:r>
      <w:r w:rsidRPr="008E26E4">
        <w:rPr>
          <w:lang w:eastAsia="ru-RU"/>
        </w:rPr>
        <w:t xml:space="preserve"> </w:t>
      </w:r>
      <w:r>
        <w:rPr>
          <w:lang w:val="en-US" w:eastAsia="ru-RU"/>
        </w:rPr>
        <w:t>HeadHunter</w:t>
      </w:r>
      <w:r>
        <w:rPr>
          <w:lang w:eastAsia="ru-RU"/>
        </w:rPr>
        <w:t xml:space="preserve"> с </w:t>
      </w:r>
      <w:r w:rsidR="007D29BE">
        <w:rPr>
          <w:lang w:eastAsia="ru-RU"/>
        </w:rPr>
        <w:t xml:space="preserve">2020 года будут стабильными и равными </w:t>
      </w:r>
      <w:r w:rsidR="007D29BE" w:rsidRPr="007D29BE">
        <w:rPr>
          <w:lang w:eastAsia="ru-RU"/>
        </w:rPr>
        <w:t>$</w:t>
      </w:r>
      <w:r w:rsidR="007D29BE">
        <w:rPr>
          <w:lang w:eastAsia="ru-RU"/>
        </w:rPr>
        <w:t>0,5</w:t>
      </w:r>
      <w:r w:rsidRPr="008E26E4">
        <w:rPr>
          <w:lang w:eastAsia="ru-RU"/>
        </w:rPr>
        <w:t xml:space="preserve"> </w:t>
      </w:r>
      <w:r>
        <w:rPr>
          <w:lang w:eastAsia="ru-RU"/>
        </w:rPr>
        <w:t xml:space="preserve">на акцию. </w:t>
      </w:r>
    </w:p>
    <w:p w14:paraId="6D4624FE" w14:textId="3694DA1F" w:rsidR="007C0788" w:rsidRPr="007C0788" w:rsidRDefault="003F60F9" w:rsidP="003F60F9">
      <w:pPr>
        <w:rPr>
          <w:lang w:eastAsia="ru-RU"/>
        </w:rPr>
      </w:pPr>
      <w:r>
        <w:rPr>
          <w:lang w:eastAsia="ru-RU"/>
        </w:rPr>
        <w:t xml:space="preserve">Указанные допущения использовались для построения прогнозных отчетов ОПУ, </w:t>
      </w:r>
      <w:r w:rsidR="00AB1C80">
        <w:rPr>
          <w:lang w:eastAsia="ru-RU"/>
        </w:rPr>
        <w:t>б</w:t>
      </w:r>
      <w:r>
        <w:rPr>
          <w:lang w:eastAsia="ru-RU"/>
        </w:rPr>
        <w:t xml:space="preserve">аланса и о движении денежных средств для всех компаний в период 2020-2024 годы. </w:t>
      </w:r>
      <w:r w:rsidR="007C0788">
        <w:rPr>
          <w:lang w:eastAsia="ru-RU"/>
        </w:rPr>
        <w:t>В отчете о движении денежных средств был рассчитан операционный денежный поток (</w:t>
      </w:r>
      <w:r w:rsidR="007C0788">
        <w:rPr>
          <w:lang w:val="en-US" w:eastAsia="ru-RU"/>
        </w:rPr>
        <w:t>OCF</w:t>
      </w:r>
      <w:r w:rsidR="007C0788">
        <w:rPr>
          <w:lang w:eastAsia="ru-RU"/>
        </w:rPr>
        <w:t xml:space="preserve">) как разница </w:t>
      </w:r>
      <w:r w:rsidR="007C0788">
        <w:rPr>
          <w:lang w:val="en-US" w:eastAsia="ru-RU"/>
        </w:rPr>
        <w:t>EBITDA</w:t>
      </w:r>
      <w:r w:rsidR="007C0788" w:rsidRPr="007C0788">
        <w:rPr>
          <w:lang w:eastAsia="ru-RU"/>
        </w:rPr>
        <w:t xml:space="preserve"> </w:t>
      </w:r>
      <w:r w:rsidR="007C0788">
        <w:rPr>
          <w:lang w:eastAsia="ru-RU"/>
        </w:rPr>
        <w:t xml:space="preserve">и изменения оборотного капитала за вычетом налога на прибыль и финансовых расходов. Денежный поток по инвестиционной деятельности </w:t>
      </w:r>
      <w:r w:rsidR="007C0788" w:rsidRPr="007C0788">
        <w:rPr>
          <w:lang w:eastAsia="ru-RU"/>
        </w:rPr>
        <w:t>(</w:t>
      </w:r>
      <w:r w:rsidR="007C0788">
        <w:rPr>
          <w:lang w:val="en-US" w:eastAsia="ru-RU"/>
        </w:rPr>
        <w:t>ICF</w:t>
      </w:r>
      <w:r w:rsidR="007C0788" w:rsidRPr="007C0788">
        <w:rPr>
          <w:lang w:eastAsia="ru-RU"/>
        </w:rPr>
        <w:t>)</w:t>
      </w:r>
      <w:r w:rsidR="007C0788">
        <w:rPr>
          <w:lang w:eastAsia="ru-RU"/>
        </w:rPr>
        <w:t xml:space="preserve"> был получен как сумма инвестиций в основные средства и нематериальные активы. </w:t>
      </w:r>
    </w:p>
    <w:p w14:paraId="6576CFF8" w14:textId="5ED1C802" w:rsidR="007D29BE" w:rsidRDefault="007D29BE" w:rsidP="00E2589D">
      <w:pPr>
        <w:rPr>
          <w:lang w:eastAsia="ru-RU"/>
        </w:rPr>
      </w:pPr>
      <w:r>
        <w:rPr>
          <w:lang w:eastAsia="ru-RU"/>
        </w:rPr>
        <w:lastRenderedPageBreak/>
        <w:t>Далее был проведен расчет ставки дисконтировани</w:t>
      </w:r>
      <w:r w:rsidR="007438B6">
        <w:rPr>
          <w:lang w:eastAsia="ru-RU"/>
        </w:rPr>
        <w:t>я.</w:t>
      </w:r>
      <w:r>
        <w:rPr>
          <w:lang w:eastAsia="ru-RU"/>
        </w:rPr>
        <w:t xml:space="preserve"> Стоимость собственного капитала была вычислена по модели </w:t>
      </w:r>
      <w:r>
        <w:rPr>
          <w:lang w:val="en-US" w:eastAsia="ru-RU"/>
        </w:rPr>
        <w:t>CAPM</w:t>
      </w:r>
      <w:r>
        <w:rPr>
          <w:lang w:eastAsia="ru-RU"/>
        </w:rPr>
        <w:t>: безрисковая ставка была принята в размере доходности государственных 10-летних облигаций (</w:t>
      </w:r>
      <w:r w:rsidRPr="007D29BE">
        <w:rPr>
          <w:lang w:eastAsia="ru-RU"/>
        </w:rPr>
        <w:t>RUGBITR10Y</w:t>
      </w:r>
      <w:r>
        <w:rPr>
          <w:lang w:eastAsia="ru-RU"/>
        </w:rPr>
        <w:t xml:space="preserve">) равной </w:t>
      </w:r>
      <w:r w:rsidR="007438B6">
        <w:rPr>
          <w:lang w:eastAsia="ru-RU"/>
        </w:rPr>
        <w:t>6,39</w:t>
      </w:r>
      <w:r>
        <w:rPr>
          <w:lang w:eastAsia="ru-RU"/>
        </w:rPr>
        <w:t>%</w:t>
      </w:r>
      <w:r w:rsidR="00913472">
        <w:rPr>
          <w:rStyle w:val="afe"/>
          <w:lang w:eastAsia="ru-RU"/>
        </w:rPr>
        <w:footnoteReference w:id="79"/>
      </w:r>
      <w:r w:rsidR="007438B6">
        <w:rPr>
          <w:lang w:eastAsia="ru-RU"/>
        </w:rPr>
        <w:t xml:space="preserve"> для всех компаний. П</w:t>
      </w:r>
      <w:r>
        <w:rPr>
          <w:lang w:eastAsia="ru-RU"/>
        </w:rPr>
        <w:t>ремия за рыночный риск</w:t>
      </w:r>
      <w:r w:rsidR="007438B6">
        <w:rPr>
          <w:lang w:eastAsia="ru-RU"/>
        </w:rPr>
        <w:t xml:space="preserve"> рассчитана </w:t>
      </w:r>
      <w:r>
        <w:rPr>
          <w:lang w:eastAsia="ru-RU"/>
        </w:rPr>
        <w:t>по оценкам экспертов</w:t>
      </w:r>
      <w:r w:rsidR="007438B6">
        <w:rPr>
          <w:lang w:eastAsia="ru-RU"/>
        </w:rPr>
        <w:t xml:space="preserve"> компаний: для НКХП — 7%, Новатэк —10%, Алроса — 10%, Акрон — 10%, </w:t>
      </w:r>
      <w:r w:rsidR="007438B6">
        <w:rPr>
          <w:lang w:val="en-US" w:eastAsia="ru-RU"/>
        </w:rPr>
        <w:t>HeadHunter</w:t>
      </w:r>
      <w:r w:rsidR="007438B6" w:rsidRPr="007438B6">
        <w:rPr>
          <w:lang w:eastAsia="ru-RU"/>
        </w:rPr>
        <w:t xml:space="preserve"> </w:t>
      </w:r>
      <w:r>
        <w:rPr>
          <w:lang w:eastAsia="ru-RU"/>
        </w:rPr>
        <w:t>— 15%</w:t>
      </w:r>
      <w:r w:rsidR="007438B6">
        <w:rPr>
          <w:lang w:eastAsia="ru-RU"/>
        </w:rPr>
        <w:t>. Б</w:t>
      </w:r>
      <w:r>
        <w:rPr>
          <w:lang w:eastAsia="ru-RU"/>
        </w:rPr>
        <w:t xml:space="preserve">ета-коэффициент, по данным </w:t>
      </w:r>
      <w:proofErr w:type="spellStart"/>
      <w:r>
        <w:rPr>
          <w:lang w:eastAsia="ru-RU"/>
        </w:rPr>
        <w:t>Асвата</w:t>
      </w:r>
      <w:proofErr w:type="spellEnd"/>
      <w:r>
        <w:rPr>
          <w:lang w:eastAsia="ru-RU"/>
        </w:rPr>
        <w:t xml:space="preserve"> </w:t>
      </w:r>
      <w:proofErr w:type="spellStart"/>
      <w:r>
        <w:rPr>
          <w:lang w:eastAsia="ru-RU"/>
        </w:rPr>
        <w:t>Дамодарана</w:t>
      </w:r>
      <w:proofErr w:type="spellEnd"/>
      <w:r>
        <w:rPr>
          <w:lang w:eastAsia="ru-RU"/>
        </w:rPr>
        <w:t xml:space="preserve">, </w:t>
      </w:r>
      <w:r w:rsidR="007C4E43">
        <w:rPr>
          <w:lang w:eastAsia="ru-RU"/>
        </w:rPr>
        <w:t xml:space="preserve">для НКХП по отрасли Агро/фарминг равен 0,89; для Новатэк по отрасли газового производства равен 1,07; для компании Алроса по отрасли горнодобывающей промышленности равен 1,11; для компании Акрон по отрасли </w:t>
      </w:r>
      <w:proofErr w:type="spellStart"/>
      <w:r w:rsidR="007C4E43">
        <w:rPr>
          <w:lang w:eastAsia="ru-RU"/>
        </w:rPr>
        <w:t>агрокультур</w:t>
      </w:r>
      <w:proofErr w:type="spellEnd"/>
      <w:r w:rsidR="007C4E43">
        <w:rPr>
          <w:lang w:eastAsia="ru-RU"/>
        </w:rPr>
        <w:t xml:space="preserve"> равен 0,5; а </w:t>
      </w:r>
      <w:r>
        <w:rPr>
          <w:lang w:eastAsia="ru-RU"/>
        </w:rPr>
        <w:t xml:space="preserve">для </w:t>
      </w:r>
      <w:r w:rsidR="007C4E43">
        <w:rPr>
          <w:lang w:eastAsia="ru-RU"/>
        </w:rPr>
        <w:t xml:space="preserve">компании </w:t>
      </w:r>
      <w:r w:rsidR="007C4E43">
        <w:rPr>
          <w:lang w:val="en-US" w:eastAsia="ru-RU"/>
        </w:rPr>
        <w:t>Headhunter</w:t>
      </w:r>
      <w:r w:rsidR="007C4E43" w:rsidRPr="007C4E43">
        <w:rPr>
          <w:lang w:eastAsia="ru-RU"/>
        </w:rPr>
        <w:t xml:space="preserve"> </w:t>
      </w:r>
      <w:r w:rsidR="007C4E43">
        <w:rPr>
          <w:lang w:eastAsia="ru-RU"/>
        </w:rPr>
        <w:t xml:space="preserve">признан как для </w:t>
      </w:r>
      <w:r>
        <w:rPr>
          <w:lang w:eastAsia="ru-RU"/>
        </w:rPr>
        <w:t>отрасли бизнес услуг</w:t>
      </w:r>
      <w:r w:rsidR="007C4E43">
        <w:rPr>
          <w:lang w:eastAsia="ru-RU"/>
        </w:rPr>
        <w:t>, равным в</w:t>
      </w:r>
      <w:r>
        <w:rPr>
          <w:lang w:eastAsia="ru-RU"/>
        </w:rPr>
        <w:t xml:space="preserve"> 1,01</w:t>
      </w:r>
      <w:r w:rsidR="00913472">
        <w:rPr>
          <w:rStyle w:val="afe"/>
          <w:lang w:eastAsia="ru-RU"/>
        </w:rPr>
        <w:footnoteReference w:id="80"/>
      </w:r>
      <w:r>
        <w:rPr>
          <w:lang w:eastAsia="ru-RU"/>
        </w:rPr>
        <w:t>. Таким образом, стоимость собственного капитала по формуле (1</w:t>
      </w:r>
      <w:r w:rsidR="006B67C2">
        <w:rPr>
          <w:lang w:eastAsia="ru-RU"/>
        </w:rPr>
        <w:t>0</w:t>
      </w:r>
      <w:r>
        <w:rPr>
          <w:lang w:eastAsia="ru-RU"/>
        </w:rPr>
        <w:t xml:space="preserve">) равна </w:t>
      </w:r>
      <w:r w:rsidR="007C4E43">
        <w:rPr>
          <w:lang w:eastAsia="ru-RU"/>
        </w:rPr>
        <w:t xml:space="preserve">для НКХП — 12,73%, Новатэк —17,09%, Алроса — 17,49%, Акрон — 11,39%, </w:t>
      </w:r>
      <w:r w:rsidR="007C4E43">
        <w:rPr>
          <w:lang w:val="en-US" w:eastAsia="ru-RU"/>
        </w:rPr>
        <w:t>HeadHunter</w:t>
      </w:r>
      <w:r w:rsidR="007C4E43" w:rsidRPr="007438B6">
        <w:rPr>
          <w:lang w:eastAsia="ru-RU"/>
        </w:rPr>
        <w:t xml:space="preserve"> </w:t>
      </w:r>
      <w:r w:rsidR="007C4E43">
        <w:rPr>
          <w:lang w:eastAsia="ru-RU"/>
        </w:rPr>
        <w:t xml:space="preserve">— </w:t>
      </w:r>
      <w:r>
        <w:rPr>
          <w:lang w:eastAsia="ru-RU"/>
        </w:rPr>
        <w:t xml:space="preserve">23,15%. </w:t>
      </w:r>
    </w:p>
    <w:p w14:paraId="314B7B52" w14:textId="03ABEB46" w:rsidR="00A21488" w:rsidRDefault="007D29BE" w:rsidP="00E2589D">
      <w:pPr>
        <w:rPr>
          <w:lang w:eastAsia="ru-RU"/>
        </w:rPr>
      </w:pPr>
      <w:r>
        <w:rPr>
          <w:lang w:eastAsia="ru-RU"/>
        </w:rPr>
        <w:t xml:space="preserve">Для расчета ставки дисконтирования была принята модель </w:t>
      </w:r>
      <w:r>
        <w:rPr>
          <w:lang w:val="en-US" w:eastAsia="ru-RU"/>
        </w:rPr>
        <w:t>WACC</w:t>
      </w:r>
      <w:r>
        <w:rPr>
          <w:lang w:eastAsia="ru-RU"/>
        </w:rPr>
        <w:t xml:space="preserve"> с ежегодным изменением, так как доля заемного капитала на протяжении прогнозного периода</w:t>
      </w:r>
      <w:r w:rsidR="00BB73FE">
        <w:rPr>
          <w:lang w:eastAsia="ru-RU"/>
        </w:rPr>
        <w:t xml:space="preserve"> во всех компаниях изменяется,</w:t>
      </w:r>
      <w:r w:rsidR="00A21488">
        <w:rPr>
          <w:lang w:eastAsia="ru-RU"/>
        </w:rPr>
        <w:t xml:space="preserve"> а собственный капитал увеличивается за счет нераспределенной прибыли. </w:t>
      </w:r>
      <w:r w:rsidR="00BB73FE">
        <w:rPr>
          <w:lang w:eastAsia="ru-RU"/>
        </w:rPr>
        <w:t xml:space="preserve">Для корректного результата ставки дисконтирования происходит пересчет для каждого года на прогнозном периоде. </w:t>
      </w:r>
      <w:r>
        <w:rPr>
          <w:lang w:eastAsia="ru-RU"/>
        </w:rPr>
        <w:t xml:space="preserve">Стоимость заемного капитала </w:t>
      </w:r>
      <w:r w:rsidR="00BB73FE">
        <w:rPr>
          <w:lang w:eastAsia="ru-RU"/>
        </w:rPr>
        <w:t xml:space="preserve">для всех компаний признана </w:t>
      </w:r>
      <w:r w:rsidR="006B67C2">
        <w:rPr>
          <w:lang w:eastAsia="ru-RU"/>
        </w:rPr>
        <w:t xml:space="preserve">как </w:t>
      </w:r>
      <w:r w:rsidR="00BB73FE">
        <w:rPr>
          <w:lang w:eastAsia="ru-RU"/>
        </w:rPr>
        <w:t>процентная ставка по долгосрочным кредитам и займам.</w:t>
      </w:r>
      <w:r w:rsidR="007C0788">
        <w:rPr>
          <w:lang w:eastAsia="ru-RU"/>
        </w:rPr>
        <w:t xml:space="preserve"> Налог на прибыль рассматривался на уровне 20% на всем периоде. </w:t>
      </w:r>
    </w:p>
    <w:p w14:paraId="342B5569" w14:textId="4F82D383" w:rsidR="00A21488" w:rsidRDefault="007C0788" w:rsidP="00BB73FE">
      <w:pPr>
        <w:rPr>
          <w:lang w:eastAsia="ru-RU"/>
        </w:rPr>
      </w:pPr>
      <w:r>
        <w:rPr>
          <w:lang w:eastAsia="ru-RU"/>
        </w:rPr>
        <w:t xml:space="preserve">В таблице ниже приведен </w:t>
      </w:r>
      <w:r w:rsidR="00BB73FE">
        <w:rPr>
          <w:lang w:eastAsia="ru-RU"/>
        </w:rPr>
        <w:t xml:space="preserve">результат </w:t>
      </w:r>
      <w:r>
        <w:rPr>
          <w:lang w:eastAsia="ru-RU"/>
        </w:rPr>
        <w:t>средневзвешенной ставки дисконтирования в период 20</w:t>
      </w:r>
      <w:r w:rsidR="00BB73FE">
        <w:rPr>
          <w:lang w:eastAsia="ru-RU"/>
        </w:rPr>
        <w:t>20</w:t>
      </w:r>
      <w:r>
        <w:rPr>
          <w:lang w:eastAsia="ru-RU"/>
        </w:rPr>
        <w:t>-202</w:t>
      </w:r>
      <w:r w:rsidR="00BB73FE">
        <w:rPr>
          <w:lang w:eastAsia="ru-RU"/>
        </w:rPr>
        <w:t xml:space="preserve">4 для всех компаний. </w:t>
      </w:r>
      <w:r>
        <w:rPr>
          <w:lang w:eastAsia="ru-RU"/>
        </w:rPr>
        <w:t xml:space="preserve"> </w:t>
      </w:r>
    </w:p>
    <w:p w14:paraId="68F93934" w14:textId="644F833F" w:rsidR="00DA5288" w:rsidRDefault="00DA5288" w:rsidP="00DA5288">
      <w:pPr>
        <w:pStyle w:val="a0"/>
        <w:rPr>
          <w:lang w:eastAsia="ru-RU"/>
        </w:rPr>
      </w:pPr>
      <w:r>
        <w:rPr>
          <w:lang w:eastAsia="ru-RU"/>
        </w:rPr>
        <w:t>Ставки дисконтирования (</w:t>
      </w:r>
      <w:r>
        <w:rPr>
          <w:lang w:val="en-US" w:eastAsia="ru-RU"/>
        </w:rPr>
        <w:t>WACC</w:t>
      </w:r>
      <w:r>
        <w:rPr>
          <w:lang w:eastAsia="ru-RU"/>
        </w:rPr>
        <w:t>) для 2020-2024 года по компаниям</w:t>
      </w:r>
    </w:p>
    <w:tbl>
      <w:tblPr>
        <w:tblW w:w="6220" w:type="dxa"/>
        <w:jc w:val="center"/>
        <w:tblLook w:val="04A0" w:firstRow="1" w:lastRow="0" w:firstColumn="1" w:lastColumn="0" w:noHBand="0" w:noVBand="1"/>
      </w:tblPr>
      <w:tblGrid>
        <w:gridCol w:w="1402"/>
        <w:gridCol w:w="960"/>
        <w:gridCol w:w="960"/>
        <w:gridCol w:w="1020"/>
        <w:gridCol w:w="1020"/>
        <w:gridCol w:w="1020"/>
      </w:tblGrid>
      <w:tr w:rsidR="00EE3133" w:rsidRPr="00EE3133" w14:paraId="4084B8A8" w14:textId="77777777" w:rsidTr="00DA5288">
        <w:trPr>
          <w:trHeight w:val="290"/>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A2787"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WACC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4B6113"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AD7F97B"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2021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A8ACCE1"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2022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9E2D4D7"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2023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E0C14BF"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2024</w:t>
            </w:r>
          </w:p>
        </w:tc>
      </w:tr>
      <w:tr w:rsidR="00EE3133" w:rsidRPr="00EE3133" w14:paraId="1F7C64DB" w14:textId="77777777" w:rsidTr="00DA5288">
        <w:trPr>
          <w:trHeight w:val="29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EACD3A2"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НКХП</w:t>
            </w:r>
          </w:p>
        </w:tc>
        <w:tc>
          <w:tcPr>
            <w:tcW w:w="960" w:type="dxa"/>
            <w:tcBorders>
              <w:top w:val="nil"/>
              <w:left w:val="nil"/>
              <w:bottom w:val="single" w:sz="4" w:space="0" w:color="auto"/>
              <w:right w:val="single" w:sz="4" w:space="0" w:color="auto"/>
            </w:tcBorders>
            <w:shd w:val="clear" w:color="auto" w:fill="auto"/>
            <w:noWrap/>
            <w:vAlign w:val="center"/>
            <w:hideMark/>
          </w:tcPr>
          <w:p w14:paraId="073FB616"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12%</w:t>
            </w:r>
          </w:p>
        </w:tc>
        <w:tc>
          <w:tcPr>
            <w:tcW w:w="960" w:type="dxa"/>
            <w:tcBorders>
              <w:top w:val="nil"/>
              <w:left w:val="nil"/>
              <w:bottom w:val="single" w:sz="4" w:space="0" w:color="auto"/>
              <w:right w:val="single" w:sz="4" w:space="0" w:color="auto"/>
            </w:tcBorders>
            <w:shd w:val="clear" w:color="auto" w:fill="auto"/>
            <w:noWrap/>
            <w:vAlign w:val="center"/>
            <w:hideMark/>
          </w:tcPr>
          <w:p w14:paraId="3239215E"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12%</w:t>
            </w:r>
          </w:p>
        </w:tc>
        <w:tc>
          <w:tcPr>
            <w:tcW w:w="1020" w:type="dxa"/>
            <w:tcBorders>
              <w:top w:val="nil"/>
              <w:left w:val="nil"/>
              <w:bottom w:val="single" w:sz="4" w:space="0" w:color="auto"/>
              <w:right w:val="single" w:sz="4" w:space="0" w:color="auto"/>
            </w:tcBorders>
            <w:shd w:val="clear" w:color="auto" w:fill="auto"/>
            <w:noWrap/>
            <w:vAlign w:val="center"/>
            <w:hideMark/>
          </w:tcPr>
          <w:p w14:paraId="54C1CF8A"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12%</w:t>
            </w:r>
          </w:p>
        </w:tc>
        <w:tc>
          <w:tcPr>
            <w:tcW w:w="1020" w:type="dxa"/>
            <w:tcBorders>
              <w:top w:val="nil"/>
              <w:left w:val="nil"/>
              <w:bottom w:val="single" w:sz="4" w:space="0" w:color="auto"/>
              <w:right w:val="single" w:sz="4" w:space="0" w:color="auto"/>
            </w:tcBorders>
            <w:shd w:val="clear" w:color="auto" w:fill="auto"/>
            <w:noWrap/>
            <w:vAlign w:val="center"/>
            <w:hideMark/>
          </w:tcPr>
          <w:p w14:paraId="2A43CA69"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12%</w:t>
            </w:r>
          </w:p>
        </w:tc>
        <w:tc>
          <w:tcPr>
            <w:tcW w:w="1020" w:type="dxa"/>
            <w:tcBorders>
              <w:top w:val="nil"/>
              <w:left w:val="nil"/>
              <w:bottom w:val="single" w:sz="4" w:space="0" w:color="auto"/>
              <w:right w:val="single" w:sz="4" w:space="0" w:color="auto"/>
            </w:tcBorders>
            <w:shd w:val="clear" w:color="auto" w:fill="auto"/>
            <w:noWrap/>
            <w:vAlign w:val="center"/>
            <w:hideMark/>
          </w:tcPr>
          <w:p w14:paraId="05B8D97E"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12%</w:t>
            </w:r>
          </w:p>
        </w:tc>
      </w:tr>
      <w:tr w:rsidR="00EE3133" w:rsidRPr="00EE3133" w14:paraId="0F5C4077" w14:textId="77777777" w:rsidTr="00DA5288">
        <w:trPr>
          <w:trHeight w:val="29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235F43D"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Новатэк</w:t>
            </w:r>
          </w:p>
        </w:tc>
        <w:tc>
          <w:tcPr>
            <w:tcW w:w="960" w:type="dxa"/>
            <w:tcBorders>
              <w:top w:val="nil"/>
              <w:left w:val="nil"/>
              <w:bottom w:val="single" w:sz="4" w:space="0" w:color="auto"/>
              <w:right w:val="single" w:sz="4" w:space="0" w:color="auto"/>
            </w:tcBorders>
            <w:shd w:val="clear" w:color="auto" w:fill="auto"/>
            <w:noWrap/>
            <w:vAlign w:val="center"/>
            <w:hideMark/>
          </w:tcPr>
          <w:p w14:paraId="6AE770FE"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14:paraId="4BE6C041"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16%</w:t>
            </w:r>
          </w:p>
        </w:tc>
        <w:tc>
          <w:tcPr>
            <w:tcW w:w="1020" w:type="dxa"/>
            <w:tcBorders>
              <w:top w:val="nil"/>
              <w:left w:val="nil"/>
              <w:bottom w:val="single" w:sz="4" w:space="0" w:color="auto"/>
              <w:right w:val="single" w:sz="4" w:space="0" w:color="auto"/>
            </w:tcBorders>
            <w:shd w:val="clear" w:color="auto" w:fill="auto"/>
            <w:noWrap/>
            <w:vAlign w:val="center"/>
            <w:hideMark/>
          </w:tcPr>
          <w:p w14:paraId="6E6A5175"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16%</w:t>
            </w:r>
          </w:p>
        </w:tc>
        <w:tc>
          <w:tcPr>
            <w:tcW w:w="1020" w:type="dxa"/>
            <w:tcBorders>
              <w:top w:val="nil"/>
              <w:left w:val="nil"/>
              <w:bottom w:val="single" w:sz="4" w:space="0" w:color="auto"/>
              <w:right w:val="single" w:sz="4" w:space="0" w:color="auto"/>
            </w:tcBorders>
            <w:shd w:val="clear" w:color="auto" w:fill="auto"/>
            <w:noWrap/>
            <w:vAlign w:val="center"/>
            <w:hideMark/>
          </w:tcPr>
          <w:p w14:paraId="7FC3D928"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16%</w:t>
            </w:r>
          </w:p>
        </w:tc>
        <w:tc>
          <w:tcPr>
            <w:tcW w:w="1020" w:type="dxa"/>
            <w:tcBorders>
              <w:top w:val="nil"/>
              <w:left w:val="nil"/>
              <w:bottom w:val="single" w:sz="4" w:space="0" w:color="auto"/>
              <w:right w:val="single" w:sz="4" w:space="0" w:color="auto"/>
            </w:tcBorders>
            <w:shd w:val="clear" w:color="auto" w:fill="auto"/>
            <w:noWrap/>
            <w:vAlign w:val="center"/>
            <w:hideMark/>
          </w:tcPr>
          <w:p w14:paraId="176EC3DA"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16%</w:t>
            </w:r>
          </w:p>
        </w:tc>
      </w:tr>
      <w:tr w:rsidR="00EE3133" w:rsidRPr="00EE3133" w14:paraId="2BE1ED72" w14:textId="77777777" w:rsidTr="00DA5288">
        <w:trPr>
          <w:trHeight w:val="29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121C688"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Алроса</w:t>
            </w:r>
          </w:p>
        </w:tc>
        <w:tc>
          <w:tcPr>
            <w:tcW w:w="960" w:type="dxa"/>
            <w:tcBorders>
              <w:top w:val="nil"/>
              <w:left w:val="nil"/>
              <w:bottom w:val="single" w:sz="4" w:space="0" w:color="auto"/>
              <w:right w:val="single" w:sz="4" w:space="0" w:color="auto"/>
            </w:tcBorders>
            <w:shd w:val="clear" w:color="auto" w:fill="auto"/>
            <w:noWrap/>
            <w:vAlign w:val="center"/>
            <w:hideMark/>
          </w:tcPr>
          <w:p w14:paraId="67CA3D2D"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15%</w:t>
            </w:r>
          </w:p>
        </w:tc>
        <w:tc>
          <w:tcPr>
            <w:tcW w:w="960" w:type="dxa"/>
            <w:tcBorders>
              <w:top w:val="nil"/>
              <w:left w:val="nil"/>
              <w:bottom w:val="single" w:sz="4" w:space="0" w:color="auto"/>
              <w:right w:val="single" w:sz="4" w:space="0" w:color="auto"/>
            </w:tcBorders>
            <w:shd w:val="clear" w:color="auto" w:fill="auto"/>
            <w:noWrap/>
            <w:vAlign w:val="center"/>
            <w:hideMark/>
          </w:tcPr>
          <w:p w14:paraId="5499C528"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15%</w:t>
            </w:r>
          </w:p>
        </w:tc>
        <w:tc>
          <w:tcPr>
            <w:tcW w:w="1020" w:type="dxa"/>
            <w:tcBorders>
              <w:top w:val="nil"/>
              <w:left w:val="nil"/>
              <w:bottom w:val="single" w:sz="4" w:space="0" w:color="auto"/>
              <w:right w:val="single" w:sz="4" w:space="0" w:color="auto"/>
            </w:tcBorders>
            <w:shd w:val="clear" w:color="auto" w:fill="auto"/>
            <w:noWrap/>
            <w:vAlign w:val="center"/>
            <w:hideMark/>
          </w:tcPr>
          <w:p w14:paraId="2A2D7942"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15%</w:t>
            </w:r>
          </w:p>
        </w:tc>
        <w:tc>
          <w:tcPr>
            <w:tcW w:w="1020" w:type="dxa"/>
            <w:tcBorders>
              <w:top w:val="nil"/>
              <w:left w:val="nil"/>
              <w:bottom w:val="single" w:sz="4" w:space="0" w:color="auto"/>
              <w:right w:val="single" w:sz="4" w:space="0" w:color="auto"/>
            </w:tcBorders>
            <w:shd w:val="clear" w:color="auto" w:fill="auto"/>
            <w:noWrap/>
            <w:vAlign w:val="center"/>
            <w:hideMark/>
          </w:tcPr>
          <w:p w14:paraId="2D9197C5"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15%</w:t>
            </w:r>
          </w:p>
        </w:tc>
        <w:tc>
          <w:tcPr>
            <w:tcW w:w="1020" w:type="dxa"/>
            <w:tcBorders>
              <w:top w:val="nil"/>
              <w:left w:val="nil"/>
              <w:bottom w:val="single" w:sz="4" w:space="0" w:color="auto"/>
              <w:right w:val="single" w:sz="4" w:space="0" w:color="auto"/>
            </w:tcBorders>
            <w:shd w:val="clear" w:color="auto" w:fill="auto"/>
            <w:noWrap/>
            <w:vAlign w:val="center"/>
            <w:hideMark/>
          </w:tcPr>
          <w:p w14:paraId="45781C49"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15%</w:t>
            </w:r>
          </w:p>
        </w:tc>
      </w:tr>
      <w:tr w:rsidR="00EE3133" w:rsidRPr="00EE3133" w14:paraId="3782B54F" w14:textId="77777777" w:rsidTr="00DA5288">
        <w:trPr>
          <w:trHeight w:val="29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5EE87D"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Акрон</w:t>
            </w:r>
          </w:p>
        </w:tc>
        <w:tc>
          <w:tcPr>
            <w:tcW w:w="960" w:type="dxa"/>
            <w:tcBorders>
              <w:top w:val="nil"/>
              <w:left w:val="nil"/>
              <w:bottom w:val="single" w:sz="4" w:space="0" w:color="auto"/>
              <w:right w:val="single" w:sz="4" w:space="0" w:color="auto"/>
            </w:tcBorders>
            <w:shd w:val="clear" w:color="auto" w:fill="auto"/>
            <w:noWrap/>
            <w:vAlign w:val="center"/>
            <w:hideMark/>
          </w:tcPr>
          <w:p w14:paraId="7509AE1E"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9%</w:t>
            </w:r>
          </w:p>
        </w:tc>
        <w:tc>
          <w:tcPr>
            <w:tcW w:w="960" w:type="dxa"/>
            <w:tcBorders>
              <w:top w:val="nil"/>
              <w:left w:val="nil"/>
              <w:bottom w:val="single" w:sz="4" w:space="0" w:color="auto"/>
              <w:right w:val="single" w:sz="4" w:space="0" w:color="auto"/>
            </w:tcBorders>
            <w:shd w:val="clear" w:color="auto" w:fill="auto"/>
            <w:noWrap/>
            <w:vAlign w:val="center"/>
            <w:hideMark/>
          </w:tcPr>
          <w:p w14:paraId="0F69A345"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14:paraId="62A956F8"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14:paraId="157A5E2F"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9%</w:t>
            </w:r>
          </w:p>
        </w:tc>
        <w:tc>
          <w:tcPr>
            <w:tcW w:w="1020" w:type="dxa"/>
            <w:tcBorders>
              <w:top w:val="nil"/>
              <w:left w:val="nil"/>
              <w:bottom w:val="single" w:sz="4" w:space="0" w:color="auto"/>
              <w:right w:val="single" w:sz="4" w:space="0" w:color="auto"/>
            </w:tcBorders>
            <w:shd w:val="clear" w:color="auto" w:fill="auto"/>
            <w:noWrap/>
            <w:vAlign w:val="center"/>
            <w:hideMark/>
          </w:tcPr>
          <w:p w14:paraId="127BEEBE"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10%</w:t>
            </w:r>
          </w:p>
        </w:tc>
      </w:tr>
      <w:tr w:rsidR="00EE3133" w:rsidRPr="00EE3133" w14:paraId="102B8D9C" w14:textId="77777777" w:rsidTr="00DA5288">
        <w:trPr>
          <w:trHeight w:val="29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C7259B6" w14:textId="77777777" w:rsidR="00EE3133" w:rsidRPr="00EE3133" w:rsidRDefault="00EE3133" w:rsidP="00EE3133">
            <w:pPr>
              <w:spacing w:after="0" w:line="240" w:lineRule="auto"/>
              <w:ind w:firstLine="0"/>
              <w:jc w:val="center"/>
              <w:rPr>
                <w:rFonts w:eastAsia="Times New Roman" w:cs="Times New Roman"/>
                <w:b/>
                <w:bCs/>
                <w:color w:val="000000"/>
                <w:sz w:val="22"/>
                <w:lang w:eastAsia="ru-RU"/>
              </w:rPr>
            </w:pPr>
            <w:r w:rsidRPr="00EE3133">
              <w:rPr>
                <w:rFonts w:eastAsia="Times New Roman" w:cs="Times New Roman"/>
                <w:b/>
                <w:bCs/>
                <w:color w:val="000000"/>
                <w:sz w:val="22"/>
                <w:lang w:eastAsia="ru-RU"/>
              </w:rPr>
              <w:t>HeadHunter</w:t>
            </w:r>
          </w:p>
        </w:tc>
        <w:tc>
          <w:tcPr>
            <w:tcW w:w="960" w:type="dxa"/>
            <w:tcBorders>
              <w:top w:val="nil"/>
              <w:left w:val="nil"/>
              <w:bottom w:val="single" w:sz="4" w:space="0" w:color="auto"/>
              <w:right w:val="single" w:sz="4" w:space="0" w:color="auto"/>
            </w:tcBorders>
            <w:shd w:val="clear" w:color="auto" w:fill="auto"/>
            <w:noWrap/>
            <w:vAlign w:val="center"/>
            <w:hideMark/>
          </w:tcPr>
          <w:p w14:paraId="39E875EE"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16%</w:t>
            </w:r>
          </w:p>
        </w:tc>
        <w:tc>
          <w:tcPr>
            <w:tcW w:w="960" w:type="dxa"/>
            <w:tcBorders>
              <w:top w:val="nil"/>
              <w:left w:val="nil"/>
              <w:bottom w:val="single" w:sz="4" w:space="0" w:color="auto"/>
              <w:right w:val="single" w:sz="4" w:space="0" w:color="auto"/>
            </w:tcBorders>
            <w:shd w:val="clear" w:color="auto" w:fill="auto"/>
            <w:noWrap/>
            <w:vAlign w:val="center"/>
            <w:hideMark/>
          </w:tcPr>
          <w:p w14:paraId="26010AFF"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17%</w:t>
            </w:r>
          </w:p>
        </w:tc>
        <w:tc>
          <w:tcPr>
            <w:tcW w:w="1020" w:type="dxa"/>
            <w:tcBorders>
              <w:top w:val="nil"/>
              <w:left w:val="nil"/>
              <w:bottom w:val="single" w:sz="4" w:space="0" w:color="auto"/>
              <w:right w:val="single" w:sz="4" w:space="0" w:color="auto"/>
            </w:tcBorders>
            <w:shd w:val="clear" w:color="auto" w:fill="auto"/>
            <w:noWrap/>
            <w:vAlign w:val="center"/>
            <w:hideMark/>
          </w:tcPr>
          <w:p w14:paraId="110FA2D2"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19%</w:t>
            </w:r>
          </w:p>
        </w:tc>
        <w:tc>
          <w:tcPr>
            <w:tcW w:w="1020" w:type="dxa"/>
            <w:tcBorders>
              <w:top w:val="nil"/>
              <w:left w:val="nil"/>
              <w:bottom w:val="single" w:sz="4" w:space="0" w:color="auto"/>
              <w:right w:val="single" w:sz="4" w:space="0" w:color="auto"/>
            </w:tcBorders>
            <w:shd w:val="clear" w:color="auto" w:fill="auto"/>
            <w:noWrap/>
            <w:vAlign w:val="center"/>
            <w:hideMark/>
          </w:tcPr>
          <w:p w14:paraId="1FE5FF06"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20%</w:t>
            </w:r>
          </w:p>
        </w:tc>
        <w:tc>
          <w:tcPr>
            <w:tcW w:w="1020" w:type="dxa"/>
            <w:tcBorders>
              <w:top w:val="nil"/>
              <w:left w:val="nil"/>
              <w:bottom w:val="single" w:sz="4" w:space="0" w:color="auto"/>
              <w:right w:val="single" w:sz="4" w:space="0" w:color="auto"/>
            </w:tcBorders>
            <w:shd w:val="clear" w:color="auto" w:fill="auto"/>
            <w:noWrap/>
            <w:vAlign w:val="center"/>
            <w:hideMark/>
          </w:tcPr>
          <w:p w14:paraId="55754D83" w14:textId="77777777" w:rsidR="00EE3133" w:rsidRPr="00EE3133" w:rsidRDefault="00EE3133" w:rsidP="00EE3133">
            <w:pPr>
              <w:spacing w:after="0" w:line="240" w:lineRule="auto"/>
              <w:ind w:firstLine="0"/>
              <w:jc w:val="center"/>
              <w:rPr>
                <w:rFonts w:eastAsia="Times New Roman" w:cs="Times New Roman"/>
                <w:color w:val="000000"/>
                <w:sz w:val="22"/>
                <w:lang w:eastAsia="ru-RU"/>
              </w:rPr>
            </w:pPr>
            <w:r w:rsidRPr="00EE3133">
              <w:rPr>
                <w:rFonts w:eastAsia="Times New Roman" w:cs="Times New Roman"/>
                <w:color w:val="000000"/>
                <w:sz w:val="22"/>
                <w:lang w:eastAsia="ru-RU"/>
              </w:rPr>
              <w:t>21%</w:t>
            </w:r>
          </w:p>
        </w:tc>
      </w:tr>
    </w:tbl>
    <w:p w14:paraId="191DA6D1" w14:textId="45FAA59A" w:rsidR="007C0788" w:rsidRDefault="007C0788" w:rsidP="00DA5288">
      <w:pPr>
        <w:ind w:left="1418" w:firstLine="0"/>
        <w:rPr>
          <w:i/>
          <w:iCs/>
          <w:lang w:val="en-US" w:eastAsia="ru-RU"/>
        </w:rPr>
      </w:pPr>
      <w:r w:rsidRPr="007C0788">
        <w:rPr>
          <w:i/>
          <w:iCs/>
          <w:lang w:eastAsia="ru-RU"/>
        </w:rPr>
        <w:t xml:space="preserve">Источник: </w:t>
      </w:r>
      <w:r w:rsidRPr="007C0788">
        <w:rPr>
          <w:i/>
          <w:iCs/>
          <w:lang w:val="en-US" w:eastAsia="ru-RU"/>
        </w:rPr>
        <w:t>[</w:t>
      </w:r>
      <w:r w:rsidRPr="007C0788">
        <w:rPr>
          <w:i/>
          <w:iCs/>
          <w:lang w:eastAsia="ru-RU"/>
        </w:rPr>
        <w:t>расчеты автора</w:t>
      </w:r>
      <w:r w:rsidRPr="007C0788">
        <w:rPr>
          <w:i/>
          <w:iCs/>
          <w:lang w:val="en-US" w:eastAsia="ru-RU"/>
        </w:rPr>
        <w:t>]</w:t>
      </w:r>
    </w:p>
    <w:p w14:paraId="3BAFE42E" w14:textId="7E9FC517" w:rsidR="007C0788" w:rsidRDefault="00DA5288" w:rsidP="007C0788">
      <w:pPr>
        <w:rPr>
          <w:lang w:eastAsia="ru-RU"/>
        </w:rPr>
      </w:pPr>
      <w:r>
        <w:rPr>
          <w:lang w:eastAsia="ru-RU"/>
        </w:rPr>
        <w:lastRenderedPageBreak/>
        <w:t xml:space="preserve">После был проведен расчет свободного денежного потока как операционный минус инвестиционный поток и дисконтированный </w:t>
      </w:r>
      <w:r>
        <w:rPr>
          <w:lang w:val="en-US" w:eastAsia="ru-RU"/>
        </w:rPr>
        <w:t>FCF</w:t>
      </w:r>
      <w:r>
        <w:rPr>
          <w:lang w:eastAsia="ru-RU"/>
        </w:rPr>
        <w:t xml:space="preserve"> по ставке </w:t>
      </w:r>
      <w:r>
        <w:rPr>
          <w:lang w:val="en-US" w:eastAsia="ru-RU"/>
        </w:rPr>
        <w:t>WACC</w:t>
      </w:r>
      <w:r w:rsidRPr="00DA5288">
        <w:rPr>
          <w:lang w:eastAsia="ru-RU"/>
        </w:rPr>
        <w:t xml:space="preserve"> </w:t>
      </w:r>
      <w:r w:rsidR="007C0788">
        <w:rPr>
          <w:lang w:eastAsia="ru-RU"/>
        </w:rPr>
        <w:t xml:space="preserve">— в таблице </w:t>
      </w:r>
      <w:r w:rsidR="000F0BA5">
        <w:rPr>
          <w:lang w:eastAsia="ru-RU"/>
        </w:rPr>
        <w:t xml:space="preserve">в приложении 3 </w:t>
      </w:r>
      <w:r w:rsidR="007C0788">
        <w:rPr>
          <w:lang w:eastAsia="ru-RU"/>
        </w:rPr>
        <w:t>представлены результаты для 20</w:t>
      </w:r>
      <w:r w:rsidRPr="00DA5288">
        <w:rPr>
          <w:lang w:eastAsia="ru-RU"/>
        </w:rPr>
        <w:t>20</w:t>
      </w:r>
      <w:r w:rsidR="007C0788">
        <w:rPr>
          <w:lang w:eastAsia="ru-RU"/>
        </w:rPr>
        <w:t>-202</w:t>
      </w:r>
      <w:r w:rsidRPr="00DA5288">
        <w:rPr>
          <w:lang w:eastAsia="ru-RU"/>
        </w:rPr>
        <w:t>4</w:t>
      </w:r>
      <w:r w:rsidR="007C0788">
        <w:rPr>
          <w:lang w:eastAsia="ru-RU"/>
        </w:rPr>
        <w:t xml:space="preserve"> годов</w:t>
      </w:r>
      <w:r w:rsidRPr="00DA5288">
        <w:rPr>
          <w:lang w:eastAsia="ru-RU"/>
        </w:rPr>
        <w:t xml:space="preserve"> </w:t>
      </w:r>
      <w:r>
        <w:rPr>
          <w:lang w:eastAsia="ru-RU"/>
        </w:rPr>
        <w:t>по компаниям</w:t>
      </w:r>
      <w:r w:rsidR="002F481C" w:rsidRPr="002F481C">
        <w:rPr>
          <w:lang w:eastAsia="ru-RU"/>
        </w:rPr>
        <w:t xml:space="preserve">. </w:t>
      </w:r>
    </w:p>
    <w:p w14:paraId="71581248" w14:textId="6345325D" w:rsidR="00063128" w:rsidRDefault="00F151C2" w:rsidP="00BB5CFE">
      <w:pPr>
        <w:rPr>
          <w:lang w:eastAsia="ru-RU"/>
        </w:rPr>
      </w:pPr>
      <w:r>
        <w:rPr>
          <w:lang w:eastAsia="ru-RU"/>
        </w:rPr>
        <w:t>Далее для нахождения стоимости компании были просуммирован</w:t>
      </w:r>
      <w:r w:rsidR="00D81A0E">
        <w:rPr>
          <w:lang w:eastAsia="ru-RU"/>
        </w:rPr>
        <w:t>ы</w:t>
      </w:r>
      <w:r>
        <w:rPr>
          <w:lang w:eastAsia="ru-RU"/>
        </w:rPr>
        <w:t xml:space="preserve"> полученны</w:t>
      </w:r>
      <w:r w:rsidR="00D81A0E">
        <w:rPr>
          <w:lang w:eastAsia="ru-RU"/>
        </w:rPr>
        <w:t xml:space="preserve">е </w:t>
      </w:r>
      <w:r>
        <w:rPr>
          <w:lang w:eastAsia="ru-RU"/>
        </w:rPr>
        <w:t>дисконтированн</w:t>
      </w:r>
      <w:r w:rsidR="00D81A0E">
        <w:rPr>
          <w:lang w:eastAsia="ru-RU"/>
        </w:rPr>
        <w:t>ые свободные</w:t>
      </w:r>
      <w:r>
        <w:rPr>
          <w:lang w:eastAsia="ru-RU"/>
        </w:rPr>
        <w:t xml:space="preserve"> денежны</w:t>
      </w:r>
      <w:r w:rsidR="00D81A0E">
        <w:rPr>
          <w:lang w:eastAsia="ru-RU"/>
        </w:rPr>
        <w:t>е</w:t>
      </w:r>
      <w:r>
        <w:rPr>
          <w:lang w:eastAsia="ru-RU"/>
        </w:rPr>
        <w:t xml:space="preserve"> поток</w:t>
      </w:r>
      <w:r w:rsidR="00D81A0E">
        <w:rPr>
          <w:lang w:eastAsia="ru-RU"/>
        </w:rPr>
        <w:t>и по всем компаниям</w:t>
      </w:r>
      <w:r>
        <w:rPr>
          <w:lang w:eastAsia="ru-RU"/>
        </w:rPr>
        <w:t xml:space="preserve">. </w:t>
      </w:r>
      <w:r w:rsidR="0028175B">
        <w:rPr>
          <w:lang w:eastAsia="ru-RU"/>
        </w:rPr>
        <w:t xml:space="preserve">Полученные значения </w:t>
      </w:r>
      <w:r w:rsidR="00BB5CFE">
        <w:rPr>
          <w:lang w:eastAsia="ru-RU"/>
        </w:rPr>
        <w:t>ценности</w:t>
      </w:r>
      <w:r w:rsidR="0028175B">
        <w:rPr>
          <w:lang w:eastAsia="ru-RU"/>
        </w:rPr>
        <w:t xml:space="preserve"> компаний, рассчитанных методом дисконтирования денежных потоков, </w:t>
      </w:r>
      <w:r w:rsidR="00BB5CFE">
        <w:rPr>
          <w:lang w:eastAsia="ru-RU"/>
        </w:rPr>
        <w:t xml:space="preserve">следующие: НКХП — 35 982 млн. рублей, Новатэк — 1 423 561 млн. рублей, Алроса — 572 152 млн. рублей, Акрон — 266 776 млн. рублей, </w:t>
      </w:r>
      <w:r w:rsidR="00BB5CFE">
        <w:rPr>
          <w:lang w:val="en-US" w:eastAsia="ru-RU"/>
        </w:rPr>
        <w:t>HeadHunter</w:t>
      </w:r>
      <w:r w:rsidR="00BB5CFE" w:rsidRPr="007438B6">
        <w:rPr>
          <w:lang w:eastAsia="ru-RU"/>
        </w:rPr>
        <w:t xml:space="preserve"> </w:t>
      </w:r>
      <w:r w:rsidR="00BB5CFE">
        <w:rPr>
          <w:lang w:eastAsia="ru-RU"/>
        </w:rPr>
        <w:t xml:space="preserve">— 53 741 млн. рублей. </w:t>
      </w:r>
    </w:p>
    <w:p w14:paraId="3122FEAD" w14:textId="461BCE75" w:rsidR="0068488E" w:rsidRDefault="00494F73" w:rsidP="00A21488">
      <w:pPr>
        <w:rPr>
          <w:lang w:eastAsia="ru-RU"/>
        </w:rPr>
      </w:pPr>
      <w:r>
        <w:rPr>
          <w:lang w:eastAsia="ru-RU"/>
        </w:rPr>
        <w:t>Оценка ценности компании методом достигнутой стоимости проведена для 201</w:t>
      </w:r>
      <w:r w:rsidR="00947F08">
        <w:rPr>
          <w:lang w:eastAsia="ru-RU"/>
        </w:rPr>
        <w:t>8</w:t>
      </w:r>
      <w:r>
        <w:rPr>
          <w:lang w:eastAsia="ru-RU"/>
        </w:rPr>
        <w:t xml:space="preserve"> и 201</w:t>
      </w:r>
      <w:r w:rsidR="00947F08">
        <w:rPr>
          <w:lang w:eastAsia="ru-RU"/>
        </w:rPr>
        <w:t>9</w:t>
      </w:r>
      <w:r>
        <w:rPr>
          <w:lang w:eastAsia="ru-RU"/>
        </w:rPr>
        <w:t xml:space="preserve"> года для того, чтобы можно было сравнить эффективность и рост </w:t>
      </w:r>
      <w:r w:rsidR="00947F08">
        <w:rPr>
          <w:lang w:eastAsia="ru-RU"/>
        </w:rPr>
        <w:t>стоимости</w:t>
      </w:r>
      <w:r>
        <w:rPr>
          <w:lang w:eastAsia="ru-RU"/>
        </w:rPr>
        <w:t xml:space="preserve">. </w:t>
      </w:r>
      <w:r w:rsidR="00947F08">
        <w:rPr>
          <w:lang w:eastAsia="ru-RU"/>
        </w:rPr>
        <w:t>Расчет ценности компании методом достигнутой стоимости строится либо на предположении о том, что все активы амортизируются, либо на разделении производственных активов. В НКХП и Новатэк вс</w:t>
      </w:r>
      <w:r w:rsidR="00054F53">
        <w:rPr>
          <w:lang w:eastAsia="ru-RU"/>
        </w:rPr>
        <w:t>е</w:t>
      </w:r>
      <w:r w:rsidR="00947F08">
        <w:rPr>
          <w:lang w:eastAsia="ru-RU"/>
        </w:rPr>
        <w:t xml:space="preserve"> производственные активы подвержены амортизации и износу, поэтому расчет ценности данных компаний производится по формуле (3). </w:t>
      </w:r>
      <w:r w:rsidR="00390DA4">
        <w:rPr>
          <w:lang w:eastAsia="ru-RU"/>
        </w:rPr>
        <w:t>Для расчета ценности компани</w:t>
      </w:r>
      <w:r w:rsidR="00947F08">
        <w:rPr>
          <w:lang w:eastAsia="ru-RU"/>
        </w:rPr>
        <w:t xml:space="preserve">й НКХП и Новатэк вычисляются </w:t>
      </w:r>
      <w:r w:rsidR="00390DA4">
        <w:rPr>
          <w:lang w:eastAsia="ru-RU"/>
        </w:rPr>
        <w:t>производственные активы подверженные амортизации</w:t>
      </w:r>
      <w:r w:rsidR="00947F08">
        <w:rPr>
          <w:lang w:eastAsia="ru-RU"/>
        </w:rPr>
        <w:t xml:space="preserve"> на начало, конец года и средние. В таблице 2</w:t>
      </w:r>
      <w:r w:rsidR="00BB5CFE">
        <w:rPr>
          <w:lang w:eastAsia="ru-RU"/>
        </w:rPr>
        <w:t>6</w:t>
      </w:r>
      <w:r w:rsidR="00947F08">
        <w:rPr>
          <w:lang w:eastAsia="ru-RU"/>
        </w:rPr>
        <w:t xml:space="preserve"> представлен расчет производственных активов. </w:t>
      </w:r>
    </w:p>
    <w:p w14:paraId="749DBF88" w14:textId="51304CD3" w:rsidR="00054F53" w:rsidRDefault="00054F53" w:rsidP="00054F53">
      <w:pPr>
        <w:pStyle w:val="a0"/>
        <w:ind w:left="567"/>
        <w:rPr>
          <w:lang w:eastAsia="ru-RU"/>
        </w:rPr>
      </w:pPr>
      <w:r>
        <w:rPr>
          <w:lang w:eastAsia="ru-RU"/>
        </w:rPr>
        <w:t xml:space="preserve">Величина производственных активов </w:t>
      </w:r>
      <w:r w:rsidR="003607FD">
        <w:rPr>
          <w:lang w:eastAsia="ru-RU"/>
        </w:rPr>
        <w:t>НКХП и Новатэк</w:t>
      </w:r>
    </w:p>
    <w:tbl>
      <w:tblPr>
        <w:tblW w:w="6516" w:type="dxa"/>
        <w:jc w:val="center"/>
        <w:tblLook w:val="04A0" w:firstRow="1" w:lastRow="0" w:firstColumn="1" w:lastColumn="0" w:noHBand="0" w:noVBand="1"/>
      </w:tblPr>
      <w:tblGrid>
        <w:gridCol w:w="1245"/>
        <w:gridCol w:w="2578"/>
        <w:gridCol w:w="1275"/>
        <w:gridCol w:w="1418"/>
      </w:tblGrid>
      <w:tr w:rsidR="00947F08" w:rsidRPr="00947F08" w14:paraId="10F64161" w14:textId="77777777" w:rsidTr="00054F53">
        <w:trPr>
          <w:trHeight w:val="290"/>
          <w:jc w:val="center"/>
        </w:trPr>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9B7D0" w14:textId="77777777" w:rsidR="00947F08" w:rsidRPr="00947F08" w:rsidRDefault="00947F08" w:rsidP="00947F08">
            <w:pPr>
              <w:spacing w:after="0" w:line="240" w:lineRule="auto"/>
              <w:ind w:firstLine="0"/>
              <w:jc w:val="left"/>
              <w:rPr>
                <w:rFonts w:eastAsia="Times New Roman" w:cs="Times New Roman"/>
                <w:b/>
                <w:bCs/>
                <w:color w:val="000000"/>
                <w:sz w:val="22"/>
                <w:lang w:eastAsia="ru-RU"/>
              </w:rPr>
            </w:pPr>
            <w:r w:rsidRPr="00947F08">
              <w:rPr>
                <w:rFonts w:eastAsia="Times New Roman" w:cs="Times New Roman"/>
                <w:b/>
                <w:bCs/>
                <w:color w:val="000000"/>
                <w:sz w:val="22"/>
                <w:lang w:eastAsia="ru-RU"/>
              </w:rPr>
              <w:t>Компания</w:t>
            </w:r>
          </w:p>
        </w:tc>
        <w:tc>
          <w:tcPr>
            <w:tcW w:w="2578" w:type="dxa"/>
            <w:tcBorders>
              <w:top w:val="single" w:sz="4" w:space="0" w:color="auto"/>
              <w:left w:val="nil"/>
              <w:bottom w:val="single" w:sz="4" w:space="0" w:color="auto"/>
              <w:right w:val="single" w:sz="4" w:space="0" w:color="auto"/>
            </w:tcBorders>
            <w:shd w:val="clear" w:color="auto" w:fill="auto"/>
            <w:noWrap/>
            <w:vAlign w:val="bottom"/>
            <w:hideMark/>
          </w:tcPr>
          <w:p w14:paraId="513D9B00" w14:textId="2D3013E0" w:rsidR="00947F08" w:rsidRPr="00947F08" w:rsidRDefault="00947F08" w:rsidP="00947F08">
            <w:pPr>
              <w:spacing w:after="0" w:line="240" w:lineRule="auto"/>
              <w:ind w:firstLine="0"/>
              <w:jc w:val="left"/>
              <w:rPr>
                <w:rFonts w:eastAsia="Times New Roman" w:cs="Times New Roman"/>
                <w:b/>
                <w:bCs/>
                <w:color w:val="000000"/>
                <w:sz w:val="22"/>
                <w:lang w:eastAsia="ru-RU"/>
              </w:rPr>
            </w:pPr>
            <w:r w:rsidRPr="00947F08">
              <w:rPr>
                <w:rFonts w:eastAsia="Times New Roman" w:cs="Times New Roman"/>
                <w:b/>
                <w:bCs/>
                <w:color w:val="000000"/>
                <w:sz w:val="22"/>
                <w:lang w:eastAsia="ru-RU"/>
              </w:rPr>
              <w:t>Показатель</w:t>
            </w:r>
            <w:r w:rsidR="00054F53">
              <w:rPr>
                <w:rFonts w:eastAsia="Times New Roman" w:cs="Times New Roman"/>
                <w:b/>
                <w:bCs/>
                <w:color w:val="000000"/>
                <w:sz w:val="22"/>
                <w:lang w:eastAsia="ru-RU"/>
              </w:rPr>
              <w:t>, млн.руб.</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703354" w14:textId="77777777" w:rsidR="00947F08" w:rsidRPr="00947F08" w:rsidRDefault="00947F08" w:rsidP="00947F08">
            <w:pPr>
              <w:spacing w:after="0" w:line="240" w:lineRule="auto"/>
              <w:ind w:firstLine="0"/>
              <w:jc w:val="right"/>
              <w:rPr>
                <w:rFonts w:eastAsia="Times New Roman" w:cs="Times New Roman"/>
                <w:b/>
                <w:bCs/>
                <w:color w:val="000000"/>
                <w:sz w:val="22"/>
                <w:lang w:eastAsia="ru-RU"/>
              </w:rPr>
            </w:pPr>
            <w:r w:rsidRPr="00947F08">
              <w:rPr>
                <w:rFonts w:eastAsia="Times New Roman" w:cs="Times New Roman"/>
                <w:b/>
                <w:bCs/>
                <w:color w:val="000000"/>
                <w:sz w:val="22"/>
                <w:lang w:eastAsia="ru-RU"/>
              </w:rPr>
              <w:t>2018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6DFFAC" w14:textId="77777777" w:rsidR="00947F08" w:rsidRPr="00947F08" w:rsidRDefault="00947F08" w:rsidP="00947F08">
            <w:pPr>
              <w:spacing w:after="0" w:line="240" w:lineRule="auto"/>
              <w:ind w:firstLine="0"/>
              <w:jc w:val="right"/>
              <w:rPr>
                <w:rFonts w:eastAsia="Times New Roman" w:cs="Times New Roman"/>
                <w:b/>
                <w:bCs/>
                <w:color w:val="000000"/>
                <w:sz w:val="22"/>
                <w:lang w:eastAsia="ru-RU"/>
              </w:rPr>
            </w:pPr>
            <w:r w:rsidRPr="00947F08">
              <w:rPr>
                <w:rFonts w:eastAsia="Times New Roman" w:cs="Times New Roman"/>
                <w:b/>
                <w:bCs/>
                <w:color w:val="000000"/>
                <w:sz w:val="22"/>
                <w:lang w:eastAsia="ru-RU"/>
              </w:rPr>
              <w:t>2019</w:t>
            </w:r>
          </w:p>
        </w:tc>
      </w:tr>
      <w:tr w:rsidR="00947F08" w:rsidRPr="00947F08" w14:paraId="65D07146" w14:textId="77777777" w:rsidTr="006B67C2">
        <w:trPr>
          <w:trHeight w:val="293"/>
          <w:jc w:val="center"/>
        </w:trPr>
        <w:tc>
          <w:tcPr>
            <w:tcW w:w="124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236DC30" w14:textId="77777777" w:rsidR="00947F08" w:rsidRPr="00947F08" w:rsidRDefault="00947F08" w:rsidP="00947F08">
            <w:pPr>
              <w:spacing w:after="0" w:line="240" w:lineRule="auto"/>
              <w:ind w:firstLine="0"/>
              <w:jc w:val="center"/>
              <w:rPr>
                <w:rFonts w:eastAsia="Times New Roman" w:cs="Times New Roman"/>
                <w:b/>
                <w:bCs/>
                <w:color w:val="000000"/>
                <w:sz w:val="22"/>
                <w:lang w:eastAsia="ru-RU"/>
              </w:rPr>
            </w:pPr>
            <w:r w:rsidRPr="00947F08">
              <w:rPr>
                <w:rFonts w:eastAsia="Times New Roman" w:cs="Times New Roman"/>
                <w:b/>
                <w:bCs/>
                <w:color w:val="000000"/>
                <w:sz w:val="22"/>
                <w:lang w:eastAsia="ru-RU"/>
              </w:rPr>
              <w:t>НКХП</w:t>
            </w:r>
          </w:p>
        </w:tc>
        <w:tc>
          <w:tcPr>
            <w:tcW w:w="2578" w:type="dxa"/>
            <w:tcBorders>
              <w:top w:val="nil"/>
              <w:left w:val="nil"/>
              <w:bottom w:val="single" w:sz="4" w:space="0" w:color="auto"/>
              <w:right w:val="single" w:sz="4" w:space="0" w:color="auto"/>
            </w:tcBorders>
            <w:shd w:val="clear" w:color="auto" w:fill="auto"/>
            <w:vAlign w:val="bottom"/>
            <w:hideMark/>
          </w:tcPr>
          <w:p w14:paraId="1DA9EEE3" w14:textId="77777777" w:rsidR="00947F08" w:rsidRPr="00947F08" w:rsidRDefault="00947F08" w:rsidP="00947F08">
            <w:pPr>
              <w:spacing w:after="0" w:line="240" w:lineRule="auto"/>
              <w:ind w:firstLine="0"/>
              <w:jc w:val="left"/>
              <w:rPr>
                <w:rFonts w:eastAsia="Times New Roman" w:cs="Times New Roman"/>
                <w:color w:val="000000"/>
                <w:sz w:val="22"/>
                <w:lang w:eastAsia="ru-RU"/>
              </w:rPr>
            </w:pPr>
            <w:r w:rsidRPr="00947F08">
              <w:rPr>
                <w:rFonts w:eastAsia="Times New Roman" w:cs="Times New Roman"/>
                <w:color w:val="000000"/>
                <w:sz w:val="22"/>
                <w:lang w:eastAsia="ru-RU"/>
              </w:rPr>
              <w:t>PAC (в конце периода)</w:t>
            </w:r>
          </w:p>
        </w:tc>
        <w:tc>
          <w:tcPr>
            <w:tcW w:w="1275" w:type="dxa"/>
            <w:tcBorders>
              <w:top w:val="nil"/>
              <w:left w:val="nil"/>
              <w:bottom w:val="single" w:sz="4" w:space="0" w:color="auto"/>
              <w:right w:val="single" w:sz="4" w:space="0" w:color="auto"/>
            </w:tcBorders>
            <w:shd w:val="clear" w:color="auto" w:fill="auto"/>
            <w:noWrap/>
            <w:vAlign w:val="bottom"/>
            <w:hideMark/>
          </w:tcPr>
          <w:p w14:paraId="1B3E3EF4" w14:textId="287748ED"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 xml:space="preserve">9 675 </w:t>
            </w:r>
          </w:p>
        </w:tc>
        <w:tc>
          <w:tcPr>
            <w:tcW w:w="1418" w:type="dxa"/>
            <w:tcBorders>
              <w:top w:val="nil"/>
              <w:left w:val="nil"/>
              <w:bottom w:val="single" w:sz="4" w:space="0" w:color="auto"/>
              <w:right w:val="single" w:sz="4" w:space="0" w:color="auto"/>
            </w:tcBorders>
            <w:shd w:val="clear" w:color="auto" w:fill="auto"/>
            <w:noWrap/>
            <w:vAlign w:val="bottom"/>
            <w:hideMark/>
          </w:tcPr>
          <w:p w14:paraId="3E01CADE" w14:textId="033569B1"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 xml:space="preserve">13 392 </w:t>
            </w:r>
          </w:p>
        </w:tc>
      </w:tr>
      <w:tr w:rsidR="00947F08" w:rsidRPr="00947F08" w14:paraId="669DA6B8" w14:textId="77777777" w:rsidTr="006B67C2">
        <w:trPr>
          <w:trHeight w:val="311"/>
          <w:jc w:val="center"/>
        </w:trPr>
        <w:tc>
          <w:tcPr>
            <w:tcW w:w="1245" w:type="dxa"/>
            <w:vMerge/>
            <w:tcBorders>
              <w:top w:val="nil"/>
              <w:left w:val="single" w:sz="4" w:space="0" w:color="auto"/>
              <w:bottom w:val="single" w:sz="4" w:space="0" w:color="auto"/>
              <w:right w:val="single" w:sz="4" w:space="0" w:color="auto"/>
            </w:tcBorders>
            <w:vAlign w:val="center"/>
            <w:hideMark/>
          </w:tcPr>
          <w:p w14:paraId="08968757" w14:textId="77777777" w:rsidR="00947F08" w:rsidRPr="00947F08" w:rsidRDefault="00947F08" w:rsidP="00947F08">
            <w:pPr>
              <w:spacing w:after="0" w:line="240" w:lineRule="auto"/>
              <w:ind w:firstLine="0"/>
              <w:jc w:val="left"/>
              <w:rPr>
                <w:rFonts w:eastAsia="Times New Roman" w:cs="Times New Roman"/>
                <w:b/>
                <w:bCs/>
                <w:color w:val="000000"/>
                <w:sz w:val="22"/>
                <w:lang w:eastAsia="ru-RU"/>
              </w:rPr>
            </w:pPr>
          </w:p>
        </w:tc>
        <w:tc>
          <w:tcPr>
            <w:tcW w:w="2578" w:type="dxa"/>
            <w:tcBorders>
              <w:top w:val="nil"/>
              <w:left w:val="nil"/>
              <w:bottom w:val="single" w:sz="4" w:space="0" w:color="auto"/>
              <w:right w:val="single" w:sz="4" w:space="0" w:color="auto"/>
            </w:tcBorders>
            <w:shd w:val="clear" w:color="auto" w:fill="auto"/>
            <w:vAlign w:val="bottom"/>
            <w:hideMark/>
          </w:tcPr>
          <w:p w14:paraId="11D2C038" w14:textId="77777777" w:rsidR="00947F08" w:rsidRPr="00947F08" w:rsidRDefault="00947F08" w:rsidP="00947F08">
            <w:pPr>
              <w:spacing w:after="0" w:line="240" w:lineRule="auto"/>
              <w:ind w:firstLine="0"/>
              <w:jc w:val="left"/>
              <w:rPr>
                <w:rFonts w:eastAsia="Times New Roman" w:cs="Times New Roman"/>
                <w:color w:val="000000"/>
                <w:sz w:val="22"/>
                <w:lang w:eastAsia="ru-RU"/>
              </w:rPr>
            </w:pPr>
            <w:r w:rsidRPr="00947F08">
              <w:rPr>
                <w:rFonts w:eastAsia="Times New Roman" w:cs="Times New Roman"/>
                <w:color w:val="000000"/>
                <w:sz w:val="22"/>
                <w:lang w:eastAsia="ru-RU"/>
              </w:rPr>
              <w:t>PAC (в начале периода)</w:t>
            </w:r>
          </w:p>
        </w:tc>
        <w:tc>
          <w:tcPr>
            <w:tcW w:w="1275" w:type="dxa"/>
            <w:tcBorders>
              <w:top w:val="nil"/>
              <w:left w:val="nil"/>
              <w:bottom w:val="single" w:sz="4" w:space="0" w:color="auto"/>
              <w:right w:val="single" w:sz="4" w:space="0" w:color="auto"/>
            </w:tcBorders>
            <w:shd w:val="clear" w:color="auto" w:fill="auto"/>
            <w:noWrap/>
            <w:vAlign w:val="bottom"/>
            <w:hideMark/>
          </w:tcPr>
          <w:p w14:paraId="5D24CCE1" w14:textId="33246A9E"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 xml:space="preserve">7 945 </w:t>
            </w:r>
          </w:p>
        </w:tc>
        <w:tc>
          <w:tcPr>
            <w:tcW w:w="1418" w:type="dxa"/>
            <w:tcBorders>
              <w:top w:val="nil"/>
              <w:left w:val="nil"/>
              <w:bottom w:val="single" w:sz="4" w:space="0" w:color="auto"/>
              <w:right w:val="single" w:sz="4" w:space="0" w:color="auto"/>
            </w:tcBorders>
            <w:shd w:val="clear" w:color="auto" w:fill="auto"/>
            <w:noWrap/>
            <w:vAlign w:val="bottom"/>
            <w:hideMark/>
          </w:tcPr>
          <w:p w14:paraId="67D4B7D7" w14:textId="171AF589"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 xml:space="preserve">9 675 </w:t>
            </w:r>
          </w:p>
        </w:tc>
      </w:tr>
      <w:tr w:rsidR="00947F08" w:rsidRPr="00947F08" w14:paraId="189F10DD" w14:textId="77777777" w:rsidTr="00054F53">
        <w:trPr>
          <w:trHeight w:val="290"/>
          <w:jc w:val="center"/>
        </w:trPr>
        <w:tc>
          <w:tcPr>
            <w:tcW w:w="1245" w:type="dxa"/>
            <w:vMerge/>
            <w:tcBorders>
              <w:top w:val="nil"/>
              <w:left w:val="single" w:sz="4" w:space="0" w:color="auto"/>
              <w:bottom w:val="single" w:sz="4" w:space="0" w:color="auto"/>
              <w:right w:val="single" w:sz="4" w:space="0" w:color="auto"/>
            </w:tcBorders>
            <w:vAlign w:val="center"/>
            <w:hideMark/>
          </w:tcPr>
          <w:p w14:paraId="4911C519" w14:textId="77777777" w:rsidR="00947F08" w:rsidRPr="00947F08" w:rsidRDefault="00947F08" w:rsidP="00947F08">
            <w:pPr>
              <w:spacing w:after="0" w:line="240" w:lineRule="auto"/>
              <w:ind w:firstLine="0"/>
              <w:jc w:val="left"/>
              <w:rPr>
                <w:rFonts w:eastAsia="Times New Roman" w:cs="Times New Roman"/>
                <w:b/>
                <w:bCs/>
                <w:color w:val="000000"/>
                <w:sz w:val="22"/>
                <w:lang w:eastAsia="ru-RU"/>
              </w:rPr>
            </w:pPr>
          </w:p>
        </w:tc>
        <w:tc>
          <w:tcPr>
            <w:tcW w:w="2578" w:type="dxa"/>
            <w:tcBorders>
              <w:top w:val="nil"/>
              <w:left w:val="nil"/>
              <w:bottom w:val="single" w:sz="4" w:space="0" w:color="auto"/>
              <w:right w:val="single" w:sz="4" w:space="0" w:color="auto"/>
            </w:tcBorders>
            <w:shd w:val="clear" w:color="auto" w:fill="auto"/>
            <w:vAlign w:val="bottom"/>
            <w:hideMark/>
          </w:tcPr>
          <w:p w14:paraId="49C32B45" w14:textId="77777777" w:rsidR="00947F08" w:rsidRPr="00947F08" w:rsidRDefault="00947F08" w:rsidP="00947F08">
            <w:pPr>
              <w:spacing w:after="0" w:line="240" w:lineRule="auto"/>
              <w:ind w:firstLine="0"/>
              <w:jc w:val="left"/>
              <w:rPr>
                <w:rFonts w:eastAsia="Times New Roman" w:cs="Times New Roman"/>
                <w:color w:val="000000"/>
                <w:sz w:val="22"/>
                <w:lang w:eastAsia="ru-RU"/>
              </w:rPr>
            </w:pPr>
            <w:r w:rsidRPr="00947F08">
              <w:rPr>
                <w:rFonts w:eastAsia="Times New Roman" w:cs="Times New Roman"/>
                <w:color w:val="000000"/>
                <w:sz w:val="22"/>
                <w:lang w:eastAsia="ru-RU"/>
              </w:rPr>
              <w:t>PAC (средние)</w:t>
            </w:r>
          </w:p>
        </w:tc>
        <w:tc>
          <w:tcPr>
            <w:tcW w:w="1275" w:type="dxa"/>
            <w:tcBorders>
              <w:top w:val="nil"/>
              <w:left w:val="nil"/>
              <w:bottom w:val="single" w:sz="4" w:space="0" w:color="auto"/>
              <w:right w:val="single" w:sz="4" w:space="0" w:color="auto"/>
            </w:tcBorders>
            <w:shd w:val="clear" w:color="auto" w:fill="auto"/>
            <w:noWrap/>
            <w:vAlign w:val="bottom"/>
            <w:hideMark/>
          </w:tcPr>
          <w:p w14:paraId="5F5FD214" w14:textId="004A53DA"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 xml:space="preserve">8 810 </w:t>
            </w:r>
          </w:p>
        </w:tc>
        <w:tc>
          <w:tcPr>
            <w:tcW w:w="1418" w:type="dxa"/>
            <w:tcBorders>
              <w:top w:val="nil"/>
              <w:left w:val="nil"/>
              <w:bottom w:val="single" w:sz="4" w:space="0" w:color="auto"/>
              <w:right w:val="single" w:sz="4" w:space="0" w:color="auto"/>
            </w:tcBorders>
            <w:shd w:val="clear" w:color="auto" w:fill="auto"/>
            <w:noWrap/>
            <w:vAlign w:val="bottom"/>
            <w:hideMark/>
          </w:tcPr>
          <w:p w14:paraId="7A0B2533" w14:textId="3E7F85D2"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 xml:space="preserve">11 533 </w:t>
            </w:r>
          </w:p>
        </w:tc>
      </w:tr>
      <w:tr w:rsidR="00947F08" w:rsidRPr="00947F08" w14:paraId="67FFF8D0" w14:textId="77777777" w:rsidTr="006B67C2">
        <w:trPr>
          <w:trHeight w:val="319"/>
          <w:jc w:val="center"/>
        </w:trPr>
        <w:tc>
          <w:tcPr>
            <w:tcW w:w="124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956A12A" w14:textId="77777777" w:rsidR="00947F08" w:rsidRPr="00947F08" w:rsidRDefault="00947F08" w:rsidP="00947F08">
            <w:pPr>
              <w:spacing w:after="0" w:line="240" w:lineRule="auto"/>
              <w:ind w:firstLine="0"/>
              <w:jc w:val="center"/>
              <w:rPr>
                <w:rFonts w:eastAsia="Times New Roman" w:cs="Times New Roman"/>
                <w:b/>
                <w:bCs/>
                <w:color w:val="000000"/>
                <w:sz w:val="22"/>
                <w:lang w:eastAsia="ru-RU"/>
              </w:rPr>
            </w:pPr>
            <w:r w:rsidRPr="00947F08">
              <w:rPr>
                <w:rFonts w:eastAsia="Times New Roman" w:cs="Times New Roman"/>
                <w:b/>
                <w:bCs/>
                <w:color w:val="000000"/>
                <w:sz w:val="22"/>
                <w:lang w:eastAsia="ru-RU"/>
              </w:rPr>
              <w:t>Новатэк</w:t>
            </w:r>
          </w:p>
        </w:tc>
        <w:tc>
          <w:tcPr>
            <w:tcW w:w="2578" w:type="dxa"/>
            <w:tcBorders>
              <w:top w:val="nil"/>
              <w:left w:val="nil"/>
              <w:bottom w:val="single" w:sz="4" w:space="0" w:color="auto"/>
              <w:right w:val="single" w:sz="4" w:space="0" w:color="auto"/>
            </w:tcBorders>
            <w:shd w:val="clear" w:color="auto" w:fill="auto"/>
            <w:vAlign w:val="bottom"/>
            <w:hideMark/>
          </w:tcPr>
          <w:p w14:paraId="7B71888B" w14:textId="77777777" w:rsidR="00947F08" w:rsidRPr="00947F08" w:rsidRDefault="00947F08" w:rsidP="00947F08">
            <w:pPr>
              <w:spacing w:after="0" w:line="240" w:lineRule="auto"/>
              <w:ind w:firstLine="0"/>
              <w:jc w:val="left"/>
              <w:rPr>
                <w:rFonts w:eastAsia="Times New Roman" w:cs="Times New Roman"/>
                <w:color w:val="000000"/>
                <w:sz w:val="22"/>
                <w:lang w:eastAsia="ru-RU"/>
              </w:rPr>
            </w:pPr>
            <w:r w:rsidRPr="00947F08">
              <w:rPr>
                <w:rFonts w:eastAsia="Times New Roman" w:cs="Times New Roman"/>
                <w:color w:val="000000"/>
                <w:sz w:val="22"/>
                <w:lang w:eastAsia="ru-RU"/>
              </w:rPr>
              <w:t>PAC (в конце периода)</w:t>
            </w:r>
          </w:p>
        </w:tc>
        <w:tc>
          <w:tcPr>
            <w:tcW w:w="1275" w:type="dxa"/>
            <w:tcBorders>
              <w:top w:val="nil"/>
              <w:left w:val="nil"/>
              <w:bottom w:val="single" w:sz="4" w:space="0" w:color="auto"/>
              <w:right w:val="single" w:sz="4" w:space="0" w:color="auto"/>
            </w:tcBorders>
            <w:shd w:val="clear" w:color="auto" w:fill="auto"/>
            <w:noWrap/>
            <w:vAlign w:val="bottom"/>
            <w:hideMark/>
          </w:tcPr>
          <w:p w14:paraId="4D9036DA" w14:textId="77777777"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632 025</w:t>
            </w:r>
          </w:p>
        </w:tc>
        <w:tc>
          <w:tcPr>
            <w:tcW w:w="1418" w:type="dxa"/>
            <w:tcBorders>
              <w:top w:val="nil"/>
              <w:left w:val="nil"/>
              <w:bottom w:val="single" w:sz="4" w:space="0" w:color="auto"/>
              <w:right w:val="single" w:sz="4" w:space="0" w:color="auto"/>
            </w:tcBorders>
            <w:shd w:val="clear" w:color="auto" w:fill="auto"/>
            <w:noWrap/>
            <w:vAlign w:val="bottom"/>
            <w:hideMark/>
          </w:tcPr>
          <w:p w14:paraId="30953ADD" w14:textId="77777777"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1 078 516</w:t>
            </w:r>
          </w:p>
        </w:tc>
      </w:tr>
      <w:tr w:rsidR="00947F08" w:rsidRPr="00947F08" w14:paraId="5A4E753E" w14:textId="77777777" w:rsidTr="006B67C2">
        <w:trPr>
          <w:trHeight w:val="337"/>
          <w:jc w:val="center"/>
        </w:trPr>
        <w:tc>
          <w:tcPr>
            <w:tcW w:w="1245" w:type="dxa"/>
            <w:vMerge/>
            <w:tcBorders>
              <w:top w:val="nil"/>
              <w:left w:val="single" w:sz="4" w:space="0" w:color="auto"/>
              <w:bottom w:val="single" w:sz="4" w:space="0" w:color="auto"/>
              <w:right w:val="single" w:sz="4" w:space="0" w:color="auto"/>
            </w:tcBorders>
            <w:vAlign w:val="center"/>
            <w:hideMark/>
          </w:tcPr>
          <w:p w14:paraId="61F93D2B" w14:textId="77777777" w:rsidR="00947F08" w:rsidRPr="00947F08" w:rsidRDefault="00947F08" w:rsidP="00947F08">
            <w:pPr>
              <w:spacing w:after="0" w:line="240" w:lineRule="auto"/>
              <w:ind w:firstLine="0"/>
              <w:jc w:val="left"/>
              <w:rPr>
                <w:rFonts w:eastAsia="Times New Roman" w:cs="Times New Roman"/>
                <w:b/>
                <w:bCs/>
                <w:color w:val="000000"/>
                <w:sz w:val="22"/>
                <w:lang w:eastAsia="ru-RU"/>
              </w:rPr>
            </w:pPr>
          </w:p>
        </w:tc>
        <w:tc>
          <w:tcPr>
            <w:tcW w:w="2578" w:type="dxa"/>
            <w:tcBorders>
              <w:top w:val="nil"/>
              <w:left w:val="nil"/>
              <w:bottom w:val="single" w:sz="4" w:space="0" w:color="auto"/>
              <w:right w:val="single" w:sz="4" w:space="0" w:color="auto"/>
            </w:tcBorders>
            <w:shd w:val="clear" w:color="auto" w:fill="auto"/>
            <w:vAlign w:val="bottom"/>
            <w:hideMark/>
          </w:tcPr>
          <w:p w14:paraId="31AC9342" w14:textId="77777777" w:rsidR="00947F08" w:rsidRPr="00947F08" w:rsidRDefault="00947F08" w:rsidP="00947F08">
            <w:pPr>
              <w:spacing w:after="0" w:line="240" w:lineRule="auto"/>
              <w:ind w:firstLine="0"/>
              <w:jc w:val="left"/>
              <w:rPr>
                <w:rFonts w:eastAsia="Times New Roman" w:cs="Times New Roman"/>
                <w:color w:val="000000"/>
                <w:sz w:val="22"/>
                <w:lang w:eastAsia="ru-RU"/>
              </w:rPr>
            </w:pPr>
            <w:r w:rsidRPr="00947F08">
              <w:rPr>
                <w:rFonts w:eastAsia="Times New Roman" w:cs="Times New Roman"/>
                <w:color w:val="000000"/>
                <w:sz w:val="22"/>
                <w:lang w:eastAsia="ru-RU"/>
              </w:rPr>
              <w:t>PAC (в начале периода)</w:t>
            </w:r>
          </w:p>
        </w:tc>
        <w:tc>
          <w:tcPr>
            <w:tcW w:w="1275" w:type="dxa"/>
            <w:tcBorders>
              <w:top w:val="nil"/>
              <w:left w:val="nil"/>
              <w:bottom w:val="single" w:sz="4" w:space="0" w:color="auto"/>
              <w:right w:val="single" w:sz="4" w:space="0" w:color="auto"/>
            </w:tcBorders>
            <w:shd w:val="clear" w:color="auto" w:fill="auto"/>
            <w:noWrap/>
            <w:vAlign w:val="bottom"/>
            <w:hideMark/>
          </w:tcPr>
          <w:p w14:paraId="449A0F63" w14:textId="77777777"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393 499</w:t>
            </w:r>
          </w:p>
        </w:tc>
        <w:tc>
          <w:tcPr>
            <w:tcW w:w="1418" w:type="dxa"/>
            <w:tcBorders>
              <w:top w:val="nil"/>
              <w:left w:val="nil"/>
              <w:bottom w:val="single" w:sz="4" w:space="0" w:color="auto"/>
              <w:right w:val="single" w:sz="4" w:space="0" w:color="auto"/>
            </w:tcBorders>
            <w:shd w:val="clear" w:color="auto" w:fill="auto"/>
            <w:noWrap/>
            <w:vAlign w:val="bottom"/>
            <w:hideMark/>
          </w:tcPr>
          <w:p w14:paraId="654D1C95" w14:textId="77777777"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445 728</w:t>
            </w:r>
          </w:p>
        </w:tc>
      </w:tr>
      <w:tr w:rsidR="00947F08" w:rsidRPr="00947F08" w14:paraId="11EE818C" w14:textId="77777777" w:rsidTr="006B67C2">
        <w:trPr>
          <w:trHeight w:val="356"/>
          <w:jc w:val="center"/>
        </w:trPr>
        <w:tc>
          <w:tcPr>
            <w:tcW w:w="1245" w:type="dxa"/>
            <w:vMerge/>
            <w:tcBorders>
              <w:top w:val="nil"/>
              <w:left w:val="single" w:sz="4" w:space="0" w:color="auto"/>
              <w:bottom w:val="single" w:sz="4" w:space="0" w:color="auto"/>
              <w:right w:val="single" w:sz="4" w:space="0" w:color="auto"/>
            </w:tcBorders>
            <w:vAlign w:val="center"/>
            <w:hideMark/>
          </w:tcPr>
          <w:p w14:paraId="0EF4A1B2" w14:textId="77777777" w:rsidR="00947F08" w:rsidRPr="00947F08" w:rsidRDefault="00947F08" w:rsidP="00947F08">
            <w:pPr>
              <w:spacing w:after="0" w:line="240" w:lineRule="auto"/>
              <w:ind w:firstLine="0"/>
              <w:jc w:val="left"/>
              <w:rPr>
                <w:rFonts w:eastAsia="Times New Roman" w:cs="Times New Roman"/>
                <w:b/>
                <w:bCs/>
                <w:color w:val="000000"/>
                <w:sz w:val="22"/>
                <w:lang w:eastAsia="ru-RU"/>
              </w:rPr>
            </w:pPr>
          </w:p>
        </w:tc>
        <w:tc>
          <w:tcPr>
            <w:tcW w:w="2578" w:type="dxa"/>
            <w:tcBorders>
              <w:top w:val="nil"/>
              <w:left w:val="nil"/>
              <w:bottom w:val="single" w:sz="4" w:space="0" w:color="auto"/>
              <w:right w:val="single" w:sz="4" w:space="0" w:color="auto"/>
            </w:tcBorders>
            <w:shd w:val="clear" w:color="auto" w:fill="auto"/>
            <w:vAlign w:val="bottom"/>
            <w:hideMark/>
          </w:tcPr>
          <w:p w14:paraId="59EBD8CB" w14:textId="77777777" w:rsidR="00947F08" w:rsidRPr="00947F08" w:rsidRDefault="00947F08" w:rsidP="00947F08">
            <w:pPr>
              <w:spacing w:after="0" w:line="240" w:lineRule="auto"/>
              <w:ind w:firstLine="0"/>
              <w:jc w:val="left"/>
              <w:rPr>
                <w:rFonts w:eastAsia="Times New Roman" w:cs="Times New Roman"/>
                <w:color w:val="000000"/>
                <w:sz w:val="22"/>
                <w:lang w:eastAsia="ru-RU"/>
              </w:rPr>
            </w:pPr>
            <w:r w:rsidRPr="00947F08">
              <w:rPr>
                <w:rFonts w:eastAsia="Times New Roman" w:cs="Times New Roman"/>
                <w:color w:val="000000"/>
                <w:sz w:val="22"/>
                <w:lang w:eastAsia="ru-RU"/>
              </w:rPr>
              <w:t>PAC (средние)</w:t>
            </w:r>
          </w:p>
        </w:tc>
        <w:tc>
          <w:tcPr>
            <w:tcW w:w="1275" w:type="dxa"/>
            <w:tcBorders>
              <w:top w:val="nil"/>
              <w:left w:val="nil"/>
              <w:bottom w:val="single" w:sz="4" w:space="0" w:color="auto"/>
              <w:right w:val="single" w:sz="4" w:space="0" w:color="auto"/>
            </w:tcBorders>
            <w:shd w:val="clear" w:color="auto" w:fill="auto"/>
            <w:noWrap/>
            <w:vAlign w:val="bottom"/>
            <w:hideMark/>
          </w:tcPr>
          <w:p w14:paraId="47E8C740" w14:textId="77777777"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512 762</w:t>
            </w:r>
          </w:p>
        </w:tc>
        <w:tc>
          <w:tcPr>
            <w:tcW w:w="1418" w:type="dxa"/>
            <w:tcBorders>
              <w:top w:val="nil"/>
              <w:left w:val="nil"/>
              <w:bottom w:val="single" w:sz="4" w:space="0" w:color="auto"/>
              <w:right w:val="single" w:sz="4" w:space="0" w:color="auto"/>
            </w:tcBorders>
            <w:shd w:val="clear" w:color="auto" w:fill="auto"/>
            <w:noWrap/>
            <w:vAlign w:val="bottom"/>
            <w:hideMark/>
          </w:tcPr>
          <w:p w14:paraId="4830C47B" w14:textId="77777777" w:rsidR="00947F08" w:rsidRPr="00947F08" w:rsidRDefault="00947F08" w:rsidP="00947F08">
            <w:pPr>
              <w:spacing w:after="0" w:line="240" w:lineRule="auto"/>
              <w:ind w:firstLine="0"/>
              <w:jc w:val="right"/>
              <w:rPr>
                <w:rFonts w:eastAsia="Times New Roman" w:cs="Times New Roman"/>
                <w:color w:val="000000"/>
                <w:sz w:val="22"/>
                <w:lang w:eastAsia="ru-RU"/>
              </w:rPr>
            </w:pPr>
            <w:r w:rsidRPr="00947F08">
              <w:rPr>
                <w:rFonts w:eastAsia="Times New Roman" w:cs="Times New Roman"/>
                <w:color w:val="000000"/>
                <w:sz w:val="22"/>
                <w:lang w:eastAsia="ru-RU"/>
              </w:rPr>
              <w:t>762 122</w:t>
            </w:r>
          </w:p>
        </w:tc>
      </w:tr>
    </w:tbl>
    <w:p w14:paraId="116318D0" w14:textId="77777777" w:rsidR="00054F53" w:rsidRPr="00390DA4" w:rsidRDefault="00054F53" w:rsidP="00054F53">
      <w:pPr>
        <w:ind w:left="1418" w:firstLine="0"/>
        <w:rPr>
          <w:i/>
          <w:iCs/>
          <w:lang w:val="en-US" w:eastAsia="ru-RU"/>
        </w:rPr>
      </w:pPr>
      <w:r w:rsidRPr="00390DA4">
        <w:rPr>
          <w:i/>
          <w:iCs/>
          <w:lang w:eastAsia="ru-RU"/>
        </w:rPr>
        <w:t xml:space="preserve">Источник: </w:t>
      </w:r>
      <w:r w:rsidRPr="00390DA4">
        <w:rPr>
          <w:i/>
          <w:iCs/>
          <w:lang w:val="en-US" w:eastAsia="ru-RU"/>
        </w:rPr>
        <w:t>[</w:t>
      </w:r>
      <w:r w:rsidRPr="00390DA4">
        <w:rPr>
          <w:i/>
          <w:iCs/>
          <w:lang w:eastAsia="ru-RU"/>
        </w:rPr>
        <w:t>расчеты автора</w:t>
      </w:r>
      <w:r w:rsidRPr="00390DA4">
        <w:rPr>
          <w:i/>
          <w:iCs/>
          <w:lang w:val="en-US" w:eastAsia="ru-RU"/>
        </w:rPr>
        <w:t>]</w:t>
      </w:r>
    </w:p>
    <w:p w14:paraId="77A8645B" w14:textId="4B0F48E8" w:rsidR="00AE6842" w:rsidRDefault="00054F53" w:rsidP="00AE6842">
      <w:pPr>
        <w:rPr>
          <w:lang w:eastAsia="ru-RU"/>
        </w:rPr>
      </w:pPr>
      <w:r>
        <w:rPr>
          <w:lang w:eastAsia="ru-RU"/>
        </w:rPr>
        <w:t xml:space="preserve">В компаниях Алроса, Акрон и </w:t>
      </w:r>
      <w:r>
        <w:rPr>
          <w:lang w:val="en-US" w:eastAsia="ru-RU"/>
        </w:rPr>
        <w:t>HeadHunter</w:t>
      </w:r>
      <w:r>
        <w:rPr>
          <w:lang w:eastAsia="ru-RU"/>
        </w:rPr>
        <w:t xml:space="preserve"> не все производственные активы подвержены амортизации и восстановлению в будущем. В данных компаниях есть статьи </w:t>
      </w:r>
      <w:r>
        <w:rPr>
          <w:lang w:val="en-US" w:eastAsia="ru-RU"/>
        </w:rPr>
        <w:t>goodwill</w:t>
      </w:r>
      <w:r>
        <w:rPr>
          <w:lang w:eastAsia="ru-RU"/>
        </w:rPr>
        <w:t xml:space="preserve"> и других нематериальных активов, которые не подлежат износу, таким образом, необходимо проводить расчет ценности компании по формуле (16), разделяя производственные активы на амортизируемые и нет. В таблице ниже приведены значения </w:t>
      </w:r>
      <w:r>
        <w:rPr>
          <w:lang w:val="en-US" w:eastAsia="ru-RU"/>
        </w:rPr>
        <w:t xml:space="preserve">PAC </w:t>
      </w:r>
      <w:r>
        <w:rPr>
          <w:lang w:eastAsia="ru-RU"/>
        </w:rPr>
        <w:t xml:space="preserve">для указанных компаний. </w:t>
      </w:r>
    </w:p>
    <w:p w14:paraId="246CBE68" w14:textId="7AD160A3" w:rsidR="006B67C2" w:rsidRDefault="006B67C2" w:rsidP="00AE6842">
      <w:pPr>
        <w:rPr>
          <w:lang w:eastAsia="ru-RU"/>
        </w:rPr>
      </w:pPr>
    </w:p>
    <w:p w14:paraId="4D754AA5" w14:textId="77777777" w:rsidR="006B67C2" w:rsidRDefault="006B67C2" w:rsidP="00AE6842">
      <w:pPr>
        <w:rPr>
          <w:lang w:eastAsia="ru-RU"/>
        </w:rPr>
      </w:pPr>
    </w:p>
    <w:p w14:paraId="54342A4E" w14:textId="244BC978" w:rsidR="00054F53" w:rsidRPr="003607FD" w:rsidRDefault="003607FD" w:rsidP="003607FD">
      <w:pPr>
        <w:pStyle w:val="a0"/>
        <w:rPr>
          <w:lang w:eastAsia="ru-RU"/>
        </w:rPr>
      </w:pPr>
      <w:r>
        <w:rPr>
          <w:lang w:eastAsia="ru-RU"/>
        </w:rPr>
        <w:lastRenderedPageBreak/>
        <w:t xml:space="preserve">Величина производственных активов Алроса, Акрон, </w:t>
      </w:r>
      <w:r>
        <w:rPr>
          <w:lang w:val="en-US" w:eastAsia="ru-RU"/>
        </w:rPr>
        <w:t>HeadHunter</w:t>
      </w:r>
    </w:p>
    <w:tbl>
      <w:tblPr>
        <w:tblW w:w="9333" w:type="dxa"/>
        <w:jc w:val="center"/>
        <w:tblLook w:val="04A0" w:firstRow="1" w:lastRow="0" w:firstColumn="1" w:lastColumn="0" w:noHBand="0" w:noVBand="1"/>
      </w:tblPr>
      <w:tblGrid>
        <w:gridCol w:w="1245"/>
        <w:gridCol w:w="5068"/>
        <w:gridCol w:w="1596"/>
        <w:gridCol w:w="1424"/>
      </w:tblGrid>
      <w:tr w:rsidR="00054F53" w:rsidRPr="00054F53" w14:paraId="7ED9A67E" w14:textId="77777777" w:rsidTr="00BF66F4">
        <w:trPr>
          <w:trHeight w:val="290"/>
          <w:jc w:val="center"/>
        </w:trPr>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A2542" w14:textId="77777777" w:rsidR="00054F53" w:rsidRPr="003607FD" w:rsidRDefault="00054F53" w:rsidP="003607FD">
            <w:pPr>
              <w:spacing w:after="0" w:line="240" w:lineRule="auto"/>
              <w:ind w:firstLine="0"/>
              <w:jc w:val="center"/>
              <w:rPr>
                <w:rFonts w:eastAsia="Times New Roman" w:cs="Times New Roman"/>
                <w:b/>
                <w:bCs/>
                <w:color w:val="000000"/>
                <w:sz w:val="22"/>
                <w:lang w:eastAsia="ru-RU"/>
              </w:rPr>
            </w:pPr>
            <w:r w:rsidRPr="003607FD">
              <w:rPr>
                <w:rFonts w:eastAsia="Times New Roman" w:cs="Times New Roman"/>
                <w:b/>
                <w:bCs/>
                <w:color w:val="000000"/>
                <w:sz w:val="22"/>
                <w:lang w:eastAsia="ru-RU"/>
              </w:rPr>
              <w:t>Компания</w:t>
            </w:r>
          </w:p>
        </w:tc>
        <w:tc>
          <w:tcPr>
            <w:tcW w:w="5068" w:type="dxa"/>
            <w:tcBorders>
              <w:top w:val="single" w:sz="4" w:space="0" w:color="auto"/>
              <w:left w:val="nil"/>
              <w:bottom w:val="single" w:sz="4" w:space="0" w:color="auto"/>
              <w:right w:val="single" w:sz="4" w:space="0" w:color="auto"/>
            </w:tcBorders>
            <w:shd w:val="clear" w:color="auto" w:fill="auto"/>
            <w:noWrap/>
            <w:vAlign w:val="bottom"/>
            <w:hideMark/>
          </w:tcPr>
          <w:p w14:paraId="5F744FA2" w14:textId="77777777" w:rsidR="00054F53" w:rsidRPr="003607FD" w:rsidRDefault="00054F53" w:rsidP="003607FD">
            <w:pPr>
              <w:spacing w:after="0" w:line="240" w:lineRule="auto"/>
              <w:ind w:firstLine="0"/>
              <w:jc w:val="center"/>
              <w:rPr>
                <w:rFonts w:eastAsia="Times New Roman" w:cs="Times New Roman"/>
                <w:b/>
                <w:bCs/>
                <w:color w:val="000000"/>
                <w:sz w:val="22"/>
                <w:lang w:eastAsia="ru-RU"/>
              </w:rPr>
            </w:pPr>
            <w:r w:rsidRPr="003607FD">
              <w:rPr>
                <w:rFonts w:eastAsia="Times New Roman" w:cs="Times New Roman"/>
                <w:b/>
                <w:bCs/>
                <w:color w:val="000000"/>
                <w:sz w:val="22"/>
                <w:lang w:eastAsia="ru-RU"/>
              </w:rPr>
              <w:t>Показатель</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0C1FE0F5" w14:textId="77777777" w:rsidR="00054F53" w:rsidRPr="003607FD" w:rsidRDefault="00054F53" w:rsidP="003607FD">
            <w:pPr>
              <w:spacing w:after="0" w:line="240" w:lineRule="auto"/>
              <w:ind w:firstLine="0"/>
              <w:jc w:val="center"/>
              <w:rPr>
                <w:rFonts w:eastAsia="Times New Roman" w:cs="Times New Roman"/>
                <w:b/>
                <w:bCs/>
                <w:color w:val="000000"/>
                <w:sz w:val="22"/>
                <w:lang w:eastAsia="ru-RU"/>
              </w:rPr>
            </w:pPr>
            <w:r w:rsidRPr="003607FD">
              <w:rPr>
                <w:rFonts w:eastAsia="Times New Roman" w:cs="Times New Roman"/>
                <w:b/>
                <w:bCs/>
                <w:color w:val="000000"/>
                <w:sz w:val="22"/>
                <w:lang w:eastAsia="ru-RU"/>
              </w:rPr>
              <w:t>2018</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3E05C815" w14:textId="77777777" w:rsidR="00054F53" w:rsidRPr="003607FD" w:rsidRDefault="00054F53" w:rsidP="003607FD">
            <w:pPr>
              <w:spacing w:after="0" w:line="240" w:lineRule="auto"/>
              <w:ind w:firstLine="0"/>
              <w:jc w:val="center"/>
              <w:rPr>
                <w:rFonts w:eastAsia="Times New Roman" w:cs="Times New Roman"/>
                <w:b/>
                <w:bCs/>
                <w:color w:val="000000"/>
                <w:sz w:val="22"/>
                <w:lang w:eastAsia="ru-RU"/>
              </w:rPr>
            </w:pPr>
            <w:r w:rsidRPr="003607FD">
              <w:rPr>
                <w:rFonts w:eastAsia="Times New Roman" w:cs="Times New Roman"/>
                <w:b/>
                <w:bCs/>
                <w:color w:val="000000"/>
                <w:sz w:val="22"/>
                <w:lang w:eastAsia="ru-RU"/>
              </w:rPr>
              <w:t>2019</w:t>
            </w:r>
          </w:p>
        </w:tc>
      </w:tr>
      <w:tr w:rsidR="00054F53" w:rsidRPr="00054F53" w14:paraId="33C97369" w14:textId="77777777" w:rsidTr="00BF66F4">
        <w:trPr>
          <w:trHeight w:val="290"/>
          <w:jc w:val="center"/>
        </w:trPr>
        <w:tc>
          <w:tcPr>
            <w:tcW w:w="124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D519F1" w14:textId="77777777" w:rsidR="00054F53" w:rsidRPr="00054F53" w:rsidRDefault="00054F53" w:rsidP="00054F53">
            <w:pPr>
              <w:spacing w:after="0" w:line="240" w:lineRule="auto"/>
              <w:ind w:firstLine="0"/>
              <w:jc w:val="center"/>
              <w:rPr>
                <w:rFonts w:eastAsia="Times New Roman" w:cs="Times New Roman"/>
                <w:b/>
                <w:bCs/>
                <w:color w:val="000000"/>
                <w:sz w:val="20"/>
                <w:szCs w:val="20"/>
                <w:lang w:eastAsia="ru-RU"/>
              </w:rPr>
            </w:pPr>
            <w:r w:rsidRPr="00054F53">
              <w:rPr>
                <w:rFonts w:eastAsia="Times New Roman" w:cs="Times New Roman"/>
                <w:b/>
                <w:bCs/>
                <w:color w:val="000000"/>
                <w:sz w:val="20"/>
                <w:szCs w:val="20"/>
                <w:lang w:eastAsia="ru-RU"/>
              </w:rPr>
              <w:t>Алроса</w:t>
            </w:r>
          </w:p>
        </w:tc>
        <w:tc>
          <w:tcPr>
            <w:tcW w:w="5068" w:type="dxa"/>
            <w:tcBorders>
              <w:top w:val="nil"/>
              <w:left w:val="nil"/>
              <w:bottom w:val="single" w:sz="4" w:space="0" w:color="auto"/>
              <w:right w:val="single" w:sz="4" w:space="0" w:color="auto"/>
            </w:tcBorders>
            <w:shd w:val="clear" w:color="auto" w:fill="auto"/>
            <w:noWrap/>
            <w:vAlign w:val="bottom"/>
            <w:hideMark/>
          </w:tcPr>
          <w:p w14:paraId="50514197" w14:textId="77777777" w:rsidR="00054F53" w:rsidRPr="00054F53" w:rsidRDefault="00054F53" w:rsidP="00054F53">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(в конце периода)</w:t>
            </w:r>
          </w:p>
        </w:tc>
        <w:tc>
          <w:tcPr>
            <w:tcW w:w="1596" w:type="dxa"/>
            <w:tcBorders>
              <w:top w:val="nil"/>
              <w:left w:val="nil"/>
              <w:bottom w:val="single" w:sz="4" w:space="0" w:color="auto"/>
              <w:right w:val="single" w:sz="4" w:space="0" w:color="auto"/>
            </w:tcBorders>
            <w:shd w:val="clear" w:color="auto" w:fill="auto"/>
            <w:noWrap/>
            <w:vAlign w:val="bottom"/>
            <w:hideMark/>
          </w:tcPr>
          <w:p w14:paraId="584E0E41"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330 988</w:t>
            </w:r>
          </w:p>
        </w:tc>
        <w:tc>
          <w:tcPr>
            <w:tcW w:w="1424" w:type="dxa"/>
            <w:tcBorders>
              <w:top w:val="nil"/>
              <w:left w:val="nil"/>
              <w:bottom w:val="single" w:sz="4" w:space="0" w:color="auto"/>
              <w:right w:val="single" w:sz="4" w:space="0" w:color="auto"/>
            </w:tcBorders>
            <w:shd w:val="clear" w:color="auto" w:fill="auto"/>
            <w:noWrap/>
            <w:vAlign w:val="bottom"/>
            <w:hideMark/>
          </w:tcPr>
          <w:p w14:paraId="4585A9A2"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351 596</w:t>
            </w:r>
          </w:p>
        </w:tc>
      </w:tr>
      <w:tr w:rsidR="00054F53" w:rsidRPr="00054F53" w14:paraId="1AF0F0B3" w14:textId="77777777" w:rsidTr="00BF66F4">
        <w:trPr>
          <w:trHeight w:val="239"/>
          <w:jc w:val="center"/>
        </w:trPr>
        <w:tc>
          <w:tcPr>
            <w:tcW w:w="1245" w:type="dxa"/>
            <w:vMerge/>
            <w:tcBorders>
              <w:top w:val="nil"/>
              <w:left w:val="single" w:sz="4" w:space="0" w:color="auto"/>
              <w:bottom w:val="single" w:sz="4" w:space="0" w:color="auto"/>
              <w:right w:val="single" w:sz="4" w:space="0" w:color="auto"/>
            </w:tcBorders>
            <w:vAlign w:val="center"/>
            <w:hideMark/>
          </w:tcPr>
          <w:p w14:paraId="525D4887" w14:textId="77777777" w:rsidR="00054F53" w:rsidRPr="00054F53" w:rsidRDefault="00054F53" w:rsidP="00054F53">
            <w:pPr>
              <w:spacing w:after="0" w:line="240" w:lineRule="auto"/>
              <w:ind w:firstLine="0"/>
              <w:jc w:val="left"/>
              <w:rPr>
                <w:rFonts w:eastAsia="Times New Roman" w:cs="Times New Roman"/>
                <w:b/>
                <w:bCs/>
                <w:color w:val="000000"/>
                <w:sz w:val="20"/>
                <w:szCs w:val="20"/>
                <w:lang w:eastAsia="ru-RU"/>
              </w:rPr>
            </w:pPr>
          </w:p>
        </w:tc>
        <w:tc>
          <w:tcPr>
            <w:tcW w:w="5068" w:type="dxa"/>
            <w:tcBorders>
              <w:top w:val="nil"/>
              <w:left w:val="nil"/>
              <w:bottom w:val="single" w:sz="4" w:space="0" w:color="auto"/>
              <w:right w:val="single" w:sz="4" w:space="0" w:color="auto"/>
            </w:tcBorders>
            <w:shd w:val="clear" w:color="auto" w:fill="auto"/>
            <w:noWrap/>
            <w:vAlign w:val="bottom"/>
            <w:hideMark/>
          </w:tcPr>
          <w:p w14:paraId="5FB44486" w14:textId="77777777" w:rsidR="00054F53" w:rsidRPr="00054F53" w:rsidRDefault="00054F53" w:rsidP="00054F53">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(в начале периода)</w:t>
            </w:r>
          </w:p>
        </w:tc>
        <w:tc>
          <w:tcPr>
            <w:tcW w:w="1596" w:type="dxa"/>
            <w:tcBorders>
              <w:top w:val="nil"/>
              <w:left w:val="nil"/>
              <w:bottom w:val="single" w:sz="4" w:space="0" w:color="auto"/>
              <w:right w:val="single" w:sz="4" w:space="0" w:color="auto"/>
            </w:tcBorders>
            <w:shd w:val="clear" w:color="auto" w:fill="auto"/>
            <w:noWrap/>
            <w:vAlign w:val="bottom"/>
            <w:hideMark/>
          </w:tcPr>
          <w:p w14:paraId="21B5AE96"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341 064</w:t>
            </w:r>
          </w:p>
        </w:tc>
        <w:tc>
          <w:tcPr>
            <w:tcW w:w="1424" w:type="dxa"/>
            <w:tcBorders>
              <w:top w:val="nil"/>
              <w:left w:val="nil"/>
              <w:bottom w:val="single" w:sz="4" w:space="0" w:color="auto"/>
              <w:right w:val="single" w:sz="4" w:space="0" w:color="auto"/>
            </w:tcBorders>
            <w:shd w:val="clear" w:color="auto" w:fill="auto"/>
            <w:noWrap/>
            <w:vAlign w:val="bottom"/>
            <w:hideMark/>
          </w:tcPr>
          <w:p w14:paraId="51F7652A"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330 988</w:t>
            </w:r>
          </w:p>
        </w:tc>
      </w:tr>
      <w:tr w:rsidR="00054F53" w:rsidRPr="00054F53" w14:paraId="6F5C2DCE" w14:textId="77777777" w:rsidTr="00BF66F4">
        <w:trPr>
          <w:trHeight w:val="290"/>
          <w:jc w:val="center"/>
        </w:trPr>
        <w:tc>
          <w:tcPr>
            <w:tcW w:w="1245" w:type="dxa"/>
            <w:vMerge/>
            <w:tcBorders>
              <w:top w:val="nil"/>
              <w:left w:val="single" w:sz="4" w:space="0" w:color="auto"/>
              <w:bottom w:val="single" w:sz="4" w:space="0" w:color="auto"/>
              <w:right w:val="single" w:sz="4" w:space="0" w:color="auto"/>
            </w:tcBorders>
            <w:vAlign w:val="center"/>
            <w:hideMark/>
          </w:tcPr>
          <w:p w14:paraId="284EC0D8" w14:textId="77777777" w:rsidR="00054F53" w:rsidRPr="00054F53" w:rsidRDefault="00054F53" w:rsidP="00054F53">
            <w:pPr>
              <w:spacing w:after="0" w:line="240" w:lineRule="auto"/>
              <w:ind w:firstLine="0"/>
              <w:jc w:val="left"/>
              <w:rPr>
                <w:rFonts w:eastAsia="Times New Roman" w:cs="Times New Roman"/>
                <w:b/>
                <w:bCs/>
                <w:color w:val="000000"/>
                <w:sz w:val="20"/>
                <w:szCs w:val="20"/>
                <w:lang w:eastAsia="ru-RU"/>
              </w:rPr>
            </w:pPr>
          </w:p>
        </w:tc>
        <w:tc>
          <w:tcPr>
            <w:tcW w:w="5068" w:type="dxa"/>
            <w:tcBorders>
              <w:top w:val="nil"/>
              <w:left w:val="nil"/>
              <w:bottom w:val="single" w:sz="4" w:space="0" w:color="auto"/>
              <w:right w:val="single" w:sz="4" w:space="0" w:color="auto"/>
            </w:tcBorders>
            <w:shd w:val="clear" w:color="auto" w:fill="auto"/>
            <w:noWrap/>
            <w:vAlign w:val="bottom"/>
            <w:hideMark/>
          </w:tcPr>
          <w:p w14:paraId="7048F2AF" w14:textId="77777777" w:rsidR="00054F53" w:rsidRPr="003607FD" w:rsidRDefault="00054F53" w:rsidP="00054F53">
            <w:pPr>
              <w:spacing w:after="0" w:line="240" w:lineRule="auto"/>
              <w:ind w:firstLine="0"/>
              <w:jc w:val="left"/>
              <w:rPr>
                <w:rFonts w:eastAsia="Times New Roman" w:cs="Times New Roman"/>
                <w:b/>
                <w:bCs/>
                <w:color w:val="000000"/>
                <w:sz w:val="22"/>
                <w:lang w:eastAsia="ru-RU"/>
              </w:rPr>
            </w:pPr>
            <w:r w:rsidRPr="003607FD">
              <w:rPr>
                <w:rFonts w:eastAsia="Times New Roman" w:cs="Times New Roman"/>
                <w:b/>
                <w:bCs/>
                <w:color w:val="000000"/>
                <w:sz w:val="22"/>
                <w:lang w:eastAsia="ru-RU"/>
              </w:rPr>
              <w:t>PAC (средние)</w:t>
            </w:r>
          </w:p>
        </w:tc>
        <w:tc>
          <w:tcPr>
            <w:tcW w:w="1596" w:type="dxa"/>
            <w:tcBorders>
              <w:top w:val="nil"/>
              <w:left w:val="nil"/>
              <w:bottom w:val="single" w:sz="4" w:space="0" w:color="auto"/>
              <w:right w:val="single" w:sz="4" w:space="0" w:color="auto"/>
            </w:tcBorders>
            <w:shd w:val="clear" w:color="auto" w:fill="auto"/>
            <w:noWrap/>
            <w:vAlign w:val="bottom"/>
            <w:hideMark/>
          </w:tcPr>
          <w:p w14:paraId="39932A12" w14:textId="77777777" w:rsidR="00054F53" w:rsidRPr="003607FD" w:rsidRDefault="00054F53" w:rsidP="00054F53">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336 026</w:t>
            </w:r>
          </w:p>
        </w:tc>
        <w:tc>
          <w:tcPr>
            <w:tcW w:w="1424" w:type="dxa"/>
            <w:tcBorders>
              <w:top w:val="nil"/>
              <w:left w:val="nil"/>
              <w:bottom w:val="single" w:sz="4" w:space="0" w:color="auto"/>
              <w:right w:val="single" w:sz="4" w:space="0" w:color="auto"/>
            </w:tcBorders>
            <w:shd w:val="clear" w:color="auto" w:fill="auto"/>
            <w:noWrap/>
            <w:vAlign w:val="bottom"/>
            <w:hideMark/>
          </w:tcPr>
          <w:p w14:paraId="5DC1D02D" w14:textId="77777777" w:rsidR="00054F53" w:rsidRPr="003607FD" w:rsidRDefault="00054F53" w:rsidP="00054F53">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341 292</w:t>
            </w:r>
          </w:p>
        </w:tc>
      </w:tr>
      <w:tr w:rsidR="00054F53" w:rsidRPr="00054F53" w14:paraId="5D1253A0" w14:textId="77777777" w:rsidTr="00BF66F4">
        <w:trPr>
          <w:trHeight w:val="260"/>
          <w:jc w:val="center"/>
        </w:trPr>
        <w:tc>
          <w:tcPr>
            <w:tcW w:w="1245" w:type="dxa"/>
            <w:vMerge/>
            <w:tcBorders>
              <w:top w:val="nil"/>
              <w:left w:val="single" w:sz="4" w:space="0" w:color="auto"/>
              <w:bottom w:val="single" w:sz="4" w:space="0" w:color="auto"/>
              <w:right w:val="single" w:sz="4" w:space="0" w:color="auto"/>
            </w:tcBorders>
            <w:vAlign w:val="center"/>
            <w:hideMark/>
          </w:tcPr>
          <w:p w14:paraId="3E562169" w14:textId="77777777" w:rsidR="00054F53" w:rsidRPr="00054F53" w:rsidRDefault="00054F53" w:rsidP="00054F53">
            <w:pPr>
              <w:spacing w:after="0" w:line="240" w:lineRule="auto"/>
              <w:ind w:firstLine="0"/>
              <w:jc w:val="left"/>
              <w:rPr>
                <w:rFonts w:eastAsia="Times New Roman" w:cs="Times New Roman"/>
                <w:b/>
                <w:bCs/>
                <w:color w:val="000000"/>
                <w:sz w:val="20"/>
                <w:szCs w:val="20"/>
                <w:lang w:eastAsia="ru-RU"/>
              </w:rPr>
            </w:pPr>
          </w:p>
        </w:tc>
        <w:tc>
          <w:tcPr>
            <w:tcW w:w="5068" w:type="dxa"/>
            <w:tcBorders>
              <w:top w:val="nil"/>
              <w:left w:val="nil"/>
              <w:bottom w:val="single" w:sz="4" w:space="0" w:color="auto"/>
              <w:right w:val="single" w:sz="4" w:space="0" w:color="auto"/>
            </w:tcBorders>
            <w:shd w:val="clear" w:color="auto" w:fill="auto"/>
            <w:vAlign w:val="bottom"/>
            <w:hideMark/>
          </w:tcPr>
          <w:p w14:paraId="094C9071" w14:textId="77777777" w:rsidR="00054F53" w:rsidRPr="00054F53" w:rsidRDefault="00054F53" w:rsidP="00054F53">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(подверженных амортизации в конце периода)</w:t>
            </w:r>
          </w:p>
        </w:tc>
        <w:tc>
          <w:tcPr>
            <w:tcW w:w="1596" w:type="dxa"/>
            <w:tcBorders>
              <w:top w:val="nil"/>
              <w:left w:val="nil"/>
              <w:bottom w:val="single" w:sz="4" w:space="0" w:color="auto"/>
              <w:right w:val="single" w:sz="4" w:space="0" w:color="auto"/>
            </w:tcBorders>
            <w:shd w:val="clear" w:color="auto" w:fill="auto"/>
            <w:noWrap/>
            <w:vAlign w:val="bottom"/>
            <w:hideMark/>
          </w:tcPr>
          <w:p w14:paraId="594DE39D"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234 873</w:t>
            </w:r>
          </w:p>
        </w:tc>
        <w:tc>
          <w:tcPr>
            <w:tcW w:w="1424" w:type="dxa"/>
            <w:tcBorders>
              <w:top w:val="nil"/>
              <w:left w:val="nil"/>
              <w:bottom w:val="single" w:sz="4" w:space="0" w:color="auto"/>
              <w:right w:val="single" w:sz="4" w:space="0" w:color="auto"/>
            </w:tcBorders>
            <w:shd w:val="clear" w:color="auto" w:fill="auto"/>
            <w:noWrap/>
            <w:vAlign w:val="bottom"/>
            <w:hideMark/>
          </w:tcPr>
          <w:p w14:paraId="1C21F074"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226 261</w:t>
            </w:r>
          </w:p>
        </w:tc>
      </w:tr>
      <w:tr w:rsidR="00054F53" w:rsidRPr="00054F53" w14:paraId="44802FA7" w14:textId="77777777" w:rsidTr="00BF66F4">
        <w:trPr>
          <w:trHeight w:val="264"/>
          <w:jc w:val="center"/>
        </w:trPr>
        <w:tc>
          <w:tcPr>
            <w:tcW w:w="1245" w:type="dxa"/>
            <w:vMerge/>
            <w:tcBorders>
              <w:top w:val="nil"/>
              <w:left w:val="single" w:sz="4" w:space="0" w:color="auto"/>
              <w:bottom w:val="single" w:sz="4" w:space="0" w:color="auto"/>
              <w:right w:val="single" w:sz="4" w:space="0" w:color="auto"/>
            </w:tcBorders>
            <w:vAlign w:val="center"/>
            <w:hideMark/>
          </w:tcPr>
          <w:p w14:paraId="231F17E3" w14:textId="77777777" w:rsidR="00054F53" w:rsidRPr="00054F53" w:rsidRDefault="00054F53" w:rsidP="00054F53">
            <w:pPr>
              <w:spacing w:after="0" w:line="240" w:lineRule="auto"/>
              <w:ind w:firstLine="0"/>
              <w:jc w:val="left"/>
              <w:rPr>
                <w:rFonts w:eastAsia="Times New Roman" w:cs="Times New Roman"/>
                <w:b/>
                <w:bCs/>
                <w:color w:val="000000"/>
                <w:sz w:val="20"/>
                <w:szCs w:val="20"/>
                <w:lang w:eastAsia="ru-RU"/>
              </w:rPr>
            </w:pPr>
          </w:p>
        </w:tc>
        <w:tc>
          <w:tcPr>
            <w:tcW w:w="5068" w:type="dxa"/>
            <w:tcBorders>
              <w:top w:val="nil"/>
              <w:left w:val="nil"/>
              <w:bottom w:val="single" w:sz="4" w:space="0" w:color="auto"/>
              <w:right w:val="single" w:sz="4" w:space="0" w:color="auto"/>
            </w:tcBorders>
            <w:shd w:val="clear" w:color="auto" w:fill="auto"/>
            <w:vAlign w:val="bottom"/>
            <w:hideMark/>
          </w:tcPr>
          <w:p w14:paraId="7AE4357B" w14:textId="77777777" w:rsidR="00054F53" w:rsidRPr="00054F53" w:rsidRDefault="00054F53" w:rsidP="00054F53">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(подверженных амортизации в начале периода)</w:t>
            </w:r>
          </w:p>
        </w:tc>
        <w:tc>
          <w:tcPr>
            <w:tcW w:w="1596" w:type="dxa"/>
            <w:tcBorders>
              <w:top w:val="nil"/>
              <w:left w:val="nil"/>
              <w:bottom w:val="single" w:sz="4" w:space="0" w:color="auto"/>
              <w:right w:val="single" w:sz="4" w:space="0" w:color="auto"/>
            </w:tcBorders>
            <w:shd w:val="clear" w:color="auto" w:fill="auto"/>
            <w:noWrap/>
            <w:vAlign w:val="bottom"/>
            <w:hideMark/>
          </w:tcPr>
          <w:p w14:paraId="1FE49D9B"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236 589</w:t>
            </w:r>
          </w:p>
        </w:tc>
        <w:tc>
          <w:tcPr>
            <w:tcW w:w="1424" w:type="dxa"/>
            <w:tcBorders>
              <w:top w:val="nil"/>
              <w:left w:val="nil"/>
              <w:bottom w:val="single" w:sz="4" w:space="0" w:color="auto"/>
              <w:right w:val="single" w:sz="4" w:space="0" w:color="auto"/>
            </w:tcBorders>
            <w:shd w:val="clear" w:color="auto" w:fill="auto"/>
            <w:noWrap/>
            <w:vAlign w:val="bottom"/>
            <w:hideMark/>
          </w:tcPr>
          <w:p w14:paraId="207F08C5"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234 873</w:t>
            </w:r>
          </w:p>
        </w:tc>
      </w:tr>
      <w:tr w:rsidR="00054F53" w:rsidRPr="00054F53" w14:paraId="469D96F2" w14:textId="77777777" w:rsidTr="00BF66F4">
        <w:trPr>
          <w:trHeight w:val="281"/>
          <w:jc w:val="center"/>
        </w:trPr>
        <w:tc>
          <w:tcPr>
            <w:tcW w:w="1245" w:type="dxa"/>
            <w:vMerge/>
            <w:tcBorders>
              <w:top w:val="nil"/>
              <w:left w:val="single" w:sz="4" w:space="0" w:color="auto"/>
              <w:bottom w:val="single" w:sz="4" w:space="0" w:color="auto"/>
              <w:right w:val="single" w:sz="4" w:space="0" w:color="auto"/>
            </w:tcBorders>
            <w:vAlign w:val="center"/>
            <w:hideMark/>
          </w:tcPr>
          <w:p w14:paraId="04B0FB74" w14:textId="77777777" w:rsidR="00054F53" w:rsidRPr="00054F53" w:rsidRDefault="00054F53" w:rsidP="00054F53">
            <w:pPr>
              <w:spacing w:after="0" w:line="240" w:lineRule="auto"/>
              <w:ind w:firstLine="0"/>
              <w:jc w:val="left"/>
              <w:rPr>
                <w:rFonts w:eastAsia="Times New Roman" w:cs="Times New Roman"/>
                <w:b/>
                <w:bCs/>
                <w:color w:val="000000"/>
                <w:sz w:val="20"/>
                <w:szCs w:val="20"/>
                <w:lang w:eastAsia="ru-RU"/>
              </w:rPr>
            </w:pPr>
          </w:p>
        </w:tc>
        <w:tc>
          <w:tcPr>
            <w:tcW w:w="5068" w:type="dxa"/>
            <w:tcBorders>
              <w:top w:val="nil"/>
              <w:left w:val="nil"/>
              <w:bottom w:val="single" w:sz="4" w:space="0" w:color="auto"/>
              <w:right w:val="single" w:sz="4" w:space="0" w:color="auto"/>
            </w:tcBorders>
            <w:shd w:val="clear" w:color="auto" w:fill="auto"/>
            <w:vAlign w:val="bottom"/>
            <w:hideMark/>
          </w:tcPr>
          <w:p w14:paraId="14AB4631" w14:textId="12953AE7" w:rsidR="00054F53" w:rsidRPr="003607FD" w:rsidRDefault="00054F53" w:rsidP="00054F53">
            <w:pPr>
              <w:spacing w:after="0" w:line="240" w:lineRule="auto"/>
              <w:ind w:firstLine="0"/>
              <w:jc w:val="left"/>
              <w:rPr>
                <w:rFonts w:eastAsia="Times New Roman" w:cs="Times New Roman"/>
                <w:b/>
                <w:bCs/>
                <w:color w:val="000000"/>
                <w:sz w:val="22"/>
                <w:lang w:eastAsia="ru-RU"/>
              </w:rPr>
            </w:pPr>
            <w:r w:rsidRPr="003607FD">
              <w:rPr>
                <w:rFonts w:eastAsia="Times New Roman" w:cs="Times New Roman"/>
                <w:b/>
                <w:bCs/>
                <w:color w:val="000000"/>
                <w:sz w:val="22"/>
                <w:lang w:eastAsia="ru-RU"/>
              </w:rPr>
              <w:t>РАС (подверженны</w:t>
            </w:r>
            <w:r w:rsidR="003607FD">
              <w:rPr>
                <w:rFonts w:eastAsia="Times New Roman" w:cs="Times New Roman"/>
                <w:b/>
                <w:bCs/>
                <w:color w:val="000000"/>
                <w:sz w:val="22"/>
                <w:lang w:eastAsia="ru-RU"/>
              </w:rPr>
              <w:t>е</w:t>
            </w:r>
            <w:r w:rsidRPr="003607FD">
              <w:rPr>
                <w:rFonts w:eastAsia="Times New Roman" w:cs="Times New Roman"/>
                <w:b/>
                <w:bCs/>
                <w:color w:val="000000"/>
                <w:sz w:val="22"/>
                <w:lang w:eastAsia="ru-RU"/>
              </w:rPr>
              <w:t xml:space="preserve"> амортизации средние)</w:t>
            </w:r>
          </w:p>
        </w:tc>
        <w:tc>
          <w:tcPr>
            <w:tcW w:w="1596" w:type="dxa"/>
            <w:tcBorders>
              <w:top w:val="nil"/>
              <w:left w:val="nil"/>
              <w:bottom w:val="single" w:sz="4" w:space="0" w:color="auto"/>
              <w:right w:val="single" w:sz="4" w:space="0" w:color="auto"/>
            </w:tcBorders>
            <w:shd w:val="clear" w:color="auto" w:fill="auto"/>
            <w:noWrap/>
            <w:vAlign w:val="bottom"/>
            <w:hideMark/>
          </w:tcPr>
          <w:p w14:paraId="09B0905C" w14:textId="77777777" w:rsidR="00054F53" w:rsidRPr="003607FD" w:rsidRDefault="00054F53" w:rsidP="00054F53">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235 731</w:t>
            </w:r>
          </w:p>
        </w:tc>
        <w:tc>
          <w:tcPr>
            <w:tcW w:w="1424" w:type="dxa"/>
            <w:tcBorders>
              <w:top w:val="nil"/>
              <w:left w:val="nil"/>
              <w:bottom w:val="single" w:sz="4" w:space="0" w:color="auto"/>
              <w:right w:val="single" w:sz="4" w:space="0" w:color="auto"/>
            </w:tcBorders>
            <w:shd w:val="clear" w:color="auto" w:fill="auto"/>
            <w:noWrap/>
            <w:vAlign w:val="bottom"/>
            <w:hideMark/>
          </w:tcPr>
          <w:p w14:paraId="559EC2A2" w14:textId="77777777" w:rsidR="00054F53" w:rsidRPr="003607FD" w:rsidRDefault="00054F53" w:rsidP="00054F53">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230 567</w:t>
            </w:r>
          </w:p>
        </w:tc>
      </w:tr>
      <w:tr w:rsidR="00054F53" w:rsidRPr="00054F53" w14:paraId="6C38D55C" w14:textId="77777777" w:rsidTr="00BF66F4">
        <w:trPr>
          <w:trHeight w:val="320"/>
          <w:jc w:val="center"/>
        </w:trPr>
        <w:tc>
          <w:tcPr>
            <w:tcW w:w="124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6B49071" w14:textId="77777777" w:rsidR="00054F53" w:rsidRPr="00054F53" w:rsidRDefault="00054F53" w:rsidP="00054F53">
            <w:pPr>
              <w:spacing w:after="0" w:line="240" w:lineRule="auto"/>
              <w:ind w:firstLine="0"/>
              <w:jc w:val="center"/>
              <w:rPr>
                <w:rFonts w:eastAsia="Times New Roman" w:cs="Times New Roman"/>
                <w:b/>
                <w:bCs/>
                <w:color w:val="000000"/>
                <w:sz w:val="20"/>
                <w:szCs w:val="20"/>
                <w:lang w:eastAsia="ru-RU"/>
              </w:rPr>
            </w:pPr>
            <w:r w:rsidRPr="00054F53">
              <w:rPr>
                <w:rFonts w:eastAsia="Times New Roman" w:cs="Times New Roman"/>
                <w:b/>
                <w:bCs/>
                <w:color w:val="000000"/>
                <w:sz w:val="20"/>
                <w:szCs w:val="20"/>
                <w:lang w:eastAsia="ru-RU"/>
              </w:rPr>
              <w:t>Акрон</w:t>
            </w:r>
          </w:p>
        </w:tc>
        <w:tc>
          <w:tcPr>
            <w:tcW w:w="5068" w:type="dxa"/>
            <w:tcBorders>
              <w:top w:val="nil"/>
              <w:left w:val="nil"/>
              <w:bottom w:val="single" w:sz="4" w:space="0" w:color="auto"/>
              <w:right w:val="single" w:sz="4" w:space="0" w:color="auto"/>
            </w:tcBorders>
            <w:shd w:val="clear" w:color="auto" w:fill="auto"/>
            <w:noWrap/>
            <w:vAlign w:val="bottom"/>
            <w:hideMark/>
          </w:tcPr>
          <w:p w14:paraId="7816004F" w14:textId="77777777" w:rsidR="00054F53" w:rsidRPr="00054F53" w:rsidRDefault="00054F53" w:rsidP="00054F53">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(в конце периода)</w:t>
            </w:r>
          </w:p>
        </w:tc>
        <w:tc>
          <w:tcPr>
            <w:tcW w:w="1596" w:type="dxa"/>
            <w:tcBorders>
              <w:top w:val="nil"/>
              <w:left w:val="nil"/>
              <w:bottom w:val="single" w:sz="4" w:space="0" w:color="auto"/>
              <w:right w:val="single" w:sz="4" w:space="0" w:color="auto"/>
            </w:tcBorders>
            <w:shd w:val="clear" w:color="auto" w:fill="auto"/>
            <w:noWrap/>
            <w:vAlign w:val="bottom"/>
            <w:hideMark/>
          </w:tcPr>
          <w:p w14:paraId="7F16DEEA"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141 167</w:t>
            </w:r>
          </w:p>
        </w:tc>
        <w:tc>
          <w:tcPr>
            <w:tcW w:w="1424" w:type="dxa"/>
            <w:tcBorders>
              <w:top w:val="nil"/>
              <w:left w:val="nil"/>
              <w:bottom w:val="single" w:sz="4" w:space="0" w:color="auto"/>
              <w:right w:val="single" w:sz="4" w:space="0" w:color="auto"/>
            </w:tcBorders>
            <w:shd w:val="clear" w:color="auto" w:fill="auto"/>
            <w:noWrap/>
            <w:vAlign w:val="bottom"/>
            <w:hideMark/>
          </w:tcPr>
          <w:p w14:paraId="2B72BFE7"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155 258</w:t>
            </w:r>
          </w:p>
        </w:tc>
      </w:tr>
      <w:tr w:rsidR="00054F53" w:rsidRPr="00054F53" w14:paraId="6A56C1BF" w14:textId="77777777" w:rsidTr="00BF66F4">
        <w:trPr>
          <w:trHeight w:val="300"/>
          <w:jc w:val="center"/>
        </w:trPr>
        <w:tc>
          <w:tcPr>
            <w:tcW w:w="1245" w:type="dxa"/>
            <w:vMerge/>
            <w:tcBorders>
              <w:top w:val="nil"/>
              <w:left w:val="single" w:sz="4" w:space="0" w:color="auto"/>
              <w:bottom w:val="single" w:sz="4" w:space="0" w:color="auto"/>
              <w:right w:val="single" w:sz="4" w:space="0" w:color="auto"/>
            </w:tcBorders>
            <w:vAlign w:val="center"/>
            <w:hideMark/>
          </w:tcPr>
          <w:p w14:paraId="5B5E1F75" w14:textId="77777777" w:rsidR="00054F53" w:rsidRPr="00054F53" w:rsidRDefault="00054F53" w:rsidP="00054F53">
            <w:pPr>
              <w:spacing w:after="0" w:line="240" w:lineRule="auto"/>
              <w:ind w:firstLine="0"/>
              <w:jc w:val="left"/>
              <w:rPr>
                <w:rFonts w:eastAsia="Times New Roman" w:cs="Times New Roman"/>
                <w:b/>
                <w:bCs/>
                <w:color w:val="000000"/>
                <w:sz w:val="20"/>
                <w:szCs w:val="20"/>
                <w:lang w:eastAsia="ru-RU"/>
              </w:rPr>
            </w:pPr>
          </w:p>
        </w:tc>
        <w:tc>
          <w:tcPr>
            <w:tcW w:w="5068" w:type="dxa"/>
            <w:tcBorders>
              <w:top w:val="nil"/>
              <w:left w:val="nil"/>
              <w:bottom w:val="single" w:sz="4" w:space="0" w:color="auto"/>
              <w:right w:val="single" w:sz="4" w:space="0" w:color="auto"/>
            </w:tcBorders>
            <w:shd w:val="clear" w:color="auto" w:fill="auto"/>
            <w:noWrap/>
            <w:vAlign w:val="bottom"/>
            <w:hideMark/>
          </w:tcPr>
          <w:p w14:paraId="44E9C137" w14:textId="77777777" w:rsidR="00054F53" w:rsidRPr="00054F53" w:rsidRDefault="00054F53" w:rsidP="00054F53">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(в начале периода)</w:t>
            </w:r>
          </w:p>
        </w:tc>
        <w:tc>
          <w:tcPr>
            <w:tcW w:w="1596" w:type="dxa"/>
            <w:tcBorders>
              <w:top w:val="nil"/>
              <w:left w:val="nil"/>
              <w:bottom w:val="single" w:sz="4" w:space="0" w:color="auto"/>
              <w:right w:val="single" w:sz="4" w:space="0" w:color="auto"/>
            </w:tcBorders>
            <w:shd w:val="clear" w:color="auto" w:fill="auto"/>
            <w:noWrap/>
            <w:vAlign w:val="bottom"/>
            <w:hideMark/>
          </w:tcPr>
          <w:p w14:paraId="56A64288"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123 925</w:t>
            </w:r>
          </w:p>
        </w:tc>
        <w:tc>
          <w:tcPr>
            <w:tcW w:w="1424" w:type="dxa"/>
            <w:tcBorders>
              <w:top w:val="nil"/>
              <w:left w:val="nil"/>
              <w:bottom w:val="single" w:sz="4" w:space="0" w:color="auto"/>
              <w:right w:val="single" w:sz="4" w:space="0" w:color="auto"/>
            </w:tcBorders>
            <w:shd w:val="clear" w:color="auto" w:fill="auto"/>
            <w:noWrap/>
            <w:vAlign w:val="bottom"/>
            <w:hideMark/>
          </w:tcPr>
          <w:p w14:paraId="4353364B"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134 448</w:t>
            </w:r>
          </w:p>
        </w:tc>
      </w:tr>
      <w:tr w:rsidR="00054F53" w:rsidRPr="00054F53" w14:paraId="7313ED8F" w14:textId="77777777" w:rsidTr="00BF66F4">
        <w:trPr>
          <w:trHeight w:val="300"/>
          <w:jc w:val="center"/>
        </w:trPr>
        <w:tc>
          <w:tcPr>
            <w:tcW w:w="1245" w:type="dxa"/>
            <w:vMerge/>
            <w:tcBorders>
              <w:top w:val="nil"/>
              <w:left w:val="single" w:sz="4" w:space="0" w:color="auto"/>
              <w:bottom w:val="single" w:sz="4" w:space="0" w:color="auto"/>
              <w:right w:val="single" w:sz="4" w:space="0" w:color="auto"/>
            </w:tcBorders>
            <w:vAlign w:val="center"/>
            <w:hideMark/>
          </w:tcPr>
          <w:p w14:paraId="1D53A8CF" w14:textId="77777777" w:rsidR="00054F53" w:rsidRPr="00054F53" w:rsidRDefault="00054F53" w:rsidP="00054F53">
            <w:pPr>
              <w:spacing w:after="0" w:line="240" w:lineRule="auto"/>
              <w:ind w:firstLine="0"/>
              <w:jc w:val="left"/>
              <w:rPr>
                <w:rFonts w:eastAsia="Times New Roman" w:cs="Times New Roman"/>
                <w:b/>
                <w:bCs/>
                <w:color w:val="000000"/>
                <w:sz w:val="20"/>
                <w:szCs w:val="20"/>
                <w:lang w:eastAsia="ru-RU"/>
              </w:rPr>
            </w:pPr>
          </w:p>
        </w:tc>
        <w:tc>
          <w:tcPr>
            <w:tcW w:w="5068" w:type="dxa"/>
            <w:tcBorders>
              <w:top w:val="nil"/>
              <w:left w:val="nil"/>
              <w:bottom w:val="single" w:sz="4" w:space="0" w:color="auto"/>
              <w:right w:val="single" w:sz="4" w:space="0" w:color="auto"/>
            </w:tcBorders>
            <w:shd w:val="clear" w:color="auto" w:fill="auto"/>
            <w:noWrap/>
            <w:vAlign w:val="bottom"/>
            <w:hideMark/>
          </w:tcPr>
          <w:p w14:paraId="2D7FE0AC" w14:textId="77777777" w:rsidR="00054F53" w:rsidRPr="003607FD" w:rsidRDefault="00054F53" w:rsidP="00054F53">
            <w:pPr>
              <w:spacing w:after="0" w:line="240" w:lineRule="auto"/>
              <w:ind w:firstLine="0"/>
              <w:jc w:val="left"/>
              <w:rPr>
                <w:rFonts w:eastAsia="Times New Roman" w:cs="Times New Roman"/>
                <w:b/>
                <w:bCs/>
                <w:color w:val="000000"/>
                <w:sz w:val="22"/>
                <w:lang w:eastAsia="ru-RU"/>
              </w:rPr>
            </w:pPr>
            <w:r w:rsidRPr="003607FD">
              <w:rPr>
                <w:rFonts w:eastAsia="Times New Roman" w:cs="Times New Roman"/>
                <w:b/>
                <w:bCs/>
                <w:color w:val="000000"/>
                <w:sz w:val="22"/>
                <w:lang w:eastAsia="ru-RU"/>
              </w:rPr>
              <w:t>PAC (средние)</w:t>
            </w:r>
          </w:p>
        </w:tc>
        <w:tc>
          <w:tcPr>
            <w:tcW w:w="1596" w:type="dxa"/>
            <w:tcBorders>
              <w:top w:val="nil"/>
              <w:left w:val="nil"/>
              <w:bottom w:val="single" w:sz="4" w:space="0" w:color="auto"/>
              <w:right w:val="single" w:sz="4" w:space="0" w:color="auto"/>
            </w:tcBorders>
            <w:shd w:val="clear" w:color="auto" w:fill="auto"/>
            <w:noWrap/>
            <w:vAlign w:val="bottom"/>
            <w:hideMark/>
          </w:tcPr>
          <w:p w14:paraId="1DDAE74D" w14:textId="77777777" w:rsidR="00054F53" w:rsidRPr="003607FD" w:rsidRDefault="00054F53" w:rsidP="00054F53">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132 546</w:t>
            </w:r>
          </w:p>
        </w:tc>
        <w:tc>
          <w:tcPr>
            <w:tcW w:w="1424" w:type="dxa"/>
            <w:tcBorders>
              <w:top w:val="nil"/>
              <w:left w:val="nil"/>
              <w:bottom w:val="single" w:sz="4" w:space="0" w:color="auto"/>
              <w:right w:val="single" w:sz="4" w:space="0" w:color="auto"/>
            </w:tcBorders>
            <w:shd w:val="clear" w:color="auto" w:fill="auto"/>
            <w:noWrap/>
            <w:vAlign w:val="bottom"/>
            <w:hideMark/>
          </w:tcPr>
          <w:p w14:paraId="71E82D04" w14:textId="77777777" w:rsidR="00054F53" w:rsidRPr="003607FD" w:rsidRDefault="00054F53" w:rsidP="00054F53">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144 853</w:t>
            </w:r>
          </w:p>
        </w:tc>
      </w:tr>
      <w:tr w:rsidR="00054F53" w:rsidRPr="00054F53" w14:paraId="72001C35" w14:textId="77777777" w:rsidTr="00BF66F4">
        <w:trPr>
          <w:trHeight w:val="314"/>
          <w:jc w:val="center"/>
        </w:trPr>
        <w:tc>
          <w:tcPr>
            <w:tcW w:w="1245" w:type="dxa"/>
            <w:vMerge/>
            <w:tcBorders>
              <w:top w:val="nil"/>
              <w:left w:val="single" w:sz="4" w:space="0" w:color="auto"/>
              <w:bottom w:val="single" w:sz="4" w:space="0" w:color="auto"/>
              <w:right w:val="single" w:sz="4" w:space="0" w:color="auto"/>
            </w:tcBorders>
            <w:vAlign w:val="center"/>
            <w:hideMark/>
          </w:tcPr>
          <w:p w14:paraId="5E8D7192" w14:textId="77777777" w:rsidR="00054F53" w:rsidRPr="00054F53" w:rsidRDefault="00054F53" w:rsidP="00054F53">
            <w:pPr>
              <w:spacing w:after="0" w:line="240" w:lineRule="auto"/>
              <w:ind w:firstLine="0"/>
              <w:jc w:val="left"/>
              <w:rPr>
                <w:rFonts w:eastAsia="Times New Roman" w:cs="Times New Roman"/>
                <w:b/>
                <w:bCs/>
                <w:color w:val="000000"/>
                <w:sz w:val="20"/>
                <w:szCs w:val="20"/>
                <w:lang w:eastAsia="ru-RU"/>
              </w:rPr>
            </w:pPr>
          </w:p>
        </w:tc>
        <w:tc>
          <w:tcPr>
            <w:tcW w:w="5068" w:type="dxa"/>
            <w:tcBorders>
              <w:top w:val="nil"/>
              <w:left w:val="nil"/>
              <w:bottom w:val="single" w:sz="4" w:space="0" w:color="auto"/>
              <w:right w:val="single" w:sz="4" w:space="0" w:color="auto"/>
            </w:tcBorders>
            <w:shd w:val="clear" w:color="auto" w:fill="auto"/>
            <w:vAlign w:val="bottom"/>
            <w:hideMark/>
          </w:tcPr>
          <w:p w14:paraId="734ADA28" w14:textId="0C517438" w:rsidR="00054F53" w:rsidRPr="00054F53" w:rsidRDefault="00054F53" w:rsidP="00054F53">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(подверженны</w:t>
            </w:r>
            <w:r w:rsidR="003607FD">
              <w:rPr>
                <w:rFonts w:eastAsia="Times New Roman" w:cs="Times New Roman"/>
                <w:color w:val="000000"/>
                <w:sz w:val="20"/>
                <w:szCs w:val="20"/>
                <w:lang w:eastAsia="ru-RU"/>
              </w:rPr>
              <w:t>е</w:t>
            </w:r>
            <w:r w:rsidRPr="00054F53">
              <w:rPr>
                <w:rFonts w:eastAsia="Times New Roman" w:cs="Times New Roman"/>
                <w:color w:val="000000"/>
                <w:sz w:val="20"/>
                <w:szCs w:val="20"/>
                <w:lang w:eastAsia="ru-RU"/>
              </w:rPr>
              <w:t xml:space="preserve"> амортизации в конце периода)</w:t>
            </w:r>
          </w:p>
        </w:tc>
        <w:tc>
          <w:tcPr>
            <w:tcW w:w="1596" w:type="dxa"/>
            <w:tcBorders>
              <w:top w:val="nil"/>
              <w:left w:val="nil"/>
              <w:bottom w:val="single" w:sz="4" w:space="0" w:color="auto"/>
              <w:right w:val="single" w:sz="4" w:space="0" w:color="auto"/>
            </w:tcBorders>
            <w:shd w:val="clear" w:color="auto" w:fill="auto"/>
            <w:noWrap/>
            <w:vAlign w:val="bottom"/>
            <w:hideMark/>
          </w:tcPr>
          <w:p w14:paraId="19A034DB"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96 624</w:t>
            </w:r>
          </w:p>
        </w:tc>
        <w:tc>
          <w:tcPr>
            <w:tcW w:w="1424" w:type="dxa"/>
            <w:tcBorders>
              <w:top w:val="nil"/>
              <w:left w:val="nil"/>
              <w:bottom w:val="single" w:sz="4" w:space="0" w:color="auto"/>
              <w:right w:val="single" w:sz="4" w:space="0" w:color="auto"/>
            </w:tcBorders>
            <w:shd w:val="clear" w:color="auto" w:fill="auto"/>
            <w:noWrap/>
            <w:vAlign w:val="bottom"/>
            <w:hideMark/>
          </w:tcPr>
          <w:p w14:paraId="32188702"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105 381</w:t>
            </w:r>
          </w:p>
        </w:tc>
      </w:tr>
      <w:tr w:rsidR="00054F53" w:rsidRPr="00054F53" w14:paraId="76F2281B" w14:textId="77777777" w:rsidTr="00BF66F4">
        <w:trPr>
          <w:trHeight w:val="261"/>
          <w:jc w:val="center"/>
        </w:trPr>
        <w:tc>
          <w:tcPr>
            <w:tcW w:w="1245" w:type="dxa"/>
            <w:vMerge/>
            <w:tcBorders>
              <w:top w:val="nil"/>
              <w:left w:val="single" w:sz="4" w:space="0" w:color="auto"/>
              <w:bottom w:val="single" w:sz="4" w:space="0" w:color="auto"/>
              <w:right w:val="single" w:sz="4" w:space="0" w:color="auto"/>
            </w:tcBorders>
            <w:vAlign w:val="center"/>
            <w:hideMark/>
          </w:tcPr>
          <w:p w14:paraId="09471E36" w14:textId="77777777" w:rsidR="00054F53" w:rsidRPr="00054F53" w:rsidRDefault="00054F53" w:rsidP="00054F53">
            <w:pPr>
              <w:spacing w:after="0" w:line="240" w:lineRule="auto"/>
              <w:ind w:firstLine="0"/>
              <w:jc w:val="left"/>
              <w:rPr>
                <w:rFonts w:eastAsia="Times New Roman" w:cs="Times New Roman"/>
                <w:b/>
                <w:bCs/>
                <w:color w:val="000000"/>
                <w:sz w:val="20"/>
                <w:szCs w:val="20"/>
                <w:lang w:eastAsia="ru-RU"/>
              </w:rPr>
            </w:pPr>
          </w:p>
        </w:tc>
        <w:tc>
          <w:tcPr>
            <w:tcW w:w="5068" w:type="dxa"/>
            <w:tcBorders>
              <w:top w:val="nil"/>
              <w:left w:val="nil"/>
              <w:bottom w:val="single" w:sz="4" w:space="0" w:color="auto"/>
              <w:right w:val="single" w:sz="4" w:space="0" w:color="auto"/>
            </w:tcBorders>
            <w:shd w:val="clear" w:color="auto" w:fill="auto"/>
            <w:vAlign w:val="bottom"/>
            <w:hideMark/>
          </w:tcPr>
          <w:p w14:paraId="085EA1F6" w14:textId="6C763FDC" w:rsidR="00054F53" w:rsidRPr="00054F53" w:rsidRDefault="00054F53" w:rsidP="00054F53">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(подверженны</w:t>
            </w:r>
            <w:r w:rsidR="003607FD">
              <w:rPr>
                <w:rFonts w:eastAsia="Times New Roman" w:cs="Times New Roman"/>
                <w:color w:val="000000"/>
                <w:sz w:val="20"/>
                <w:szCs w:val="20"/>
                <w:lang w:eastAsia="ru-RU"/>
              </w:rPr>
              <w:t>е</w:t>
            </w:r>
            <w:r w:rsidRPr="00054F53">
              <w:rPr>
                <w:rFonts w:eastAsia="Times New Roman" w:cs="Times New Roman"/>
                <w:color w:val="000000"/>
                <w:sz w:val="20"/>
                <w:szCs w:val="20"/>
                <w:lang w:eastAsia="ru-RU"/>
              </w:rPr>
              <w:t xml:space="preserve"> амортизации в начале периода)</w:t>
            </w:r>
          </w:p>
        </w:tc>
        <w:tc>
          <w:tcPr>
            <w:tcW w:w="1596" w:type="dxa"/>
            <w:tcBorders>
              <w:top w:val="nil"/>
              <w:left w:val="nil"/>
              <w:bottom w:val="single" w:sz="4" w:space="0" w:color="auto"/>
              <w:right w:val="single" w:sz="4" w:space="0" w:color="auto"/>
            </w:tcBorders>
            <w:shd w:val="clear" w:color="auto" w:fill="auto"/>
            <w:noWrap/>
            <w:vAlign w:val="bottom"/>
            <w:hideMark/>
          </w:tcPr>
          <w:p w14:paraId="31781184"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89 524</w:t>
            </w:r>
          </w:p>
        </w:tc>
        <w:tc>
          <w:tcPr>
            <w:tcW w:w="1424" w:type="dxa"/>
            <w:tcBorders>
              <w:top w:val="nil"/>
              <w:left w:val="nil"/>
              <w:bottom w:val="single" w:sz="4" w:space="0" w:color="auto"/>
              <w:right w:val="single" w:sz="4" w:space="0" w:color="auto"/>
            </w:tcBorders>
            <w:shd w:val="clear" w:color="auto" w:fill="auto"/>
            <w:noWrap/>
            <w:vAlign w:val="bottom"/>
            <w:hideMark/>
          </w:tcPr>
          <w:p w14:paraId="6644C2CD" w14:textId="77777777" w:rsidR="00054F53" w:rsidRPr="00054F53" w:rsidRDefault="00054F53" w:rsidP="00054F53">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96 624</w:t>
            </w:r>
          </w:p>
        </w:tc>
      </w:tr>
      <w:tr w:rsidR="00054F53" w:rsidRPr="00054F53" w14:paraId="5A5B61A2" w14:textId="77777777" w:rsidTr="00BF66F4">
        <w:trPr>
          <w:trHeight w:val="280"/>
          <w:jc w:val="center"/>
        </w:trPr>
        <w:tc>
          <w:tcPr>
            <w:tcW w:w="1245" w:type="dxa"/>
            <w:vMerge/>
            <w:tcBorders>
              <w:top w:val="nil"/>
              <w:left w:val="single" w:sz="4" w:space="0" w:color="auto"/>
              <w:bottom w:val="single" w:sz="4" w:space="0" w:color="auto"/>
              <w:right w:val="single" w:sz="4" w:space="0" w:color="auto"/>
            </w:tcBorders>
            <w:vAlign w:val="center"/>
            <w:hideMark/>
          </w:tcPr>
          <w:p w14:paraId="42F99AC1" w14:textId="77777777" w:rsidR="00054F53" w:rsidRPr="00054F53" w:rsidRDefault="00054F53" w:rsidP="00054F53">
            <w:pPr>
              <w:spacing w:after="0" w:line="240" w:lineRule="auto"/>
              <w:ind w:firstLine="0"/>
              <w:jc w:val="left"/>
              <w:rPr>
                <w:rFonts w:eastAsia="Times New Roman" w:cs="Times New Roman"/>
                <w:b/>
                <w:bCs/>
                <w:color w:val="000000"/>
                <w:sz w:val="20"/>
                <w:szCs w:val="20"/>
                <w:lang w:eastAsia="ru-RU"/>
              </w:rPr>
            </w:pPr>
          </w:p>
        </w:tc>
        <w:tc>
          <w:tcPr>
            <w:tcW w:w="5068" w:type="dxa"/>
            <w:tcBorders>
              <w:top w:val="nil"/>
              <w:left w:val="nil"/>
              <w:bottom w:val="single" w:sz="4" w:space="0" w:color="auto"/>
              <w:right w:val="single" w:sz="4" w:space="0" w:color="auto"/>
            </w:tcBorders>
            <w:shd w:val="clear" w:color="auto" w:fill="auto"/>
            <w:vAlign w:val="bottom"/>
            <w:hideMark/>
          </w:tcPr>
          <w:p w14:paraId="7CB2BD32" w14:textId="417278FB" w:rsidR="00054F53" w:rsidRPr="003607FD" w:rsidRDefault="00054F53" w:rsidP="00054F53">
            <w:pPr>
              <w:spacing w:after="0" w:line="240" w:lineRule="auto"/>
              <w:ind w:firstLine="0"/>
              <w:jc w:val="left"/>
              <w:rPr>
                <w:rFonts w:eastAsia="Times New Roman" w:cs="Times New Roman"/>
                <w:b/>
                <w:bCs/>
                <w:color w:val="000000"/>
                <w:sz w:val="22"/>
                <w:lang w:eastAsia="ru-RU"/>
              </w:rPr>
            </w:pPr>
            <w:r w:rsidRPr="003607FD">
              <w:rPr>
                <w:rFonts w:eastAsia="Times New Roman" w:cs="Times New Roman"/>
                <w:b/>
                <w:bCs/>
                <w:color w:val="000000"/>
                <w:sz w:val="22"/>
                <w:lang w:eastAsia="ru-RU"/>
              </w:rPr>
              <w:t>РАС (подверженны</w:t>
            </w:r>
            <w:r w:rsidR="003607FD">
              <w:rPr>
                <w:rFonts w:eastAsia="Times New Roman" w:cs="Times New Roman"/>
                <w:b/>
                <w:bCs/>
                <w:color w:val="000000"/>
                <w:sz w:val="22"/>
                <w:lang w:eastAsia="ru-RU"/>
              </w:rPr>
              <w:t>е</w:t>
            </w:r>
            <w:r w:rsidRPr="003607FD">
              <w:rPr>
                <w:rFonts w:eastAsia="Times New Roman" w:cs="Times New Roman"/>
                <w:b/>
                <w:bCs/>
                <w:color w:val="000000"/>
                <w:sz w:val="22"/>
                <w:lang w:eastAsia="ru-RU"/>
              </w:rPr>
              <w:t xml:space="preserve"> амортизации средние)</w:t>
            </w:r>
          </w:p>
        </w:tc>
        <w:tc>
          <w:tcPr>
            <w:tcW w:w="1596" w:type="dxa"/>
            <w:tcBorders>
              <w:top w:val="nil"/>
              <w:left w:val="nil"/>
              <w:bottom w:val="single" w:sz="4" w:space="0" w:color="auto"/>
              <w:right w:val="single" w:sz="4" w:space="0" w:color="auto"/>
            </w:tcBorders>
            <w:shd w:val="clear" w:color="auto" w:fill="auto"/>
            <w:noWrap/>
            <w:vAlign w:val="bottom"/>
            <w:hideMark/>
          </w:tcPr>
          <w:p w14:paraId="70111442" w14:textId="77777777" w:rsidR="00054F53" w:rsidRPr="003607FD" w:rsidRDefault="00054F53" w:rsidP="00054F53">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93 074</w:t>
            </w:r>
          </w:p>
        </w:tc>
        <w:tc>
          <w:tcPr>
            <w:tcW w:w="1424" w:type="dxa"/>
            <w:tcBorders>
              <w:top w:val="nil"/>
              <w:left w:val="nil"/>
              <w:bottom w:val="single" w:sz="4" w:space="0" w:color="auto"/>
              <w:right w:val="single" w:sz="4" w:space="0" w:color="auto"/>
            </w:tcBorders>
            <w:shd w:val="clear" w:color="auto" w:fill="auto"/>
            <w:noWrap/>
            <w:vAlign w:val="bottom"/>
            <w:hideMark/>
          </w:tcPr>
          <w:p w14:paraId="5A4313CC" w14:textId="77777777" w:rsidR="00054F53" w:rsidRPr="003607FD" w:rsidRDefault="00054F53" w:rsidP="00054F53">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101 003</w:t>
            </w:r>
          </w:p>
        </w:tc>
      </w:tr>
      <w:tr w:rsidR="00AE6842" w:rsidRPr="00054F53" w14:paraId="064F07A4" w14:textId="77777777" w:rsidTr="00BF6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1245" w:type="dxa"/>
            <w:vMerge w:val="restart"/>
            <w:shd w:val="clear" w:color="auto" w:fill="auto"/>
            <w:noWrap/>
            <w:textDirection w:val="btLr"/>
            <w:vAlign w:val="center"/>
            <w:hideMark/>
          </w:tcPr>
          <w:p w14:paraId="403FF8C9" w14:textId="77777777" w:rsidR="00AE6842" w:rsidRPr="00054F53" w:rsidRDefault="00AE6842" w:rsidP="008743E1">
            <w:pPr>
              <w:spacing w:after="0" w:line="240" w:lineRule="auto"/>
              <w:ind w:firstLine="0"/>
              <w:jc w:val="center"/>
              <w:rPr>
                <w:rFonts w:eastAsia="Times New Roman" w:cs="Times New Roman"/>
                <w:b/>
                <w:bCs/>
                <w:color w:val="000000"/>
                <w:sz w:val="20"/>
                <w:szCs w:val="20"/>
                <w:lang w:eastAsia="ru-RU"/>
              </w:rPr>
            </w:pPr>
            <w:r w:rsidRPr="00054F53">
              <w:rPr>
                <w:rFonts w:eastAsia="Times New Roman" w:cs="Times New Roman"/>
                <w:b/>
                <w:bCs/>
                <w:color w:val="000000"/>
                <w:sz w:val="20"/>
                <w:szCs w:val="20"/>
                <w:lang w:eastAsia="ru-RU"/>
              </w:rPr>
              <w:t>HeadHunter</w:t>
            </w:r>
          </w:p>
        </w:tc>
        <w:tc>
          <w:tcPr>
            <w:tcW w:w="5068" w:type="dxa"/>
            <w:shd w:val="clear" w:color="auto" w:fill="auto"/>
            <w:noWrap/>
            <w:vAlign w:val="bottom"/>
            <w:hideMark/>
          </w:tcPr>
          <w:p w14:paraId="713807F0" w14:textId="77777777" w:rsidR="00AE6842" w:rsidRPr="00054F53" w:rsidRDefault="00AE6842" w:rsidP="008743E1">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(в конце периода)</w:t>
            </w:r>
          </w:p>
        </w:tc>
        <w:tc>
          <w:tcPr>
            <w:tcW w:w="1596" w:type="dxa"/>
            <w:shd w:val="clear" w:color="auto" w:fill="auto"/>
            <w:noWrap/>
            <w:vAlign w:val="bottom"/>
            <w:hideMark/>
          </w:tcPr>
          <w:p w14:paraId="0D9588FD" w14:textId="77777777" w:rsidR="00AE6842" w:rsidRPr="00054F53" w:rsidRDefault="00AE6842" w:rsidP="008743E1">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9 203 813</w:t>
            </w:r>
          </w:p>
        </w:tc>
        <w:tc>
          <w:tcPr>
            <w:tcW w:w="1424" w:type="dxa"/>
            <w:shd w:val="clear" w:color="auto" w:fill="auto"/>
            <w:noWrap/>
            <w:vAlign w:val="bottom"/>
            <w:hideMark/>
          </w:tcPr>
          <w:p w14:paraId="3CB4FCB2" w14:textId="77777777" w:rsidR="00AE6842" w:rsidRPr="00054F53" w:rsidRDefault="00AE6842" w:rsidP="008743E1">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8 125 763</w:t>
            </w:r>
          </w:p>
        </w:tc>
      </w:tr>
      <w:tr w:rsidR="00AE6842" w:rsidRPr="00054F53" w14:paraId="18E8ED00" w14:textId="77777777" w:rsidTr="00BF6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1245" w:type="dxa"/>
            <w:vMerge/>
            <w:vAlign w:val="center"/>
            <w:hideMark/>
          </w:tcPr>
          <w:p w14:paraId="20E4E34A" w14:textId="77777777" w:rsidR="00AE6842" w:rsidRPr="00054F53" w:rsidRDefault="00AE6842" w:rsidP="008743E1">
            <w:pPr>
              <w:spacing w:after="0" w:line="240" w:lineRule="auto"/>
              <w:ind w:firstLine="0"/>
              <w:jc w:val="left"/>
              <w:rPr>
                <w:rFonts w:eastAsia="Times New Roman" w:cs="Times New Roman"/>
                <w:b/>
                <w:bCs/>
                <w:color w:val="000000"/>
                <w:sz w:val="20"/>
                <w:szCs w:val="20"/>
                <w:lang w:eastAsia="ru-RU"/>
              </w:rPr>
            </w:pPr>
          </w:p>
        </w:tc>
        <w:tc>
          <w:tcPr>
            <w:tcW w:w="5068" w:type="dxa"/>
            <w:shd w:val="clear" w:color="auto" w:fill="auto"/>
            <w:noWrap/>
            <w:vAlign w:val="bottom"/>
            <w:hideMark/>
          </w:tcPr>
          <w:p w14:paraId="07F05704" w14:textId="77777777" w:rsidR="00AE6842" w:rsidRPr="00054F53" w:rsidRDefault="00AE6842" w:rsidP="008743E1">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(в начале периода)</w:t>
            </w:r>
          </w:p>
        </w:tc>
        <w:tc>
          <w:tcPr>
            <w:tcW w:w="1596" w:type="dxa"/>
            <w:shd w:val="clear" w:color="auto" w:fill="auto"/>
            <w:noWrap/>
            <w:vAlign w:val="bottom"/>
            <w:hideMark/>
          </w:tcPr>
          <w:p w14:paraId="2A46F2B8" w14:textId="77777777" w:rsidR="00AE6842" w:rsidRPr="00054F53" w:rsidRDefault="00AE6842" w:rsidP="008743E1">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9 324 830</w:t>
            </w:r>
          </w:p>
        </w:tc>
        <w:tc>
          <w:tcPr>
            <w:tcW w:w="1424" w:type="dxa"/>
            <w:shd w:val="clear" w:color="auto" w:fill="auto"/>
            <w:noWrap/>
            <w:vAlign w:val="bottom"/>
            <w:hideMark/>
          </w:tcPr>
          <w:p w14:paraId="7EDA5482" w14:textId="77777777" w:rsidR="00AE6842" w:rsidRPr="00054F53" w:rsidRDefault="00AE6842" w:rsidP="008743E1">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9 203 813</w:t>
            </w:r>
          </w:p>
        </w:tc>
      </w:tr>
      <w:tr w:rsidR="00AE6842" w:rsidRPr="003607FD" w14:paraId="07C5C23B" w14:textId="77777777" w:rsidTr="00BF6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1245" w:type="dxa"/>
            <w:vMerge/>
            <w:vAlign w:val="center"/>
            <w:hideMark/>
          </w:tcPr>
          <w:p w14:paraId="3AD8D086" w14:textId="77777777" w:rsidR="00AE6842" w:rsidRPr="00054F53" w:rsidRDefault="00AE6842" w:rsidP="008743E1">
            <w:pPr>
              <w:spacing w:after="0" w:line="240" w:lineRule="auto"/>
              <w:ind w:firstLine="0"/>
              <w:jc w:val="left"/>
              <w:rPr>
                <w:rFonts w:eastAsia="Times New Roman" w:cs="Times New Roman"/>
                <w:b/>
                <w:bCs/>
                <w:color w:val="000000"/>
                <w:sz w:val="20"/>
                <w:szCs w:val="20"/>
                <w:lang w:eastAsia="ru-RU"/>
              </w:rPr>
            </w:pPr>
          </w:p>
        </w:tc>
        <w:tc>
          <w:tcPr>
            <w:tcW w:w="5068" w:type="dxa"/>
            <w:shd w:val="clear" w:color="auto" w:fill="auto"/>
            <w:noWrap/>
            <w:vAlign w:val="bottom"/>
            <w:hideMark/>
          </w:tcPr>
          <w:p w14:paraId="2AC46F03" w14:textId="77777777" w:rsidR="00AE6842" w:rsidRPr="003607FD" w:rsidRDefault="00AE6842" w:rsidP="008743E1">
            <w:pPr>
              <w:spacing w:after="0" w:line="240" w:lineRule="auto"/>
              <w:ind w:firstLine="0"/>
              <w:jc w:val="left"/>
              <w:rPr>
                <w:rFonts w:eastAsia="Times New Roman" w:cs="Times New Roman"/>
                <w:b/>
                <w:bCs/>
                <w:color w:val="000000"/>
                <w:sz w:val="22"/>
                <w:lang w:eastAsia="ru-RU"/>
              </w:rPr>
            </w:pPr>
            <w:r w:rsidRPr="003607FD">
              <w:rPr>
                <w:rFonts w:eastAsia="Times New Roman" w:cs="Times New Roman"/>
                <w:b/>
                <w:bCs/>
                <w:color w:val="000000"/>
                <w:sz w:val="22"/>
                <w:lang w:eastAsia="ru-RU"/>
              </w:rPr>
              <w:t>PAC (средние)</w:t>
            </w:r>
          </w:p>
        </w:tc>
        <w:tc>
          <w:tcPr>
            <w:tcW w:w="1596" w:type="dxa"/>
            <w:shd w:val="clear" w:color="auto" w:fill="auto"/>
            <w:noWrap/>
            <w:vAlign w:val="bottom"/>
            <w:hideMark/>
          </w:tcPr>
          <w:p w14:paraId="4CE380C2" w14:textId="77777777" w:rsidR="00AE6842" w:rsidRPr="003607FD" w:rsidRDefault="00AE6842" w:rsidP="008743E1">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9 264 322</w:t>
            </w:r>
          </w:p>
        </w:tc>
        <w:tc>
          <w:tcPr>
            <w:tcW w:w="1424" w:type="dxa"/>
            <w:shd w:val="clear" w:color="auto" w:fill="auto"/>
            <w:noWrap/>
            <w:vAlign w:val="bottom"/>
            <w:hideMark/>
          </w:tcPr>
          <w:p w14:paraId="4ECF74EF" w14:textId="77777777" w:rsidR="00AE6842" w:rsidRPr="003607FD" w:rsidRDefault="00AE6842" w:rsidP="008743E1">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8 664 788</w:t>
            </w:r>
          </w:p>
        </w:tc>
      </w:tr>
      <w:tr w:rsidR="00AE6842" w:rsidRPr="00054F53" w14:paraId="02837DAA" w14:textId="77777777" w:rsidTr="00BF6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1245" w:type="dxa"/>
            <w:vMerge/>
            <w:vAlign w:val="center"/>
            <w:hideMark/>
          </w:tcPr>
          <w:p w14:paraId="48B8F6E6" w14:textId="77777777" w:rsidR="00AE6842" w:rsidRPr="00054F53" w:rsidRDefault="00AE6842" w:rsidP="008743E1">
            <w:pPr>
              <w:spacing w:after="0" w:line="240" w:lineRule="auto"/>
              <w:ind w:firstLine="0"/>
              <w:jc w:val="left"/>
              <w:rPr>
                <w:rFonts w:eastAsia="Times New Roman" w:cs="Times New Roman"/>
                <w:b/>
                <w:bCs/>
                <w:color w:val="000000"/>
                <w:sz w:val="20"/>
                <w:szCs w:val="20"/>
                <w:lang w:eastAsia="ru-RU"/>
              </w:rPr>
            </w:pPr>
          </w:p>
        </w:tc>
        <w:tc>
          <w:tcPr>
            <w:tcW w:w="5068" w:type="dxa"/>
            <w:shd w:val="clear" w:color="auto" w:fill="auto"/>
            <w:vAlign w:val="bottom"/>
            <w:hideMark/>
          </w:tcPr>
          <w:p w14:paraId="7AE4A87F" w14:textId="77777777" w:rsidR="00AE6842" w:rsidRPr="00054F53" w:rsidRDefault="00AE6842" w:rsidP="008743E1">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(подверженны</w:t>
            </w:r>
            <w:r>
              <w:rPr>
                <w:rFonts w:eastAsia="Times New Roman" w:cs="Times New Roman"/>
                <w:color w:val="000000"/>
                <w:sz w:val="20"/>
                <w:szCs w:val="20"/>
                <w:lang w:eastAsia="ru-RU"/>
              </w:rPr>
              <w:t>е</w:t>
            </w:r>
            <w:r w:rsidRPr="00054F53">
              <w:rPr>
                <w:rFonts w:eastAsia="Times New Roman" w:cs="Times New Roman"/>
                <w:color w:val="000000"/>
                <w:sz w:val="20"/>
                <w:szCs w:val="20"/>
                <w:lang w:eastAsia="ru-RU"/>
              </w:rPr>
              <w:t xml:space="preserve"> амортизации в конце периода)</w:t>
            </w:r>
          </w:p>
        </w:tc>
        <w:tc>
          <w:tcPr>
            <w:tcW w:w="1596" w:type="dxa"/>
            <w:shd w:val="clear" w:color="auto" w:fill="auto"/>
            <w:noWrap/>
            <w:vAlign w:val="bottom"/>
            <w:hideMark/>
          </w:tcPr>
          <w:p w14:paraId="31211343" w14:textId="77777777" w:rsidR="00AE6842" w:rsidRPr="00054F53" w:rsidRDefault="00AE6842" w:rsidP="008743E1">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3 288 415</w:t>
            </w:r>
          </w:p>
        </w:tc>
        <w:tc>
          <w:tcPr>
            <w:tcW w:w="1424" w:type="dxa"/>
            <w:shd w:val="clear" w:color="auto" w:fill="auto"/>
            <w:noWrap/>
            <w:vAlign w:val="bottom"/>
            <w:hideMark/>
          </w:tcPr>
          <w:p w14:paraId="5CECC662" w14:textId="77777777" w:rsidR="00AE6842" w:rsidRPr="00054F53" w:rsidRDefault="00AE6842" w:rsidP="008743E1">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3 163 161</w:t>
            </w:r>
          </w:p>
        </w:tc>
      </w:tr>
      <w:tr w:rsidR="00AE6842" w:rsidRPr="00054F53" w14:paraId="466B10D7" w14:textId="77777777" w:rsidTr="00BF6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jc w:val="center"/>
        </w:trPr>
        <w:tc>
          <w:tcPr>
            <w:tcW w:w="1245" w:type="dxa"/>
            <w:vMerge/>
            <w:vAlign w:val="center"/>
            <w:hideMark/>
          </w:tcPr>
          <w:p w14:paraId="097890FE" w14:textId="77777777" w:rsidR="00AE6842" w:rsidRPr="00054F53" w:rsidRDefault="00AE6842" w:rsidP="008743E1">
            <w:pPr>
              <w:spacing w:after="0" w:line="240" w:lineRule="auto"/>
              <w:ind w:firstLine="0"/>
              <w:jc w:val="left"/>
              <w:rPr>
                <w:rFonts w:eastAsia="Times New Roman" w:cs="Times New Roman"/>
                <w:b/>
                <w:bCs/>
                <w:color w:val="000000"/>
                <w:sz w:val="20"/>
                <w:szCs w:val="20"/>
                <w:lang w:eastAsia="ru-RU"/>
              </w:rPr>
            </w:pPr>
          </w:p>
        </w:tc>
        <w:tc>
          <w:tcPr>
            <w:tcW w:w="5068" w:type="dxa"/>
            <w:shd w:val="clear" w:color="auto" w:fill="auto"/>
            <w:vAlign w:val="bottom"/>
            <w:hideMark/>
          </w:tcPr>
          <w:p w14:paraId="715F1685" w14:textId="77777777" w:rsidR="00AE6842" w:rsidRPr="00054F53" w:rsidRDefault="00AE6842" w:rsidP="008743E1">
            <w:pPr>
              <w:spacing w:after="0" w:line="240" w:lineRule="auto"/>
              <w:ind w:firstLine="0"/>
              <w:jc w:val="left"/>
              <w:rPr>
                <w:rFonts w:eastAsia="Times New Roman" w:cs="Times New Roman"/>
                <w:color w:val="000000"/>
                <w:sz w:val="20"/>
                <w:szCs w:val="20"/>
                <w:lang w:eastAsia="ru-RU"/>
              </w:rPr>
            </w:pPr>
            <w:r w:rsidRPr="00054F53">
              <w:rPr>
                <w:rFonts w:eastAsia="Times New Roman" w:cs="Times New Roman"/>
                <w:color w:val="000000"/>
                <w:sz w:val="20"/>
                <w:szCs w:val="20"/>
                <w:lang w:eastAsia="ru-RU"/>
              </w:rPr>
              <w:t>PAC (подверженны</w:t>
            </w:r>
            <w:r>
              <w:rPr>
                <w:rFonts w:eastAsia="Times New Roman" w:cs="Times New Roman"/>
                <w:color w:val="000000"/>
                <w:sz w:val="20"/>
                <w:szCs w:val="20"/>
                <w:lang w:eastAsia="ru-RU"/>
              </w:rPr>
              <w:t>е</w:t>
            </w:r>
            <w:r w:rsidRPr="00054F53">
              <w:rPr>
                <w:rFonts w:eastAsia="Times New Roman" w:cs="Times New Roman"/>
                <w:color w:val="000000"/>
                <w:sz w:val="20"/>
                <w:szCs w:val="20"/>
                <w:lang w:eastAsia="ru-RU"/>
              </w:rPr>
              <w:t xml:space="preserve"> амортизации в начале периода)</w:t>
            </w:r>
          </w:p>
        </w:tc>
        <w:tc>
          <w:tcPr>
            <w:tcW w:w="1596" w:type="dxa"/>
            <w:shd w:val="clear" w:color="auto" w:fill="auto"/>
            <w:noWrap/>
            <w:vAlign w:val="bottom"/>
            <w:hideMark/>
          </w:tcPr>
          <w:p w14:paraId="67EFF0A1" w14:textId="77777777" w:rsidR="00AE6842" w:rsidRPr="00054F53" w:rsidRDefault="00AE6842" w:rsidP="008743E1">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3 621 058</w:t>
            </w:r>
          </w:p>
        </w:tc>
        <w:tc>
          <w:tcPr>
            <w:tcW w:w="1424" w:type="dxa"/>
            <w:shd w:val="clear" w:color="auto" w:fill="auto"/>
            <w:noWrap/>
            <w:vAlign w:val="bottom"/>
            <w:hideMark/>
          </w:tcPr>
          <w:p w14:paraId="7AEF3903" w14:textId="77777777" w:rsidR="00AE6842" w:rsidRPr="00054F53" w:rsidRDefault="00AE6842" w:rsidP="008743E1">
            <w:pPr>
              <w:spacing w:after="0" w:line="240" w:lineRule="auto"/>
              <w:ind w:firstLine="0"/>
              <w:jc w:val="right"/>
              <w:rPr>
                <w:rFonts w:eastAsia="Times New Roman" w:cs="Times New Roman"/>
                <w:color w:val="000000"/>
                <w:sz w:val="20"/>
                <w:szCs w:val="20"/>
                <w:lang w:eastAsia="ru-RU"/>
              </w:rPr>
            </w:pPr>
            <w:r w:rsidRPr="00054F53">
              <w:rPr>
                <w:rFonts w:eastAsia="Times New Roman" w:cs="Times New Roman"/>
                <w:color w:val="000000"/>
                <w:sz w:val="20"/>
                <w:szCs w:val="20"/>
                <w:lang w:eastAsia="ru-RU"/>
              </w:rPr>
              <w:t>3 288 415</w:t>
            </w:r>
          </w:p>
        </w:tc>
      </w:tr>
      <w:tr w:rsidR="00AE6842" w:rsidRPr="003607FD" w14:paraId="365E1768" w14:textId="77777777" w:rsidTr="00BF6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45" w:type="dxa"/>
            <w:vMerge/>
            <w:vAlign w:val="center"/>
            <w:hideMark/>
          </w:tcPr>
          <w:p w14:paraId="1471DF8D" w14:textId="77777777" w:rsidR="00AE6842" w:rsidRPr="00054F53" w:rsidRDefault="00AE6842" w:rsidP="008743E1">
            <w:pPr>
              <w:spacing w:after="0" w:line="240" w:lineRule="auto"/>
              <w:ind w:firstLine="0"/>
              <w:jc w:val="left"/>
              <w:rPr>
                <w:rFonts w:eastAsia="Times New Roman" w:cs="Times New Roman"/>
                <w:b/>
                <w:bCs/>
                <w:color w:val="000000"/>
                <w:sz w:val="20"/>
                <w:szCs w:val="20"/>
                <w:lang w:eastAsia="ru-RU"/>
              </w:rPr>
            </w:pPr>
          </w:p>
        </w:tc>
        <w:tc>
          <w:tcPr>
            <w:tcW w:w="5068" w:type="dxa"/>
            <w:shd w:val="clear" w:color="auto" w:fill="auto"/>
            <w:vAlign w:val="bottom"/>
            <w:hideMark/>
          </w:tcPr>
          <w:p w14:paraId="6F99D6B9" w14:textId="77777777" w:rsidR="00AE6842" w:rsidRPr="003607FD" w:rsidRDefault="00AE6842" w:rsidP="008743E1">
            <w:pPr>
              <w:spacing w:after="0" w:line="240" w:lineRule="auto"/>
              <w:ind w:firstLine="0"/>
              <w:jc w:val="left"/>
              <w:rPr>
                <w:rFonts w:eastAsia="Times New Roman" w:cs="Times New Roman"/>
                <w:b/>
                <w:bCs/>
                <w:color w:val="000000"/>
                <w:sz w:val="22"/>
                <w:lang w:eastAsia="ru-RU"/>
              </w:rPr>
            </w:pPr>
            <w:r w:rsidRPr="003607FD">
              <w:rPr>
                <w:rFonts w:eastAsia="Times New Roman" w:cs="Times New Roman"/>
                <w:b/>
                <w:bCs/>
                <w:color w:val="000000"/>
                <w:sz w:val="22"/>
                <w:lang w:eastAsia="ru-RU"/>
              </w:rPr>
              <w:t>РАС (подверженны</w:t>
            </w:r>
            <w:r>
              <w:rPr>
                <w:rFonts w:eastAsia="Times New Roman" w:cs="Times New Roman"/>
                <w:b/>
                <w:bCs/>
                <w:color w:val="000000"/>
                <w:sz w:val="22"/>
                <w:lang w:eastAsia="ru-RU"/>
              </w:rPr>
              <w:t>е</w:t>
            </w:r>
            <w:r w:rsidRPr="003607FD">
              <w:rPr>
                <w:rFonts w:eastAsia="Times New Roman" w:cs="Times New Roman"/>
                <w:b/>
                <w:bCs/>
                <w:color w:val="000000"/>
                <w:sz w:val="22"/>
                <w:lang w:eastAsia="ru-RU"/>
              </w:rPr>
              <w:t xml:space="preserve"> амортизации средние)</w:t>
            </w:r>
          </w:p>
        </w:tc>
        <w:tc>
          <w:tcPr>
            <w:tcW w:w="1596" w:type="dxa"/>
            <w:shd w:val="clear" w:color="auto" w:fill="auto"/>
            <w:noWrap/>
            <w:vAlign w:val="bottom"/>
            <w:hideMark/>
          </w:tcPr>
          <w:p w14:paraId="7BCF6161" w14:textId="77777777" w:rsidR="00AE6842" w:rsidRPr="003607FD" w:rsidRDefault="00AE6842" w:rsidP="008743E1">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3 454 737</w:t>
            </w:r>
          </w:p>
        </w:tc>
        <w:tc>
          <w:tcPr>
            <w:tcW w:w="1424" w:type="dxa"/>
            <w:shd w:val="clear" w:color="auto" w:fill="auto"/>
            <w:noWrap/>
            <w:vAlign w:val="bottom"/>
            <w:hideMark/>
          </w:tcPr>
          <w:p w14:paraId="5DD7AEE9" w14:textId="77777777" w:rsidR="00AE6842" w:rsidRPr="003607FD" w:rsidRDefault="00AE6842" w:rsidP="008743E1">
            <w:pPr>
              <w:spacing w:after="0" w:line="240" w:lineRule="auto"/>
              <w:ind w:firstLine="0"/>
              <w:jc w:val="right"/>
              <w:rPr>
                <w:rFonts w:eastAsia="Times New Roman" w:cs="Times New Roman"/>
                <w:b/>
                <w:bCs/>
                <w:color w:val="000000"/>
                <w:sz w:val="22"/>
                <w:lang w:eastAsia="ru-RU"/>
              </w:rPr>
            </w:pPr>
            <w:r w:rsidRPr="003607FD">
              <w:rPr>
                <w:rFonts w:eastAsia="Times New Roman" w:cs="Times New Roman"/>
                <w:b/>
                <w:bCs/>
                <w:color w:val="000000"/>
                <w:sz w:val="22"/>
                <w:lang w:eastAsia="ru-RU"/>
              </w:rPr>
              <w:t>3 225 788</w:t>
            </w:r>
          </w:p>
        </w:tc>
      </w:tr>
    </w:tbl>
    <w:p w14:paraId="04B21E45" w14:textId="1DEBDA70" w:rsidR="00AE6842" w:rsidRPr="003607FD" w:rsidRDefault="00AE6842" w:rsidP="002A1E64">
      <w:pPr>
        <w:ind w:firstLine="0"/>
        <w:rPr>
          <w:i/>
          <w:iCs/>
          <w:lang w:val="en-US" w:eastAsia="ru-RU"/>
        </w:rPr>
      </w:pPr>
      <w:r w:rsidRPr="00390DA4">
        <w:rPr>
          <w:i/>
          <w:iCs/>
          <w:lang w:eastAsia="ru-RU"/>
        </w:rPr>
        <w:t xml:space="preserve">Источник: </w:t>
      </w:r>
      <w:r w:rsidRPr="00390DA4">
        <w:rPr>
          <w:i/>
          <w:iCs/>
          <w:lang w:val="en-US" w:eastAsia="ru-RU"/>
        </w:rPr>
        <w:t>[</w:t>
      </w:r>
      <w:r w:rsidRPr="00390DA4">
        <w:rPr>
          <w:i/>
          <w:iCs/>
          <w:lang w:eastAsia="ru-RU"/>
        </w:rPr>
        <w:t>расчеты автора</w:t>
      </w:r>
      <w:r w:rsidRPr="00390DA4">
        <w:rPr>
          <w:i/>
          <w:iCs/>
          <w:lang w:val="en-US" w:eastAsia="ru-RU"/>
        </w:rPr>
        <w:t>]</w:t>
      </w:r>
    </w:p>
    <w:p w14:paraId="66A50041" w14:textId="6BF6A2E7" w:rsidR="00390DA4" w:rsidRDefault="00390DA4" w:rsidP="0035322F">
      <w:pPr>
        <w:rPr>
          <w:lang w:eastAsia="ru-RU"/>
        </w:rPr>
      </w:pPr>
      <w:r>
        <w:rPr>
          <w:lang w:eastAsia="ru-RU"/>
        </w:rPr>
        <w:t xml:space="preserve">Далее были рассчитаны показатели </w:t>
      </w:r>
      <w:r>
        <w:rPr>
          <w:lang w:val="en-US" w:eastAsia="ru-RU"/>
        </w:rPr>
        <w:t>NOPLAT</w:t>
      </w:r>
      <w:r w:rsidRPr="00390DA4">
        <w:rPr>
          <w:lang w:eastAsia="ru-RU"/>
        </w:rPr>
        <w:t xml:space="preserve"> </w:t>
      </w:r>
      <w:r>
        <w:rPr>
          <w:lang w:eastAsia="ru-RU"/>
        </w:rPr>
        <w:t xml:space="preserve">и </w:t>
      </w:r>
      <w:r>
        <w:rPr>
          <w:lang w:val="en-US" w:eastAsia="ru-RU"/>
        </w:rPr>
        <w:t>ROAA</w:t>
      </w:r>
      <w:r>
        <w:rPr>
          <w:lang w:eastAsia="ru-RU"/>
        </w:rPr>
        <w:t xml:space="preserve">, учитывая все производственные активы компании. </w:t>
      </w:r>
      <w:r w:rsidR="0035322F">
        <w:rPr>
          <w:lang w:eastAsia="ru-RU"/>
        </w:rPr>
        <w:t>Проведен расчет средневзвешенного времени существования активов (</w:t>
      </w:r>
      <m:oMath>
        <m:r>
          <w:rPr>
            <w:rFonts w:ascii="Cambria Math" w:eastAsiaTheme="minorEastAsia" w:hAnsi="Cambria Math"/>
            <w:i/>
            <w:iCs/>
            <w:lang w:val="en-US"/>
          </w:rPr>
          <w:sym w:font="Symbol" w:char="F074"/>
        </m:r>
      </m:oMath>
      <w:r w:rsidR="00486520">
        <w:rPr>
          <w:rFonts w:eastAsiaTheme="minorEastAsia"/>
          <w:iCs/>
        </w:rPr>
        <w:t xml:space="preserve"> </w:t>
      </w:r>
      <w:r w:rsidR="0035322F">
        <w:rPr>
          <w:rFonts w:eastAsiaTheme="minorEastAsia"/>
          <w:iCs/>
        </w:rPr>
        <w:t>), средневзвешенный период амортизации активов компаний (</w:t>
      </w:r>
      <w:r w:rsidR="0035322F" w:rsidRPr="00FF5B0D">
        <w:rPr>
          <w:rFonts w:eastAsiaTheme="minorEastAsia"/>
          <w:lang w:val="en-US"/>
        </w:rPr>
        <w:t>Ta</w:t>
      </w:r>
      <w:r w:rsidR="0035322F">
        <w:rPr>
          <w:rFonts w:eastAsiaTheme="minorEastAsia"/>
        </w:rPr>
        <w:t>)</w:t>
      </w:r>
      <w:r w:rsidR="0035322F" w:rsidRPr="00FF5B0D">
        <w:rPr>
          <w:rFonts w:eastAsiaTheme="minorEastAsia"/>
        </w:rPr>
        <w:t>.</w:t>
      </w:r>
      <w:r w:rsidR="0035322F">
        <w:rPr>
          <w:rFonts w:eastAsiaTheme="minorEastAsia"/>
          <w:i/>
          <w:iCs/>
        </w:rPr>
        <w:t xml:space="preserve"> </w:t>
      </w:r>
      <w:r w:rsidR="0035322F">
        <w:rPr>
          <w:rFonts w:eastAsiaTheme="minorEastAsia"/>
        </w:rPr>
        <w:t xml:space="preserve">Все значения представлены </w:t>
      </w:r>
      <w:r w:rsidR="0035322F" w:rsidRPr="008226C9">
        <w:rPr>
          <w:rFonts w:eastAsiaTheme="minorEastAsia"/>
        </w:rPr>
        <w:t>в приложении</w:t>
      </w:r>
      <w:r w:rsidR="008226C9">
        <w:rPr>
          <w:rFonts w:eastAsiaTheme="minorEastAsia"/>
        </w:rPr>
        <w:t xml:space="preserve"> </w:t>
      </w:r>
      <w:r w:rsidR="000F0BA5">
        <w:rPr>
          <w:rFonts w:eastAsiaTheme="minorEastAsia"/>
        </w:rPr>
        <w:t>4</w:t>
      </w:r>
      <w:r w:rsidR="008226C9">
        <w:rPr>
          <w:rFonts w:eastAsiaTheme="minorEastAsia"/>
        </w:rPr>
        <w:t>-</w:t>
      </w:r>
      <w:r w:rsidR="000945C8">
        <w:rPr>
          <w:rFonts w:eastAsiaTheme="minorEastAsia"/>
        </w:rPr>
        <w:t>8</w:t>
      </w:r>
      <w:r w:rsidR="008226C9">
        <w:rPr>
          <w:rFonts w:eastAsiaTheme="minorEastAsia"/>
        </w:rPr>
        <w:t xml:space="preserve"> для каждой компании. </w:t>
      </w:r>
    </w:p>
    <w:p w14:paraId="1DC52827" w14:textId="79069004" w:rsidR="00541A58" w:rsidRDefault="00FF5B0D" w:rsidP="006B67C2">
      <w:pPr>
        <w:rPr>
          <w:lang w:eastAsia="ru-RU"/>
        </w:rPr>
      </w:pPr>
      <w:r>
        <w:rPr>
          <w:lang w:eastAsia="ru-RU"/>
        </w:rPr>
        <w:t xml:space="preserve">Для проведения расчетов была использована ставка дисконтирования </w:t>
      </w:r>
      <w:r>
        <w:rPr>
          <w:lang w:val="en-US" w:eastAsia="ru-RU"/>
        </w:rPr>
        <w:t>WACC</w:t>
      </w:r>
      <w:r>
        <w:rPr>
          <w:lang w:eastAsia="ru-RU"/>
        </w:rPr>
        <w:t xml:space="preserve"> </w:t>
      </w:r>
      <w:r w:rsidR="0035322F">
        <w:rPr>
          <w:lang w:eastAsia="ru-RU"/>
        </w:rPr>
        <w:t>для 2018 и 2019 годов, вычисления</w:t>
      </w:r>
      <w:r w:rsidR="003938ED">
        <w:rPr>
          <w:lang w:eastAsia="ru-RU"/>
        </w:rPr>
        <w:t xml:space="preserve"> соответству</w:t>
      </w:r>
      <w:r w:rsidR="006B3C08">
        <w:rPr>
          <w:lang w:eastAsia="ru-RU"/>
        </w:rPr>
        <w:t>ю</w:t>
      </w:r>
      <w:r w:rsidR="003938ED">
        <w:rPr>
          <w:lang w:eastAsia="ru-RU"/>
        </w:rPr>
        <w:t>т приведенн</w:t>
      </w:r>
      <w:r w:rsidR="006B3C08">
        <w:rPr>
          <w:lang w:eastAsia="ru-RU"/>
        </w:rPr>
        <w:t>ым</w:t>
      </w:r>
      <w:r w:rsidR="003938ED">
        <w:rPr>
          <w:lang w:eastAsia="ru-RU"/>
        </w:rPr>
        <w:t xml:space="preserve"> для ставки дисконтирования в модели </w:t>
      </w:r>
      <w:r w:rsidR="003938ED">
        <w:rPr>
          <w:lang w:val="en-US" w:eastAsia="ru-RU"/>
        </w:rPr>
        <w:t>DCF</w:t>
      </w:r>
      <w:r w:rsidR="006B3C08">
        <w:rPr>
          <w:lang w:eastAsia="ru-RU"/>
        </w:rPr>
        <w:t xml:space="preserve">. </w:t>
      </w:r>
      <w:r w:rsidR="00921A35">
        <w:rPr>
          <w:lang w:eastAsia="ru-RU"/>
        </w:rPr>
        <w:t xml:space="preserve"> </w:t>
      </w:r>
      <w:r w:rsidR="009C6998">
        <w:t>Таким образом, оценивая ценность компании методом достигнутой стоимости были получены следующие результаты</w:t>
      </w:r>
      <w:r w:rsidR="00BB5CFE">
        <w:t xml:space="preserve"> для 2019 года: </w:t>
      </w:r>
      <w:r w:rsidR="00BB5CFE">
        <w:rPr>
          <w:lang w:eastAsia="ru-RU"/>
        </w:rPr>
        <w:t xml:space="preserve">НКХП — 31 516 млн. рублей, Новатэк — 1 259 896 млн. рублей, Алроса — 759 462 млн. рублей, Акрон — 253 793 млн. рублей, </w:t>
      </w:r>
      <w:r w:rsidR="00BB5CFE">
        <w:rPr>
          <w:lang w:val="en-US" w:eastAsia="ru-RU"/>
        </w:rPr>
        <w:t>HeadHunter</w:t>
      </w:r>
      <w:r w:rsidR="00BB5CFE" w:rsidRPr="007438B6">
        <w:rPr>
          <w:lang w:eastAsia="ru-RU"/>
        </w:rPr>
        <w:t xml:space="preserve"> </w:t>
      </w:r>
      <w:r w:rsidR="00BB5CFE">
        <w:rPr>
          <w:lang w:eastAsia="ru-RU"/>
        </w:rPr>
        <w:t xml:space="preserve">— 12 540 млн. рублей. </w:t>
      </w:r>
      <w:r w:rsidR="0061352E">
        <w:rPr>
          <w:lang w:eastAsia="ru-RU"/>
        </w:rPr>
        <w:t xml:space="preserve">В таблице ниже представлена результат оценки ценности компаний методами дисконтирования денежных потоков и достигнутой стоимости. </w:t>
      </w:r>
    </w:p>
    <w:p w14:paraId="0BCFD4D4" w14:textId="3F2487BB" w:rsidR="006B67C2" w:rsidRDefault="006B67C2" w:rsidP="006B67C2">
      <w:pPr>
        <w:rPr>
          <w:lang w:eastAsia="ru-RU"/>
        </w:rPr>
      </w:pPr>
    </w:p>
    <w:p w14:paraId="7777EC0B" w14:textId="4EA75D67" w:rsidR="006B67C2" w:rsidRDefault="006B67C2" w:rsidP="006B67C2">
      <w:pPr>
        <w:rPr>
          <w:lang w:eastAsia="ru-RU"/>
        </w:rPr>
      </w:pPr>
    </w:p>
    <w:p w14:paraId="05B7188E" w14:textId="5C35B4C9" w:rsidR="006B67C2" w:rsidRDefault="006B67C2" w:rsidP="006B67C2">
      <w:pPr>
        <w:rPr>
          <w:lang w:eastAsia="ru-RU"/>
        </w:rPr>
      </w:pPr>
    </w:p>
    <w:p w14:paraId="13655B83" w14:textId="327477EC" w:rsidR="006B67C2" w:rsidRDefault="006B67C2" w:rsidP="006B67C2">
      <w:pPr>
        <w:rPr>
          <w:lang w:eastAsia="ru-RU"/>
        </w:rPr>
      </w:pPr>
    </w:p>
    <w:p w14:paraId="39296F94" w14:textId="77777777" w:rsidR="006B67C2" w:rsidRDefault="006B67C2" w:rsidP="006B67C2">
      <w:pPr>
        <w:rPr>
          <w:lang w:eastAsia="ru-RU"/>
        </w:rPr>
      </w:pPr>
    </w:p>
    <w:p w14:paraId="7C860CAD" w14:textId="26866D7C" w:rsidR="00551944" w:rsidRDefault="00551944" w:rsidP="00551944">
      <w:pPr>
        <w:pStyle w:val="a0"/>
        <w:rPr>
          <w:lang w:eastAsia="ru-RU"/>
        </w:rPr>
      </w:pPr>
      <w:r>
        <w:rPr>
          <w:lang w:eastAsia="ru-RU"/>
        </w:rPr>
        <w:lastRenderedPageBreak/>
        <w:t>Ценность компаний методами дисконтирования денежных потоков и достигнутой стоимости</w:t>
      </w:r>
    </w:p>
    <w:tbl>
      <w:tblPr>
        <w:tblW w:w="8500" w:type="dxa"/>
        <w:jc w:val="center"/>
        <w:tblLook w:val="04A0" w:firstRow="1" w:lastRow="0" w:firstColumn="1" w:lastColumn="0" w:noHBand="0" w:noVBand="1"/>
      </w:tblPr>
      <w:tblGrid>
        <w:gridCol w:w="1560"/>
        <w:gridCol w:w="2121"/>
        <w:gridCol w:w="2410"/>
        <w:gridCol w:w="2409"/>
      </w:tblGrid>
      <w:tr w:rsidR="00551944" w:rsidRPr="00551944" w14:paraId="7DF64386" w14:textId="77777777" w:rsidTr="00551944">
        <w:trPr>
          <w:trHeight w:val="30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C92DC" w14:textId="77777777" w:rsidR="00551944" w:rsidRPr="00551944" w:rsidRDefault="00551944" w:rsidP="00551944">
            <w:pPr>
              <w:spacing w:after="0" w:line="480" w:lineRule="auto"/>
              <w:ind w:firstLine="0"/>
              <w:jc w:val="center"/>
              <w:rPr>
                <w:rFonts w:eastAsia="Times New Roman" w:cs="Times New Roman"/>
                <w:b/>
                <w:bCs/>
                <w:color w:val="000000"/>
                <w:sz w:val="22"/>
                <w:lang w:eastAsia="ru-RU"/>
              </w:rPr>
            </w:pPr>
            <w:r w:rsidRPr="00551944">
              <w:rPr>
                <w:rFonts w:eastAsia="Times New Roman" w:cs="Times New Roman"/>
                <w:b/>
                <w:bCs/>
                <w:color w:val="000000"/>
                <w:sz w:val="22"/>
                <w:lang w:eastAsia="ru-RU"/>
              </w:rPr>
              <w:t>Компания</w:t>
            </w:r>
          </w:p>
        </w:tc>
        <w:tc>
          <w:tcPr>
            <w:tcW w:w="69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3AE87F" w14:textId="08FAE8A0" w:rsidR="00551944" w:rsidRPr="00551944" w:rsidRDefault="00551944" w:rsidP="00551944">
            <w:pPr>
              <w:spacing w:after="0" w:line="276" w:lineRule="auto"/>
              <w:ind w:firstLine="0"/>
              <w:jc w:val="center"/>
              <w:rPr>
                <w:rFonts w:eastAsia="Times New Roman" w:cs="Times New Roman"/>
                <w:b/>
                <w:bCs/>
                <w:color w:val="000000"/>
                <w:sz w:val="22"/>
                <w:lang w:eastAsia="ru-RU"/>
              </w:rPr>
            </w:pPr>
            <w:r w:rsidRPr="00551944">
              <w:rPr>
                <w:rFonts w:eastAsia="Times New Roman" w:cs="Times New Roman"/>
                <w:b/>
                <w:bCs/>
                <w:color w:val="000000"/>
                <w:sz w:val="22"/>
                <w:lang w:eastAsia="ru-RU"/>
              </w:rPr>
              <w:t>Стоимость компании, млн.руб.</w:t>
            </w:r>
          </w:p>
        </w:tc>
      </w:tr>
      <w:tr w:rsidR="00551944" w:rsidRPr="00551944" w14:paraId="24CA42A4" w14:textId="77777777" w:rsidTr="00551944">
        <w:trPr>
          <w:trHeight w:val="30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B896164" w14:textId="77777777" w:rsidR="00551944" w:rsidRPr="00551944" w:rsidRDefault="00551944" w:rsidP="00551944">
            <w:pPr>
              <w:spacing w:after="0" w:line="240" w:lineRule="auto"/>
              <w:ind w:firstLine="0"/>
              <w:jc w:val="left"/>
              <w:rPr>
                <w:rFonts w:eastAsia="Times New Roman" w:cs="Times New Roman"/>
                <w:b/>
                <w:bCs/>
                <w:color w:val="000000"/>
                <w:sz w:val="22"/>
                <w:lang w:eastAsia="ru-RU"/>
              </w:rPr>
            </w:pPr>
          </w:p>
        </w:tc>
        <w:tc>
          <w:tcPr>
            <w:tcW w:w="2121" w:type="dxa"/>
            <w:tcBorders>
              <w:top w:val="nil"/>
              <w:left w:val="nil"/>
              <w:bottom w:val="single" w:sz="4" w:space="0" w:color="auto"/>
              <w:right w:val="single" w:sz="4" w:space="0" w:color="auto"/>
            </w:tcBorders>
            <w:shd w:val="clear" w:color="auto" w:fill="auto"/>
            <w:noWrap/>
            <w:vAlign w:val="bottom"/>
            <w:hideMark/>
          </w:tcPr>
          <w:p w14:paraId="106A20F5" w14:textId="2B6B2FC3" w:rsidR="00551944" w:rsidRPr="00551944" w:rsidRDefault="00551944" w:rsidP="00551944">
            <w:pPr>
              <w:spacing w:after="0" w:line="276" w:lineRule="auto"/>
              <w:ind w:firstLine="0"/>
              <w:jc w:val="center"/>
              <w:rPr>
                <w:rFonts w:eastAsia="Times New Roman" w:cs="Times New Roman"/>
                <w:b/>
                <w:bCs/>
                <w:color w:val="000000"/>
                <w:sz w:val="22"/>
                <w:lang w:eastAsia="ru-RU"/>
              </w:rPr>
            </w:pPr>
            <w:r w:rsidRPr="00551944">
              <w:rPr>
                <w:rFonts w:eastAsia="Times New Roman" w:cs="Times New Roman"/>
                <w:b/>
                <w:bCs/>
                <w:color w:val="000000"/>
                <w:sz w:val="22"/>
                <w:lang w:eastAsia="ru-RU"/>
              </w:rPr>
              <w:t>Метод DCF, 2019</w:t>
            </w:r>
          </w:p>
        </w:tc>
        <w:tc>
          <w:tcPr>
            <w:tcW w:w="2410" w:type="dxa"/>
            <w:tcBorders>
              <w:top w:val="nil"/>
              <w:left w:val="nil"/>
              <w:bottom w:val="single" w:sz="4" w:space="0" w:color="auto"/>
              <w:right w:val="single" w:sz="4" w:space="0" w:color="auto"/>
            </w:tcBorders>
            <w:shd w:val="clear" w:color="auto" w:fill="auto"/>
            <w:noWrap/>
            <w:vAlign w:val="bottom"/>
            <w:hideMark/>
          </w:tcPr>
          <w:p w14:paraId="527F1292" w14:textId="77777777" w:rsidR="00551944" w:rsidRPr="00551944" w:rsidRDefault="00551944" w:rsidP="00551944">
            <w:pPr>
              <w:spacing w:after="0" w:line="276" w:lineRule="auto"/>
              <w:ind w:firstLine="0"/>
              <w:jc w:val="center"/>
              <w:rPr>
                <w:rFonts w:eastAsia="Times New Roman" w:cs="Times New Roman"/>
                <w:b/>
                <w:bCs/>
                <w:color w:val="000000"/>
                <w:sz w:val="22"/>
                <w:lang w:eastAsia="ru-RU"/>
              </w:rPr>
            </w:pPr>
            <w:r w:rsidRPr="00551944">
              <w:rPr>
                <w:rFonts w:eastAsia="Times New Roman" w:cs="Times New Roman"/>
                <w:b/>
                <w:bCs/>
                <w:color w:val="000000"/>
                <w:sz w:val="22"/>
                <w:lang w:eastAsia="ru-RU"/>
              </w:rPr>
              <w:t>Методом достигнутой стоимости, 2019</w:t>
            </w:r>
          </w:p>
        </w:tc>
        <w:tc>
          <w:tcPr>
            <w:tcW w:w="2409" w:type="dxa"/>
            <w:tcBorders>
              <w:top w:val="nil"/>
              <w:left w:val="nil"/>
              <w:bottom w:val="single" w:sz="4" w:space="0" w:color="auto"/>
              <w:right w:val="single" w:sz="4" w:space="0" w:color="auto"/>
            </w:tcBorders>
            <w:shd w:val="clear" w:color="auto" w:fill="auto"/>
            <w:noWrap/>
            <w:vAlign w:val="bottom"/>
            <w:hideMark/>
          </w:tcPr>
          <w:p w14:paraId="6FF85463" w14:textId="77777777" w:rsidR="00551944" w:rsidRPr="00551944" w:rsidRDefault="00551944" w:rsidP="00551944">
            <w:pPr>
              <w:spacing w:after="0" w:line="276" w:lineRule="auto"/>
              <w:ind w:firstLine="0"/>
              <w:jc w:val="center"/>
              <w:rPr>
                <w:rFonts w:eastAsia="Times New Roman" w:cs="Times New Roman"/>
                <w:b/>
                <w:bCs/>
                <w:color w:val="000000"/>
                <w:sz w:val="22"/>
                <w:lang w:eastAsia="ru-RU"/>
              </w:rPr>
            </w:pPr>
            <w:r w:rsidRPr="00551944">
              <w:rPr>
                <w:rFonts w:eastAsia="Times New Roman" w:cs="Times New Roman"/>
                <w:b/>
                <w:bCs/>
                <w:color w:val="000000"/>
                <w:sz w:val="22"/>
                <w:lang w:eastAsia="ru-RU"/>
              </w:rPr>
              <w:t>Методом достигнутой стоимости, 2018</w:t>
            </w:r>
          </w:p>
        </w:tc>
      </w:tr>
      <w:tr w:rsidR="00551944" w:rsidRPr="00551944" w14:paraId="7458A96D" w14:textId="77777777" w:rsidTr="006B67C2">
        <w:trPr>
          <w:trHeight w:val="137"/>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6B5DF9" w14:textId="77777777" w:rsidR="00551944" w:rsidRPr="00551944" w:rsidRDefault="00551944" w:rsidP="00551944">
            <w:pPr>
              <w:spacing w:after="0" w:line="240" w:lineRule="auto"/>
              <w:ind w:firstLine="0"/>
              <w:jc w:val="left"/>
              <w:rPr>
                <w:rFonts w:eastAsia="Times New Roman" w:cs="Times New Roman"/>
                <w:b/>
                <w:bCs/>
                <w:color w:val="000000"/>
                <w:sz w:val="22"/>
                <w:lang w:eastAsia="ru-RU"/>
              </w:rPr>
            </w:pPr>
            <w:r w:rsidRPr="00551944">
              <w:rPr>
                <w:rFonts w:eastAsia="Times New Roman" w:cs="Times New Roman"/>
                <w:b/>
                <w:bCs/>
                <w:color w:val="000000"/>
                <w:sz w:val="22"/>
                <w:lang w:eastAsia="ru-RU"/>
              </w:rPr>
              <w:t>НКХП</w:t>
            </w:r>
          </w:p>
        </w:tc>
        <w:tc>
          <w:tcPr>
            <w:tcW w:w="2121" w:type="dxa"/>
            <w:tcBorders>
              <w:top w:val="nil"/>
              <w:left w:val="nil"/>
              <w:bottom w:val="single" w:sz="4" w:space="0" w:color="auto"/>
              <w:right w:val="single" w:sz="4" w:space="0" w:color="auto"/>
            </w:tcBorders>
            <w:shd w:val="clear" w:color="auto" w:fill="auto"/>
            <w:noWrap/>
            <w:vAlign w:val="bottom"/>
            <w:hideMark/>
          </w:tcPr>
          <w:p w14:paraId="780115D6"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35 982  </w:t>
            </w:r>
          </w:p>
        </w:tc>
        <w:tc>
          <w:tcPr>
            <w:tcW w:w="2410" w:type="dxa"/>
            <w:tcBorders>
              <w:top w:val="nil"/>
              <w:left w:val="nil"/>
              <w:bottom w:val="single" w:sz="4" w:space="0" w:color="auto"/>
              <w:right w:val="single" w:sz="4" w:space="0" w:color="auto"/>
            </w:tcBorders>
            <w:shd w:val="clear" w:color="auto" w:fill="auto"/>
            <w:noWrap/>
            <w:vAlign w:val="bottom"/>
            <w:hideMark/>
          </w:tcPr>
          <w:p w14:paraId="5CAFA0A9"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31 518  </w:t>
            </w:r>
          </w:p>
        </w:tc>
        <w:tc>
          <w:tcPr>
            <w:tcW w:w="2409" w:type="dxa"/>
            <w:tcBorders>
              <w:top w:val="nil"/>
              <w:left w:val="nil"/>
              <w:bottom w:val="single" w:sz="4" w:space="0" w:color="auto"/>
              <w:right w:val="single" w:sz="4" w:space="0" w:color="auto"/>
            </w:tcBorders>
            <w:shd w:val="clear" w:color="auto" w:fill="auto"/>
            <w:noWrap/>
            <w:vAlign w:val="bottom"/>
            <w:hideMark/>
          </w:tcPr>
          <w:p w14:paraId="58B35F37"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32 451  </w:t>
            </w:r>
          </w:p>
        </w:tc>
      </w:tr>
      <w:tr w:rsidR="00551944" w:rsidRPr="00551944" w14:paraId="5B02C860" w14:textId="77777777" w:rsidTr="006B67C2">
        <w:trPr>
          <w:trHeight w:val="17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68C2BF" w14:textId="77777777" w:rsidR="00551944" w:rsidRPr="00551944" w:rsidRDefault="00551944" w:rsidP="00551944">
            <w:pPr>
              <w:spacing w:after="0" w:line="240" w:lineRule="auto"/>
              <w:ind w:firstLine="0"/>
              <w:jc w:val="left"/>
              <w:rPr>
                <w:rFonts w:eastAsia="Times New Roman" w:cs="Times New Roman"/>
                <w:b/>
                <w:bCs/>
                <w:color w:val="000000"/>
                <w:sz w:val="22"/>
                <w:lang w:eastAsia="ru-RU"/>
              </w:rPr>
            </w:pPr>
            <w:r w:rsidRPr="00551944">
              <w:rPr>
                <w:rFonts w:eastAsia="Times New Roman" w:cs="Times New Roman"/>
                <w:b/>
                <w:bCs/>
                <w:color w:val="000000"/>
                <w:sz w:val="22"/>
                <w:lang w:eastAsia="ru-RU"/>
              </w:rPr>
              <w:t>Новатэк</w:t>
            </w:r>
          </w:p>
        </w:tc>
        <w:tc>
          <w:tcPr>
            <w:tcW w:w="2121" w:type="dxa"/>
            <w:tcBorders>
              <w:top w:val="nil"/>
              <w:left w:val="nil"/>
              <w:bottom w:val="single" w:sz="4" w:space="0" w:color="auto"/>
              <w:right w:val="single" w:sz="4" w:space="0" w:color="auto"/>
            </w:tcBorders>
            <w:shd w:val="clear" w:color="auto" w:fill="auto"/>
            <w:noWrap/>
            <w:vAlign w:val="bottom"/>
            <w:hideMark/>
          </w:tcPr>
          <w:p w14:paraId="3603CE83"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1 423 561  </w:t>
            </w:r>
          </w:p>
        </w:tc>
        <w:tc>
          <w:tcPr>
            <w:tcW w:w="2410" w:type="dxa"/>
            <w:tcBorders>
              <w:top w:val="nil"/>
              <w:left w:val="nil"/>
              <w:bottom w:val="single" w:sz="4" w:space="0" w:color="auto"/>
              <w:right w:val="single" w:sz="4" w:space="0" w:color="auto"/>
            </w:tcBorders>
            <w:shd w:val="clear" w:color="auto" w:fill="auto"/>
            <w:noWrap/>
            <w:vAlign w:val="bottom"/>
            <w:hideMark/>
          </w:tcPr>
          <w:p w14:paraId="4B16491D"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1 259 897  </w:t>
            </w:r>
          </w:p>
        </w:tc>
        <w:tc>
          <w:tcPr>
            <w:tcW w:w="2409" w:type="dxa"/>
            <w:tcBorders>
              <w:top w:val="nil"/>
              <w:left w:val="nil"/>
              <w:bottom w:val="single" w:sz="4" w:space="0" w:color="auto"/>
              <w:right w:val="single" w:sz="4" w:space="0" w:color="auto"/>
            </w:tcBorders>
            <w:shd w:val="clear" w:color="auto" w:fill="auto"/>
            <w:noWrap/>
            <w:vAlign w:val="bottom"/>
            <w:hideMark/>
          </w:tcPr>
          <w:p w14:paraId="30FFA8FD"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1 248 230  </w:t>
            </w:r>
          </w:p>
        </w:tc>
      </w:tr>
      <w:tr w:rsidR="00551944" w:rsidRPr="00551944" w14:paraId="2F19D2F7" w14:textId="77777777" w:rsidTr="006B67C2">
        <w:trPr>
          <w:trHeight w:val="206"/>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4CDFC3F" w14:textId="77777777" w:rsidR="00551944" w:rsidRPr="00551944" w:rsidRDefault="00551944" w:rsidP="00551944">
            <w:pPr>
              <w:spacing w:after="0" w:line="240" w:lineRule="auto"/>
              <w:ind w:firstLine="0"/>
              <w:jc w:val="left"/>
              <w:rPr>
                <w:rFonts w:eastAsia="Times New Roman" w:cs="Times New Roman"/>
                <w:b/>
                <w:bCs/>
                <w:color w:val="000000"/>
                <w:sz w:val="22"/>
                <w:lang w:eastAsia="ru-RU"/>
              </w:rPr>
            </w:pPr>
            <w:r w:rsidRPr="00551944">
              <w:rPr>
                <w:rFonts w:eastAsia="Times New Roman" w:cs="Times New Roman"/>
                <w:b/>
                <w:bCs/>
                <w:color w:val="000000"/>
                <w:sz w:val="22"/>
                <w:lang w:eastAsia="ru-RU"/>
              </w:rPr>
              <w:t>Алроса</w:t>
            </w:r>
          </w:p>
        </w:tc>
        <w:tc>
          <w:tcPr>
            <w:tcW w:w="2121" w:type="dxa"/>
            <w:tcBorders>
              <w:top w:val="nil"/>
              <w:left w:val="nil"/>
              <w:bottom w:val="single" w:sz="4" w:space="0" w:color="auto"/>
              <w:right w:val="single" w:sz="4" w:space="0" w:color="auto"/>
            </w:tcBorders>
            <w:shd w:val="clear" w:color="auto" w:fill="auto"/>
            <w:noWrap/>
            <w:vAlign w:val="bottom"/>
            <w:hideMark/>
          </w:tcPr>
          <w:p w14:paraId="3D52A98B"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572 152  </w:t>
            </w:r>
          </w:p>
        </w:tc>
        <w:tc>
          <w:tcPr>
            <w:tcW w:w="2410" w:type="dxa"/>
            <w:tcBorders>
              <w:top w:val="nil"/>
              <w:left w:val="nil"/>
              <w:bottom w:val="single" w:sz="4" w:space="0" w:color="auto"/>
              <w:right w:val="single" w:sz="4" w:space="0" w:color="auto"/>
            </w:tcBorders>
            <w:shd w:val="clear" w:color="auto" w:fill="auto"/>
            <w:noWrap/>
            <w:vAlign w:val="bottom"/>
            <w:hideMark/>
          </w:tcPr>
          <w:p w14:paraId="273F1D3A"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759 463  </w:t>
            </w:r>
          </w:p>
        </w:tc>
        <w:tc>
          <w:tcPr>
            <w:tcW w:w="2409" w:type="dxa"/>
            <w:tcBorders>
              <w:top w:val="nil"/>
              <w:left w:val="nil"/>
              <w:bottom w:val="single" w:sz="4" w:space="0" w:color="auto"/>
              <w:right w:val="single" w:sz="4" w:space="0" w:color="auto"/>
            </w:tcBorders>
            <w:shd w:val="clear" w:color="auto" w:fill="auto"/>
            <w:noWrap/>
            <w:vAlign w:val="bottom"/>
            <w:hideMark/>
          </w:tcPr>
          <w:p w14:paraId="3B510AD8"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1 031 083  </w:t>
            </w:r>
          </w:p>
        </w:tc>
      </w:tr>
      <w:tr w:rsidR="00551944" w:rsidRPr="00551944" w14:paraId="2E297750" w14:textId="77777777" w:rsidTr="006B67C2">
        <w:trPr>
          <w:trHeight w:val="13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BF270C" w14:textId="77777777" w:rsidR="00551944" w:rsidRPr="00551944" w:rsidRDefault="00551944" w:rsidP="00551944">
            <w:pPr>
              <w:spacing w:after="0" w:line="240" w:lineRule="auto"/>
              <w:ind w:firstLine="0"/>
              <w:jc w:val="left"/>
              <w:rPr>
                <w:rFonts w:eastAsia="Times New Roman" w:cs="Times New Roman"/>
                <w:b/>
                <w:bCs/>
                <w:color w:val="000000"/>
                <w:sz w:val="22"/>
                <w:lang w:eastAsia="ru-RU"/>
              </w:rPr>
            </w:pPr>
            <w:r w:rsidRPr="00551944">
              <w:rPr>
                <w:rFonts w:eastAsia="Times New Roman" w:cs="Times New Roman"/>
                <w:b/>
                <w:bCs/>
                <w:color w:val="000000"/>
                <w:sz w:val="22"/>
                <w:lang w:eastAsia="ru-RU"/>
              </w:rPr>
              <w:t>Акрон</w:t>
            </w:r>
          </w:p>
        </w:tc>
        <w:tc>
          <w:tcPr>
            <w:tcW w:w="2121" w:type="dxa"/>
            <w:tcBorders>
              <w:top w:val="nil"/>
              <w:left w:val="nil"/>
              <w:bottom w:val="single" w:sz="4" w:space="0" w:color="auto"/>
              <w:right w:val="single" w:sz="4" w:space="0" w:color="auto"/>
            </w:tcBorders>
            <w:shd w:val="clear" w:color="auto" w:fill="auto"/>
            <w:noWrap/>
            <w:vAlign w:val="bottom"/>
            <w:hideMark/>
          </w:tcPr>
          <w:p w14:paraId="1C49BE9E"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266 776  </w:t>
            </w:r>
          </w:p>
        </w:tc>
        <w:tc>
          <w:tcPr>
            <w:tcW w:w="2410" w:type="dxa"/>
            <w:tcBorders>
              <w:top w:val="nil"/>
              <w:left w:val="nil"/>
              <w:bottom w:val="single" w:sz="4" w:space="0" w:color="auto"/>
              <w:right w:val="single" w:sz="4" w:space="0" w:color="auto"/>
            </w:tcBorders>
            <w:shd w:val="clear" w:color="auto" w:fill="auto"/>
            <w:noWrap/>
            <w:vAlign w:val="bottom"/>
            <w:hideMark/>
          </w:tcPr>
          <w:p w14:paraId="54228345"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253 793  </w:t>
            </w:r>
          </w:p>
        </w:tc>
        <w:tc>
          <w:tcPr>
            <w:tcW w:w="2409" w:type="dxa"/>
            <w:tcBorders>
              <w:top w:val="nil"/>
              <w:left w:val="nil"/>
              <w:bottom w:val="single" w:sz="4" w:space="0" w:color="auto"/>
              <w:right w:val="single" w:sz="4" w:space="0" w:color="auto"/>
            </w:tcBorders>
            <w:shd w:val="clear" w:color="auto" w:fill="auto"/>
            <w:noWrap/>
            <w:vAlign w:val="bottom"/>
            <w:hideMark/>
          </w:tcPr>
          <w:p w14:paraId="4B12E008"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186 918  </w:t>
            </w:r>
          </w:p>
        </w:tc>
      </w:tr>
      <w:tr w:rsidR="00551944" w:rsidRPr="00551944" w14:paraId="4EB6BFA3" w14:textId="77777777" w:rsidTr="006B67C2">
        <w:trPr>
          <w:trHeight w:val="177"/>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D2FAD4" w14:textId="77777777" w:rsidR="00551944" w:rsidRPr="00551944" w:rsidRDefault="00551944" w:rsidP="00551944">
            <w:pPr>
              <w:spacing w:after="0" w:line="240" w:lineRule="auto"/>
              <w:ind w:firstLine="0"/>
              <w:jc w:val="left"/>
              <w:rPr>
                <w:rFonts w:eastAsia="Times New Roman" w:cs="Times New Roman"/>
                <w:b/>
                <w:bCs/>
                <w:color w:val="000000"/>
                <w:sz w:val="22"/>
                <w:lang w:eastAsia="ru-RU"/>
              </w:rPr>
            </w:pPr>
            <w:r w:rsidRPr="00551944">
              <w:rPr>
                <w:rFonts w:eastAsia="Times New Roman" w:cs="Times New Roman"/>
                <w:b/>
                <w:bCs/>
                <w:color w:val="000000"/>
                <w:sz w:val="22"/>
                <w:lang w:eastAsia="ru-RU"/>
              </w:rPr>
              <w:t>HeadHunter</w:t>
            </w:r>
          </w:p>
        </w:tc>
        <w:tc>
          <w:tcPr>
            <w:tcW w:w="2121" w:type="dxa"/>
            <w:tcBorders>
              <w:top w:val="nil"/>
              <w:left w:val="nil"/>
              <w:bottom w:val="single" w:sz="4" w:space="0" w:color="auto"/>
              <w:right w:val="single" w:sz="4" w:space="0" w:color="auto"/>
            </w:tcBorders>
            <w:shd w:val="clear" w:color="auto" w:fill="auto"/>
            <w:noWrap/>
            <w:vAlign w:val="bottom"/>
            <w:hideMark/>
          </w:tcPr>
          <w:p w14:paraId="43ED446C"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53 741  </w:t>
            </w:r>
          </w:p>
        </w:tc>
        <w:tc>
          <w:tcPr>
            <w:tcW w:w="2410" w:type="dxa"/>
            <w:tcBorders>
              <w:top w:val="nil"/>
              <w:left w:val="nil"/>
              <w:bottom w:val="single" w:sz="4" w:space="0" w:color="auto"/>
              <w:right w:val="single" w:sz="4" w:space="0" w:color="auto"/>
            </w:tcBorders>
            <w:shd w:val="clear" w:color="auto" w:fill="auto"/>
            <w:noWrap/>
            <w:vAlign w:val="bottom"/>
            <w:hideMark/>
          </w:tcPr>
          <w:p w14:paraId="0066BFED"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12 542  </w:t>
            </w:r>
          </w:p>
        </w:tc>
        <w:tc>
          <w:tcPr>
            <w:tcW w:w="2409" w:type="dxa"/>
            <w:tcBorders>
              <w:top w:val="nil"/>
              <w:left w:val="nil"/>
              <w:bottom w:val="single" w:sz="4" w:space="0" w:color="auto"/>
              <w:right w:val="single" w:sz="4" w:space="0" w:color="auto"/>
            </w:tcBorders>
            <w:shd w:val="clear" w:color="auto" w:fill="auto"/>
            <w:noWrap/>
            <w:vAlign w:val="bottom"/>
            <w:hideMark/>
          </w:tcPr>
          <w:p w14:paraId="00DD8EAA" w14:textId="77777777" w:rsidR="00551944" w:rsidRPr="00551944" w:rsidRDefault="00551944" w:rsidP="00551944">
            <w:pPr>
              <w:spacing w:after="0" w:line="240" w:lineRule="auto"/>
              <w:ind w:firstLine="0"/>
              <w:jc w:val="right"/>
              <w:rPr>
                <w:rFonts w:eastAsia="Times New Roman" w:cs="Times New Roman"/>
                <w:color w:val="000000"/>
                <w:sz w:val="22"/>
                <w:lang w:eastAsia="ru-RU"/>
              </w:rPr>
            </w:pPr>
            <w:r w:rsidRPr="00551944">
              <w:rPr>
                <w:rFonts w:eastAsia="Times New Roman" w:cs="Times New Roman"/>
                <w:color w:val="000000"/>
                <w:sz w:val="22"/>
                <w:lang w:eastAsia="ru-RU"/>
              </w:rPr>
              <w:t xml:space="preserve">10 700  </w:t>
            </w:r>
          </w:p>
        </w:tc>
      </w:tr>
    </w:tbl>
    <w:p w14:paraId="7A56C6D0" w14:textId="02D5F343" w:rsidR="00476CD4" w:rsidRDefault="00551944" w:rsidP="00551944">
      <w:pPr>
        <w:ind w:left="426" w:firstLine="0"/>
        <w:rPr>
          <w:i/>
          <w:iCs/>
          <w:lang w:val="en-US" w:eastAsia="ru-RU"/>
        </w:rPr>
      </w:pPr>
      <w:r w:rsidRPr="00390DA4">
        <w:rPr>
          <w:i/>
          <w:iCs/>
          <w:lang w:eastAsia="ru-RU"/>
        </w:rPr>
        <w:t xml:space="preserve">Источник: </w:t>
      </w:r>
      <w:r w:rsidRPr="00390DA4">
        <w:rPr>
          <w:i/>
          <w:iCs/>
          <w:lang w:val="en-US" w:eastAsia="ru-RU"/>
        </w:rPr>
        <w:t>[</w:t>
      </w:r>
      <w:r w:rsidRPr="00390DA4">
        <w:rPr>
          <w:i/>
          <w:iCs/>
          <w:lang w:eastAsia="ru-RU"/>
        </w:rPr>
        <w:t>расчеты автора</w:t>
      </w:r>
      <w:r w:rsidRPr="00390DA4">
        <w:rPr>
          <w:i/>
          <w:iCs/>
          <w:lang w:val="en-US" w:eastAsia="ru-RU"/>
        </w:rPr>
        <w:t>]</w:t>
      </w:r>
    </w:p>
    <w:p w14:paraId="30DA54B3" w14:textId="77777777" w:rsidR="005B2409" w:rsidRDefault="00B67D7B" w:rsidP="005B2409">
      <w:pPr>
        <w:rPr>
          <w:lang w:eastAsia="ru-RU"/>
        </w:rPr>
      </w:pPr>
      <w:r>
        <w:rPr>
          <w:lang w:eastAsia="ru-RU"/>
        </w:rPr>
        <w:t xml:space="preserve">Оценка компании Акрон достигнутой стоимостью приближена к оценке методом </w:t>
      </w:r>
      <w:r>
        <w:rPr>
          <w:lang w:val="en-US" w:eastAsia="ru-RU"/>
        </w:rPr>
        <w:t>DCF</w:t>
      </w:r>
      <w:r>
        <w:rPr>
          <w:lang w:eastAsia="ru-RU"/>
        </w:rPr>
        <w:t xml:space="preserve"> — разница в 12 млрд. рублей, что может быть несущественным при оценке в 260 млрд. рублей (менее 5%). П</w:t>
      </w:r>
      <w:r w:rsidR="00544D95">
        <w:rPr>
          <w:lang w:eastAsia="ru-RU"/>
        </w:rPr>
        <w:t xml:space="preserve">риближенным результатом оценки компании достигнутой стоимости к дисконтированию денежных потоков является ценность компании НКХП, разница в значениях двумя методами составила около 4 </w:t>
      </w:r>
      <w:r>
        <w:rPr>
          <w:lang w:eastAsia="ru-RU"/>
        </w:rPr>
        <w:t>млрд.</w:t>
      </w:r>
      <w:r w:rsidR="00544D95">
        <w:rPr>
          <w:lang w:eastAsia="ru-RU"/>
        </w:rPr>
        <w:t xml:space="preserve"> рублей</w:t>
      </w:r>
      <w:r>
        <w:rPr>
          <w:lang w:eastAsia="ru-RU"/>
        </w:rPr>
        <w:t xml:space="preserve"> (в процентном соотношении ошибка составила 12%)</w:t>
      </w:r>
      <w:r w:rsidR="00544D95">
        <w:rPr>
          <w:lang w:eastAsia="ru-RU"/>
        </w:rPr>
        <w:t xml:space="preserve">. </w:t>
      </w:r>
      <w:r>
        <w:rPr>
          <w:lang w:eastAsia="ru-RU"/>
        </w:rPr>
        <w:t xml:space="preserve">Достигнутая стоимость компании Новатэк отличается от </w:t>
      </w:r>
      <w:r>
        <w:rPr>
          <w:lang w:val="en-US" w:eastAsia="ru-RU"/>
        </w:rPr>
        <w:t>DCF</w:t>
      </w:r>
      <w:r>
        <w:rPr>
          <w:lang w:eastAsia="ru-RU"/>
        </w:rPr>
        <w:t xml:space="preserve"> на 160 млрд. рублей, но при этом ценность составляет более 1 трлн. рублей. </w:t>
      </w:r>
    </w:p>
    <w:p w14:paraId="42457818" w14:textId="6F82DA0B" w:rsidR="000F0BA5" w:rsidRPr="00B67D7B" w:rsidRDefault="00B67D7B" w:rsidP="000F0BA5">
      <w:pPr>
        <w:rPr>
          <w:lang w:eastAsia="ru-RU"/>
        </w:rPr>
      </w:pPr>
      <w:r>
        <w:rPr>
          <w:lang w:eastAsia="ru-RU"/>
        </w:rPr>
        <w:t xml:space="preserve">Интересным является результат оценки компании Алроса: ценность методом достигнутой стоимостью выше, чем при </w:t>
      </w:r>
      <w:r>
        <w:rPr>
          <w:lang w:val="en-US" w:eastAsia="ru-RU"/>
        </w:rPr>
        <w:t>DCF</w:t>
      </w:r>
      <w:r>
        <w:rPr>
          <w:lang w:eastAsia="ru-RU"/>
        </w:rPr>
        <w:t xml:space="preserve">. Причиной такого результата является низкий темп роста компании Алроса в 2% в прогнозном периоде, когда в остальных компаниях в выборке предполагался рост более 8%. Достигнутая стоимость компании </w:t>
      </w:r>
      <w:r>
        <w:rPr>
          <w:lang w:val="en-US" w:eastAsia="ru-RU"/>
        </w:rPr>
        <w:t>HeadHunter</w:t>
      </w:r>
      <w:r>
        <w:rPr>
          <w:lang w:eastAsia="ru-RU"/>
        </w:rPr>
        <w:t xml:space="preserve"> отличается от оценки дисконтированием денежных потоков на 41 млрд. рублей, что составляет 77% от ценности методом </w:t>
      </w:r>
      <w:r>
        <w:rPr>
          <w:lang w:val="en-US" w:eastAsia="ru-RU"/>
        </w:rPr>
        <w:t>DCF</w:t>
      </w:r>
      <w:r>
        <w:rPr>
          <w:lang w:eastAsia="ru-RU"/>
        </w:rPr>
        <w:t xml:space="preserve">. В силу того, что </w:t>
      </w:r>
      <w:r>
        <w:rPr>
          <w:lang w:val="en-US" w:eastAsia="ru-RU"/>
        </w:rPr>
        <w:t>HeadHunter</w:t>
      </w:r>
      <w:r>
        <w:rPr>
          <w:lang w:eastAsia="ru-RU"/>
        </w:rPr>
        <w:t xml:space="preserve"> является быстроразвивающейся компанией, темп роста высокий, что не учитывается в методе достигнутой стоимости и демонстрирует</w:t>
      </w:r>
      <w:r w:rsidR="005B2409">
        <w:rPr>
          <w:lang w:eastAsia="ru-RU"/>
        </w:rPr>
        <w:t xml:space="preserve"> результат ниже. </w:t>
      </w:r>
    </w:p>
    <w:p w14:paraId="77695BFF" w14:textId="59A031F9" w:rsidR="00762AD5" w:rsidRDefault="00A74D53" w:rsidP="00A74D53">
      <w:pPr>
        <w:pStyle w:val="2"/>
        <w:rPr>
          <w:lang w:eastAsia="ru-RU"/>
        </w:rPr>
      </w:pPr>
      <w:bookmarkStart w:id="30" w:name="_Toc41822249"/>
      <w:r>
        <w:rPr>
          <w:lang w:eastAsia="ru-RU"/>
        </w:rPr>
        <w:t>Выводы по главе 3</w:t>
      </w:r>
      <w:bookmarkEnd w:id="30"/>
      <w:r>
        <w:rPr>
          <w:lang w:eastAsia="ru-RU"/>
        </w:rPr>
        <w:t xml:space="preserve"> </w:t>
      </w:r>
    </w:p>
    <w:p w14:paraId="112C5338" w14:textId="6CC3239A" w:rsidR="00FD01C6" w:rsidRDefault="00762AD5" w:rsidP="00FD01C6">
      <w:pPr>
        <w:rPr>
          <w:lang w:eastAsia="ru-RU"/>
        </w:rPr>
      </w:pPr>
      <w:r>
        <w:rPr>
          <w:lang w:eastAsia="ru-RU"/>
        </w:rPr>
        <w:t xml:space="preserve">В результате оценки ценности </w:t>
      </w:r>
      <w:r w:rsidR="00F65901">
        <w:rPr>
          <w:lang w:eastAsia="ru-RU"/>
        </w:rPr>
        <w:t xml:space="preserve">российских компаний </w:t>
      </w:r>
      <w:r w:rsidR="006B67C2">
        <w:rPr>
          <w:lang w:eastAsia="ru-RU"/>
        </w:rPr>
        <w:t>ПАО «</w:t>
      </w:r>
      <w:r w:rsidR="00F65901">
        <w:rPr>
          <w:lang w:eastAsia="ru-RU"/>
        </w:rPr>
        <w:t>НКХП</w:t>
      </w:r>
      <w:r w:rsidR="006B67C2">
        <w:rPr>
          <w:lang w:eastAsia="ru-RU"/>
        </w:rPr>
        <w:t>»</w:t>
      </w:r>
      <w:r w:rsidR="00F65901">
        <w:rPr>
          <w:lang w:eastAsia="ru-RU"/>
        </w:rPr>
        <w:t xml:space="preserve">, </w:t>
      </w:r>
      <w:r w:rsidR="006B67C2">
        <w:rPr>
          <w:lang w:eastAsia="ru-RU"/>
        </w:rPr>
        <w:t>ПАО «</w:t>
      </w:r>
      <w:r w:rsidR="00F65901">
        <w:rPr>
          <w:lang w:eastAsia="ru-RU"/>
        </w:rPr>
        <w:t>Новатэк</w:t>
      </w:r>
      <w:r w:rsidR="006B67C2">
        <w:rPr>
          <w:lang w:eastAsia="ru-RU"/>
        </w:rPr>
        <w:t>»</w:t>
      </w:r>
      <w:r w:rsidR="00F65901">
        <w:rPr>
          <w:lang w:eastAsia="ru-RU"/>
        </w:rPr>
        <w:t xml:space="preserve">, </w:t>
      </w:r>
      <w:r w:rsidR="006B67C2">
        <w:rPr>
          <w:lang w:eastAsia="ru-RU"/>
        </w:rPr>
        <w:t>АК «</w:t>
      </w:r>
      <w:r w:rsidR="00F65901">
        <w:rPr>
          <w:lang w:eastAsia="ru-RU"/>
        </w:rPr>
        <w:t>Алроса</w:t>
      </w:r>
      <w:r w:rsidR="006B67C2">
        <w:rPr>
          <w:lang w:eastAsia="ru-RU"/>
        </w:rPr>
        <w:t>»</w:t>
      </w:r>
      <w:r w:rsidR="00F65901">
        <w:rPr>
          <w:lang w:eastAsia="ru-RU"/>
        </w:rPr>
        <w:t xml:space="preserve">, </w:t>
      </w:r>
      <w:r w:rsidR="006B67C2">
        <w:rPr>
          <w:lang w:eastAsia="ru-RU"/>
        </w:rPr>
        <w:t>ПАО «</w:t>
      </w:r>
      <w:r w:rsidR="00F65901">
        <w:rPr>
          <w:lang w:eastAsia="ru-RU"/>
        </w:rPr>
        <w:t>Акрон</w:t>
      </w:r>
      <w:r w:rsidR="006B67C2">
        <w:rPr>
          <w:lang w:eastAsia="ru-RU"/>
        </w:rPr>
        <w:t>»</w:t>
      </w:r>
      <w:r w:rsidR="00F65901">
        <w:rPr>
          <w:lang w:eastAsia="ru-RU"/>
        </w:rPr>
        <w:t xml:space="preserve"> и </w:t>
      </w:r>
      <w:r>
        <w:rPr>
          <w:lang w:val="en-US" w:eastAsia="ru-RU"/>
        </w:rPr>
        <w:t>HeadHunter</w:t>
      </w:r>
      <w:r w:rsidRPr="00762AD5">
        <w:rPr>
          <w:lang w:eastAsia="ru-RU"/>
        </w:rPr>
        <w:t xml:space="preserve"> </w:t>
      </w:r>
      <w:r w:rsidR="0066766A">
        <w:rPr>
          <w:lang w:eastAsia="ru-RU"/>
        </w:rPr>
        <w:t xml:space="preserve">двумя </w:t>
      </w:r>
      <w:r>
        <w:rPr>
          <w:lang w:eastAsia="ru-RU"/>
        </w:rPr>
        <w:t xml:space="preserve">методами </w:t>
      </w:r>
      <w:r w:rsidR="00FD01C6">
        <w:rPr>
          <w:lang w:eastAsia="ru-RU"/>
        </w:rPr>
        <w:t xml:space="preserve">можно сделать </w:t>
      </w:r>
      <w:r w:rsidR="0066766A">
        <w:rPr>
          <w:lang w:eastAsia="ru-RU"/>
        </w:rPr>
        <w:t xml:space="preserve">вывод, что оценка компаний с низким темпом роста методом достигнутой стоимости </w:t>
      </w:r>
      <w:r w:rsidR="006A213E">
        <w:rPr>
          <w:lang w:eastAsia="ru-RU"/>
        </w:rPr>
        <w:t>сопоставима с</w:t>
      </w:r>
      <w:r w:rsidR="0066766A">
        <w:rPr>
          <w:lang w:eastAsia="ru-RU"/>
        </w:rPr>
        <w:t xml:space="preserve"> результатам</w:t>
      </w:r>
      <w:r w:rsidR="006A213E">
        <w:rPr>
          <w:lang w:eastAsia="ru-RU"/>
        </w:rPr>
        <w:t>и</w:t>
      </w:r>
      <w:r w:rsidR="0066766A">
        <w:rPr>
          <w:lang w:eastAsia="ru-RU"/>
        </w:rPr>
        <w:t xml:space="preserve"> дисконтирования денежных потоков. </w:t>
      </w:r>
    </w:p>
    <w:p w14:paraId="68DDA07D" w14:textId="1539C3F5" w:rsidR="007A765B" w:rsidRDefault="00653FC3" w:rsidP="00653FC3">
      <w:pPr>
        <w:rPr>
          <w:lang w:eastAsia="ru-RU"/>
        </w:rPr>
      </w:pPr>
      <w:r>
        <w:rPr>
          <w:lang w:eastAsia="ru-RU"/>
        </w:rPr>
        <w:t xml:space="preserve">Прежде всего, </w:t>
      </w:r>
      <w:r w:rsidR="0066766A">
        <w:rPr>
          <w:lang w:eastAsia="ru-RU"/>
        </w:rPr>
        <w:t xml:space="preserve">результаты оценки ценности были сопоставимы у компаний </w:t>
      </w:r>
      <w:r w:rsidR="00E873D0">
        <w:rPr>
          <w:lang w:eastAsia="ru-RU"/>
        </w:rPr>
        <w:t xml:space="preserve">с темпом роста в 7-9%, при темпе роста выручки ниже и равным 1-2% значения стоимости альтернативным методом выше, чем при </w:t>
      </w:r>
      <w:r w:rsidR="00E873D0">
        <w:rPr>
          <w:lang w:val="en-US" w:eastAsia="ru-RU"/>
        </w:rPr>
        <w:t>DCF</w:t>
      </w:r>
      <w:r w:rsidR="00E873D0" w:rsidRPr="00E873D0">
        <w:rPr>
          <w:lang w:eastAsia="ru-RU"/>
        </w:rPr>
        <w:t xml:space="preserve">. </w:t>
      </w:r>
      <w:r w:rsidR="00E873D0">
        <w:rPr>
          <w:lang w:eastAsia="ru-RU"/>
        </w:rPr>
        <w:t xml:space="preserve">При этом оценка </w:t>
      </w:r>
      <w:r w:rsidR="00E873D0">
        <w:rPr>
          <w:lang w:val="en-US" w:eastAsia="ru-RU"/>
        </w:rPr>
        <w:t>HeadHunter</w:t>
      </w:r>
      <w:r w:rsidR="00E873D0">
        <w:rPr>
          <w:lang w:eastAsia="ru-RU"/>
        </w:rPr>
        <w:t xml:space="preserve"> демонстрирует разрыв в результатах двух методов, </w:t>
      </w:r>
      <w:r>
        <w:rPr>
          <w:lang w:eastAsia="ru-RU"/>
        </w:rPr>
        <w:t xml:space="preserve">причиной </w:t>
      </w:r>
      <w:r w:rsidR="00E873D0">
        <w:rPr>
          <w:lang w:eastAsia="ru-RU"/>
        </w:rPr>
        <w:t xml:space="preserve">является </w:t>
      </w:r>
      <w:r>
        <w:rPr>
          <w:lang w:eastAsia="ru-RU"/>
        </w:rPr>
        <w:t xml:space="preserve">высокий темп </w:t>
      </w:r>
      <w:r>
        <w:rPr>
          <w:lang w:eastAsia="ru-RU"/>
        </w:rPr>
        <w:lastRenderedPageBreak/>
        <w:t>роста компании</w:t>
      </w:r>
      <w:r w:rsidR="004C234E">
        <w:rPr>
          <w:lang w:eastAsia="ru-RU"/>
        </w:rPr>
        <w:t xml:space="preserve"> и </w:t>
      </w:r>
      <w:r>
        <w:rPr>
          <w:lang w:eastAsia="ru-RU"/>
        </w:rPr>
        <w:t xml:space="preserve">высокотехнологичная, быстроразвивающаяся отрасль. </w:t>
      </w:r>
      <w:r w:rsidR="00E873D0">
        <w:rPr>
          <w:lang w:eastAsia="ru-RU"/>
        </w:rPr>
        <w:t xml:space="preserve">Таким образом, можно сделать вывод, что </w:t>
      </w:r>
      <w:r w:rsidR="007A765B">
        <w:rPr>
          <w:lang w:eastAsia="ru-RU"/>
        </w:rPr>
        <w:t xml:space="preserve">достигнутая стоимость демонстрирует наиболее точный результат для компаний со средним темпом роста. Для компаний с заниженным темпом роста выручки или высоким результат оценки методом достигнутой стоимостью будет завышенным или заниженным, соответственно. </w:t>
      </w:r>
    </w:p>
    <w:p w14:paraId="2A82477A" w14:textId="3C90208C" w:rsidR="003D42C5" w:rsidRDefault="007A765B" w:rsidP="000945C8">
      <w:pPr>
        <w:rPr>
          <w:lang w:eastAsia="ru-RU"/>
        </w:rPr>
      </w:pPr>
      <w:r>
        <w:rPr>
          <w:lang w:eastAsia="ru-RU"/>
        </w:rPr>
        <w:t>О</w:t>
      </w:r>
      <w:r w:rsidR="009D0B5F">
        <w:rPr>
          <w:lang w:eastAsia="ru-RU"/>
        </w:rPr>
        <w:t xml:space="preserve">ценка </w:t>
      </w:r>
      <w:r>
        <w:rPr>
          <w:lang w:eastAsia="ru-RU"/>
        </w:rPr>
        <w:t xml:space="preserve">методом достигнутой стоимостью </w:t>
      </w:r>
      <w:r w:rsidR="00FD01C6">
        <w:rPr>
          <w:lang w:eastAsia="ru-RU"/>
        </w:rPr>
        <w:t>позволяет</w:t>
      </w:r>
      <w:r w:rsidR="009D0B5F">
        <w:rPr>
          <w:lang w:eastAsia="ru-RU"/>
        </w:rPr>
        <w:t xml:space="preserve"> проанализировать </w:t>
      </w:r>
      <w:r w:rsidR="00FD01C6">
        <w:rPr>
          <w:lang w:eastAsia="ru-RU"/>
        </w:rPr>
        <w:t>компанию на сегодняшний день без учета будущих перспектив</w:t>
      </w:r>
      <w:r>
        <w:rPr>
          <w:lang w:eastAsia="ru-RU"/>
        </w:rPr>
        <w:t>, тем самым подходит для компаний стабильных и на стадии зрелости жизненного цикла</w:t>
      </w:r>
      <w:r w:rsidR="009D0B5F">
        <w:rPr>
          <w:lang w:eastAsia="ru-RU"/>
        </w:rPr>
        <w:t>.</w:t>
      </w:r>
      <w:r>
        <w:rPr>
          <w:lang w:eastAsia="ru-RU"/>
        </w:rPr>
        <w:t xml:space="preserve"> </w:t>
      </w:r>
      <w:r w:rsidR="00FE0AC4">
        <w:rPr>
          <w:lang w:eastAsia="ru-RU"/>
        </w:rPr>
        <w:t xml:space="preserve">Метод достигнутой стоимости демонстрирует динамику </w:t>
      </w:r>
      <w:r w:rsidR="00653FC3">
        <w:rPr>
          <w:lang w:eastAsia="ru-RU"/>
        </w:rPr>
        <w:t xml:space="preserve">прошлого </w:t>
      </w:r>
      <w:r w:rsidR="00FE0AC4">
        <w:rPr>
          <w:lang w:eastAsia="ru-RU"/>
        </w:rPr>
        <w:t>развития компании и повышения эффективности управления</w:t>
      </w:r>
      <w:r w:rsidR="00653FC3">
        <w:rPr>
          <w:lang w:eastAsia="ru-RU"/>
        </w:rPr>
        <w:t xml:space="preserve">. Данный метод позволяет сравнить стоимость бизнеса сегодня с предыдущими значениями, тем самым проанализировать рост компании и достижение поставленных целей. В отличии от метода </w:t>
      </w:r>
      <w:r w:rsidR="00653FC3">
        <w:rPr>
          <w:lang w:val="en-US" w:eastAsia="ru-RU"/>
        </w:rPr>
        <w:t>DCF</w:t>
      </w:r>
      <w:r w:rsidR="00653FC3">
        <w:rPr>
          <w:lang w:eastAsia="ru-RU"/>
        </w:rPr>
        <w:t xml:space="preserve">, в котором пересчет ценности компании ежегодно является трудоемким и затратным процессом, метод достигнутой стоимости можно обновлять в любое время, даже по результатам каждого месяца. </w:t>
      </w:r>
      <w:r w:rsidR="003D42C5" w:rsidRPr="009B3BE8">
        <w:rPr>
          <w:lang w:eastAsia="ru-RU"/>
        </w:rPr>
        <w:br w:type="page"/>
      </w:r>
    </w:p>
    <w:p w14:paraId="548665B9" w14:textId="0A13F2FD" w:rsidR="009D572A" w:rsidRDefault="009D572A" w:rsidP="009D572A">
      <w:pPr>
        <w:pStyle w:val="1"/>
        <w:rPr>
          <w:lang w:eastAsia="ru-RU"/>
        </w:rPr>
      </w:pPr>
      <w:bookmarkStart w:id="31" w:name="_Toc41822250"/>
      <w:r>
        <w:rPr>
          <w:lang w:eastAsia="ru-RU"/>
        </w:rPr>
        <w:lastRenderedPageBreak/>
        <w:t>Заключение</w:t>
      </w:r>
      <w:bookmarkEnd w:id="31"/>
    </w:p>
    <w:p w14:paraId="1B3AFDF3" w14:textId="20254614" w:rsidR="00935A77" w:rsidRDefault="00E6202D" w:rsidP="009D572A">
      <w:r>
        <w:t xml:space="preserve">Оценка ценности компании </w:t>
      </w:r>
      <w:r w:rsidR="00BD7E53">
        <w:t xml:space="preserve">является неотъемлемым элементом управления бизнесом: концепция </w:t>
      </w:r>
      <w:r w:rsidR="00BD7E53">
        <w:rPr>
          <w:lang w:val="en-US"/>
        </w:rPr>
        <w:t>Value</w:t>
      </w:r>
      <w:r w:rsidR="00BD7E53" w:rsidRPr="00BD7E53">
        <w:t>-</w:t>
      </w:r>
      <w:r w:rsidR="00BD7E53">
        <w:rPr>
          <w:lang w:val="en-US"/>
        </w:rPr>
        <w:t>based</w:t>
      </w:r>
      <w:r w:rsidR="00BD7E53" w:rsidRPr="00BD7E53">
        <w:t xml:space="preserve"> </w:t>
      </w:r>
      <w:r w:rsidR="00BD7E53">
        <w:rPr>
          <w:lang w:val="en-US"/>
        </w:rPr>
        <w:t>management</w:t>
      </w:r>
      <w:r w:rsidR="00BD7E53">
        <w:t xml:space="preserve"> широко применяется во многих крупных</w:t>
      </w:r>
      <w:r w:rsidR="000A70BB">
        <w:t xml:space="preserve"> </w:t>
      </w:r>
      <w:r w:rsidR="00BD7E53">
        <w:t xml:space="preserve">организациях. В современных условиях отсутствуют конкретно обозначенные правила и нормы оценки бизнеса — компании в праве применять разные методы для вычисления </w:t>
      </w:r>
      <w:r w:rsidR="004D4A5E">
        <w:t xml:space="preserve">ценности. </w:t>
      </w:r>
      <w:r w:rsidR="00CC0A46">
        <w:t>Существуют классические подходы к оценке стоимости бизнеса: доходный, затратный и сравнительный — и «</w:t>
      </w:r>
      <w:r w:rsidR="00CC0A46" w:rsidRPr="00FF02B6">
        <w:t>новые», усовершенствованные способы</w:t>
      </w:r>
      <w:r w:rsidR="006B67C2">
        <w:t>,</w:t>
      </w:r>
      <w:r w:rsidR="00CC0A46" w:rsidRPr="00FF02B6">
        <w:t xml:space="preserve"> такие как модель Ольсона, КОНОК или метод достигнутой стоимости.</w:t>
      </w:r>
      <w:r w:rsidR="00CC0A46">
        <w:t xml:space="preserve"> </w:t>
      </w:r>
    </w:p>
    <w:p w14:paraId="3C8F8443" w14:textId="1F3203AA" w:rsidR="0043730A" w:rsidRDefault="00FF02B6" w:rsidP="00FF02B6">
      <w:r>
        <w:t xml:space="preserve">Наиболее распространенным </w:t>
      </w:r>
      <w:r w:rsidR="008343DD">
        <w:t xml:space="preserve">классическим </w:t>
      </w:r>
      <w:r>
        <w:t xml:space="preserve">способом оценки является метод дисконтирования денежных потоков, </w:t>
      </w:r>
      <w:r w:rsidR="00CC0A46">
        <w:t>который входит в доходный подход</w:t>
      </w:r>
      <w:r>
        <w:t>.</w:t>
      </w:r>
      <w:r w:rsidR="002C243E">
        <w:t xml:space="preserve"> </w:t>
      </w:r>
      <w:r w:rsidR="0043730A">
        <w:t>Затратный</w:t>
      </w:r>
      <w:r w:rsidR="002C243E">
        <w:t xml:space="preserve"> и сравнительный подходы рассматриваются как дополнительные </w:t>
      </w:r>
      <w:r w:rsidR="0043730A">
        <w:t>и проводятся в</w:t>
      </w:r>
      <w:r w:rsidR="008343DD">
        <w:t xml:space="preserve"> качестве дополнения к </w:t>
      </w:r>
      <w:r w:rsidR="0043730A">
        <w:t>доходн</w:t>
      </w:r>
      <w:r w:rsidR="008343DD">
        <w:t>о</w:t>
      </w:r>
      <w:r w:rsidR="0043730A">
        <w:t>м</w:t>
      </w:r>
      <w:r w:rsidR="008343DD">
        <w:t>у</w:t>
      </w:r>
      <w:r w:rsidR="0043730A">
        <w:t xml:space="preserve"> способ</w:t>
      </w:r>
      <w:r w:rsidR="008343DD">
        <w:t>у</w:t>
      </w:r>
      <w:r w:rsidR="0043730A">
        <w:t xml:space="preserve">. </w:t>
      </w:r>
      <w:r w:rsidR="001318F3">
        <w:t>Несмотря на распространённость</w:t>
      </w:r>
      <w:r w:rsidR="0043730A">
        <w:t xml:space="preserve"> </w:t>
      </w:r>
      <w:r w:rsidR="00CC0A46">
        <w:t>классическ</w:t>
      </w:r>
      <w:r w:rsidR="001318F3">
        <w:t>ого</w:t>
      </w:r>
      <w:r w:rsidR="00CC0A46">
        <w:t xml:space="preserve"> метод </w:t>
      </w:r>
      <w:r w:rsidR="00CC0A46">
        <w:rPr>
          <w:lang w:val="en-US"/>
        </w:rPr>
        <w:t>DCF</w:t>
      </w:r>
      <w:r w:rsidR="001318F3">
        <w:t>, можно выделить</w:t>
      </w:r>
      <w:r w:rsidR="00CC0A46">
        <w:t xml:space="preserve"> ряд значительных недостатков: </w:t>
      </w:r>
      <w:r w:rsidR="00603960">
        <w:t xml:space="preserve">субъективность прогнозов, сложность расчетов, недостоверность данных и возможность финансовых махинаций. </w:t>
      </w:r>
      <w:r w:rsidR="00445E9D">
        <w:t>На основе рассмотренных кейсов компаний и финансовых скандалов</w:t>
      </w:r>
      <w:r w:rsidR="00653FC3">
        <w:t>,</w:t>
      </w:r>
      <w:r w:rsidR="00445E9D">
        <w:t xml:space="preserve"> можно сказать, ошибки и негативные аспекты метода </w:t>
      </w:r>
      <w:r w:rsidR="00445E9D">
        <w:rPr>
          <w:lang w:val="en-US"/>
        </w:rPr>
        <w:t>DCF</w:t>
      </w:r>
      <w:r w:rsidR="00445E9D">
        <w:t xml:space="preserve"> приводят к значительным проблемам. </w:t>
      </w:r>
      <w:r w:rsidR="0043730A">
        <w:t>В силу потребности в корректной оценке ценности компании, нивелирования проблемных аспектов модернизируются и совершенствуются методы</w:t>
      </w:r>
      <w:r w:rsidR="006B67C2">
        <w:t xml:space="preserve">. </w:t>
      </w:r>
    </w:p>
    <w:p w14:paraId="1BEE210B" w14:textId="18A3185D" w:rsidR="00CC0A46" w:rsidRDefault="0043730A" w:rsidP="00FF02B6">
      <w:r>
        <w:t>В данной работе рассмотрены несколько альтернативных способов оценки ценности компании: модель Ольсона, метод корпоративных оценок на основе клиента и достигнутой стоимости. Модель Ольсона является усовершенствованной версией метода Эдвардса-Белла, КОНОК полностью основывается на концепции</w:t>
      </w:r>
      <w:r w:rsidRPr="0043730A">
        <w:t xml:space="preserve"> </w:t>
      </w:r>
      <w:r>
        <w:rPr>
          <w:lang w:val="en-US"/>
        </w:rPr>
        <w:t>DCF</w:t>
      </w:r>
      <w:r>
        <w:t xml:space="preserve">, модернизируя способ вычисления денежных потоков. </w:t>
      </w:r>
      <w:r w:rsidR="00603960">
        <w:t>В</w:t>
      </w:r>
      <w:r w:rsidR="00CC0A46">
        <w:t xml:space="preserve"> то время как метод</w:t>
      </w:r>
      <w:r w:rsidR="00603960">
        <w:t>ика</w:t>
      </w:r>
      <w:r w:rsidR="00CC0A46">
        <w:t xml:space="preserve"> достигнутой стоимости </w:t>
      </w:r>
      <w:r w:rsidR="00603960">
        <w:t xml:space="preserve">существенно отличается от классического </w:t>
      </w:r>
      <w:r>
        <w:t xml:space="preserve">метода </w:t>
      </w:r>
      <w:r>
        <w:rPr>
          <w:lang w:val="en-US"/>
        </w:rPr>
        <w:t>DCF</w:t>
      </w:r>
      <w:r w:rsidR="00603960">
        <w:t xml:space="preserve"> и нивелирует проблемы </w:t>
      </w:r>
      <w:r>
        <w:t>данного метода</w:t>
      </w:r>
      <w:r w:rsidR="00603960">
        <w:t>.</w:t>
      </w:r>
    </w:p>
    <w:p w14:paraId="0013D92F" w14:textId="29A57914" w:rsidR="00603960" w:rsidRDefault="00603960" w:rsidP="009D572A">
      <w:r>
        <w:t xml:space="preserve">Оценка ценности компании методом достигнутой стоимости не предполагает построения прогнозного периода, основывается на показателях </w:t>
      </w:r>
      <w:r>
        <w:rPr>
          <w:lang w:val="en-US"/>
        </w:rPr>
        <w:t>NOPLAT</w:t>
      </w:r>
      <w:r w:rsidRPr="00603960">
        <w:t xml:space="preserve">, </w:t>
      </w:r>
      <w:r>
        <w:rPr>
          <w:lang w:val="en-US"/>
        </w:rPr>
        <w:t>PAC</w:t>
      </w:r>
      <w:r w:rsidRPr="00603960">
        <w:t xml:space="preserve"> </w:t>
      </w:r>
      <w:r>
        <w:t xml:space="preserve">и </w:t>
      </w:r>
      <w:r>
        <w:rPr>
          <w:lang w:val="en-US"/>
        </w:rPr>
        <w:t>ROAA</w:t>
      </w:r>
      <w:r>
        <w:t xml:space="preserve">, в отличии от </w:t>
      </w:r>
      <w:r>
        <w:rPr>
          <w:lang w:val="en-US"/>
        </w:rPr>
        <w:t>DCF</w:t>
      </w:r>
      <w:r>
        <w:t xml:space="preserve">, который базируется на </w:t>
      </w:r>
      <w:r w:rsidRPr="00130A49">
        <w:rPr>
          <w:lang w:val="en-US"/>
        </w:rPr>
        <w:t>EBITDA</w:t>
      </w:r>
      <w:r w:rsidR="00653FC3">
        <w:t xml:space="preserve">, </w:t>
      </w:r>
      <w:r w:rsidR="00653FC3">
        <w:rPr>
          <w:lang w:val="en-US"/>
        </w:rPr>
        <w:t>NI</w:t>
      </w:r>
      <w:r>
        <w:t xml:space="preserve">. Данный метод </w:t>
      </w:r>
      <w:r w:rsidR="00130A49">
        <w:t xml:space="preserve">позволяет </w:t>
      </w:r>
      <w:r>
        <w:t>оцени</w:t>
      </w:r>
      <w:r w:rsidR="00130A49">
        <w:t xml:space="preserve">ть </w:t>
      </w:r>
      <w:r>
        <w:t>некий рубеж, который компания достигла в отчетном периоде.</w:t>
      </w:r>
      <w:r w:rsidR="00130A49">
        <w:t xml:space="preserve"> В то же время, метод достигнутой стоимости не учитывает существенные изменения компании в будущем, но позволяет обновлять ценность компании и демонстрировать достижение компании желаемых результатов для инвесторов. </w:t>
      </w:r>
    </w:p>
    <w:p w14:paraId="2D835960" w14:textId="31208357" w:rsidR="00640A95" w:rsidRPr="00640A95" w:rsidRDefault="006370FB" w:rsidP="006370FB">
      <w:r>
        <w:t xml:space="preserve">В данном исследовании была проведена оценка ценности </w:t>
      </w:r>
      <w:r w:rsidR="00907644">
        <w:t xml:space="preserve">публичных российских компаний: </w:t>
      </w:r>
      <w:r w:rsidR="006B67C2">
        <w:t>ПАО «</w:t>
      </w:r>
      <w:r w:rsidR="00907644">
        <w:t>НКХП</w:t>
      </w:r>
      <w:r w:rsidR="006B67C2">
        <w:t>»</w:t>
      </w:r>
      <w:r w:rsidR="00907644">
        <w:t xml:space="preserve">, </w:t>
      </w:r>
      <w:r w:rsidR="006B67C2">
        <w:t>ПАО «</w:t>
      </w:r>
      <w:r w:rsidR="00907644">
        <w:t>Новатэк</w:t>
      </w:r>
      <w:r w:rsidR="006B67C2">
        <w:t>»</w:t>
      </w:r>
      <w:r w:rsidR="00907644">
        <w:t xml:space="preserve">, </w:t>
      </w:r>
      <w:r w:rsidR="006B67C2">
        <w:t>АК «</w:t>
      </w:r>
      <w:r w:rsidR="00907644">
        <w:t>Алроса</w:t>
      </w:r>
      <w:r w:rsidR="006B67C2">
        <w:t>» (ПАО)</w:t>
      </w:r>
      <w:r w:rsidR="00907644">
        <w:t xml:space="preserve">, </w:t>
      </w:r>
      <w:r w:rsidR="006B67C2">
        <w:t>ПАО «</w:t>
      </w:r>
      <w:r w:rsidR="00907644">
        <w:t>Акрон</w:t>
      </w:r>
      <w:r w:rsidR="006B67C2">
        <w:t>»</w:t>
      </w:r>
      <w:r w:rsidR="00907644">
        <w:t xml:space="preserve"> и </w:t>
      </w:r>
      <w:r w:rsidRPr="00907644">
        <w:rPr>
          <w:lang w:val="en-US"/>
        </w:rPr>
        <w:lastRenderedPageBreak/>
        <w:t>HeadHunter</w:t>
      </w:r>
      <w:r w:rsidR="00907644" w:rsidRPr="00640A95">
        <w:t xml:space="preserve">. </w:t>
      </w:r>
      <w:r w:rsidR="00603960" w:rsidRPr="00640A95">
        <w:t xml:space="preserve">Проведенное исследование </w:t>
      </w:r>
      <w:r w:rsidR="00640A95">
        <w:t xml:space="preserve">подтверждает гипотезу, что оценка ценности компании с низким темпом роста методом достигнутой стоимости соответствует результатам дисконтирования денежных потоков. Ценность компании НКХП методом достигнутой стоимости составила около 32 млрд. рублей, в то время как по методу дисконтирования денежных потоков результат был менее 36 млрд. рублей. Важно отметить, что темп роста выручки компании НКХП составил 8% на прогнозном периоде. Достигнутая стоимость компании Новатэк с 9% темпом роста выручки равна 1 300 млрд. рублей (по методу </w:t>
      </w:r>
      <w:r w:rsidR="00640A95">
        <w:rPr>
          <w:lang w:val="en-US"/>
        </w:rPr>
        <w:t>DCF</w:t>
      </w:r>
      <w:r w:rsidR="00640A95" w:rsidRPr="00640A95">
        <w:t xml:space="preserve"> </w:t>
      </w:r>
      <w:r w:rsidR="00640A95">
        <w:t xml:space="preserve">результат составил около 1 400 млрд. рублей). Оценка ценности компании Алроса методом достигнутой стоимости составила 250 млрд. рублей, а методом дисконтирования денежных потоков — 260 млрд. рублей, при этом темп роста выручка был обозначен в 10%. Результат достигнутой стоимости указанных компаний продемонстрировал близкую ценность к величине по методу </w:t>
      </w:r>
      <w:r w:rsidR="00640A95">
        <w:rPr>
          <w:lang w:val="en-US"/>
        </w:rPr>
        <w:t>DCF</w:t>
      </w:r>
      <w:r w:rsidR="0047524B">
        <w:t xml:space="preserve">, при этом процесс оценки альтернативным методом менее затратный, чем классический доходный. </w:t>
      </w:r>
    </w:p>
    <w:p w14:paraId="726FFB9B" w14:textId="1E91B2B7" w:rsidR="00130A49" w:rsidRPr="00603960" w:rsidRDefault="00642184" w:rsidP="006370FB">
      <w:r w:rsidRPr="00642184">
        <w:t xml:space="preserve">На основе </w:t>
      </w:r>
      <w:r>
        <w:t xml:space="preserve">результатов компаний </w:t>
      </w:r>
      <w:r>
        <w:rPr>
          <w:lang w:val="en-US"/>
        </w:rPr>
        <w:t>HeadHunter</w:t>
      </w:r>
      <w:r w:rsidRPr="00642184">
        <w:t xml:space="preserve"> </w:t>
      </w:r>
      <w:r>
        <w:t xml:space="preserve">и Алроса с темпом роста выручки в 20% и 1%, соответственно, можно сделать вывод, что метод достигнутой стоимости не предназначен для оценки компаний с высокими перспективами развития или негативными ожиданиями. </w:t>
      </w:r>
      <w:r w:rsidR="00B46AEE">
        <w:t xml:space="preserve">Таким образом, чем стабильнее компании, тем ближе результат оценки ценности методом достигнутой стоимости к </w:t>
      </w:r>
      <w:r w:rsidR="00B46AEE">
        <w:rPr>
          <w:lang w:val="en-US"/>
        </w:rPr>
        <w:t>DCF</w:t>
      </w:r>
      <w:r w:rsidR="00B46AEE" w:rsidRPr="00B46AEE">
        <w:t xml:space="preserve">. </w:t>
      </w:r>
      <w:r w:rsidR="00B46AEE">
        <w:t xml:space="preserve"> </w:t>
      </w:r>
      <w:r w:rsidR="00675E21">
        <w:t>Для</w:t>
      </w:r>
      <w:r>
        <w:t xml:space="preserve"> компаний </w:t>
      </w:r>
      <w:r w:rsidR="00675E21">
        <w:t xml:space="preserve">с высоким темпом роста (как </w:t>
      </w:r>
      <w:r w:rsidR="00675E21">
        <w:rPr>
          <w:lang w:val="en-US"/>
        </w:rPr>
        <w:t>HeadHunter</w:t>
      </w:r>
      <w:r w:rsidR="00675E21" w:rsidRPr="00675E21">
        <w:t xml:space="preserve">) </w:t>
      </w:r>
      <w:r>
        <w:t>метод достигнутой стоимости можно быть применен в качестве начальной оценки и расчета ценности на сегодняшний день. При оценке ценности методом дисконтирования денежных потоков, сравнение с результатом достигнутой стоимости, будет наглядно отображать ожидаемый рост компании и позволять оперативно управлять компанией.</w:t>
      </w:r>
      <w:r w:rsidR="00B46AEE">
        <w:t xml:space="preserve"> </w:t>
      </w:r>
    </w:p>
    <w:p w14:paraId="2D4ACC82" w14:textId="574CE559" w:rsidR="009D572A" w:rsidRPr="009D572A" w:rsidRDefault="009D572A" w:rsidP="000945C8">
      <w:r>
        <w:t>С практической точки зрения результаты данного исследования применимы для</w:t>
      </w:r>
      <w:r w:rsidR="00FE06D5">
        <w:t xml:space="preserve"> </w:t>
      </w:r>
      <w:r w:rsidR="00935A77">
        <w:t>определени</w:t>
      </w:r>
      <w:r w:rsidR="00CC0A46">
        <w:t xml:space="preserve">я компаниями </w:t>
      </w:r>
      <w:r w:rsidR="00935A77">
        <w:t>корректного метода оценки ценност</w:t>
      </w:r>
      <w:r w:rsidR="00CC0A46">
        <w:t>и</w:t>
      </w:r>
      <w:r w:rsidR="00935A77">
        <w:t>. Так, крупным, быстроразвивающимся компаниям не стоит отказываться от классического метода дисконтирования денежных потоков в надежде нивелировать ошибки субъективности прогнозов</w:t>
      </w:r>
      <w:r w:rsidR="009D4FD5">
        <w:t xml:space="preserve"> и трудоемкости процесса оценки</w:t>
      </w:r>
      <w:r w:rsidR="00935A77">
        <w:t>. Согласно полученному результату,</w:t>
      </w:r>
      <w:r w:rsidR="009D4FD5">
        <w:t xml:space="preserve"> </w:t>
      </w:r>
      <w:r w:rsidR="00935A77">
        <w:t>метод достигнутой стоимости позволяет</w:t>
      </w:r>
      <w:r w:rsidR="009D4FD5">
        <w:t xml:space="preserve"> быстро и оперативно оценить ценность </w:t>
      </w:r>
      <w:r w:rsidR="000D095D">
        <w:t xml:space="preserve">стабильных </w:t>
      </w:r>
      <w:r w:rsidR="009D4FD5">
        <w:t xml:space="preserve">компании и получить близкий результат к методу дисконтирования денежных потоков. Метод достигнутой стоимости </w:t>
      </w:r>
      <w:r w:rsidR="00B02296">
        <w:t>может быть использован на практике для оценки</w:t>
      </w:r>
      <w:r w:rsidR="00935A77">
        <w:t xml:space="preserve"> рост</w:t>
      </w:r>
      <w:r w:rsidR="00B02296">
        <w:t>а</w:t>
      </w:r>
      <w:r w:rsidR="00935A77">
        <w:t xml:space="preserve"> компании и эффективност</w:t>
      </w:r>
      <w:r w:rsidR="00B02296">
        <w:t>и</w:t>
      </w:r>
      <w:r w:rsidR="00935A77">
        <w:t xml:space="preserve"> управления благодаря возможности сравнения результатов ценности с прошлыми отчетными периодами. </w:t>
      </w:r>
      <w:r>
        <w:rPr>
          <w:lang w:eastAsia="ru-RU"/>
        </w:rPr>
        <w:br w:type="page"/>
      </w:r>
    </w:p>
    <w:p w14:paraId="54C27194" w14:textId="399C6637" w:rsidR="00BA62FA" w:rsidRPr="000D095D" w:rsidRDefault="008F1390" w:rsidP="00BA62FA">
      <w:pPr>
        <w:pStyle w:val="1"/>
        <w:rPr>
          <w:lang w:eastAsia="ru-RU"/>
        </w:rPr>
      </w:pPr>
      <w:bookmarkStart w:id="32" w:name="_Toc41822251"/>
      <w:r>
        <w:rPr>
          <w:lang w:eastAsia="ru-RU"/>
        </w:rPr>
        <w:lastRenderedPageBreak/>
        <w:t>Список</w:t>
      </w:r>
      <w:r w:rsidRPr="000D095D">
        <w:rPr>
          <w:lang w:eastAsia="ru-RU"/>
        </w:rPr>
        <w:t xml:space="preserve"> </w:t>
      </w:r>
      <w:r>
        <w:rPr>
          <w:lang w:eastAsia="ru-RU"/>
        </w:rPr>
        <w:t>использованной</w:t>
      </w:r>
      <w:r w:rsidRPr="000D095D">
        <w:rPr>
          <w:lang w:eastAsia="ru-RU"/>
        </w:rPr>
        <w:t xml:space="preserve"> </w:t>
      </w:r>
      <w:r>
        <w:rPr>
          <w:lang w:eastAsia="ru-RU"/>
        </w:rPr>
        <w:t>литературы</w:t>
      </w:r>
      <w:bookmarkEnd w:id="32"/>
      <w:r w:rsidRPr="000D095D">
        <w:rPr>
          <w:lang w:eastAsia="ru-RU"/>
        </w:rPr>
        <w:t xml:space="preserve"> </w:t>
      </w:r>
    </w:p>
    <w:p w14:paraId="6788CC1B" w14:textId="77777777" w:rsidR="00287F85" w:rsidRDefault="00287F85" w:rsidP="00287F85">
      <w:pPr>
        <w:pStyle w:val="af8"/>
        <w:numPr>
          <w:ilvl w:val="0"/>
          <w:numId w:val="35"/>
        </w:numPr>
        <w:ind w:left="0" w:firstLine="0"/>
      </w:pPr>
      <w:proofErr w:type="spellStart"/>
      <w:r w:rsidRPr="00BF71ED">
        <w:t>Аллавердян</w:t>
      </w:r>
      <w:proofErr w:type="spellEnd"/>
      <w:r w:rsidRPr="00BF71ED">
        <w:t xml:space="preserve"> В.В.</w:t>
      </w:r>
      <w:r>
        <w:t xml:space="preserve"> </w:t>
      </w:r>
      <w:r w:rsidRPr="00BF71ED">
        <w:t xml:space="preserve">Оценка информации (знаний) </w:t>
      </w:r>
      <w:r>
        <w:t xml:space="preserve">// </w:t>
      </w:r>
      <w:r w:rsidRPr="00BF71ED">
        <w:t xml:space="preserve">Деловая и научная литература, 2019. — 60 с. </w:t>
      </w:r>
    </w:p>
    <w:p w14:paraId="060B23F8" w14:textId="35158971" w:rsidR="00287F85" w:rsidRDefault="00287F85" w:rsidP="00287F85">
      <w:pPr>
        <w:pStyle w:val="af8"/>
        <w:numPr>
          <w:ilvl w:val="0"/>
          <w:numId w:val="35"/>
        </w:numPr>
        <w:ind w:left="0" w:firstLine="0"/>
      </w:pPr>
      <w:r>
        <w:t xml:space="preserve">Бабичева Н.В., Попова И.В. Особенности оценки стоимости предприятия методом ликвидационной стоимости // Аллея науки. — 2017. — Т.3, №9. — с. 18-22. </w:t>
      </w:r>
    </w:p>
    <w:p w14:paraId="746F93BE" w14:textId="77777777" w:rsidR="00287F85" w:rsidRDefault="00287F85" w:rsidP="00287F85">
      <w:pPr>
        <w:pStyle w:val="af8"/>
        <w:numPr>
          <w:ilvl w:val="0"/>
          <w:numId w:val="35"/>
        </w:numPr>
        <w:ind w:left="0" w:firstLine="0"/>
      </w:pPr>
      <w:proofErr w:type="spellStart"/>
      <w:r w:rsidRPr="00A34226">
        <w:t>Битюцких</w:t>
      </w:r>
      <w:proofErr w:type="spellEnd"/>
      <w:r w:rsidRPr="00A34226">
        <w:t xml:space="preserve"> В.Т. Формула стоимости. Оценка стоимости компаний. / В.Т. </w:t>
      </w:r>
      <w:proofErr w:type="spellStart"/>
      <w:r w:rsidRPr="00A34226">
        <w:t>Битюцких</w:t>
      </w:r>
      <w:proofErr w:type="spellEnd"/>
      <w:r w:rsidRPr="00A34226">
        <w:t>. — 1-е изд. — М.: Олимп-Бизнес, 2016. — 216 с.</w:t>
      </w:r>
    </w:p>
    <w:p w14:paraId="7783D821" w14:textId="77777777" w:rsidR="00287F85" w:rsidRDefault="00287F85" w:rsidP="00287F85">
      <w:pPr>
        <w:pStyle w:val="af8"/>
        <w:numPr>
          <w:ilvl w:val="0"/>
          <w:numId w:val="35"/>
        </w:numPr>
        <w:ind w:left="0" w:firstLine="0"/>
      </w:pPr>
      <w:proofErr w:type="spellStart"/>
      <w:r>
        <w:t>Бобиенко</w:t>
      </w:r>
      <w:proofErr w:type="spellEnd"/>
      <w:r>
        <w:t xml:space="preserve"> О. А. Подходы и методы оценки стоимости компании в современных условиях // Вестник ТИСБИ. — Казань, 2018. — №3. — С.157-161.</w:t>
      </w:r>
    </w:p>
    <w:p w14:paraId="180770C9" w14:textId="77777777" w:rsidR="00287F85" w:rsidRDefault="00287F85" w:rsidP="00287F85">
      <w:pPr>
        <w:pStyle w:val="af8"/>
        <w:numPr>
          <w:ilvl w:val="0"/>
          <w:numId w:val="35"/>
        </w:numPr>
        <w:ind w:left="0" w:firstLine="0"/>
      </w:pPr>
      <w:r>
        <w:t xml:space="preserve">Буга А.В., </w:t>
      </w:r>
      <w:proofErr w:type="spellStart"/>
      <w:r>
        <w:t>Канова</w:t>
      </w:r>
      <w:proofErr w:type="spellEnd"/>
      <w:r>
        <w:t xml:space="preserve"> А.К. Методические аспекты формирования и дисконтирования денежных потоков при реализации доходного подхода к оценке предприятий // Экономика и управление народным хозяйством (Санкт-Петербург), №7 (9) — 2019 г. — 99-111 с.</w:t>
      </w:r>
    </w:p>
    <w:p w14:paraId="707EA02A" w14:textId="34695F2E" w:rsidR="00287F85" w:rsidRDefault="00287F85" w:rsidP="00287F85">
      <w:pPr>
        <w:pStyle w:val="af8"/>
        <w:numPr>
          <w:ilvl w:val="0"/>
          <w:numId w:val="35"/>
        </w:numPr>
        <w:ind w:left="0" w:firstLine="0"/>
      </w:pPr>
      <w:r>
        <w:t>Буга А.В., Кудряшов В.С., Иванова Е.А. Определение стоимости объекта оценки: сравнительный подход // Экономика и управление народным хозяйством. — СПБ, 2019. — №8(10). — с. 79-91.</w:t>
      </w:r>
    </w:p>
    <w:p w14:paraId="44D36098" w14:textId="77777777" w:rsidR="00287F85" w:rsidRDefault="00287F85" w:rsidP="00287F85">
      <w:pPr>
        <w:pStyle w:val="af8"/>
        <w:numPr>
          <w:ilvl w:val="0"/>
          <w:numId w:val="35"/>
        </w:numPr>
        <w:ind w:left="0" w:firstLine="0"/>
      </w:pPr>
      <w:proofErr w:type="spellStart"/>
      <w:r>
        <w:t>Бухонов</w:t>
      </w:r>
      <w:proofErr w:type="spellEnd"/>
      <w:r>
        <w:t xml:space="preserve"> С.М. Определение коэффициента дисконтирования в российских условиях, параметры ставки дисконтирования // Вестник БГТУ им. </w:t>
      </w:r>
      <w:proofErr w:type="spellStart"/>
      <w:r>
        <w:t>В.Г.Щухова</w:t>
      </w:r>
      <w:proofErr w:type="spellEnd"/>
      <w:r>
        <w:t xml:space="preserve"> — №4, 2013г. — 116-120с.</w:t>
      </w:r>
    </w:p>
    <w:p w14:paraId="7C2D9270" w14:textId="77777777" w:rsidR="00287F85" w:rsidRDefault="00287F85" w:rsidP="00287F85">
      <w:pPr>
        <w:pStyle w:val="af8"/>
        <w:numPr>
          <w:ilvl w:val="0"/>
          <w:numId w:val="35"/>
        </w:numPr>
        <w:ind w:left="0" w:firstLine="0"/>
      </w:pPr>
      <w:r w:rsidRPr="00913472">
        <w:t xml:space="preserve">Владельцы </w:t>
      </w:r>
      <w:r w:rsidRPr="00287F85">
        <w:rPr>
          <w:lang w:val="en-US"/>
        </w:rPr>
        <w:t>HeadHunter</w:t>
      </w:r>
      <w:r w:rsidRPr="00913472">
        <w:t xml:space="preserve"> рассчитывают получить $220 млн в ходе </w:t>
      </w:r>
      <w:r w:rsidRPr="00287F85">
        <w:rPr>
          <w:lang w:val="en-US"/>
        </w:rPr>
        <w:t>IPO</w:t>
      </w:r>
      <w:r w:rsidRPr="00913472">
        <w:t xml:space="preserve"> // Ведомости [Электронный ресурс] — Режим доступа: </w:t>
      </w:r>
      <w:r w:rsidRPr="00287F85">
        <w:rPr>
          <w:lang w:val="en-US"/>
        </w:rPr>
        <w:t>https</w:t>
      </w:r>
      <w:r w:rsidRPr="00913472">
        <w:t>://</w:t>
      </w:r>
      <w:r w:rsidRPr="00287F85">
        <w:rPr>
          <w:lang w:val="en-US"/>
        </w:rPr>
        <w:t>www</w:t>
      </w:r>
      <w:r w:rsidRPr="00913472">
        <w:t>.</w:t>
      </w:r>
      <w:proofErr w:type="spellStart"/>
      <w:r w:rsidRPr="00287F85">
        <w:rPr>
          <w:lang w:val="en-US"/>
        </w:rPr>
        <w:t>vedomosti</w:t>
      </w:r>
      <w:proofErr w:type="spellEnd"/>
      <w:r w:rsidRPr="00913472">
        <w:t>.</w:t>
      </w:r>
      <w:proofErr w:type="spellStart"/>
      <w:r w:rsidRPr="00287F85">
        <w:rPr>
          <w:lang w:val="en-US"/>
        </w:rPr>
        <w:t>ru</w:t>
      </w:r>
      <w:proofErr w:type="spellEnd"/>
      <w:r w:rsidRPr="00913472">
        <w:t>/</w:t>
      </w:r>
      <w:r w:rsidRPr="00287F85">
        <w:rPr>
          <w:lang w:val="en-US"/>
        </w:rPr>
        <w:t>technology</w:t>
      </w:r>
      <w:r w:rsidRPr="00913472">
        <w:t>/</w:t>
      </w:r>
      <w:r w:rsidRPr="00287F85">
        <w:rPr>
          <w:lang w:val="en-US"/>
        </w:rPr>
        <w:t>articles</w:t>
      </w:r>
      <w:r w:rsidRPr="00913472">
        <w:t>/2019/05/09/801097-</w:t>
      </w:r>
      <w:r w:rsidRPr="00287F85">
        <w:rPr>
          <w:lang w:val="en-US"/>
        </w:rPr>
        <w:t>headhunter</w:t>
      </w:r>
      <w:r w:rsidRPr="00913472">
        <w:t xml:space="preserve">, свободный. </w:t>
      </w:r>
      <w:r w:rsidRPr="00BA62FA">
        <w:t>(Дата обращения: 27.03.2020)</w:t>
      </w:r>
    </w:p>
    <w:p w14:paraId="7B57D01D" w14:textId="77777777" w:rsidR="00287F85" w:rsidRDefault="00287F85" w:rsidP="00287F85">
      <w:pPr>
        <w:pStyle w:val="af8"/>
        <w:numPr>
          <w:ilvl w:val="0"/>
          <w:numId w:val="35"/>
        </w:numPr>
        <w:ind w:left="0" w:firstLine="0"/>
      </w:pPr>
      <w:proofErr w:type="spellStart"/>
      <w:r>
        <w:t>Грабилина</w:t>
      </w:r>
      <w:proofErr w:type="spellEnd"/>
      <w:r>
        <w:t xml:space="preserve"> А.С. Использование метода отраслевых коэффициентов в антикризисном управлении // Молодежный научный потенциал XXI века: ступени познания. — Новосибирск, 2017. — с. 125-129. </w:t>
      </w:r>
    </w:p>
    <w:p w14:paraId="72D7EB6F" w14:textId="77777777" w:rsidR="00287F85" w:rsidRDefault="00287F85" w:rsidP="00287F85">
      <w:pPr>
        <w:pStyle w:val="af8"/>
        <w:numPr>
          <w:ilvl w:val="0"/>
          <w:numId w:val="35"/>
        </w:numPr>
        <w:ind w:left="0" w:firstLine="0"/>
      </w:pPr>
      <w:r w:rsidRPr="001547CB">
        <w:t xml:space="preserve">Дамодаран А. Инвестиционная оценка. Инструменты и методы оценки любых активов / А. Дамодаран. — 7-е изд. – М.: Альпина </w:t>
      </w:r>
      <w:proofErr w:type="spellStart"/>
      <w:r w:rsidRPr="001547CB">
        <w:t>Паблишер</w:t>
      </w:r>
      <w:proofErr w:type="spellEnd"/>
      <w:r w:rsidRPr="001547CB">
        <w:t>, 2011. — 1316 с.</w:t>
      </w:r>
    </w:p>
    <w:p w14:paraId="606FE7C0" w14:textId="77777777" w:rsidR="00287F85" w:rsidRDefault="00287F85" w:rsidP="00287F85">
      <w:pPr>
        <w:pStyle w:val="af8"/>
        <w:numPr>
          <w:ilvl w:val="0"/>
          <w:numId w:val="35"/>
        </w:numPr>
        <w:ind w:left="0" w:firstLine="0"/>
      </w:pPr>
      <w:r>
        <w:t>Дорофеев М.Л. Альтернативная концепция дисконтирования денежных потоков // Финансовая аналитика: проблемы и решения — №7 (241) — 2015г. — 21-36с.</w:t>
      </w:r>
    </w:p>
    <w:p w14:paraId="401A9647" w14:textId="77777777" w:rsidR="00287F85" w:rsidRDefault="00287F85" w:rsidP="00287F85">
      <w:pPr>
        <w:pStyle w:val="af8"/>
        <w:numPr>
          <w:ilvl w:val="0"/>
          <w:numId w:val="35"/>
        </w:numPr>
        <w:ind w:left="0" w:firstLine="0"/>
      </w:pPr>
      <w:r>
        <w:t xml:space="preserve">Захаров Н.В. Метод ликвидационной стоимости в оценке бизнеса: теория и практика // Имущественные отношения в Российской Федерации. — Москва, 2016. — №5(176). — с. 37-55. </w:t>
      </w:r>
    </w:p>
    <w:p w14:paraId="5704005A" w14:textId="77777777" w:rsidR="00287F85" w:rsidRDefault="00287F85" w:rsidP="00287F85">
      <w:pPr>
        <w:pStyle w:val="af8"/>
        <w:numPr>
          <w:ilvl w:val="0"/>
          <w:numId w:val="35"/>
        </w:numPr>
        <w:ind w:left="0" w:firstLine="0"/>
      </w:pPr>
      <w:r w:rsidRPr="00BF71ED">
        <w:t>Злотникова Г.К. Оценка организации по справедливой стоимости – необходимое условие развития малого бизнеса // «</w:t>
      </w:r>
      <w:proofErr w:type="spellStart"/>
      <w:r w:rsidRPr="00BF71ED">
        <w:t>Хроноэкономика</w:t>
      </w:r>
      <w:proofErr w:type="spellEnd"/>
      <w:r w:rsidRPr="00BF71ED">
        <w:t xml:space="preserve">» №4 (12). — Москва, июль 2018. — 4 с. </w:t>
      </w:r>
    </w:p>
    <w:p w14:paraId="4F8E5F60" w14:textId="77777777" w:rsidR="00287F85" w:rsidRDefault="00287F85" w:rsidP="00287F85">
      <w:pPr>
        <w:pStyle w:val="af8"/>
        <w:numPr>
          <w:ilvl w:val="0"/>
          <w:numId w:val="35"/>
        </w:numPr>
        <w:ind w:left="0" w:firstLine="0"/>
      </w:pPr>
      <w:r>
        <w:lastRenderedPageBreak/>
        <w:t>Ивахно О.Е., Симонова Н.Ю. Методы определения ставки дисконтирования при принятии инвестиционных решений в современных условиях // Потенциал российской экономики и инновационные пути его реализации — 2015г. — 376с.</w:t>
      </w:r>
    </w:p>
    <w:p w14:paraId="23EDC82F" w14:textId="77777777" w:rsidR="00287F85" w:rsidRPr="00287F85" w:rsidRDefault="00287F85" w:rsidP="00287F85">
      <w:pPr>
        <w:pStyle w:val="af8"/>
        <w:numPr>
          <w:ilvl w:val="0"/>
          <w:numId w:val="35"/>
        </w:numPr>
        <w:ind w:left="0" w:firstLine="0"/>
      </w:pPr>
      <w:proofErr w:type="spellStart"/>
      <w:r>
        <w:t>Ивашковская</w:t>
      </w:r>
      <w:proofErr w:type="spellEnd"/>
      <w:r>
        <w:t xml:space="preserve"> И.В. Жизненный цикл организации: взгляд финансиста / </w:t>
      </w:r>
      <w:proofErr w:type="spellStart"/>
      <w:r>
        <w:t>И.В.Ивашковская</w:t>
      </w:r>
      <w:proofErr w:type="spellEnd"/>
      <w:r>
        <w:t xml:space="preserve"> // Корпоративные финансы. – 2006. − С. 60-67.</w:t>
      </w:r>
    </w:p>
    <w:p w14:paraId="74257289" w14:textId="77777777" w:rsidR="00287F85" w:rsidRDefault="00287F85" w:rsidP="00287F85">
      <w:pPr>
        <w:pStyle w:val="af8"/>
        <w:numPr>
          <w:ilvl w:val="0"/>
          <w:numId w:val="35"/>
        </w:numPr>
        <w:ind w:left="0" w:firstLine="0"/>
      </w:pPr>
      <w:r>
        <w:t>Изотова З.А., Стаценко Н.Р. Пути преодоления ограничений методов расчета ставки дисконтирования при оценке бизнеса // Научно-практическая конференция «Молодая наука»</w:t>
      </w:r>
    </w:p>
    <w:p w14:paraId="5BA7EC33" w14:textId="77777777" w:rsidR="00287F85" w:rsidRPr="00CA47EF" w:rsidRDefault="00287F85" w:rsidP="00287F85">
      <w:pPr>
        <w:pStyle w:val="af8"/>
        <w:numPr>
          <w:ilvl w:val="0"/>
          <w:numId w:val="35"/>
        </w:numPr>
        <w:ind w:left="0" w:firstLine="0"/>
      </w:pPr>
      <w:r>
        <w:t xml:space="preserve">История компании </w:t>
      </w:r>
      <w:r w:rsidRPr="00287F85">
        <w:rPr>
          <w:lang w:val="en-US"/>
        </w:rPr>
        <w:t>HeadHunter</w:t>
      </w:r>
      <w:r w:rsidRPr="00C537DD">
        <w:t xml:space="preserve"> </w:t>
      </w:r>
      <w:r>
        <w:t xml:space="preserve">// </w:t>
      </w:r>
      <w:proofErr w:type="spellStart"/>
      <w:r w:rsidRPr="00287F85">
        <w:rPr>
          <w:lang w:val="en-US"/>
        </w:rPr>
        <w:t>TAdviser</w:t>
      </w:r>
      <w:proofErr w:type="spellEnd"/>
      <w:r w:rsidRPr="00C537DD">
        <w:t xml:space="preserve"> [</w:t>
      </w:r>
      <w:r>
        <w:t>Электронный ресурс</w:t>
      </w:r>
      <w:r w:rsidRPr="00C537DD">
        <w:t>]</w:t>
      </w:r>
      <w:r>
        <w:t xml:space="preserve"> — Режим доступа: </w:t>
      </w:r>
      <w:hyperlink r:id="rId11" w:history="1">
        <w:r w:rsidRPr="00627CF2">
          <w:rPr>
            <w:rStyle w:val="afa"/>
          </w:rPr>
          <w:t>http://www.tadviser.ru/index.php/%D0%9A%D0%BE%D0%BC%D0%BF%D0%B0%D0%BD%D0%B8%D1%8F:HeadHunter</w:t>
        </w:r>
      </w:hyperlink>
      <w:r>
        <w:t>, свободный. (Дата обращения: 27.03.2020)</w:t>
      </w:r>
    </w:p>
    <w:p w14:paraId="541D593C" w14:textId="77777777" w:rsidR="00287F85" w:rsidRDefault="00287F85" w:rsidP="00287F85">
      <w:pPr>
        <w:pStyle w:val="af8"/>
        <w:numPr>
          <w:ilvl w:val="0"/>
          <w:numId w:val="35"/>
        </w:numPr>
        <w:ind w:left="0" w:firstLine="0"/>
      </w:pPr>
      <w:r>
        <w:t>Козырь Ю.В. Отражение влияния налогообложения доходов в моделях дисконтирования денежных потоков / Ю.В. Козырь // Имущественные отношения в РФ. Оценка всех видов собственности — №10 (109) 2010г. — 31-46 с.</w:t>
      </w:r>
    </w:p>
    <w:p w14:paraId="04F5448B" w14:textId="77777777" w:rsidR="00287F85" w:rsidRDefault="00287F85" w:rsidP="00287F85">
      <w:pPr>
        <w:pStyle w:val="af8"/>
        <w:numPr>
          <w:ilvl w:val="0"/>
          <w:numId w:val="35"/>
        </w:numPr>
        <w:ind w:left="0" w:firstLine="0"/>
      </w:pPr>
      <w:r>
        <w:t>Корниенко Б.И. Оценка стоимости предприятия с использованием метода дисконтированных денежных потоков в рамках доходного подхода / Корниенко Б.И. // Концепт. Научно-методический электронный журнал. — 2015г. — №7. — 6с.</w:t>
      </w:r>
    </w:p>
    <w:p w14:paraId="505331A2" w14:textId="77777777" w:rsidR="00287F85" w:rsidRDefault="00287F85" w:rsidP="00287F85">
      <w:pPr>
        <w:pStyle w:val="af8"/>
        <w:numPr>
          <w:ilvl w:val="0"/>
          <w:numId w:val="35"/>
        </w:numPr>
        <w:ind w:left="0" w:firstLine="0"/>
      </w:pPr>
      <w:proofErr w:type="spellStart"/>
      <w:r>
        <w:t>Лейфер</w:t>
      </w:r>
      <w:proofErr w:type="spellEnd"/>
      <w:r>
        <w:t xml:space="preserve"> Л.А. Ставка дисконтирования для оценивания недвижимости в условиях кризиса / </w:t>
      </w:r>
      <w:proofErr w:type="spellStart"/>
      <w:r>
        <w:t>Л.А.Лейфер</w:t>
      </w:r>
      <w:proofErr w:type="spellEnd"/>
      <w:r>
        <w:t xml:space="preserve"> // </w:t>
      </w:r>
      <w:r w:rsidRPr="007766F0">
        <w:t>Общероссийский информационно-аналитический и научно-практический журнал «Имущественные отношения в РФ»</w:t>
      </w:r>
      <w:r>
        <w:t xml:space="preserve"> — №2 (101) 2010г. — 47-53 с.</w:t>
      </w:r>
    </w:p>
    <w:p w14:paraId="22A3E2FA" w14:textId="77777777" w:rsidR="00287F85" w:rsidRDefault="00287F85" w:rsidP="00287F85">
      <w:pPr>
        <w:pStyle w:val="af8"/>
        <w:numPr>
          <w:ilvl w:val="0"/>
          <w:numId w:val="35"/>
        </w:numPr>
        <w:ind w:left="0" w:firstLine="0"/>
      </w:pPr>
      <w:r>
        <w:t>Ленченко В.В. Методы расчета ставки дисконтирования: сущность, значение и области применения // Статья в сборнике трудов международной научно-практической конференции «Актуальные мировые тренды развития социально-гуманитарного знания» — 2017г. — 119-125с.</w:t>
      </w:r>
    </w:p>
    <w:p w14:paraId="04476378" w14:textId="77777777" w:rsidR="00287F85" w:rsidRPr="00BC071B" w:rsidRDefault="00287F85" w:rsidP="00287F85">
      <w:pPr>
        <w:pStyle w:val="af8"/>
        <w:numPr>
          <w:ilvl w:val="0"/>
          <w:numId w:val="35"/>
        </w:numPr>
        <w:ind w:left="0" w:firstLine="0"/>
      </w:pPr>
      <w:r w:rsidRPr="00101808">
        <w:t>Лукашов</w:t>
      </w:r>
      <w:r w:rsidRPr="00BC071B">
        <w:t xml:space="preserve"> </w:t>
      </w:r>
      <w:r w:rsidRPr="00101808">
        <w:t>В. Н., Н. В. Лукашов</w:t>
      </w:r>
      <w:r>
        <w:t xml:space="preserve"> Определение величины ставки дисконтирования для инвестиционного проектирования и оценки бизнеса: о различии подходов к исчислению и применению // </w:t>
      </w:r>
      <w:r w:rsidRPr="00101808">
        <w:t xml:space="preserve">Вестник СПбГУ. Экономика. 2019. Т. 35. </w:t>
      </w:r>
      <w:proofErr w:type="spellStart"/>
      <w:r w:rsidRPr="00101808">
        <w:t>Вып</w:t>
      </w:r>
      <w:proofErr w:type="spellEnd"/>
      <w:r w:rsidRPr="00101808">
        <w:t>. 1</w:t>
      </w:r>
      <w:r>
        <w:t xml:space="preserve"> — 83-109 с.</w:t>
      </w:r>
    </w:p>
    <w:p w14:paraId="41BFB37B" w14:textId="77777777" w:rsidR="00287F85" w:rsidRDefault="00287F85" w:rsidP="00287F85">
      <w:pPr>
        <w:pStyle w:val="af8"/>
        <w:numPr>
          <w:ilvl w:val="0"/>
          <w:numId w:val="35"/>
        </w:numPr>
        <w:ind w:left="0" w:firstLine="0"/>
      </w:pPr>
      <w:proofErr w:type="spellStart"/>
      <w:r>
        <w:t>Лытнев</w:t>
      </w:r>
      <w:proofErr w:type="spellEnd"/>
      <w:r>
        <w:t xml:space="preserve"> О.Н. Финансовый риск, денежные потоки и ставки дисконтирования // Управление корпоративными финансами №1 (25) — 2008г. — 24с.</w:t>
      </w:r>
    </w:p>
    <w:p w14:paraId="72555B0F" w14:textId="77777777" w:rsidR="00287F85" w:rsidRDefault="00287F85" w:rsidP="00287F85">
      <w:pPr>
        <w:pStyle w:val="af8"/>
        <w:numPr>
          <w:ilvl w:val="0"/>
          <w:numId w:val="35"/>
        </w:numPr>
        <w:ind w:left="0" w:firstLine="0"/>
      </w:pPr>
      <w:r>
        <w:t xml:space="preserve">Метод капитализации доходов для оценки бизнеса </w:t>
      </w:r>
      <w:r w:rsidRPr="00217F27">
        <w:t>[</w:t>
      </w:r>
      <w:r>
        <w:t>Электронный ресурс</w:t>
      </w:r>
      <w:r w:rsidRPr="00217F27">
        <w:t>]</w:t>
      </w:r>
      <w:r>
        <w:t xml:space="preserve"> // Финансово-инвестиционный блог Жданова Василия и Жданова Ивана — Режим доступа: </w:t>
      </w:r>
      <w:hyperlink r:id="rId12" w:history="1">
        <w:r w:rsidRPr="004E2740">
          <w:rPr>
            <w:rStyle w:val="afa"/>
          </w:rPr>
          <w:t>https://finzz.ru/metod-kapitalizacii-doxodov.html</w:t>
        </w:r>
      </w:hyperlink>
      <w:r>
        <w:t>, свободный. (Дата обращения: 27.12.2019)</w:t>
      </w:r>
    </w:p>
    <w:p w14:paraId="4F93456F" w14:textId="77777777" w:rsidR="00287F85" w:rsidRPr="00A34226" w:rsidRDefault="00287F85" w:rsidP="00287F85">
      <w:pPr>
        <w:pStyle w:val="af8"/>
        <w:numPr>
          <w:ilvl w:val="0"/>
          <w:numId w:val="35"/>
        </w:numPr>
        <w:ind w:left="0" w:firstLine="0"/>
      </w:pPr>
      <w:r w:rsidRPr="00A34226">
        <w:lastRenderedPageBreak/>
        <w:t>Методика осуществления оценки справедливой стоимости активов, составляющих инвестиционный портфель АО «РВК» // Российская Венчурная компания — г. Москва, 2019 – 151 с.</w:t>
      </w:r>
    </w:p>
    <w:p w14:paraId="5FDB9E3F" w14:textId="77777777" w:rsidR="00287F85" w:rsidRPr="00CA47EF" w:rsidRDefault="00287F85" w:rsidP="00287F85">
      <w:pPr>
        <w:pStyle w:val="af8"/>
        <w:numPr>
          <w:ilvl w:val="0"/>
          <w:numId w:val="35"/>
        </w:numPr>
        <w:ind w:left="0" w:firstLine="0"/>
      </w:pPr>
      <w:r w:rsidRPr="001B22FD">
        <w:t>Михаил Жуков: «Через HeadHunter нанимают и уборщицу, и гендиректора»</w:t>
      </w:r>
      <w:r>
        <w:t xml:space="preserve"> / Интервью с генеральным директором </w:t>
      </w:r>
      <w:r w:rsidRPr="00287F85">
        <w:rPr>
          <w:lang w:val="en-US"/>
        </w:rPr>
        <w:t>HeadHunter</w:t>
      </w:r>
      <w:r>
        <w:t xml:space="preserve"> // Ведомости </w:t>
      </w:r>
      <w:r w:rsidRPr="001B22FD">
        <w:t>[</w:t>
      </w:r>
      <w:r>
        <w:t>Электронный ресурс</w:t>
      </w:r>
      <w:r w:rsidRPr="001B22FD">
        <w:t>]</w:t>
      </w:r>
      <w:r>
        <w:t xml:space="preserve"> — Режим доступа: </w:t>
      </w:r>
      <w:hyperlink r:id="rId13" w:history="1">
        <w:r w:rsidRPr="00627CF2">
          <w:rPr>
            <w:rStyle w:val="afa"/>
          </w:rPr>
          <w:t>https://www.vedomosti.ru/technology/characters/2019/11/20/816781-gendirektor-headhunter</w:t>
        </w:r>
      </w:hyperlink>
      <w:r>
        <w:t>, свободный. (Дата обращения: 27.03.2020)</w:t>
      </w:r>
    </w:p>
    <w:p w14:paraId="0752B872" w14:textId="77777777" w:rsidR="00287F85" w:rsidRDefault="00287F85" w:rsidP="00287F85">
      <w:pPr>
        <w:pStyle w:val="af8"/>
        <w:numPr>
          <w:ilvl w:val="0"/>
          <w:numId w:val="35"/>
        </w:numPr>
        <w:ind w:left="0" w:firstLine="0"/>
      </w:pPr>
      <w:proofErr w:type="spellStart"/>
      <w:r>
        <w:t>Нурбацин</w:t>
      </w:r>
      <w:proofErr w:type="spellEnd"/>
      <w:r>
        <w:t xml:space="preserve"> А.С. Оценка стоимости бизнеса: метод корпоративных оценок на основе клиента // Международный научный журнал «Вестник науки» №6 (15) Т.1 — июнь 2019 г. — 170-173с.</w:t>
      </w:r>
    </w:p>
    <w:p w14:paraId="0B7AB3ED" w14:textId="77777777" w:rsidR="00287F85" w:rsidRDefault="00287F85" w:rsidP="00287F85">
      <w:pPr>
        <w:pStyle w:val="af8"/>
        <w:numPr>
          <w:ilvl w:val="0"/>
          <w:numId w:val="35"/>
        </w:numPr>
        <w:ind w:left="0" w:firstLine="0"/>
      </w:pPr>
      <w:r>
        <w:t xml:space="preserve">О группе «АКРОН» </w:t>
      </w:r>
      <w:r w:rsidRPr="00B21C8D">
        <w:t>[</w:t>
      </w:r>
      <w:r>
        <w:t>Электронный ресурс</w:t>
      </w:r>
      <w:r w:rsidRPr="00B21C8D">
        <w:t>]</w:t>
      </w:r>
      <w:r>
        <w:t xml:space="preserve"> // Официальный сайт компании АКРОН— Режим доступа: </w:t>
      </w:r>
      <w:hyperlink r:id="rId14" w:history="1">
        <w:r w:rsidRPr="00301D0B">
          <w:rPr>
            <w:rStyle w:val="afa"/>
          </w:rPr>
          <w:t>https://www.acron.ru/about-acron-group/about/</w:t>
        </w:r>
      </w:hyperlink>
      <w:r>
        <w:t>, свободный. — (Дата обращения: 20.05.2020)</w:t>
      </w:r>
    </w:p>
    <w:p w14:paraId="7D553BA6" w14:textId="77777777" w:rsidR="00287F85" w:rsidRDefault="00287F85" w:rsidP="00287F85">
      <w:pPr>
        <w:pStyle w:val="af8"/>
        <w:numPr>
          <w:ilvl w:val="0"/>
          <w:numId w:val="35"/>
        </w:numPr>
        <w:ind w:left="0" w:firstLine="0"/>
      </w:pPr>
      <w:r>
        <w:t xml:space="preserve">О компании «АЛРОСА» </w:t>
      </w:r>
      <w:r w:rsidRPr="00B21C8D">
        <w:t>[</w:t>
      </w:r>
      <w:r>
        <w:t>Электронный ресурс</w:t>
      </w:r>
      <w:r w:rsidRPr="00B21C8D">
        <w:t>]</w:t>
      </w:r>
      <w:r>
        <w:t xml:space="preserve"> // Официальный сайт компании АЛРОСА — Режим доступа: </w:t>
      </w:r>
      <w:hyperlink r:id="rId15" w:history="1">
        <w:r w:rsidRPr="00301D0B">
          <w:rPr>
            <w:rStyle w:val="afa"/>
          </w:rPr>
          <w:t>http://www.alrosa.ru/о-нас/</w:t>
        </w:r>
      </w:hyperlink>
      <w:r>
        <w:t>, свободный. — (Дата обращения: 20.05.2020)</w:t>
      </w:r>
    </w:p>
    <w:p w14:paraId="49DE441E" w14:textId="77777777" w:rsidR="00287F85" w:rsidRDefault="00287F85" w:rsidP="00287F85">
      <w:pPr>
        <w:pStyle w:val="af8"/>
        <w:numPr>
          <w:ilvl w:val="0"/>
          <w:numId w:val="35"/>
        </w:numPr>
        <w:ind w:left="0" w:firstLine="0"/>
      </w:pPr>
      <w:r>
        <w:t>О компании ПАО «НКХП»</w:t>
      </w:r>
      <w:r w:rsidRPr="008512A0">
        <w:t xml:space="preserve"> [</w:t>
      </w:r>
      <w:r>
        <w:t>Электронный ресурс</w:t>
      </w:r>
      <w:r w:rsidRPr="008512A0">
        <w:t>]</w:t>
      </w:r>
      <w:r>
        <w:t xml:space="preserve"> // Официальный сайт компании НКХП — Режим доступа: </w:t>
      </w:r>
      <w:hyperlink r:id="rId16" w:history="1">
        <w:r w:rsidRPr="00301D0B">
          <w:rPr>
            <w:rStyle w:val="afa"/>
          </w:rPr>
          <w:t>https://novoroskhp.ru/o-kompanii/biznes.html</w:t>
        </w:r>
      </w:hyperlink>
      <w:r>
        <w:t xml:space="preserve">, свободный. — (Дата обращения: 20.05.2020) </w:t>
      </w:r>
    </w:p>
    <w:p w14:paraId="6EE813A1" w14:textId="77777777" w:rsidR="00287F85" w:rsidRDefault="00287F85" w:rsidP="00287F85">
      <w:pPr>
        <w:pStyle w:val="af8"/>
        <w:numPr>
          <w:ilvl w:val="0"/>
          <w:numId w:val="35"/>
        </w:numPr>
        <w:ind w:left="0" w:firstLine="0"/>
      </w:pPr>
      <w:r>
        <w:t xml:space="preserve">О компании ПАО «НОВАТЭК» </w:t>
      </w:r>
      <w:r w:rsidRPr="00B21C8D">
        <w:t>[</w:t>
      </w:r>
      <w:r>
        <w:t>Электронный ресурс</w:t>
      </w:r>
      <w:r w:rsidRPr="00B21C8D">
        <w:t>]</w:t>
      </w:r>
      <w:r>
        <w:t xml:space="preserve"> // Официальный сайт компании НОВАТЭК — Режим доступа: </w:t>
      </w:r>
      <w:hyperlink r:id="rId17" w:history="1">
        <w:r w:rsidRPr="00301D0B">
          <w:rPr>
            <w:rStyle w:val="afa"/>
          </w:rPr>
          <w:t>http://www.novatek.ru/ru/about/company/</w:t>
        </w:r>
      </w:hyperlink>
      <w:r>
        <w:t>, свободный. — (Дата обращения: 20.05.2020)</w:t>
      </w:r>
    </w:p>
    <w:p w14:paraId="5845F46F" w14:textId="77777777" w:rsidR="00287F85" w:rsidRDefault="00287F85" w:rsidP="00287F85">
      <w:pPr>
        <w:pStyle w:val="af8"/>
        <w:numPr>
          <w:ilvl w:val="0"/>
          <w:numId w:val="35"/>
        </w:numPr>
        <w:ind w:left="0" w:firstLine="0"/>
      </w:pPr>
      <w:r w:rsidRPr="00EA234D">
        <w:t xml:space="preserve">Об оценочной деятельности в Российской Федерации. Статья 3. Понятие оценочной деятельности: Федеральный закон от 29.07.1998 N 135-ФЗ: ред. от 28.11.2018 </w:t>
      </w:r>
      <w:bookmarkStart w:id="33" w:name="_Hlk33707778"/>
      <w:r w:rsidRPr="00EA234D">
        <w:t xml:space="preserve">[Электронный ресурс]. — Режим доступа: </w:t>
      </w:r>
      <w:bookmarkEnd w:id="33"/>
      <w:r>
        <w:fldChar w:fldCharType="begin"/>
      </w:r>
      <w:r>
        <w:instrText xml:space="preserve"> HYPERLINK "http://www.consultant.ru/document/cons_doc_LAW_19586/e1cc1a2466ed060fcaf283706ea933816eed7ace/" </w:instrText>
      </w:r>
      <w:r>
        <w:fldChar w:fldCharType="separate"/>
      </w:r>
      <w:r w:rsidRPr="004D710E">
        <w:rPr>
          <w:rStyle w:val="afa"/>
        </w:rPr>
        <w:t>http://www.consultant.ru/document/cons_doc_LAW_19586/e1cc1a2466ed060fcaf283706ea933816eed7ace/</w:t>
      </w:r>
      <w:r>
        <w:rPr>
          <w:rStyle w:val="afa"/>
        </w:rPr>
        <w:fldChar w:fldCharType="end"/>
      </w:r>
      <w:r>
        <w:t>, свободный. (Дата обращения: 23.11.2019)</w:t>
      </w:r>
    </w:p>
    <w:p w14:paraId="0EBF245D" w14:textId="77777777" w:rsidR="00287F85" w:rsidRDefault="00287F85" w:rsidP="00287F85">
      <w:pPr>
        <w:pStyle w:val="af8"/>
        <w:numPr>
          <w:ilvl w:val="0"/>
          <w:numId w:val="35"/>
        </w:numPr>
        <w:ind w:left="0" w:firstLine="0"/>
      </w:pPr>
      <w:r w:rsidRPr="00AB028D">
        <w:t>Об оценочной деятельности в Российской Федерации. Статья 8. Обязательность проведения оценки объектов оценки: Федеральный закон от 29.07.1998 N 135-ФЗ: ред. от 28.11.2018 [Электронный ресурс]. — Режим доступа: http://www.consultant.ru/document/cons_doc_LAW_19586/37ca272d51042a5a3d5fd61b11ea7ba2cf336c11/, свободный. (Дата обращения: 23.11.2019)</w:t>
      </w:r>
    </w:p>
    <w:p w14:paraId="55E2B5B0" w14:textId="77777777" w:rsidR="00287F85" w:rsidRPr="00DF654E" w:rsidRDefault="00287F85" w:rsidP="00287F85">
      <w:pPr>
        <w:pStyle w:val="af8"/>
        <w:numPr>
          <w:ilvl w:val="0"/>
          <w:numId w:val="35"/>
        </w:numPr>
        <w:ind w:left="0" w:firstLine="0"/>
      </w:pPr>
      <w:r>
        <w:t xml:space="preserve">Отчетность компании </w:t>
      </w:r>
      <w:r w:rsidRPr="00287F85">
        <w:rPr>
          <w:lang w:val="en-US"/>
        </w:rPr>
        <w:t>HeadHunter</w:t>
      </w:r>
      <w:r>
        <w:t xml:space="preserve"> // СПАРК. Международная информационная группа Интерфакс </w:t>
      </w:r>
      <w:r w:rsidRPr="00CA47EF">
        <w:t>[</w:t>
      </w:r>
      <w:r>
        <w:t>Электронный ресурс</w:t>
      </w:r>
      <w:r w:rsidRPr="00CA47EF">
        <w:t>]</w:t>
      </w:r>
      <w:r>
        <w:t xml:space="preserve"> — Режим доступа: </w:t>
      </w:r>
      <w:hyperlink r:id="rId18" w:history="1">
        <w:r w:rsidRPr="00DC0DBC">
          <w:rPr>
            <w:rStyle w:val="afa"/>
          </w:rPr>
          <w:t>http://www.spark-interfax.ru/</w:t>
        </w:r>
      </w:hyperlink>
      <w:r>
        <w:t>, закрытый. (Дата обращения: 16.03.2020)</w:t>
      </w:r>
    </w:p>
    <w:p w14:paraId="7560F9B9" w14:textId="77777777" w:rsidR="00287F85" w:rsidRDefault="00287F85" w:rsidP="00287F85">
      <w:pPr>
        <w:pStyle w:val="af8"/>
        <w:numPr>
          <w:ilvl w:val="0"/>
          <w:numId w:val="35"/>
        </w:numPr>
        <w:ind w:left="0" w:firstLine="0"/>
      </w:pPr>
      <w:proofErr w:type="spellStart"/>
      <w:r>
        <w:lastRenderedPageBreak/>
        <w:t>Потапейко</w:t>
      </w:r>
      <w:proofErr w:type="spellEnd"/>
      <w:r>
        <w:t xml:space="preserve"> Д.А. Основные понятия и определения в применении доходного подхода к оценке стоимости бизнеса // Инновационные технологии в экономике как фактор развития современного общества — 2017. – 99-102 с.</w:t>
      </w:r>
    </w:p>
    <w:p w14:paraId="245937C7" w14:textId="77777777" w:rsidR="00287F85" w:rsidRDefault="00287F85" w:rsidP="00287F85">
      <w:pPr>
        <w:pStyle w:val="af8"/>
        <w:numPr>
          <w:ilvl w:val="0"/>
          <w:numId w:val="35"/>
        </w:numPr>
        <w:ind w:left="0" w:firstLine="0"/>
      </w:pPr>
      <w:r>
        <w:t>Пронина О.В. Проблемные аспекты оценки стоимости компании // Инновационная наука — №11 — Москва, 2018. — 4 с.</w:t>
      </w:r>
    </w:p>
    <w:p w14:paraId="0DBD93A7" w14:textId="77777777" w:rsidR="00287F85" w:rsidRDefault="00287F85" w:rsidP="00287F85">
      <w:pPr>
        <w:pStyle w:val="af8"/>
        <w:numPr>
          <w:ilvl w:val="0"/>
          <w:numId w:val="35"/>
        </w:numPr>
        <w:ind w:left="0" w:firstLine="0"/>
      </w:pPr>
      <w:r w:rsidRPr="00646630">
        <w:t>Прудникова Ю.А. Традиционные подходы и методы оценки стоимости бизнеса // Наука XXI века: актуальные направления развития. — 2016. — №1-1. — с. 495-499.</w:t>
      </w:r>
    </w:p>
    <w:p w14:paraId="3CD636A6" w14:textId="77777777" w:rsidR="00287F85" w:rsidRPr="00CA47EF" w:rsidRDefault="00287F85" w:rsidP="00287F85">
      <w:pPr>
        <w:pStyle w:val="af8"/>
        <w:numPr>
          <w:ilvl w:val="0"/>
          <w:numId w:val="35"/>
        </w:numPr>
        <w:ind w:left="0" w:firstLine="0"/>
      </w:pPr>
      <w:r w:rsidRPr="00D516CF">
        <w:t>Путь карьеристов: история HeadHunter от плотника до IPO</w:t>
      </w:r>
      <w:r>
        <w:t xml:space="preserve"> // </w:t>
      </w:r>
      <w:proofErr w:type="spellStart"/>
      <w:r w:rsidRPr="00287F85">
        <w:rPr>
          <w:lang w:val="en-US"/>
        </w:rPr>
        <w:t>IncRussia</w:t>
      </w:r>
      <w:proofErr w:type="spellEnd"/>
      <w:r w:rsidRPr="00D516CF">
        <w:t xml:space="preserve"> </w:t>
      </w:r>
      <w:r w:rsidRPr="00C537DD">
        <w:t>[</w:t>
      </w:r>
      <w:r>
        <w:t>Электронный ресурс</w:t>
      </w:r>
      <w:r w:rsidRPr="00C537DD">
        <w:t>]</w:t>
      </w:r>
      <w:r>
        <w:t xml:space="preserve"> — Режим доступа: </w:t>
      </w:r>
      <w:hyperlink r:id="rId19" w:history="1">
        <w:r w:rsidRPr="00627CF2">
          <w:rPr>
            <w:rStyle w:val="afa"/>
          </w:rPr>
          <w:t>https://incrussia.ru/fly/put-kareristov-istoriya-headhunter-ot-plotnika-do-ipo/</w:t>
        </w:r>
      </w:hyperlink>
      <w:r>
        <w:t>, свободный. (Дата обращения: 27.03.2020)</w:t>
      </w:r>
    </w:p>
    <w:p w14:paraId="00FB5500" w14:textId="77777777" w:rsidR="00287F85" w:rsidRPr="00A4255E" w:rsidRDefault="00287F85" w:rsidP="00287F85">
      <w:pPr>
        <w:pStyle w:val="af8"/>
        <w:numPr>
          <w:ilvl w:val="0"/>
          <w:numId w:val="35"/>
        </w:numPr>
        <w:ind w:left="0" w:firstLine="0"/>
      </w:pPr>
      <w:r>
        <w:t xml:space="preserve">Решения совета директоров (наблюдательного совета) АК «АЛРОСА» (ПАО) </w:t>
      </w:r>
      <w:r w:rsidRPr="006D2917">
        <w:t>[</w:t>
      </w:r>
      <w:r>
        <w:t>Электронный ресурс</w:t>
      </w:r>
      <w:r w:rsidRPr="006D2917">
        <w:t>]</w:t>
      </w:r>
      <w:r>
        <w:t xml:space="preserve"> // Центр раскрытия корпоративной информации </w:t>
      </w:r>
      <w:r w:rsidRPr="00287F85">
        <w:rPr>
          <w:lang w:val="en-US"/>
        </w:rPr>
        <w:t>E</w:t>
      </w:r>
      <w:r w:rsidRPr="006D2917">
        <w:t>-</w:t>
      </w:r>
      <w:r w:rsidRPr="00287F85">
        <w:rPr>
          <w:lang w:val="en-US"/>
        </w:rPr>
        <w:t>disclosure</w:t>
      </w:r>
      <w:r w:rsidRPr="006D2917">
        <w:t xml:space="preserve"> </w:t>
      </w:r>
      <w:r>
        <w:t xml:space="preserve">— Режим доступа: </w:t>
      </w:r>
      <w:hyperlink r:id="rId20" w:history="1">
        <w:r w:rsidRPr="00301D0B">
          <w:rPr>
            <w:rStyle w:val="afa"/>
          </w:rPr>
          <w:t>https://www.e-disclosure.ru/portal/event.aspx?EventId=DAAWzJ2LCkauJAezOjGWEA-B-B</w:t>
        </w:r>
      </w:hyperlink>
      <w:r>
        <w:t>, свободный. — (Дата обращения: 24.05.2020)</w:t>
      </w:r>
    </w:p>
    <w:p w14:paraId="44F89A8C" w14:textId="77777777" w:rsidR="00287F85" w:rsidRDefault="00287F85" w:rsidP="00287F85">
      <w:pPr>
        <w:pStyle w:val="af8"/>
        <w:numPr>
          <w:ilvl w:val="0"/>
          <w:numId w:val="35"/>
        </w:numPr>
        <w:ind w:left="0" w:firstLine="0"/>
      </w:pPr>
      <w:proofErr w:type="spellStart"/>
      <w:r>
        <w:t>Рутгайзер</w:t>
      </w:r>
      <w:proofErr w:type="spellEnd"/>
      <w:r>
        <w:t xml:space="preserve"> В.М. Оценка стоимости бизнеса // </w:t>
      </w:r>
      <w:r w:rsidRPr="00972D36">
        <w:t xml:space="preserve">2-е издание, Издательство: Маросейка, 2008 г. </w:t>
      </w:r>
      <w:r>
        <w:t xml:space="preserve">— </w:t>
      </w:r>
      <w:r w:rsidRPr="00972D36">
        <w:t>432 стр.</w:t>
      </w:r>
    </w:p>
    <w:p w14:paraId="104DB385" w14:textId="77777777" w:rsidR="00287F85" w:rsidRDefault="00287F85" w:rsidP="00287F85">
      <w:pPr>
        <w:pStyle w:val="af8"/>
        <w:numPr>
          <w:ilvl w:val="0"/>
          <w:numId w:val="35"/>
        </w:numPr>
        <w:ind w:left="0" w:firstLine="0"/>
      </w:pPr>
      <w:r w:rsidRPr="008424CA">
        <w:t>Сбербанк купил онлайн-рекрутера Rabota.ru</w:t>
      </w:r>
      <w:r>
        <w:t xml:space="preserve"> // Ведомости </w:t>
      </w:r>
      <w:r w:rsidRPr="008424CA">
        <w:t>[</w:t>
      </w:r>
      <w:r>
        <w:t>Электронный ресурс</w:t>
      </w:r>
      <w:r w:rsidRPr="008424CA">
        <w:t>]</w:t>
      </w:r>
      <w:r>
        <w:t xml:space="preserve"> — Режим доступа: </w:t>
      </w:r>
      <w:hyperlink r:id="rId21" w:history="1">
        <w:r w:rsidRPr="00627CF2">
          <w:rPr>
            <w:rStyle w:val="afa"/>
          </w:rPr>
          <w:t>https://www.vedomosti.ru/technology/articles/2019/04/01/797968-sberbank</w:t>
        </w:r>
      </w:hyperlink>
      <w:r>
        <w:t>, свободный. (Дата обращения: 27.03.2020)</w:t>
      </w:r>
    </w:p>
    <w:p w14:paraId="0FECBF46" w14:textId="77777777" w:rsidR="00287F85" w:rsidRDefault="00287F85" w:rsidP="00287F85">
      <w:pPr>
        <w:pStyle w:val="af8"/>
        <w:numPr>
          <w:ilvl w:val="0"/>
          <w:numId w:val="35"/>
        </w:numPr>
        <w:ind w:left="0" w:firstLine="0"/>
      </w:pPr>
      <w:r>
        <w:t>Синицын Е.В., Стерхов А.В. К вопросу об оценке инвестиционной привлекательности предприятий электроэнергетики (на примере оптовых генерирующих компаний) // Экономический анализ: теория и практика. Инвестиционная политика — №21 (150) — 2009г. — 9с.</w:t>
      </w:r>
    </w:p>
    <w:p w14:paraId="08729EA0" w14:textId="77777777" w:rsidR="00287F85" w:rsidRDefault="00287F85" w:rsidP="00287F85">
      <w:pPr>
        <w:pStyle w:val="af8"/>
        <w:numPr>
          <w:ilvl w:val="0"/>
          <w:numId w:val="35"/>
        </w:numPr>
        <w:ind w:left="0" w:firstLine="0"/>
      </w:pPr>
      <w:r>
        <w:t>Синицын Е.В., Стерхов А.В. Некоторые вопросы моделирования и оценки слияний и поглощений (на примере оптовых генерирующих компаний) // Экономический анализ: теория и практика, №18 (183) — 2010 г. — 7с.</w:t>
      </w:r>
    </w:p>
    <w:p w14:paraId="303C0A76" w14:textId="2397E972" w:rsidR="00287F85" w:rsidRDefault="00287F85" w:rsidP="00287F85">
      <w:pPr>
        <w:pStyle w:val="af8"/>
        <w:numPr>
          <w:ilvl w:val="0"/>
          <w:numId w:val="35"/>
        </w:numPr>
        <w:ind w:left="0" w:firstLine="0"/>
      </w:pPr>
      <w:r>
        <w:t>Синичкин П.В., Мичурин Е.А. Анализ основных подходов к оценке стоимости компаний. // Сборник статей Всероссийской научно-практической конференции. — 2015. — с. 179-186</w:t>
      </w:r>
    </w:p>
    <w:p w14:paraId="0A6A1C66" w14:textId="24DB31F1" w:rsidR="00287F85" w:rsidRPr="00BA62FA" w:rsidRDefault="00287F85" w:rsidP="00287F85">
      <w:pPr>
        <w:pStyle w:val="af8"/>
        <w:numPr>
          <w:ilvl w:val="0"/>
          <w:numId w:val="35"/>
        </w:numPr>
        <w:ind w:left="0" w:firstLine="0"/>
      </w:pPr>
      <w:r w:rsidRPr="00913472">
        <w:t>Среднемесячная доходность индекса 5–10-летних государственных облигаций (</w:t>
      </w:r>
      <w:r w:rsidRPr="00287F85">
        <w:rPr>
          <w:lang w:val="en-US"/>
        </w:rPr>
        <w:t>RUGBITR</w:t>
      </w:r>
      <w:r w:rsidRPr="00913472">
        <w:t>10</w:t>
      </w:r>
      <w:r w:rsidRPr="00287F85">
        <w:rPr>
          <w:lang w:val="en-US"/>
        </w:rPr>
        <w:t>Y</w:t>
      </w:r>
      <w:r w:rsidRPr="00913472">
        <w:t xml:space="preserve">) // </w:t>
      </w:r>
      <w:proofErr w:type="spellStart"/>
      <w:r w:rsidRPr="00287F85">
        <w:rPr>
          <w:lang w:val="en-US"/>
        </w:rPr>
        <w:t>Conomy</w:t>
      </w:r>
      <w:proofErr w:type="spellEnd"/>
      <w:r w:rsidRPr="00913472">
        <w:t xml:space="preserve"> [Электронный ресурс] — Режим доступа: </w:t>
      </w:r>
      <w:r w:rsidRPr="00287F85">
        <w:rPr>
          <w:lang w:val="en-US"/>
        </w:rPr>
        <w:t>https</w:t>
      </w:r>
      <w:r w:rsidRPr="00913472">
        <w:t>://</w:t>
      </w:r>
      <w:r w:rsidRPr="00287F85">
        <w:rPr>
          <w:lang w:val="en-US"/>
        </w:rPr>
        <w:t>www</w:t>
      </w:r>
      <w:r w:rsidRPr="00913472">
        <w:t>.</w:t>
      </w:r>
      <w:proofErr w:type="spellStart"/>
      <w:r w:rsidRPr="00287F85">
        <w:rPr>
          <w:lang w:val="en-US"/>
        </w:rPr>
        <w:t>conomy</w:t>
      </w:r>
      <w:proofErr w:type="spellEnd"/>
      <w:r w:rsidRPr="00913472">
        <w:t>.</w:t>
      </w:r>
      <w:proofErr w:type="spellStart"/>
      <w:r w:rsidRPr="00287F85">
        <w:rPr>
          <w:lang w:val="en-US"/>
        </w:rPr>
        <w:t>ru</w:t>
      </w:r>
      <w:proofErr w:type="spellEnd"/>
      <w:r w:rsidRPr="00913472">
        <w:t>/</w:t>
      </w:r>
      <w:proofErr w:type="spellStart"/>
      <w:r w:rsidRPr="00287F85">
        <w:rPr>
          <w:lang w:val="en-US"/>
        </w:rPr>
        <w:t>stavki</w:t>
      </w:r>
      <w:proofErr w:type="spellEnd"/>
      <w:r w:rsidRPr="00913472">
        <w:t>-</w:t>
      </w:r>
      <w:proofErr w:type="spellStart"/>
      <w:r w:rsidRPr="00287F85">
        <w:rPr>
          <w:lang w:val="en-US"/>
        </w:rPr>
        <w:t>gko</w:t>
      </w:r>
      <w:proofErr w:type="spellEnd"/>
      <w:r w:rsidRPr="00913472">
        <w:t xml:space="preserve">, свободный. </w:t>
      </w:r>
      <w:r w:rsidRPr="00BA62FA">
        <w:t>(Дата обращения: 27.03.2020)</w:t>
      </w:r>
    </w:p>
    <w:p w14:paraId="23D02C21" w14:textId="77777777" w:rsidR="00287F85" w:rsidRDefault="00287F85" w:rsidP="00287F85">
      <w:pPr>
        <w:pStyle w:val="af8"/>
        <w:numPr>
          <w:ilvl w:val="0"/>
          <w:numId w:val="35"/>
        </w:numPr>
        <w:ind w:left="0" w:firstLine="0"/>
      </w:pPr>
      <w:r>
        <w:t xml:space="preserve">Стаценко А. К. Подходы и методы оценки стоимости предприятия / А.К. Стаценко // </w:t>
      </w:r>
      <w:proofErr w:type="spellStart"/>
      <w:r>
        <w:t>Economics</w:t>
      </w:r>
      <w:proofErr w:type="spellEnd"/>
      <w:r>
        <w:t xml:space="preserve"> — 2018. — №4(36). — с. 22-26. </w:t>
      </w:r>
    </w:p>
    <w:p w14:paraId="0439B4E0" w14:textId="77777777" w:rsidR="00287F85" w:rsidRDefault="00287F85" w:rsidP="00287F85">
      <w:pPr>
        <w:pStyle w:val="af8"/>
        <w:numPr>
          <w:ilvl w:val="0"/>
          <w:numId w:val="35"/>
        </w:numPr>
        <w:ind w:left="0" w:firstLine="0"/>
      </w:pPr>
      <w:r>
        <w:lastRenderedPageBreak/>
        <w:t>Стэнли</w:t>
      </w:r>
      <w:r w:rsidRPr="005C3871">
        <w:t xml:space="preserve"> </w:t>
      </w:r>
      <w:r>
        <w:t>Фостер</w:t>
      </w:r>
      <w:r w:rsidRPr="005C3871">
        <w:t xml:space="preserve"> </w:t>
      </w:r>
      <w:r>
        <w:t xml:space="preserve">Рид, Александра Рид Лажу Искусство слияний и поглощений // Альпина </w:t>
      </w:r>
      <w:proofErr w:type="spellStart"/>
      <w:r>
        <w:t>Паблишер</w:t>
      </w:r>
      <w:proofErr w:type="spellEnd"/>
      <w:r>
        <w:t>, 2014 г. — 957с.</w:t>
      </w:r>
    </w:p>
    <w:p w14:paraId="34DCA268" w14:textId="77777777" w:rsidR="00287F85" w:rsidRDefault="00287F85" w:rsidP="00287F85">
      <w:pPr>
        <w:pStyle w:val="af8"/>
        <w:numPr>
          <w:ilvl w:val="0"/>
          <w:numId w:val="35"/>
        </w:numPr>
        <w:ind w:left="0" w:firstLine="0"/>
      </w:pPr>
      <w:r>
        <w:t xml:space="preserve">Татаринцева Я.П. Подходы, принципы оценки стоимости компании и факторы, влияющие на точность оценки // Сборник статей победителей международной научно-практической конференции — 2017. — с.89-92.  </w:t>
      </w:r>
    </w:p>
    <w:p w14:paraId="0F4F4FFE" w14:textId="77777777" w:rsidR="00287F85" w:rsidRDefault="00287F85" w:rsidP="00287F85">
      <w:pPr>
        <w:pStyle w:val="af8"/>
        <w:numPr>
          <w:ilvl w:val="0"/>
          <w:numId w:val="35"/>
        </w:numPr>
        <w:ind w:left="0" w:firstLine="0"/>
      </w:pPr>
      <w:r>
        <w:t xml:space="preserve">Татарова А.В. Оценка недвижимости и управление собственностью / Татарова А.В. — учебное пособие. Изд-во ТРТУ, 2003. — с.70. </w:t>
      </w:r>
    </w:p>
    <w:p w14:paraId="70BC7F70" w14:textId="77777777" w:rsidR="00287F85" w:rsidRDefault="00287F85" w:rsidP="00287F85">
      <w:pPr>
        <w:pStyle w:val="af8"/>
        <w:numPr>
          <w:ilvl w:val="0"/>
          <w:numId w:val="35"/>
        </w:numPr>
        <w:ind w:left="0" w:firstLine="0"/>
      </w:pPr>
      <w:r>
        <w:t xml:space="preserve">Федотова М.А., </w:t>
      </w:r>
      <w:proofErr w:type="spellStart"/>
      <w:r>
        <w:t>Будицкий</w:t>
      </w:r>
      <w:proofErr w:type="spellEnd"/>
      <w:r>
        <w:t xml:space="preserve"> А.Е. Новые методы оценки стоимости бизнеса и возможность их применения в отношении банков // Вестник ФА №3 (2007) </w:t>
      </w:r>
    </w:p>
    <w:p w14:paraId="0A71E66C" w14:textId="77777777" w:rsidR="00287F85" w:rsidRDefault="00287F85" w:rsidP="00287F85">
      <w:pPr>
        <w:pStyle w:val="af8"/>
        <w:numPr>
          <w:ilvl w:val="0"/>
          <w:numId w:val="35"/>
        </w:numPr>
        <w:ind w:left="0" w:firstLine="0"/>
      </w:pPr>
      <w:r>
        <w:t>Хасанов А.Б. Оценка стоимости на основе модели Ольсона на примере развитых рынков Европы // Финансы и кредит. — 2019. — Т.25, №5. — С. 1205 — 1226.</w:t>
      </w:r>
    </w:p>
    <w:p w14:paraId="4EA18517" w14:textId="77777777" w:rsidR="00287F85" w:rsidRDefault="00287F85" w:rsidP="00287F85">
      <w:pPr>
        <w:pStyle w:val="af8"/>
        <w:numPr>
          <w:ilvl w:val="0"/>
          <w:numId w:val="35"/>
        </w:numPr>
        <w:ind w:left="0" w:firstLine="0"/>
      </w:pPr>
      <w:r>
        <w:t xml:space="preserve">Царев В.В., </w:t>
      </w:r>
      <w:proofErr w:type="spellStart"/>
      <w:r>
        <w:t>Кантарович</w:t>
      </w:r>
      <w:proofErr w:type="spellEnd"/>
      <w:r>
        <w:t xml:space="preserve"> А.А. Оценка стоимости бизнеса // </w:t>
      </w:r>
      <w:proofErr w:type="gramStart"/>
      <w:r w:rsidRPr="00675840">
        <w:t>М.:ЮНИТИ</w:t>
      </w:r>
      <w:proofErr w:type="gramEnd"/>
      <w:r w:rsidRPr="00675840">
        <w:t>-ДАНА, 2015. - 575 с.</w:t>
      </w:r>
    </w:p>
    <w:p w14:paraId="257BA49D" w14:textId="77777777" w:rsidR="00287F85" w:rsidRPr="00287F85" w:rsidRDefault="00287F85" w:rsidP="00287F85">
      <w:pPr>
        <w:pStyle w:val="af8"/>
        <w:numPr>
          <w:ilvl w:val="0"/>
          <w:numId w:val="35"/>
        </w:numPr>
        <w:ind w:left="0" w:firstLine="0"/>
        <w:rPr>
          <w:lang w:val="en-US"/>
        </w:rPr>
      </w:pPr>
      <w:proofErr w:type="spellStart"/>
      <w:r>
        <w:t>Церкозенко</w:t>
      </w:r>
      <w:proofErr w:type="spellEnd"/>
      <w:r>
        <w:t xml:space="preserve"> О.В., Барышникова Н.С. Затратный подход в оценке стоимости бизнеса // Материал XV международной научно-практической конференции — 2018. — с.84-86.</w:t>
      </w:r>
      <w:r w:rsidRPr="00DD082C">
        <w:rPr>
          <w:lang w:eastAsia="ru-RU"/>
        </w:rPr>
        <w:t xml:space="preserve"> </w:t>
      </w:r>
      <w:r w:rsidRPr="00287F85">
        <w:rPr>
          <w:lang w:val="en-US"/>
        </w:rPr>
        <w:t>‘I Honestly Don’t Trust Many People at Boeing’: A Broken Culture Exposed // The New York Times, feb.10, 2020 [</w:t>
      </w:r>
      <w:proofErr w:type="spellStart"/>
      <w:r w:rsidRPr="00287F85">
        <w:rPr>
          <w:lang w:val="en-US"/>
        </w:rPr>
        <w:t>Электронный</w:t>
      </w:r>
      <w:proofErr w:type="spellEnd"/>
      <w:r w:rsidRPr="00287F85">
        <w:rPr>
          <w:lang w:val="en-US"/>
        </w:rPr>
        <w:t xml:space="preserve"> </w:t>
      </w:r>
      <w:proofErr w:type="spellStart"/>
      <w:r w:rsidRPr="00287F85">
        <w:rPr>
          <w:lang w:val="en-US"/>
        </w:rPr>
        <w:t>ресурс</w:t>
      </w:r>
      <w:proofErr w:type="spellEnd"/>
      <w:r w:rsidRPr="00287F85">
        <w:rPr>
          <w:lang w:val="en-US"/>
        </w:rPr>
        <w:t xml:space="preserve">]. — </w:t>
      </w:r>
      <w:proofErr w:type="spellStart"/>
      <w:r w:rsidRPr="00287F85">
        <w:rPr>
          <w:lang w:val="en-US"/>
        </w:rPr>
        <w:t>Режим</w:t>
      </w:r>
      <w:proofErr w:type="spellEnd"/>
      <w:r w:rsidRPr="00287F85">
        <w:rPr>
          <w:lang w:val="en-US"/>
        </w:rPr>
        <w:t xml:space="preserve"> </w:t>
      </w:r>
      <w:proofErr w:type="spellStart"/>
      <w:r w:rsidRPr="00287F85">
        <w:rPr>
          <w:lang w:val="en-US"/>
        </w:rPr>
        <w:t>доступа</w:t>
      </w:r>
      <w:proofErr w:type="spellEnd"/>
      <w:r w:rsidRPr="00287F85">
        <w:rPr>
          <w:lang w:val="en-US"/>
        </w:rPr>
        <w:t xml:space="preserve">: https://www.nytimes.com/2020/01/10/business/boeing-737-employees-messages.html, </w:t>
      </w:r>
      <w:proofErr w:type="spellStart"/>
      <w:r w:rsidRPr="00287F85">
        <w:rPr>
          <w:lang w:val="en-US"/>
        </w:rPr>
        <w:t>свободный</w:t>
      </w:r>
      <w:proofErr w:type="spellEnd"/>
      <w:r w:rsidRPr="00287F85">
        <w:rPr>
          <w:lang w:val="en-US"/>
        </w:rPr>
        <w:t>. (</w:t>
      </w:r>
      <w:proofErr w:type="spellStart"/>
      <w:r w:rsidRPr="00287F85">
        <w:rPr>
          <w:lang w:val="en-US"/>
        </w:rPr>
        <w:t>Дата</w:t>
      </w:r>
      <w:proofErr w:type="spellEnd"/>
      <w:r w:rsidRPr="00287F85">
        <w:rPr>
          <w:lang w:val="en-US"/>
        </w:rPr>
        <w:t xml:space="preserve"> </w:t>
      </w:r>
      <w:proofErr w:type="spellStart"/>
      <w:r w:rsidRPr="00287F85">
        <w:rPr>
          <w:lang w:val="en-US"/>
        </w:rPr>
        <w:t>обращения</w:t>
      </w:r>
      <w:proofErr w:type="spellEnd"/>
      <w:r w:rsidRPr="00287F85">
        <w:rPr>
          <w:lang w:val="en-US"/>
        </w:rPr>
        <w:t>: 27.02.2020)</w:t>
      </w:r>
    </w:p>
    <w:p w14:paraId="1366EC09" w14:textId="6182746E" w:rsidR="00287F85" w:rsidRDefault="00287F85" w:rsidP="00287F85">
      <w:pPr>
        <w:pStyle w:val="af8"/>
        <w:numPr>
          <w:ilvl w:val="0"/>
          <w:numId w:val="35"/>
        </w:numPr>
        <w:ind w:left="0" w:firstLine="0"/>
      </w:pPr>
      <w:r w:rsidRPr="000F4171">
        <w:t>Что посеем. Общая посевная площадь в 2020 году составит около 80,3 млн гектаров</w:t>
      </w:r>
      <w:r>
        <w:t xml:space="preserve"> </w:t>
      </w:r>
      <w:r w:rsidRPr="008512A0">
        <w:t>[</w:t>
      </w:r>
      <w:r>
        <w:t>Электронный ресурс</w:t>
      </w:r>
      <w:r w:rsidRPr="008512A0">
        <w:t>]</w:t>
      </w:r>
      <w:r>
        <w:t xml:space="preserve"> // Журнал «</w:t>
      </w:r>
      <w:proofErr w:type="spellStart"/>
      <w:r>
        <w:t>Агроинвестор</w:t>
      </w:r>
      <w:proofErr w:type="spellEnd"/>
      <w:r>
        <w:t>» — Режим доступа:</w:t>
      </w:r>
      <w:r w:rsidRPr="000F4171">
        <w:t xml:space="preserve"> </w:t>
      </w:r>
      <w:hyperlink r:id="rId22" w:history="1">
        <w:r w:rsidRPr="00301D0B">
          <w:rPr>
            <w:rStyle w:val="afa"/>
          </w:rPr>
          <w:t>https://www.agroinvestor.ru/analytics/article/33319-chto-poseem-obshchaya-posevnaya-ploshchad-v-2020-godu-sostavit-okolo-80-3-mln-gektarov/</w:t>
        </w:r>
      </w:hyperlink>
      <w:r>
        <w:t xml:space="preserve">, </w:t>
      </w:r>
      <w:r w:rsidRPr="000F4171">
        <w:t>свободный. (Дата обращения: 2</w:t>
      </w:r>
      <w:r>
        <w:t>2</w:t>
      </w:r>
      <w:r w:rsidRPr="000F4171">
        <w:t>.05.2020)</w:t>
      </w:r>
    </w:p>
    <w:p w14:paraId="34DC8B32" w14:textId="77777777" w:rsidR="00287F85" w:rsidRPr="00287F85" w:rsidRDefault="00287F85" w:rsidP="00287F85">
      <w:pPr>
        <w:pStyle w:val="af8"/>
        <w:numPr>
          <w:ilvl w:val="0"/>
          <w:numId w:val="35"/>
        </w:numPr>
        <w:ind w:left="0" w:firstLine="0"/>
        <w:rPr>
          <w:lang w:val="en-US"/>
        </w:rPr>
      </w:pPr>
      <w:proofErr w:type="spellStart"/>
      <w:r w:rsidRPr="00287F85">
        <w:rPr>
          <w:lang w:val="en-US"/>
        </w:rPr>
        <w:t>Banuta</w:t>
      </w:r>
      <w:proofErr w:type="spellEnd"/>
      <w:r w:rsidRPr="00287F85">
        <w:rPr>
          <w:lang w:val="en-US"/>
        </w:rPr>
        <w:t xml:space="preserve"> Mariana, </w:t>
      </w:r>
      <w:proofErr w:type="spellStart"/>
      <w:r w:rsidRPr="00287F85">
        <w:rPr>
          <w:lang w:val="en-US"/>
        </w:rPr>
        <w:t>Gadoiu</w:t>
      </w:r>
      <w:proofErr w:type="spellEnd"/>
      <w:r w:rsidRPr="00287F85">
        <w:rPr>
          <w:lang w:val="en-US"/>
        </w:rPr>
        <w:t xml:space="preserve"> Mihaela Aspects concerning the determination of the company value using the DCF method // Scientific Bulletin — Economic Sciences, Volume 15/Special Issue </w:t>
      </w:r>
      <w:proofErr w:type="spellStart"/>
      <w:r w:rsidRPr="00287F85">
        <w:rPr>
          <w:lang w:val="en-US"/>
        </w:rPr>
        <w:t>ETAEc</w:t>
      </w:r>
      <w:proofErr w:type="spellEnd"/>
      <w:r w:rsidRPr="00287F85">
        <w:rPr>
          <w:lang w:val="en-US"/>
        </w:rPr>
        <w:t xml:space="preserve"> 2016 — 123p.</w:t>
      </w:r>
    </w:p>
    <w:p w14:paraId="0BD4D369" w14:textId="77777777" w:rsidR="00287F85" w:rsidRPr="00BA62FA" w:rsidRDefault="00287F85" w:rsidP="00287F85">
      <w:pPr>
        <w:pStyle w:val="af8"/>
        <w:numPr>
          <w:ilvl w:val="0"/>
          <w:numId w:val="35"/>
        </w:numPr>
        <w:ind w:left="0" w:firstLine="0"/>
      </w:pPr>
      <w:r w:rsidRPr="00287F85">
        <w:rPr>
          <w:lang w:val="en-US"/>
        </w:rPr>
        <w:t>Betas</w:t>
      </w:r>
      <w:r w:rsidRPr="00913472">
        <w:t xml:space="preserve"> </w:t>
      </w:r>
      <w:r w:rsidRPr="00287F85">
        <w:rPr>
          <w:lang w:val="en-US"/>
        </w:rPr>
        <w:t>by</w:t>
      </w:r>
      <w:r w:rsidRPr="00913472">
        <w:t xml:space="preserve"> </w:t>
      </w:r>
      <w:r w:rsidRPr="00287F85">
        <w:rPr>
          <w:lang w:val="en-US"/>
        </w:rPr>
        <w:t>sectors</w:t>
      </w:r>
      <w:r w:rsidRPr="00913472">
        <w:t xml:space="preserve"> // </w:t>
      </w:r>
      <w:r w:rsidRPr="00287F85">
        <w:rPr>
          <w:lang w:val="en-US"/>
        </w:rPr>
        <w:t>Damodaran</w:t>
      </w:r>
      <w:r w:rsidRPr="00913472">
        <w:t xml:space="preserve"> </w:t>
      </w:r>
      <w:r w:rsidRPr="00287F85">
        <w:rPr>
          <w:lang w:val="en-US"/>
        </w:rPr>
        <w:t>Online</w:t>
      </w:r>
      <w:r w:rsidRPr="00913472">
        <w:t xml:space="preserve"> [Электронный ресурс] — Режим доступа: </w:t>
      </w:r>
      <w:r w:rsidRPr="00287F85">
        <w:rPr>
          <w:lang w:val="en-US"/>
        </w:rPr>
        <w:t>http</w:t>
      </w:r>
      <w:r w:rsidRPr="00913472">
        <w:t>://</w:t>
      </w:r>
      <w:r w:rsidRPr="00287F85">
        <w:rPr>
          <w:lang w:val="en-US"/>
        </w:rPr>
        <w:t>pages</w:t>
      </w:r>
      <w:r w:rsidRPr="00913472">
        <w:t>.</w:t>
      </w:r>
      <w:r w:rsidRPr="00287F85">
        <w:rPr>
          <w:lang w:val="en-US"/>
        </w:rPr>
        <w:t>stern</w:t>
      </w:r>
      <w:r w:rsidRPr="00913472">
        <w:t>.</w:t>
      </w:r>
      <w:proofErr w:type="spellStart"/>
      <w:r w:rsidRPr="00287F85">
        <w:rPr>
          <w:lang w:val="en-US"/>
        </w:rPr>
        <w:t>nyu</w:t>
      </w:r>
      <w:proofErr w:type="spellEnd"/>
      <w:r w:rsidRPr="00913472">
        <w:t>.</w:t>
      </w:r>
      <w:proofErr w:type="spellStart"/>
      <w:r w:rsidRPr="00287F85">
        <w:rPr>
          <w:lang w:val="en-US"/>
        </w:rPr>
        <w:t>edu</w:t>
      </w:r>
      <w:proofErr w:type="spellEnd"/>
      <w:r w:rsidRPr="00913472">
        <w:t>/~</w:t>
      </w:r>
      <w:proofErr w:type="spellStart"/>
      <w:r w:rsidRPr="00287F85">
        <w:rPr>
          <w:lang w:val="en-US"/>
        </w:rPr>
        <w:t>adamodar</w:t>
      </w:r>
      <w:proofErr w:type="spellEnd"/>
      <w:r w:rsidRPr="00913472">
        <w:t>/</w:t>
      </w:r>
      <w:r w:rsidRPr="00287F85">
        <w:rPr>
          <w:lang w:val="en-US"/>
        </w:rPr>
        <w:t>New</w:t>
      </w:r>
      <w:r w:rsidRPr="00913472">
        <w:t>_</w:t>
      </w:r>
      <w:r w:rsidRPr="00287F85">
        <w:rPr>
          <w:lang w:val="en-US"/>
        </w:rPr>
        <w:t>Home</w:t>
      </w:r>
      <w:r w:rsidRPr="00913472">
        <w:t>_</w:t>
      </w:r>
      <w:r w:rsidRPr="00287F85">
        <w:rPr>
          <w:lang w:val="en-US"/>
        </w:rPr>
        <w:t>Page</w:t>
      </w:r>
      <w:r w:rsidRPr="00913472">
        <w:t>/</w:t>
      </w:r>
      <w:r w:rsidRPr="00287F85">
        <w:rPr>
          <w:lang w:val="en-US"/>
        </w:rPr>
        <w:t>datafile</w:t>
      </w:r>
      <w:r w:rsidRPr="00913472">
        <w:t>/</w:t>
      </w:r>
      <w:r w:rsidRPr="00287F85">
        <w:rPr>
          <w:lang w:val="en-US"/>
        </w:rPr>
        <w:t>Betas</w:t>
      </w:r>
      <w:r w:rsidRPr="00913472">
        <w:t>.</w:t>
      </w:r>
      <w:r w:rsidRPr="00287F85">
        <w:rPr>
          <w:lang w:val="en-US"/>
        </w:rPr>
        <w:t>html</w:t>
      </w:r>
      <w:r w:rsidRPr="00913472">
        <w:t xml:space="preserve">, свободный. </w:t>
      </w:r>
      <w:r w:rsidRPr="00BA62FA">
        <w:t>(Дата обращения: 27.03.2020)</w:t>
      </w:r>
    </w:p>
    <w:p w14:paraId="7EBF193D" w14:textId="77777777" w:rsidR="00287F85" w:rsidRPr="00287F85" w:rsidRDefault="00287F85" w:rsidP="00287F85">
      <w:pPr>
        <w:pStyle w:val="af8"/>
        <w:numPr>
          <w:ilvl w:val="0"/>
          <w:numId w:val="35"/>
        </w:numPr>
        <w:ind w:left="0" w:firstLine="0"/>
        <w:rPr>
          <w:lang w:val="en-US"/>
        </w:rPr>
      </w:pPr>
      <w:r w:rsidRPr="00287F85">
        <w:rPr>
          <w:lang w:val="en-US"/>
        </w:rPr>
        <w:t>Boeing ‘Could Be the Enron Scandal of Our Day’: Hedge Fund Manager // CCN [</w:t>
      </w:r>
      <w:proofErr w:type="spellStart"/>
      <w:r w:rsidRPr="00287F85">
        <w:rPr>
          <w:lang w:val="en-US"/>
        </w:rPr>
        <w:t>Электронный</w:t>
      </w:r>
      <w:proofErr w:type="spellEnd"/>
      <w:r w:rsidRPr="00287F85">
        <w:rPr>
          <w:lang w:val="en-US"/>
        </w:rPr>
        <w:t xml:space="preserve"> </w:t>
      </w:r>
      <w:proofErr w:type="spellStart"/>
      <w:r w:rsidRPr="00287F85">
        <w:rPr>
          <w:lang w:val="en-US"/>
        </w:rPr>
        <w:t>ресурс</w:t>
      </w:r>
      <w:proofErr w:type="spellEnd"/>
      <w:r w:rsidRPr="00287F85">
        <w:rPr>
          <w:lang w:val="en-US"/>
        </w:rPr>
        <w:t xml:space="preserve">]. — </w:t>
      </w:r>
      <w:proofErr w:type="spellStart"/>
      <w:r w:rsidRPr="00287F85">
        <w:rPr>
          <w:lang w:val="en-US"/>
        </w:rPr>
        <w:t>Режим</w:t>
      </w:r>
      <w:proofErr w:type="spellEnd"/>
      <w:r w:rsidRPr="00287F85">
        <w:rPr>
          <w:lang w:val="en-US"/>
        </w:rPr>
        <w:t xml:space="preserve"> </w:t>
      </w:r>
      <w:proofErr w:type="spellStart"/>
      <w:r w:rsidRPr="00287F85">
        <w:rPr>
          <w:lang w:val="en-US"/>
        </w:rPr>
        <w:t>доступа</w:t>
      </w:r>
      <w:proofErr w:type="spellEnd"/>
      <w:r w:rsidRPr="00287F85">
        <w:rPr>
          <w:lang w:val="en-US"/>
        </w:rPr>
        <w:t xml:space="preserve">: https://www.ccn.com/boeing-could-be-the-enron-scandal-of-our-day-hedge-fund-manager/, </w:t>
      </w:r>
      <w:proofErr w:type="spellStart"/>
      <w:r w:rsidRPr="00287F85">
        <w:rPr>
          <w:lang w:val="en-US"/>
        </w:rPr>
        <w:t>свободный</w:t>
      </w:r>
      <w:proofErr w:type="spellEnd"/>
      <w:r w:rsidRPr="00287F85">
        <w:rPr>
          <w:lang w:val="en-US"/>
        </w:rPr>
        <w:t>. (</w:t>
      </w:r>
      <w:proofErr w:type="spellStart"/>
      <w:r w:rsidRPr="00287F85">
        <w:rPr>
          <w:lang w:val="en-US"/>
        </w:rPr>
        <w:t>Дата</w:t>
      </w:r>
      <w:proofErr w:type="spellEnd"/>
      <w:r w:rsidRPr="00287F85">
        <w:rPr>
          <w:lang w:val="en-US"/>
        </w:rPr>
        <w:t xml:space="preserve"> </w:t>
      </w:r>
      <w:proofErr w:type="spellStart"/>
      <w:r w:rsidRPr="00287F85">
        <w:rPr>
          <w:lang w:val="en-US"/>
        </w:rPr>
        <w:t>обращения</w:t>
      </w:r>
      <w:proofErr w:type="spellEnd"/>
      <w:r w:rsidRPr="00287F85">
        <w:rPr>
          <w:lang w:val="en-US"/>
        </w:rPr>
        <w:t>: 27.02.2020)</w:t>
      </w:r>
    </w:p>
    <w:p w14:paraId="04383EE9" w14:textId="77777777" w:rsidR="00287F85" w:rsidRPr="00287F85" w:rsidRDefault="00287F85" w:rsidP="00287F85">
      <w:pPr>
        <w:pStyle w:val="af8"/>
        <w:numPr>
          <w:ilvl w:val="0"/>
          <w:numId w:val="35"/>
        </w:numPr>
        <w:ind w:left="0" w:firstLine="0"/>
        <w:rPr>
          <w:lang w:val="en-US"/>
        </w:rPr>
      </w:pPr>
      <w:r w:rsidRPr="00287F85">
        <w:rPr>
          <w:lang w:val="en-US"/>
        </w:rPr>
        <w:lastRenderedPageBreak/>
        <w:t>Christensen C.M., Kaufman S.P., Shih W.C. Innovation killers: How Financial Tools Destroy Your Capacity to Do New Things // Harvard Business Review. – January 2008. – p. p. 98 – 107.</w:t>
      </w:r>
    </w:p>
    <w:p w14:paraId="7CD22CF5" w14:textId="77777777" w:rsidR="00287F85" w:rsidRPr="00287F85" w:rsidRDefault="00287F85" w:rsidP="00287F85">
      <w:pPr>
        <w:pStyle w:val="af8"/>
        <w:numPr>
          <w:ilvl w:val="0"/>
          <w:numId w:val="35"/>
        </w:numPr>
        <w:ind w:left="0" w:firstLine="0"/>
        <w:rPr>
          <w:lang w:val="en-US"/>
        </w:rPr>
      </w:pPr>
      <w:r w:rsidRPr="00287F85">
        <w:rPr>
          <w:lang w:val="en-US"/>
        </w:rPr>
        <w:t>Daniel McCarthy, Peter Fader How to value a company by analyzing its customers / Harvard Business Review — January-February 2020. — 51-55 p.</w:t>
      </w:r>
    </w:p>
    <w:p w14:paraId="2613BBAD" w14:textId="77777777" w:rsidR="00287F85" w:rsidRPr="00287F85" w:rsidRDefault="00287F85" w:rsidP="00287F85">
      <w:pPr>
        <w:pStyle w:val="af8"/>
        <w:numPr>
          <w:ilvl w:val="0"/>
          <w:numId w:val="35"/>
        </w:numPr>
        <w:ind w:left="0" w:firstLine="0"/>
        <w:rPr>
          <w:lang w:val="en-US"/>
        </w:rPr>
      </w:pPr>
      <w:r w:rsidRPr="00287F85">
        <w:rPr>
          <w:lang w:val="en-US"/>
        </w:rPr>
        <w:t>Dickinson V. Cash Flow as Proxy for Firm Life Cycle; PhD; CPA. Fisher School of Accounting Warrington. College of Business. University of Florida</w:t>
      </w:r>
      <w:r>
        <w:t xml:space="preserve"> —</w:t>
      </w:r>
      <w:r w:rsidRPr="00287F85">
        <w:rPr>
          <w:lang w:val="en-US"/>
        </w:rPr>
        <w:t xml:space="preserve"> </w:t>
      </w:r>
      <w:r>
        <w:t xml:space="preserve">2007 г. </w:t>
      </w:r>
    </w:p>
    <w:p w14:paraId="5E139B4F" w14:textId="77777777" w:rsidR="00287F85" w:rsidRPr="00287F85" w:rsidRDefault="00287F85" w:rsidP="00287F85">
      <w:pPr>
        <w:pStyle w:val="af8"/>
        <w:numPr>
          <w:ilvl w:val="0"/>
          <w:numId w:val="35"/>
        </w:numPr>
        <w:ind w:left="0" w:firstLine="0"/>
        <w:rPr>
          <w:lang w:val="en-US"/>
        </w:rPr>
      </w:pPr>
      <w:r w:rsidRPr="00287F85">
        <w:rPr>
          <w:lang w:val="en-US"/>
        </w:rPr>
        <w:t xml:space="preserve">Durham, Catherine J. “Understanding the Basic Business Valuation Methods.” Control Engineering, vol. 63, no. 12, Dec. 2016, p. 24. </w:t>
      </w:r>
    </w:p>
    <w:p w14:paraId="313A2022" w14:textId="77777777" w:rsidR="00287F85" w:rsidRPr="00287F85" w:rsidRDefault="00287F85" w:rsidP="00287F85">
      <w:pPr>
        <w:pStyle w:val="af8"/>
        <w:numPr>
          <w:ilvl w:val="0"/>
          <w:numId w:val="35"/>
        </w:numPr>
        <w:ind w:left="0" w:firstLine="0"/>
        <w:rPr>
          <w:lang w:val="en-US"/>
        </w:rPr>
      </w:pPr>
      <w:r w:rsidRPr="00287F85">
        <w:rPr>
          <w:lang w:val="en-US"/>
        </w:rPr>
        <w:t>Edwards E., Bell P. The Theory and Measurement of Business Income //University of California Press, 1</w:t>
      </w:r>
      <w:r w:rsidRPr="00287F85">
        <w:rPr>
          <w:vertAlign w:val="superscript"/>
          <w:lang w:val="en-US"/>
        </w:rPr>
        <w:t>st</w:t>
      </w:r>
      <w:r w:rsidRPr="00287F85">
        <w:rPr>
          <w:lang w:val="en-US"/>
        </w:rPr>
        <w:t xml:space="preserve"> Edition, 1961, 342 p.</w:t>
      </w:r>
    </w:p>
    <w:p w14:paraId="1DEF8A8D" w14:textId="77777777" w:rsidR="00287F85" w:rsidRDefault="00287F85" w:rsidP="00287F85">
      <w:pPr>
        <w:pStyle w:val="af8"/>
        <w:numPr>
          <w:ilvl w:val="0"/>
          <w:numId w:val="35"/>
        </w:numPr>
        <w:ind w:left="0" w:firstLine="0"/>
      </w:pPr>
      <w:r w:rsidRPr="00287F85">
        <w:rPr>
          <w:lang w:val="en-US"/>
        </w:rPr>
        <w:t xml:space="preserve">European Solvency II survey 2014 // </w:t>
      </w:r>
      <w:proofErr w:type="spellStart"/>
      <w:r w:rsidRPr="00287F85">
        <w:rPr>
          <w:lang w:val="en-US"/>
        </w:rPr>
        <w:t>Ernst&amp;Young</w:t>
      </w:r>
      <w:proofErr w:type="spellEnd"/>
      <w:r w:rsidRPr="00287F85">
        <w:rPr>
          <w:lang w:val="en-US"/>
        </w:rPr>
        <w:t xml:space="preserve"> [</w:t>
      </w:r>
      <w:r>
        <w:t>Электронный</w:t>
      </w:r>
      <w:r w:rsidRPr="00287F85">
        <w:rPr>
          <w:lang w:val="en-US"/>
        </w:rPr>
        <w:t xml:space="preserve"> </w:t>
      </w:r>
      <w:r>
        <w:t>ресурс</w:t>
      </w:r>
      <w:r w:rsidRPr="00287F85">
        <w:rPr>
          <w:lang w:val="en-US"/>
        </w:rPr>
        <w:t xml:space="preserve">] — </w:t>
      </w:r>
      <w:r>
        <w:t>Режим</w:t>
      </w:r>
      <w:r w:rsidRPr="00287F85">
        <w:rPr>
          <w:lang w:val="en-US"/>
        </w:rPr>
        <w:t xml:space="preserve"> </w:t>
      </w:r>
      <w:r>
        <w:t>доступа</w:t>
      </w:r>
      <w:r w:rsidRPr="00287F85">
        <w:rPr>
          <w:lang w:val="en-US"/>
        </w:rPr>
        <w:t xml:space="preserve">: </w:t>
      </w:r>
      <w:hyperlink r:id="rId23" w:history="1">
        <w:r w:rsidRPr="00287F85">
          <w:rPr>
            <w:rStyle w:val="afa"/>
            <w:lang w:val="en-US"/>
          </w:rPr>
          <w:t>https://www.eycom.ch/en/Publications/20130530-European-Solvency-2-survey/download</w:t>
        </w:r>
      </w:hyperlink>
      <w:r w:rsidRPr="00287F85">
        <w:rPr>
          <w:lang w:val="en-US"/>
        </w:rPr>
        <w:t xml:space="preserve">, </w:t>
      </w:r>
      <w:r>
        <w:t>свободный</w:t>
      </w:r>
      <w:r w:rsidRPr="00287F85">
        <w:rPr>
          <w:lang w:val="en-US"/>
        </w:rPr>
        <w:t xml:space="preserve">. </w:t>
      </w:r>
      <w:r>
        <w:t>(Дата обращения: 23.03.2020)</w:t>
      </w:r>
    </w:p>
    <w:p w14:paraId="09A300AB" w14:textId="77777777" w:rsidR="00287F85" w:rsidRPr="00287F85" w:rsidRDefault="00287F85" w:rsidP="00287F85">
      <w:pPr>
        <w:pStyle w:val="af8"/>
        <w:numPr>
          <w:ilvl w:val="0"/>
          <w:numId w:val="35"/>
        </w:numPr>
        <w:ind w:left="0" w:firstLine="0"/>
        <w:rPr>
          <w:lang w:val="en-US"/>
        </w:rPr>
      </w:pPr>
      <w:r w:rsidRPr="00287F85">
        <w:rPr>
          <w:lang w:val="en-US"/>
        </w:rPr>
        <w:t xml:space="preserve">Florin </w:t>
      </w:r>
      <w:proofErr w:type="spellStart"/>
      <w:r w:rsidRPr="00287F85">
        <w:rPr>
          <w:lang w:val="en-US"/>
        </w:rPr>
        <w:t>Turcaș</w:t>
      </w:r>
      <w:proofErr w:type="spellEnd"/>
      <w:r w:rsidRPr="00287F85">
        <w:rPr>
          <w:lang w:val="en-US"/>
        </w:rPr>
        <w:t xml:space="preserve">, Florin Cornel </w:t>
      </w:r>
      <w:proofErr w:type="spellStart"/>
      <w:r w:rsidRPr="00287F85">
        <w:rPr>
          <w:lang w:val="en-US"/>
        </w:rPr>
        <w:t>Dumiter</w:t>
      </w:r>
      <w:proofErr w:type="spellEnd"/>
      <w:r w:rsidRPr="00287F85">
        <w:rPr>
          <w:lang w:val="en-US"/>
        </w:rPr>
        <w:t xml:space="preserve">, </w:t>
      </w:r>
      <w:proofErr w:type="spellStart"/>
      <w:r w:rsidRPr="00287F85">
        <w:rPr>
          <w:lang w:val="en-US"/>
        </w:rPr>
        <w:t>Petre</w:t>
      </w:r>
      <w:proofErr w:type="spellEnd"/>
      <w:r w:rsidRPr="00287F85">
        <w:rPr>
          <w:lang w:val="en-US"/>
        </w:rPr>
        <w:t xml:space="preserve"> </w:t>
      </w:r>
      <w:proofErr w:type="spellStart"/>
      <w:r w:rsidRPr="00287F85">
        <w:rPr>
          <w:lang w:val="en-US"/>
        </w:rPr>
        <w:t>Brezeanu</w:t>
      </w:r>
      <w:proofErr w:type="spellEnd"/>
      <w:r w:rsidRPr="00287F85">
        <w:rPr>
          <w:lang w:val="en-US"/>
        </w:rPr>
        <w:t xml:space="preserve">, Marius </w:t>
      </w:r>
      <w:proofErr w:type="spellStart"/>
      <w:r w:rsidRPr="00287F85">
        <w:rPr>
          <w:lang w:val="en-US"/>
        </w:rPr>
        <w:t>Boiță</w:t>
      </w:r>
      <w:proofErr w:type="spellEnd"/>
      <w:r w:rsidRPr="00287F85">
        <w:rPr>
          <w:lang w:val="en-US"/>
        </w:rPr>
        <w:t xml:space="preserve"> Forecasting, valuation and portfolio returns of stock market evolution: problems, paradoxes and efficient information. Worldwide implications and </w:t>
      </w:r>
      <w:proofErr w:type="spellStart"/>
      <w:r w:rsidRPr="00287F85">
        <w:rPr>
          <w:lang w:val="en-US"/>
        </w:rPr>
        <w:t>romanian</w:t>
      </w:r>
      <w:proofErr w:type="spellEnd"/>
      <w:r w:rsidRPr="00287F85">
        <w:rPr>
          <w:lang w:val="en-US"/>
        </w:rPr>
        <w:t xml:space="preserve"> evidence // Journal of Business Economics and Management — 2020 Volume 21 Issue 1 — 87-114 p.</w:t>
      </w:r>
    </w:p>
    <w:p w14:paraId="4D5D5180" w14:textId="77777777" w:rsidR="00287F85" w:rsidRPr="00BA62FA" w:rsidRDefault="00287F85" w:rsidP="00287F85">
      <w:pPr>
        <w:pStyle w:val="af8"/>
        <w:numPr>
          <w:ilvl w:val="0"/>
          <w:numId w:val="35"/>
        </w:numPr>
        <w:ind w:left="0" w:firstLine="0"/>
      </w:pPr>
      <w:r w:rsidRPr="00287F85">
        <w:rPr>
          <w:lang w:val="en-US"/>
        </w:rPr>
        <w:t>HeadHunter</w:t>
      </w:r>
      <w:r w:rsidRPr="00913472">
        <w:t xml:space="preserve"> выплатит дивиденды в 2020 году в $0,50 на акцию // Агентство экономической информацией Прайм [Электронный ресурс] — Режим доступа: </w:t>
      </w:r>
      <w:r w:rsidRPr="00287F85">
        <w:rPr>
          <w:lang w:val="en-US"/>
        </w:rPr>
        <w:t>https</w:t>
      </w:r>
      <w:r w:rsidRPr="00913472">
        <w:t>://1</w:t>
      </w:r>
      <w:r w:rsidRPr="00287F85">
        <w:rPr>
          <w:lang w:val="en-US"/>
        </w:rPr>
        <w:t>prime</w:t>
      </w:r>
      <w:r w:rsidRPr="00913472">
        <w:t>.</w:t>
      </w:r>
      <w:proofErr w:type="spellStart"/>
      <w:r w:rsidRPr="00287F85">
        <w:rPr>
          <w:lang w:val="en-US"/>
        </w:rPr>
        <w:t>ru</w:t>
      </w:r>
      <w:proofErr w:type="spellEnd"/>
      <w:r w:rsidRPr="00913472">
        <w:t>/</w:t>
      </w:r>
      <w:r w:rsidRPr="00287F85">
        <w:rPr>
          <w:lang w:val="en-US"/>
        </w:rPr>
        <w:t>business</w:t>
      </w:r>
      <w:r w:rsidRPr="00913472">
        <w:t>/20200313/831073789.</w:t>
      </w:r>
      <w:r w:rsidRPr="00287F85">
        <w:rPr>
          <w:lang w:val="en-US"/>
        </w:rPr>
        <w:t>html</w:t>
      </w:r>
      <w:r w:rsidRPr="00913472">
        <w:t xml:space="preserve">, свободный. </w:t>
      </w:r>
      <w:r w:rsidRPr="00BA62FA">
        <w:t>(Дата обращения: 01.04.2020)</w:t>
      </w:r>
    </w:p>
    <w:p w14:paraId="100C69E1" w14:textId="77777777" w:rsidR="00287F85" w:rsidRPr="00DF654E" w:rsidRDefault="00287F85" w:rsidP="00287F85">
      <w:pPr>
        <w:pStyle w:val="af8"/>
        <w:numPr>
          <w:ilvl w:val="0"/>
          <w:numId w:val="35"/>
        </w:numPr>
        <w:ind w:left="0" w:firstLine="0"/>
      </w:pPr>
      <w:r>
        <w:t>HeadHunter закрепила успех на NASDAQ // РБК</w:t>
      </w:r>
      <w:r w:rsidRPr="00DF654E">
        <w:t xml:space="preserve"> </w:t>
      </w:r>
      <w:r w:rsidRPr="00C537DD">
        <w:t>[</w:t>
      </w:r>
      <w:r>
        <w:t>Электронный ресурс</w:t>
      </w:r>
      <w:r w:rsidRPr="00C537DD">
        <w:t>]</w:t>
      </w:r>
      <w:r>
        <w:t xml:space="preserve"> — Режим доступа:</w:t>
      </w:r>
      <w:hyperlink r:id="rId24" w:history="1">
        <w:r w:rsidRPr="00627CF2">
          <w:rPr>
            <w:rStyle w:val="afa"/>
          </w:rPr>
          <w:t>https://www.rbc.ru/technology_and_media/09/05/2019/5cd2b2f89a794749e03752b2</w:t>
        </w:r>
      </w:hyperlink>
      <w:r w:rsidRPr="00DF654E">
        <w:t xml:space="preserve">, </w:t>
      </w:r>
      <w:r>
        <w:t>свободный. (Дата обращения: 27.03.2020)</w:t>
      </w:r>
    </w:p>
    <w:p w14:paraId="47469010" w14:textId="77777777" w:rsidR="00287F85" w:rsidRDefault="00287F85" w:rsidP="00287F85">
      <w:pPr>
        <w:pStyle w:val="af8"/>
        <w:numPr>
          <w:ilvl w:val="0"/>
          <w:numId w:val="35"/>
        </w:numPr>
        <w:ind w:left="0" w:firstLine="0"/>
      </w:pPr>
      <w:r w:rsidRPr="00287F85">
        <w:rPr>
          <w:lang w:val="en-US"/>
        </w:rPr>
        <w:t>HHR</w:t>
      </w:r>
      <w:r w:rsidRPr="00205803">
        <w:t>:</w:t>
      </w:r>
      <w:r>
        <w:t xml:space="preserve"> </w:t>
      </w:r>
      <w:r w:rsidRPr="00287F85">
        <w:rPr>
          <w:lang w:val="en-US"/>
        </w:rPr>
        <w:t>NASDAQ</w:t>
      </w:r>
      <w:r>
        <w:t xml:space="preserve"> // </w:t>
      </w:r>
      <w:r w:rsidRPr="00287F85">
        <w:rPr>
          <w:lang w:val="en-US"/>
        </w:rPr>
        <w:t>Bloomberg</w:t>
      </w:r>
      <w:r w:rsidRPr="00205803">
        <w:t xml:space="preserve"> [</w:t>
      </w:r>
      <w:r>
        <w:t>Электронный ресурс</w:t>
      </w:r>
      <w:r w:rsidRPr="00205803">
        <w:t>]</w:t>
      </w:r>
      <w:r>
        <w:t xml:space="preserve"> — Режим доступа: </w:t>
      </w:r>
      <w:hyperlink r:id="rId25" w:history="1">
        <w:r w:rsidRPr="00627CF2">
          <w:rPr>
            <w:rStyle w:val="afa"/>
          </w:rPr>
          <w:t>https://www.bloomberg.com/quote/HHR:US</w:t>
        </w:r>
      </w:hyperlink>
      <w:r>
        <w:t>, свободный. (Режим доступа: 27.03.2020)</w:t>
      </w:r>
    </w:p>
    <w:p w14:paraId="79119FE8" w14:textId="77777777" w:rsidR="00287F85" w:rsidRPr="00287F85" w:rsidRDefault="00287F85" w:rsidP="00287F85">
      <w:pPr>
        <w:pStyle w:val="af8"/>
        <w:numPr>
          <w:ilvl w:val="0"/>
          <w:numId w:val="35"/>
        </w:numPr>
        <w:ind w:left="0" w:firstLine="0"/>
        <w:rPr>
          <w:lang w:val="en-US"/>
        </w:rPr>
      </w:pPr>
      <w:r w:rsidRPr="00287F85">
        <w:rPr>
          <w:lang w:val="en-US"/>
        </w:rPr>
        <w:t>Hooke, Jeffrey C. Security analysis and business valuation on Wall Street: a comprehensive guide to today’s valuation methods — 2nd ed., Wiley &amp; Sons, Inc., Hoboken, New Jersey, 2010. – 431 p</w:t>
      </w:r>
    </w:p>
    <w:p w14:paraId="34308F47" w14:textId="77777777" w:rsidR="00287F85" w:rsidRPr="00287F85" w:rsidRDefault="00287F85" w:rsidP="00287F85">
      <w:pPr>
        <w:pStyle w:val="af8"/>
        <w:numPr>
          <w:ilvl w:val="0"/>
          <w:numId w:val="35"/>
        </w:numPr>
        <w:ind w:left="0" w:firstLine="0"/>
        <w:rPr>
          <w:lang w:val="en-US"/>
        </w:rPr>
      </w:pPr>
      <w:r w:rsidRPr="00287F85">
        <w:rPr>
          <w:lang w:val="en-US"/>
        </w:rPr>
        <w:t>Koller Timothy What is value-based management? // An excerpt from Valuation: Measuring and Managing the Value of Companies, Second Edition, p.87</w:t>
      </w:r>
    </w:p>
    <w:p w14:paraId="45F56458" w14:textId="77777777" w:rsidR="00287F85" w:rsidRPr="00287F85" w:rsidRDefault="00287F85" w:rsidP="00287F85">
      <w:pPr>
        <w:pStyle w:val="af8"/>
        <w:numPr>
          <w:ilvl w:val="0"/>
          <w:numId w:val="35"/>
        </w:numPr>
        <w:ind w:left="0" w:firstLine="0"/>
        <w:rPr>
          <w:lang w:val="en-US"/>
        </w:rPr>
      </w:pPr>
      <w:r w:rsidRPr="00287F85">
        <w:rPr>
          <w:lang w:val="en-US"/>
        </w:rPr>
        <w:t xml:space="preserve">Luis E. </w:t>
      </w:r>
      <w:proofErr w:type="spellStart"/>
      <w:r w:rsidRPr="00287F85">
        <w:rPr>
          <w:lang w:val="en-US"/>
        </w:rPr>
        <w:t>Pereiro</w:t>
      </w:r>
      <w:proofErr w:type="spellEnd"/>
      <w:r w:rsidRPr="00287F85">
        <w:rPr>
          <w:lang w:val="en-US"/>
        </w:rPr>
        <w:t xml:space="preserve"> Valuation of companies in emerging markets: A practical approach // John Wiley &amp; Sons, New York, 2002 — 85-102 p. </w:t>
      </w:r>
    </w:p>
    <w:p w14:paraId="72175DBB" w14:textId="77777777" w:rsidR="00287F85" w:rsidRPr="00287F85" w:rsidRDefault="00287F85" w:rsidP="00287F85">
      <w:pPr>
        <w:pStyle w:val="af8"/>
        <w:numPr>
          <w:ilvl w:val="0"/>
          <w:numId w:val="35"/>
        </w:numPr>
        <w:ind w:left="0" w:firstLine="0"/>
        <w:rPr>
          <w:lang w:val="en-US"/>
        </w:rPr>
      </w:pPr>
      <w:r w:rsidRPr="00287F85">
        <w:rPr>
          <w:lang w:val="en-US"/>
        </w:rPr>
        <w:lastRenderedPageBreak/>
        <w:t xml:space="preserve">Marc </w:t>
      </w:r>
      <w:proofErr w:type="spellStart"/>
      <w:r w:rsidRPr="00287F85">
        <w:rPr>
          <w:lang w:val="en-US"/>
        </w:rPr>
        <w:t>Goedhart</w:t>
      </w:r>
      <w:proofErr w:type="spellEnd"/>
      <w:r w:rsidRPr="00287F85">
        <w:rPr>
          <w:lang w:val="en-US"/>
        </w:rPr>
        <w:t>, Tim Koller, David Wessels Valuing high-tech companies // Strategy &amp; Corporate Finance. Book Excerpt, February 2016</w:t>
      </w:r>
    </w:p>
    <w:p w14:paraId="0573C001" w14:textId="77777777" w:rsidR="00287F85" w:rsidRPr="00287F85" w:rsidRDefault="00287F85" w:rsidP="00287F85">
      <w:pPr>
        <w:pStyle w:val="af8"/>
        <w:numPr>
          <w:ilvl w:val="0"/>
          <w:numId w:val="35"/>
        </w:numPr>
        <w:ind w:left="0" w:firstLine="0"/>
        <w:rPr>
          <w:lang w:val="en-US"/>
        </w:rPr>
      </w:pPr>
      <w:r w:rsidRPr="00287F85">
        <w:rPr>
          <w:lang w:val="en-US"/>
        </w:rPr>
        <w:t xml:space="preserve">Nick </w:t>
      </w:r>
      <w:proofErr w:type="spellStart"/>
      <w:r w:rsidRPr="00287F85">
        <w:rPr>
          <w:lang w:val="en-US"/>
        </w:rPr>
        <w:t>Antill</w:t>
      </w:r>
      <w:proofErr w:type="spellEnd"/>
      <w:r w:rsidRPr="00287F85">
        <w:rPr>
          <w:lang w:val="en-US"/>
        </w:rPr>
        <w:t xml:space="preserve">, Kenneth Lee Company Valuation Under IFRS: Interpreting and Forecasting Accounts Using International Financial Reporting Standards / </w:t>
      </w:r>
      <w:proofErr w:type="spellStart"/>
      <w:r w:rsidRPr="00287F85">
        <w:rPr>
          <w:lang w:val="en-US"/>
        </w:rPr>
        <w:t>Antill</w:t>
      </w:r>
      <w:proofErr w:type="spellEnd"/>
      <w:r w:rsidRPr="00287F85">
        <w:rPr>
          <w:lang w:val="en-US"/>
        </w:rPr>
        <w:t xml:space="preserve"> N., Lee K. // Harriman House Publishing, 2</w:t>
      </w:r>
      <w:r w:rsidRPr="00287F85">
        <w:rPr>
          <w:vertAlign w:val="superscript"/>
          <w:lang w:val="en-US"/>
        </w:rPr>
        <w:t>nd</w:t>
      </w:r>
      <w:r w:rsidRPr="00287F85">
        <w:rPr>
          <w:lang w:val="en-US"/>
        </w:rPr>
        <w:t xml:space="preserve"> edition, 2008 — 430p.</w:t>
      </w:r>
    </w:p>
    <w:p w14:paraId="44999D96" w14:textId="77777777" w:rsidR="00287F85" w:rsidRPr="00287F85" w:rsidRDefault="00287F85" w:rsidP="00287F85">
      <w:pPr>
        <w:pStyle w:val="af8"/>
        <w:numPr>
          <w:ilvl w:val="0"/>
          <w:numId w:val="35"/>
        </w:numPr>
        <w:ind w:left="0" w:firstLine="0"/>
        <w:rPr>
          <w:lang w:val="en-US"/>
        </w:rPr>
      </w:pPr>
      <w:r w:rsidRPr="00287F85">
        <w:rPr>
          <w:lang w:val="en-US"/>
        </w:rPr>
        <w:t>Ohlson, James A. Earnings, Book Values, and Dividends in Equity Valuation. Contemporary Accounting Research, Vol. 11, 1995</w:t>
      </w:r>
    </w:p>
    <w:p w14:paraId="543F584F" w14:textId="77777777" w:rsidR="00287F85" w:rsidRPr="00287F85" w:rsidRDefault="00287F85" w:rsidP="00287F85">
      <w:pPr>
        <w:pStyle w:val="af8"/>
        <w:numPr>
          <w:ilvl w:val="0"/>
          <w:numId w:val="35"/>
        </w:numPr>
        <w:ind w:left="0" w:firstLine="0"/>
        <w:rPr>
          <w:lang w:val="en-US"/>
        </w:rPr>
      </w:pPr>
      <w:r w:rsidRPr="00287F85">
        <w:rPr>
          <w:lang w:val="en-US"/>
        </w:rPr>
        <w:t xml:space="preserve">Olga </w:t>
      </w:r>
      <w:proofErr w:type="spellStart"/>
      <w:r w:rsidRPr="00287F85">
        <w:rPr>
          <w:lang w:val="en-US"/>
        </w:rPr>
        <w:t>Almabekova</w:t>
      </w:r>
      <w:proofErr w:type="spellEnd"/>
      <w:r w:rsidRPr="00287F85">
        <w:rPr>
          <w:lang w:val="en-US"/>
        </w:rPr>
        <w:t xml:space="preserve">, Roman </w:t>
      </w:r>
      <w:proofErr w:type="spellStart"/>
      <w:r w:rsidRPr="00287F85">
        <w:rPr>
          <w:lang w:val="en-US"/>
        </w:rPr>
        <w:t>Kuzmich</w:t>
      </w:r>
      <w:proofErr w:type="spellEnd"/>
      <w:r w:rsidRPr="00287F85">
        <w:rPr>
          <w:lang w:val="en-US"/>
        </w:rPr>
        <w:t xml:space="preserve">, Elena </w:t>
      </w:r>
      <w:proofErr w:type="spellStart"/>
      <w:r w:rsidRPr="00287F85">
        <w:rPr>
          <w:lang w:val="en-US"/>
        </w:rPr>
        <w:t>Antosik</w:t>
      </w:r>
      <w:proofErr w:type="spellEnd"/>
      <w:r w:rsidRPr="00287F85">
        <w:rPr>
          <w:lang w:val="en-US"/>
        </w:rPr>
        <w:t xml:space="preserve"> Income Approach to Business Valuation: Russian Perspective // Zagreb International Review of Economics &amp; Business, Vol. 21, No. 2, pp. 115-128, 2018 </w:t>
      </w:r>
    </w:p>
    <w:p w14:paraId="1D2BC038" w14:textId="77777777" w:rsidR="00287F85" w:rsidRPr="00287F85" w:rsidRDefault="00287F85" w:rsidP="00287F85">
      <w:pPr>
        <w:pStyle w:val="af8"/>
        <w:numPr>
          <w:ilvl w:val="0"/>
          <w:numId w:val="35"/>
        </w:numPr>
        <w:ind w:left="0" w:firstLine="0"/>
        <w:rPr>
          <w:lang w:val="en-US"/>
        </w:rPr>
      </w:pPr>
      <w:r w:rsidRPr="00287F85">
        <w:rPr>
          <w:lang w:val="en-US"/>
        </w:rPr>
        <w:t xml:space="preserve">Steven C. Applying income-approach business valuation methods to professional practices. // Journal of Financial Service Professionals. — 2004. — P. 91-99. </w:t>
      </w:r>
    </w:p>
    <w:p w14:paraId="3279DEF0" w14:textId="77777777" w:rsidR="00287F85" w:rsidRPr="00287F85" w:rsidRDefault="00287F85" w:rsidP="00287F85">
      <w:pPr>
        <w:pStyle w:val="af8"/>
        <w:numPr>
          <w:ilvl w:val="0"/>
          <w:numId w:val="35"/>
        </w:numPr>
        <w:ind w:left="0" w:firstLine="0"/>
        <w:rPr>
          <w:lang w:val="en-US"/>
        </w:rPr>
      </w:pPr>
      <w:r w:rsidRPr="00287F85">
        <w:rPr>
          <w:lang w:val="en-US"/>
        </w:rPr>
        <w:t xml:space="preserve">The </w:t>
      </w:r>
      <w:proofErr w:type="spellStart"/>
      <w:r w:rsidRPr="00287F85">
        <w:rPr>
          <w:lang w:val="en-US"/>
        </w:rPr>
        <w:t>WeWork</w:t>
      </w:r>
      <w:proofErr w:type="spellEnd"/>
      <w:r w:rsidRPr="00287F85">
        <w:rPr>
          <w:lang w:val="en-US"/>
        </w:rPr>
        <w:t xml:space="preserve"> fiasco of 2019, explained in 30 seconds // Business Insider — </w:t>
      </w:r>
      <w:proofErr w:type="spellStart"/>
      <w:r w:rsidRPr="00287F85">
        <w:rPr>
          <w:lang w:val="en-US"/>
        </w:rPr>
        <w:t>Режим</w:t>
      </w:r>
      <w:proofErr w:type="spellEnd"/>
      <w:r w:rsidRPr="00287F85">
        <w:rPr>
          <w:lang w:val="en-US"/>
        </w:rPr>
        <w:t xml:space="preserve"> </w:t>
      </w:r>
      <w:proofErr w:type="spellStart"/>
      <w:r w:rsidRPr="00287F85">
        <w:rPr>
          <w:lang w:val="en-US"/>
        </w:rPr>
        <w:t>доступа</w:t>
      </w:r>
      <w:proofErr w:type="spellEnd"/>
      <w:r w:rsidRPr="00287F85">
        <w:rPr>
          <w:lang w:val="en-US"/>
        </w:rPr>
        <w:t xml:space="preserve">: https://www.businessinsider.com/wework-ipo-fiasco-adam-neumann-explained-events-timeline-2019-9, </w:t>
      </w:r>
      <w:proofErr w:type="spellStart"/>
      <w:r w:rsidRPr="00287F85">
        <w:rPr>
          <w:lang w:val="en-US"/>
        </w:rPr>
        <w:t>свободный</w:t>
      </w:r>
      <w:proofErr w:type="spellEnd"/>
      <w:r w:rsidRPr="00287F85">
        <w:rPr>
          <w:lang w:val="en-US"/>
        </w:rPr>
        <w:t>. (</w:t>
      </w:r>
      <w:proofErr w:type="spellStart"/>
      <w:r w:rsidRPr="00287F85">
        <w:rPr>
          <w:lang w:val="en-US"/>
        </w:rPr>
        <w:t>Дата</w:t>
      </w:r>
      <w:proofErr w:type="spellEnd"/>
      <w:r w:rsidRPr="00287F85">
        <w:rPr>
          <w:lang w:val="en-US"/>
        </w:rPr>
        <w:t xml:space="preserve"> </w:t>
      </w:r>
      <w:proofErr w:type="spellStart"/>
      <w:r w:rsidRPr="00287F85">
        <w:rPr>
          <w:lang w:val="en-US"/>
        </w:rPr>
        <w:t>обращения</w:t>
      </w:r>
      <w:proofErr w:type="spellEnd"/>
      <w:r w:rsidRPr="00287F85">
        <w:rPr>
          <w:lang w:val="en-US"/>
        </w:rPr>
        <w:t xml:space="preserve">: 05.03.2020) </w:t>
      </w:r>
    </w:p>
    <w:p w14:paraId="086A78AE" w14:textId="77777777" w:rsidR="00287F85" w:rsidRPr="00287F85" w:rsidRDefault="00287F85" w:rsidP="00287F85">
      <w:pPr>
        <w:pStyle w:val="af8"/>
        <w:numPr>
          <w:ilvl w:val="0"/>
          <w:numId w:val="35"/>
        </w:numPr>
        <w:ind w:left="0" w:firstLine="0"/>
        <w:rPr>
          <w:lang w:val="en-US"/>
        </w:rPr>
      </w:pPr>
      <w:r w:rsidRPr="00287F85">
        <w:rPr>
          <w:lang w:val="en-US"/>
        </w:rPr>
        <w:t xml:space="preserve">Thomas, Rawley, Gup, Benton E..; The Valuation Handbook: Valuation Techniques </w:t>
      </w:r>
      <w:proofErr w:type="gramStart"/>
      <w:r w:rsidRPr="00287F85">
        <w:rPr>
          <w:lang w:val="en-US"/>
        </w:rPr>
        <w:t>From</w:t>
      </w:r>
      <w:proofErr w:type="gramEnd"/>
      <w:r w:rsidRPr="00287F85">
        <w:rPr>
          <w:lang w:val="en-US"/>
        </w:rPr>
        <w:t xml:space="preserve"> Today's Top Practitioners — Wiley; 1 edition. — Nov.2009. — 630 p.</w:t>
      </w:r>
    </w:p>
    <w:p w14:paraId="77A4565E" w14:textId="77777777" w:rsidR="00287F85" w:rsidRPr="00287F85" w:rsidRDefault="00287F85" w:rsidP="00287F85">
      <w:pPr>
        <w:pStyle w:val="af8"/>
        <w:numPr>
          <w:ilvl w:val="0"/>
          <w:numId w:val="35"/>
        </w:numPr>
        <w:ind w:left="0" w:firstLine="0"/>
        <w:rPr>
          <w:lang w:val="en-US"/>
        </w:rPr>
      </w:pPr>
      <w:proofErr w:type="spellStart"/>
      <w:r w:rsidRPr="00287F85">
        <w:rPr>
          <w:lang w:val="en-US"/>
        </w:rPr>
        <w:t>WeWork</w:t>
      </w:r>
      <w:proofErr w:type="spellEnd"/>
      <w:r w:rsidRPr="00287F85">
        <w:rPr>
          <w:lang w:val="en-US"/>
        </w:rPr>
        <w:t xml:space="preserve"> Delays $20 Billion IPO As Valuation Plunges // Forbes — </w:t>
      </w:r>
      <w:proofErr w:type="spellStart"/>
      <w:r w:rsidRPr="00287F85">
        <w:rPr>
          <w:lang w:val="en-US"/>
        </w:rPr>
        <w:t>Режим</w:t>
      </w:r>
      <w:proofErr w:type="spellEnd"/>
      <w:r w:rsidRPr="00287F85">
        <w:rPr>
          <w:lang w:val="en-US"/>
        </w:rPr>
        <w:t xml:space="preserve"> </w:t>
      </w:r>
      <w:proofErr w:type="spellStart"/>
      <w:r w:rsidRPr="00287F85">
        <w:rPr>
          <w:lang w:val="en-US"/>
        </w:rPr>
        <w:t>доступа</w:t>
      </w:r>
      <w:proofErr w:type="spellEnd"/>
      <w:r w:rsidRPr="00287F85">
        <w:rPr>
          <w:lang w:val="en-US"/>
        </w:rPr>
        <w:t xml:space="preserve">: https://www.forbes.com/sites/carlieporterfield/2019/09/17/wework-delays-20-billion-ipo-as-valuation-plunges/#5dd39c0758ff, </w:t>
      </w:r>
      <w:proofErr w:type="spellStart"/>
      <w:r w:rsidRPr="00287F85">
        <w:rPr>
          <w:lang w:val="en-US"/>
        </w:rPr>
        <w:t>свободный</w:t>
      </w:r>
      <w:proofErr w:type="spellEnd"/>
      <w:r w:rsidRPr="00287F85">
        <w:rPr>
          <w:lang w:val="en-US"/>
        </w:rPr>
        <w:t>. (</w:t>
      </w:r>
      <w:proofErr w:type="spellStart"/>
      <w:r w:rsidRPr="00287F85">
        <w:rPr>
          <w:lang w:val="en-US"/>
        </w:rPr>
        <w:t>Дата</w:t>
      </w:r>
      <w:proofErr w:type="spellEnd"/>
      <w:r w:rsidRPr="00287F85">
        <w:rPr>
          <w:lang w:val="en-US"/>
        </w:rPr>
        <w:t xml:space="preserve"> </w:t>
      </w:r>
      <w:proofErr w:type="spellStart"/>
      <w:r w:rsidRPr="00287F85">
        <w:rPr>
          <w:lang w:val="en-US"/>
        </w:rPr>
        <w:t>обращения</w:t>
      </w:r>
      <w:proofErr w:type="spellEnd"/>
      <w:r w:rsidRPr="00287F85">
        <w:rPr>
          <w:lang w:val="en-US"/>
        </w:rPr>
        <w:t>: 05.03.2020)</w:t>
      </w:r>
    </w:p>
    <w:p w14:paraId="769245F6" w14:textId="77777777" w:rsidR="00287F85" w:rsidRPr="00287F85" w:rsidRDefault="00287F85" w:rsidP="00287F85">
      <w:pPr>
        <w:pStyle w:val="af8"/>
        <w:numPr>
          <w:ilvl w:val="0"/>
          <w:numId w:val="35"/>
        </w:numPr>
        <w:ind w:left="0" w:firstLine="0"/>
        <w:rPr>
          <w:lang w:val="en-US"/>
        </w:rPr>
      </w:pPr>
      <w:proofErr w:type="spellStart"/>
      <w:r w:rsidRPr="00287F85">
        <w:rPr>
          <w:lang w:val="en-US"/>
        </w:rPr>
        <w:t>WeWork</w:t>
      </w:r>
      <w:proofErr w:type="spellEnd"/>
      <w:r w:rsidRPr="00287F85">
        <w:rPr>
          <w:lang w:val="en-US"/>
        </w:rPr>
        <w:t xml:space="preserve"> Delays I.P.O. After Chilly Reception From Investors // The New York Times [</w:t>
      </w:r>
      <w:r>
        <w:t>Электронный</w:t>
      </w:r>
      <w:r w:rsidRPr="00287F85">
        <w:rPr>
          <w:lang w:val="en-US"/>
        </w:rPr>
        <w:t xml:space="preserve"> </w:t>
      </w:r>
      <w:r>
        <w:t>ресурс</w:t>
      </w:r>
      <w:r w:rsidRPr="00287F85">
        <w:rPr>
          <w:lang w:val="en-US"/>
        </w:rPr>
        <w:t xml:space="preserve">] — </w:t>
      </w:r>
      <w:r>
        <w:t>Режим</w:t>
      </w:r>
      <w:r w:rsidRPr="00287F85">
        <w:rPr>
          <w:lang w:val="en-US"/>
        </w:rPr>
        <w:t xml:space="preserve"> </w:t>
      </w:r>
      <w:r>
        <w:t>доступа</w:t>
      </w:r>
      <w:r w:rsidRPr="00287F85">
        <w:rPr>
          <w:lang w:val="en-US"/>
        </w:rPr>
        <w:t xml:space="preserve">: </w:t>
      </w:r>
      <w:hyperlink r:id="rId26" w:history="1">
        <w:r w:rsidRPr="00287F85">
          <w:rPr>
            <w:rStyle w:val="afa"/>
            <w:lang w:val="en-US"/>
          </w:rPr>
          <w:t>https://www.nytimes.com/2019/09/17/business/dealbook/wework-ipo.html</w:t>
        </w:r>
      </w:hyperlink>
      <w:r w:rsidRPr="00287F85">
        <w:rPr>
          <w:lang w:val="en-US"/>
        </w:rPr>
        <w:t xml:space="preserve">, </w:t>
      </w:r>
      <w:r>
        <w:t>свободный</w:t>
      </w:r>
      <w:r w:rsidRPr="00287F85">
        <w:rPr>
          <w:lang w:val="en-US"/>
        </w:rPr>
        <w:t>. — (</w:t>
      </w:r>
      <w:r>
        <w:t>Дата</w:t>
      </w:r>
      <w:r w:rsidRPr="00287F85">
        <w:rPr>
          <w:lang w:val="en-US"/>
        </w:rPr>
        <w:t xml:space="preserve"> </w:t>
      </w:r>
      <w:r>
        <w:t>обращения</w:t>
      </w:r>
      <w:r w:rsidRPr="00287F85">
        <w:rPr>
          <w:lang w:val="en-US"/>
        </w:rPr>
        <w:t>: 11.03.2020)</w:t>
      </w:r>
    </w:p>
    <w:p w14:paraId="78040EFC" w14:textId="54ADD407" w:rsidR="00BA62FA" w:rsidRPr="003558C3" w:rsidRDefault="00BA62FA" w:rsidP="00287F85">
      <w:pPr>
        <w:pStyle w:val="af8"/>
        <w:ind w:left="0" w:firstLine="0"/>
        <w:rPr>
          <w:lang w:val="en-US"/>
        </w:rPr>
      </w:pPr>
      <w:r w:rsidRPr="003558C3">
        <w:rPr>
          <w:lang w:val="en-US"/>
        </w:rPr>
        <w:br w:type="page"/>
      </w:r>
    </w:p>
    <w:p w14:paraId="36EBF055" w14:textId="62A6B7C6" w:rsidR="00F234A2" w:rsidRDefault="00F234A2" w:rsidP="00F234A2">
      <w:pPr>
        <w:pStyle w:val="1"/>
        <w:rPr>
          <w:lang w:eastAsia="ru-RU"/>
        </w:rPr>
      </w:pPr>
      <w:bookmarkStart w:id="34" w:name="_Toc41822252"/>
      <w:r>
        <w:rPr>
          <w:lang w:eastAsia="ru-RU"/>
        </w:rPr>
        <w:lastRenderedPageBreak/>
        <w:t>Приложени</w:t>
      </w:r>
      <w:r w:rsidR="00A33B65">
        <w:rPr>
          <w:lang w:eastAsia="ru-RU"/>
        </w:rPr>
        <w:t>я</w:t>
      </w:r>
      <w:bookmarkEnd w:id="34"/>
    </w:p>
    <w:p w14:paraId="146FBA5C" w14:textId="77777777" w:rsidR="00F234A2" w:rsidRPr="00641B0C" w:rsidRDefault="00F234A2" w:rsidP="00F234A2">
      <w:pPr>
        <w:jc w:val="right"/>
        <w:rPr>
          <w:b/>
          <w:bCs/>
          <w:lang w:eastAsia="ru-RU"/>
        </w:rPr>
      </w:pPr>
      <w:r w:rsidRPr="00641B0C">
        <w:rPr>
          <w:b/>
          <w:bCs/>
          <w:lang w:eastAsia="ru-RU"/>
        </w:rPr>
        <w:t xml:space="preserve">Приложение 1 </w:t>
      </w:r>
    </w:p>
    <w:p w14:paraId="1D4D07DB" w14:textId="33381DA6" w:rsidR="00F234A2" w:rsidRPr="00D471A2" w:rsidRDefault="00F234A2" w:rsidP="00BA62FA">
      <w:pPr>
        <w:pStyle w:val="a0"/>
        <w:numPr>
          <w:ilvl w:val="0"/>
          <w:numId w:val="0"/>
        </w:numPr>
        <w:jc w:val="center"/>
        <w:rPr>
          <w:lang w:eastAsia="ru-RU"/>
        </w:rPr>
      </w:pPr>
      <w:r>
        <w:rPr>
          <w:lang w:eastAsia="ru-RU"/>
        </w:rPr>
        <w:t xml:space="preserve">Влияние применения концепции </w:t>
      </w:r>
      <w:r>
        <w:rPr>
          <w:lang w:val="en-US" w:eastAsia="ru-RU"/>
        </w:rPr>
        <w:t>V</w:t>
      </w:r>
      <w:r w:rsidR="00DD655F">
        <w:rPr>
          <w:lang w:val="en-US" w:eastAsia="ru-RU"/>
        </w:rPr>
        <w:t>alue</w:t>
      </w:r>
      <w:r w:rsidR="00DD655F" w:rsidRPr="00DD655F">
        <w:rPr>
          <w:lang w:eastAsia="ru-RU"/>
        </w:rPr>
        <w:t>-</w:t>
      </w:r>
      <w:r w:rsidR="00DD655F">
        <w:rPr>
          <w:lang w:val="en-US" w:eastAsia="ru-RU"/>
        </w:rPr>
        <w:t>based</w:t>
      </w:r>
      <w:r w:rsidR="00DD655F" w:rsidRPr="00DD655F">
        <w:rPr>
          <w:lang w:eastAsia="ru-RU"/>
        </w:rPr>
        <w:t xml:space="preserve"> </w:t>
      </w:r>
      <w:r>
        <w:rPr>
          <w:lang w:val="en-US" w:eastAsia="ru-RU"/>
        </w:rPr>
        <w:t>M</w:t>
      </w:r>
      <w:r w:rsidR="00DD655F">
        <w:rPr>
          <w:lang w:val="en-US" w:eastAsia="ru-RU"/>
        </w:rPr>
        <w:t>anagement</w:t>
      </w:r>
      <w:r w:rsidR="00DD655F" w:rsidRPr="00DD655F">
        <w:rPr>
          <w:lang w:eastAsia="ru-RU"/>
        </w:rPr>
        <w:t xml:space="preserve"> (</w:t>
      </w:r>
      <w:r w:rsidR="00DD655F">
        <w:rPr>
          <w:lang w:val="en-US" w:eastAsia="ru-RU"/>
        </w:rPr>
        <w:t>VBM</w:t>
      </w:r>
      <w:r w:rsidR="00DD655F" w:rsidRPr="0059222A">
        <w:rPr>
          <w:lang w:eastAsia="ru-RU"/>
        </w:rPr>
        <w:t>)</w:t>
      </w:r>
      <w:r w:rsidRPr="00D471A2">
        <w:rPr>
          <w:lang w:eastAsia="ru-RU"/>
        </w:rPr>
        <w:t xml:space="preserve"> </w:t>
      </w:r>
      <w:r>
        <w:rPr>
          <w:lang w:eastAsia="ru-RU"/>
        </w:rPr>
        <w:t>в разных отраслях</w:t>
      </w:r>
    </w:p>
    <w:tbl>
      <w:tblPr>
        <w:tblStyle w:val="af1"/>
        <w:tblW w:w="0" w:type="auto"/>
        <w:tblInd w:w="108" w:type="dxa"/>
        <w:tblLook w:val="04A0" w:firstRow="1" w:lastRow="0" w:firstColumn="1" w:lastColumn="0" w:noHBand="0" w:noVBand="1"/>
      </w:tblPr>
      <w:tblGrid>
        <w:gridCol w:w="2700"/>
        <w:gridCol w:w="3572"/>
        <w:gridCol w:w="3088"/>
      </w:tblGrid>
      <w:tr w:rsidR="00F234A2" w14:paraId="7DECEDC8" w14:textId="77777777" w:rsidTr="00BF1B05">
        <w:tc>
          <w:tcPr>
            <w:tcW w:w="2700" w:type="dxa"/>
          </w:tcPr>
          <w:p w14:paraId="2F332B62" w14:textId="77777777" w:rsidR="00F234A2" w:rsidRDefault="00F234A2" w:rsidP="00BF1B05">
            <w:pPr>
              <w:ind w:firstLine="0"/>
              <w:rPr>
                <w:lang w:eastAsia="ru-RU"/>
              </w:rPr>
            </w:pPr>
            <w:r>
              <w:rPr>
                <w:lang w:eastAsia="ru-RU"/>
              </w:rPr>
              <w:t>Отрасль</w:t>
            </w:r>
          </w:p>
        </w:tc>
        <w:tc>
          <w:tcPr>
            <w:tcW w:w="3572" w:type="dxa"/>
          </w:tcPr>
          <w:p w14:paraId="59142BBC" w14:textId="77777777" w:rsidR="00F234A2" w:rsidRDefault="00F234A2" w:rsidP="00BF1B05">
            <w:pPr>
              <w:ind w:firstLine="0"/>
              <w:rPr>
                <w:lang w:eastAsia="ru-RU"/>
              </w:rPr>
            </w:pPr>
            <w:r>
              <w:rPr>
                <w:lang w:eastAsia="ru-RU"/>
              </w:rPr>
              <w:t>Изменения в деятельности</w:t>
            </w:r>
          </w:p>
        </w:tc>
        <w:tc>
          <w:tcPr>
            <w:tcW w:w="3088" w:type="dxa"/>
          </w:tcPr>
          <w:p w14:paraId="75DEC308" w14:textId="77777777" w:rsidR="00F234A2" w:rsidRPr="0005322D" w:rsidRDefault="00F234A2" w:rsidP="00BF1B05">
            <w:pPr>
              <w:ind w:firstLine="0"/>
              <w:rPr>
                <w:lang w:val="en-US" w:eastAsia="ru-RU"/>
              </w:rPr>
            </w:pPr>
            <w:r>
              <w:rPr>
                <w:lang w:eastAsia="ru-RU"/>
              </w:rPr>
              <w:t xml:space="preserve">Влияние </w:t>
            </w:r>
            <w:r>
              <w:rPr>
                <w:lang w:val="en-US" w:eastAsia="ru-RU"/>
              </w:rPr>
              <w:t>VBM</w:t>
            </w:r>
          </w:p>
        </w:tc>
      </w:tr>
      <w:tr w:rsidR="00F234A2" w14:paraId="677F8C2B" w14:textId="77777777" w:rsidTr="00BF1B05">
        <w:tc>
          <w:tcPr>
            <w:tcW w:w="2700" w:type="dxa"/>
          </w:tcPr>
          <w:p w14:paraId="056B16CF" w14:textId="77777777" w:rsidR="00F234A2" w:rsidRDefault="00F234A2" w:rsidP="00BF1B05">
            <w:pPr>
              <w:ind w:firstLine="0"/>
              <w:rPr>
                <w:lang w:eastAsia="ru-RU"/>
              </w:rPr>
            </w:pPr>
            <w:r>
              <w:rPr>
                <w:lang w:eastAsia="ru-RU"/>
              </w:rPr>
              <w:t xml:space="preserve">Розничная торговля </w:t>
            </w:r>
          </w:p>
        </w:tc>
        <w:tc>
          <w:tcPr>
            <w:tcW w:w="3572" w:type="dxa"/>
          </w:tcPr>
          <w:p w14:paraId="7856AE21" w14:textId="77777777" w:rsidR="00F234A2" w:rsidRDefault="00F234A2" w:rsidP="00BF1B05">
            <w:pPr>
              <w:ind w:firstLine="0"/>
              <w:rPr>
                <w:lang w:eastAsia="ru-RU"/>
              </w:rPr>
            </w:pPr>
            <w:r>
              <w:rPr>
                <w:lang w:eastAsia="ru-RU"/>
              </w:rPr>
              <w:t xml:space="preserve">Сдвиг акцент программы роста с национальных масштабов на региональные </w:t>
            </w:r>
          </w:p>
        </w:tc>
        <w:tc>
          <w:tcPr>
            <w:tcW w:w="3088" w:type="dxa"/>
          </w:tcPr>
          <w:p w14:paraId="30632B44" w14:textId="77777777" w:rsidR="00F234A2" w:rsidRDefault="00F234A2" w:rsidP="00BF1B05">
            <w:pPr>
              <w:ind w:firstLine="0"/>
              <w:rPr>
                <w:lang w:eastAsia="ru-RU"/>
              </w:rPr>
            </w:pPr>
            <w:r>
              <w:rPr>
                <w:lang w:eastAsia="ru-RU"/>
              </w:rPr>
              <w:t>Увеличение потенциальной стоимости на 30-40%</w:t>
            </w:r>
          </w:p>
        </w:tc>
      </w:tr>
      <w:tr w:rsidR="00F234A2" w14:paraId="555ADD88" w14:textId="77777777" w:rsidTr="00BF1B05">
        <w:tc>
          <w:tcPr>
            <w:tcW w:w="2700" w:type="dxa"/>
          </w:tcPr>
          <w:p w14:paraId="23313DDE" w14:textId="77777777" w:rsidR="00F234A2" w:rsidRDefault="00F234A2" w:rsidP="00BF1B05">
            <w:pPr>
              <w:ind w:firstLine="0"/>
              <w:rPr>
                <w:lang w:eastAsia="ru-RU"/>
              </w:rPr>
            </w:pPr>
            <w:r>
              <w:rPr>
                <w:lang w:eastAsia="ru-RU"/>
              </w:rPr>
              <w:t>Страхование</w:t>
            </w:r>
          </w:p>
        </w:tc>
        <w:tc>
          <w:tcPr>
            <w:tcW w:w="3572" w:type="dxa"/>
          </w:tcPr>
          <w:p w14:paraId="331F24DF" w14:textId="77777777" w:rsidR="00F234A2" w:rsidRDefault="00F234A2" w:rsidP="00BF1B05">
            <w:pPr>
              <w:ind w:firstLine="0"/>
              <w:rPr>
                <w:lang w:eastAsia="ru-RU"/>
              </w:rPr>
            </w:pPr>
            <w:r>
              <w:rPr>
                <w:lang w:eastAsia="ru-RU"/>
              </w:rPr>
              <w:t>Изменение продуктового портфеля с целью выделить услуги, приносящие большую ценность</w:t>
            </w:r>
          </w:p>
        </w:tc>
        <w:tc>
          <w:tcPr>
            <w:tcW w:w="3088" w:type="dxa"/>
          </w:tcPr>
          <w:p w14:paraId="4CD653D5" w14:textId="77777777" w:rsidR="00F234A2" w:rsidRDefault="00F234A2" w:rsidP="00BF1B05">
            <w:pPr>
              <w:ind w:firstLine="0"/>
              <w:rPr>
                <w:lang w:eastAsia="ru-RU"/>
              </w:rPr>
            </w:pPr>
            <w:r>
              <w:rPr>
                <w:lang w:eastAsia="ru-RU"/>
              </w:rPr>
              <w:t>Увеличение потенциальной стоимости на 25%</w:t>
            </w:r>
          </w:p>
        </w:tc>
      </w:tr>
      <w:tr w:rsidR="00F234A2" w14:paraId="3474CC18" w14:textId="77777777" w:rsidTr="00BF1B05">
        <w:tc>
          <w:tcPr>
            <w:tcW w:w="2700" w:type="dxa"/>
          </w:tcPr>
          <w:p w14:paraId="19F18B5E" w14:textId="77777777" w:rsidR="00F234A2" w:rsidRDefault="00F234A2" w:rsidP="00BF1B05">
            <w:pPr>
              <w:ind w:firstLine="0"/>
              <w:rPr>
                <w:lang w:eastAsia="ru-RU"/>
              </w:rPr>
            </w:pPr>
            <w:r>
              <w:rPr>
                <w:lang w:eastAsia="ru-RU"/>
              </w:rPr>
              <w:t>Нефтяная отрасль</w:t>
            </w:r>
          </w:p>
        </w:tc>
        <w:tc>
          <w:tcPr>
            <w:tcW w:w="3572" w:type="dxa"/>
          </w:tcPr>
          <w:p w14:paraId="627C4A45" w14:textId="77777777" w:rsidR="00F234A2" w:rsidRDefault="00F234A2" w:rsidP="00BF1B05">
            <w:pPr>
              <w:ind w:firstLine="0"/>
              <w:rPr>
                <w:lang w:eastAsia="ru-RU"/>
              </w:rPr>
            </w:pPr>
            <w:r>
              <w:rPr>
                <w:lang w:eastAsia="ru-RU"/>
              </w:rPr>
              <w:t>Использование нового планирования и процесса управления</w:t>
            </w:r>
          </w:p>
        </w:tc>
        <w:tc>
          <w:tcPr>
            <w:tcW w:w="3088" w:type="dxa"/>
          </w:tcPr>
          <w:p w14:paraId="553A30F3" w14:textId="77777777" w:rsidR="00F234A2" w:rsidRDefault="00F234A2" w:rsidP="00BF1B05">
            <w:pPr>
              <w:ind w:firstLine="0"/>
              <w:rPr>
                <w:lang w:eastAsia="ru-RU"/>
              </w:rPr>
            </w:pPr>
            <w:r>
              <w:rPr>
                <w:lang w:eastAsia="ru-RU"/>
              </w:rPr>
              <w:t xml:space="preserve">Значительное сокращение издержек планирования </w:t>
            </w:r>
          </w:p>
        </w:tc>
      </w:tr>
      <w:tr w:rsidR="00F234A2" w14:paraId="13E38338" w14:textId="77777777" w:rsidTr="00BF1B05">
        <w:tc>
          <w:tcPr>
            <w:tcW w:w="2700" w:type="dxa"/>
          </w:tcPr>
          <w:p w14:paraId="7FC68B2F" w14:textId="77777777" w:rsidR="00F234A2" w:rsidRDefault="00F234A2" w:rsidP="00BF1B05">
            <w:pPr>
              <w:ind w:firstLine="0"/>
              <w:rPr>
                <w:lang w:eastAsia="ru-RU"/>
              </w:rPr>
            </w:pPr>
            <w:r>
              <w:rPr>
                <w:lang w:eastAsia="ru-RU"/>
              </w:rPr>
              <w:t>Банковская отрасль</w:t>
            </w:r>
          </w:p>
        </w:tc>
        <w:tc>
          <w:tcPr>
            <w:tcW w:w="3572" w:type="dxa"/>
          </w:tcPr>
          <w:p w14:paraId="7ED67B70" w14:textId="77777777" w:rsidR="00F234A2" w:rsidRDefault="00F234A2" w:rsidP="00BF1B05">
            <w:pPr>
              <w:ind w:firstLine="0"/>
              <w:rPr>
                <w:lang w:eastAsia="ru-RU"/>
              </w:rPr>
            </w:pPr>
            <w:r>
              <w:rPr>
                <w:lang w:eastAsia="ru-RU"/>
              </w:rPr>
              <w:t>Акцент на рост отрасли вместо стратегии сбора урожая</w:t>
            </w:r>
          </w:p>
        </w:tc>
        <w:tc>
          <w:tcPr>
            <w:tcW w:w="3088" w:type="dxa"/>
          </w:tcPr>
          <w:p w14:paraId="054A7126" w14:textId="77777777" w:rsidR="00F234A2" w:rsidRDefault="00F234A2" w:rsidP="00BF1B05">
            <w:pPr>
              <w:ind w:firstLine="0"/>
              <w:rPr>
                <w:lang w:eastAsia="ru-RU"/>
              </w:rPr>
            </w:pPr>
            <w:r>
              <w:rPr>
                <w:lang w:eastAsia="ru-RU"/>
              </w:rPr>
              <w:t>Увеличение потенциальной стоимости на 124%</w:t>
            </w:r>
          </w:p>
        </w:tc>
      </w:tr>
      <w:tr w:rsidR="00F234A2" w14:paraId="66FDB4DF" w14:textId="77777777" w:rsidTr="00BF1B05">
        <w:tc>
          <w:tcPr>
            <w:tcW w:w="2700" w:type="dxa"/>
          </w:tcPr>
          <w:p w14:paraId="1A2DA89A" w14:textId="77777777" w:rsidR="00F234A2" w:rsidRDefault="00F234A2" w:rsidP="00BF1B05">
            <w:pPr>
              <w:ind w:firstLine="0"/>
              <w:rPr>
                <w:lang w:eastAsia="ru-RU"/>
              </w:rPr>
            </w:pPr>
            <w:r>
              <w:rPr>
                <w:lang w:eastAsia="ru-RU"/>
              </w:rPr>
              <w:t>Телекоммуникационная отрасль</w:t>
            </w:r>
          </w:p>
        </w:tc>
        <w:tc>
          <w:tcPr>
            <w:tcW w:w="3572" w:type="dxa"/>
          </w:tcPr>
          <w:p w14:paraId="64A9EAB1" w14:textId="77777777" w:rsidR="00F234A2" w:rsidRDefault="00F234A2" w:rsidP="00BF1B05">
            <w:pPr>
              <w:ind w:firstLine="0"/>
              <w:rPr>
                <w:lang w:eastAsia="ru-RU"/>
              </w:rPr>
            </w:pPr>
            <w:r>
              <w:rPr>
                <w:lang w:eastAsia="ru-RU"/>
              </w:rPr>
              <w:t>Выявлены новые тенденции и сгенерированы новые идеи для ценности компаний</w:t>
            </w:r>
          </w:p>
        </w:tc>
        <w:tc>
          <w:tcPr>
            <w:tcW w:w="3088" w:type="dxa"/>
          </w:tcPr>
          <w:p w14:paraId="659D84D4" w14:textId="77777777" w:rsidR="00F234A2" w:rsidRDefault="00F234A2" w:rsidP="00BF1B05">
            <w:pPr>
              <w:ind w:firstLine="0"/>
              <w:rPr>
                <w:lang w:eastAsia="ru-RU"/>
              </w:rPr>
            </w:pPr>
            <w:r>
              <w:rPr>
                <w:lang w:eastAsia="ru-RU"/>
              </w:rPr>
              <w:t>Увеличение потенциальной стоимости на 240% (246%)</w:t>
            </w:r>
          </w:p>
        </w:tc>
      </w:tr>
    </w:tbl>
    <w:p w14:paraId="2E10B285" w14:textId="77777777" w:rsidR="00F234A2" w:rsidRDefault="00F234A2" w:rsidP="00F234A2">
      <w:pPr>
        <w:ind w:firstLine="0"/>
        <w:rPr>
          <w:i/>
          <w:iCs/>
          <w:lang w:val="en-US" w:eastAsia="ru-RU"/>
        </w:rPr>
      </w:pPr>
      <w:r w:rsidRPr="00770025">
        <w:rPr>
          <w:i/>
          <w:iCs/>
          <w:lang w:eastAsia="ru-RU"/>
        </w:rPr>
        <w:t>Источник</w:t>
      </w:r>
      <w:r w:rsidRPr="00770025">
        <w:rPr>
          <w:i/>
          <w:iCs/>
          <w:lang w:val="en-US" w:eastAsia="ru-RU"/>
        </w:rPr>
        <w:t>: [</w:t>
      </w:r>
      <w:r w:rsidRPr="00770025">
        <w:rPr>
          <w:i/>
          <w:iCs/>
          <w:lang w:eastAsia="ru-RU"/>
        </w:rPr>
        <w:t>переведено</w:t>
      </w:r>
      <w:r w:rsidRPr="00770025">
        <w:rPr>
          <w:i/>
          <w:iCs/>
          <w:lang w:val="en-US" w:eastAsia="ru-RU"/>
        </w:rPr>
        <w:t xml:space="preserve"> </w:t>
      </w:r>
      <w:r w:rsidRPr="00770025">
        <w:rPr>
          <w:i/>
          <w:iCs/>
          <w:lang w:eastAsia="ru-RU"/>
        </w:rPr>
        <w:t>автором</w:t>
      </w:r>
      <w:r w:rsidRPr="00770025">
        <w:rPr>
          <w:i/>
          <w:iCs/>
          <w:lang w:val="en-US" w:eastAsia="ru-RU"/>
        </w:rPr>
        <w:t xml:space="preserve">: Koller Timothy What is value-based management? // The McKinsey </w:t>
      </w:r>
      <w:proofErr w:type="spellStart"/>
      <w:r w:rsidRPr="00770025">
        <w:rPr>
          <w:i/>
          <w:iCs/>
          <w:lang w:val="en-US" w:eastAsia="ru-RU"/>
        </w:rPr>
        <w:t>Quartely</w:t>
      </w:r>
      <w:proofErr w:type="spellEnd"/>
      <w:r w:rsidRPr="00770025">
        <w:rPr>
          <w:i/>
          <w:iCs/>
          <w:lang w:val="en-US" w:eastAsia="ru-RU"/>
        </w:rPr>
        <w:t>]</w:t>
      </w:r>
    </w:p>
    <w:p w14:paraId="519D542F" w14:textId="77777777" w:rsidR="00F234A2" w:rsidRDefault="00F234A2" w:rsidP="00F234A2">
      <w:pPr>
        <w:ind w:firstLine="0"/>
        <w:rPr>
          <w:i/>
          <w:iCs/>
          <w:lang w:val="en-US" w:eastAsia="ru-RU"/>
        </w:rPr>
      </w:pPr>
      <w:r>
        <w:rPr>
          <w:i/>
          <w:iCs/>
          <w:lang w:val="en-US" w:eastAsia="ru-RU"/>
        </w:rPr>
        <w:br w:type="page"/>
      </w:r>
    </w:p>
    <w:p w14:paraId="689A9AA5" w14:textId="3552D20B" w:rsidR="004B4466" w:rsidRPr="003558C3" w:rsidRDefault="004B4466" w:rsidP="004B4466">
      <w:pPr>
        <w:ind w:firstLine="0"/>
        <w:jc w:val="right"/>
        <w:rPr>
          <w:b/>
          <w:bCs/>
          <w:lang w:eastAsia="ru-RU"/>
        </w:rPr>
      </w:pPr>
      <w:r w:rsidRPr="00641B0C">
        <w:rPr>
          <w:b/>
          <w:bCs/>
          <w:lang w:eastAsia="ru-RU"/>
        </w:rPr>
        <w:lastRenderedPageBreak/>
        <w:t xml:space="preserve">Приложение </w:t>
      </w:r>
      <w:r w:rsidR="00761D1D" w:rsidRPr="003558C3">
        <w:rPr>
          <w:b/>
          <w:bCs/>
          <w:lang w:eastAsia="ru-RU"/>
        </w:rPr>
        <w:t>2</w:t>
      </w:r>
    </w:p>
    <w:p w14:paraId="2FC6F241" w14:textId="2DB612F6" w:rsidR="00FA6BBB" w:rsidRPr="00641B0C" w:rsidRDefault="00FA6BBB" w:rsidP="00BA62FA">
      <w:pPr>
        <w:ind w:firstLine="0"/>
        <w:jc w:val="center"/>
        <w:rPr>
          <w:lang w:eastAsia="ru-RU"/>
        </w:rPr>
      </w:pPr>
      <w:r>
        <w:rPr>
          <w:lang w:eastAsia="ru-RU"/>
        </w:rPr>
        <w:t>Результат исследования применения компаниями разных методов оценки</w:t>
      </w:r>
    </w:p>
    <w:p w14:paraId="3FE585E3" w14:textId="3770DD63" w:rsidR="004B4466" w:rsidRDefault="004B4466" w:rsidP="004B4466">
      <w:pPr>
        <w:ind w:firstLine="0"/>
        <w:jc w:val="right"/>
        <w:rPr>
          <w:lang w:eastAsia="ru-RU"/>
        </w:rPr>
      </w:pPr>
      <w:r w:rsidRPr="004B4466">
        <w:rPr>
          <w:noProof/>
          <w:lang w:eastAsia="ru-RU"/>
        </w:rPr>
        <w:drawing>
          <wp:inline distT="0" distB="0" distL="0" distR="0" wp14:anchorId="7F1B4C85" wp14:editId="30368AA0">
            <wp:extent cx="5940425" cy="58705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0425" cy="5870575"/>
                    </a:xfrm>
                    <a:prstGeom prst="rect">
                      <a:avLst/>
                    </a:prstGeom>
                  </pic:spPr>
                </pic:pic>
              </a:graphicData>
            </a:graphic>
          </wp:inline>
        </w:drawing>
      </w:r>
    </w:p>
    <w:p w14:paraId="7FEA00D1" w14:textId="4F6B714F" w:rsidR="004B4466" w:rsidRDefault="004B4466" w:rsidP="004B4466">
      <w:pPr>
        <w:spacing w:line="240" w:lineRule="auto"/>
        <w:ind w:firstLine="0"/>
        <w:rPr>
          <w:i/>
          <w:iCs/>
          <w:lang w:val="en-US" w:eastAsia="ru-RU"/>
        </w:rPr>
      </w:pPr>
      <w:r w:rsidRPr="00D66098">
        <w:rPr>
          <w:i/>
          <w:iCs/>
          <w:lang w:eastAsia="ru-RU"/>
        </w:rPr>
        <w:t>Источник</w:t>
      </w:r>
      <w:r w:rsidRPr="00D66098">
        <w:rPr>
          <w:i/>
          <w:iCs/>
          <w:lang w:val="en-US" w:eastAsia="ru-RU"/>
        </w:rPr>
        <w:t>: [</w:t>
      </w:r>
      <w:r w:rsidR="00D66098" w:rsidRPr="00D66098">
        <w:rPr>
          <w:i/>
          <w:iCs/>
          <w:lang w:val="en-US"/>
        </w:rPr>
        <w:t xml:space="preserve">Luis E. </w:t>
      </w:r>
      <w:proofErr w:type="spellStart"/>
      <w:r w:rsidR="00D66098" w:rsidRPr="00D66098">
        <w:rPr>
          <w:i/>
          <w:iCs/>
          <w:lang w:val="en-US"/>
        </w:rPr>
        <w:t>Pereiro</w:t>
      </w:r>
      <w:proofErr w:type="spellEnd"/>
      <w:r w:rsidR="00D66098" w:rsidRPr="00D66098">
        <w:rPr>
          <w:i/>
          <w:iCs/>
          <w:lang w:val="en-US"/>
        </w:rPr>
        <w:t xml:space="preserve"> Valuation of companies in emerging markets: A practical approach</w:t>
      </w:r>
      <w:r w:rsidRPr="00D66098">
        <w:rPr>
          <w:i/>
          <w:iCs/>
          <w:lang w:val="en-US" w:eastAsia="ru-RU"/>
        </w:rPr>
        <w:t>]</w:t>
      </w:r>
    </w:p>
    <w:p w14:paraId="67E6B452" w14:textId="004DC286" w:rsidR="00486520" w:rsidRDefault="00486520" w:rsidP="004B4466">
      <w:pPr>
        <w:spacing w:line="240" w:lineRule="auto"/>
        <w:ind w:firstLine="0"/>
        <w:rPr>
          <w:i/>
          <w:iCs/>
          <w:lang w:val="en-US" w:eastAsia="ru-RU"/>
        </w:rPr>
      </w:pPr>
      <w:r>
        <w:rPr>
          <w:i/>
          <w:iCs/>
          <w:lang w:val="en-US" w:eastAsia="ru-RU"/>
        </w:rPr>
        <w:br w:type="page"/>
      </w:r>
    </w:p>
    <w:p w14:paraId="422C484D" w14:textId="08C1A853" w:rsidR="000F0BA5" w:rsidRDefault="000F0BA5" w:rsidP="000F0BA5">
      <w:pPr>
        <w:spacing w:line="240" w:lineRule="auto"/>
        <w:ind w:firstLine="0"/>
        <w:jc w:val="right"/>
        <w:rPr>
          <w:b/>
          <w:bCs/>
          <w:lang w:eastAsia="ru-RU"/>
        </w:rPr>
      </w:pPr>
      <w:r w:rsidRPr="000F0BA5">
        <w:rPr>
          <w:b/>
          <w:bCs/>
          <w:lang w:eastAsia="ru-RU"/>
        </w:rPr>
        <w:lastRenderedPageBreak/>
        <w:t>Приложение 3</w:t>
      </w:r>
    </w:p>
    <w:p w14:paraId="08632E08" w14:textId="03CA357B" w:rsidR="000F0BA5" w:rsidRPr="000F0BA5" w:rsidRDefault="000F0BA5" w:rsidP="000F0BA5">
      <w:pPr>
        <w:jc w:val="center"/>
        <w:rPr>
          <w:lang w:eastAsia="ru-RU"/>
        </w:rPr>
      </w:pPr>
      <w:r w:rsidRPr="000F0BA5">
        <w:rPr>
          <w:lang w:eastAsia="ru-RU"/>
        </w:rPr>
        <w:t xml:space="preserve">Значение </w:t>
      </w:r>
      <w:r w:rsidRPr="000F0BA5">
        <w:rPr>
          <w:lang w:val="en-US" w:eastAsia="ru-RU"/>
        </w:rPr>
        <w:t>FCF</w:t>
      </w:r>
      <w:r w:rsidRPr="000F0BA5">
        <w:rPr>
          <w:lang w:eastAsia="ru-RU"/>
        </w:rPr>
        <w:t xml:space="preserve"> и </w:t>
      </w:r>
      <w:r w:rsidRPr="000F0BA5">
        <w:rPr>
          <w:lang w:val="en-US" w:eastAsia="ru-RU"/>
        </w:rPr>
        <w:t>DFCF</w:t>
      </w:r>
      <w:r w:rsidRPr="000F0BA5">
        <w:rPr>
          <w:lang w:eastAsia="ru-RU"/>
        </w:rPr>
        <w:t xml:space="preserve"> в 2020-2024 годах по компаниям</w:t>
      </w:r>
    </w:p>
    <w:tbl>
      <w:tblPr>
        <w:tblW w:w="9249" w:type="dxa"/>
        <w:tblInd w:w="-5" w:type="dxa"/>
        <w:tblLook w:val="04A0" w:firstRow="1" w:lastRow="0" w:firstColumn="1" w:lastColumn="0" w:noHBand="0" w:noVBand="1"/>
      </w:tblPr>
      <w:tblGrid>
        <w:gridCol w:w="1906"/>
        <w:gridCol w:w="1106"/>
        <w:gridCol w:w="1134"/>
        <w:gridCol w:w="1276"/>
        <w:gridCol w:w="1275"/>
        <w:gridCol w:w="1276"/>
        <w:gridCol w:w="1276"/>
      </w:tblGrid>
      <w:tr w:rsidR="000F0BA5" w:rsidRPr="002F481C" w14:paraId="613B21D3" w14:textId="77777777" w:rsidTr="005E4170">
        <w:trPr>
          <w:trHeight w:val="300"/>
        </w:trPr>
        <w:tc>
          <w:tcPr>
            <w:tcW w:w="190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34452B9" w14:textId="77777777" w:rsidR="000F0BA5" w:rsidRPr="002F481C" w:rsidRDefault="000F0BA5" w:rsidP="005E4170">
            <w:pPr>
              <w:spacing w:after="0" w:line="240" w:lineRule="auto"/>
              <w:ind w:firstLine="0"/>
              <w:jc w:val="center"/>
              <w:rPr>
                <w:rFonts w:eastAsia="Times New Roman" w:cs="Times New Roman"/>
                <w:b/>
                <w:bCs/>
                <w:color w:val="000000"/>
                <w:sz w:val="20"/>
                <w:szCs w:val="20"/>
                <w:lang w:eastAsia="ru-RU"/>
              </w:rPr>
            </w:pPr>
            <w:r w:rsidRPr="002F481C">
              <w:rPr>
                <w:rFonts w:eastAsia="Times New Roman" w:cs="Times New Roman"/>
                <w:b/>
                <w:bCs/>
                <w:color w:val="000000"/>
                <w:sz w:val="20"/>
                <w:szCs w:val="20"/>
                <w:lang w:eastAsia="ru-RU"/>
              </w:rPr>
              <w:t>Компания</w:t>
            </w:r>
          </w:p>
        </w:tc>
        <w:tc>
          <w:tcPr>
            <w:tcW w:w="1106" w:type="dxa"/>
            <w:tcBorders>
              <w:top w:val="single" w:sz="4" w:space="0" w:color="auto"/>
              <w:left w:val="nil"/>
              <w:bottom w:val="single" w:sz="8" w:space="0" w:color="auto"/>
              <w:right w:val="single" w:sz="4" w:space="0" w:color="auto"/>
            </w:tcBorders>
            <w:shd w:val="clear" w:color="auto" w:fill="auto"/>
            <w:noWrap/>
            <w:vAlign w:val="bottom"/>
            <w:hideMark/>
          </w:tcPr>
          <w:p w14:paraId="7F265639" w14:textId="77777777" w:rsidR="000F0BA5" w:rsidRPr="002F481C" w:rsidRDefault="000F0BA5" w:rsidP="005E4170">
            <w:pPr>
              <w:spacing w:after="0" w:line="240" w:lineRule="auto"/>
              <w:ind w:firstLine="0"/>
              <w:jc w:val="center"/>
              <w:rPr>
                <w:rFonts w:eastAsia="Times New Roman" w:cs="Times New Roman"/>
                <w:b/>
                <w:bCs/>
                <w:color w:val="000000"/>
                <w:sz w:val="20"/>
                <w:szCs w:val="20"/>
                <w:lang w:eastAsia="ru-RU"/>
              </w:rPr>
            </w:pPr>
            <w:r w:rsidRPr="002F481C">
              <w:rPr>
                <w:rFonts w:eastAsia="Times New Roman" w:cs="Times New Roman"/>
                <w:b/>
                <w:bCs/>
                <w:color w:val="000000"/>
                <w:sz w:val="20"/>
                <w:szCs w:val="20"/>
                <w:lang w:eastAsia="ru-RU"/>
              </w:rPr>
              <w:t>2020</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7CC6D2CC" w14:textId="77777777" w:rsidR="000F0BA5" w:rsidRPr="002F481C" w:rsidRDefault="000F0BA5" w:rsidP="005E4170">
            <w:pPr>
              <w:spacing w:after="0" w:line="240" w:lineRule="auto"/>
              <w:ind w:firstLine="0"/>
              <w:jc w:val="center"/>
              <w:rPr>
                <w:rFonts w:eastAsia="Times New Roman" w:cs="Times New Roman"/>
                <w:b/>
                <w:bCs/>
                <w:color w:val="000000"/>
                <w:sz w:val="20"/>
                <w:szCs w:val="20"/>
                <w:lang w:eastAsia="ru-RU"/>
              </w:rPr>
            </w:pPr>
            <w:r w:rsidRPr="002F481C">
              <w:rPr>
                <w:rFonts w:eastAsia="Times New Roman" w:cs="Times New Roman"/>
                <w:b/>
                <w:bCs/>
                <w:color w:val="000000"/>
                <w:sz w:val="20"/>
                <w:szCs w:val="20"/>
                <w:lang w:eastAsia="ru-RU"/>
              </w:rPr>
              <w:t>2021</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14:paraId="7291D351" w14:textId="77777777" w:rsidR="000F0BA5" w:rsidRPr="002F481C" w:rsidRDefault="000F0BA5" w:rsidP="005E4170">
            <w:pPr>
              <w:spacing w:after="0" w:line="240" w:lineRule="auto"/>
              <w:ind w:firstLine="0"/>
              <w:jc w:val="center"/>
              <w:rPr>
                <w:rFonts w:eastAsia="Times New Roman" w:cs="Times New Roman"/>
                <w:b/>
                <w:bCs/>
                <w:color w:val="000000"/>
                <w:sz w:val="20"/>
                <w:szCs w:val="20"/>
                <w:lang w:eastAsia="ru-RU"/>
              </w:rPr>
            </w:pPr>
            <w:r w:rsidRPr="002F481C">
              <w:rPr>
                <w:rFonts w:eastAsia="Times New Roman" w:cs="Times New Roman"/>
                <w:b/>
                <w:bCs/>
                <w:color w:val="000000"/>
                <w:sz w:val="20"/>
                <w:szCs w:val="20"/>
                <w:lang w:eastAsia="ru-RU"/>
              </w:rPr>
              <w:t>2022</w:t>
            </w:r>
          </w:p>
        </w:tc>
        <w:tc>
          <w:tcPr>
            <w:tcW w:w="1275" w:type="dxa"/>
            <w:tcBorders>
              <w:top w:val="single" w:sz="4" w:space="0" w:color="auto"/>
              <w:left w:val="nil"/>
              <w:bottom w:val="single" w:sz="8" w:space="0" w:color="auto"/>
              <w:right w:val="single" w:sz="4" w:space="0" w:color="auto"/>
            </w:tcBorders>
            <w:shd w:val="clear" w:color="auto" w:fill="auto"/>
            <w:noWrap/>
            <w:vAlign w:val="bottom"/>
            <w:hideMark/>
          </w:tcPr>
          <w:p w14:paraId="5F64CA54" w14:textId="77777777" w:rsidR="000F0BA5" w:rsidRPr="002F481C" w:rsidRDefault="000F0BA5" w:rsidP="005E4170">
            <w:pPr>
              <w:spacing w:after="0" w:line="240" w:lineRule="auto"/>
              <w:ind w:firstLine="0"/>
              <w:jc w:val="center"/>
              <w:rPr>
                <w:rFonts w:eastAsia="Times New Roman" w:cs="Times New Roman"/>
                <w:b/>
                <w:bCs/>
                <w:color w:val="000000"/>
                <w:sz w:val="20"/>
                <w:szCs w:val="20"/>
                <w:lang w:eastAsia="ru-RU"/>
              </w:rPr>
            </w:pPr>
            <w:r w:rsidRPr="002F481C">
              <w:rPr>
                <w:rFonts w:eastAsia="Times New Roman" w:cs="Times New Roman"/>
                <w:b/>
                <w:bCs/>
                <w:color w:val="000000"/>
                <w:sz w:val="20"/>
                <w:szCs w:val="20"/>
                <w:lang w:eastAsia="ru-RU"/>
              </w:rPr>
              <w:t>2023</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14:paraId="38B2D4C1" w14:textId="77777777" w:rsidR="000F0BA5" w:rsidRPr="002F481C" w:rsidRDefault="000F0BA5" w:rsidP="005E4170">
            <w:pPr>
              <w:spacing w:after="0" w:line="240" w:lineRule="auto"/>
              <w:ind w:firstLine="0"/>
              <w:jc w:val="center"/>
              <w:rPr>
                <w:rFonts w:eastAsia="Times New Roman" w:cs="Times New Roman"/>
                <w:b/>
                <w:bCs/>
                <w:color w:val="000000"/>
                <w:sz w:val="20"/>
                <w:szCs w:val="20"/>
                <w:lang w:eastAsia="ru-RU"/>
              </w:rPr>
            </w:pPr>
            <w:r w:rsidRPr="002F481C">
              <w:rPr>
                <w:rFonts w:eastAsia="Times New Roman" w:cs="Times New Roman"/>
                <w:b/>
                <w:bCs/>
                <w:color w:val="000000"/>
                <w:sz w:val="20"/>
                <w:szCs w:val="20"/>
                <w:lang w:eastAsia="ru-RU"/>
              </w:rPr>
              <w:t>2024</w:t>
            </w:r>
          </w:p>
        </w:tc>
        <w:tc>
          <w:tcPr>
            <w:tcW w:w="1276" w:type="dxa"/>
            <w:tcBorders>
              <w:top w:val="single" w:sz="4" w:space="0" w:color="auto"/>
              <w:left w:val="nil"/>
              <w:bottom w:val="single" w:sz="8" w:space="0" w:color="auto"/>
              <w:right w:val="single" w:sz="4" w:space="0" w:color="auto"/>
            </w:tcBorders>
            <w:shd w:val="clear" w:color="auto" w:fill="auto"/>
            <w:noWrap/>
            <w:vAlign w:val="bottom"/>
            <w:hideMark/>
          </w:tcPr>
          <w:p w14:paraId="3F98BA98" w14:textId="77777777" w:rsidR="000F0BA5" w:rsidRPr="002F481C" w:rsidRDefault="000F0BA5" w:rsidP="005E4170">
            <w:pPr>
              <w:spacing w:after="0" w:line="240" w:lineRule="auto"/>
              <w:ind w:firstLine="0"/>
              <w:jc w:val="center"/>
              <w:rPr>
                <w:rFonts w:eastAsia="Times New Roman" w:cs="Times New Roman"/>
                <w:b/>
                <w:bCs/>
                <w:color w:val="000000"/>
                <w:sz w:val="20"/>
                <w:szCs w:val="20"/>
                <w:lang w:eastAsia="ru-RU"/>
              </w:rPr>
            </w:pPr>
            <w:r w:rsidRPr="002F481C">
              <w:rPr>
                <w:rFonts w:eastAsia="Times New Roman" w:cs="Times New Roman"/>
                <w:b/>
                <w:bCs/>
                <w:color w:val="000000"/>
                <w:sz w:val="20"/>
                <w:szCs w:val="20"/>
                <w:lang w:eastAsia="ru-RU"/>
              </w:rPr>
              <w:t>PP</w:t>
            </w:r>
          </w:p>
        </w:tc>
      </w:tr>
      <w:tr w:rsidR="000F0BA5" w:rsidRPr="002F481C" w14:paraId="351B135C" w14:textId="77777777" w:rsidTr="005E4170">
        <w:trPr>
          <w:trHeight w:val="29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14:paraId="348D75DE" w14:textId="77777777" w:rsidR="000F0BA5" w:rsidRPr="002F481C" w:rsidRDefault="000F0BA5" w:rsidP="005E4170">
            <w:pPr>
              <w:spacing w:after="0" w:line="240" w:lineRule="auto"/>
              <w:ind w:firstLine="0"/>
              <w:jc w:val="left"/>
              <w:rPr>
                <w:rFonts w:eastAsia="Times New Roman" w:cs="Times New Roman"/>
                <w:color w:val="000000"/>
                <w:sz w:val="20"/>
                <w:szCs w:val="20"/>
                <w:lang w:eastAsia="ru-RU"/>
              </w:rPr>
            </w:pPr>
            <w:r w:rsidRPr="002F481C">
              <w:rPr>
                <w:rFonts w:eastAsia="Times New Roman" w:cs="Times New Roman"/>
                <w:color w:val="000000"/>
                <w:sz w:val="20"/>
                <w:szCs w:val="20"/>
                <w:lang w:eastAsia="ru-RU"/>
              </w:rPr>
              <w:t>НКХП (FCF), тыс.руб.</w:t>
            </w:r>
          </w:p>
        </w:tc>
        <w:tc>
          <w:tcPr>
            <w:tcW w:w="1106" w:type="dxa"/>
            <w:tcBorders>
              <w:top w:val="nil"/>
              <w:left w:val="nil"/>
              <w:bottom w:val="single" w:sz="4" w:space="0" w:color="auto"/>
              <w:right w:val="single" w:sz="4" w:space="0" w:color="auto"/>
            </w:tcBorders>
            <w:shd w:val="clear" w:color="auto" w:fill="auto"/>
            <w:noWrap/>
            <w:vAlign w:val="bottom"/>
            <w:hideMark/>
          </w:tcPr>
          <w:p w14:paraId="31EF93CD"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2 061 032  </w:t>
            </w:r>
          </w:p>
        </w:tc>
        <w:tc>
          <w:tcPr>
            <w:tcW w:w="1134" w:type="dxa"/>
            <w:tcBorders>
              <w:top w:val="nil"/>
              <w:left w:val="nil"/>
              <w:bottom w:val="single" w:sz="4" w:space="0" w:color="auto"/>
              <w:right w:val="single" w:sz="4" w:space="0" w:color="auto"/>
            </w:tcBorders>
            <w:shd w:val="clear" w:color="auto" w:fill="auto"/>
            <w:noWrap/>
            <w:vAlign w:val="bottom"/>
            <w:hideMark/>
          </w:tcPr>
          <w:p w14:paraId="4F05E442"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2 522 408  </w:t>
            </w:r>
          </w:p>
        </w:tc>
        <w:tc>
          <w:tcPr>
            <w:tcW w:w="1276" w:type="dxa"/>
            <w:tcBorders>
              <w:top w:val="nil"/>
              <w:left w:val="nil"/>
              <w:bottom w:val="single" w:sz="4" w:space="0" w:color="auto"/>
              <w:right w:val="single" w:sz="4" w:space="0" w:color="auto"/>
            </w:tcBorders>
            <w:shd w:val="clear" w:color="auto" w:fill="auto"/>
            <w:noWrap/>
            <w:vAlign w:val="bottom"/>
            <w:hideMark/>
          </w:tcPr>
          <w:p w14:paraId="30128814"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3 025 147  </w:t>
            </w:r>
          </w:p>
        </w:tc>
        <w:tc>
          <w:tcPr>
            <w:tcW w:w="1275" w:type="dxa"/>
            <w:tcBorders>
              <w:top w:val="nil"/>
              <w:left w:val="nil"/>
              <w:bottom w:val="single" w:sz="4" w:space="0" w:color="auto"/>
              <w:right w:val="single" w:sz="4" w:space="0" w:color="auto"/>
            </w:tcBorders>
            <w:shd w:val="clear" w:color="auto" w:fill="auto"/>
            <w:noWrap/>
            <w:vAlign w:val="bottom"/>
            <w:hideMark/>
          </w:tcPr>
          <w:p w14:paraId="51FB2169"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3 568 607  </w:t>
            </w:r>
          </w:p>
        </w:tc>
        <w:tc>
          <w:tcPr>
            <w:tcW w:w="1276" w:type="dxa"/>
            <w:tcBorders>
              <w:top w:val="nil"/>
              <w:left w:val="nil"/>
              <w:bottom w:val="single" w:sz="4" w:space="0" w:color="auto"/>
              <w:right w:val="single" w:sz="4" w:space="0" w:color="auto"/>
            </w:tcBorders>
            <w:shd w:val="clear" w:color="auto" w:fill="auto"/>
            <w:noWrap/>
            <w:vAlign w:val="bottom"/>
            <w:hideMark/>
          </w:tcPr>
          <w:p w14:paraId="2A3D9130"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4 156 088  </w:t>
            </w:r>
          </w:p>
        </w:tc>
        <w:tc>
          <w:tcPr>
            <w:tcW w:w="1276" w:type="dxa"/>
            <w:tcBorders>
              <w:top w:val="nil"/>
              <w:left w:val="nil"/>
              <w:bottom w:val="single" w:sz="4" w:space="0" w:color="auto"/>
              <w:right w:val="single" w:sz="4" w:space="0" w:color="auto"/>
            </w:tcBorders>
            <w:shd w:val="clear" w:color="auto" w:fill="auto"/>
            <w:noWrap/>
            <w:vAlign w:val="bottom"/>
            <w:hideMark/>
          </w:tcPr>
          <w:p w14:paraId="16F7A253"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45 303 636  </w:t>
            </w:r>
          </w:p>
        </w:tc>
      </w:tr>
      <w:tr w:rsidR="000F0BA5" w:rsidRPr="002F481C" w14:paraId="5F39700C" w14:textId="77777777" w:rsidTr="005E4170">
        <w:trPr>
          <w:trHeight w:val="360"/>
        </w:trPr>
        <w:tc>
          <w:tcPr>
            <w:tcW w:w="1906" w:type="dxa"/>
            <w:tcBorders>
              <w:top w:val="nil"/>
              <w:left w:val="single" w:sz="4" w:space="0" w:color="auto"/>
              <w:bottom w:val="single" w:sz="8" w:space="0" w:color="auto"/>
              <w:right w:val="single" w:sz="4" w:space="0" w:color="auto"/>
            </w:tcBorders>
            <w:shd w:val="clear" w:color="auto" w:fill="auto"/>
            <w:noWrap/>
            <w:vAlign w:val="bottom"/>
            <w:hideMark/>
          </w:tcPr>
          <w:p w14:paraId="6AC275A7" w14:textId="77777777" w:rsidR="000F0BA5" w:rsidRPr="002F481C" w:rsidRDefault="000F0BA5" w:rsidP="005E4170">
            <w:pPr>
              <w:spacing w:after="0" w:line="240" w:lineRule="auto"/>
              <w:ind w:firstLine="0"/>
              <w:jc w:val="left"/>
              <w:rPr>
                <w:rFonts w:eastAsia="Times New Roman" w:cs="Times New Roman"/>
                <w:color w:val="000000"/>
                <w:sz w:val="20"/>
                <w:szCs w:val="20"/>
                <w:lang w:eastAsia="ru-RU"/>
              </w:rPr>
            </w:pPr>
            <w:r w:rsidRPr="002F481C">
              <w:rPr>
                <w:rFonts w:eastAsia="Times New Roman" w:cs="Times New Roman"/>
                <w:color w:val="000000"/>
                <w:sz w:val="20"/>
                <w:szCs w:val="20"/>
                <w:lang w:eastAsia="ru-RU"/>
              </w:rPr>
              <w:t>НКХП (DFCF), тыс.руб.</w:t>
            </w:r>
          </w:p>
        </w:tc>
        <w:tc>
          <w:tcPr>
            <w:tcW w:w="1106" w:type="dxa"/>
            <w:tcBorders>
              <w:top w:val="nil"/>
              <w:left w:val="nil"/>
              <w:bottom w:val="single" w:sz="8" w:space="0" w:color="auto"/>
              <w:right w:val="single" w:sz="4" w:space="0" w:color="auto"/>
            </w:tcBorders>
            <w:shd w:val="clear" w:color="auto" w:fill="auto"/>
            <w:noWrap/>
            <w:vAlign w:val="bottom"/>
            <w:hideMark/>
          </w:tcPr>
          <w:p w14:paraId="41288194"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1 844 434  </w:t>
            </w:r>
          </w:p>
        </w:tc>
        <w:tc>
          <w:tcPr>
            <w:tcW w:w="1134" w:type="dxa"/>
            <w:tcBorders>
              <w:top w:val="nil"/>
              <w:left w:val="nil"/>
              <w:bottom w:val="single" w:sz="8" w:space="0" w:color="auto"/>
              <w:right w:val="single" w:sz="4" w:space="0" w:color="auto"/>
            </w:tcBorders>
            <w:shd w:val="clear" w:color="auto" w:fill="auto"/>
            <w:noWrap/>
            <w:vAlign w:val="bottom"/>
            <w:hideMark/>
          </w:tcPr>
          <w:p w14:paraId="49FFD28C"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2 012 882  </w:t>
            </w:r>
          </w:p>
        </w:tc>
        <w:tc>
          <w:tcPr>
            <w:tcW w:w="1276" w:type="dxa"/>
            <w:tcBorders>
              <w:top w:val="nil"/>
              <w:left w:val="nil"/>
              <w:bottom w:val="single" w:sz="8" w:space="0" w:color="auto"/>
              <w:right w:val="single" w:sz="4" w:space="0" w:color="auto"/>
            </w:tcBorders>
            <w:shd w:val="clear" w:color="auto" w:fill="auto"/>
            <w:noWrap/>
            <w:vAlign w:val="bottom"/>
            <w:hideMark/>
          </w:tcPr>
          <w:p w14:paraId="763D1F25"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2 148 291  </w:t>
            </w:r>
          </w:p>
        </w:tc>
        <w:tc>
          <w:tcPr>
            <w:tcW w:w="1275" w:type="dxa"/>
            <w:tcBorders>
              <w:top w:val="nil"/>
              <w:left w:val="nil"/>
              <w:bottom w:val="single" w:sz="8" w:space="0" w:color="auto"/>
              <w:right w:val="single" w:sz="4" w:space="0" w:color="auto"/>
            </w:tcBorders>
            <w:shd w:val="clear" w:color="auto" w:fill="auto"/>
            <w:noWrap/>
            <w:vAlign w:val="bottom"/>
            <w:hideMark/>
          </w:tcPr>
          <w:p w14:paraId="21E0C9ED"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2 252 416  </w:t>
            </w:r>
          </w:p>
        </w:tc>
        <w:tc>
          <w:tcPr>
            <w:tcW w:w="1276" w:type="dxa"/>
            <w:tcBorders>
              <w:top w:val="nil"/>
              <w:left w:val="nil"/>
              <w:bottom w:val="single" w:sz="8" w:space="0" w:color="auto"/>
              <w:right w:val="single" w:sz="4" w:space="0" w:color="auto"/>
            </w:tcBorders>
            <w:shd w:val="clear" w:color="auto" w:fill="auto"/>
            <w:noWrap/>
            <w:vAlign w:val="bottom"/>
            <w:hideMark/>
          </w:tcPr>
          <w:p w14:paraId="47AF49C3"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2 329 631  </w:t>
            </w:r>
          </w:p>
        </w:tc>
        <w:tc>
          <w:tcPr>
            <w:tcW w:w="1276" w:type="dxa"/>
            <w:tcBorders>
              <w:top w:val="nil"/>
              <w:left w:val="nil"/>
              <w:bottom w:val="single" w:sz="8" w:space="0" w:color="auto"/>
              <w:right w:val="single" w:sz="4" w:space="0" w:color="auto"/>
            </w:tcBorders>
            <w:shd w:val="clear" w:color="auto" w:fill="auto"/>
            <w:noWrap/>
            <w:vAlign w:val="bottom"/>
            <w:hideMark/>
          </w:tcPr>
          <w:p w14:paraId="2AAD8E51"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25 394 251  </w:t>
            </w:r>
          </w:p>
        </w:tc>
      </w:tr>
      <w:tr w:rsidR="000F0BA5" w:rsidRPr="002F481C" w14:paraId="1997DD5D" w14:textId="77777777" w:rsidTr="005E4170">
        <w:trPr>
          <w:trHeight w:val="30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14:paraId="398C6629" w14:textId="77777777" w:rsidR="000F0BA5" w:rsidRPr="002F481C" w:rsidRDefault="000F0BA5" w:rsidP="005E4170">
            <w:pPr>
              <w:spacing w:after="0" w:line="240" w:lineRule="auto"/>
              <w:ind w:firstLine="0"/>
              <w:jc w:val="left"/>
              <w:rPr>
                <w:rFonts w:eastAsia="Times New Roman" w:cs="Times New Roman"/>
                <w:color w:val="000000"/>
                <w:sz w:val="20"/>
                <w:szCs w:val="20"/>
                <w:lang w:eastAsia="ru-RU"/>
              </w:rPr>
            </w:pPr>
            <w:r w:rsidRPr="002F481C">
              <w:rPr>
                <w:rFonts w:eastAsia="Times New Roman" w:cs="Times New Roman"/>
                <w:color w:val="000000"/>
                <w:sz w:val="20"/>
                <w:szCs w:val="20"/>
                <w:lang w:eastAsia="ru-RU"/>
              </w:rPr>
              <w:t>Новатэк (FCF), млн. руб.</w:t>
            </w:r>
          </w:p>
        </w:tc>
        <w:tc>
          <w:tcPr>
            <w:tcW w:w="1106" w:type="dxa"/>
            <w:tcBorders>
              <w:top w:val="nil"/>
              <w:left w:val="nil"/>
              <w:bottom w:val="single" w:sz="4" w:space="0" w:color="auto"/>
              <w:right w:val="single" w:sz="4" w:space="0" w:color="auto"/>
            </w:tcBorders>
            <w:shd w:val="clear" w:color="auto" w:fill="auto"/>
            <w:noWrap/>
            <w:vAlign w:val="bottom"/>
            <w:hideMark/>
          </w:tcPr>
          <w:p w14:paraId="5A37F8A7"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278 967  </w:t>
            </w:r>
          </w:p>
        </w:tc>
        <w:tc>
          <w:tcPr>
            <w:tcW w:w="1134" w:type="dxa"/>
            <w:tcBorders>
              <w:top w:val="nil"/>
              <w:left w:val="nil"/>
              <w:bottom w:val="single" w:sz="4" w:space="0" w:color="auto"/>
              <w:right w:val="single" w:sz="4" w:space="0" w:color="auto"/>
            </w:tcBorders>
            <w:shd w:val="clear" w:color="auto" w:fill="auto"/>
            <w:noWrap/>
            <w:vAlign w:val="bottom"/>
            <w:hideMark/>
          </w:tcPr>
          <w:p w14:paraId="304AFCA1"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119 036  </w:t>
            </w:r>
          </w:p>
        </w:tc>
        <w:tc>
          <w:tcPr>
            <w:tcW w:w="1276" w:type="dxa"/>
            <w:tcBorders>
              <w:top w:val="nil"/>
              <w:left w:val="nil"/>
              <w:bottom w:val="single" w:sz="4" w:space="0" w:color="auto"/>
              <w:right w:val="single" w:sz="4" w:space="0" w:color="auto"/>
            </w:tcBorders>
            <w:shd w:val="clear" w:color="auto" w:fill="auto"/>
            <w:noWrap/>
            <w:vAlign w:val="bottom"/>
            <w:hideMark/>
          </w:tcPr>
          <w:p w14:paraId="47CA7DC9"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152 067  </w:t>
            </w:r>
          </w:p>
        </w:tc>
        <w:tc>
          <w:tcPr>
            <w:tcW w:w="1275" w:type="dxa"/>
            <w:tcBorders>
              <w:top w:val="nil"/>
              <w:left w:val="nil"/>
              <w:bottom w:val="single" w:sz="4" w:space="0" w:color="auto"/>
              <w:right w:val="single" w:sz="4" w:space="0" w:color="auto"/>
            </w:tcBorders>
            <w:shd w:val="clear" w:color="auto" w:fill="auto"/>
            <w:noWrap/>
            <w:vAlign w:val="bottom"/>
            <w:hideMark/>
          </w:tcPr>
          <w:p w14:paraId="3E4864EE"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185 610  </w:t>
            </w:r>
          </w:p>
        </w:tc>
        <w:tc>
          <w:tcPr>
            <w:tcW w:w="1276" w:type="dxa"/>
            <w:tcBorders>
              <w:top w:val="nil"/>
              <w:left w:val="nil"/>
              <w:bottom w:val="single" w:sz="4" w:space="0" w:color="auto"/>
              <w:right w:val="single" w:sz="4" w:space="0" w:color="auto"/>
            </w:tcBorders>
            <w:shd w:val="clear" w:color="auto" w:fill="auto"/>
            <w:noWrap/>
            <w:vAlign w:val="bottom"/>
            <w:hideMark/>
          </w:tcPr>
          <w:p w14:paraId="7A54E14A"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221 010  </w:t>
            </w:r>
          </w:p>
        </w:tc>
        <w:tc>
          <w:tcPr>
            <w:tcW w:w="1276" w:type="dxa"/>
            <w:tcBorders>
              <w:top w:val="nil"/>
              <w:left w:val="nil"/>
              <w:bottom w:val="single" w:sz="4" w:space="0" w:color="auto"/>
              <w:right w:val="single" w:sz="4" w:space="0" w:color="auto"/>
            </w:tcBorders>
            <w:shd w:val="clear" w:color="auto" w:fill="auto"/>
            <w:noWrap/>
            <w:vAlign w:val="bottom"/>
            <w:hideMark/>
          </w:tcPr>
          <w:p w14:paraId="2553C421"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1 703 670  </w:t>
            </w:r>
          </w:p>
        </w:tc>
      </w:tr>
      <w:tr w:rsidR="000F0BA5" w:rsidRPr="002F481C" w14:paraId="5C7B5F1C" w14:textId="77777777" w:rsidTr="005E4170">
        <w:trPr>
          <w:trHeight w:val="300"/>
        </w:trPr>
        <w:tc>
          <w:tcPr>
            <w:tcW w:w="1906" w:type="dxa"/>
            <w:tcBorders>
              <w:top w:val="nil"/>
              <w:left w:val="single" w:sz="4" w:space="0" w:color="auto"/>
              <w:bottom w:val="single" w:sz="8" w:space="0" w:color="auto"/>
              <w:right w:val="single" w:sz="4" w:space="0" w:color="auto"/>
            </w:tcBorders>
            <w:shd w:val="clear" w:color="auto" w:fill="auto"/>
            <w:noWrap/>
            <w:vAlign w:val="bottom"/>
            <w:hideMark/>
          </w:tcPr>
          <w:p w14:paraId="7213F52D" w14:textId="77777777" w:rsidR="000F0BA5" w:rsidRPr="002F481C" w:rsidRDefault="000F0BA5" w:rsidP="005E4170">
            <w:pPr>
              <w:spacing w:after="0" w:line="240" w:lineRule="auto"/>
              <w:ind w:firstLine="0"/>
              <w:jc w:val="left"/>
              <w:rPr>
                <w:rFonts w:eastAsia="Times New Roman" w:cs="Times New Roman"/>
                <w:color w:val="000000"/>
                <w:sz w:val="20"/>
                <w:szCs w:val="20"/>
                <w:lang w:eastAsia="ru-RU"/>
              </w:rPr>
            </w:pPr>
            <w:r w:rsidRPr="002F481C">
              <w:rPr>
                <w:rFonts w:eastAsia="Times New Roman" w:cs="Times New Roman"/>
                <w:color w:val="000000"/>
                <w:sz w:val="20"/>
                <w:szCs w:val="20"/>
                <w:lang w:eastAsia="ru-RU"/>
              </w:rPr>
              <w:t>Новатэк (DFCF), млн. руб.</w:t>
            </w:r>
          </w:p>
        </w:tc>
        <w:tc>
          <w:tcPr>
            <w:tcW w:w="1106" w:type="dxa"/>
            <w:tcBorders>
              <w:top w:val="nil"/>
              <w:left w:val="nil"/>
              <w:bottom w:val="single" w:sz="8" w:space="0" w:color="auto"/>
              <w:right w:val="single" w:sz="4" w:space="0" w:color="auto"/>
            </w:tcBorders>
            <w:shd w:val="clear" w:color="auto" w:fill="auto"/>
            <w:noWrap/>
            <w:vAlign w:val="bottom"/>
            <w:hideMark/>
          </w:tcPr>
          <w:p w14:paraId="02B1A8A0"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240 099  </w:t>
            </w:r>
          </w:p>
        </w:tc>
        <w:tc>
          <w:tcPr>
            <w:tcW w:w="1134" w:type="dxa"/>
            <w:tcBorders>
              <w:top w:val="nil"/>
              <w:left w:val="nil"/>
              <w:bottom w:val="single" w:sz="8" w:space="0" w:color="auto"/>
              <w:right w:val="single" w:sz="4" w:space="0" w:color="auto"/>
            </w:tcBorders>
            <w:shd w:val="clear" w:color="auto" w:fill="auto"/>
            <w:noWrap/>
            <w:vAlign w:val="bottom"/>
            <w:hideMark/>
          </w:tcPr>
          <w:p w14:paraId="749EBD8A"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88 038  </w:t>
            </w:r>
          </w:p>
        </w:tc>
        <w:tc>
          <w:tcPr>
            <w:tcW w:w="1276" w:type="dxa"/>
            <w:tcBorders>
              <w:top w:val="nil"/>
              <w:left w:val="nil"/>
              <w:bottom w:val="single" w:sz="8" w:space="0" w:color="auto"/>
              <w:right w:val="single" w:sz="4" w:space="0" w:color="auto"/>
            </w:tcBorders>
            <w:shd w:val="clear" w:color="auto" w:fill="auto"/>
            <w:noWrap/>
            <w:vAlign w:val="bottom"/>
            <w:hideMark/>
          </w:tcPr>
          <w:p w14:paraId="08DA58EA"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96 537  </w:t>
            </w:r>
          </w:p>
        </w:tc>
        <w:tc>
          <w:tcPr>
            <w:tcW w:w="1275" w:type="dxa"/>
            <w:tcBorders>
              <w:top w:val="nil"/>
              <w:left w:val="nil"/>
              <w:bottom w:val="single" w:sz="8" w:space="0" w:color="auto"/>
              <w:right w:val="single" w:sz="4" w:space="0" w:color="auto"/>
            </w:tcBorders>
            <w:shd w:val="clear" w:color="auto" w:fill="auto"/>
            <w:noWrap/>
            <w:vAlign w:val="bottom"/>
            <w:hideMark/>
          </w:tcPr>
          <w:p w14:paraId="3B91C447"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101 046  </w:t>
            </w:r>
          </w:p>
        </w:tc>
        <w:tc>
          <w:tcPr>
            <w:tcW w:w="1276" w:type="dxa"/>
            <w:tcBorders>
              <w:top w:val="nil"/>
              <w:left w:val="nil"/>
              <w:bottom w:val="single" w:sz="8" w:space="0" w:color="auto"/>
              <w:right w:val="single" w:sz="4" w:space="0" w:color="auto"/>
            </w:tcBorders>
            <w:shd w:val="clear" w:color="auto" w:fill="auto"/>
            <w:noWrap/>
            <w:vAlign w:val="bottom"/>
            <w:hideMark/>
          </w:tcPr>
          <w:p w14:paraId="6223A544"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103 099  </w:t>
            </w:r>
          </w:p>
        </w:tc>
        <w:tc>
          <w:tcPr>
            <w:tcW w:w="1276" w:type="dxa"/>
            <w:tcBorders>
              <w:top w:val="nil"/>
              <w:left w:val="nil"/>
              <w:bottom w:val="single" w:sz="8" w:space="0" w:color="auto"/>
              <w:right w:val="single" w:sz="4" w:space="0" w:color="auto"/>
            </w:tcBorders>
            <w:shd w:val="clear" w:color="auto" w:fill="auto"/>
            <w:noWrap/>
            <w:vAlign w:val="bottom"/>
            <w:hideMark/>
          </w:tcPr>
          <w:p w14:paraId="0C881ADE"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794 743  </w:t>
            </w:r>
          </w:p>
        </w:tc>
      </w:tr>
      <w:tr w:rsidR="000F0BA5" w:rsidRPr="002F481C" w14:paraId="00FB8E59" w14:textId="77777777" w:rsidTr="005E4170">
        <w:trPr>
          <w:trHeight w:val="29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14:paraId="03FC9250" w14:textId="77777777" w:rsidR="000F0BA5" w:rsidRPr="002F481C" w:rsidRDefault="000F0BA5" w:rsidP="005E4170">
            <w:pPr>
              <w:spacing w:after="0" w:line="240" w:lineRule="auto"/>
              <w:ind w:firstLine="0"/>
              <w:jc w:val="left"/>
              <w:rPr>
                <w:rFonts w:eastAsia="Times New Roman" w:cs="Times New Roman"/>
                <w:color w:val="000000"/>
                <w:sz w:val="20"/>
                <w:szCs w:val="20"/>
                <w:lang w:eastAsia="ru-RU"/>
              </w:rPr>
            </w:pPr>
            <w:r w:rsidRPr="002F481C">
              <w:rPr>
                <w:rFonts w:eastAsia="Times New Roman" w:cs="Times New Roman"/>
                <w:color w:val="000000"/>
                <w:sz w:val="20"/>
                <w:szCs w:val="20"/>
                <w:lang w:eastAsia="ru-RU"/>
              </w:rPr>
              <w:t>Алроса (FCF), млн. руб.</w:t>
            </w:r>
          </w:p>
        </w:tc>
        <w:tc>
          <w:tcPr>
            <w:tcW w:w="1106" w:type="dxa"/>
            <w:tcBorders>
              <w:top w:val="nil"/>
              <w:left w:val="nil"/>
              <w:bottom w:val="single" w:sz="4" w:space="0" w:color="auto"/>
              <w:right w:val="single" w:sz="4" w:space="0" w:color="auto"/>
            </w:tcBorders>
            <w:shd w:val="clear" w:color="auto" w:fill="auto"/>
            <w:noWrap/>
            <w:vAlign w:val="bottom"/>
            <w:hideMark/>
          </w:tcPr>
          <w:p w14:paraId="0B85B213"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111 064  </w:t>
            </w:r>
          </w:p>
        </w:tc>
        <w:tc>
          <w:tcPr>
            <w:tcW w:w="1134" w:type="dxa"/>
            <w:tcBorders>
              <w:top w:val="nil"/>
              <w:left w:val="nil"/>
              <w:bottom w:val="single" w:sz="4" w:space="0" w:color="auto"/>
              <w:right w:val="single" w:sz="4" w:space="0" w:color="auto"/>
            </w:tcBorders>
            <w:shd w:val="clear" w:color="auto" w:fill="auto"/>
            <w:noWrap/>
            <w:vAlign w:val="bottom"/>
            <w:hideMark/>
          </w:tcPr>
          <w:p w14:paraId="230D406C"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77 710  </w:t>
            </w:r>
          </w:p>
        </w:tc>
        <w:tc>
          <w:tcPr>
            <w:tcW w:w="1276" w:type="dxa"/>
            <w:tcBorders>
              <w:top w:val="nil"/>
              <w:left w:val="nil"/>
              <w:bottom w:val="single" w:sz="4" w:space="0" w:color="auto"/>
              <w:right w:val="single" w:sz="4" w:space="0" w:color="auto"/>
            </w:tcBorders>
            <w:shd w:val="clear" w:color="auto" w:fill="auto"/>
            <w:noWrap/>
            <w:vAlign w:val="bottom"/>
            <w:hideMark/>
          </w:tcPr>
          <w:p w14:paraId="4E6D2794"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78 579  </w:t>
            </w:r>
          </w:p>
        </w:tc>
        <w:tc>
          <w:tcPr>
            <w:tcW w:w="1275" w:type="dxa"/>
            <w:tcBorders>
              <w:top w:val="nil"/>
              <w:left w:val="nil"/>
              <w:bottom w:val="single" w:sz="4" w:space="0" w:color="auto"/>
              <w:right w:val="single" w:sz="4" w:space="0" w:color="auto"/>
            </w:tcBorders>
            <w:shd w:val="clear" w:color="auto" w:fill="auto"/>
            <w:noWrap/>
            <w:vAlign w:val="bottom"/>
            <w:hideMark/>
          </w:tcPr>
          <w:p w14:paraId="4C944962"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79 472  </w:t>
            </w:r>
          </w:p>
        </w:tc>
        <w:tc>
          <w:tcPr>
            <w:tcW w:w="1276" w:type="dxa"/>
            <w:tcBorders>
              <w:top w:val="nil"/>
              <w:left w:val="nil"/>
              <w:bottom w:val="single" w:sz="4" w:space="0" w:color="auto"/>
              <w:right w:val="single" w:sz="4" w:space="0" w:color="auto"/>
            </w:tcBorders>
            <w:shd w:val="clear" w:color="auto" w:fill="auto"/>
            <w:noWrap/>
            <w:vAlign w:val="bottom"/>
            <w:hideMark/>
          </w:tcPr>
          <w:p w14:paraId="6FD00EAA"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80 388  </w:t>
            </w:r>
          </w:p>
        </w:tc>
        <w:tc>
          <w:tcPr>
            <w:tcW w:w="1276" w:type="dxa"/>
            <w:tcBorders>
              <w:top w:val="nil"/>
              <w:left w:val="nil"/>
              <w:bottom w:val="single" w:sz="4" w:space="0" w:color="auto"/>
              <w:right w:val="single" w:sz="4" w:space="0" w:color="auto"/>
            </w:tcBorders>
            <w:shd w:val="clear" w:color="auto" w:fill="auto"/>
            <w:noWrap/>
            <w:vAlign w:val="bottom"/>
            <w:hideMark/>
          </w:tcPr>
          <w:p w14:paraId="1BCF7656"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569 500  </w:t>
            </w:r>
          </w:p>
        </w:tc>
      </w:tr>
      <w:tr w:rsidR="000F0BA5" w:rsidRPr="002F481C" w14:paraId="63DB67AF" w14:textId="77777777" w:rsidTr="005E4170">
        <w:trPr>
          <w:trHeight w:val="340"/>
        </w:trPr>
        <w:tc>
          <w:tcPr>
            <w:tcW w:w="1906" w:type="dxa"/>
            <w:tcBorders>
              <w:top w:val="nil"/>
              <w:left w:val="single" w:sz="4" w:space="0" w:color="auto"/>
              <w:bottom w:val="single" w:sz="8" w:space="0" w:color="auto"/>
              <w:right w:val="single" w:sz="4" w:space="0" w:color="auto"/>
            </w:tcBorders>
            <w:shd w:val="clear" w:color="auto" w:fill="auto"/>
            <w:noWrap/>
            <w:vAlign w:val="bottom"/>
            <w:hideMark/>
          </w:tcPr>
          <w:p w14:paraId="4D909C49" w14:textId="77777777" w:rsidR="000F0BA5" w:rsidRPr="002F481C" w:rsidRDefault="000F0BA5" w:rsidP="005E4170">
            <w:pPr>
              <w:spacing w:after="0" w:line="240" w:lineRule="auto"/>
              <w:ind w:firstLine="0"/>
              <w:jc w:val="left"/>
              <w:rPr>
                <w:rFonts w:eastAsia="Times New Roman" w:cs="Times New Roman"/>
                <w:color w:val="000000"/>
                <w:sz w:val="20"/>
                <w:szCs w:val="20"/>
                <w:lang w:eastAsia="ru-RU"/>
              </w:rPr>
            </w:pPr>
            <w:r w:rsidRPr="002F481C">
              <w:rPr>
                <w:rFonts w:eastAsia="Times New Roman" w:cs="Times New Roman"/>
                <w:color w:val="000000"/>
                <w:sz w:val="20"/>
                <w:szCs w:val="20"/>
                <w:lang w:eastAsia="ru-RU"/>
              </w:rPr>
              <w:t>Алроса (DFCF), млн. руб.</w:t>
            </w:r>
          </w:p>
        </w:tc>
        <w:tc>
          <w:tcPr>
            <w:tcW w:w="1106" w:type="dxa"/>
            <w:tcBorders>
              <w:top w:val="nil"/>
              <w:left w:val="nil"/>
              <w:bottom w:val="single" w:sz="8" w:space="0" w:color="auto"/>
              <w:right w:val="single" w:sz="4" w:space="0" w:color="auto"/>
            </w:tcBorders>
            <w:shd w:val="clear" w:color="auto" w:fill="auto"/>
            <w:noWrap/>
            <w:vAlign w:val="bottom"/>
            <w:hideMark/>
          </w:tcPr>
          <w:p w14:paraId="3FC87FF3"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96 802  </w:t>
            </w:r>
          </w:p>
        </w:tc>
        <w:tc>
          <w:tcPr>
            <w:tcW w:w="1134" w:type="dxa"/>
            <w:tcBorders>
              <w:top w:val="nil"/>
              <w:left w:val="nil"/>
              <w:bottom w:val="single" w:sz="8" w:space="0" w:color="auto"/>
              <w:right w:val="single" w:sz="4" w:space="0" w:color="auto"/>
            </w:tcBorders>
            <w:shd w:val="clear" w:color="auto" w:fill="auto"/>
            <w:noWrap/>
            <w:vAlign w:val="bottom"/>
            <w:hideMark/>
          </w:tcPr>
          <w:p w14:paraId="09E17402"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58 914  </w:t>
            </w:r>
          </w:p>
        </w:tc>
        <w:tc>
          <w:tcPr>
            <w:tcW w:w="1276" w:type="dxa"/>
            <w:tcBorders>
              <w:top w:val="nil"/>
              <w:left w:val="nil"/>
              <w:bottom w:val="single" w:sz="8" w:space="0" w:color="auto"/>
              <w:right w:val="single" w:sz="4" w:space="0" w:color="auto"/>
            </w:tcBorders>
            <w:shd w:val="clear" w:color="auto" w:fill="auto"/>
            <w:noWrap/>
            <w:vAlign w:val="bottom"/>
            <w:hideMark/>
          </w:tcPr>
          <w:p w14:paraId="292C2554"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51 675  </w:t>
            </w:r>
          </w:p>
        </w:tc>
        <w:tc>
          <w:tcPr>
            <w:tcW w:w="1275" w:type="dxa"/>
            <w:tcBorders>
              <w:top w:val="nil"/>
              <w:left w:val="nil"/>
              <w:bottom w:val="single" w:sz="8" w:space="0" w:color="auto"/>
              <w:right w:val="single" w:sz="4" w:space="0" w:color="auto"/>
            </w:tcBorders>
            <w:shd w:val="clear" w:color="auto" w:fill="auto"/>
            <w:noWrap/>
            <w:vAlign w:val="bottom"/>
            <w:hideMark/>
          </w:tcPr>
          <w:p w14:paraId="1DA0CEA0"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45 234  </w:t>
            </w:r>
          </w:p>
        </w:tc>
        <w:tc>
          <w:tcPr>
            <w:tcW w:w="1276" w:type="dxa"/>
            <w:tcBorders>
              <w:top w:val="nil"/>
              <w:left w:val="nil"/>
              <w:bottom w:val="single" w:sz="8" w:space="0" w:color="auto"/>
              <w:right w:val="single" w:sz="4" w:space="0" w:color="auto"/>
            </w:tcBorders>
            <w:shd w:val="clear" w:color="auto" w:fill="auto"/>
            <w:noWrap/>
            <w:vAlign w:val="bottom"/>
            <w:hideMark/>
          </w:tcPr>
          <w:p w14:paraId="3D239210"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39 524  </w:t>
            </w:r>
          </w:p>
        </w:tc>
        <w:tc>
          <w:tcPr>
            <w:tcW w:w="1276" w:type="dxa"/>
            <w:tcBorders>
              <w:top w:val="nil"/>
              <w:left w:val="nil"/>
              <w:bottom w:val="single" w:sz="8" w:space="0" w:color="auto"/>
              <w:right w:val="single" w:sz="4" w:space="0" w:color="auto"/>
            </w:tcBorders>
            <w:shd w:val="clear" w:color="auto" w:fill="auto"/>
            <w:noWrap/>
            <w:vAlign w:val="bottom"/>
            <w:hideMark/>
          </w:tcPr>
          <w:p w14:paraId="18A743A9"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280 004  </w:t>
            </w:r>
          </w:p>
        </w:tc>
      </w:tr>
      <w:tr w:rsidR="000F0BA5" w:rsidRPr="002F481C" w14:paraId="6D458D2F" w14:textId="77777777" w:rsidTr="005E4170">
        <w:trPr>
          <w:trHeight w:val="30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14:paraId="732594BD" w14:textId="77777777" w:rsidR="000F0BA5" w:rsidRPr="002F481C" w:rsidRDefault="000F0BA5" w:rsidP="005E4170">
            <w:pPr>
              <w:spacing w:after="0" w:line="240" w:lineRule="auto"/>
              <w:ind w:firstLine="0"/>
              <w:jc w:val="left"/>
              <w:rPr>
                <w:rFonts w:eastAsia="Times New Roman" w:cs="Times New Roman"/>
                <w:color w:val="000000"/>
                <w:sz w:val="20"/>
                <w:szCs w:val="20"/>
                <w:lang w:eastAsia="ru-RU"/>
              </w:rPr>
            </w:pPr>
            <w:r w:rsidRPr="002F481C">
              <w:rPr>
                <w:rFonts w:eastAsia="Times New Roman" w:cs="Times New Roman"/>
                <w:color w:val="000000"/>
                <w:sz w:val="20"/>
                <w:szCs w:val="20"/>
                <w:lang w:eastAsia="ru-RU"/>
              </w:rPr>
              <w:t>Акрон (FCF), млн.руб.</w:t>
            </w:r>
          </w:p>
        </w:tc>
        <w:tc>
          <w:tcPr>
            <w:tcW w:w="1106" w:type="dxa"/>
            <w:tcBorders>
              <w:top w:val="nil"/>
              <w:left w:val="nil"/>
              <w:bottom w:val="single" w:sz="4" w:space="0" w:color="auto"/>
              <w:right w:val="single" w:sz="4" w:space="0" w:color="auto"/>
            </w:tcBorders>
            <w:shd w:val="clear" w:color="auto" w:fill="auto"/>
            <w:noWrap/>
            <w:vAlign w:val="bottom"/>
            <w:hideMark/>
          </w:tcPr>
          <w:p w14:paraId="03C813A5"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3 840  </w:t>
            </w:r>
          </w:p>
        </w:tc>
        <w:tc>
          <w:tcPr>
            <w:tcW w:w="1134" w:type="dxa"/>
            <w:tcBorders>
              <w:top w:val="nil"/>
              <w:left w:val="nil"/>
              <w:bottom w:val="single" w:sz="4" w:space="0" w:color="auto"/>
              <w:right w:val="single" w:sz="4" w:space="0" w:color="auto"/>
            </w:tcBorders>
            <w:shd w:val="clear" w:color="auto" w:fill="auto"/>
            <w:noWrap/>
            <w:vAlign w:val="bottom"/>
            <w:hideMark/>
          </w:tcPr>
          <w:p w14:paraId="2DA65385"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10 171  </w:t>
            </w:r>
          </w:p>
        </w:tc>
        <w:tc>
          <w:tcPr>
            <w:tcW w:w="1276" w:type="dxa"/>
            <w:tcBorders>
              <w:top w:val="nil"/>
              <w:left w:val="nil"/>
              <w:bottom w:val="single" w:sz="4" w:space="0" w:color="auto"/>
              <w:right w:val="single" w:sz="4" w:space="0" w:color="auto"/>
            </w:tcBorders>
            <w:shd w:val="clear" w:color="auto" w:fill="auto"/>
            <w:noWrap/>
            <w:vAlign w:val="bottom"/>
            <w:hideMark/>
          </w:tcPr>
          <w:p w14:paraId="60DEE018"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12 828  </w:t>
            </w:r>
          </w:p>
        </w:tc>
        <w:tc>
          <w:tcPr>
            <w:tcW w:w="1275" w:type="dxa"/>
            <w:tcBorders>
              <w:top w:val="nil"/>
              <w:left w:val="nil"/>
              <w:bottom w:val="single" w:sz="4" w:space="0" w:color="auto"/>
              <w:right w:val="single" w:sz="4" w:space="0" w:color="auto"/>
            </w:tcBorders>
            <w:shd w:val="clear" w:color="auto" w:fill="auto"/>
            <w:noWrap/>
            <w:vAlign w:val="bottom"/>
            <w:hideMark/>
          </w:tcPr>
          <w:p w14:paraId="6147DD32"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15 764  </w:t>
            </w:r>
          </w:p>
        </w:tc>
        <w:tc>
          <w:tcPr>
            <w:tcW w:w="1276" w:type="dxa"/>
            <w:tcBorders>
              <w:top w:val="nil"/>
              <w:left w:val="nil"/>
              <w:bottom w:val="single" w:sz="4" w:space="0" w:color="auto"/>
              <w:right w:val="single" w:sz="4" w:space="0" w:color="auto"/>
            </w:tcBorders>
            <w:shd w:val="clear" w:color="auto" w:fill="auto"/>
            <w:noWrap/>
            <w:vAlign w:val="bottom"/>
            <w:hideMark/>
          </w:tcPr>
          <w:p w14:paraId="1CFDB742"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19 008  </w:t>
            </w:r>
          </w:p>
        </w:tc>
        <w:tc>
          <w:tcPr>
            <w:tcW w:w="1276" w:type="dxa"/>
            <w:tcBorders>
              <w:top w:val="nil"/>
              <w:left w:val="nil"/>
              <w:bottom w:val="single" w:sz="4" w:space="0" w:color="auto"/>
              <w:right w:val="single" w:sz="4" w:space="0" w:color="auto"/>
            </w:tcBorders>
            <w:shd w:val="clear" w:color="auto" w:fill="auto"/>
            <w:noWrap/>
            <w:vAlign w:val="bottom"/>
            <w:hideMark/>
          </w:tcPr>
          <w:p w14:paraId="4C6C2EA0"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351 283  </w:t>
            </w:r>
          </w:p>
        </w:tc>
      </w:tr>
      <w:tr w:rsidR="000F0BA5" w:rsidRPr="002F481C" w14:paraId="45BD4A3A" w14:textId="77777777" w:rsidTr="005E4170">
        <w:trPr>
          <w:trHeight w:val="320"/>
        </w:trPr>
        <w:tc>
          <w:tcPr>
            <w:tcW w:w="1906" w:type="dxa"/>
            <w:tcBorders>
              <w:top w:val="nil"/>
              <w:left w:val="single" w:sz="4" w:space="0" w:color="auto"/>
              <w:bottom w:val="single" w:sz="8" w:space="0" w:color="auto"/>
              <w:right w:val="single" w:sz="4" w:space="0" w:color="auto"/>
            </w:tcBorders>
            <w:shd w:val="clear" w:color="auto" w:fill="auto"/>
            <w:noWrap/>
            <w:vAlign w:val="bottom"/>
            <w:hideMark/>
          </w:tcPr>
          <w:p w14:paraId="204634D8" w14:textId="77777777" w:rsidR="000F0BA5" w:rsidRPr="002F481C" w:rsidRDefault="000F0BA5" w:rsidP="005E4170">
            <w:pPr>
              <w:spacing w:after="0" w:line="240" w:lineRule="auto"/>
              <w:ind w:firstLine="0"/>
              <w:jc w:val="left"/>
              <w:rPr>
                <w:rFonts w:eastAsia="Times New Roman" w:cs="Times New Roman"/>
                <w:color w:val="000000"/>
                <w:sz w:val="20"/>
                <w:szCs w:val="20"/>
                <w:lang w:eastAsia="ru-RU"/>
              </w:rPr>
            </w:pPr>
            <w:r w:rsidRPr="002F481C">
              <w:rPr>
                <w:rFonts w:eastAsia="Times New Roman" w:cs="Times New Roman"/>
                <w:color w:val="000000"/>
                <w:sz w:val="20"/>
                <w:szCs w:val="20"/>
                <w:lang w:eastAsia="ru-RU"/>
              </w:rPr>
              <w:t>Акрон (DFCF), млн. руб.</w:t>
            </w:r>
          </w:p>
        </w:tc>
        <w:tc>
          <w:tcPr>
            <w:tcW w:w="1106" w:type="dxa"/>
            <w:tcBorders>
              <w:top w:val="nil"/>
              <w:left w:val="nil"/>
              <w:bottom w:val="single" w:sz="8" w:space="0" w:color="auto"/>
              <w:right w:val="single" w:sz="4" w:space="0" w:color="auto"/>
            </w:tcBorders>
            <w:shd w:val="clear" w:color="auto" w:fill="auto"/>
            <w:noWrap/>
            <w:vAlign w:val="bottom"/>
            <w:hideMark/>
          </w:tcPr>
          <w:p w14:paraId="4066042E"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3 528  </w:t>
            </w:r>
          </w:p>
        </w:tc>
        <w:tc>
          <w:tcPr>
            <w:tcW w:w="1134" w:type="dxa"/>
            <w:tcBorders>
              <w:top w:val="nil"/>
              <w:left w:val="nil"/>
              <w:bottom w:val="single" w:sz="8" w:space="0" w:color="auto"/>
              <w:right w:val="single" w:sz="4" w:space="0" w:color="auto"/>
            </w:tcBorders>
            <w:shd w:val="clear" w:color="auto" w:fill="auto"/>
            <w:noWrap/>
            <w:vAlign w:val="bottom"/>
            <w:hideMark/>
          </w:tcPr>
          <w:p w14:paraId="24BB3E04"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8 557  </w:t>
            </w:r>
          </w:p>
        </w:tc>
        <w:tc>
          <w:tcPr>
            <w:tcW w:w="1276" w:type="dxa"/>
            <w:tcBorders>
              <w:top w:val="nil"/>
              <w:left w:val="nil"/>
              <w:bottom w:val="single" w:sz="8" w:space="0" w:color="auto"/>
              <w:right w:val="single" w:sz="4" w:space="0" w:color="auto"/>
            </w:tcBorders>
            <w:shd w:val="clear" w:color="auto" w:fill="auto"/>
            <w:noWrap/>
            <w:vAlign w:val="bottom"/>
            <w:hideMark/>
          </w:tcPr>
          <w:p w14:paraId="3E46E91C"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9 844  </w:t>
            </w:r>
          </w:p>
        </w:tc>
        <w:tc>
          <w:tcPr>
            <w:tcW w:w="1275" w:type="dxa"/>
            <w:tcBorders>
              <w:top w:val="nil"/>
              <w:left w:val="nil"/>
              <w:bottom w:val="single" w:sz="8" w:space="0" w:color="auto"/>
              <w:right w:val="single" w:sz="4" w:space="0" w:color="auto"/>
            </w:tcBorders>
            <w:shd w:val="clear" w:color="auto" w:fill="auto"/>
            <w:noWrap/>
            <w:vAlign w:val="bottom"/>
            <w:hideMark/>
          </w:tcPr>
          <w:p w14:paraId="41699FDA"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10 993  </w:t>
            </w:r>
          </w:p>
        </w:tc>
        <w:tc>
          <w:tcPr>
            <w:tcW w:w="1276" w:type="dxa"/>
            <w:tcBorders>
              <w:top w:val="nil"/>
              <w:left w:val="nil"/>
              <w:bottom w:val="single" w:sz="8" w:space="0" w:color="auto"/>
              <w:right w:val="single" w:sz="4" w:space="0" w:color="auto"/>
            </w:tcBorders>
            <w:shd w:val="clear" w:color="auto" w:fill="auto"/>
            <w:noWrap/>
            <w:vAlign w:val="bottom"/>
            <w:hideMark/>
          </w:tcPr>
          <w:p w14:paraId="0C264F61"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12 005  </w:t>
            </w:r>
          </w:p>
        </w:tc>
        <w:tc>
          <w:tcPr>
            <w:tcW w:w="1276" w:type="dxa"/>
            <w:tcBorders>
              <w:top w:val="nil"/>
              <w:left w:val="nil"/>
              <w:bottom w:val="single" w:sz="8" w:space="0" w:color="auto"/>
              <w:right w:val="single" w:sz="4" w:space="0" w:color="auto"/>
            </w:tcBorders>
            <w:shd w:val="clear" w:color="auto" w:fill="auto"/>
            <w:noWrap/>
            <w:vAlign w:val="bottom"/>
            <w:hideMark/>
          </w:tcPr>
          <w:p w14:paraId="34C00645"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221 850  </w:t>
            </w:r>
          </w:p>
        </w:tc>
      </w:tr>
      <w:tr w:rsidR="000F0BA5" w:rsidRPr="002F481C" w14:paraId="64B77421" w14:textId="77777777" w:rsidTr="005E4170">
        <w:trPr>
          <w:trHeight w:val="340"/>
        </w:trPr>
        <w:tc>
          <w:tcPr>
            <w:tcW w:w="1906" w:type="dxa"/>
            <w:tcBorders>
              <w:top w:val="nil"/>
              <w:left w:val="single" w:sz="4" w:space="0" w:color="auto"/>
              <w:bottom w:val="single" w:sz="4" w:space="0" w:color="auto"/>
              <w:right w:val="single" w:sz="4" w:space="0" w:color="auto"/>
            </w:tcBorders>
            <w:shd w:val="clear" w:color="auto" w:fill="auto"/>
            <w:noWrap/>
            <w:vAlign w:val="bottom"/>
            <w:hideMark/>
          </w:tcPr>
          <w:p w14:paraId="09D55FA7" w14:textId="77777777" w:rsidR="000F0BA5" w:rsidRPr="002F481C" w:rsidRDefault="000F0BA5" w:rsidP="005E4170">
            <w:pPr>
              <w:spacing w:after="0" w:line="240" w:lineRule="auto"/>
              <w:ind w:firstLine="0"/>
              <w:jc w:val="left"/>
              <w:rPr>
                <w:rFonts w:eastAsia="Times New Roman" w:cs="Times New Roman"/>
                <w:color w:val="000000"/>
                <w:sz w:val="20"/>
                <w:szCs w:val="20"/>
                <w:lang w:eastAsia="ru-RU"/>
              </w:rPr>
            </w:pPr>
            <w:r w:rsidRPr="002F481C">
              <w:rPr>
                <w:rFonts w:eastAsia="Times New Roman" w:cs="Times New Roman"/>
                <w:color w:val="000000"/>
                <w:sz w:val="20"/>
                <w:szCs w:val="20"/>
                <w:lang w:eastAsia="ru-RU"/>
              </w:rPr>
              <w:t>HeadHunter (FCF), тыс. руб.</w:t>
            </w:r>
          </w:p>
        </w:tc>
        <w:tc>
          <w:tcPr>
            <w:tcW w:w="1106" w:type="dxa"/>
            <w:tcBorders>
              <w:top w:val="nil"/>
              <w:left w:val="nil"/>
              <w:bottom w:val="single" w:sz="4" w:space="0" w:color="auto"/>
              <w:right w:val="single" w:sz="4" w:space="0" w:color="auto"/>
            </w:tcBorders>
            <w:shd w:val="clear" w:color="auto" w:fill="auto"/>
            <w:noWrap/>
            <w:vAlign w:val="bottom"/>
            <w:hideMark/>
          </w:tcPr>
          <w:p w14:paraId="59C32F35"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3 917 992  </w:t>
            </w:r>
          </w:p>
        </w:tc>
        <w:tc>
          <w:tcPr>
            <w:tcW w:w="1134" w:type="dxa"/>
            <w:tcBorders>
              <w:top w:val="nil"/>
              <w:left w:val="nil"/>
              <w:bottom w:val="single" w:sz="4" w:space="0" w:color="auto"/>
              <w:right w:val="single" w:sz="4" w:space="0" w:color="auto"/>
            </w:tcBorders>
            <w:shd w:val="clear" w:color="auto" w:fill="auto"/>
            <w:noWrap/>
            <w:vAlign w:val="bottom"/>
            <w:hideMark/>
          </w:tcPr>
          <w:p w14:paraId="2FF6DE2B"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5 391 143  </w:t>
            </w:r>
          </w:p>
        </w:tc>
        <w:tc>
          <w:tcPr>
            <w:tcW w:w="1276" w:type="dxa"/>
            <w:tcBorders>
              <w:top w:val="nil"/>
              <w:left w:val="nil"/>
              <w:bottom w:val="single" w:sz="4" w:space="0" w:color="auto"/>
              <w:right w:val="single" w:sz="4" w:space="0" w:color="auto"/>
            </w:tcBorders>
            <w:shd w:val="clear" w:color="auto" w:fill="auto"/>
            <w:noWrap/>
            <w:vAlign w:val="bottom"/>
            <w:hideMark/>
          </w:tcPr>
          <w:p w14:paraId="2CB5F043"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7 909 543  </w:t>
            </w:r>
          </w:p>
        </w:tc>
        <w:tc>
          <w:tcPr>
            <w:tcW w:w="1275" w:type="dxa"/>
            <w:tcBorders>
              <w:top w:val="nil"/>
              <w:left w:val="nil"/>
              <w:bottom w:val="single" w:sz="4" w:space="0" w:color="auto"/>
              <w:right w:val="single" w:sz="4" w:space="0" w:color="auto"/>
            </w:tcBorders>
            <w:shd w:val="clear" w:color="auto" w:fill="auto"/>
            <w:noWrap/>
            <w:vAlign w:val="bottom"/>
            <w:hideMark/>
          </w:tcPr>
          <w:p w14:paraId="5ACF0F9B"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11 561 223  </w:t>
            </w:r>
          </w:p>
        </w:tc>
        <w:tc>
          <w:tcPr>
            <w:tcW w:w="1276" w:type="dxa"/>
            <w:tcBorders>
              <w:top w:val="nil"/>
              <w:left w:val="nil"/>
              <w:bottom w:val="single" w:sz="4" w:space="0" w:color="auto"/>
              <w:right w:val="single" w:sz="4" w:space="0" w:color="auto"/>
            </w:tcBorders>
            <w:shd w:val="clear" w:color="auto" w:fill="auto"/>
            <w:noWrap/>
            <w:vAlign w:val="bottom"/>
            <w:hideMark/>
          </w:tcPr>
          <w:p w14:paraId="5496A245"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16 856 163  </w:t>
            </w:r>
          </w:p>
        </w:tc>
        <w:tc>
          <w:tcPr>
            <w:tcW w:w="1276" w:type="dxa"/>
            <w:tcBorders>
              <w:top w:val="nil"/>
              <w:left w:val="nil"/>
              <w:bottom w:val="single" w:sz="4" w:space="0" w:color="auto"/>
              <w:right w:val="single" w:sz="4" w:space="0" w:color="auto"/>
            </w:tcBorders>
            <w:shd w:val="clear" w:color="auto" w:fill="auto"/>
            <w:noWrap/>
            <w:vAlign w:val="bottom"/>
            <w:hideMark/>
          </w:tcPr>
          <w:p w14:paraId="31DC1FA9"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75 469 148  </w:t>
            </w:r>
          </w:p>
        </w:tc>
      </w:tr>
      <w:tr w:rsidR="000F0BA5" w:rsidRPr="002F481C" w14:paraId="1041AA4C" w14:textId="77777777" w:rsidTr="005E4170">
        <w:trPr>
          <w:trHeight w:val="390"/>
        </w:trPr>
        <w:tc>
          <w:tcPr>
            <w:tcW w:w="1906" w:type="dxa"/>
            <w:tcBorders>
              <w:top w:val="nil"/>
              <w:left w:val="single" w:sz="4" w:space="0" w:color="auto"/>
              <w:bottom w:val="single" w:sz="8" w:space="0" w:color="auto"/>
              <w:right w:val="single" w:sz="4" w:space="0" w:color="auto"/>
            </w:tcBorders>
            <w:shd w:val="clear" w:color="auto" w:fill="auto"/>
            <w:noWrap/>
            <w:vAlign w:val="bottom"/>
            <w:hideMark/>
          </w:tcPr>
          <w:p w14:paraId="6CEEF8BE" w14:textId="77777777" w:rsidR="000F0BA5" w:rsidRPr="002F481C" w:rsidRDefault="000F0BA5" w:rsidP="005E4170">
            <w:pPr>
              <w:spacing w:after="0" w:line="240" w:lineRule="auto"/>
              <w:ind w:firstLine="0"/>
              <w:jc w:val="left"/>
              <w:rPr>
                <w:rFonts w:eastAsia="Times New Roman" w:cs="Times New Roman"/>
                <w:color w:val="000000"/>
                <w:sz w:val="20"/>
                <w:szCs w:val="20"/>
                <w:lang w:eastAsia="ru-RU"/>
              </w:rPr>
            </w:pPr>
            <w:r w:rsidRPr="002F481C">
              <w:rPr>
                <w:rFonts w:eastAsia="Times New Roman" w:cs="Times New Roman"/>
                <w:color w:val="000000"/>
                <w:sz w:val="20"/>
                <w:szCs w:val="20"/>
                <w:lang w:eastAsia="ru-RU"/>
              </w:rPr>
              <w:t>HeadHunter (DFCF), тыс. руб.</w:t>
            </w:r>
          </w:p>
        </w:tc>
        <w:tc>
          <w:tcPr>
            <w:tcW w:w="1106" w:type="dxa"/>
            <w:tcBorders>
              <w:top w:val="nil"/>
              <w:left w:val="nil"/>
              <w:bottom w:val="single" w:sz="8" w:space="0" w:color="auto"/>
              <w:right w:val="single" w:sz="4" w:space="0" w:color="auto"/>
            </w:tcBorders>
            <w:shd w:val="clear" w:color="auto" w:fill="auto"/>
            <w:noWrap/>
            <w:vAlign w:val="bottom"/>
            <w:hideMark/>
          </w:tcPr>
          <w:p w14:paraId="26C97A4D"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3 387 364  </w:t>
            </w:r>
          </w:p>
        </w:tc>
        <w:tc>
          <w:tcPr>
            <w:tcW w:w="1134" w:type="dxa"/>
            <w:tcBorders>
              <w:top w:val="nil"/>
              <w:left w:val="nil"/>
              <w:bottom w:val="single" w:sz="8" w:space="0" w:color="auto"/>
              <w:right w:val="single" w:sz="4" w:space="0" w:color="auto"/>
            </w:tcBorders>
            <w:shd w:val="clear" w:color="auto" w:fill="auto"/>
            <w:noWrap/>
            <w:vAlign w:val="bottom"/>
            <w:hideMark/>
          </w:tcPr>
          <w:p w14:paraId="1A659765"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3 915 069  </w:t>
            </w:r>
          </w:p>
        </w:tc>
        <w:tc>
          <w:tcPr>
            <w:tcW w:w="1276" w:type="dxa"/>
            <w:tcBorders>
              <w:top w:val="nil"/>
              <w:left w:val="nil"/>
              <w:bottom w:val="single" w:sz="8" w:space="0" w:color="auto"/>
              <w:right w:val="single" w:sz="4" w:space="0" w:color="auto"/>
            </w:tcBorders>
            <w:shd w:val="clear" w:color="auto" w:fill="auto"/>
            <w:noWrap/>
            <w:vAlign w:val="bottom"/>
            <w:hideMark/>
          </w:tcPr>
          <w:p w14:paraId="466DB2BE"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4 687 978  </w:t>
            </w:r>
          </w:p>
        </w:tc>
        <w:tc>
          <w:tcPr>
            <w:tcW w:w="1275" w:type="dxa"/>
            <w:tcBorders>
              <w:top w:val="nil"/>
              <w:left w:val="nil"/>
              <w:bottom w:val="single" w:sz="8" w:space="0" w:color="auto"/>
              <w:right w:val="single" w:sz="4" w:space="0" w:color="auto"/>
            </w:tcBorders>
            <w:shd w:val="clear" w:color="auto" w:fill="auto"/>
            <w:noWrap/>
            <w:vAlign w:val="bottom"/>
            <w:hideMark/>
          </w:tcPr>
          <w:p w14:paraId="796EED93"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5 502 958  </w:t>
            </w:r>
          </w:p>
        </w:tc>
        <w:tc>
          <w:tcPr>
            <w:tcW w:w="1276" w:type="dxa"/>
            <w:tcBorders>
              <w:top w:val="nil"/>
              <w:left w:val="nil"/>
              <w:bottom w:val="single" w:sz="8" w:space="0" w:color="auto"/>
              <w:right w:val="single" w:sz="4" w:space="0" w:color="auto"/>
            </w:tcBorders>
            <w:shd w:val="clear" w:color="auto" w:fill="auto"/>
            <w:noWrap/>
            <w:vAlign w:val="bottom"/>
            <w:hideMark/>
          </w:tcPr>
          <w:p w14:paraId="2F9D1657"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6 409 919  </w:t>
            </w:r>
          </w:p>
        </w:tc>
        <w:tc>
          <w:tcPr>
            <w:tcW w:w="1276" w:type="dxa"/>
            <w:tcBorders>
              <w:top w:val="nil"/>
              <w:left w:val="nil"/>
              <w:bottom w:val="single" w:sz="8" w:space="0" w:color="auto"/>
              <w:right w:val="single" w:sz="4" w:space="0" w:color="auto"/>
            </w:tcBorders>
            <w:shd w:val="clear" w:color="auto" w:fill="auto"/>
            <w:noWrap/>
            <w:vAlign w:val="bottom"/>
            <w:hideMark/>
          </w:tcPr>
          <w:p w14:paraId="386EDDD9" w14:textId="77777777" w:rsidR="000F0BA5" w:rsidRPr="002F481C" w:rsidRDefault="000F0BA5" w:rsidP="005E4170">
            <w:pPr>
              <w:spacing w:after="0" w:line="240" w:lineRule="auto"/>
              <w:ind w:firstLine="0"/>
              <w:jc w:val="right"/>
              <w:rPr>
                <w:rFonts w:eastAsia="Times New Roman" w:cs="Times New Roman"/>
                <w:color w:val="000000"/>
                <w:sz w:val="20"/>
                <w:szCs w:val="20"/>
                <w:lang w:eastAsia="ru-RU"/>
              </w:rPr>
            </w:pPr>
            <w:r w:rsidRPr="002F481C">
              <w:rPr>
                <w:rFonts w:eastAsia="Times New Roman" w:cs="Times New Roman"/>
                <w:color w:val="000000"/>
                <w:sz w:val="20"/>
                <w:szCs w:val="20"/>
                <w:lang w:eastAsia="ru-RU"/>
              </w:rPr>
              <w:t xml:space="preserve">29 837 334  </w:t>
            </w:r>
          </w:p>
        </w:tc>
      </w:tr>
    </w:tbl>
    <w:p w14:paraId="5FA10C9A" w14:textId="77777777" w:rsidR="000F0BA5" w:rsidRDefault="000F0BA5" w:rsidP="000F0BA5">
      <w:pPr>
        <w:ind w:firstLine="0"/>
        <w:rPr>
          <w:i/>
          <w:iCs/>
          <w:lang w:val="en-US" w:eastAsia="ru-RU"/>
        </w:rPr>
      </w:pPr>
      <w:r w:rsidRPr="00486520">
        <w:rPr>
          <w:i/>
          <w:iCs/>
          <w:lang w:eastAsia="ru-RU"/>
        </w:rPr>
        <w:t xml:space="preserve">Источник: </w:t>
      </w:r>
      <w:r w:rsidRPr="00486520">
        <w:rPr>
          <w:i/>
          <w:iCs/>
          <w:lang w:val="en-US" w:eastAsia="ru-RU"/>
        </w:rPr>
        <w:t>[</w:t>
      </w:r>
      <w:r w:rsidRPr="00486520">
        <w:rPr>
          <w:i/>
          <w:iCs/>
          <w:lang w:eastAsia="ru-RU"/>
        </w:rPr>
        <w:t>расчеты автора</w:t>
      </w:r>
      <w:r w:rsidRPr="00486520">
        <w:rPr>
          <w:i/>
          <w:iCs/>
          <w:lang w:val="en-US" w:eastAsia="ru-RU"/>
        </w:rPr>
        <w:t>]</w:t>
      </w:r>
    </w:p>
    <w:p w14:paraId="3A6F5F2E" w14:textId="5DA33C9A" w:rsidR="000F0BA5" w:rsidRDefault="000F0BA5" w:rsidP="004B4466">
      <w:pPr>
        <w:spacing w:line="240" w:lineRule="auto"/>
        <w:ind w:firstLine="0"/>
        <w:rPr>
          <w:i/>
          <w:iCs/>
          <w:lang w:val="en-US" w:eastAsia="ru-RU"/>
        </w:rPr>
      </w:pPr>
      <w:r>
        <w:rPr>
          <w:i/>
          <w:iCs/>
          <w:lang w:val="en-US" w:eastAsia="ru-RU"/>
        </w:rPr>
        <w:br w:type="page"/>
      </w:r>
    </w:p>
    <w:p w14:paraId="3CD6365B" w14:textId="1735A6D4" w:rsidR="00486520" w:rsidRPr="00761D1D" w:rsidRDefault="00486520" w:rsidP="00486520">
      <w:pPr>
        <w:jc w:val="right"/>
        <w:rPr>
          <w:b/>
          <w:bCs/>
          <w:lang w:eastAsia="ru-RU"/>
        </w:rPr>
      </w:pPr>
      <w:r w:rsidRPr="00486520">
        <w:rPr>
          <w:b/>
          <w:bCs/>
          <w:lang w:eastAsia="ru-RU"/>
        </w:rPr>
        <w:lastRenderedPageBreak/>
        <w:t xml:space="preserve">Приложение </w:t>
      </w:r>
      <w:r w:rsidR="000F0BA5">
        <w:rPr>
          <w:b/>
          <w:bCs/>
          <w:lang w:eastAsia="ru-RU"/>
        </w:rPr>
        <w:t>4</w:t>
      </w:r>
    </w:p>
    <w:p w14:paraId="34ABD46D" w14:textId="57F36859" w:rsidR="00486520" w:rsidRPr="00486520" w:rsidRDefault="00486520" w:rsidP="00486520">
      <w:pPr>
        <w:jc w:val="center"/>
        <w:rPr>
          <w:lang w:eastAsia="ru-RU"/>
        </w:rPr>
      </w:pPr>
      <w:r w:rsidRPr="00486520">
        <w:rPr>
          <w:lang w:eastAsia="ru-RU"/>
        </w:rPr>
        <w:t>Расчет ценности компании НКХП методом достигнутой стоимости</w:t>
      </w:r>
    </w:p>
    <w:tbl>
      <w:tblPr>
        <w:tblW w:w="8363" w:type="dxa"/>
        <w:jc w:val="center"/>
        <w:tblLook w:val="04A0" w:firstRow="1" w:lastRow="0" w:firstColumn="1" w:lastColumn="0" w:noHBand="0" w:noVBand="1"/>
      </w:tblPr>
      <w:tblGrid>
        <w:gridCol w:w="3402"/>
        <w:gridCol w:w="2410"/>
        <w:gridCol w:w="2551"/>
      </w:tblGrid>
      <w:tr w:rsidR="00486520" w:rsidRPr="00486520" w14:paraId="243795A2" w14:textId="77777777" w:rsidTr="008226C9">
        <w:trPr>
          <w:trHeight w:val="29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F024B" w14:textId="3762D756" w:rsidR="00486520" w:rsidRPr="00486520" w:rsidRDefault="00486520" w:rsidP="00486520">
            <w:pPr>
              <w:spacing w:after="0" w:line="240" w:lineRule="auto"/>
              <w:ind w:firstLine="0"/>
              <w:jc w:val="center"/>
              <w:rPr>
                <w:rFonts w:eastAsia="Times New Roman" w:cs="Times New Roman"/>
                <w:b/>
                <w:bCs/>
                <w:color w:val="000000"/>
                <w:sz w:val="22"/>
                <w:lang w:eastAsia="ru-RU"/>
              </w:rPr>
            </w:pPr>
            <w:r w:rsidRPr="00486520">
              <w:rPr>
                <w:rFonts w:eastAsia="Times New Roman" w:cs="Times New Roman"/>
                <w:b/>
                <w:bCs/>
                <w:color w:val="000000"/>
                <w:sz w:val="22"/>
                <w:lang w:eastAsia="ru-RU"/>
              </w:rPr>
              <w:t>Показатели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407EEE9" w14:textId="77777777" w:rsidR="00486520" w:rsidRPr="00486520" w:rsidRDefault="00486520" w:rsidP="006E09DA">
            <w:pPr>
              <w:spacing w:after="0" w:line="240" w:lineRule="auto"/>
              <w:ind w:firstLine="0"/>
              <w:jc w:val="center"/>
              <w:rPr>
                <w:rFonts w:eastAsia="Times New Roman" w:cs="Times New Roman"/>
                <w:b/>
                <w:bCs/>
                <w:color w:val="000000"/>
                <w:sz w:val="22"/>
                <w:lang w:eastAsia="ru-RU"/>
              </w:rPr>
            </w:pPr>
            <w:r w:rsidRPr="00486520">
              <w:rPr>
                <w:rFonts w:eastAsia="Times New Roman" w:cs="Times New Roman"/>
                <w:b/>
                <w:bCs/>
                <w:color w:val="000000"/>
                <w:sz w:val="22"/>
                <w:lang w:eastAsia="ru-RU"/>
              </w:rPr>
              <w:t>2018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651731" w14:textId="77777777" w:rsidR="00486520" w:rsidRPr="00486520" w:rsidRDefault="00486520" w:rsidP="006E09DA">
            <w:pPr>
              <w:spacing w:after="0" w:line="240" w:lineRule="auto"/>
              <w:ind w:firstLine="0"/>
              <w:jc w:val="center"/>
              <w:rPr>
                <w:rFonts w:eastAsia="Times New Roman" w:cs="Times New Roman"/>
                <w:b/>
                <w:bCs/>
                <w:color w:val="000000"/>
                <w:sz w:val="22"/>
                <w:lang w:eastAsia="ru-RU"/>
              </w:rPr>
            </w:pPr>
            <w:r w:rsidRPr="00486520">
              <w:rPr>
                <w:rFonts w:eastAsia="Times New Roman" w:cs="Times New Roman"/>
                <w:b/>
                <w:bCs/>
                <w:color w:val="000000"/>
                <w:sz w:val="22"/>
                <w:lang w:eastAsia="ru-RU"/>
              </w:rPr>
              <w:t>2019</w:t>
            </w:r>
          </w:p>
        </w:tc>
      </w:tr>
      <w:tr w:rsidR="00486520" w:rsidRPr="00486520" w14:paraId="6D2910DE"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037431BC" w14:textId="77777777" w:rsidR="00486520" w:rsidRPr="00486520" w:rsidRDefault="00486520" w:rsidP="00486520">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PAC (в конце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1BA4B086" w14:textId="77777777"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9 675 214,00</w:t>
            </w:r>
          </w:p>
        </w:tc>
        <w:tc>
          <w:tcPr>
            <w:tcW w:w="2551" w:type="dxa"/>
            <w:tcBorders>
              <w:top w:val="nil"/>
              <w:left w:val="nil"/>
              <w:bottom w:val="single" w:sz="4" w:space="0" w:color="auto"/>
              <w:right w:val="single" w:sz="4" w:space="0" w:color="auto"/>
            </w:tcBorders>
            <w:shd w:val="clear" w:color="auto" w:fill="auto"/>
            <w:noWrap/>
            <w:vAlign w:val="bottom"/>
            <w:hideMark/>
          </w:tcPr>
          <w:p w14:paraId="1814B323" w14:textId="77777777"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13 392 691,78</w:t>
            </w:r>
          </w:p>
        </w:tc>
      </w:tr>
      <w:tr w:rsidR="00486520" w:rsidRPr="00486520" w14:paraId="1CC12317"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5B78F59B" w14:textId="77777777" w:rsidR="00486520" w:rsidRPr="00486520" w:rsidRDefault="00486520" w:rsidP="00486520">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PAC (в начале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4A7316F2" w14:textId="77777777"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7 945 133</w:t>
            </w:r>
          </w:p>
        </w:tc>
        <w:tc>
          <w:tcPr>
            <w:tcW w:w="2551" w:type="dxa"/>
            <w:tcBorders>
              <w:top w:val="nil"/>
              <w:left w:val="nil"/>
              <w:bottom w:val="single" w:sz="4" w:space="0" w:color="auto"/>
              <w:right w:val="single" w:sz="4" w:space="0" w:color="auto"/>
            </w:tcBorders>
            <w:shd w:val="clear" w:color="auto" w:fill="auto"/>
            <w:noWrap/>
            <w:vAlign w:val="bottom"/>
            <w:hideMark/>
          </w:tcPr>
          <w:p w14:paraId="3C442160" w14:textId="77777777"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9 675 214</w:t>
            </w:r>
          </w:p>
        </w:tc>
      </w:tr>
      <w:tr w:rsidR="00486520" w:rsidRPr="00486520" w14:paraId="40EEFCAA"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86BDA36" w14:textId="77777777" w:rsidR="00486520" w:rsidRPr="00486520" w:rsidRDefault="00486520" w:rsidP="00486520">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PAC (средние)</w:t>
            </w:r>
          </w:p>
        </w:tc>
        <w:tc>
          <w:tcPr>
            <w:tcW w:w="2410" w:type="dxa"/>
            <w:tcBorders>
              <w:top w:val="nil"/>
              <w:left w:val="nil"/>
              <w:bottom w:val="single" w:sz="4" w:space="0" w:color="auto"/>
              <w:right w:val="single" w:sz="4" w:space="0" w:color="auto"/>
            </w:tcBorders>
            <w:shd w:val="clear" w:color="auto" w:fill="auto"/>
            <w:noWrap/>
            <w:vAlign w:val="bottom"/>
            <w:hideMark/>
          </w:tcPr>
          <w:p w14:paraId="1C9F0D94" w14:textId="77777777"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8 810 174</w:t>
            </w:r>
          </w:p>
        </w:tc>
        <w:tc>
          <w:tcPr>
            <w:tcW w:w="2551" w:type="dxa"/>
            <w:tcBorders>
              <w:top w:val="nil"/>
              <w:left w:val="nil"/>
              <w:bottom w:val="single" w:sz="4" w:space="0" w:color="auto"/>
              <w:right w:val="single" w:sz="4" w:space="0" w:color="auto"/>
            </w:tcBorders>
            <w:shd w:val="clear" w:color="auto" w:fill="auto"/>
            <w:noWrap/>
            <w:vAlign w:val="bottom"/>
            <w:hideMark/>
          </w:tcPr>
          <w:p w14:paraId="1CD8B6F1" w14:textId="77777777"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11 533 953</w:t>
            </w:r>
          </w:p>
        </w:tc>
      </w:tr>
      <w:tr w:rsidR="00486520" w:rsidRPr="00486520" w14:paraId="6A6CC75B"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FA670A8" w14:textId="77777777" w:rsidR="00486520" w:rsidRPr="00486520" w:rsidRDefault="00486520" w:rsidP="00486520">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NOPLAT</w:t>
            </w:r>
          </w:p>
        </w:tc>
        <w:tc>
          <w:tcPr>
            <w:tcW w:w="2410" w:type="dxa"/>
            <w:tcBorders>
              <w:top w:val="nil"/>
              <w:left w:val="nil"/>
              <w:bottom w:val="single" w:sz="4" w:space="0" w:color="auto"/>
              <w:right w:val="single" w:sz="4" w:space="0" w:color="auto"/>
            </w:tcBorders>
            <w:shd w:val="clear" w:color="auto" w:fill="auto"/>
            <w:noWrap/>
            <w:vAlign w:val="bottom"/>
            <w:hideMark/>
          </w:tcPr>
          <w:p w14:paraId="4F3CA20A" w14:textId="50BA3DF2"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3 656 953,58</w:t>
            </w:r>
          </w:p>
        </w:tc>
        <w:tc>
          <w:tcPr>
            <w:tcW w:w="2551" w:type="dxa"/>
            <w:tcBorders>
              <w:top w:val="nil"/>
              <w:left w:val="nil"/>
              <w:bottom w:val="single" w:sz="4" w:space="0" w:color="auto"/>
              <w:right w:val="single" w:sz="4" w:space="0" w:color="auto"/>
            </w:tcBorders>
            <w:shd w:val="clear" w:color="auto" w:fill="auto"/>
            <w:noWrap/>
            <w:vAlign w:val="bottom"/>
            <w:hideMark/>
          </w:tcPr>
          <w:p w14:paraId="64213EA2" w14:textId="13E74149"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3 724 462,88</w:t>
            </w:r>
          </w:p>
        </w:tc>
      </w:tr>
      <w:tr w:rsidR="00486520" w:rsidRPr="00486520" w14:paraId="4AA86915"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A28ED96" w14:textId="77777777" w:rsidR="00486520" w:rsidRPr="00486520" w:rsidRDefault="00486520" w:rsidP="00486520">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TAXES</w:t>
            </w:r>
          </w:p>
        </w:tc>
        <w:tc>
          <w:tcPr>
            <w:tcW w:w="2410" w:type="dxa"/>
            <w:tcBorders>
              <w:top w:val="nil"/>
              <w:left w:val="nil"/>
              <w:bottom w:val="single" w:sz="4" w:space="0" w:color="auto"/>
              <w:right w:val="single" w:sz="4" w:space="0" w:color="auto"/>
            </w:tcBorders>
            <w:shd w:val="clear" w:color="auto" w:fill="auto"/>
            <w:noWrap/>
            <w:vAlign w:val="bottom"/>
            <w:hideMark/>
          </w:tcPr>
          <w:p w14:paraId="3F2F732D" w14:textId="29C0553A"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0,19</w:t>
            </w:r>
          </w:p>
        </w:tc>
        <w:tc>
          <w:tcPr>
            <w:tcW w:w="2551" w:type="dxa"/>
            <w:tcBorders>
              <w:top w:val="nil"/>
              <w:left w:val="nil"/>
              <w:bottom w:val="single" w:sz="4" w:space="0" w:color="auto"/>
              <w:right w:val="single" w:sz="4" w:space="0" w:color="auto"/>
            </w:tcBorders>
            <w:shd w:val="clear" w:color="auto" w:fill="auto"/>
            <w:noWrap/>
            <w:vAlign w:val="bottom"/>
            <w:hideMark/>
          </w:tcPr>
          <w:p w14:paraId="1A625D77" w14:textId="52926564"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0,20</w:t>
            </w:r>
          </w:p>
        </w:tc>
      </w:tr>
      <w:tr w:rsidR="00486520" w:rsidRPr="00486520" w14:paraId="6AFBF02D"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1D81061" w14:textId="77777777" w:rsidR="00486520" w:rsidRPr="00486520" w:rsidRDefault="00486520" w:rsidP="00486520">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ROAA</w:t>
            </w:r>
          </w:p>
        </w:tc>
        <w:tc>
          <w:tcPr>
            <w:tcW w:w="2410" w:type="dxa"/>
            <w:tcBorders>
              <w:top w:val="nil"/>
              <w:left w:val="nil"/>
              <w:bottom w:val="single" w:sz="4" w:space="0" w:color="auto"/>
              <w:right w:val="single" w:sz="4" w:space="0" w:color="auto"/>
            </w:tcBorders>
            <w:shd w:val="clear" w:color="auto" w:fill="auto"/>
            <w:noWrap/>
            <w:vAlign w:val="bottom"/>
            <w:hideMark/>
          </w:tcPr>
          <w:p w14:paraId="68F9431C" w14:textId="55488691"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0,44</w:t>
            </w:r>
          </w:p>
        </w:tc>
        <w:tc>
          <w:tcPr>
            <w:tcW w:w="2551" w:type="dxa"/>
            <w:tcBorders>
              <w:top w:val="nil"/>
              <w:left w:val="nil"/>
              <w:bottom w:val="single" w:sz="4" w:space="0" w:color="auto"/>
              <w:right w:val="single" w:sz="4" w:space="0" w:color="auto"/>
            </w:tcBorders>
            <w:shd w:val="clear" w:color="auto" w:fill="auto"/>
            <w:noWrap/>
            <w:vAlign w:val="bottom"/>
            <w:hideMark/>
          </w:tcPr>
          <w:p w14:paraId="3D907C43" w14:textId="5A5F4F54" w:rsidR="00486520" w:rsidRPr="00486520" w:rsidRDefault="00486520" w:rsidP="006E09DA">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0,34</w:t>
            </w:r>
          </w:p>
        </w:tc>
      </w:tr>
      <w:tr w:rsidR="00486520" w:rsidRPr="00486520" w14:paraId="5E8CD066"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0DD77BC" w14:textId="28A92D03" w:rsidR="00486520" w:rsidRPr="00486520" w:rsidRDefault="00486520" w:rsidP="00486520">
            <w:pPr>
              <w:spacing w:after="0" w:line="240" w:lineRule="auto"/>
              <w:ind w:firstLine="0"/>
              <w:jc w:val="left"/>
              <w:rPr>
                <w:rFonts w:eastAsia="Times New Roman" w:cs="Times New Roman"/>
                <w:b/>
                <w:bCs/>
                <w:color w:val="000000"/>
                <w:sz w:val="22"/>
                <w:lang w:eastAsia="ru-RU"/>
              </w:rPr>
            </w:pPr>
            <w:r>
              <w:rPr>
                <w:rFonts w:eastAsia="Times New Roman" w:cs="Times New Roman"/>
                <w:b/>
                <w:bCs/>
                <w:color w:val="000000"/>
                <w:sz w:val="22"/>
                <w:lang w:eastAsia="ru-RU"/>
              </w:rPr>
              <w:t>Стоимость компании</w:t>
            </w:r>
            <w:r w:rsidRPr="00486520">
              <w:rPr>
                <w:rFonts w:eastAsia="Times New Roman" w:cs="Times New Roman"/>
                <w:b/>
                <w:bCs/>
                <w:color w:val="000000"/>
                <w:sz w:val="22"/>
                <w:lang w:eastAsia="ru-RU"/>
              </w:rPr>
              <w:t>, тыс.руб.</w:t>
            </w:r>
          </w:p>
        </w:tc>
        <w:tc>
          <w:tcPr>
            <w:tcW w:w="2410" w:type="dxa"/>
            <w:tcBorders>
              <w:top w:val="nil"/>
              <w:left w:val="nil"/>
              <w:bottom w:val="single" w:sz="4" w:space="0" w:color="auto"/>
              <w:right w:val="single" w:sz="4" w:space="0" w:color="auto"/>
            </w:tcBorders>
            <w:shd w:val="clear" w:color="auto" w:fill="auto"/>
            <w:noWrap/>
            <w:vAlign w:val="bottom"/>
            <w:hideMark/>
          </w:tcPr>
          <w:p w14:paraId="2B475F42" w14:textId="15731D83" w:rsidR="00486520" w:rsidRPr="00486520" w:rsidRDefault="00486520" w:rsidP="006E09DA">
            <w:pPr>
              <w:spacing w:after="0" w:line="240" w:lineRule="auto"/>
              <w:ind w:firstLine="0"/>
              <w:jc w:val="center"/>
              <w:rPr>
                <w:rFonts w:eastAsia="Times New Roman" w:cs="Times New Roman"/>
                <w:b/>
                <w:bCs/>
                <w:color w:val="000000"/>
                <w:sz w:val="22"/>
                <w:lang w:eastAsia="ru-RU"/>
              </w:rPr>
            </w:pPr>
            <w:r w:rsidRPr="00486520">
              <w:rPr>
                <w:rFonts w:eastAsia="Times New Roman" w:cs="Times New Roman"/>
                <w:b/>
                <w:bCs/>
                <w:color w:val="000000"/>
                <w:sz w:val="22"/>
                <w:lang w:eastAsia="ru-RU"/>
              </w:rPr>
              <w:t>32 451 289,49</w:t>
            </w:r>
          </w:p>
        </w:tc>
        <w:tc>
          <w:tcPr>
            <w:tcW w:w="2551" w:type="dxa"/>
            <w:tcBorders>
              <w:top w:val="nil"/>
              <w:left w:val="nil"/>
              <w:bottom w:val="single" w:sz="4" w:space="0" w:color="auto"/>
              <w:right w:val="single" w:sz="4" w:space="0" w:color="auto"/>
            </w:tcBorders>
            <w:shd w:val="clear" w:color="auto" w:fill="auto"/>
            <w:noWrap/>
            <w:vAlign w:val="bottom"/>
            <w:hideMark/>
          </w:tcPr>
          <w:p w14:paraId="6C1E3965" w14:textId="7C3FF5D1" w:rsidR="00486520" w:rsidRPr="00486520" w:rsidRDefault="00486520" w:rsidP="006E09DA">
            <w:pPr>
              <w:spacing w:after="0" w:line="240" w:lineRule="auto"/>
              <w:ind w:firstLine="0"/>
              <w:jc w:val="center"/>
              <w:rPr>
                <w:rFonts w:eastAsia="Times New Roman" w:cs="Times New Roman"/>
                <w:b/>
                <w:bCs/>
                <w:color w:val="000000"/>
                <w:sz w:val="22"/>
                <w:lang w:eastAsia="ru-RU"/>
              </w:rPr>
            </w:pPr>
            <w:r w:rsidRPr="00486520">
              <w:rPr>
                <w:rFonts w:eastAsia="Times New Roman" w:cs="Times New Roman"/>
                <w:b/>
                <w:bCs/>
                <w:color w:val="000000"/>
                <w:sz w:val="22"/>
                <w:lang w:eastAsia="ru-RU"/>
              </w:rPr>
              <w:t>31 516 891,79</w:t>
            </w:r>
          </w:p>
        </w:tc>
      </w:tr>
      <w:tr w:rsidR="00486520" w:rsidRPr="00486520" w14:paraId="4B306C53" w14:textId="77777777" w:rsidTr="008226C9">
        <w:trPr>
          <w:trHeight w:val="135"/>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5A0B4BB" w14:textId="260C05F5" w:rsidR="00486520" w:rsidRPr="00486520" w:rsidRDefault="00486520" w:rsidP="00486520">
            <w:pPr>
              <w:spacing w:after="0" w:line="240" w:lineRule="auto"/>
              <w:ind w:firstLine="0"/>
              <w:jc w:val="left"/>
              <w:rPr>
                <w:rFonts w:eastAsia="Times New Roman" w:cs="Times New Roman"/>
                <w:i/>
                <w:iCs/>
                <w:color w:val="000000"/>
                <w:sz w:val="22"/>
                <w:lang w:eastAsia="ru-RU"/>
              </w:rPr>
            </w:pPr>
            <m:oMathPara>
              <m:oMathParaPr>
                <m:jc m:val="left"/>
              </m:oMathParaPr>
              <m:oMath>
                <m:r>
                  <w:rPr>
                    <w:rFonts w:ascii="Cambria Math" w:eastAsiaTheme="minorEastAsia" w:hAnsi="Cambria Math" w:cs="Times New Roman"/>
                    <w:i/>
                    <w:iCs/>
                    <w:sz w:val="22"/>
                    <w:lang w:val="en-US"/>
                  </w:rPr>
                  <w:sym w:font="Symbol" w:char="F074"/>
                </m:r>
              </m:oMath>
            </m:oMathPara>
          </w:p>
        </w:tc>
        <w:tc>
          <w:tcPr>
            <w:tcW w:w="2410" w:type="dxa"/>
            <w:tcBorders>
              <w:top w:val="nil"/>
              <w:left w:val="nil"/>
              <w:bottom w:val="single" w:sz="4" w:space="0" w:color="auto"/>
              <w:right w:val="single" w:sz="4" w:space="0" w:color="auto"/>
            </w:tcBorders>
            <w:shd w:val="clear" w:color="auto" w:fill="auto"/>
            <w:noWrap/>
            <w:vAlign w:val="bottom"/>
            <w:hideMark/>
          </w:tcPr>
          <w:p w14:paraId="31426112" w14:textId="3CC63ADA" w:rsidR="00486520" w:rsidRPr="00486520" w:rsidRDefault="00486520" w:rsidP="006E09DA">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i/>
                <w:iCs/>
                <w:color w:val="000000"/>
                <w:sz w:val="22"/>
                <w:lang w:eastAsia="ru-RU"/>
              </w:rPr>
              <w:t>8,23</w:t>
            </w:r>
          </w:p>
        </w:tc>
        <w:tc>
          <w:tcPr>
            <w:tcW w:w="2551" w:type="dxa"/>
            <w:tcBorders>
              <w:top w:val="nil"/>
              <w:left w:val="nil"/>
              <w:bottom w:val="single" w:sz="4" w:space="0" w:color="auto"/>
              <w:right w:val="single" w:sz="4" w:space="0" w:color="auto"/>
            </w:tcBorders>
            <w:shd w:val="clear" w:color="auto" w:fill="auto"/>
            <w:noWrap/>
            <w:vAlign w:val="bottom"/>
            <w:hideMark/>
          </w:tcPr>
          <w:p w14:paraId="5A92C22F" w14:textId="1BCC94A4" w:rsidR="00486520" w:rsidRPr="00486520" w:rsidRDefault="00486520" w:rsidP="006E09DA">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i/>
                <w:iCs/>
                <w:color w:val="000000"/>
                <w:sz w:val="22"/>
                <w:lang w:eastAsia="ru-RU"/>
              </w:rPr>
              <w:t>8,21</w:t>
            </w:r>
          </w:p>
        </w:tc>
      </w:tr>
      <w:tr w:rsidR="00486520" w:rsidRPr="00486520" w14:paraId="5DB888C9"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BB89188" w14:textId="77777777" w:rsidR="00486520" w:rsidRPr="00486520" w:rsidRDefault="00486520" w:rsidP="00486520">
            <w:pPr>
              <w:spacing w:after="0" w:line="240" w:lineRule="auto"/>
              <w:ind w:firstLine="0"/>
              <w:jc w:val="left"/>
              <w:rPr>
                <w:rFonts w:eastAsia="Times New Roman" w:cs="Times New Roman"/>
                <w:i/>
                <w:iCs/>
                <w:color w:val="000000"/>
                <w:sz w:val="22"/>
                <w:lang w:eastAsia="ru-RU"/>
              </w:rPr>
            </w:pPr>
            <w:proofErr w:type="spellStart"/>
            <w:r w:rsidRPr="00486520">
              <w:rPr>
                <w:rFonts w:eastAsia="Times New Roman" w:cs="Times New Roman"/>
                <w:i/>
                <w:iCs/>
                <w:color w:val="000000"/>
                <w:sz w:val="22"/>
                <w:lang w:eastAsia="ru-RU"/>
              </w:rPr>
              <w:t>Ta</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2B3DF08" w14:textId="126F0A15" w:rsidR="00486520" w:rsidRPr="00486520" w:rsidRDefault="00486520" w:rsidP="006E09DA">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i/>
                <w:iCs/>
                <w:color w:val="000000"/>
                <w:sz w:val="22"/>
                <w:lang w:eastAsia="ru-RU"/>
              </w:rPr>
              <w:t>9,00</w:t>
            </w:r>
          </w:p>
        </w:tc>
        <w:tc>
          <w:tcPr>
            <w:tcW w:w="2551" w:type="dxa"/>
            <w:tcBorders>
              <w:top w:val="nil"/>
              <w:left w:val="nil"/>
              <w:bottom w:val="single" w:sz="4" w:space="0" w:color="auto"/>
              <w:right w:val="single" w:sz="4" w:space="0" w:color="auto"/>
            </w:tcBorders>
            <w:shd w:val="clear" w:color="auto" w:fill="auto"/>
            <w:noWrap/>
            <w:vAlign w:val="bottom"/>
            <w:hideMark/>
          </w:tcPr>
          <w:p w14:paraId="197FFA78" w14:textId="48E28B70" w:rsidR="00486520" w:rsidRPr="00486520" w:rsidRDefault="00486520" w:rsidP="006E09DA">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i/>
                <w:iCs/>
                <w:color w:val="000000"/>
                <w:sz w:val="22"/>
                <w:lang w:eastAsia="ru-RU"/>
              </w:rPr>
              <w:t>9,00</w:t>
            </w:r>
          </w:p>
        </w:tc>
      </w:tr>
      <w:tr w:rsidR="00486520" w:rsidRPr="00486520" w14:paraId="65DA9366" w14:textId="77777777" w:rsidTr="008226C9">
        <w:trPr>
          <w:trHeight w:val="23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B6473E5" w14:textId="77777777" w:rsidR="00486520" w:rsidRPr="00486520" w:rsidRDefault="00486520" w:rsidP="00486520">
            <w:pPr>
              <w:spacing w:after="0" w:line="240" w:lineRule="auto"/>
              <w:ind w:firstLine="0"/>
              <w:jc w:val="left"/>
              <w:rPr>
                <w:rFonts w:eastAsia="Times New Roman" w:cs="Times New Roman"/>
                <w:i/>
                <w:iCs/>
                <w:color w:val="000000"/>
                <w:sz w:val="22"/>
                <w:lang w:eastAsia="ru-RU"/>
              </w:rPr>
            </w:pPr>
            <w:proofErr w:type="spellStart"/>
            <w:r w:rsidRPr="00486520">
              <w:rPr>
                <w:rFonts w:eastAsia="Times New Roman" w:cs="Times New Roman"/>
                <w:i/>
                <w:iCs/>
                <w:color w:val="000000"/>
                <w:sz w:val="22"/>
                <w:lang w:eastAsia="ru-RU"/>
              </w:rPr>
              <w:t>Dcum</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7BEC8BF" w14:textId="360C304A" w:rsidR="00486520" w:rsidRPr="00486520" w:rsidRDefault="00486520" w:rsidP="006E09DA">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i/>
                <w:iCs/>
                <w:color w:val="000000"/>
                <w:sz w:val="22"/>
                <w:lang w:eastAsia="ru-RU"/>
              </w:rPr>
              <w:t>755 913,00</w:t>
            </w:r>
          </w:p>
        </w:tc>
        <w:tc>
          <w:tcPr>
            <w:tcW w:w="2551" w:type="dxa"/>
            <w:tcBorders>
              <w:top w:val="nil"/>
              <w:left w:val="nil"/>
              <w:bottom w:val="single" w:sz="4" w:space="0" w:color="auto"/>
              <w:right w:val="single" w:sz="4" w:space="0" w:color="auto"/>
            </w:tcBorders>
            <w:shd w:val="clear" w:color="auto" w:fill="auto"/>
            <w:noWrap/>
            <w:vAlign w:val="bottom"/>
            <w:hideMark/>
          </w:tcPr>
          <w:p w14:paraId="5D2815D6" w14:textId="0CA5503E" w:rsidR="00486520" w:rsidRPr="00486520" w:rsidRDefault="00486520" w:rsidP="006E09DA">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i/>
                <w:iCs/>
                <w:color w:val="000000"/>
                <w:sz w:val="22"/>
                <w:lang w:eastAsia="ru-RU"/>
              </w:rPr>
              <w:t>1 007 884,00</w:t>
            </w:r>
          </w:p>
        </w:tc>
      </w:tr>
      <w:tr w:rsidR="00486520" w:rsidRPr="00486520" w14:paraId="669D95EB"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D559609" w14:textId="77777777" w:rsidR="00486520" w:rsidRPr="00486520" w:rsidRDefault="00486520" w:rsidP="00486520">
            <w:pPr>
              <w:spacing w:after="0" w:line="240" w:lineRule="auto"/>
              <w:ind w:firstLine="0"/>
              <w:jc w:val="left"/>
              <w:rPr>
                <w:rFonts w:eastAsia="Times New Roman" w:cs="Times New Roman"/>
                <w:i/>
                <w:iCs/>
                <w:color w:val="000000"/>
                <w:sz w:val="22"/>
                <w:lang w:eastAsia="ru-RU"/>
              </w:rPr>
            </w:pPr>
            <w:r w:rsidRPr="00486520">
              <w:rPr>
                <w:rFonts w:eastAsia="Times New Roman" w:cs="Times New Roman"/>
                <w:i/>
                <w:iCs/>
                <w:color w:val="000000"/>
                <w:sz w:val="22"/>
                <w:lang w:eastAsia="ru-RU"/>
              </w:rPr>
              <w:t>q</w:t>
            </w:r>
          </w:p>
        </w:tc>
        <w:tc>
          <w:tcPr>
            <w:tcW w:w="2410" w:type="dxa"/>
            <w:tcBorders>
              <w:top w:val="nil"/>
              <w:left w:val="nil"/>
              <w:bottom w:val="single" w:sz="4" w:space="0" w:color="auto"/>
              <w:right w:val="single" w:sz="4" w:space="0" w:color="auto"/>
            </w:tcBorders>
            <w:shd w:val="clear" w:color="auto" w:fill="auto"/>
            <w:noWrap/>
            <w:vAlign w:val="bottom"/>
            <w:hideMark/>
          </w:tcPr>
          <w:p w14:paraId="276992EA" w14:textId="3D040755" w:rsidR="00486520" w:rsidRPr="00486520" w:rsidRDefault="00486520" w:rsidP="006E09DA">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i/>
                <w:iCs/>
                <w:color w:val="000000"/>
                <w:sz w:val="22"/>
                <w:lang w:eastAsia="ru-RU"/>
              </w:rPr>
              <w:t>0,39</w:t>
            </w:r>
          </w:p>
        </w:tc>
        <w:tc>
          <w:tcPr>
            <w:tcW w:w="2551" w:type="dxa"/>
            <w:tcBorders>
              <w:top w:val="nil"/>
              <w:left w:val="nil"/>
              <w:bottom w:val="single" w:sz="4" w:space="0" w:color="auto"/>
              <w:right w:val="single" w:sz="4" w:space="0" w:color="auto"/>
            </w:tcBorders>
            <w:shd w:val="clear" w:color="auto" w:fill="auto"/>
            <w:noWrap/>
            <w:vAlign w:val="bottom"/>
            <w:hideMark/>
          </w:tcPr>
          <w:p w14:paraId="1835E4F7" w14:textId="5E9A132E" w:rsidR="00486520" w:rsidRPr="00486520" w:rsidRDefault="00486520" w:rsidP="006E09DA">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i/>
                <w:iCs/>
                <w:color w:val="000000"/>
                <w:sz w:val="22"/>
                <w:lang w:eastAsia="ru-RU"/>
              </w:rPr>
              <w:t>0,38</w:t>
            </w:r>
          </w:p>
        </w:tc>
      </w:tr>
    </w:tbl>
    <w:p w14:paraId="0ADF1AF6" w14:textId="0EEC3284" w:rsidR="00F234A2" w:rsidRDefault="00486520" w:rsidP="008226C9">
      <w:pPr>
        <w:ind w:left="567" w:firstLine="0"/>
        <w:rPr>
          <w:i/>
          <w:iCs/>
          <w:lang w:val="en-US" w:eastAsia="ru-RU"/>
        </w:rPr>
      </w:pPr>
      <w:r w:rsidRPr="00486520">
        <w:rPr>
          <w:i/>
          <w:iCs/>
          <w:lang w:eastAsia="ru-RU"/>
        </w:rPr>
        <w:t xml:space="preserve">Источник: </w:t>
      </w:r>
      <w:r w:rsidRPr="00486520">
        <w:rPr>
          <w:i/>
          <w:iCs/>
          <w:lang w:val="en-US" w:eastAsia="ru-RU"/>
        </w:rPr>
        <w:t>[</w:t>
      </w:r>
      <w:r w:rsidRPr="00486520">
        <w:rPr>
          <w:i/>
          <w:iCs/>
          <w:lang w:eastAsia="ru-RU"/>
        </w:rPr>
        <w:t>расчеты автора</w:t>
      </w:r>
      <w:r w:rsidRPr="00486520">
        <w:rPr>
          <w:i/>
          <w:iCs/>
          <w:lang w:val="en-US" w:eastAsia="ru-RU"/>
        </w:rPr>
        <w:t>]</w:t>
      </w:r>
    </w:p>
    <w:p w14:paraId="165AA402" w14:textId="32FACA52" w:rsidR="00761D1D" w:rsidRDefault="00761D1D" w:rsidP="00486520">
      <w:pPr>
        <w:ind w:left="851" w:firstLine="0"/>
        <w:rPr>
          <w:i/>
          <w:iCs/>
          <w:lang w:val="en-US" w:eastAsia="ru-RU"/>
        </w:rPr>
      </w:pPr>
      <w:r>
        <w:rPr>
          <w:i/>
          <w:iCs/>
          <w:lang w:val="en-US" w:eastAsia="ru-RU"/>
        </w:rPr>
        <w:br w:type="page"/>
      </w:r>
    </w:p>
    <w:p w14:paraId="6EAE3F19" w14:textId="77777777" w:rsidR="000945C8" w:rsidRDefault="00761D1D" w:rsidP="000945C8">
      <w:pPr>
        <w:jc w:val="right"/>
        <w:rPr>
          <w:lang w:eastAsia="ru-RU"/>
        </w:rPr>
      </w:pPr>
      <w:r w:rsidRPr="008226C9">
        <w:rPr>
          <w:b/>
          <w:bCs/>
          <w:lang w:eastAsia="ru-RU"/>
        </w:rPr>
        <w:lastRenderedPageBreak/>
        <w:t xml:space="preserve">Приложение </w:t>
      </w:r>
      <w:r w:rsidR="000F0BA5">
        <w:rPr>
          <w:b/>
          <w:bCs/>
          <w:lang w:eastAsia="ru-RU"/>
        </w:rPr>
        <w:t>5</w:t>
      </w:r>
      <w:r w:rsidR="000945C8" w:rsidRPr="000945C8">
        <w:rPr>
          <w:lang w:eastAsia="ru-RU"/>
        </w:rPr>
        <w:t xml:space="preserve"> </w:t>
      </w:r>
    </w:p>
    <w:p w14:paraId="5A3072E5" w14:textId="5313ABEE" w:rsidR="00761D1D" w:rsidRDefault="000945C8" w:rsidP="000945C8">
      <w:pPr>
        <w:jc w:val="center"/>
        <w:rPr>
          <w:lang w:eastAsia="ru-RU"/>
        </w:rPr>
      </w:pPr>
      <w:r w:rsidRPr="00486520">
        <w:rPr>
          <w:lang w:eastAsia="ru-RU"/>
        </w:rPr>
        <w:t>Расчет ценности компании Н</w:t>
      </w:r>
      <w:r>
        <w:rPr>
          <w:lang w:eastAsia="ru-RU"/>
        </w:rPr>
        <w:t>оватэк</w:t>
      </w:r>
      <w:r w:rsidRPr="00486520">
        <w:rPr>
          <w:lang w:eastAsia="ru-RU"/>
        </w:rPr>
        <w:t xml:space="preserve"> методом достигнутой стоимости</w:t>
      </w:r>
    </w:p>
    <w:tbl>
      <w:tblPr>
        <w:tblW w:w="8363" w:type="dxa"/>
        <w:jc w:val="center"/>
        <w:tblLook w:val="04A0" w:firstRow="1" w:lastRow="0" w:firstColumn="1" w:lastColumn="0" w:noHBand="0" w:noVBand="1"/>
      </w:tblPr>
      <w:tblGrid>
        <w:gridCol w:w="3402"/>
        <w:gridCol w:w="2410"/>
        <w:gridCol w:w="2551"/>
      </w:tblGrid>
      <w:tr w:rsidR="000945C8" w:rsidRPr="00486520" w14:paraId="558566F6" w14:textId="77777777" w:rsidTr="008743E1">
        <w:trPr>
          <w:trHeight w:val="29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74B26" w14:textId="77777777" w:rsidR="000945C8" w:rsidRPr="00486520" w:rsidRDefault="000945C8" w:rsidP="008743E1">
            <w:pPr>
              <w:spacing w:after="0" w:line="240" w:lineRule="auto"/>
              <w:ind w:firstLine="0"/>
              <w:jc w:val="center"/>
              <w:rPr>
                <w:rFonts w:eastAsia="Times New Roman" w:cs="Times New Roman"/>
                <w:b/>
                <w:bCs/>
                <w:color w:val="000000"/>
                <w:sz w:val="22"/>
                <w:lang w:eastAsia="ru-RU"/>
              </w:rPr>
            </w:pPr>
            <w:r w:rsidRPr="00486520">
              <w:rPr>
                <w:rFonts w:eastAsia="Times New Roman" w:cs="Times New Roman"/>
                <w:b/>
                <w:bCs/>
                <w:color w:val="000000"/>
                <w:sz w:val="22"/>
                <w:lang w:eastAsia="ru-RU"/>
              </w:rPr>
              <w:t>Показатели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0FA9AFE" w14:textId="77777777" w:rsidR="000945C8" w:rsidRPr="00486520" w:rsidRDefault="000945C8" w:rsidP="008743E1">
            <w:pPr>
              <w:spacing w:after="0" w:line="240" w:lineRule="auto"/>
              <w:ind w:firstLine="0"/>
              <w:jc w:val="center"/>
              <w:rPr>
                <w:rFonts w:eastAsia="Times New Roman" w:cs="Times New Roman"/>
                <w:b/>
                <w:bCs/>
                <w:color w:val="000000"/>
                <w:sz w:val="22"/>
                <w:lang w:eastAsia="ru-RU"/>
              </w:rPr>
            </w:pPr>
            <w:r w:rsidRPr="00486520">
              <w:rPr>
                <w:rFonts w:eastAsia="Times New Roman" w:cs="Times New Roman"/>
                <w:b/>
                <w:bCs/>
                <w:color w:val="000000"/>
                <w:sz w:val="22"/>
                <w:lang w:eastAsia="ru-RU"/>
              </w:rPr>
              <w:t>2018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918BFDD" w14:textId="77777777" w:rsidR="000945C8" w:rsidRPr="00486520" w:rsidRDefault="000945C8" w:rsidP="008743E1">
            <w:pPr>
              <w:spacing w:after="0" w:line="240" w:lineRule="auto"/>
              <w:ind w:firstLine="0"/>
              <w:jc w:val="center"/>
              <w:rPr>
                <w:rFonts w:eastAsia="Times New Roman" w:cs="Times New Roman"/>
                <w:b/>
                <w:bCs/>
                <w:color w:val="000000"/>
                <w:sz w:val="22"/>
                <w:lang w:eastAsia="ru-RU"/>
              </w:rPr>
            </w:pPr>
            <w:r w:rsidRPr="00486520">
              <w:rPr>
                <w:rFonts w:eastAsia="Times New Roman" w:cs="Times New Roman"/>
                <w:b/>
                <w:bCs/>
                <w:color w:val="000000"/>
                <w:sz w:val="22"/>
                <w:lang w:eastAsia="ru-RU"/>
              </w:rPr>
              <w:t>2019</w:t>
            </w:r>
          </w:p>
        </w:tc>
      </w:tr>
      <w:tr w:rsidR="000945C8" w:rsidRPr="00486520" w14:paraId="25255FFF" w14:textId="77777777" w:rsidTr="008743E1">
        <w:trPr>
          <w:trHeight w:val="2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9CBD7DC" w14:textId="77777777" w:rsidR="000945C8" w:rsidRPr="00486520" w:rsidRDefault="000945C8" w:rsidP="000945C8">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PAC (в конце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1C2513BA" w14:textId="105C6580"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632 025,00</w:t>
            </w:r>
          </w:p>
        </w:tc>
        <w:tc>
          <w:tcPr>
            <w:tcW w:w="2551" w:type="dxa"/>
            <w:tcBorders>
              <w:top w:val="nil"/>
              <w:left w:val="nil"/>
              <w:bottom w:val="single" w:sz="4" w:space="0" w:color="auto"/>
              <w:right w:val="single" w:sz="4" w:space="0" w:color="auto"/>
            </w:tcBorders>
            <w:shd w:val="clear" w:color="auto" w:fill="auto"/>
            <w:noWrap/>
            <w:vAlign w:val="bottom"/>
            <w:hideMark/>
          </w:tcPr>
          <w:p w14:paraId="55728356" w14:textId="12256CCE"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1 078 516,00</w:t>
            </w:r>
          </w:p>
        </w:tc>
      </w:tr>
      <w:tr w:rsidR="000945C8" w:rsidRPr="00486520" w14:paraId="1BA82A84" w14:textId="77777777" w:rsidTr="008743E1">
        <w:trPr>
          <w:trHeight w:val="2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25E086BD" w14:textId="77777777" w:rsidR="000945C8" w:rsidRPr="00486520" w:rsidRDefault="000945C8" w:rsidP="000945C8">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PAC (в начале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319DD6FB" w14:textId="1D48FB79"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393 499</w:t>
            </w:r>
          </w:p>
        </w:tc>
        <w:tc>
          <w:tcPr>
            <w:tcW w:w="2551" w:type="dxa"/>
            <w:tcBorders>
              <w:top w:val="nil"/>
              <w:left w:val="nil"/>
              <w:bottom w:val="single" w:sz="4" w:space="0" w:color="auto"/>
              <w:right w:val="single" w:sz="4" w:space="0" w:color="auto"/>
            </w:tcBorders>
            <w:shd w:val="clear" w:color="auto" w:fill="auto"/>
            <w:noWrap/>
            <w:vAlign w:val="bottom"/>
            <w:hideMark/>
          </w:tcPr>
          <w:p w14:paraId="0F4D1841" w14:textId="654689C7"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445 728</w:t>
            </w:r>
          </w:p>
        </w:tc>
      </w:tr>
      <w:tr w:rsidR="000945C8" w:rsidRPr="00486520" w14:paraId="31761790" w14:textId="77777777" w:rsidTr="008743E1">
        <w:trPr>
          <w:trHeight w:val="2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1D73C693" w14:textId="77777777" w:rsidR="000945C8" w:rsidRPr="00486520" w:rsidRDefault="000945C8" w:rsidP="000945C8">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PAC (средние)</w:t>
            </w:r>
          </w:p>
        </w:tc>
        <w:tc>
          <w:tcPr>
            <w:tcW w:w="2410" w:type="dxa"/>
            <w:tcBorders>
              <w:top w:val="nil"/>
              <w:left w:val="nil"/>
              <w:bottom w:val="single" w:sz="4" w:space="0" w:color="auto"/>
              <w:right w:val="single" w:sz="4" w:space="0" w:color="auto"/>
            </w:tcBorders>
            <w:shd w:val="clear" w:color="auto" w:fill="auto"/>
            <w:noWrap/>
            <w:vAlign w:val="bottom"/>
            <w:hideMark/>
          </w:tcPr>
          <w:p w14:paraId="7D95A6DA" w14:textId="32872E94"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512 762</w:t>
            </w:r>
          </w:p>
        </w:tc>
        <w:tc>
          <w:tcPr>
            <w:tcW w:w="2551" w:type="dxa"/>
            <w:tcBorders>
              <w:top w:val="nil"/>
              <w:left w:val="nil"/>
              <w:bottom w:val="single" w:sz="4" w:space="0" w:color="auto"/>
              <w:right w:val="single" w:sz="4" w:space="0" w:color="auto"/>
            </w:tcBorders>
            <w:shd w:val="clear" w:color="auto" w:fill="auto"/>
            <w:noWrap/>
            <w:vAlign w:val="bottom"/>
            <w:hideMark/>
          </w:tcPr>
          <w:p w14:paraId="712EF4E6" w14:textId="1EA68B42"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762 122</w:t>
            </w:r>
          </w:p>
        </w:tc>
      </w:tr>
      <w:tr w:rsidR="000945C8" w:rsidRPr="00486520" w14:paraId="2049399F" w14:textId="77777777" w:rsidTr="008743E1">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A72BA78" w14:textId="77777777" w:rsidR="000945C8" w:rsidRPr="00486520" w:rsidRDefault="000945C8" w:rsidP="000945C8">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NOPLAT</w:t>
            </w:r>
          </w:p>
        </w:tc>
        <w:tc>
          <w:tcPr>
            <w:tcW w:w="2410" w:type="dxa"/>
            <w:tcBorders>
              <w:top w:val="nil"/>
              <w:left w:val="nil"/>
              <w:bottom w:val="single" w:sz="4" w:space="0" w:color="auto"/>
              <w:right w:val="single" w:sz="4" w:space="0" w:color="auto"/>
            </w:tcBorders>
            <w:shd w:val="clear" w:color="auto" w:fill="auto"/>
            <w:noWrap/>
            <w:vAlign w:val="bottom"/>
            <w:hideMark/>
          </w:tcPr>
          <w:p w14:paraId="3E684830" w14:textId="70F023CB"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152 134,22</w:t>
            </w:r>
          </w:p>
        </w:tc>
        <w:tc>
          <w:tcPr>
            <w:tcW w:w="2551" w:type="dxa"/>
            <w:tcBorders>
              <w:top w:val="nil"/>
              <w:left w:val="nil"/>
              <w:bottom w:val="single" w:sz="4" w:space="0" w:color="auto"/>
              <w:right w:val="single" w:sz="4" w:space="0" w:color="auto"/>
            </w:tcBorders>
            <w:shd w:val="clear" w:color="auto" w:fill="auto"/>
            <w:noWrap/>
            <w:vAlign w:val="bottom"/>
            <w:hideMark/>
          </w:tcPr>
          <w:p w14:paraId="41A634ED" w14:textId="085883B8"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157 265,61</w:t>
            </w:r>
          </w:p>
        </w:tc>
      </w:tr>
      <w:tr w:rsidR="000945C8" w:rsidRPr="00486520" w14:paraId="4BED51AD" w14:textId="77777777" w:rsidTr="008743E1">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4345437" w14:textId="77777777" w:rsidR="000945C8" w:rsidRPr="00486520" w:rsidRDefault="000945C8" w:rsidP="000945C8">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TAXES</w:t>
            </w:r>
          </w:p>
        </w:tc>
        <w:tc>
          <w:tcPr>
            <w:tcW w:w="2410" w:type="dxa"/>
            <w:tcBorders>
              <w:top w:val="nil"/>
              <w:left w:val="nil"/>
              <w:bottom w:val="single" w:sz="4" w:space="0" w:color="auto"/>
              <w:right w:val="single" w:sz="4" w:space="0" w:color="auto"/>
            </w:tcBorders>
            <w:shd w:val="clear" w:color="auto" w:fill="auto"/>
            <w:noWrap/>
            <w:vAlign w:val="bottom"/>
            <w:hideMark/>
          </w:tcPr>
          <w:p w14:paraId="568F9872" w14:textId="7E839E4C"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0,23</w:t>
            </w:r>
          </w:p>
        </w:tc>
        <w:tc>
          <w:tcPr>
            <w:tcW w:w="2551" w:type="dxa"/>
            <w:tcBorders>
              <w:top w:val="nil"/>
              <w:left w:val="nil"/>
              <w:bottom w:val="single" w:sz="4" w:space="0" w:color="auto"/>
              <w:right w:val="single" w:sz="4" w:space="0" w:color="auto"/>
            </w:tcBorders>
            <w:shd w:val="clear" w:color="auto" w:fill="auto"/>
            <w:noWrap/>
            <w:vAlign w:val="bottom"/>
            <w:hideMark/>
          </w:tcPr>
          <w:p w14:paraId="5DD83EC7" w14:textId="17F251D7"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color w:val="000000"/>
                <w:sz w:val="22"/>
                <w:lang w:eastAsia="ru-RU"/>
              </w:rPr>
              <w:t>0,23</w:t>
            </w:r>
          </w:p>
        </w:tc>
      </w:tr>
      <w:tr w:rsidR="000945C8" w:rsidRPr="00486520" w14:paraId="77E818E0" w14:textId="77777777" w:rsidTr="008743E1">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A633D93" w14:textId="77777777" w:rsidR="000945C8" w:rsidRPr="00486520" w:rsidRDefault="000945C8" w:rsidP="000945C8">
            <w:pPr>
              <w:spacing w:after="0" w:line="240" w:lineRule="auto"/>
              <w:ind w:firstLine="0"/>
              <w:jc w:val="left"/>
              <w:rPr>
                <w:rFonts w:eastAsia="Times New Roman" w:cs="Times New Roman"/>
                <w:color w:val="000000"/>
                <w:sz w:val="22"/>
                <w:lang w:eastAsia="ru-RU"/>
              </w:rPr>
            </w:pPr>
            <w:r w:rsidRPr="00486520">
              <w:rPr>
                <w:rFonts w:eastAsia="Times New Roman" w:cs="Times New Roman"/>
                <w:color w:val="000000"/>
                <w:sz w:val="22"/>
                <w:lang w:eastAsia="ru-RU"/>
              </w:rPr>
              <w:t>ROAA</w:t>
            </w:r>
          </w:p>
        </w:tc>
        <w:tc>
          <w:tcPr>
            <w:tcW w:w="2410" w:type="dxa"/>
            <w:tcBorders>
              <w:top w:val="nil"/>
              <w:left w:val="nil"/>
              <w:bottom w:val="single" w:sz="4" w:space="0" w:color="auto"/>
              <w:right w:val="single" w:sz="4" w:space="0" w:color="auto"/>
            </w:tcBorders>
            <w:shd w:val="clear" w:color="auto" w:fill="auto"/>
            <w:noWrap/>
            <w:vAlign w:val="bottom"/>
            <w:hideMark/>
          </w:tcPr>
          <w:p w14:paraId="7C3E2789" w14:textId="74F91F68"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i/>
                <w:iCs/>
                <w:color w:val="000000"/>
                <w:sz w:val="22"/>
                <w:lang w:eastAsia="ru-RU"/>
              </w:rPr>
              <w:t>0,36</w:t>
            </w:r>
          </w:p>
        </w:tc>
        <w:tc>
          <w:tcPr>
            <w:tcW w:w="2551" w:type="dxa"/>
            <w:tcBorders>
              <w:top w:val="nil"/>
              <w:left w:val="nil"/>
              <w:bottom w:val="single" w:sz="4" w:space="0" w:color="auto"/>
              <w:right w:val="single" w:sz="4" w:space="0" w:color="auto"/>
            </w:tcBorders>
            <w:shd w:val="clear" w:color="auto" w:fill="auto"/>
            <w:noWrap/>
            <w:vAlign w:val="bottom"/>
            <w:hideMark/>
          </w:tcPr>
          <w:p w14:paraId="777FABA0" w14:textId="4A61BB66" w:rsidR="000945C8" w:rsidRPr="00486520" w:rsidRDefault="000945C8" w:rsidP="000945C8">
            <w:pPr>
              <w:spacing w:after="0" w:line="240" w:lineRule="auto"/>
              <w:ind w:firstLine="0"/>
              <w:jc w:val="center"/>
              <w:rPr>
                <w:rFonts w:eastAsia="Times New Roman" w:cs="Times New Roman"/>
                <w:color w:val="000000"/>
                <w:sz w:val="22"/>
                <w:lang w:eastAsia="ru-RU"/>
              </w:rPr>
            </w:pPr>
            <w:r w:rsidRPr="00486520">
              <w:rPr>
                <w:rFonts w:eastAsia="Times New Roman" w:cs="Times New Roman"/>
                <w:i/>
                <w:iCs/>
                <w:color w:val="000000"/>
                <w:sz w:val="22"/>
                <w:lang w:eastAsia="ru-RU"/>
              </w:rPr>
              <w:t>0,25</w:t>
            </w:r>
          </w:p>
        </w:tc>
      </w:tr>
      <w:tr w:rsidR="000945C8" w:rsidRPr="00486520" w14:paraId="654F7627" w14:textId="77777777" w:rsidTr="008743E1">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E0F3E0A" w14:textId="77777777" w:rsidR="000945C8" w:rsidRPr="00486520" w:rsidRDefault="000945C8" w:rsidP="000945C8">
            <w:pPr>
              <w:spacing w:after="0" w:line="240" w:lineRule="auto"/>
              <w:ind w:firstLine="0"/>
              <w:jc w:val="left"/>
              <w:rPr>
                <w:rFonts w:eastAsia="Times New Roman" w:cs="Times New Roman"/>
                <w:b/>
                <w:bCs/>
                <w:color w:val="000000"/>
                <w:sz w:val="22"/>
                <w:lang w:eastAsia="ru-RU"/>
              </w:rPr>
            </w:pPr>
            <w:r>
              <w:rPr>
                <w:rFonts w:eastAsia="Times New Roman" w:cs="Times New Roman"/>
                <w:b/>
                <w:bCs/>
                <w:color w:val="000000"/>
                <w:sz w:val="22"/>
                <w:lang w:eastAsia="ru-RU"/>
              </w:rPr>
              <w:t>Стоимость компании</w:t>
            </w:r>
            <w:r w:rsidRPr="00486520">
              <w:rPr>
                <w:rFonts w:eastAsia="Times New Roman" w:cs="Times New Roman"/>
                <w:b/>
                <w:bCs/>
                <w:color w:val="000000"/>
                <w:sz w:val="22"/>
                <w:lang w:eastAsia="ru-RU"/>
              </w:rPr>
              <w:t>, тыс.руб.</w:t>
            </w:r>
          </w:p>
        </w:tc>
        <w:tc>
          <w:tcPr>
            <w:tcW w:w="2410" w:type="dxa"/>
            <w:tcBorders>
              <w:top w:val="nil"/>
              <w:left w:val="nil"/>
              <w:bottom w:val="single" w:sz="4" w:space="0" w:color="auto"/>
              <w:right w:val="single" w:sz="4" w:space="0" w:color="auto"/>
            </w:tcBorders>
            <w:shd w:val="clear" w:color="auto" w:fill="auto"/>
            <w:noWrap/>
            <w:vAlign w:val="bottom"/>
            <w:hideMark/>
          </w:tcPr>
          <w:p w14:paraId="49CBD86E" w14:textId="167FB543" w:rsidR="000945C8" w:rsidRPr="00486520" w:rsidRDefault="000945C8" w:rsidP="000945C8">
            <w:pPr>
              <w:spacing w:after="0" w:line="240" w:lineRule="auto"/>
              <w:ind w:firstLine="0"/>
              <w:jc w:val="center"/>
              <w:rPr>
                <w:rFonts w:eastAsia="Times New Roman" w:cs="Times New Roman"/>
                <w:b/>
                <w:bCs/>
                <w:color w:val="000000"/>
                <w:sz w:val="22"/>
                <w:lang w:eastAsia="ru-RU"/>
              </w:rPr>
            </w:pPr>
            <w:r w:rsidRPr="00486520">
              <w:rPr>
                <w:rFonts w:eastAsia="Times New Roman" w:cs="Times New Roman"/>
                <w:b/>
                <w:bCs/>
                <w:color w:val="000000"/>
                <w:sz w:val="22"/>
                <w:lang w:eastAsia="ru-RU"/>
              </w:rPr>
              <w:t>1 248 230,35</w:t>
            </w:r>
          </w:p>
        </w:tc>
        <w:tc>
          <w:tcPr>
            <w:tcW w:w="2551" w:type="dxa"/>
            <w:tcBorders>
              <w:top w:val="nil"/>
              <w:left w:val="nil"/>
              <w:bottom w:val="single" w:sz="4" w:space="0" w:color="auto"/>
              <w:right w:val="single" w:sz="4" w:space="0" w:color="auto"/>
            </w:tcBorders>
            <w:shd w:val="clear" w:color="auto" w:fill="auto"/>
            <w:noWrap/>
            <w:vAlign w:val="bottom"/>
            <w:hideMark/>
          </w:tcPr>
          <w:p w14:paraId="2C3AC2C9" w14:textId="369FB472" w:rsidR="000945C8" w:rsidRPr="00486520" w:rsidRDefault="000945C8" w:rsidP="000945C8">
            <w:pPr>
              <w:spacing w:after="0" w:line="240" w:lineRule="auto"/>
              <w:ind w:firstLine="0"/>
              <w:jc w:val="center"/>
              <w:rPr>
                <w:rFonts w:eastAsia="Times New Roman" w:cs="Times New Roman"/>
                <w:b/>
                <w:bCs/>
                <w:color w:val="000000"/>
                <w:sz w:val="22"/>
                <w:lang w:eastAsia="ru-RU"/>
              </w:rPr>
            </w:pPr>
            <w:r w:rsidRPr="00486520">
              <w:rPr>
                <w:rFonts w:eastAsia="Times New Roman" w:cs="Times New Roman"/>
                <w:b/>
                <w:bCs/>
                <w:color w:val="000000"/>
                <w:sz w:val="22"/>
                <w:lang w:eastAsia="ru-RU"/>
              </w:rPr>
              <w:t>1 259 896,60</w:t>
            </w:r>
          </w:p>
        </w:tc>
      </w:tr>
      <w:tr w:rsidR="000945C8" w:rsidRPr="00486520" w14:paraId="5A8C9C8B" w14:textId="77777777" w:rsidTr="008743E1">
        <w:trPr>
          <w:trHeight w:val="135"/>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474ADE8" w14:textId="77777777" w:rsidR="000945C8" w:rsidRPr="00486520" w:rsidRDefault="000945C8" w:rsidP="000945C8">
            <w:pPr>
              <w:spacing w:after="0" w:line="240" w:lineRule="auto"/>
              <w:ind w:firstLine="0"/>
              <w:jc w:val="left"/>
              <w:rPr>
                <w:rFonts w:eastAsia="Times New Roman" w:cs="Times New Roman"/>
                <w:i/>
                <w:iCs/>
                <w:color w:val="000000"/>
                <w:sz w:val="22"/>
                <w:lang w:eastAsia="ru-RU"/>
              </w:rPr>
            </w:pPr>
            <m:oMathPara>
              <m:oMathParaPr>
                <m:jc m:val="left"/>
              </m:oMathParaPr>
              <m:oMath>
                <m:r>
                  <w:rPr>
                    <w:rFonts w:ascii="Cambria Math" w:eastAsiaTheme="minorEastAsia" w:hAnsi="Cambria Math" w:cs="Times New Roman"/>
                    <w:i/>
                    <w:iCs/>
                    <w:sz w:val="22"/>
                    <w:lang w:val="en-US"/>
                  </w:rPr>
                  <w:sym w:font="Symbol" w:char="F074"/>
                </m:r>
              </m:oMath>
            </m:oMathPara>
          </w:p>
        </w:tc>
        <w:tc>
          <w:tcPr>
            <w:tcW w:w="2410" w:type="dxa"/>
            <w:tcBorders>
              <w:top w:val="nil"/>
              <w:left w:val="nil"/>
              <w:bottom w:val="single" w:sz="4" w:space="0" w:color="auto"/>
              <w:right w:val="single" w:sz="4" w:space="0" w:color="auto"/>
            </w:tcBorders>
            <w:shd w:val="clear" w:color="auto" w:fill="auto"/>
            <w:noWrap/>
            <w:vAlign w:val="bottom"/>
            <w:hideMark/>
          </w:tcPr>
          <w:p w14:paraId="7B405ACB" w14:textId="4FD60FEF" w:rsidR="000945C8" w:rsidRPr="00486520" w:rsidRDefault="000945C8" w:rsidP="000945C8">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color w:val="000000"/>
                <w:sz w:val="22"/>
                <w:lang w:eastAsia="ru-RU"/>
              </w:rPr>
              <w:t>8,01</w:t>
            </w:r>
          </w:p>
        </w:tc>
        <w:tc>
          <w:tcPr>
            <w:tcW w:w="2551" w:type="dxa"/>
            <w:tcBorders>
              <w:top w:val="nil"/>
              <w:left w:val="nil"/>
              <w:bottom w:val="single" w:sz="4" w:space="0" w:color="auto"/>
              <w:right w:val="single" w:sz="4" w:space="0" w:color="auto"/>
            </w:tcBorders>
            <w:shd w:val="clear" w:color="auto" w:fill="auto"/>
            <w:noWrap/>
            <w:vAlign w:val="bottom"/>
            <w:hideMark/>
          </w:tcPr>
          <w:p w14:paraId="6EE822D1" w14:textId="7EF4E80E" w:rsidR="000945C8" w:rsidRPr="00486520" w:rsidRDefault="000945C8" w:rsidP="000945C8">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color w:val="000000"/>
                <w:sz w:val="22"/>
                <w:lang w:eastAsia="ru-RU"/>
              </w:rPr>
              <w:t>8,24</w:t>
            </w:r>
          </w:p>
        </w:tc>
      </w:tr>
      <w:tr w:rsidR="000945C8" w:rsidRPr="00486520" w14:paraId="73AB7017" w14:textId="77777777" w:rsidTr="008743E1">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F5E5AA2" w14:textId="77777777" w:rsidR="000945C8" w:rsidRPr="00486520" w:rsidRDefault="000945C8" w:rsidP="000945C8">
            <w:pPr>
              <w:spacing w:after="0" w:line="240" w:lineRule="auto"/>
              <w:ind w:firstLine="0"/>
              <w:jc w:val="left"/>
              <w:rPr>
                <w:rFonts w:eastAsia="Times New Roman" w:cs="Times New Roman"/>
                <w:i/>
                <w:iCs/>
                <w:color w:val="000000"/>
                <w:sz w:val="22"/>
                <w:lang w:eastAsia="ru-RU"/>
              </w:rPr>
            </w:pPr>
            <w:proofErr w:type="spellStart"/>
            <w:r w:rsidRPr="00486520">
              <w:rPr>
                <w:rFonts w:eastAsia="Times New Roman" w:cs="Times New Roman"/>
                <w:i/>
                <w:iCs/>
                <w:color w:val="000000"/>
                <w:sz w:val="22"/>
                <w:lang w:eastAsia="ru-RU"/>
              </w:rPr>
              <w:t>Ta</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1C7E666" w14:textId="1FA7A3C0" w:rsidR="000945C8" w:rsidRPr="00486520" w:rsidRDefault="000945C8" w:rsidP="000945C8">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color w:val="000000"/>
                <w:sz w:val="22"/>
                <w:lang w:eastAsia="ru-RU"/>
              </w:rPr>
              <w:t>10,00</w:t>
            </w:r>
          </w:p>
        </w:tc>
        <w:tc>
          <w:tcPr>
            <w:tcW w:w="2551" w:type="dxa"/>
            <w:tcBorders>
              <w:top w:val="nil"/>
              <w:left w:val="nil"/>
              <w:bottom w:val="single" w:sz="4" w:space="0" w:color="auto"/>
              <w:right w:val="single" w:sz="4" w:space="0" w:color="auto"/>
            </w:tcBorders>
            <w:shd w:val="clear" w:color="auto" w:fill="auto"/>
            <w:noWrap/>
            <w:vAlign w:val="bottom"/>
            <w:hideMark/>
          </w:tcPr>
          <w:p w14:paraId="2CDE9FF6" w14:textId="43D91A40" w:rsidR="000945C8" w:rsidRPr="00486520" w:rsidRDefault="000945C8" w:rsidP="000945C8">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color w:val="000000"/>
                <w:sz w:val="22"/>
                <w:lang w:eastAsia="ru-RU"/>
              </w:rPr>
              <w:t>10,00</w:t>
            </w:r>
          </w:p>
        </w:tc>
      </w:tr>
      <w:tr w:rsidR="000945C8" w:rsidRPr="00486520" w14:paraId="56133E0B" w14:textId="77777777" w:rsidTr="008743E1">
        <w:trPr>
          <w:trHeight w:val="23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2F80663" w14:textId="77777777" w:rsidR="000945C8" w:rsidRPr="00486520" w:rsidRDefault="000945C8" w:rsidP="000945C8">
            <w:pPr>
              <w:spacing w:after="0" w:line="240" w:lineRule="auto"/>
              <w:ind w:firstLine="0"/>
              <w:jc w:val="left"/>
              <w:rPr>
                <w:rFonts w:eastAsia="Times New Roman" w:cs="Times New Roman"/>
                <w:i/>
                <w:iCs/>
                <w:color w:val="000000"/>
                <w:sz w:val="22"/>
                <w:lang w:eastAsia="ru-RU"/>
              </w:rPr>
            </w:pPr>
            <w:proofErr w:type="spellStart"/>
            <w:r w:rsidRPr="00486520">
              <w:rPr>
                <w:rFonts w:eastAsia="Times New Roman" w:cs="Times New Roman"/>
                <w:i/>
                <w:iCs/>
                <w:color w:val="000000"/>
                <w:sz w:val="22"/>
                <w:lang w:eastAsia="ru-RU"/>
              </w:rPr>
              <w:t>Dcum</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019CA52" w14:textId="5CD30A13" w:rsidR="000945C8" w:rsidRPr="00486520" w:rsidRDefault="000945C8" w:rsidP="000945C8">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color w:val="000000"/>
                <w:sz w:val="22"/>
                <w:lang w:eastAsia="ru-RU"/>
              </w:rPr>
              <w:t>102 230,00</w:t>
            </w:r>
          </w:p>
        </w:tc>
        <w:tc>
          <w:tcPr>
            <w:tcW w:w="2551" w:type="dxa"/>
            <w:tcBorders>
              <w:top w:val="nil"/>
              <w:left w:val="nil"/>
              <w:bottom w:val="single" w:sz="4" w:space="0" w:color="auto"/>
              <w:right w:val="single" w:sz="4" w:space="0" w:color="auto"/>
            </w:tcBorders>
            <w:shd w:val="clear" w:color="auto" w:fill="auto"/>
            <w:noWrap/>
            <w:vAlign w:val="bottom"/>
            <w:hideMark/>
          </w:tcPr>
          <w:p w14:paraId="08739B23" w14:textId="3903EDC8" w:rsidR="000945C8" w:rsidRPr="00486520" w:rsidRDefault="000945C8" w:rsidP="000945C8">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color w:val="000000"/>
                <w:sz w:val="22"/>
                <w:lang w:eastAsia="ru-RU"/>
              </w:rPr>
              <w:t>134 460,00</w:t>
            </w:r>
          </w:p>
        </w:tc>
      </w:tr>
      <w:tr w:rsidR="000945C8" w:rsidRPr="00486520" w14:paraId="6583E934" w14:textId="77777777" w:rsidTr="008743E1">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B400BE8" w14:textId="77777777" w:rsidR="000945C8" w:rsidRPr="00486520" w:rsidRDefault="000945C8" w:rsidP="000945C8">
            <w:pPr>
              <w:spacing w:after="0" w:line="240" w:lineRule="auto"/>
              <w:ind w:firstLine="0"/>
              <w:jc w:val="left"/>
              <w:rPr>
                <w:rFonts w:eastAsia="Times New Roman" w:cs="Times New Roman"/>
                <w:i/>
                <w:iCs/>
                <w:color w:val="000000"/>
                <w:sz w:val="22"/>
                <w:lang w:eastAsia="ru-RU"/>
              </w:rPr>
            </w:pPr>
            <w:r w:rsidRPr="00486520">
              <w:rPr>
                <w:rFonts w:eastAsia="Times New Roman" w:cs="Times New Roman"/>
                <w:i/>
                <w:iCs/>
                <w:color w:val="000000"/>
                <w:sz w:val="22"/>
                <w:lang w:eastAsia="ru-RU"/>
              </w:rPr>
              <w:t>q</w:t>
            </w:r>
          </w:p>
        </w:tc>
        <w:tc>
          <w:tcPr>
            <w:tcW w:w="2410" w:type="dxa"/>
            <w:tcBorders>
              <w:top w:val="nil"/>
              <w:left w:val="nil"/>
              <w:bottom w:val="single" w:sz="4" w:space="0" w:color="auto"/>
              <w:right w:val="single" w:sz="4" w:space="0" w:color="auto"/>
            </w:tcBorders>
            <w:shd w:val="clear" w:color="auto" w:fill="auto"/>
            <w:noWrap/>
            <w:vAlign w:val="bottom"/>
            <w:hideMark/>
          </w:tcPr>
          <w:p w14:paraId="231589F1" w14:textId="6EECDA30" w:rsidR="000945C8" w:rsidRPr="00486520" w:rsidRDefault="000945C8" w:rsidP="000945C8">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color w:val="000000"/>
                <w:sz w:val="22"/>
                <w:lang w:eastAsia="ru-RU"/>
              </w:rPr>
              <w:t>0,25</w:t>
            </w:r>
          </w:p>
        </w:tc>
        <w:tc>
          <w:tcPr>
            <w:tcW w:w="2551" w:type="dxa"/>
            <w:tcBorders>
              <w:top w:val="nil"/>
              <w:left w:val="nil"/>
              <w:bottom w:val="single" w:sz="4" w:space="0" w:color="auto"/>
              <w:right w:val="single" w:sz="4" w:space="0" w:color="auto"/>
            </w:tcBorders>
            <w:shd w:val="clear" w:color="auto" w:fill="auto"/>
            <w:noWrap/>
            <w:vAlign w:val="bottom"/>
            <w:hideMark/>
          </w:tcPr>
          <w:p w14:paraId="0C59A10B" w14:textId="4F6A1585" w:rsidR="000945C8" w:rsidRPr="00486520" w:rsidRDefault="000945C8" w:rsidP="000945C8">
            <w:pPr>
              <w:spacing w:after="0" w:line="240" w:lineRule="auto"/>
              <w:ind w:firstLine="0"/>
              <w:jc w:val="center"/>
              <w:rPr>
                <w:rFonts w:eastAsia="Times New Roman" w:cs="Times New Roman"/>
                <w:i/>
                <w:iCs/>
                <w:color w:val="000000"/>
                <w:sz w:val="22"/>
                <w:lang w:eastAsia="ru-RU"/>
              </w:rPr>
            </w:pPr>
            <w:r w:rsidRPr="00486520">
              <w:rPr>
                <w:rFonts w:eastAsia="Times New Roman" w:cs="Times New Roman"/>
                <w:color w:val="000000"/>
                <w:sz w:val="22"/>
                <w:lang w:eastAsia="ru-RU"/>
              </w:rPr>
              <w:t>0,23</w:t>
            </w:r>
          </w:p>
        </w:tc>
      </w:tr>
    </w:tbl>
    <w:p w14:paraId="17D497AA" w14:textId="27BEE00B" w:rsidR="006E09DA" w:rsidRPr="003558C3" w:rsidRDefault="006E09DA" w:rsidP="000945C8">
      <w:pPr>
        <w:ind w:left="426" w:firstLine="0"/>
        <w:rPr>
          <w:i/>
          <w:iCs/>
          <w:lang w:eastAsia="ru-RU"/>
        </w:rPr>
      </w:pPr>
      <w:r w:rsidRPr="00486520">
        <w:rPr>
          <w:i/>
          <w:iCs/>
          <w:lang w:eastAsia="ru-RU"/>
        </w:rPr>
        <w:t xml:space="preserve">Источник: </w:t>
      </w:r>
      <w:r w:rsidRPr="003558C3">
        <w:rPr>
          <w:i/>
          <w:iCs/>
          <w:lang w:eastAsia="ru-RU"/>
        </w:rPr>
        <w:t>[</w:t>
      </w:r>
      <w:r w:rsidRPr="00486520">
        <w:rPr>
          <w:i/>
          <w:iCs/>
          <w:lang w:eastAsia="ru-RU"/>
        </w:rPr>
        <w:t>расчеты автора</w:t>
      </w:r>
      <w:r w:rsidRPr="003558C3">
        <w:rPr>
          <w:i/>
          <w:iCs/>
          <w:lang w:eastAsia="ru-RU"/>
        </w:rPr>
        <w:t>]</w:t>
      </w:r>
    </w:p>
    <w:p w14:paraId="60A5DB7D" w14:textId="61084C3D" w:rsidR="008226C9" w:rsidRPr="003558C3" w:rsidRDefault="008226C9" w:rsidP="006E09DA">
      <w:pPr>
        <w:ind w:left="851" w:firstLine="0"/>
        <w:rPr>
          <w:i/>
          <w:iCs/>
          <w:lang w:eastAsia="ru-RU"/>
        </w:rPr>
      </w:pPr>
      <w:r w:rsidRPr="003558C3">
        <w:rPr>
          <w:i/>
          <w:iCs/>
          <w:lang w:eastAsia="ru-RU"/>
        </w:rPr>
        <w:br w:type="page"/>
      </w:r>
    </w:p>
    <w:p w14:paraId="16619F06" w14:textId="7D862E83" w:rsidR="008226C9" w:rsidRPr="008226C9" w:rsidRDefault="008226C9" w:rsidP="008226C9">
      <w:pPr>
        <w:ind w:left="851" w:firstLine="0"/>
        <w:jc w:val="right"/>
        <w:rPr>
          <w:b/>
          <w:bCs/>
          <w:lang w:eastAsia="ru-RU"/>
        </w:rPr>
      </w:pPr>
      <w:r w:rsidRPr="008226C9">
        <w:rPr>
          <w:b/>
          <w:bCs/>
          <w:lang w:eastAsia="ru-RU"/>
        </w:rPr>
        <w:lastRenderedPageBreak/>
        <w:t xml:space="preserve">Приложение </w:t>
      </w:r>
      <w:r w:rsidR="000F0BA5">
        <w:rPr>
          <w:b/>
          <w:bCs/>
          <w:lang w:eastAsia="ru-RU"/>
        </w:rPr>
        <w:t>6</w:t>
      </w:r>
    </w:p>
    <w:p w14:paraId="2DF937DA" w14:textId="7F9555B1" w:rsidR="006E09DA" w:rsidRPr="006E09DA" w:rsidRDefault="006E09DA" w:rsidP="006E09DA">
      <w:pPr>
        <w:jc w:val="center"/>
        <w:rPr>
          <w:lang w:eastAsia="ru-RU"/>
        </w:rPr>
      </w:pPr>
      <w:r w:rsidRPr="00486520">
        <w:rPr>
          <w:lang w:eastAsia="ru-RU"/>
        </w:rPr>
        <w:t xml:space="preserve">Расчет ценности компании </w:t>
      </w:r>
      <w:r>
        <w:rPr>
          <w:lang w:eastAsia="ru-RU"/>
        </w:rPr>
        <w:t>Алроса</w:t>
      </w:r>
      <w:r w:rsidRPr="00486520">
        <w:rPr>
          <w:lang w:eastAsia="ru-RU"/>
        </w:rPr>
        <w:t xml:space="preserve"> методом достигнутой стоимости</w:t>
      </w:r>
    </w:p>
    <w:tbl>
      <w:tblPr>
        <w:tblW w:w="8363" w:type="dxa"/>
        <w:jc w:val="center"/>
        <w:tblLook w:val="04A0" w:firstRow="1" w:lastRow="0" w:firstColumn="1" w:lastColumn="0" w:noHBand="0" w:noVBand="1"/>
      </w:tblPr>
      <w:tblGrid>
        <w:gridCol w:w="3402"/>
        <w:gridCol w:w="2410"/>
        <w:gridCol w:w="2551"/>
      </w:tblGrid>
      <w:tr w:rsidR="006E09DA" w:rsidRPr="006E09DA" w14:paraId="23A0250E" w14:textId="77777777" w:rsidTr="008226C9">
        <w:trPr>
          <w:trHeight w:val="29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E7C1" w14:textId="18F1221A" w:rsidR="006E09DA" w:rsidRPr="006E09DA" w:rsidRDefault="006E09DA" w:rsidP="006E09DA">
            <w:pPr>
              <w:spacing w:after="0" w:line="240" w:lineRule="auto"/>
              <w:ind w:firstLine="0"/>
              <w:jc w:val="center"/>
              <w:rPr>
                <w:rFonts w:eastAsia="Times New Roman" w:cs="Times New Roman"/>
                <w:b/>
                <w:bCs/>
                <w:color w:val="000000"/>
                <w:sz w:val="22"/>
                <w:lang w:eastAsia="ru-RU"/>
              </w:rPr>
            </w:pPr>
            <w:r>
              <w:rPr>
                <w:rFonts w:eastAsia="Times New Roman" w:cs="Times New Roman"/>
                <w:b/>
                <w:bCs/>
                <w:color w:val="000000"/>
                <w:sz w:val="22"/>
                <w:lang w:eastAsia="ru-RU"/>
              </w:rPr>
              <w:t>Показатели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E14C0FE" w14:textId="77777777"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2018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D3C76A3" w14:textId="77777777"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2019</w:t>
            </w:r>
          </w:p>
        </w:tc>
      </w:tr>
      <w:tr w:rsidR="006E09DA" w:rsidRPr="006E09DA" w14:paraId="1DBB3121" w14:textId="77777777" w:rsidTr="008226C9">
        <w:trPr>
          <w:trHeight w:val="24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51BA5BC2"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(в конце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755EFADD"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330 988,00</w:t>
            </w:r>
          </w:p>
        </w:tc>
        <w:tc>
          <w:tcPr>
            <w:tcW w:w="2551" w:type="dxa"/>
            <w:tcBorders>
              <w:top w:val="nil"/>
              <w:left w:val="nil"/>
              <w:bottom w:val="single" w:sz="4" w:space="0" w:color="auto"/>
              <w:right w:val="single" w:sz="4" w:space="0" w:color="auto"/>
            </w:tcBorders>
            <w:shd w:val="clear" w:color="auto" w:fill="auto"/>
            <w:noWrap/>
            <w:vAlign w:val="bottom"/>
            <w:hideMark/>
          </w:tcPr>
          <w:p w14:paraId="57CAE4DF"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351 596,00</w:t>
            </w:r>
          </w:p>
        </w:tc>
      </w:tr>
      <w:tr w:rsidR="006E09DA" w:rsidRPr="006E09DA" w14:paraId="1C10C676" w14:textId="77777777" w:rsidTr="008226C9">
        <w:trPr>
          <w:trHeight w:val="116"/>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0EB6864"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(в начале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1210BD0A"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341 064,00</w:t>
            </w:r>
          </w:p>
        </w:tc>
        <w:tc>
          <w:tcPr>
            <w:tcW w:w="2551" w:type="dxa"/>
            <w:tcBorders>
              <w:top w:val="nil"/>
              <w:left w:val="nil"/>
              <w:bottom w:val="single" w:sz="4" w:space="0" w:color="auto"/>
              <w:right w:val="single" w:sz="4" w:space="0" w:color="auto"/>
            </w:tcBorders>
            <w:shd w:val="clear" w:color="auto" w:fill="auto"/>
            <w:noWrap/>
            <w:vAlign w:val="bottom"/>
            <w:hideMark/>
          </w:tcPr>
          <w:p w14:paraId="2730F416"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330 988,00</w:t>
            </w:r>
          </w:p>
        </w:tc>
      </w:tr>
      <w:tr w:rsidR="006E09DA" w:rsidRPr="006E09DA" w14:paraId="3E17ECFD" w14:textId="77777777" w:rsidTr="008226C9">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A9A67DF"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(средние)</w:t>
            </w:r>
          </w:p>
        </w:tc>
        <w:tc>
          <w:tcPr>
            <w:tcW w:w="2410" w:type="dxa"/>
            <w:tcBorders>
              <w:top w:val="nil"/>
              <w:left w:val="nil"/>
              <w:bottom w:val="single" w:sz="4" w:space="0" w:color="auto"/>
              <w:right w:val="single" w:sz="4" w:space="0" w:color="auto"/>
            </w:tcBorders>
            <w:shd w:val="clear" w:color="auto" w:fill="auto"/>
            <w:noWrap/>
            <w:vAlign w:val="bottom"/>
            <w:hideMark/>
          </w:tcPr>
          <w:p w14:paraId="208FA909"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336 026</w:t>
            </w:r>
          </w:p>
        </w:tc>
        <w:tc>
          <w:tcPr>
            <w:tcW w:w="2551" w:type="dxa"/>
            <w:tcBorders>
              <w:top w:val="nil"/>
              <w:left w:val="nil"/>
              <w:bottom w:val="single" w:sz="4" w:space="0" w:color="auto"/>
              <w:right w:val="single" w:sz="4" w:space="0" w:color="auto"/>
            </w:tcBorders>
            <w:shd w:val="clear" w:color="auto" w:fill="auto"/>
            <w:noWrap/>
            <w:vAlign w:val="bottom"/>
            <w:hideMark/>
          </w:tcPr>
          <w:p w14:paraId="42547BA3"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341 292</w:t>
            </w:r>
          </w:p>
        </w:tc>
      </w:tr>
      <w:tr w:rsidR="006E09DA" w:rsidRPr="006E09DA" w14:paraId="6C9E067B" w14:textId="77777777" w:rsidTr="008226C9">
        <w:trPr>
          <w:trHeight w:val="53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6EB7868"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(подверженных амортизации в конце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0277071A"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234 873,00</w:t>
            </w:r>
          </w:p>
        </w:tc>
        <w:tc>
          <w:tcPr>
            <w:tcW w:w="2551" w:type="dxa"/>
            <w:tcBorders>
              <w:top w:val="nil"/>
              <w:left w:val="nil"/>
              <w:bottom w:val="single" w:sz="4" w:space="0" w:color="auto"/>
              <w:right w:val="single" w:sz="4" w:space="0" w:color="auto"/>
            </w:tcBorders>
            <w:shd w:val="clear" w:color="auto" w:fill="auto"/>
            <w:noWrap/>
            <w:vAlign w:val="bottom"/>
            <w:hideMark/>
          </w:tcPr>
          <w:p w14:paraId="2B581157"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226 261,00</w:t>
            </w:r>
          </w:p>
        </w:tc>
      </w:tr>
      <w:tr w:rsidR="006E09DA" w:rsidRPr="006E09DA" w14:paraId="6031E3F0" w14:textId="77777777" w:rsidTr="008226C9">
        <w:trPr>
          <w:trHeight w:val="41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056B7F4B"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(подверженных амортизации в начале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07FF1539"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236 589,00</w:t>
            </w:r>
          </w:p>
        </w:tc>
        <w:tc>
          <w:tcPr>
            <w:tcW w:w="2551" w:type="dxa"/>
            <w:tcBorders>
              <w:top w:val="nil"/>
              <w:left w:val="nil"/>
              <w:bottom w:val="single" w:sz="4" w:space="0" w:color="auto"/>
              <w:right w:val="single" w:sz="4" w:space="0" w:color="auto"/>
            </w:tcBorders>
            <w:shd w:val="clear" w:color="auto" w:fill="auto"/>
            <w:noWrap/>
            <w:vAlign w:val="bottom"/>
            <w:hideMark/>
          </w:tcPr>
          <w:p w14:paraId="5FDDEF4A"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234 873,00</w:t>
            </w:r>
          </w:p>
        </w:tc>
      </w:tr>
      <w:tr w:rsidR="006E09DA" w:rsidRPr="006E09DA" w14:paraId="7C812858" w14:textId="77777777" w:rsidTr="008226C9">
        <w:trPr>
          <w:trHeight w:val="4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5026A44"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РАС (подверженных амортизации средние)</w:t>
            </w:r>
          </w:p>
        </w:tc>
        <w:tc>
          <w:tcPr>
            <w:tcW w:w="2410" w:type="dxa"/>
            <w:tcBorders>
              <w:top w:val="nil"/>
              <w:left w:val="nil"/>
              <w:bottom w:val="single" w:sz="4" w:space="0" w:color="auto"/>
              <w:right w:val="single" w:sz="4" w:space="0" w:color="auto"/>
            </w:tcBorders>
            <w:shd w:val="clear" w:color="auto" w:fill="auto"/>
            <w:noWrap/>
            <w:vAlign w:val="bottom"/>
            <w:hideMark/>
          </w:tcPr>
          <w:p w14:paraId="78B3AB1C"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235 731,00</w:t>
            </w:r>
          </w:p>
        </w:tc>
        <w:tc>
          <w:tcPr>
            <w:tcW w:w="2551" w:type="dxa"/>
            <w:tcBorders>
              <w:top w:val="nil"/>
              <w:left w:val="nil"/>
              <w:bottom w:val="single" w:sz="4" w:space="0" w:color="auto"/>
              <w:right w:val="single" w:sz="4" w:space="0" w:color="auto"/>
            </w:tcBorders>
            <w:shd w:val="clear" w:color="auto" w:fill="auto"/>
            <w:noWrap/>
            <w:vAlign w:val="bottom"/>
            <w:hideMark/>
          </w:tcPr>
          <w:p w14:paraId="1FB84D7B"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230 567,00</w:t>
            </w:r>
          </w:p>
        </w:tc>
      </w:tr>
      <w:tr w:rsidR="006E09DA" w:rsidRPr="006E09DA" w14:paraId="7469F5E5" w14:textId="77777777" w:rsidTr="008226C9">
        <w:trPr>
          <w:trHeight w:val="232"/>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1F5AECF"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NOPLAT</w:t>
            </w:r>
          </w:p>
        </w:tc>
        <w:tc>
          <w:tcPr>
            <w:tcW w:w="2410" w:type="dxa"/>
            <w:tcBorders>
              <w:top w:val="nil"/>
              <w:left w:val="nil"/>
              <w:bottom w:val="single" w:sz="4" w:space="0" w:color="auto"/>
              <w:right w:val="single" w:sz="4" w:space="0" w:color="auto"/>
            </w:tcBorders>
            <w:shd w:val="clear" w:color="auto" w:fill="auto"/>
            <w:noWrap/>
            <w:vAlign w:val="bottom"/>
            <w:hideMark/>
          </w:tcPr>
          <w:p w14:paraId="493FF1F9" w14:textId="32976899"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100 250,38</w:t>
            </w:r>
          </w:p>
        </w:tc>
        <w:tc>
          <w:tcPr>
            <w:tcW w:w="2551" w:type="dxa"/>
            <w:tcBorders>
              <w:top w:val="nil"/>
              <w:left w:val="nil"/>
              <w:bottom w:val="single" w:sz="4" w:space="0" w:color="auto"/>
              <w:right w:val="single" w:sz="4" w:space="0" w:color="auto"/>
            </w:tcBorders>
            <w:shd w:val="clear" w:color="auto" w:fill="auto"/>
            <w:noWrap/>
            <w:vAlign w:val="bottom"/>
            <w:hideMark/>
          </w:tcPr>
          <w:p w14:paraId="3532AED5" w14:textId="75947318"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57 868,30</w:t>
            </w:r>
          </w:p>
        </w:tc>
      </w:tr>
      <w:tr w:rsidR="006E09DA" w:rsidRPr="006E09DA" w14:paraId="29989E43" w14:textId="77777777" w:rsidTr="008226C9">
        <w:trPr>
          <w:trHeight w:val="263"/>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00B4E33"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TAXES</w:t>
            </w:r>
          </w:p>
        </w:tc>
        <w:tc>
          <w:tcPr>
            <w:tcW w:w="2410" w:type="dxa"/>
            <w:tcBorders>
              <w:top w:val="nil"/>
              <w:left w:val="nil"/>
              <w:bottom w:val="single" w:sz="4" w:space="0" w:color="auto"/>
              <w:right w:val="single" w:sz="4" w:space="0" w:color="auto"/>
            </w:tcBorders>
            <w:shd w:val="clear" w:color="auto" w:fill="auto"/>
            <w:noWrap/>
            <w:vAlign w:val="bottom"/>
            <w:hideMark/>
          </w:tcPr>
          <w:p w14:paraId="6CC3C5AE" w14:textId="5B1064CA"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0,21</w:t>
            </w:r>
          </w:p>
        </w:tc>
        <w:tc>
          <w:tcPr>
            <w:tcW w:w="2551" w:type="dxa"/>
            <w:tcBorders>
              <w:top w:val="nil"/>
              <w:left w:val="nil"/>
              <w:bottom w:val="single" w:sz="4" w:space="0" w:color="auto"/>
              <w:right w:val="single" w:sz="4" w:space="0" w:color="auto"/>
            </w:tcBorders>
            <w:shd w:val="clear" w:color="auto" w:fill="auto"/>
            <w:noWrap/>
            <w:vAlign w:val="bottom"/>
            <w:hideMark/>
          </w:tcPr>
          <w:p w14:paraId="2D83852B" w14:textId="1EF78A01"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0,23</w:t>
            </w:r>
          </w:p>
        </w:tc>
      </w:tr>
      <w:tr w:rsidR="006E09DA" w:rsidRPr="006E09DA" w14:paraId="2F511991" w14:textId="77777777" w:rsidTr="008226C9">
        <w:trPr>
          <w:trHeight w:val="268"/>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A55BC01"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ROAA</w:t>
            </w:r>
          </w:p>
        </w:tc>
        <w:tc>
          <w:tcPr>
            <w:tcW w:w="2410" w:type="dxa"/>
            <w:tcBorders>
              <w:top w:val="nil"/>
              <w:left w:val="nil"/>
              <w:bottom w:val="single" w:sz="4" w:space="0" w:color="auto"/>
              <w:right w:val="single" w:sz="4" w:space="0" w:color="auto"/>
            </w:tcBorders>
            <w:shd w:val="clear" w:color="auto" w:fill="auto"/>
            <w:noWrap/>
            <w:vAlign w:val="bottom"/>
            <w:hideMark/>
          </w:tcPr>
          <w:p w14:paraId="161A33A1" w14:textId="1975FC11"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0,51</w:t>
            </w:r>
          </w:p>
        </w:tc>
        <w:tc>
          <w:tcPr>
            <w:tcW w:w="2551" w:type="dxa"/>
            <w:tcBorders>
              <w:top w:val="nil"/>
              <w:left w:val="nil"/>
              <w:bottom w:val="single" w:sz="4" w:space="0" w:color="auto"/>
              <w:right w:val="single" w:sz="4" w:space="0" w:color="auto"/>
            </w:tcBorders>
            <w:shd w:val="clear" w:color="auto" w:fill="auto"/>
            <w:noWrap/>
            <w:vAlign w:val="bottom"/>
            <w:hideMark/>
          </w:tcPr>
          <w:p w14:paraId="063B62FC" w14:textId="5E53D863"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0,37</w:t>
            </w:r>
          </w:p>
        </w:tc>
      </w:tr>
      <w:tr w:rsidR="006E09DA" w:rsidRPr="006E09DA" w14:paraId="14D7DE27" w14:textId="77777777" w:rsidTr="008226C9">
        <w:trPr>
          <w:trHeight w:val="271"/>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0986EAE6" w14:textId="6D1DFD9D" w:rsidR="006E09DA" w:rsidRPr="006E09DA" w:rsidRDefault="006E09DA" w:rsidP="006E09DA">
            <w:pPr>
              <w:spacing w:after="0" w:line="240" w:lineRule="auto"/>
              <w:ind w:firstLine="0"/>
              <w:jc w:val="left"/>
              <w:rPr>
                <w:rFonts w:eastAsia="Times New Roman" w:cs="Times New Roman"/>
                <w:b/>
                <w:bCs/>
                <w:color w:val="000000"/>
                <w:sz w:val="22"/>
                <w:lang w:eastAsia="ru-RU"/>
              </w:rPr>
            </w:pPr>
            <w:r>
              <w:rPr>
                <w:rFonts w:eastAsia="Times New Roman" w:cs="Times New Roman"/>
                <w:b/>
                <w:bCs/>
                <w:color w:val="000000"/>
                <w:sz w:val="22"/>
                <w:lang w:eastAsia="ru-RU"/>
              </w:rPr>
              <w:t>Стоимость компании, млн.руб.</w:t>
            </w:r>
          </w:p>
        </w:tc>
        <w:tc>
          <w:tcPr>
            <w:tcW w:w="2410" w:type="dxa"/>
            <w:tcBorders>
              <w:top w:val="nil"/>
              <w:left w:val="nil"/>
              <w:bottom w:val="single" w:sz="4" w:space="0" w:color="auto"/>
              <w:right w:val="single" w:sz="4" w:space="0" w:color="auto"/>
            </w:tcBorders>
            <w:shd w:val="clear" w:color="auto" w:fill="auto"/>
            <w:noWrap/>
            <w:vAlign w:val="bottom"/>
          </w:tcPr>
          <w:p w14:paraId="17EE2371" w14:textId="039CF9BE"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1 031 083</w:t>
            </w:r>
          </w:p>
        </w:tc>
        <w:tc>
          <w:tcPr>
            <w:tcW w:w="2551" w:type="dxa"/>
            <w:tcBorders>
              <w:top w:val="nil"/>
              <w:left w:val="nil"/>
              <w:bottom w:val="single" w:sz="4" w:space="0" w:color="auto"/>
              <w:right w:val="single" w:sz="4" w:space="0" w:color="auto"/>
            </w:tcBorders>
            <w:shd w:val="clear" w:color="auto" w:fill="auto"/>
            <w:noWrap/>
            <w:vAlign w:val="bottom"/>
          </w:tcPr>
          <w:p w14:paraId="25D26E22" w14:textId="0506DAB9"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759 462</w:t>
            </w:r>
          </w:p>
        </w:tc>
      </w:tr>
      <w:tr w:rsidR="006E09DA" w:rsidRPr="006E09DA" w14:paraId="1D25DA56" w14:textId="77777777" w:rsidTr="008226C9">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488E0E8" w14:textId="6C3AB77F" w:rsidR="006E09DA" w:rsidRPr="006E09DA" w:rsidRDefault="006E09DA" w:rsidP="006E09DA">
            <w:pPr>
              <w:spacing w:after="0" w:line="240" w:lineRule="auto"/>
              <w:ind w:firstLine="0"/>
              <w:jc w:val="left"/>
              <w:rPr>
                <w:rFonts w:eastAsia="Times New Roman" w:cs="Times New Roman"/>
                <w:i/>
                <w:iCs/>
                <w:color w:val="000000"/>
                <w:sz w:val="22"/>
                <w:lang w:eastAsia="ru-RU"/>
              </w:rPr>
            </w:pPr>
            <m:oMathPara>
              <m:oMathParaPr>
                <m:jc m:val="left"/>
              </m:oMathParaPr>
              <m:oMath>
                <m:r>
                  <w:rPr>
                    <w:rFonts w:ascii="Cambria Math" w:eastAsiaTheme="minorEastAsia" w:hAnsi="Cambria Math" w:cs="Times New Roman"/>
                    <w:i/>
                    <w:iCs/>
                    <w:sz w:val="22"/>
                    <w:lang w:val="en-US"/>
                  </w:rPr>
                  <w:sym w:font="Symbol" w:char="F074"/>
                </m:r>
              </m:oMath>
            </m:oMathPara>
          </w:p>
        </w:tc>
        <w:tc>
          <w:tcPr>
            <w:tcW w:w="2410" w:type="dxa"/>
            <w:tcBorders>
              <w:top w:val="nil"/>
              <w:left w:val="nil"/>
              <w:bottom w:val="single" w:sz="4" w:space="0" w:color="auto"/>
              <w:right w:val="single" w:sz="4" w:space="0" w:color="auto"/>
            </w:tcBorders>
            <w:shd w:val="clear" w:color="auto" w:fill="auto"/>
            <w:noWrap/>
            <w:vAlign w:val="bottom"/>
            <w:hideMark/>
          </w:tcPr>
          <w:p w14:paraId="6228F055" w14:textId="51A1415B"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7,90</w:t>
            </w:r>
          </w:p>
        </w:tc>
        <w:tc>
          <w:tcPr>
            <w:tcW w:w="2551" w:type="dxa"/>
            <w:tcBorders>
              <w:top w:val="nil"/>
              <w:left w:val="nil"/>
              <w:bottom w:val="single" w:sz="4" w:space="0" w:color="auto"/>
              <w:right w:val="single" w:sz="4" w:space="0" w:color="auto"/>
            </w:tcBorders>
            <w:shd w:val="clear" w:color="auto" w:fill="auto"/>
            <w:noWrap/>
            <w:vAlign w:val="bottom"/>
            <w:hideMark/>
          </w:tcPr>
          <w:p w14:paraId="5798D4BA" w14:textId="32550F69"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7,23</w:t>
            </w:r>
          </w:p>
        </w:tc>
      </w:tr>
      <w:tr w:rsidR="006E09DA" w:rsidRPr="006E09DA" w14:paraId="537DECDA" w14:textId="77777777" w:rsidTr="008226C9">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035C4E5" w14:textId="77777777" w:rsidR="006E09DA" w:rsidRPr="006E09DA" w:rsidRDefault="006E09DA" w:rsidP="006E09DA">
            <w:pPr>
              <w:spacing w:after="0" w:line="240" w:lineRule="auto"/>
              <w:ind w:firstLine="0"/>
              <w:jc w:val="left"/>
              <w:rPr>
                <w:rFonts w:eastAsia="Times New Roman" w:cs="Times New Roman"/>
                <w:i/>
                <w:iCs/>
                <w:color w:val="000000"/>
                <w:sz w:val="22"/>
                <w:lang w:eastAsia="ru-RU"/>
              </w:rPr>
            </w:pPr>
            <w:proofErr w:type="spellStart"/>
            <w:r w:rsidRPr="006E09DA">
              <w:rPr>
                <w:rFonts w:eastAsia="Times New Roman" w:cs="Times New Roman"/>
                <w:i/>
                <w:iCs/>
                <w:color w:val="000000"/>
                <w:sz w:val="22"/>
                <w:lang w:eastAsia="ru-RU"/>
              </w:rPr>
              <w:t>Ta</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9CF731D" w14:textId="043CF056"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10,00</w:t>
            </w:r>
          </w:p>
        </w:tc>
        <w:tc>
          <w:tcPr>
            <w:tcW w:w="2551" w:type="dxa"/>
            <w:tcBorders>
              <w:top w:val="nil"/>
              <w:left w:val="nil"/>
              <w:bottom w:val="single" w:sz="4" w:space="0" w:color="auto"/>
              <w:right w:val="single" w:sz="4" w:space="0" w:color="auto"/>
            </w:tcBorders>
            <w:shd w:val="clear" w:color="auto" w:fill="auto"/>
            <w:noWrap/>
            <w:vAlign w:val="bottom"/>
            <w:hideMark/>
          </w:tcPr>
          <w:p w14:paraId="667FE4EB" w14:textId="30DCC7C5"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10,00</w:t>
            </w:r>
          </w:p>
        </w:tc>
      </w:tr>
      <w:tr w:rsidR="006E09DA" w:rsidRPr="006E09DA" w14:paraId="1D8BFBB7"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25B326D" w14:textId="77777777" w:rsidR="006E09DA" w:rsidRPr="006E09DA" w:rsidRDefault="006E09DA" w:rsidP="006E09DA">
            <w:pPr>
              <w:spacing w:after="0" w:line="240" w:lineRule="auto"/>
              <w:ind w:firstLine="0"/>
              <w:jc w:val="left"/>
              <w:rPr>
                <w:rFonts w:eastAsia="Times New Roman" w:cs="Times New Roman"/>
                <w:i/>
                <w:iCs/>
                <w:color w:val="000000"/>
                <w:sz w:val="22"/>
                <w:lang w:eastAsia="ru-RU"/>
              </w:rPr>
            </w:pPr>
            <w:proofErr w:type="spellStart"/>
            <w:r w:rsidRPr="006E09DA">
              <w:rPr>
                <w:rFonts w:eastAsia="Times New Roman" w:cs="Times New Roman"/>
                <w:i/>
                <w:iCs/>
                <w:color w:val="000000"/>
                <w:sz w:val="22"/>
                <w:lang w:eastAsia="ru-RU"/>
              </w:rPr>
              <w:t>Dcum</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FAA56D0" w14:textId="20E890B5"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70 506,00</w:t>
            </w:r>
          </w:p>
        </w:tc>
        <w:tc>
          <w:tcPr>
            <w:tcW w:w="2551" w:type="dxa"/>
            <w:tcBorders>
              <w:top w:val="nil"/>
              <w:left w:val="nil"/>
              <w:bottom w:val="single" w:sz="4" w:space="0" w:color="auto"/>
              <w:right w:val="single" w:sz="4" w:space="0" w:color="auto"/>
            </w:tcBorders>
            <w:shd w:val="clear" w:color="auto" w:fill="auto"/>
            <w:noWrap/>
            <w:vAlign w:val="bottom"/>
            <w:hideMark/>
          </w:tcPr>
          <w:p w14:paraId="74D153E2" w14:textId="150435D1"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94 595,00</w:t>
            </w:r>
          </w:p>
        </w:tc>
      </w:tr>
      <w:tr w:rsidR="006E09DA" w:rsidRPr="006E09DA" w14:paraId="6967A659"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1E4463A4" w14:textId="77777777" w:rsidR="006E09DA" w:rsidRPr="006E09DA" w:rsidRDefault="006E09DA" w:rsidP="006E09DA">
            <w:pPr>
              <w:spacing w:after="0" w:line="240" w:lineRule="auto"/>
              <w:ind w:firstLine="0"/>
              <w:jc w:val="left"/>
              <w:rPr>
                <w:rFonts w:eastAsia="Times New Roman" w:cs="Times New Roman"/>
                <w:i/>
                <w:iCs/>
                <w:color w:val="000000"/>
                <w:sz w:val="22"/>
                <w:lang w:eastAsia="ru-RU"/>
              </w:rPr>
            </w:pPr>
            <w:r w:rsidRPr="006E09DA">
              <w:rPr>
                <w:rFonts w:eastAsia="Times New Roman" w:cs="Times New Roman"/>
                <w:i/>
                <w:iCs/>
                <w:color w:val="000000"/>
                <w:sz w:val="22"/>
                <w:lang w:eastAsia="ru-RU"/>
              </w:rPr>
              <w:t>q</w:t>
            </w:r>
          </w:p>
        </w:tc>
        <w:tc>
          <w:tcPr>
            <w:tcW w:w="2410" w:type="dxa"/>
            <w:tcBorders>
              <w:top w:val="nil"/>
              <w:left w:val="nil"/>
              <w:bottom w:val="single" w:sz="4" w:space="0" w:color="auto"/>
              <w:right w:val="single" w:sz="4" w:space="0" w:color="auto"/>
            </w:tcBorders>
            <w:shd w:val="clear" w:color="auto" w:fill="auto"/>
            <w:noWrap/>
            <w:vAlign w:val="bottom"/>
            <w:hideMark/>
          </w:tcPr>
          <w:p w14:paraId="40AF3AFB" w14:textId="5D914008"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0,25</w:t>
            </w:r>
          </w:p>
        </w:tc>
        <w:tc>
          <w:tcPr>
            <w:tcW w:w="2551" w:type="dxa"/>
            <w:tcBorders>
              <w:top w:val="nil"/>
              <w:left w:val="nil"/>
              <w:bottom w:val="single" w:sz="4" w:space="0" w:color="auto"/>
              <w:right w:val="single" w:sz="4" w:space="0" w:color="auto"/>
            </w:tcBorders>
            <w:shd w:val="clear" w:color="auto" w:fill="auto"/>
            <w:noWrap/>
            <w:vAlign w:val="bottom"/>
            <w:hideMark/>
          </w:tcPr>
          <w:p w14:paraId="1D769610" w14:textId="28525A16"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0,26</w:t>
            </w:r>
          </w:p>
        </w:tc>
      </w:tr>
    </w:tbl>
    <w:p w14:paraId="2B106C41" w14:textId="39FD167B" w:rsidR="006E09DA" w:rsidRDefault="006E09DA" w:rsidP="008226C9">
      <w:pPr>
        <w:ind w:left="426" w:firstLine="0"/>
        <w:rPr>
          <w:i/>
          <w:iCs/>
          <w:lang w:val="en-US" w:eastAsia="ru-RU"/>
        </w:rPr>
      </w:pPr>
      <w:r w:rsidRPr="00486520">
        <w:rPr>
          <w:i/>
          <w:iCs/>
          <w:lang w:eastAsia="ru-RU"/>
        </w:rPr>
        <w:t xml:space="preserve">Источник: </w:t>
      </w:r>
      <w:r w:rsidRPr="00486520">
        <w:rPr>
          <w:i/>
          <w:iCs/>
          <w:lang w:val="en-US" w:eastAsia="ru-RU"/>
        </w:rPr>
        <w:t>[</w:t>
      </w:r>
      <w:r w:rsidRPr="00486520">
        <w:rPr>
          <w:i/>
          <w:iCs/>
          <w:lang w:eastAsia="ru-RU"/>
        </w:rPr>
        <w:t>расчеты автора</w:t>
      </w:r>
      <w:r w:rsidRPr="00486520">
        <w:rPr>
          <w:i/>
          <w:iCs/>
          <w:lang w:val="en-US" w:eastAsia="ru-RU"/>
        </w:rPr>
        <w:t>]</w:t>
      </w:r>
    </w:p>
    <w:p w14:paraId="152F2A1E" w14:textId="4D6F89CE" w:rsidR="008226C9" w:rsidRDefault="008226C9" w:rsidP="008226C9">
      <w:pPr>
        <w:ind w:left="851" w:firstLine="0"/>
        <w:rPr>
          <w:i/>
          <w:iCs/>
          <w:lang w:val="en-US" w:eastAsia="ru-RU"/>
        </w:rPr>
      </w:pPr>
      <w:r>
        <w:rPr>
          <w:i/>
          <w:iCs/>
          <w:lang w:val="en-US" w:eastAsia="ru-RU"/>
        </w:rPr>
        <w:br w:type="page"/>
      </w:r>
    </w:p>
    <w:p w14:paraId="51AD3A24" w14:textId="3DD73CF2" w:rsidR="008226C9" w:rsidRPr="008226C9" w:rsidRDefault="008226C9" w:rsidP="008226C9">
      <w:pPr>
        <w:ind w:left="851" w:firstLine="0"/>
        <w:jc w:val="right"/>
        <w:rPr>
          <w:b/>
          <w:bCs/>
          <w:lang w:eastAsia="ru-RU"/>
        </w:rPr>
      </w:pPr>
      <w:r w:rsidRPr="008226C9">
        <w:rPr>
          <w:b/>
          <w:bCs/>
          <w:lang w:eastAsia="ru-RU"/>
        </w:rPr>
        <w:lastRenderedPageBreak/>
        <w:t xml:space="preserve">Приложение </w:t>
      </w:r>
      <w:r w:rsidR="000F0BA5">
        <w:rPr>
          <w:b/>
          <w:bCs/>
          <w:lang w:eastAsia="ru-RU"/>
        </w:rPr>
        <w:t>7</w:t>
      </w:r>
    </w:p>
    <w:p w14:paraId="0A3637C4" w14:textId="1BA968C5" w:rsidR="006E09DA" w:rsidRPr="006E09DA" w:rsidRDefault="006E09DA" w:rsidP="006E09DA">
      <w:pPr>
        <w:jc w:val="center"/>
        <w:rPr>
          <w:lang w:eastAsia="ru-RU"/>
        </w:rPr>
      </w:pPr>
      <w:r w:rsidRPr="00486520">
        <w:rPr>
          <w:lang w:eastAsia="ru-RU"/>
        </w:rPr>
        <w:t xml:space="preserve">Расчет ценности компании </w:t>
      </w:r>
      <w:r>
        <w:rPr>
          <w:lang w:eastAsia="ru-RU"/>
        </w:rPr>
        <w:t>Акрон</w:t>
      </w:r>
      <w:r w:rsidRPr="00486520">
        <w:rPr>
          <w:lang w:eastAsia="ru-RU"/>
        </w:rPr>
        <w:t xml:space="preserve"> методом достигнутой стоимости</w:t>
      </w:r>
    </w:p>
    <w:tbl>
      <w:tblPr>
        <w:tblW w:w="8359" w:type="dxa"/>
        <w:jc w:val="center"/>
        <w:tblLook w:val="04A0" w:firstRow="1" w:lastRow="0" w:firstColumn="1" w:lastColumn="0" w:noHBand="0" w:noVBand="1"/>
      </w:tblPr>
      <w:tblGrid>
        <w:gridCol w:w="3397"/>
        <w:gridCol w:w="2410"/>
        <w:gridCol w:w="2552"/>
      </w:tblGrid>
      <w:tr w:rsidR="006E09DA" w:rsidRPr="006E09DA" w14:paraId="670B9B3E" w14:textId="77777777" w:rsidTr="008226C9">
        <w:trPr>
          <w:trHeight w:val="29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9488" w14:textId="655B2DA7"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Показатели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65CFFFE" w14:textId="77777777"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2018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8D5A443" w14:textId="77777777"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2019</w:t>
            </w:r>
          </w:p>
        </w:tc>
      </w:tr>
      <w:tr w:rsidR="006E09DA" w:rsidRPr="006E09DA" w14:paraId="68D5A6F1" w14:textId="77777777" w:rsidTr="008226C9">
        <w:trPr>
          <w:trHeight w:val="15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34F91DC"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(в конце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5E9B73D2"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141 167,00</w:t>
            </w:r>
          </w:p>
        </w:tc>
        <w:tc>
          <w:tcPr>
            <w:tcW w:w="2552" w:type="dxa"/>
            <w:tcBorders>
              <w:top w:val="nil"/>
              <w:left w:val="nil"/>
              <w:bottom w:val="single" w:sz="4" w:space="0" w:color="auto"/>
              <w:right w:val="single" w:sz="4" w:space="0" w:color="auto"/>
            </w:tcBorders>
            <w:shd w:val="clear" w:color="auto" w:fill="auto"/>
            <w:noWrap/>
            <w:vAlign w:val="bottom"/>
            <w:hideMark/>
          </w:tcPr>
          <w:p w14:paraId="0CB72366"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155 258,00</w:t>
            </w:r>
          </w:p>
        </w:tc>
      </w:tr>
      <w:tr w:rsidR="006E09DA" w:rsidRPr="006E09DA" w14:paraId="4D7A42BD" w14:textId="77777777" w:rsidTr="008226C9">
        <w:trPr>
          <w:trHeight w:val="153"/>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67724FCE"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(в начале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276C6D07"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123 925</w:t>
            </w:r>
          </w:p>
        </w:tc>
        <w:tc>
          <w:tcPr>
            <w:tcW w:w="2552" w:type="dxa"/>
            <w:tcBorders>
              <w:top w:val="nil"/>
              <w:left w:val="nil"/>
              <w:bottom w:val="single" w:sz="4" w:space="0" w:color="auto"/>
              <w:right w:val="single" w:sz="4" w:space="0" w:color="auto"/>
            </w:tcBorders>
            <w:shd w:val="clear" w:color="auto" w:fill="auto"/>
            <w:noWrap/>
            <w:vAlign w:val="bottom"/>
            <w:hideMark/>
          </w:tcPr>
          <w:p w14:paraId="059F5B32"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134 448</w:t>
            </w:r>
          </w:p>
        </w:tc>
      </w:tr>
      <w:tr w:rsidR="006E09DA" w:rsidRPr="006E09DA" w14:paraId="113C9EEC" w14:textId="77777777" w:rsidTr="008226C9">
        <w:trPr>
          <w:trHeight w:val="158"/>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665F21A0"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(средние)</w:t>
            </w:r>
          </w:p>
        </w:tc>
        <w:tc>
          <w:tcPr>
            <w:tcW w:w="2410" w:type="dxa"/>
            <w:tcBorders>
              <w:top w:val="nil"/>
              <w:left w:val="nil"/>
              <w:bottom w:val="single" w:sz="4" w:space="0" w:color="auto"/>
              <w:right w:val="single" w:sz="4" w:space="0" w:color="auto"/>
            </w:tcBorders>
            <w:shd w:val="clear" w:color="auto" w:fill="auto"/>
            <w:noWrap/>
            <w:vAlign w:val="bottom"/>
            <w:hideMark/>
          </w:tcPr>
          <w:p w14:paraId="6A99F693"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132 546</w:t>
            </w:r>
          </w:p>
        </w:tc>
        <w:tc>
          <w:tcPr>
            <w:tcW w:w="2552" w:type="dxa"/>
            <w:tcBorders>
              <w:top w:val="nil"/>
              <w:left w:val="nil"/>
              <w:bottom w:val="single" w:sz="4" w:space="0" w:color="auto"/>
              <w:right w:val="single" w:sz="4" w:space="0" w:color="auto"/>
            </w:tcBorders>
            <w:shd w:val="clear" w:color="auto" w:fill="auto"/>
            <w:noWrap/>
            <w:vAlign w:val="bottom"/>
            <w:hideMark/>
          </w:tcPr>
          <w:p w14:paraId="2F95647B"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144 853</w:t>
            </w:r>
          </w:p>
        </w:tc>
      </w:tr>
      <w:tr w:rsidR="006E09DA" w:rsidRPr="006E09DA" w14:paraId="4DA4EDE7" w14:textId="77777777" w:rsidTr="008226C9">
        <w:trPr>
          <w:trHeight w:val="58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5DA98E36"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(подверженных амортизации в конце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4CC19C96"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96 624,00</w:t>
            </w:r>
          </w:p>
        </w:tc>
        <w:tc>
          <w:tcPr>
            <w:tcW w:w="2552" w:type="dxa"/>
            <w:tcBorders>
              <w:top w:val="nil"/>
              <w:left w:val="nil"/>
              <w:bottom w:val="single" w:sz="4" w:space="0" w:color="auto"/>
              <w:right w:val="single" w:sz="4" w:space="0" w:color="auto"/>
            </w:tcBorders>
            <w:shd w:val="clear" w:color="auto" w:fill="auto"/>
            <w:noWrap/>
            <w:vAlign w:val="bottom"/>
            <w:hideMark/>
          </w:tcPr>
          <w:p w14:paraId="3AA100B5"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105 381,00</w:t>
            </w:r>
          </w:p>
        </w:tc>
      </w:tr>
      <w:tr w:rsidR="006E09DA" w:rsidRPr="006E09DA" w14:paraId="196CFE3B" w14:textId="77777777" w:rsidTr="008226C9">
        <w:trPr>
          <w:trHeight w:val="56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B47A211"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(подверженных амортизации в начале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16213647"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89 524,00</w:t>
            </w:r>
          </w:p>
        </w:tc>
        <w:tc>
          <w:tcPr>
            <w:tcW w:w="2552" w:type="dxa"/>
            <w:tcBorders>
              <w:top w:val="nil"/>
              <w:left w:val="nil"/>
              <w:bottom w:val="single" w:sz="4" w:space="0" w:color="auto"/>
              <w:right w:val="single" w:sz="4" w:space="0" w:color="auto"/>
            </w:tcBorders>
            <w:shd w:val="clear" w:color="auto" w:fill="auto"/>
            <w:noWrap/>
            <w:vAlign w:val="bottom"/>
            <w:hideMark/>
          </w:tcPr>
          <w:p w14:paraId="132BFBF1"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96 624,00</w:t>
            </w:r>
          </w:p>
        </w:tc>
      </w:tr>
      <w:tr w:rsidR="006E09DA" w:rsidRPr="006E09DA" w14:paraId="4A9FF48E" w14:textId="77777777" w:rsidTr="008226C9">
        <w:trPr>
          <w:trHeight w:val="548"/>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0561E153"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РАС (подверженных амортизации средние)</w:t>
            </w:r>
          </w:p>
        </w:tc>
        <w:tc>
          <w:tcPr>
            <w:tcW w:w="2410" w:type="dxa"/>
            <w:tcBorders>
              <w:top w:val="nil"/>
              <w:left w:val="nil"/>
              <w:bottom w:val="single" w:sz="4" w:space="0" w:color="auto"/>
              <w:right w:val="single" w:sz="4" w:space="0" w:color="auto"/>
            </w:tcBorders>
            <w:shd w:val="clear" w:color="auto" w:fill="auto"/>
            <w:noWrap/>
            <w:vAlign w:val="bottom"/>
            <w:hideMark/>
          </w:tcPr>
          <w:p w14:paraId="170DCFFF"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93 074,00</w:t>
            </w:r>
          </w:p>
        </w:tc>
        <w:tc>
          <w:tcPr>
            <w:tcW w:w="2552" w:type="dxa"/>
            <w:tcBorders>
              <w:top w:val="nil"/>
              <w:left w:val="nil"/>
              <w:bottom w:val="single" w:sz="4" w:space="0" w:color="auto"/>
              <w:right w:val="single" w:sz="4" w:space="0" w:color="auto"/>
            </w:tcBorders>
            <w:shd w:val="clear" w:color="auto" w:fill="auto"/>
            <w:noWrap/>
            <w:vAlign w:val="bottom"/>
            <w:hideMark/>
          </w:tcPr>
          <w:p w14:paraId="07F12EE0" w14:textId="7777777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101 002,50</w:t>
            </w:r>
          </w:p>
        </w:tc>
      </w:tr>
      <w:tr w:rsidR="006E09DA" w:rsidRPr="006E09DA" w14:paraId="765A058C" w14:textId="77777777" w:rsidTr="008226C9">
        <w:trPr>
          <w:trHeight w:val="29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575D9BA"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NOPLAT</w:t>
            </w:r>
          </w:p>
        </w:tc>
        <w:tc>
          <w:tcPr>
            <w:tcW w:w="2410" w:type="dxa"/>
            <w:tcBorders>
              <w:top w:val="nil"/>
              <w:left w:val="nil"/>
              <w:bottom w:val="single" w:sz="4" w:space="0" w:color="auto"/>
              <w:right w:val="single" w:sz="4" w:space="0" w:color="auto"/>
            </w:tcBorders>
            <w:shd w:val="clear" w:color="auto" w:fill="auto"/>
            <w:noWrap/>
            <w:vAlign w:val="bottom"/>
            <w:hideMark/>
          </w:tcPr>
          <w:p w14:paraId="452EB539" w14:textId="51635FEB"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14 978,24</w:t>
            </w:r>
          </w:p>
        </w:tc>
        <w:tc>
          <w:tcPr>
            <w:tcW w:w="2552" w:type="dxa"/>
            <w:tcBorders>
              <w:top w:val="nil"/>
              <w:left w:val="nil"/>
              <w:bottom w:val="single" w:sz="4" w:space="0" w:color="auto"/>
              <w:right w:val="single" w:sz="4" w:space="0" w:color="auto"/>
            </w:tcBorders>
            <w:shd w:val="clear" w:color="auto" w:fill="auto"/>
            <w:noWrap/>
            <w:vAlign w:val="bottom"/>
            <w:hideMark/>
          </w:tcPr>
          <w:p w14:paraId="2BEB20E7" w14:textId="6C638BD1"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22 787,56</w:t>
            </w:r>
          </w:p>
        </w:tc>
      </w:tr>
      <w:tr w:rsidR="006E09DA" w:rsidRPr="006E09DA" w14:paraId="2C4D9D2D" w14:textId="77777777" w:rsidTr="008226C9">
        <w:trPr>
          <w:trHeight w:val="29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693BE92" w14:textId="77777777" w:rsidR="006E09DA" w:rsidRPr="006E09DA" w:rsidRDefault="006E09DA" w:rsidP="006E09DA">
            <w:pPr>
              <w:spacing w:after="0" w:line="240" w:lineRule="auto"/>
              <w:ind w:firstLine="0"/>
              <w:jc w:val="left"/>
              <w:rPr>
                <w:rFonts w:eastAsia="Times New Roman" w:cs="Times New Roman"/>
                <w:i/>
                <w:iCs/>
                <w:color w:val="000000"/>
                <w:sz w:val="22"/>
                <w:lang w:eastAsia="ru-RU"/>
              </w:rPr>
            </w:pPr>
            <w:r w:rsidRPr="006E09DA">
              <w:rPr>
                <w:rFonts w:eastAsia="Times New Roman" w:cs="Times New Roman"/>
                <w:i/>
                <w:iCs/>
                <w:color w:val="000000"/>
                <w:sz w:val="22"/>
                <w:lang w:eastAsia="ru-RU"/>
              </w:rPr>
              <w:t>TAXES</w:t>
            </w:r>
          </w:p>
        </w:tc>
        <w:tc>
          <w:tcPr>
            <w:tcW w:w="2410" w:type="dxa"/>
            <w:tcBorders>
              <w:top w:val="nil"/>
              <w:left w:val="nil"/>
              <w:bottom w:val="single" w:sz="4" w:space="0" w:color="auto"/>
              <w:right w:val="single" w:sz="4" w:space="0" w:color="auto"/>
            </w:tcBorders>
            <w:shd w:val="clear" w:color="auto" w:fill="auto"/>
            <w:noWrap/>
            <w:vAlign w:val="bottom"/>
            <w:hideMark/>
          </w:tcPr>
          <w:p w14:paraId="1D02EAD7" w14:textId="41F7BBC6"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0,18</w:t>
            </w:r>
          </w:p>
        </w:tc>
        <w:tc>
          <w:tcPr>
            <w:tcW w:w="2552" w:type="dxa"/>
            <w:tcBorders>
              <w:top w:val="nil"/>
              <w:left w:val="nil"/>
              <w:bottom w:val="single" w:sz="4" w:space="0" w:color="auto"/>
              <w:right w:val="single" w:sz="4" w:space="0" w:color="auto"/>
            </w:tcBorders>
            <w:shd w:val="clear" w:color="auto" w:fill="auto"/>
            <w:noWrap/>
            <w:vAlign w:val="bottom"/>
            <w:hideMark/>
          </w:tcPr>
          <w:p w14:paraId="13F80111" w14:textId="57EB75AB"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0,26</w:t>
            </w:r>
          </w:p>
        </w:tc>
      </w:tr>
      <w:tr w:rsidR="006E09DA" w:rsidRPr="006E09DA" w14:paraId="447E479F" w14:textId="77777777" w:rsidTr="008226C9">
        <w:trPr>
          <w:trHeight w:val="29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893A36F"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ROAA</w:t>
            </w:r>
          </w:p>
        </w:tc>
        <w:tc>
          <w:tcPr>
            <w:tcW w:w="2410" w:type="dxa"/>
            <w:tcBorders>
              <w:top w:val="nil"/>
              <w:left w:val="nil"/>
              <w:bottom w:val="single" w:sz="4" w:space="0" w:color="auto"/>
              <w:right w:val="single" w:sz="4" w:space="0" w:color="auto"/>
            </w:tcBorders>
            <w:shd w:val="clear" w:color="auto" w:fill="auto"/>
            <w:noWrap/>
            <w:vAlign w:val="bottom"/>
            <w:hideMark/>
          </w:tcPr>
          <w:p w14:paraId="12F1BC3C" w14:textId="7F0DF9AF"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0,18</w:t>
            </w:r>
          </w:p>
        </w:tc>
        <w:tc>
          <w:tcPr>
            <w:tcW w:w="2552" w:type="dxa"/>
            <w:tcBorders>
              <w:top w:val="nil"/>
              <w:left w:val="nil"/>
              <w:bottom w:val="single" w:sz="4" w:space="0" w:color="auto"/>
              <w:right w:val="single" w:sz="4" w:space="0" w:color="auto"/>
            </w:tcBorders>
            <w:shd w:val="clear" w:color="auto" w:fill="auto"/>
            <w:noWrap/>
            <w:vAlign w:val="bottom"/>
            <w:hideMark/>
          </w:tcPr>
          <w:p w14:paraId="5ECEF448" w14:textId="5630A33D" w:rsidR="006E09DA" w:rsidRPr="006E09DA" w:rsidRDefault="006E09DA" w:rsidP="006E09DA">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0,22</w:t>
            </w:r>
          </w:p>
        </w:tc>
      </w:tr>
      <w:tr w:rsidR="006E09DA" w:rsidRPr="006E09DA" w14:paraId="20A07A0A" w14:textId="77777777" w:rsidTr="008226C9">
        <w:trPr>
          <w:trHeight w:val="29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B8E73F5" w14:textId="5E424A2F" w:rsidR="006E09DA" w:rsidRPr="006E09DA" w:rsidRDefault="006E09DA" w:rsidP="006E09DA">
            <w:pPr>
              <w:spacing w:after="0" w:line="240" w:lineRule="auto"/>
              <w:ind w:firstLine="0"/>
              <w:jc w:val="left"/>
              <w:rPr>
                <w:rFonts w:eastAsia="Times New Roman" w:cs="Times New Roman"/>
                <w:b/>
                <w:bCs/>
                <w:color w:val="000000"/>
                <w:sz w:val="22"/>
                <w:lang w:eastAsia="ru-RU"/>
              </w:rPr>
            </w:pPr>
            <w:r w:rsidRPr="006E09DA">
              <w:rPr>
                <w:rFonts w:eastAsia="Times New Roman" w:cs="Times New Roman"/>
                <w:b/>
                <w:bCs/>
                <w:color w:val="000000"/>
                <w:sz w:val="22"/>
                <w:lang w:eastAsia="ru-RU"/>
              </w:rPr>
              <w:t>Стоимость компании, млн.руб.</w:t>
            </w:r>
          </w:p>
        </w:tc>
        <w:tc>
          <w:tcPr>
            <w:tcW w:w="2410" w:type="dxa"/>
            <w:tcBorders>
              <w:top w:val="nil"/>
              <w:left w:val="nil"/>
              <w:bottom w:val="single" w:sz="4" w:space="0" w:color="auto"/>
              <w:right w:val="single" w:sz="4" w:space="0" w:color="auto"/>
            </w:tcBorders>
            <w:shd w:val="clear" w:color="auto" w:fill="auto"/>
            <w:noWrap/>
            <w:vAlign w:val="bottom"/>
            <w:hideMark/>
          </w:tcPr>
          <w:p w14:paraId="630345A2" w14:textId="22F32DF5"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186 918,39</w:t>
            </w:r>
          </w:p>
        </w:tc>
        <w:tc>
          <w:tcPr>
            <w:tcW w:w="2552" w:type="dxa"/>
            <w:tcBorders>
              <w:top w:val="nil"/>
              <w:left w:val="nil"/>
              <w:bottom w:val="single" w:sz="4" w:space="0" w:color="auto"/>
              <w:right w:val="single" w:sz="4" w:space="0" w:color="auto"/>
            </w:tcBorders>
            <w:shd w:val="clear" w:color="auto" w:fill="auto"/>
            <w:noWrap/>
            <w:vAlign w:val="bottom"/>
            <w:hideMark/>
          </w:tcPr>
          <w:p w14:paraId="0F934A92" w14:textId="6636DED4"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253 793,49</w:t>
            </w:r>
          </w:p>
        </w:tc>
      </w:tr>
      <w:tr w:rsidR="006E09DA" w:rsidRPr="006E09DA" w14:paraId="7D0BB6CE" w14:textId="77777777" w:rsidTr="008226C9">
        <w:trPr>
          <w:trHeight w:val="29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918C" w14:textId="7305A95D" w:rsidR="006E09DA" w:rsidRPr="006E09DA" w:rsidRDefault="006E09DA" w:rsidP="006E09DA">
            <w:pPr>
              <w:spacing w:after="0" w:line="240" w:lineRule="auto"/>
              <w:ind w:firstLine="0"/>
              <w:jc w:val="left"/>
              <w:rPr>
                <w:rFonts w:eastAsia="Times New Roman" w:cs="Times New Roman"/>
                <w:color w:val="000000"/>
                <w:sz w:val="22"/>
                <w:lang w:eastAsia="ru-RU"/>
              </w:rPr>
            </w:pPr>
            <m:oMathPara>
              <m:oMathParaPr>
                <m:jc m:val="left"/>
              </m:oMathParaPr>
              <m:oMath>
                <m:r>
                  <m:rPr>
                    <m:sty m:val="p"/>
                  </m:rPr>
                  <w:rPr>
                    <w:rFonts w:ascii="Cambria Math" w:eastAsiaTheme="minorEastAsia" w:hAnsi="Cambria Math" w:cs="Times New Roman"/>
                    <w:sz w:val="22"/>
                    <w:lang w:val="en-US"/>
                  </w:rPr>
                  <w:sym w:font="Symbol" w:char="F074"/>
                </m:r>
              </m:oMath>
            </m:oMathPara>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ABA7F61" w14:textId="620F4826"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7,75</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FB565B5" w14:textId="7F4FD189"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5,87</w:t>
            </w:r>
          </w:p>
        </w:tc>
      </w:tr>
      <w:tr w:rsidR="006E09DA" w:rsidRPr="006E09DA" w14:paraId="6E2D47D3" w14:textId="77777777" w:rsidTr="008226C9">
        <w:trPr>
          <w:trHeight w:val="29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570E5CF"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proofErr w:type="spellStart"/>
            <w:r w:rsidRPr="006E09DA">
              <w:rPr>
                <w:rFonts w:eastAsia="Times New Roman" w:cs="Times New Roman"/>
                <w:color w:val="000000"/>
                <w:sz w:val="22"/>
                <w:lang w:eastAsia="ru-RU"/>
              </w:rPr>
              <w:t>Ta</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72D2279" w14:textId="34267F03"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10,31</w:t>
            </w:r>
          </w:p>
        </w:tc>
        <w:tc>
          <w:tcPr>
            <w:tcW w:w="2552" w:type="dxa"/>
            <w:tcBorders>
              <w:top w:val="nil"/>
              <w:left w:val="nil"/>
              <w:bottom w:val="single" w:sz="4" w:space="0" w:color="auto"/>
              <w:right w:val="single" w:sz="4" w:space="0" w:color="auto"/>
            </w:tcBorders>
            <w:shd w:val="clear" w:color="auto" w:fill="auto"/>
            <w:noWrap/>
            <w:vAlign w:val="bottom"/>
            <w:hideMark/>
          </w:tcPr>
          <w:p w14:paraId="3990417E" w14:textId="43E374E0"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8,90</w:t>
            </w:r>
          </w:p>
        </w:tc>
      </w:tr>
      <w:tr w:rsidR="006E09DA" w:rsidRPr="006E09DA" w14:paraId="7BF13300" w14:textId="77777777" w:rsidTr="008226C9">
        <w:trPr>
          <w:trHeight w:val="29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A296DAD"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proofErr w:type="spellStart"/>
            <w:r w:rsidRPr="006E09DA">
              <w:rPr>
                <w:rFonts w:eastAsia="Times New Roman" w:cs="Times New Roman"/>
                <w:color w:val="000000"/>
                <w:sz w:val="22"/>
                <w:lang w:eastAsia="ru-RU"/>
              </w:rPr>
              <w:t>Dcum</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026161CA" w14:textId="0807869A"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23 078,00</w:t>
            </w:r>
          </w:p>
        </w:tc>
        <w:tc>
          <w:tcPr>
            <w:tcW w:w="2552" w:type="dxa"/>
            <w:tcBorders>
              <w:top w:val="nil"/>
              <w:left w:val="nil"/>
              <w:bottom w:val="single" w:sz="4" w:space="0" w:color="auto"/>
              <w:right w:val="single" w:sz="4" w:space="0" w:color="auto"/>
            </w:tcBorders>
            <w:shd w:val="clear" w:color="auto" w:fill="auto"/>
            <w:noWrap/>
            <w:vAlign w:val="bottom"/>
            <w:hideMark/>
          </w:tcPr>
          <w:p w14:paraId="6CF130FC" w14:textId="23C37187"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34 422,00</w:t>
            </w:r>
          </w:p>
        </w:tc>
      </w:tr>
      <w:tr w:rsidR="006E09DA" w:rsidRPr="006E09DA" w14:paraId="5496DCC4" w14:textId="77777777" w:rsidTr="008226C9">
        <w:trPr>
          <w:trHeight w:val="29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F3E76B7" w14:textId="77777777" w:rsidR="006E09DA" w:rsidRPr="006E09DA" w:rsidRDefault="006E09DA" w:rsidP="006E09DA">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q</w:t>
            </w:r>
          </w:p>
        </w:tc>
        <w:tc>
          <w:tcPr>
            <w:tcW w:w="2410" w:type="dxa"/>
            <w:tcBorders>
              <w:top w:val="nil"/>
              <w:left w:val="nil"/>
              <w:bottom w:val="single" w:sz="4" w:space="0" w:color="auto"/>
              <w:right w:val="single" w:sz="4" w:space="0" w:color="auto"/>
            </w:tcBorders>
            <w:shd w:val="clear" w:color="auto" w:fill="auto"/>
            <w:noWrap/>
            <w:vAlign w:val="bottom"/>
            <w:hideMark/>
          </w:tcPr>
          <w:p w14:paraId="4A5D4417" w14:textId="1BE708A2"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0,42</w:t>
            </w:r>
          </w:p>
        </w:tc>
        <w:tc>
          <w:tcPr>
            <w:tcW w:w="2552" w:type="dxa"/>
            <w:tcBorders>
              <w:top w:val="nil"/>
              <w:left w:val="nil"/>
              <w:bottom w:val="single" w:sz="4" w:space="0" w:color="auto"/>
              <w:right w:val="single" w:sz="4" w:space="0" w:color="auto"/>
            </w:tcBorders>
            <w:shd w:val="clear" w:color="auto" w:fill="auto"/>
            <w:noWrap/>
            <w:vAlign w:val="bottom"/>
            <w:hideMark/>
          </w:tcPr>
          <w:p w14:paraId="7709F8B3" w14:textId="0942F85C" w:rsidR="006E09DA" w:rsidRPr="006E09DA" w:rsidRDefault="006E09DA" w:rsidP="006E09DA">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0,48</w:t>
            </w:r>
          </w:p>
        </w:tc>
      </w:tr>
    </w:tbl>
    <w:p w14:paraId="06A71B78" w14:textId="53D58C9B" w:rsidR="006E09DA" w:rsidRDefault="006E09DA" w:rsidP="008226C9">
      <w:pPr>
        <w:ind w:left="426" w:firstLine="0"/>
        <w:rPr>
          <w:i/>
          <w:iCs/>
          <w:lang w:val="en-US" w:eastAsia="ru-RU"/>
        </w:rPr>
      </w:pPr>
      <w:r w:rsidRPr="00486520">
        <w:rPr>
          <w:i/>
          <w:iCs/>
          <w:lang w:eastAsia="ru-RU"/>
        </w:rPr>
        <w:t xml:space="preserve">Источник: </w:t>
      </w:r>
      <w:r w:rsidRPr="00486520">
        <w:rPr>
          <w:i/>
          <w:iCs/>
          <w:lang w:val="en-US" w:eastAsia="ru-RU"/>
        </w:rPr>
        <w:t>[</w:t>
      </w:r>
      <w:r w:rsidRPr="00486520">
        <w:rPr>
          <w:i/>
          <w:iCs/>
          <w:lang w:eastAsia="ru-RU"/>
        </w:rPr>
        <w:t>расчеты автора</w:t>
      </w:r>
      <w:r w:rsidRPr="00486520">
        <w:rPr>
          <w:i/>
          <w:iCs/>
          <w:lang w:val="en-US" w:eastAsia="ru-RU"/>
        </w:rPr>
        <w:t>]</w:t>
      </w:r>
      <w:r w:rsidR="008226C9">
        <w:rPr>
          <w:i/>
          <w:iCs/>
          <w:lang w:val="en-US" w:eastAsia="ru-RU"/>
        </w:rPr>
        <w:br w:type="page"/>
      </w:r>
    </w:p>
    <w:p w14:paraId="415211CC" w14:textId="1FBC075F" w:rsidR="008226C9" w:rsidRPr="008226C9" w:rsidRDefault="008226C9" w:rsidP="008226C9">
      <w:pPr>
        <w:jc w:val="right"/>
        <w:rPr>
          <w:b/>
          <w:bCs/>
          <w:lang w:eastAsia="ru-RU"/>
        </w:rPr>
      </w:pPr>
      <w:r w:rsidRPr="008226C9">
        <w:rPr>
          <w:b/>
          <w:bCs/>
          <w:lang w:eastAsia="ru-RU"/>
        </w:rPr>
        <w:lastRenderedPageBreak/>
        <w:t xml:space="preserve">Приложение </w:t>
      </w:r>
      <w:r w:rsidR="000945C8">
        <w:rPr>
          <w:b/>
          <w:bCs/>
          <w:lang w:eastAsia="ru-RU"/>
        </w:rPr>
        <w:t>8</w:t>
      </w:r>
    </w:p>
    <w:p w14:paraId="44F4E99B" w14:textId="427FF11F" w:rsidR="00761D1D" w:rsidRPr="00761D1D" w:rsidRDefault="00761D1D" w:rsidP="00761D1D">
      <w:pPr>
        <w:jc w:val="center"/>
        <w:rPr>
          <w:lang w:eastAsia="ru-RU"/>
        </w:rPr>
      </w:pPr>
      <w:r w:rsidRPr="00486520">
        <w:rPr>
          <w:lang w:eastAsia="ru-RU"/>
        </w:rPr>
        <w:t xml:space="preserve">Расчет ценности компании </w:t>
      </w:r>
      <w:r>
        <w:rPr>
          <w:lang w:val="en-US" w:eastAsia="ru-RU"/>
        </w:rPr>
        <w:t>HeadHunter</w:t>
      </w:r>
      <w:r w:rsidRPr="00761D1D">
        <w:rPr>
          <w:lang w:eastAsia="ru-RU"/>
        </w:rPr>
        <w:t xml:space="preserve"> </w:t>
      </w:r>
      <w:r w:rsidRPr="00486520">
        <w:rPr>
          <w:lang w:eastAsia="ru-RU"/>
        </w:rPr>
        <w:t>методом достигнутой стоимости</w:t>
      </w:r>
    </w:p>
    <w:tbl>
      <w:tblPr>
        <w:tblW w:w="8363" w:type="dxa"/>
        <w:jc w:val="center"/>
        <w:tblLook w:val="04A0" w:firstRow="1" w:lastRow="0" w:firstColumn="1" w:lastColumn="0" w:noHBand="0" w:noVBand="1"/>
      </w:tblPr>
      <w:tblGrid>
        <w:gridCol w:w="3402"/>
        <w:gridCol w:w="2410"/>
        <w:gridCol w:w="2551"/>
      </w:tblGrid>
      <w:tr w:rsidR="006E09DA" w:rsidRPr="006E09DA" w14:paraId="4427F34E" w14:textId="77777777" w:rsidTr="008226C9">
        <w:trPr>
          <w:trHeight w:val="47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33702" w14:textId="370D8CD2"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761D1D">
              <w:rPr>
                <w:rFonts w:eastAsia="Times New Roman" w:cs="Times New Roman"/>
                <w:b/>
                <w:bCs/>
                <w:color w:val="000000"/>
                <w:sz w:val="22"/>
                <w:lang w:eastAsia="ru-RU"/>
              </w:rPr>
              <w:t>Показатели</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5520060" w14:textId="77777777"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2018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5E52E25" w14:textId="77777777" w:rsidR="006E09DA" w:rsidRPr="006E09DA" w:rsidRDefault="006E09DA" w:rsidP="006E09DA">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2019</w:t>
            </w:r>
          </w:p>
        </w:tc>
      </w:tr>
      <w:tr w:rsidR="006E09DA" w:rsidRPr="006E09DA" w14:paraId="1BFEEE11" w14:textId="77777777" w:rsidTr="008226C9">
        <w:trPr>
          <w:trHeight w:val="303"/>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BADDFD3" w14:textId="77777777" w:rsidR="006E09DA" w:rsidRPr="006E09DA" w:rsidRDefault="006E09DA" w:rsidP="00761D1D">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(в конце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687073C6"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9 203 813,16</w:t>
            </w:r>
          </w:p>
        </w:tc>
        <w:tc>
          <w:tcPr>
            <w:tcW w:w="2551" w:type="dxa"/>
            <w:tcBorders>
              <w:top w:val="nil"/>
              <w:left w:val="nil"/>
              <w:bottom w:val="single" w:sz="4" w:space="0" w:color="auto"/>
              <w:right w:val="single" w:sz="4" w:space="0" w:color="auto"/>
            </w:tcBorders>
            <w:shd w:val="clear" w:color="auto" w:fill="auto"/>
            <w:noWrap/>
            <w:vAlign w:val="bottom"/>
            <w:hideMark/>
          </w:tcPr>
          <w:p w14:paraId="3D164FC4"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8 125 763,48</w:t>
            </w:r>
          </w:p>
        </w:tc>
      </w:tr>
      <w:tr w:rsidR="006E09DA" w:rsidRPr="006E09DA" w14:paraId="7A844E42"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6CACC928" w14:textId="77777777" w:rsidR="006E09DA" w:rsidRPr="006E09DA" w:rsidRDefault="006E09DA" w:rsidP="00761D1D">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(в начале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3BADF293"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9 324 830</w:t>
            </w:r>
          </w:p>
        </w:tc>
        <w:tc>
          <w:tcPr>
            <w:tcW w:w="2551" w:type="dxa"/>
            <w:tcBorders>
              <w:top w:val="nil"/>
              <w:left w:val="nil"/>
              <w:bottom w:val="single" w:sz="4" w:space="0" w:color="auto"/>
              <w:right w:val="single" w:sz="4" w:space="0" w:color="auto"/>
            </w:tcBorders>
            <w:shd w:val="clear" w:color="auto" w:fill="auto"/>
            <w:noWrap/>
            <w:vAlign w:val="bottom"/>
            <w:hideMark/>
          </w:tcPr>
          <w:p w14:paraId="1B3FD2BD"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9 203 813</w:t>
            </w:r>
          </w:p>
        </w:tc>
      </w:tr>
      <w:tr w:rsidR="006E09DA" w:rsidRPr="006E09DA" w14:paraId="090931F1"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0BB439F" w14:textId="77777777" w:rsidR="006E09DA" w:rsidRPr="006E09DA" w:rsidRDefault="006E09DA" w:rsidP="00761D1D">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(средние)</w:t>
            </w:r>
          </w:p>
        </w:tc>
        <w:tc>
          <w:tcPr>
            <w:tcW w:w="2410" w:type="dxa"/>
            <w:tcBorders>
              <w:top w:val="nil"/>
              <w:left w:val="nil"/>
              <w:bottom w:val="single" w:sz="4" w:space="0" w:color="auto"/>
              <w:right w:val="single" w:sz="4" w:space="0" w:color="auto"/>
            </w:tcBorders>
            <w:shd w:val="clear" w:color="auto" w:fill="auto"/>
            <w:noWrap/>
            <w:vAlign w:val="bottom"/>
            <w:hideMark/>
          </w:tcPr>
          <w:p w14:paraId="6B1DF829"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9 264 322</w:t>
            </w:r>
          </w:p>
        </w:tc>
        <w:tc>
          <w:tcPr>
            <w:tcW w:w="2551" w:type="dxa"/>
            <w:tcBorders>
              <w:top w:val="nil"/>
              <w:left w:val="nil"/>
              <w:bottom w:val="single" w:sz="4" w:space="0" w:color="auto"/>
              <w:right w:val="single" w:sz="4" w:space="0" w:color="auto"/>
            </w:tcBorders>
            <w:shd w:val="clear" w:color="auto" w:fill="auto"/>
            <w:noWrap/>
            <w:vAlign w:val="bottom"/>
            <w:hideMark/>
          </w:tcPr>
          <w:p w14:paraId="77C62F15"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8 664 788</w:t>
            </w:r>
          </w:p>
        </w:tc>
      </w:tr>
      <w:tr w:rsidR="006E09DA" w:rsidRPr="006E09DA" w14:paraId="555851D9" w14:textId="77777777" w:rsidTr="008226C9">
        <w:trPr>
          <w:trHeight w:val="60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0CDA106" w14:textId="77777777" w:rsidR="006E09DA" w:rsidRPr="006E09DA" w:rsidRDefault="006E09DA" w:rsidP="00761D1D">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(подверженных амортизации в конце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2BA73F0B"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3 288 415,00</w:t>
            </w:r>
          </w:p>
        </w:tc>
        <w:tc>
          <w:tcPr>
            <w:tcW w:w="2551" w:type="dxa"/>
            <w:tcBorders>
              <w:top w:val="nil"/>
              <w:left w:val="nil"/>
              <w:bottom w:val="single" w:sz="4" w:space="0" w:color="auto"/>
              <w:right w:val="single" w:sz="4" w:space="0" w:color="auto"/>
            </w:tcBorders>
            <w:shd w:val="clear" w:color="auto" w:fill="auto"/>
            <w:noWrap/>
            <w:vAlign w:val="bottom"/>
            <w:hideMark/>
          </w:tcPr>
          <w:p w14:paraId="4A2A56FF"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3 163 161,00</w:t>
            </w:r>
          </w:p>
        </w:tc>
      </w:tr>
      <w:tr w:rsidR="006E09DA" w:rsidRPr="006E09DA" w14:paraId="7B8551E7" w14:textId="77777777" w:rsidTr="008226C9">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848CA2C" w14:textId="77777777" w:rsidR="006E09DA" w:rsidRPr="006E09DA" w:rsidRDefault="006E09DA" w:rsidP="00761D1D">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PAC (подверженных амортизации в начале периода)</w:t>
            </w:r>
          </w:p>
        </w:tc>
        <w:tc>
          <w:tcPr>
            <w:tcW w:w="2410" w:type="dxa"/>
            <w:tcBorders>
              <w:top w:val="nil"/>
              <w:left w:val="nil"/>
              <w:bottom w:val="single" w:sz="4" w:space="0" w:color="auto"/>
              <w:right w:val="single" w:sz="4" w:space="0" w:color="auto"/>
            </w:tcBorders>
            <w:shd w:val="clear" w:color="auto" w:fill="auto"/>
            <w:noWrap/>
            <w:vAlign w:val="bottom"/>
            <w:hideMark/>
          </w:tcPr>
          <w:p w14:paraId="5B80D9BE"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3 621 058,00</w:t>
            </w:r>
          </w:p>
        </w:tc>
        <w:tc>
          <w:tcPr>
            <w:tcW w:w="2551" w:type="dxa"/>
            <w:tcBorders>
              <w:top w:val="nil"/>
              <w:left w:val="nil"/>
              <w:bottom w:val="single" w:sz="4" w:space="0" w:color="auto"/>
              <w:right w:val="single" w:sz="4" w:space="0" w:color="auto"/>
            </w:tcBorders>
            <w:shd w:val="clear" w:color="auto" w:fill="auto"/>
            <w:noWrap/>
            <w:vAlign w:val="bottom"/>
            <w:hideMark/>
          </w:tcPr>
          <w:p w14:paraId="792E2D1B"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3 288 415,00</w:t>
            </w:r>
          </w:p>
        </w:tc>
      </w:tr>
      <w:tr w:rsidR="006E09DA" w:rsidRPr="006E09DA" w14:paraId="61CFDDF1" w14:textId="77777777" w:rsidTr="008226C9">
        <w:trPr>
          <w:trHeight w:val="58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4A3F6BD" w14:textId="77777777" w:rsidR="006E09DA" w:rsidRPr="006E09DA" w:rsidRDefault="006E09DA" w:rsidP="00761D1D">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РАС (подверженных амортизации средние)</w:t>
            </w:r>
          </w:p>
        </w:tc>
        <w:tc>
          <w:tcPr>
            <w:tcW w:w="2410" w:type="dxa"/>
            <w:tcBorders>
              <w:top w:val="nil"/>
              <w:left w:val="nil"/>
              <w:bottom w:val="single" w:sz="4" w:space="0" w:color="auto"/>
              <w:right w:val="single" w:sz="4" w:space="0" w:color="auto"/>
            </w:tcBorders>
            <w:shd w:val="clear" w:color="auto" w:fill="auto"/>
            <w:noWrap/>
            <w:vAlign w:val="bottom"/>
            <w:hideMark/>
          </w:tcPr>
          <w:p w14:paraId="613D992F"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3 454 736,50</w:t>
            </w:r>
          </w:p>
        </w:tc>
        <w:tc>
          <w:tcPr>
            <w:tcW w:w="2551" w:type="dxa"/>
            <w:tcBorders>
              <w:top w:val="nil"/>
              <w:left w:val="nil"/>
              <w:bottom w:val="single" w:sz="4" w:space="0" w:color="auto"/>
              <w:right w:val="single" w:sz="4" w:space="0" w:color="auto"/>
            </w:tcBorders>
            <w:shd w:val="clear" w:color="auto" w:fill="auto"/>
            <w:noWrap/>
            <w:vAlign w:val="bottom"/>
            <w:hideMark/>
          </w:tcPr>
          <w:p w14:paraId="132A88D4" w14:textId="77777777"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3 225 788,00</w:t>
            </w:r>
          </w:p>
        </w:tc>
      </w:tr>
      <w:tr w:rsidR="006E09DA" w:rsidRPr="006E09DA" w14:paraId="5BC38CE3"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E8257D7" w14:textId="77777777" w:rsidR="006E09DA" w:rsidRPr="006E09DA" w:rsidRDefault="006E09DA" w:rsidP="00761D1D">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NOPLAT</w:t>
            </w:r>
          </w:p>
        </w:tc>
        <w:tc>
          <w:tcPr>
            <w:tcW w:w="2410" w:type="dxa"/>
            <w:tcBorders>
              <w:top w:val="nil"/>
              <w:left w:val="nil"/>
              <w:bottom w:val="single" w:sz="4" w:space="0" w:color="auto"/>
              <w:right w:val="single" w:sz="4" w:space="0" w:color="auto"/>
            </w:tcBorders>
            <w:shd w:val="clear" w:color="auto" w:fill="auto"/>
            <w:noWrap/>
            <w:vAlign w:val="bottom"/>
            <w:hideMark/>
          </w:tcPr>
          <w:p w14:paraId="6970C585" w14:textId="5EDABD5C"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1 405 375,41</w:t>
            </w:r>
          </w:p>
        </w:tc>
        <w:tc>
          <w:tcPr>
            <w:tcW w:w="2551" w:type="dxa"/>
            <w:tcBorders>
              <w:top w:val="nil"/>
              <w:left w:val="nil"/>
              <w:bottom w:val="single" w:sz="4" w:space="0" w:color="auto"/>
              <w:right w:val="single" w:sz="4" w:space="0" w:color="auto"/>
            </w:tcBorders>
            <w:shd w:val="clear" w:color="auto" w:fill="auto"/>
            <w:noWrap/>
            <w:vAlign w:val="bottom"/>
            <w:hideMark/>
          </w:tcPr>
          <w:p w14:paraId="2656673E" w14:textId="089F6B5C" w:rsidR="006E09DA" w:rsidRPr="006E09DA" w:rsidRDefault="006E09DA" w:rsidP="00761D1D">
            <w:pPr>
              <w:spacing w:after="0" w:line="240" w:lineRule="auto"/>
              <w:ind w:firstLine="0"/>
              <w:jc w:val="center"/>
              <w:rPr>
                <w:rFonts w:eastAsia="Times New Roman" w:cs="Times New Roman"/>
                <w:color w:val="000000"/>
                <w:sz w:val="22"/>
                <w:lang w:eastAsia="ru-RU"/>
              </w:rPr>
            </w:pPr>
            <w:r w:rsidRPr="006E09DA">
              <w:rPr>
                <w:rFonts w:eastAsia="Times New Roman" w:cs="Times New Roman"/>
                <w:color w:val="000000"/>
                <w:sz w:val="22"/>
                <w:lang w:eastAsia="ru-RU"/>
              </w:rPr>
              <w:t>1 992 871,76</w:t>
            </w:r>
          </w:p>
        </w:tc>
      </w:tr>
      <w:tr w:rsidR="006E09DA" w:rsidRPr="006E09DA" w14:paraId="310F0173"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800D8B9" w14:textId="77777777" w:rsidR="006E09DA" w:rsidRPr="006E09DA" w:rsidRDefault="006E09DA" w:rsidP="00761D1D">
            <w:pPr>
              <w:spacing w:after="0" w:line="240" w:lineRule="auto"/>
              <w:ind w:firstLine="0"/>
              <w:jc w:val="left"/>
              <w:rPr>
                <w:rFonts w:eastAsia="Times New Roman" w:cs="Times New Roman"/>
                <w:i/>
                <w:iCs/>
                <w:color w:val="000000"/>
                <w:sz w:val="22"/>
                <w:lang w:eastAsia="ru-RU"/>
              </w:rPr>
            </w:pPr>
            <w:r w:rsidRPr="006E09DA">
              <w:rPr>
                <w:rFonts w:eastAsia="Times New Roman" w:cs="Times New Roman"/>
                <w:i/>
                <w:iCs/>
                <w:color w:val="000000"/>
                <w:sz w:val="22"/>
                <w:lang w:eastAsia="ru-RU"/>
              </w:rPr>
              <w:t>TAXES</w:t>
            </w:r>
          </w:p>
        </w:tc>
        <w:tc>
          <w:tcPr>
            <w:tcW w:w="2410" w:type="dxa"/>
            <w:tcBorders>
              <w:top w:val="nil"/>
              <w:left w:val="nil"/>
              <w:bottom w:val="single" w:sz="4" w:space="0" w:color="auto"/>
              <w:right w:val="single" w:sz="4" w:space="0" w:color="auto"/>
            </w:tcBorders>
            <w:shd w:val="clear" w:color="auto" w:fill="auto"/>
            <w:noWrap/>
            <w:vAlign w:val="bottom"/>
            <w:hideMark/>
          </w:tcPr>
          <w:p w14:paraId="53871F80" w14:textId="66E66257"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0,33</w:t>
            </w:r>
          </w:p>
        </w:tc>
        <w:tc>
          <w:tcPr>
            <w:tcW w:w="2551" w:type="dxa"/>
            <w:tcBorders>
              <w:top w:val="nil"/>
              <w:left w:val="nil"/>
              <w:bottom w:val="single" w:sz="4" w:space="0" w:color="auto"/>
              <w:right w:val="single" w:sz="4" w:space="0" w:color="auto"/>
            </w:tcBorders>
            <w:shd w:val="clear" w:color="auto" w:fill="auto"/>
            <w:noWrap/>
            <w:vAlign w:val="bottom"/>
            <w:hideMark/>
          </w:tcPr>
          <w:p w14:paraId="01D059BB" w14:textId="2F578D1B"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0,29</w:t>
            </w:r>
          </w:p>
        </w:tc>
      </w:tr>
      <w:tr w:rsidR="006E09DA" w:rsidRPr="006E09DA" w14:paraId="594790DA"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52A85FA5" w14:textId="77777777" w:rsidR="006E09DA" w:rsidRPr="006E09DA" w:rsidRDefault="006E09DA" w:rsidP="00761D1D">
            <w:pPr>
              <w:spacing w:after="0" w:line="240" w:lineRule="auto"/>
              <w:ind w:firstLine="0"/>
              <w:jc w:val="left"/>
              <w:rPr>
                <w:rFonts w:eastAsia="Times New Roman" w:cs="Times New Roman"/>
                <w:color w:val="000000"/>
                <w:sz w:val="22"/>
                <w:lang w:eastAsia="ru-RU"/>
              </w:rPr>
            </w:pPr>
            <w:r w:rsidRPr="006E09DA">
              <w:rPr>
                <w:rFonts w:eastAsia="Times New Roman" w:cs="Times New Roman"/>
                <w:color w:val="000000"/>
                <w:sz w:val="22"/>
                <w:lang w:eastAsia="ru-RU"/>
              </w:rPr>
              <w:t>ROAA</w:t>
            </w:r>
          </w:p>
        </w:tc>
        <w:tc>
          <w:tcPr>
            <w:tcW w:w="2410" w:type="dxa"/>
            <w:tcBorders>
              <w:top w:val="nil"/>
              <w:left w:val="nil"/>
              <w:bottom w:val="single" w:sz="4" w:space="0" w:color="auto"/>
              <w:right w:val="single" w:sz="4" w:space="0" w:color="auto"/>
            </w:tcBorders>
            <w:shd w:val="clear" w:color="auto" w:fill="auto"/>
            <w:noWrap/>
            <w:vAlign w:val="bottom"/>
            <w:hideMark/>
          </w:tcPr>
          <w:p w14:paraId="206A2C10" w14:textId="4CCD150E"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0,21</w:t>
            </w:r>
          </w:p>
        </w:tc>
        <w:tc>
          <w:tcPr>
            <w:tcW w:w="2551" w:type="dxa"/>
            <w:tcBorders>
              <w:top w:val="nil"/>
              <w:left w:val="nil"/>
              <w:bottom w:val="single" w:sz="4" w:space="0" w:color="auto"/>
              <w:right w:val="single" w:sz="4" w:space="0" w:color="auto"/>
            </w:tcBorders>
            <w:shd w:val="clear" w:color="auto" w:fill="auto"/>
            <w:noWrap/>
            <w:vAlign w:val="bottom"/>
            <w:hideMark/>
          </w:tcPr>
          <w:p w14:paraId="2429239A" w14:textId="72ADA887"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0,31</w:t>
            </w:r>
          </w:p>
        </w:tc>
      </w:tr>
      <w:tr w:rsidR="006E09DA" w:rsidRPr="006E09DA" w14:paraId="5780188E"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10F99F9" w14:textId="6AC1A32F" w:rsidR="006E09DA" w:rsidRPr="006E09DA" w:rsidRDefault="00761D1D" w:rsidP="00761D1D">
            <w:pPr>
              <w:spacing w:after="0" w:line="240" w:lineRule="auto"/>
              <w:ind w:firstLine="0"/>
              <w:jc w:val="left"/>
              <w:rPr>
                <w:rFonts w:eastAsia="Times New Roman" w:cs="Times New Roman"/>
                <w:b/>
                <w:bCs/>
                <w:color w:val="000000"/>
                <w:sz w:val="22"/>
                <w:lang w:eastAsia="ru-RU"/>
              </w:rPr>
            </w:pPr>
            <w:r w:rsidRPr="00761D1D">
              <w:rPr>
                <w:rFonts w:eastAsia="Times New Roman" w:cs="Times New Roman"/>
                <w:b/>
                <w:bCs/>
                <w:color w:val="000000"/>
                <w:sz w:val="22"/>
                <w:lang w:eastAsia="ru-RU"/>
              </w:rPr>
              <w:t>Стоимость компании, тыс.руб.</w:t>
            </w:r>
          </w:p>
        </w:tc>
        <w:tc>
          <w:tcPr>
            <w:tcW w:w="2410" w:type="dxa"/>
            <w:tcBorders>
              <w:top w:val="nil"/>
              <w:left w:val="nil"/>
              <w:bottom w:val="single" w:sz="4" w:space="0" w:color="auto"/>
              <w:right w:val="single" w:sz="4" w:space="0" w:color="auto"/>
            </w:tcBorders>
            <w:shd w:val="clear" w:color="auto" w:fill="auto"/>
            <w:noWrap/>
            <w:vAlign w:val="bottom"/>
            <w:hideMark/>
          </w:tcPr>
          <w:p w14:paraId="7E92C6C9" w14:textId="0B273935" w:rsidR="006E09DA" w:rsidRPr="006E09DA" w:rsidRDefault="006E09DA" w:rsidP="00761D1D">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10 700 035,17</w:t>
            </w:r>
          </w:p>
        </w:tc>
        <w:tc>
          <w:tcPr>
            <w:tcW w:w="2551" w:type="dxa"/>
            <w:tcBorders>
              <w:top w:val="nil"/>
              <w:left w:val="nil"/>
              <w:bottom w:val="single" w:sz="4" w:space="0" w:color="auto"/>
              <w:right w:val="single" w:sz="4" w:space="0" w:color="auto"/>
            </w:tcBorders>
            <w:shd w:val="clear" w:color="auto" w:fill="auto"/>
            <w:noWrap/>
            <w:vAlign w:val="bottom"/>
            <w:hideMark/>
          </w:tcPr>
          <w:p w14:paraId="5FE10B6C" w14:textId="7ACA6AF6" w:rsidR="006E09DA" w:rsidRPr="006E09DA" w:rsidRDefault="006E09DA" w:rsidP="00761D1D">
            <w:pPr>
              <w:spacing w:after="0" w:line="240" w:lineRule="auto"/>
              <w:ind w:firstLine="0"/>
              <w:jc w:val="center"/>
              <w:rPr>
                <w:rFonts w:eastAsia="Times New Roman" w:cs="Times New Roman"/>
                <w:b/>
                <w:bCs/>
                <w:color w:val="000000"/>
                <w:sz w:val="22"/>
                <w:lang w:eastAsia="ru-RU"/>
              </w:rPr>
            </w:pPr>
            <w:r w:rsidRPr="006E09DA">
              <w:rPr>
                <w:rFonts w:eastAsia="Times New Roman" w:cs="Times New Roman"/>
                <w:b/>
                <w:bCs/>
                <w:color w:val="000000"/>
                <w:sz w:val="22"/>
                <w:lang w:eastAsia="ru-RU"/>
              </w:rPr>
              <w:t>12 540 537,96</w:t>
            </w:r>
          </w:p>
        </w:tc>
      </w:tr>
      <w:tr w:rsidR="006E09DA" w:rsidRPr="006E09DA" w14:paraId="0B226BD8"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C9CE215" w14:textId="7C3A0D53" w:rsidR="006E09DA" w:rsidRPr="006E09DA" w:rsidRDefault="00761D1D" w:rsidP="00761D1D">
            <w:pPr>
              <w:spacing w:after="0" w:line="240" w:lineRule="auto"/>
              <w:ind w:firstLine="0"/>
              <w:jc w:val="left"/>
              <w:rPr>
                <w:rFonts w:eastAsia="Times New Roman" w:cs="Times New Roman"/>
                <w:i/>
                <w:iCs/>
                <w:color w:val="000000"/>
                <w:sz w:val="22"/>
                <w:lang w:eastAsia="ru-RU"/>
              </w:rPr>
            </w:pPr>
            <m:oMathPara>
              <m:oMathParaPr>
                <m:jc m:val="left"/>
              </m:oMathParaPr>
              <m:oMath>
                <m:r>
                  <w:rPr>
                    <w:rFonts w:ascii="Cambria Math" w:eastAsiaTheme="minorEastAsia" w:hAnsi="Cambria Math" w:cs="Times New Roman"/>
                    <w:i/>
                    <w:iCs/>
                    <w:sz w:val="22"/>
                    <w:lang w:val="en-US"/>
                  </w:rPr>
                  <w:sym w:font="Symbol" w:char="F074"/>
                </m:r>
              </m:oMath>
            </m:oMathPara>
          </w:p>
        </w:tc>
        <w:tc>
          <w:tcPr>
            <w:tcW w:w="2410" w:type="dxa"/>
            <w:tcBorders>
              <w:top w:val="nil"/>
              <w:left w:val="nil"/>
              <w:bottom w:val="single" w:sz="4" w:space="0" w:color="auto"/>
              <w:right w:val="single" w:sz="4" w:space="0" w:color="auto"/>
            </w:tcBorders>
            <w:shd w:val="clear" w:color="auto" w:fill="auto"/>
            <w:noWrap/>
            <w:vAlign w:val="bottom"/>
            <w:hideMark/>
          </w:tcPr>
          <w:p w14:paraId="599A43F3" w14:textId="42764EDC"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2,87</w:t>
            </w:r>
          </w:p>
        </w:tc>
        <w:tc>
          <w:tcPr>
            <w:tcW w:w="2551" w:type="dxa"/>
            <w:tcBorders>
              <w:top w:val="nil"/>
              <w:left w:val="nil"/>
              <w:bottom w:val="single" w:sz="4" w:space="0" w:color="auto"/>
              <w:right w:val="single" w:sz="4" w:space="0" w:color="auto"/>
            </w:tcBorders>
            <w:shd w:val="clear" w:color="auto" w:fill="auto"/>
            <w:noWrap/>
            <w:vAlign w:val="bottom"/>
            <w:hideMark/>
          </w:tcPr>
          <w:p w14:paraId="0E2DB917" w14:textId="4FBC328D"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1,50</w:t>
            </w:r>
          </w:p>
        </w:tc>
      </w:tr>
      <w:tr w:rsidR="006E09DA" w:rsidRPr="006E09DA" w14:paraId="27AB225B"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28FF1B2" w14:textId="77777777" w:rsidR="006E09DA" w:rsidRPr="006E09DA" w:rsidRDefault="006E09DA" w:rsidP="00761D1D">
            <w:pPr>
              <w:spacing w:after="0" w:line="240" w:lineRule="auto"/>
              <w:ind w:firstLine="0"/>
              <w:jc w:val="left"/>
              <w:rPr>
                <w:rFonts w:eastAsia="Times New Roman" w:cs="Times New Roman"/>
                <w:i/>
                <w:iCs/>
                <w:color w:val="000000"/>
                <w:sz w:val="22"/>
                <w:lang w:eastAsia="ru-RU"/>
              </w:rPr>
            </w:pPr>
            <w:proofErr w:type="spellStart"/>
            <w:r w:rsidRPr="006E09DA">
              <w:rPr>
                <w:rFonts w:eastAsia="Times New Roman" w:cs="Times New Roman"/>
                <w:i/>
                <w:iCs/>
                <w:color w:val="000000"/>
                <w:sz w:val="22"/>
                <w:lang w:eastAsia="ru-RU"/>
              </w:rPr>
              <w:t>Ta</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738044B" w14:textId="01EC22E5"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5,89</w:t>
            </w:r>
          </w:p>
        </w:tc>
        <w:tc>
          <w:tcPr>
            <w:tcW w:w="2551" w:type="dxa"/>
            <w:tcBorders>
              <w:top w:val="nil"/>
              <w:left w:val="nil"/>
              <w:bottom w:val="single" w:sz="4" w:space="0" w:color="auto"/>
              <w:right w:val="single" w:sz="4" w:space="0" w:color="auto"/>
            </w:tcBorders>
            <w:shd w:val="clear" w:color="auto" w:fill="auto"/>
            <w:noWrap/>
            <w:vAlign w:val="bottom"/>
            <w:hideMark/>
          </w:tcPr>
          <w:p w14:paraId="2B0987CA" w14:textId="5B034C3C"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6,00</w:t>
            </w:r>
          </w:p>
        </w:tc>
      </w:tr>
      <w:tr w:rsidR="006E09DA" w:rsidRPr="006E09DA" w14:paraId="64B6607D"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6B51CBF5" w14:textId="77777777" w:rsidR="006E09DA" w:rsidRPr="006E09DA" w:rsidRDefault="006E09DA" w:rsidP="00761D1D">
            <w:pPr>
              <w:spacing w:after="0" w:line="240" w:lineRule="auto"/>
              <w:ind w:firstLine="0"/>
              <w:jc w:val="left"/>
              <w:rPr>
                <w:rFonts w:eastAsia="Times New Roman" w:cs="Times New Roman"/>
                <w:i/>
                <w:iCs/>
                <w:color w:val="000000"/>
                <w:sz w:val="22"/>
                <w:lang w:eastAsia="ru-RU"/>
              </w:rPr>
            </w:pPr>
            <w:proofErr w:type="spellStart"/>
            <w:r w:rsidRPr="006E09DA">
              <w:rPr>
                <w:rFonts w:eastAsia="Times New Roman" w:cs="Times New Roman"/>
                <w:i/>
                <w:iCs/>
                <w:color w:val="000000"/>
                <w:sz w:val="22"/>
                <w:lang w:eastAsia="ru-RU"/>
              </w:rPr>
              <w:t>Dcum</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C0A5A1C" w14:textId="2890779C"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1 687 843,00</w:t>
            </w:r>
          </w:p>
        </w:tc>
        <w:tc>
          <w:tcPr>
            <w:tcW w:w="2551" w:type="dxa"/>
            <w:tcBorders>
              <w:top w:val="nil"/>
              <w:left w:val="nil"/>
              <w:bottom w:val="single" w:sz="4" w:space="0" w:color="auto"/>
              <w:right w:val="single" w:sz="4" w:space="0" w:color="auto"/>
            </w:tcBorders>
            <w:shd w:val="clear" w:color="auto" w:fill="auto"/>
            <w:noWrap/>
            <w:vAlign w:val="bottom"/>
            <w:hideMark/>
          </w:tcPr>
          <w:p w14:paraId="742FB16C" w14:textId="49497609"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2 371 160,00</w:t>
            </w:r>
          </w:p>
        </w:tc>
      </w:tr>
      <w:tr w:rsidR="006E09DA" w:rsidRPr="006E09DA" w14:paraId="699FC9FA" w14:textId="77777777" w:rsidTr="008226C9">
        <w:trPr>
          <w:trHeight w:val="29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43A076BF" w14:textId="77777777" w:rsidR="006E09DA" w:rsidRPr="006E09DA" w:rsidRDefault="006E09DA" w:rsidP="00761D1D">
            <w:pPr>
              <w:spacing w:after="0" w:line="240" w:lineRule="auto"/>
              <w:ind w:firstLine="0"/>
              <w:jc w:val="left"/>
              <w:rPr>
                <w:rFonts w:eastAsia="Times New Roman" w:cs="Times New Roman"/>
                <w:i/>
                <w:iCs/>
                <w:color w:val="000000"/>
                <w:sz w:val="22"/>
                <w:lang w:eastAsia="ru-RU"/>
              </w:rPr>
            </w:pPr>
            <w:r w:rsidRPr="006E09DA">
              <w:rPr>
                <w:rFonts w:eastAsia="Times New Roman" w:cs="Times New Roman"/>
                <w:i/>
                <w:iCs/>
                <w:color w:val="000000"/>
                <w:sz w:val="22"/>
                <w:lang w:eastAsia="ru-RU"/>
              </w:rPr>
              <w:t>q</w:t>
            </w:r>
          </w:p>
        </w:tc>
        <w:tc>
          <w:tcPr>
            <w:tcW w:w="2410" w:type="dxa"/>
            <w:tcBorders>
              <w:top w:val="nil"/>
              <w:left w:val="nil"/>
              <w:bottom w:val="single" w:sz="4" w:space="0" w:color="auto"/>
              <w:right w:val="single" w:sz="4" w:space="0" w:color="auto"/>
            </w:tcBorders>
            <w:shd w:val="clear" w:color="auto" w:fill="auto"/>
            <w:noWrap/>
            <w:vAlign w:val="bottom"/>
            <w:hideMark/>
          </w:tcPr>
          <w:p w14:paraId="7DF86755" w14:textId="2242135C"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0,49</w:t>
            </w:r>
          </w:p>
        </w:tc>
        <w:tc>
          <w:tcPr>
            <w:tcW w:w="2551" w:type="dxa"/>
            <w:tcBorders>
              <w:top w:val="nil"/>
              <w:left w:val="nil"/>
              <w:bottom w:val="single" w:sz="4" w:space="0" w:color="auto"/>
              <w:right w:val="single" w:sz="4" w:space="0" w:color="auto"/>
            </w:tcBorders>
            <w:shd w:val="clear" w:color="auto" w:fill="auto"/>
            <w:noWrap/>
            <w:vAlign w:val="bottom"/>
            <w:hideMark/>
          </w:tcPr>
          <w:p w14:paraId="3DA121F0" w14:textId="5BED6CF6" w:rsidR="006E09DA" w:rsidRPr="006E09DA" w:rsidRDefault="006E09DA" w:rsidP="00761D1D">
            <w:pPr>
              <w:spacing w:after="0" w:line="240" w:lineRule="auto"/>
              <w:ind w:firstLine="0"/>
              <w:jc w:val="center"/>
              <w:rPr>
                <w:rFonts w:eastAsia="Times New Roman" w:cs="Times New Roman"/>
                <w:i/>
                <w:iCs/>
                <w:color w:val="000000"/>
                <w:sz w:val="22"/>
                <w:lang w:eastAsia="ru-RU"/>
              </w:rPr>
            </w:pPr>
            <w:r w:rsidRPr="006E09DA">
              <w:rPr>
                <w:rFonts w:eastAsia="Times New Roman" w:cs="Times New Roman"/>
                <w:i/>
                <w:iCs/>
                <w:color w:val="000000"/>
                <w:sz w:val="22"/>
                <w:lang w:eastAsia="ru-RU"/>
              </w:rPr>
              <w:t>0,44</w:t>
            </w:r>
          </w:p>
        </w:tc>
      </w:tr>
    </w:tbl>
    <w:p w14:paraId="5132ACAD" w14:textId="60B09FC9" w:rsidR="00486520" w:rsidRPr="008226C9" w:rsidRDefault="00761D1D" w:rsidP="008226C9">
      <w:pPr>
        <w:ind w:left="567" w:firstLine="0"/>
        <w:rPr>
          <w:i/>
          <w:iCs/>
          <w:lang w:val="en-US" w:eastAsia="ru-RU"/>
        </w:rPr>
      </w:pPr>
      <w:r w:rsidRPr="00486520">
        <w:rPr>
          <w:i/>
          <w:iCs/>
          <w:lang w:eastAsia="ru-RU"/>
        </w:rPr>
        <w:t xml:space="preserve">Источник: </w:t>
      </w:r>
      <w:r w:rsidRPr="00486520">
        <w:rPr>
          <w:i/>
          <w:iCs/>
          <w:lang w:val="en-US" w:eastAsia="ru-RU"/>
        </w:rPr>
        <w:t>[</w:t>
      </w:r>
      <w:r w:rsidRPr="00486520">
        <w:rPr>
          <w:i/>
          <w:iCs/>
          <w:lang w:eastAsia="ru-RU"/>
        </w:rPr>
        <w:t>расчеты автора</w:t>
      </w:r>
      <w:r w:rsidRPr="00486520">
        <w:rPr>
          <w:i/>
          <w:iCs/>
          <w:lang w:val="en-US" w:eastAsia="ru-RU"/>
        </w:rPr>
        <w:t>]</w:t>
      </w:r>
    </w:p>
    <w:sectPr w:rsidR="00486520" w:rsidRPr="008226C9" w:rsidSect="00025044">
      <w:pgSz w:w="11906" w:h="16838"/>
      <w:pgMar w:top="1134" w:right="850"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9B531" w14:textId="77777777" w:rsidR="0056120C" w:rsidRDefault="0056120C" w:rsidP="00461911">
      <w:pPr>
        <w:spacing w:after="0" w:line="240" w:lineRule="auto"/>
      </w:pPr>
      <w:r>
        <w:separator/>
      </w:r>
    </w:p>
  </w:endnote>
  <w:endnote w:type="continuationSeparator" w:id="0">
    <w:p w14:paraId="432BA637" w14:textId="77777777" w:rsidR="0056120C" w:rsidRDefault="0056120C" w:rsidP="0046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8EAE" w14:textId="77777777" w:rsidR="00556FAA" w:rsidRDefault="00556FAA" w:rsidP="001542D4">
    <w:pPr>
      <w:pStyle w:val="af6"/>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998312"/>
      <w:docPartObj>
        <w:docPartGallery w:val="Page Numbers (Bottom of Page)"/>
        <w:docPartUnique/>
      </w:docPartObj>
    </w:sdtPr>
    <w:sdtEndPr/>
    <w:sdtContent>
      <w:p w14:paraId="0C323217" w14:textId="490EAB31" w:rsidR="00556FAA" w:rsidRDefault="00556FAA">
        <w:pPr>
          <w:pStyle w:val="af6"/>
          <w:jc w:val="right"/>
        </w:pPr>
        <w:r>
          <w:fldChar w:fldCharType="begin"/>
        </w:r>
        <w:r>
          <w:instrText>PAGE   \* MERGEFORMAT</w:instrText>
        </w:r>
        <w:r>
          <w:fldChar w:fldCharType="separate"/>
        </w:r>
        <w:r>
          <w:t>2</w:t>
        </w:r>
        <w:r>
          <w:fldChar w:fldCharType="end"/>
        </w:r>
      </w:p>
    </w:sdtContent>
  </w:sdt>
  <w:p w14:paraId="76B5D087" w14:textId="77777777" w:rsidR="00556FAA" w:rsidRDefault="00556FAA" w:rsidP="001542D4">
    <w:pPr>
      <w:pStyle w:val="af6"/>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0BB5A" w14:textId="77777777" w:rsidR="0056120C" w:rsidRDefault="0056120C" w:rsidP="00461911">
      <w:pPr>
        <w:spacing w:after="0" w:line="240" w:lineRule="auto"/>
      </w:pPr>
      <w:r>
        <w:separator/>
      </w:r>
    </w:p>
  </w:footnote>
  <w:footnote w:type="continuationSeparator" w:id="0">
    <w:p w14:paraId="6B21A5B6" w14:textId="77777777" w:rsidR="0056120C" w:rsidRDefault="0056120C" w:rsidP="00461911">
      <w:pPr>
        <w:spacing w:after="0" w:line="240" w:lineRule="auto"/>
      </w:pPr>
      <w:r>
        <w:continuationSeparator/>
      </w:r>
    </w:p>
  </w:footnote>
  <w:footnote w:id="1">
    <w:p w14:paraId="73519E96" w14:textId="13D0ACC1" w:rsidR="00556FAA" w:rsidRDefault="00556FAA">
      <w:pPr>
        <w:pStyle w:val="afc"/>
      </w:pPr>
      <w:r>
        <w:rPr>
          <w:rStyle w:val="afe"/>
        </w:rPr>
        <w:footnoteRef/>
      </w:r>
      <w:r>
        <w:t xml:space="preserve"> См. Приложение 1</w:t>
      </w:r>
    </w:p>
  </w:footnote>
  <w:footnote w:id="2">
    <w:p w14:paraId="77C44642" w14:textId="404EA8B4" w:rsidR="00556FAA" w:rsidRPr="00C17C66" w:rsidRDefault="00556FAA">
      <w:pPr>
        <w:pStyle w:val="afc"/>
      </w:pPr>
      <w:r>
        <w:rPr>
          <w:rStyle w:val="afe"/>
        </w:rPr>
        <w:footnoteRef/>
      </w:r>
      <w:r>
        <w:t xml:space="preserve"> </w:t>
      </w:r>
      <w:r w:rsidRPr="00C17C66">
        <w:rPr>
          <w:lang w:val="en-US"/>
        </w:rPr>
        <w:t>European</w:t>
      </w:r>
      <w:r w:rsidRPr="00C17C66">
        <w:t xml:space="preserve"> </w:t>
      </w:r>
      <w:r w:rsidRPr="00C17C66">
        <w:rPr>
          <w:lang w:val="en-US"/>
        </w:rPr>
        <w:t>Solvency</w:t>
      </w:r>
      <w:r w:rsidRPr="00C17C66">
        <w:t xml:space="preserve"> </w:t>
      </w:r>
      <w:r w:rsidRPr="00C17C66">
        <w:rPr>
          <w:lang w:val="en-US"/>
        </w:rPr>
        <w:t>II</w:t>
      </w:r>
      <w:r w:rsidRPr="00C17C66">
        <w:t xml:space="preserve"> </w:t>
      </w:r>
      <w:r w:rsidRPr="00C17C66">
        <w:rPr>
          <w:lang w:val="en-US"/>
        </w:rPr>
        <w:t>survey</w:t>
      </w:r>
      <w:r w:rsidRPr="00C17C66">
        <w:t xml:space="preserve"> 2014 // </w:t>
      </w:r>
      <w:r w:rsidRPr="00C17C66">
        <w:rPr>
          <w:lang w:val="en-US"/>
        </w:rPr>
        <w:t>Ernst</w:t>
      </w:r>
      <w:r w:rsidRPr="00C17C66">
        <w:t>&amp;</w:t>
      </w:r>
      <w:r w:rsidRPr="00C17C66">
        <w:rPr>
          <w:lang w:val="en-US"/>
        </w:rPr>
        <w:t>Young</w:t>
      </w:r>
      <w:r w:rsidRPr="00C17C66">
        <w:t xml:space="preserve"> [Электронный ресурс] — Режим доступа: </w:t>
      </w:r>
      <w:hyperlink r:id="rId1" w:history="1">
        <w:r w:rsidRPr="00F775FE">
          <w:rPr>
            <w:rStyle w:val="afa"/>
            <w:lang w:val="en-US"/>
          </w:rPr>
          <w:t>https</w:t>
        </w:r>
        <w:r w:rsidRPr="00F775FE">
          <w:rPr>
            <w:rStyle w:val="afa"/>
          </w:rPr>
          <w:t>://</w:t>
        </w:r>
        <w:r w:rsidRPr="00F775FE">
          <w:rPr>
            <w:rStyle w:val="afa"/>
            <w:lang w:val="en-US"/>
          </w:rPr>
          <w:t>www</w:t>
        </w:r>
        <w:r w:rsidRPr="00F775FE">
          <w:rPr>
            <w:rStyle w:val="afa"/>
          </w:rPr>
          <w:t>.</w:t>
        </w:r>
        <w:proofErr w:type="spellStart"/>
        <w:r w:rsidRPr="00F775FE">
          <w:rPr>
            <w:rStyle w:val="afa"/>
            <w:lang w:val="en-US"/>
          </w:rPr>
          <w:t>eycom</w:t>
        </w:r>
        <w:proofErr w:type="spellEnd"/>
        <w:r w:rsidRPr="00F775FE">
          <w:rPr>
            <w:rStyle w:val="afa"/>
          </w:rPr>
          <w:t>.</w:t>
        </w:r>
        <w:proofErr w:type="spellStart"/>
        <w:r w:rsidRPr="00F775FE">
          <w:rPr>
            <w:rStyle w:val="afa"/>
            <w:lang w:val="en-US"/>
          </w:rPr>
          <w:t>ch</w:t>
        </w:r>
        <w:proofErr w:type="spellEnd"/>
        <w:r w:rsidRPr="00F775FE">
          <w:rPr>
            <w:rStyle w:val="afa"/>
          </w:rPr>
          <w:t>/</w:t>
        </w:r>
        <w:proofErr w:type="spellStart"/>
        <w:r w:rsidRPr="00F775FE">
          <w:rPr>
            <w:rStyle w:val="afa"/>
            <w:lang w:val="en-US"/>
          </w:rPr>
          <w:t>en</w:t>
        </w:r>
        <w:proofErr w:type="spellEnd"/>
        <w:r w:rsidRPr="00F775FE">
          <w:rPr>
            <w:rStyle w:val="afa"/>
          </w:rPr>
          <w:t>/</w:t>
        </w:r>
        <w:r w:rsidRPr="00F775FE">
          <w:rPr>
            <w:rStyle w:val="afa"/>
            <w:lang w:val="en-US"/>
          </w:rPr>
          <w:t>Publications</w:t>
        </w:r>
        <w:r w:rsidRPr="00F775FE">
          <w:rPr>
            <w:rStyle w:val="afa"/>
          </w:rPr>
          <w:t>/20130530-</w:t>
        </w:r>
        <w:r w:rsidRPr="00F775FE">
          <w:rPr>
            <w:rStyle w:val="afa"/>
            <w:lang w:val="en-US"/>
          </w:rPr>
          <w:t>European</w:t>
        </w:r>
        <w:r w:rsidRPr="00F775FE">
          <w:rPr>
            <w:rStyle w:val="afa"/>
          </w:rPr>
          <w:t>-</w:t>
        </w:r>
        <w:r w:rsidRPr="00F775FE">
          <w:rPr>
            <w:rStyle w:val="afa"/>
            <w:lang w:val="en-US"/>
          </w:rPr>
          <w:t>Solvency</w:t>
        </w:r>
        <w:r w:rsidRPr="00F775FE">
          <w:rPr>
            <w:rStyle w:val="afa"/>
          </w:rPr>
          <w:t>-2-</w:t>
        </w:r>
        <w:r w:rsidRPr="00F775FE">
          <w:rPr>
            <w:rStyle w:val="afa"/>
            <w:lang w:val="en-US"/>
          </w:rPr>
          <w:t>survey</w:t>
        </w:r>
        <w:r w:rsidRPr="00F775FE">
          <w:rPr>
            <w:rStyle w:val="afa"/>
          </w:rPr>
          <w:t>/</w:t>
        </w:r>
        <w:r w:rsidRPr="00F775FE">
          <w:rPr>
            <w:rStyle w:val="afa"/>
            <w:lang w:val="en-US"/>
          </w:rPr>
          <w:t>download</w:t>
        </w:r>
      </w:hyperlink>
      <w:r w:rsidRPr="00C17C66">
        <w:t>,</w:t>
      </w:r>
      <w:r>
        <w:t xml:space="preserve"> </w:t>
      </w:r>
      <w:r w:rsidRPr="00C17C66">
        <w:t>свободный. (Дата обращения: 23.03.2020)</w:t>
      </w:r>
      <w:r>
        <w:t xml:space="preserve"> </w:t>
      </w:r>
    </w:p>
  </w:footnote>
  <w:footnote w:id="3">
    <w:p w14:paraId="1925FE73" w14:textId="2936B30B" w:rsidR="00556FAA" w:rsidRDefault="00556FAA" w:rsidP="00DD54B2">
      <w:pPr>
        <w:pStyle w:val="afc"/>
      </w:pPr>
      <w:r w:rsidRPr="00EA234D">
        <w:rPr>
          <w:rStyle w:val="afe"/>
        </w:rPr>
        <w:footnoteRef/>
      </w:r>
      <w:r w:rsidRPr="00EA234D">
        <w:t xml:space="preserve"> Об оценочной деятельности в Российской Федерации. Статья 3. Понятие оценочной деятельности: Федеральный закон от 29.07.1998 N 135-ФЗ: ред. от 28.11.2018 [Электронный ресурс]. — Режим доступа: </w:t>
      </w:r>
      <w:hyperlink r:id="rId2" w:history="1">
        <w:r w:rsidRPr="004D710E">
          <w:rPr>
            <w:rStyle w:val="afa"/>
          </w:rPr>
          <w:t>http://www.consultant.ru/document/cons_doc_LAW_19586/e1cc1a2466ed060fcaf283706ea933816eed7ace/</w:t>
        </w:r>
      </w:hyperlink>
      <w:r>
        <w:t>, свободный. (Дата обращения: 23.11.2019)</w:t>
      </w:r>
    </w:p>
  </w:footnote>
  <w:footnote w:id="4">
    <w:p w14:paraId="61561100" w14:textId="5E14C053" w:rsidR="00556FAA" w:rsidRDefault="00556FAA" w:rsidP="00BB5BE2">
      <w:pPr>
        <w:pStyle w:val="afc"/>
      </w:pPr>
      <w:r>
        <w:rPr>
          <w:rStyle w:val="afe"/>
        </w:rPr>
        <w:footnoteRef/>
      </w:r>
      <w:r>
        <w:t xml:space="preserve"> </w:t>
      </w:r>
      <w:proofErr w:type="spellStart"/>
      <w:r>
        <w:t>Бобиенко</w:t>
      </w:r>
      <w:proofErr w:type="spellEnd"/>
      <w:r>
        <w:t xml:space="preserve"> О. А. Подходы и методы оценки стоимости компании в современных условиях // Вестник ТИСБИ. — Казань, 2018. — №3. — С.157-161. </w:t>
      </w:r>
    </w:p>
  </w:footnote>
  <w:footnote w:id="5">
    <w:p w14:paraId="79B2B014" w14:textId="64493C2F" w:rsidR="00556FAA" w:rsidRDefault="00556FAA" w:rsidP="00AB028D">
      <w:pPr>
        <w:pStyle w:val="afc"/>
      </w:pPr>
      <w:r>
        <w:rPr>
          <w:rStyle w:val="afe"/>
        </w:rPr>
        <w:footnoteRef/>
      </w:r>
      <w:r>
        <w:t xml:space="preserve"> </w:t>
      </w:r>
      <w:bookmarkStart w:id="4" w:name="_Hlk28697579"/>
      <w:r w:rsidRPr="00EA234D">
        <w:t xml:space="preserve">Об оценочной деятельности в Российской Федерации. Статья </w:t>
      </w:r>
      <w:r>
        <w:t>8</w:t>
      </w:r>
      <w:r w:rsidRPr="00EA234D">
        <w:t xml:space="preserve">. </w:t>
      </w:r>
      <w:r>
        <w:t>Обязательность проведения оценки объектов оценки</w:t>
      </w:r>
      <w:r w:rsidRPr="00EA234D">
        <w:t xml:space="preserve">: Федеральный закон от 29.07.1998 N 135-ФЗ: ред. от 28.11.2018 [Электронный ресурс]. — Режим доступа: </w:t>
      </w:r>
      <w:r w:rsidRPr="00AB028D">
        <w:t>http://www.consultant.ru/document/cons_doc_LAW_19586/37ca272d51042a5a3d5fd61b11ea7ba2cf336c11/</w:t>
      </w:r>
      <w:r>
        <w:t>, свободный. (Дата обращения: 23.11.2019)</w:t>
      </w:r>
      <w:bookmarkEnd w:id="4"/>
    </w:p>
  </w:footnote>
  <w:footnote w:id="6">
    <w:p w14:paraId="3C63DAEE" w14:textId="77777777" w:rsidR="00556FAA" w:rsidRPr="001547CB" w:rsidRDefault="00556FAA" w:rsidP="00EC51E1">
      <w:pPr>
        <w:pStyle w:val="afc"/>
      </w:pPr>
      <w:r>
        <w:rPr>
          <w:rStyle w:val="afe"/>
        </w:rPr>
        <w:footnoteRef/>
      </w:r>
      <w:r w:rsidRPr="001547CB">
        <w:t xml:space="preserve"> </w:t>
      </w:r>
      <w:bookmarkStart w:id="5" w:name="_Hlk28700927"/>
      <w:r>
        <w:t>Дамодаран</w:t>
      </w:r>
      <w:r w:rsidRPr="001547CB">
        <w:t xml:space="preserve"> </w:t>
      </w:r>
      <w:r>
        <w:t>А. Инвестиционная</w:t>
      </w:r>
      <w:r w:rsidRPr="001547CB">
        <w:t xml:space="preserve"> </w:t>
      </w:r>
      <w:r>
        <w:t>оценка</w:t>
      </w:r>
      <w:r w:rsidRPr="001547CB">
        <w:t>.</w:t>
      </w:r>
      <w:r>
        <w:t xml:space="preserve"> Инструменты и методы оценки любых активов / А. Дамодаран. — 7-е изд. – </w:t>
      </w:r>
      <w:r w:rsidRPr="001547CB">
        <w:t xml:space="preserve">М.: Альпина </w:t>
      </w:r>
      <w:proofErr w:type="spellStart"/>
      <w:r w:rsidRPr="001547CB">
        <w:t>Паблишер</w:t>
      </w:r>
      <w:proofErr w:type="spellEnd"/>
      <w:r w:rsidRPr="001547CB">
        <w:t>, 2011.</w:t>
      </w:r>
      <w:r>
        <w:t xml:space="preserve"> — 1316 с. </w:t>
      </w:r>
      <w:bookmarkEnd w:id="5"/>
    </w:p>
  </w:footnote>
  <w:footnote w:id="7">
    <w:p w14:paraId="21E97F96" w14:textId="7B87BABD" w:rsidR="00556FAA" w:rsidRPr="00AB028D" w:rsidRDefault="00556FAA">
      <w:pPr>
        <w:pStyle w:val="afc"/>
      </w:pPr>
      <w:r>
        <w:rPr>
          <w:rStyle w:val="afe"/>
        </w:rPr>
        <w:footnoteRef/>
      </w:r>
      <w:r>
        <w:t xml:space="preserve"> О</w:t>
      </w:r>
      <w:r w:rsidRPr="00624B08">
        <w:t>ценка бизнеса: цели, подходы и методы определения стоимости предприятия</w:t>
      </w:r>
      <w:r>
        <w:t xml:space="preserve"> </w:t>
      </w:r>
      <w:r w:rsidRPr="00AB028D">
        <w:t>[</w:t>
      </w:r>
      <w:proofErr w:type="spellStart"/>
      <w:r>
        <w:t>Электро</w:t>
      </w:r>
      <w:proofErr w:type="spellEnd"/>
      <w:r>
        <w:t xml:space="preserve">  </w:t>
      </w:r>
      <w:r w:rsidRPr="00AB028D">
        <w:t>]</w:t>
      </w:r>
      <w:r>
        <w:t xml:space="preserve">// Саморегулируемая организация ассоциация оценщиков «Сообщество профессионалов оценки» </w:t>
      </w:r>
      <w:hyperlink r:id="rId3" w:history="1">
        <w:r w:rsidRPr="0061161F">
          <w:rPr>
            <w:rStyle w:val="afa"/>
            <w:lang w:val="en-US"/>
          </w:rPr>
          <w:t>https</w:t>
        </w:r>
        <w:r w:rsidRPr="00AB028D">
          <w:rPr>
            <w:rStyle w:val="afa"/>
          </w:rPr>
          <w:t>://</w:t>
        </w:r>
        <w:proofErr w:type="spellStart"/>
        <w:r w:rsidRPr="0061161F">
          <w:rPr>
            <w:rStyle w:val="afa"/>
            <w:lang w:val="en-US"/>
          </w:rPr>
          <w:t>cpa</w:t>
        </w:r>
        <w:proofErr w:type="spellEnd"/>
        <w:r w:rsidRPr="00AB028D">
          <w:rPr>
            <w:rStyle w:val="afa"/>
          </w:rPr>
          <w:t>-</w:t>
        </w:r>
        <w:proofErr w:type="spellStart"/>
        <w:r w:rsidRPr="0061161F">
          <w:rPr>
            <w:rStyle w:val="afa"/>
            <w:lang w:val="en-US"/>
          </w:rPr>
          <w:t>russia</w:t>
        </w:r>
        <w:proofErr w:type="spellEnd"/>
        <w:r w:rsidRPr="00AB028D">
          <w:rPr>
            <w:rStyle w:val="afa"/>
          </w:rPr>
          <w:t>.</w:t>
        </w:r>
        <w:r w:rsidRPr="0061161F">
          <w:rPr>
            <w:rStyle w:val="afa"/>
            <w:lang w:val="en-US"/>
          </w:rPr>
          <w:t>org</w:t>
        </w:r>
        <w:r w:rsidRPr="00AB028D">
          <w:rPr>
            <w:rStyle w:val="afa"/>
          </w:rPr>
          <w:t>/</w:t>
        </w:r>
        <w:r w:rsidRPr="0061161F">
          <w:rPr>
            <w:rStyle w:val="afa"/>
            <w:lang w:val="en-US"/>
          </w:rPr>
          <w:t>news</w:t>
        </w:r>
        <w:r w:rsidRPr="00AB028D">
          <w:rPr>
            <w:rStyle w:val="afa"/>
          </w:rPr>
          <w:t>-</w:t>
        </w:r>
        <w:proofErr w:type="spellStart"/>
        <w:r w:rsidRPr="0061161F">
          <w:rPr>
            <w:rStyle w:val="afa"/>
            <w:lang w:val="en-US"/>
          </w:rPr>
          <w:t>spo</w:t>
        </w:r>
        <w:proofErr w:type="spellEnd"/>
        <w:r w:rsidRPr="00AB028D">
          <w:rPr>
            <w:rStyle w:val="afa"/>
          </w:rPr>
          <w:t>/1413/</w:t>
        </w:r>
      </w:hyperlink>
      <w:r w:rsidRPr="00AB028D">
        <w:t xml:space="preserve"> </w:t>
      </w:r>
    </w:p>
  </w:footnote>
  <w:footnote w:id="8">
    <w:p w14:paraId="0B1B6804" w14:textId="77777777" w:rsidR="00556FAA" w:rsidRPr="00D12BEB" w:rsidRDefault="00556FAA" w:rsidP="00D85ADF">
      <w:pPr>
        <w:pStyle w:val="afc"/>
        <w:rPr>
          <w:lang w:val="en-US"/>
        </w:rPr>
      </w:pPr>
      <w:r>
        <w:rPr>
          <w:rStyle w:val="afe"/>
        </w:rPr>
        <w:footnoteRef/>
      </w:r>
      <w:r w:rsidRPr="00F9791F">
        <w:rPr>
          <w:lang w:val="en-US"/>
        </w:rPr>
        <w:t xml:space="preserve"> Durham, Catherine J. “Understanding the Basic Business Valuation Methods.” Control</w:t>
      </w:r>
      <w:r w:rsidRPr="00D12BEB">
        <w:rPr>
          <w:lang w:val="en-US"/>
        </w:rPr>
        <w:t xml:space="preserve"> </w:t>
      </w:r>
      <w:r w:rsidRPr="00F9791F">
        <w:rPr>
          <w:lang w:val="en-US"/>
        </w:rPr>
        <w:t>Engineering</w:t>
      </w:r>
      <w:r w:rsidRPr="00D12BEB">
        <w:rPr>
          <w:lang w:val="en-US"/>
        </w:rPr>
        <w:t xml:space="preserve">, </w:t>
      </w:r>
      <w:r w:rsidRPr="00F9791F">
        <w:rPr>
          <w:lang w:val="en-US"/>
        </w:rPr>
        <w:t>vol</w:t>
      </w:r>
      <w:r w:rsidRPr="00D12BEB">
        <w:rPr>
          <w:lang w:val="en-US"/>
        </w:rPr>
        <w:t xml:space="preserve">. 63, </w:t>
      </w:r>
      <w:r w:rsidRPr="00F9791F">
        <w:rPr>
          <w:lang w:val="en-US"/>
        </w:rPr>
        <w:t>no</w:t>
      </w:r>
      <w:r w:rsidRPr="00D12BEB">
        <w:rPr>
          <w:lang w:val="en-US"/>
        </w:rPr>
        <w:t xml:space="preserve">. 12, </w:t>
      </w:r>
      <w:r w:rsidRPr="00F9791F">
        <w:rPr>
          <w:lang w:val="en-US"/>
        </w:rPr>
        <w:t>Dec</w:t>
      </w:r>
      <w:r w:rsidRPr="00D12BEB">
        <w:rPr>
          <w:lang w:val="en-US"/>
        </w:rPr>
        <w:t xml:space="preserve">. 2016, </w:t>
      </w:r>
      <w:r w:rsidRPr="00F9791F">
        <w:rPr>
          <w:lang w:val="en-US"/>
        </w:rPr>
        <w:t>p</w:t>
      </w:r>
      <w:r w:rsidRPr="00D12BEB">
        <w:rPr>
          <w:lang w:val="en-US"/>
        </w:rPr>
        <w:t xml:space="preserve">. 24. </w:t>
      </w:r>
    </w:p>
  </w:footnote>
  <w:footnote w:id="9">
    <w:p w14:paraId="0A536167" w14:textId="77777777" w:rsidR="00556FAA" w:rsidRPr="009E792B" w:rsidRDefault="00556FAA" w:rsidP="00196172">
      <w:pPr>
        <w:pStyle w:val="afc"/>
        <w:rPr>
          <w:lang w:val="en-US"/>
        </w:rPr>
      </w:pPr>
      <w:r>
        <w:rPr>
          <w:rStyle w:val="afe"/>
        </w:rPr>
        <w:footnoteRef/>
      </w:r>
      <w:r w:rsidRPr="009E792B">
        <w:rPr>
          <w:lang w:val="en-US"/>
        </w:rPr>
        <w:t xml:space="preserve"> </w:t>
      </w:r>
      <w:r>
        <w:rPr>
          <w:lang w:val="en-US"/>
        </w:rPr>
        <w:t xml:space="preserve">Steven C. Applying income-approach business valuation methods to professional practices. // Journal of Financial Service Professionals. — 2004. — P. 91-99. </w:t>
      </w:r>
    </w:p>
  </w:footnote>
  <w:footnote w:id="10">
    <w:p w14:paraId="78D76FB0" w14:textId="77777777" w:rsidR="00556FAA" w:rsidRDefault="00556FAA" w:rsidP="000135DF">
      <w:pPr>
        <w:pStyle w:val="afc"/>
      </w:pPr>
      <w:r>
        <w:rPr>
          <w:rStyle w:val="afe"/>
        </w:rPr>
        <w:footnoteRef/>
      </w:r>
      <w:r>
        <w:t xml:space="preserve"> </w:t>
      </w:r>
      <w:bookmarkStart w:id="7" w:name="_Hlk28632573"/>
      <w:r>
        <w:t>Синичкин П.В., Мичурин Е.А. Анализ основных подходов к оценке стоимости компаний</w:t>
      </w:r>
      <w:bookmarkEnd w:id="7"/>
      <w:r>
        <w:t>.</w:t>
      </w:r>
    </w:p>
  </w:footnote>
  <w:footnote w:id="11">
    <w:p w14:paraId="78DD5034" w14:textId="77777777" w:rsidR="00556FAA" w:rsidRPr="00A47E49" w:rsidRDefault="00556FAA" w:rsidP="000135DF">
      <w:pPr>
        <w:pStyle w:val="afc"/>
      </w:pPr>
      <w:r>
        <w:rPr>
          <w:rStyle w:val="afe"/>
        </w:rPr>
        <w:footnoteRef/>
      </w:r>
      <w:r>
        <w:t xml:space="preserve"> </w:t>
      </w:r>
      <w:proofErr w:type="spellStart"/>
      <w:r>
        <w:t>Церкозенко</w:t>
      </w:r>
      <w:proofErr w:type="spellEnd"/>
      <w:r>
        <w:t xml:space="preserve"> О.В., Барышникова Н.С. Затратный подход в оценке стоимости бизнеса // Материал </w:t>
      </w:r>
      <w:r>
        <w:rPr>
          <w:lang w:val="en-US"/>
        </w:rPr>
        <w:t>XV</w:t>
      </w:r>
      <w:r>
        <w:t xml:space="preserve"> международной научно-практической конференции — 2018. — с.84-86. </w:t>
      </w:r>
    </w:p>
  </w:footnote>
  <w:footnote w:id="12">
    <w:p w14:paraId="52BA486F" w14:textId="77777777" w:rsidR="00556FAA" w:rsidRPr="000E7457" w:rsidRDefault="00556FAA" w:rsidP="000135DF">
      <w:pPr>
        <w:pStyle w:val="afc"/>
      </w:pPr>
      <w:r>
        <w:rPr>
          <w:rStyle w:val="afe"/>
        </w:rPr>
        <w:footnoteRef/>
      </w:r>
      <w:r w:rsidRPr="000E7457">
        <w:t xml:space="preserve"> </w:t>
      </w:r>
      <w:r>
        <w:t xml:space="preserve">Татаринцева Я.П. Подходы, принципы оценки стоимости компании и факторы, влияющие на точность оценки // Сборник статей победителей международной научно-практической конференции — 2017. — с.89-92.  </w:t>
      </w:r>
    </w:p>
  </w:footnote>
  <w:footnote w:id="13">
    <w:p w14:paraId="3D2C59F8" w14:textId="01660EBF" w:rsidR="00556FAA" w:rsidRPr="00EA1EC3" w:rsidRDefault="00556FAA" w:rsidP="00553165">
      <w:pPr>
        <w:pStyle w:val="afc"/>
      </w:pPr>
      <w:r>
        <w:rPr>
          <w:rStyle w:val="afe"/>
        </w:rPr>
        <w:footnoteRef/>
      </w:r>
      <w:r>
        <w:t xml:space="preserve"> Татарова А.В. Оценка недвижимости и управление собственностью / Татарова А.В. — учебное пособие. Таганрог</w:t>
      </w:r>
      <w:r w:rsidRPr="00EA1EC3">
        <w:t xml:space="preserve">: </w:t>
      </w:r>
      <w:r>
        <w:t>Изд</w:t>
      </w:r>
      <w:r w:rsidRPr="00EA1EC3">
        <w:t>-</w:t>
      </w:r>
      <w:r>
        <w:t>во</w:t>
      </w:r>
      <w:r w:rsidRPr="00EA1EC3">
        <w:t xml:space="preserve"> </w:t>
      </w:r>
      <w:r>
        <w:t>ТРТУ</w:t>
      </w:r>
      <w:r w:rsidRPr="00EA1EC3">
        <w:t xml:space="preserve">, 2003. — </w:t>
      </w:r>
      <w:r>
        <w:t>с</w:t>
      </w:r>
      <w:r w:rsidRPr="00EA1EC3">
        <w:t xml:space="preserve">.70. </w:t>
      </w:r>
    </w:p>
  </w:footnote>
  <w:footnote w:id="14">
    <w:p w14:paraId="2D8FA509" w14:textId="4B09C727" w:rsidR="00556FAA" w:rsidRDefault="00556FAA">
      <w:pPr>
        <w:pStyle w:val="afc"/>
      </w:pPr>
      <w:r>
        <w:rPr>
          <w:rStyle w:val="afe"/>
        </w:rPr>
        <w:footnoteRef/>
      </w:r>
      <w:r>
        <w:t xml:space="preserve"> </w:t>
      </w:r>
      <w:proofErr w:type="spellStart"/>
      <w:r>
        <w:t>Бобиенко</w:t>
      </w:r>
      <w:proofErr w:type="spellEnd"/>
      <w:r>
        <w:t xml:space="preserve"> О.А. Подходы и методы оценки стоимости компании в современных условиях // Вестник ТИСБИ. — Казань, 2018. — №3. — С.157-161.</w:t>
      </w:r>
    </w:p>
  </w:footnote>
  <w:footnote w:id="15">
    <w:p w14:paraId="56EE0407" w14:textId="77777777" w:rsidR="00556FAA" w:rsidRDefault="00556FAA" w:rsidP="00922DC9">
      <w:pPr>
        <w:pStyle w:val="afc"/>
      </w:pPr>
      <w:r>
        <w:rPr>
          <w:rStyle w:val="afe"/>
        </w:rPr>
        <w:footnoteRef/>
      </w:r>
      <w:r>
        <w:t xml:space="preserve"> </w:t>
      </w:r>
      <w:proofErr w:type="spellStart"/>
      <w:r>
        <w:t>Бобиенко</w:t>
      </w:r>
      <w:proofErr w:type="spellEnd"/>
      <w:r>
        <w:t xml:space="preserve"> О.А. Подходы и методы оценки стоимости компании в современных условиях </w:t>
      </w:r>
    </w:p>
  </w:footnote>
  <w:footnote w:id="16">
    <w:p w14:paraId="00CBD04A" w14:textId="77777777" w:rsidR="00556FAA" w:rsidRDefault="00556FAA" w:rsidP="00196172">
      <w:pPr>
        <w:pStyle w:val="afc"/>
      </w:pPr>
      <w:r>
        <w:rPr>
          <w:rStyle w:val="afe"/>
        </w:rPr>
        <w:footnoteRef/>
      </w:r>
      <w:r>
        <w:t xml:space="preserve"> Синичкин П.В., Мичурин Е.А. Анализ основных подходов к оценке стоимости компаний. // Сборник статей Всероссийской научно-практической конференции. — 2015. — с. 179-186 </w:t>
      </w:r>
    </w:p>
  </w:footnote>
  <w:footnote w:id="17">
    <w:p w14:paraId="3546567C" w14:textId="3AEA4394" w:rsidR="00556FAA" w:rsidRDefault="00556FAA" w:rsidP="00D40B4A">
      <w:pPr>
        <w:pStyle w:val="afc"/>
      </w:pPr>
      <w:r>
        <w:rPr>
          <w:rStyle w:val="afe"/>
        </w:rPr>
        <w:footnoteRef/>
      </w:r>
      <w:r>
        <w:t xml:space="preserve"> Буга А.В., Кудряшов В.С., Иванова Е.А. Определение стоимости объекта оценки: сравнительный подход // Экономика и управление народным хозяйством. — СПБ, 2019. — №8(10). — с. 79-91.</w:t>
      </w:r>
    </w:p>
  </w:footnote>
  <w:footnote w:id="18">
    <w:p w14:paraId="0BF5CE85" w14:textId="77777777" w:rsidR="00556FAA" w:rsidRPr="0056078E" w:rsidRDefault="00556FAA" w:rsidP="00D40B4A">
      <w:pPr>
        <w:pStyle w:val="afc"/>
        <w:rPr>
          <w:lang w:val="en-US"/>
        </w:rPr>
      </w:pPr>
      <w:r>
        <w:rPr>
          <w:rStyle w:val="afe"/>
        </w:rPr>
        <w:footnoteRef/>
      </w:r>
      <w:r w:rsidRPr="0056078E">
        <w:rPr>
          <w:lang w:val="en-US"/>
        </w:rPr>
        <w:t xml:space="preserve"> </w:t>
      </w:r>
      <w:bookmarkStart w:id="8" w:name="_Hlk28632555"/>
      <w:r w:rsidRPr="001D55BD">
        <w:rPr>
          <w:lang w:val="en-US"/>
        </w:rPr>
        <w:t xml:space="preserve">Hooke, Jeffrey C. Security analysis and business valuation on Wall Street: a comprehensive guide to today’s valuation methods </w:t>
      </w:r>
      <w:bookmarkEnd w:id="8"/>
      <w:r w:rsidRPr="001D55BD">
        <w:rPr>
          <w:lang w:val="en-US"/>
        </w:rPr>
        <w:t>— 2nd ed., Wiley &amp; Sons, Inc., Hoboken, New Jersey, 2010. – 431 p</w:t>
      </w:r>
    </w:p>
  </w:footnote>
  <w:footnote w:id="19">
    <w:p w14:paraId="66A69680" w14:textId="626D6D2D" w:rsidR="00556FAA" w:rsidRDefault="00556FAA">
      <w:pPr>
        <w:pStyle w:val="afc"/>
      </w:pPr>
      <w:r>
        <w:rPr>
          <w:rStyle w:val="afe"/>
        </w:rPr>
        <w:footnoteRef/>
      </w:r>
      <w:r>
        <w:t xml:space="preserve"> </w:t>
      </w:r>
      <w:bookmarkStart w:id="9" w:name="_Hlk28635478"/>
      <w:r>
        <w:t>Синичкин П.В., Мичурин Е.А. Анализ основных подходов к оценке стоимости компаний</w:t>
      </w:r>
      <w:bookmarkEnd w:id="9"/>
      <w:r>
        <w:t>.</w:t>
      </w:r>
    </w:p>
  </w:footnote>
  <w:footnote w:id="20">
    <w:p w14:paraId="3CC132FE" w14:textId="77777777" w:rsidR="00556FAA" w:rsidRPr="00206566" w:rsidRDefault="00556FAA" w:rsidP="008F1CFE">
      <w:pPr>
        <w:pStyle w:val="afc"/>
      </w:pPr>
      <w:r>
        <w:rPr>
          <w:rStyle w:val="afe"/>
        </w:rPr>
        <w:footnoteRef/>
      </w:r>
      <w:r w:rsidRPr="004C07CE">
        <w:rPr>
          <w:lang w:val="en-US"/>
        </w:rPr>
        <w:t xml:space="preserve"> </w:t>
      </w:r>
      <w:r w:rsidRPr="00F9791F">
        <w:rPr>
          <w:lang w:val="en-US"/>
        </w:rPr>
        <w:t>Durham, Catherine J. “Understanding the Basic Business Valuation Methods.” Control</w:t>
      </w:r>
      <w:r w:rsidRPr="00206566">
        <w:t xml:space="preserve"> </w:t>
      </w:r>
      <w:r w:rsidRPr="00F9791F">
        <w:rPr>
          <w:lang w:val="en-US"/>
        </w:rPr>
        <w:t>Engineering</w:t>
      </w:r>
      <w:r w:rsidRPr="00206566">
        <w:t xml:space="preserve">, </w:t>
      </w:r>
      <w:r w:rsidRPr="00F9791F">
        <w:rPr>
          <w:lang w:val="en-US"/>
        </w:rPr>
        <w:t>vol</w:t>
      </w:r>
      <w:r w:rsidRPr="00206566">
        <w:t xml:space="preserve">. 63, </w:t>
      </w:r>
      <w:r w:rsidRPr="00F9791F">
        <w:rPr>
          <w:lang w:val="en-US"/>
        </w:rPr>
        <w:t>no</w:t>
      </w:r>
      <w:r w:rsidRPr="00206566">
        <w:t xml:space="preserve">. 12, </w:t>
      </w:r>
      <w:r w:rsidRPr="00F9791F">
        <w:rPr>
          <w:lang w:val="en-US"/>
        </w:rPr>
        <w:t>Dec</w:t>
      </w:r>
      <w:r w:rsidRPr="00206566">
        <w:t xml:space="preserve">. 2016, </w:t>
      </w:r>
      <w:r w:rsidRPr="00F9791F">
        <w:rPr>
          <w:lang w:val="en-US"/>
        </w:rPr>
        <w:t>p</w:t>
      </w:r>
      <w:r w:rsidRPr="00206566">
        <w:t>. 24.</w:t>
      </w:r>
    </w:p>
  </w:footnote>
  <w:footnote w:id="21">
    <w:p w14:paraId="1D9AF429" w14:textId="08E787A3" w:rsidR="00556FAA" w:rsidRPr="004B4466" w:rsidRDefault="00556FAA">
      <w:pPr>
        <w:pStyle w:val="afc"/>
      </w:pPr>
      <w:r>
        <w:rPr>
          <w:rStyle w:val="afe"/>
        </w:rPr>
        <w:footnoteRef/>
      </w:r>
      <w:r w:rsidRPr="005B465C">
        <w:t xml:space="preserve"> </w:t>
      </w:r>
      <w:r>
        <w:t xml:space="preserve">В приложении 3 представлены результаты исследования применения инструментов оценки ценности на развивающихся рынках </w:t>
      </w:r>
    </w:p>
  </w:footnote>
  <w:footnote w:id="22">
    <w:p w14:paraId="4E784472" w14:textId="50D8563F" w:rsidR="00556FAA" w:rsidRPr="00D66098" w:rsidRDefault="00556FAA">
      <w:pPr>
        <w:pStyle w:val="afc"/>
        <w:rPr>
          <w:lang w:val="en-US"/>
        </w:rPr>
      </w:pPr>
      <w:r>
        <w:rPr>
          <w:rStyle w:val="afe"/>
        </w:rPr>
        <w:footnoteRef/>
      </w:r>
      <w:r w:rsidRPr="00D66098">
        <w:rPr>
          <w:lang w:val="en-US"/>
        </w:rPr>
        <w:t xml:space="preserve"> </w:t>
      </w:r>
      <w:bookmarkStart w:id="10" w:name="_Hlk35984256"/>
      <w:r w:rsidRPr="00D66098">
        <w:rPr>
          <w:lang w:val="en-US"/>
        </w:rPr>
        <w:t xml:space="preserve">Marc </w:t>
      </w:r>
      <w:proofErr w:type="spellStart"/>
      <w:r w:rsidRPr="00D66098">
        <w:rPr>
          <w:lang w:val="en-US"/>
        </w:rPr>
        <w:t>Goedhart</w:t>
      </w:r>
      <w:proofErr w:type="spellEnd"/>
      <w:r w:rsidRPr="00D66098">
        <w:rPr>
          <w:lang w:val="en-US"/>
        </w:rPr>
        <w:t xml:space="preserve">, Tim Koller, David Wessels Valuing high-tech companies </w:t>
      </w:r>
      <w:r>
        <w:rPr>
          <w:lang w:val="en-US"/>
        </w:rPr>
        <w:t>// Strategy &amp; Corporate Finance</w:t>
      </w:r>
      <w:r w:rsidRPr="00553165">
        <w:rPr>
          <w:lang w:val="en-US"/>
        </w:rPr>
        <w:t>.</w:t>
      </w:r>
      <w:r>
        <w:rPr>
          <w:lang w:val="en-US"/>
        </w:rPr>
        <w:t xml:space="preserve"> Book Excerpt, February 2016</w:t>
      </w:r>
      <w:bookmarkEnd w:id="10"/>
    </w:p>
  </w:footnote>
  <w:footnote w:id="23">
    <w:p w14:paraId="65E7B4F5" w14:textId="75876735" w:rsidR="00556FAA" w:rsidRPr="002774E6" w:rsidRDefault="00556FAA">
      <w:pPr>
        <w:pStyle w:val="afc"/>
        <w:rPr>
          <w:lang w:val="en-US"/>
        </w:rPr>
      </w:pPr>
      <w:r>
        <w:rPr>
          <w:rStyle w:val="afe"/>
        </w:rPr>
        <w:footnoteRef/>
      </w:r>
      <w:r w:rsidRPr="002774E6">
        <w:rPr>
          <w:lang w:val="en-US"/>
        </w:rPr>
        <w:t xml:space="preserve"> Nick </w:t>
      </w:r>
      <w:proofErr w:type="spellStart"/>
      <w:r w:rsidRPr="002774E6">
        <w:rPr>
          <w:lang w:val="en-US"/>
        </w:rPr>
        <w:t>Antill</w:t>
      </w:r>
      <w:proofErr w:type="spellEnd"/>
      <w:r w:rsidRPr="002774E6">
        <w:rPr>
          <w:lang w:val="en-US"/>
        </w:rPr>
        <w:t>, Kenneth Lee</w:t>
      </w:r>
      <w:r>
        <w:rPr>
          <w:lang w:val="en-US"/>
        </w:rPr>
        <w:t xml:space="preserve"> </w:t>
      </w:r>
      <w:r w:rsidRPr="002774E6">
        <w:rPr>
          <w:lang w:val="en-US"/>
        </w:rPr>
        <w:t>Company Valuation Under IFRS: Interpreting and Forecasting Accounts Using International Financial Reporting Standards</w:t>
      </w:r>
      <w:r>
        <w:rPr>
          <w:lang w:val="en-US"/>
        </w:rPr>
        <w:t xml:space="preserve"> / </w:t>
      </w:r>
      <w:proofErr w:type="spellStart"/>
      <w:r>
        <w:rPr>
          <w:lang w:val="en-US"/>
        </w:rPr>
        <w:t>Antill</w:t>
      </w:r>
      <w:proofErr w:type="spellEnd"/>
      <w:r>
        <w:rPr>
          <w:lang w:val="en-US"/>
        </w:rPr>
        <w:t xml:space="preserve"> N., Lee K. // Harriman House Publishing, 2</w:t>
      </w:r>
      <w:r w:rsidRPr="006C37B1">
        <w:rPr>
          <w:vertAlign w:val="superscript"/>
          <w:lang w:val="en-US"/>
        </w:rPr>
        <w:t>nd</w:t>
      </w:r>
      <w:r>
        <w:rPr>
          <w:lang w:val="en-US"/>
        </w:rPr>
        <w:t xml:space="preserve"> edition, 2008 — 430p.</w:t>
      </w:r>
    </w:p>
  </w:footnote>
  <w:footnote w:id="24">
    <w:p w14:paraId="49382611" w14:textId="4168B9AC" w:rsidR="00556FAA" w:rsidRDefault="00556FAA">
      <w:pPr>
        <w:pStyle w:val="afc"/>
      </w:pPr>
      <w:r>
        <w:rPr>
          <w:rStyle w:val="afe"/>
        </w:rPr>
        <w:footnoteRef/>
      </w:r>
      <w:r>
        <w:t xml:space="preserve"> </w:t>
      </w:r>
      <w:proofErr w:type="spellStart"/>
      <w:r>
        <w:t>В.В.Аллавердян</w:t>
      </w:r>
      <w:proofErr w:type="spellEnd"/>
      <w:r>
        <w:t xml:space="preserve"> Оценка информации (знаний) — Деловая и научная литература, 2019. — 60 с. </w:t>
      </w:r>
    </w:p>
  </w:footnote>
  <w:footnote w:id="25">
    <w:p w14:paraId="62EF4524" w14:textId="77777777" w:rsidR="00556FAA" w:rsidRDefault="00556FAA" w:rsidP="001A62A0">
      <w:pPr>
        <w:pStyle w:val="afc"/>
      </w:pPr>
      <w:r>
        <w:rPr>
          <w:rStyle w:val="afe"/>
        </w:rPr>
        <w:footnoteRef/>
      </w:r>
      <w:r>
        <w:t xml:space="preserve"> Г.К. Злотникова Оценка организации по справедливой стоимости – необходимое условие развития малого бизнеса // «</w:t>
      </w:r>
      <w:proofErr w:type="spellStart"/>
      <w:r>
        <w:t>Хроноэкономика</w:t>
      </w:r>
      <w:proofErr w:type="spellEnd"/>
      <w:r>
        <w:t xml:space="preserve">» №4 (12). — Москва, июль 2018. — 4 с. </w:t>
      </w:r>
    </w:p>
  </w:footnote>
  <w:footnote w:id="26">
    <w:p w14:paraId="588EBD70" w14:textId="280EFB30" w:rsidR="00556FAA" w:rsidRPr="004A7282" w:rsidRDefault="00556FAA">
      <w:pPr>
        <w:pStyle w:val="afc"/>
        <w:rPr>
          <w:lang w:val="en-US"/>
        </w:rPr>
      </w:pPr>
      <w:r>
        <w:rPr>
          <w:rStyle w:val="afe"/>
        </w:rPr>
        <w:footnoteRef/>
      </w:r>
      <w:r w:rsidRPr="00A12B1C">
        <w:rPr>
          <w:lang w:val="en-US"/>
        </w:rPr>
        <w:t xml:space="preserve"> Boeing ‘Could Be the Enron Scandal of Our Day’: Hedge Fund Manager //</w:t>
      </w:r>
      <w:r>
        <w:rPr>
          <w:lang w:val="en-US"/>
        </w:rPr>
        <w:t xml:space="preserve"> CCN</w:t>
      </w:r>
      <w:r w:rsidRPr="00A12B1C">
        <w:rPr>
          <w:lang w:val="en-US"/>
        </w:rPr>
        <w:t xml:space="preserve"> [</w:t>
      </w:r>
      <w:proofErr w:type="spellStart"/>
      <w:r w:rsidRPr="00A12B1C">
        <w:rPr>
          <w:lang w:val="en-US"/>
        </w:rPr>
        <w:t>Электронный</w:t>
      </w:r>
      <w:proofErr w:type="spellEnd"/>
      <w:r w:rsidRPr="00A12B1C">
        <w:rPr>
          <w:lang w:val="en-US"/>
        </w:rPr>
        <w:t xml:space="preserve"> </w:t>
      </w:r>
      <w:proofErr w:type="spellStart"/>
      <w:r w:rsidRPr="00A12B1C">
        <w:rPr>
          <w:lang w:val="en-US"/>
        </w:rPr>
        <w:t>ресурс</w:t>
      </w:r>
      <w:proofErr w:type="spellEnd"/>
      <w:r w:rsidRPr="00A12B1C">
        <w:rPr>
          <w:lang w:val="en-US"/>
        </w:rPr>
        <w:t>]. — Р</w:t>
      </w:r>
      <w:r>
        <w:t>ежим</w:t>
      </w:r>
      <w:r w:rsidRPr="00BF71ED">
        <w:rPr>
          <w:lang w:val="en-US"/>
        </w:rPr>
        <w:t xml:space="preserve"> </w:t>
      </w:r>
      <w:r>
        <w:t>доступа</w:t>
      </w:r>
      <w:r w:rsidRPr="00A12B1C">
        <w:rPr>
          <w:lang w:val="en-US"/>
        </w:rPr>
        <w:t>:</w:t>
      </w:r>
      <w:r>
        <w:rPr>
          <w:lang w:val="en-US"/>
        </w:rPr>
        <w:t xml:space="preserve"> </w:t>
      </w:r>
      <w:r w:rsidR="0056120C">
        <w:fldChar w:fldCharType="begin"/>
      </w:r>
      <w:r w:rsidR="0056120C" w:rsidRPr="0013579A">
        <w:rPr>
          <w:lang w:val="en-US"/>
        </w:rPr>
        <w:instrText xml:space="preserve"> HYPERLINK "https://www.ccn.com/boeing-could-be-the-enron-scandal-of-our-day-hedge-fund-manager/" </w:instrText>
      </w:r>
      <w:r w:rsidR="0056120C">
        <w:fldChar w:fldCharType="separate"/>
      </w:r>
      <w:r w:rsidRPr="00703479">
        <w:rPr>
          <w:rStyle w:val="afa"/>
          <w:lang w:val="en-US"/>
        </w:rPr>
        <w:t>https://www.ccn.com/boeing-could-be-the-enron-scandal-of-our-day-hedge-fund-manager/</w:t>
      </w:r>
      <w:r w:rsidR="0056120C">
        <w:rPr>
          <w:rStyle w:val="afa"/>
          <w:lang w:val="en-US"/>
        </w:rPr>
        <w:fldChar w:fldCharType="end"/>
      </w:r>
      <w:r>
        <w:rPr>
          <w:lang w:val="en-US"/>
        </w:rPr>
        <w:t xml:space="preserve">, </w:t>
      </w:r>
      <w:r>
        <w:t>свободный</w:t>
      </w:r>
      <w:r w:rsidRPr="00A12B1C">
        <w:rPr>
          <w:lang w:val="en-US"/>
        </w:rPr>
        <w:t xml:space="preserve">. </w:t>
      </w:r>
      <w:r w:rsidRPr="004A7282">
        <w:rPr>
          <w:lang w:val="en-US"/>
        </w:rPr>
        <w:t>(</w:t>
      </w:r>
      <w:r>
        <w:t>Дата</w:t>
      </w:r>
      <w:r w:rsidRPr="004A7282">
        <w:rPr>
          <w:lang w:val="en-US"/>
        </w:rPr>
        <w:t xml:space="preserve"> </w:t>
      </w:r>
      <w:r>
        <w:t>обращения</w:t>
      </w:r>
      <w:r w:rsidRPr="004A7282">
        <w:rPr>
          <w:lang w:val="en-US"/>
        </w:rPr>
        <w:t>: 27.02.2020)</w:t>
      </w:r>
    </w:p>
  </w:footnote>
  <w:footnote w:id="27">
    <w:p w14:paraId="2685748A" w14:textId="3C95DE40" w:rsidR="00556FAA" w:rsidRPr="002067BC" w:rsidRDefault="00556FAA">
      <w:pPr>
        <w:pStyle w:val="afc"/>
        <w:rPr>
          <w:lang w:val="en-US"/>
        </w:rPr>
      </w:pPr>
      <w:r>
        <w:rPr>
          <w:rStyle w:val="afe"/>
        </w:rPr>
        <w:footnoteRef/>
      </w:r>
      <w:r w:rsidRPr="00BF71ED">
        <w:rPr>
          <w:lang w:val="en-US"/>
        </w:rPr>
        <w:t xml:space="preserve"> ‘I Honestly Don’t Trust Many People at Boeing’: A Broken Culture Exposed // </w:t>
      </w:r>
      <w:r>
        <w:rPr>
          <w:lang w:val="en-US"/>
        </w:rPr>
        <w:t>The New York Times, feb.10, 2020</w:t>
      </w:r>
      <w:r w:rsidRPr="00BF71ED">
        <w:rPr>
          <w:lang w:val="en-US"/>
        </w:rPr>
        <w:t xml:space="preserve"> </w:t>
      </w:r>
      <w:r w:rsidRPr="00A12B1C">
        <w:rPr>
          <w:lang w:val="en-US"/>
        </w:rPr>
        <w:t>[</w:t>
      </w:r>
      <w:proofErr w:type="spellStart"/>
      <w:r w:rsidRPr="00A12B1C">
        <w:rPr>
          <w:lang w:val="en-US"/>
        </w:rPr>
        <w:t>Электронный</w:t>
      </w:r>
      <w:proofErr w:type="spellEnd"/>
      <w:r w:rsidRPr="00A12B1C">
        <w:rPr>
          <w:lang w:val="en-US"/>
        </w:rPr>
        <w:t xml:space="preserve"> </w:t>
      </w:r>
      <w:proofErr w:type="spellStart"/>
      <w:r w:rsidRPr="00A12B1C">
        <w:rPr>
          <w:lang w:val="en-US"/>
        </w:rPr>
        <w:t>ресурс</w:t>
      </w:r>
      <w:proofErr w:type="spellEnd"/>
      <w:r w:rsidRPr="00A12B1C">
        <w:rPr>
          <w:lang w:val="en-US"/>
        </w:rPr>
        <w:t>]. — Р</w:t>
      </w:r>
      <w:r>
        <w:t>ежим</w:t>
      </w:r>
      <w:r w:rsidRPr="00BF71ED">
        <w:rPr>
          <w:lang w:val="en-US"/>
        </w:rPr>
        <w:t xml:space="preserve"> </w:t>
      </w:r>
      <w:r>
        <w:t>доступа</w:t>
      </w:r>
      <w:r w:rsidRPr="00A12B1C">
        <w:rPr>
          <w:lang w:val="en-US"/>
        </w:rPr>
        <w:t>:</w:t>
      </w:r>
      <w:r w:rsidRPr="00BF71ED">
        <w:rPr>
          <w:lang w:val="en-US"/>
        </w:rPr>
        <w:t xml:space="preserve"> </w:t>
      </w:r>
      <w:r w:rsidR="0056120C">
        <w:fldChar w:fldCharType="begin"/>
      </w:r>
      <w:r w:rsidR="0056120C" w:rsidRPr="0013579A">
        <w:rPr>
          <w:lang w:val="en-US"/>
        </w:rPr>
        <w:instrText xml:space="preserve"> HYPERLINK "https://www.nytimes.com/2020/01/10/business/boeing-737-employees-messages.html" </w:instrText>
      </w:r>
      <w:r w:rsidR="0056120C">
        <w:fldChar w:fldCharType="separate"/>
      </w:r>
      <w:r w:rsidRPr="00703479">
        <w:rPr>
          <w:rStyle w:val="afa"/>
          <w:lang w:val="en-US"/>
        </w:rPr>
        <w:t>https://www.nytimes.com/2020/01/10/business/boeing-737-employees-messages.html</w:t>
      </w:r>
      <w:r w:rsidR="0056120C">
        <w:rPr>
          <w:rStyle w:val="afa"/>
          <w:lang w:val="en-US"/>
        </w:rPr>
        <w:fldChar w:fldCharType="end"/>
      </w:r>
      <w:r w:rsidRPr="00BF71ED">
        <w:rPr>
          <w:lang w:val="en-US"/>
        </w:rPr>
        <w:t xml:space="preserve">, </w:t>
      </w:r>
      <w:r>
        <w:t>свободный</w:t>
      </w:r>
      <w:r w:rsidRPr="00BF71ED">
        <w:rPr>
          <w:lang w:val="en-US"/>
        </w:rPr>
        <w:t xml:space="preserve">. </w:t>
      </w:r>
      <w:r w:rsidRPr="002067BC">
        <w:rPr>
          <w:lang w:val="en-US"/>
        </w:rPr>
        <w:t>(</w:t>
      </w:r>
      <w:r>
        <w:t>Дата</w:t>
      </w:r>
      <w:r w:rsidRPr="002067BC">
        <w:rPr>
          <w:lang w:val="en-US"/>
        </w:rPr>
        <w:t xml:space="preserve"> </w:t>
      </w:r>
      <w:r>
        <w:t>обращения</w:t>
      </w:r>
      <w:r w:rsidRPr="002067BC">
        <w:rPr>
          <w:lang w:val="en-US"/>
        </w:rPr>
        <w:t>: 27.02.2020)</w:t>
      </w:r>
    </w:p>
  </w:footnote>
  <w:footnote w:id="28">
    <w:p w14:paraId="7239D152" w14:textId="69478E7C" w:rsidR="00556FAA" w:rsidRPr="00760EEA" w:rsidRDefault="00556FAA">
      <w:pPr>
        <w:pStyle w:val="afc"/>
        <w:rPr>
          <w:lang w:val="en-US"/>
        </w:rPr>
      </w:pPr>
      <w:r>
        <w:rPr>
          <w:rStyle w:val="afe"/>
        </w:rPr>
        <w:footnoteRef/>
      </w:r>
      <w:r w:rsidRPr="002067BC">
        <w:rPr>
          <w:lang w:val="en-US"/>
        </w:rPr>
        <w:t xml:space="preserve"> </w:t>
      </w:r>
      <w:r w:rsidRPr="00622CB6">
        <w:rPr>
          <w:lang w:val="en-US"/>
        </w:rPr>
        <w:t xml:space="preserve">The </w:t>
      </w:r>
      <w:proofErr w:type="spellStart"/>
      <w:r w:rsidRPr="00622CB6">
        <w:rPr>
          <w:lang w:val="en-US"/>
        </w:rPr>
        <w:t>WeWork</w:t>
      </w:r>
      <w:proofErr w:type="spellEnd"/>
      <w:r w:rsidRPr="00622CB6">
        <w:rPr>
          <w:lang w:val="en-US"/>
        </w:rPr>
        <w:t xml:space="preserve"> fiasco of 2019, explained in 30 seconds // </w:t>
      </w:r>
      <w:r>
        <w:rPr>
          <w:lang w:val="en-US"/>
        </w:rPr>
        <w:t>Business Insider</w:t>
      </w:r>
      <w:r w:rsidRPr="0076752A">
        <w:rPr>
          <w:lang w:val="en-US"/>
        </w:rPr>
        <w:t xml:space="preserve"> </w:t>
      </w:r>
      <w:r>
        <w:rPr>
          <w:lang w:val="en-US"/>
        </w:rPr>
        <w:t>[</w:t>
      </w:r>
      <w:r>
        <w:t>Электронный</w:t>
      </w:r>
      <w:r w:rsidRPr="0076752A">
        <w:rPr>
          <w:lang w:val="en-US"/>
        </w:rPr>
        <w:t xml:space="preserve"> </w:t>
      </w:r>
      <w:r>
        <w:t>ресурс</w:t>
      </w:r>
      <w:r>
        <w:rPr>
          <w:lang w:val="en-US"/>
        </w:rPr>
        <w:t xml:space="preserve">] — </w:t>
      </w:r>
      <w:r>
        <w:t>Режим</w:t>
      </w:r>
      <w:r w:rsidRPr="00622CB6">
        <w:rPr>
          <w:lang w:val="en-US"/>
        </w:rPr>
        <w:t xml:space="preserve"> </w:t>
      </w:r>
      <w:r>
        <w:t>доступа</w:t>
      </w:r>
      <w:r w:rsidRPr="00622CB6">
        <w:rPr>
          <w:lang w:val="en-US"/>
        </w:rPr>
        <w:t xml:space="preserve">: </w:t>
      </w:r>
      <w:r w:rsidR="0056120C">
        <w:fldChar w:fldCharType="begin"/>
      </w:r>
      <w:r w:rsidR="0056120C" w:rsidRPr="0013579A">
        <w:rPr>
          <w:lang w:val="en-US"/>
        </w:rPr>
        <w:instrText xml:space="preserve"> HYPERLINK "https://www.businessinsider.com/wework-ipo-fiasco-adam-neumann-explained-events-timeline-2019-9" </w:instrText>
      </w:r>
      <w:r w:rsidR="0056120C">
        <w:fldChar w:fldCharType="separate"/>
      </w:r>
      <w:r w:rsidRPr="003F2751">
        <w:rPr>
          <w:rStyle w:val="afa"/>
          <w:lang w:val="en-US"/>
        </w:rPr>
        <w:t>https://www.businessinsider.com/wework-ipo-fiasco-adam-neumann-explained-events-timeline-2019-9</w:t>
      </w:r>
      <w:r w:rsidR="0056120C">
        <w:rPr>
          <w:rStyle w:val="afa"/>
          <w:lang w:val="en-US"/>
        </w:rPr>
        <w:fldChar w:fldCharType="end"/>
      </w:r>
      <w:r w:rsidRPr="00622CB6">
        <w:rPr>
          <w:lang w:val="en-US"/>
        </w:rPr>
        <w:t xml:space="preserve">, </w:t>
      </w:r>
      <w:r>
        <w:t>свободный</w:t>
      </w:r>
      <w:r w:rsidRPr="00622CB6">
        <w:rPr>
          <w:lang w:val="en-US"/>
        </w:rPr>
        <w:t xml:space="preserve">. </w:t>
      </w:r>
      <w:r w:rsidRPr="00760EEA">
        <w:rPr>
          <w:lang w:val="en-US"/>
        </w:rPr>
        <w:t>(</w:t>
      </w:r>
      <w:r>
        <w:t>Дата</w:t>
      </w:r>
      <w:r w:rsidRPr="00760EEA">
        <w:rPr>
          <w:lang w:val="en-US"/>
        </w:rPr>
        <w:t xml:space="preserve"> </w:t>
      </w:r>
      <w:r>
        <w:t>обращения</w:t>
      </w:r>
      <w:r w:rsidRPr="00760EEA">
        <w:rPr>
          <w:lang w:val="en-US"/>
        </w:rPr>
        <w:t xml:space="preserve">: 05.03.2020) </w:t>
      </w:r>
    </w:p>
  </w:footnote>
  <w:footnote w:id="29">
    <w:p w14:paraId="23962114" w14:textId="64FE1D7C" w:rsidR="00556FAA" w:rsidRPr="0076752A" w:rsidRDefault="00556FAA">
      <w:pPr>
        <w:pStyle w:val="afc"/>
        <w:rPr>
          <w:lang w:val="en-US"/>
        </w:rPr>
      </w:pPr>
      <w:r>
        <w:rPr>
          <w:rStyle w:val="afe"/>
        </w:rPr>
        <w:footnoteRef/>
      </w:r>
      <w:r w:rsidRPr="0076752A">
        <w:rPr>
          <w:lang w:val="en-US"/>
        </w:rPr>
        <w:t xml:space="preserve"> </w:t>
      </w:r>
      <w:proofErr w:type="spellStart"/>
      <w:r w:rsidRPr="0076752A">
        <w:rPr>
          <w:lang w:val="en-US"/>
        </w:rPr>
        <w:t>WeWork</w:t>
      </w:r>
      <w:proofErr w:type="spellEnd"/>
      <w:r w:rsidRPr="0076752A">
        <w:rPr>
          <w:lang w:val="en-US"/>
        </w:rPr>
        <w:t xml:space="preserve"> Delays I.P.O. After Chilly Reception From Investors</w:t>
      </w:r>
      <w:r>
        <w:rPr>
          <w:lang w:val="en-US"/>
        </w:rPr>
        <w:t xml:space="preserve"> // The New York Times [</w:t>
      </w:r>
      <w:r>
        <w:t>Электронный</w:t>
      </w:r>
      <w:r w:rsidRPr="0076752A">
        <w:rPr>
          <w:lang w:val="en-US"/>
        </w:rPr>
        <w:t xml:space="preserve"> </w:t>
      </w:r>
      <w:r>
        <w:t>ресурс</w:t>
      </w:r>
      <w:r>
        <w:rPr>
          <w:lang w:val="en-US"/>
        </w:rPr>
        <w:t>]</w:t>
      </w:r>
      <w:r w:rsidRPr="0076752A">
        <w:rPr>
          <w:lang w:val="en-US"/>
        </w:rPr>
        <w:t xml:space="preserve"> — </w:t>
      </w:r>
      <w:r>
        <w:t>Режим</w:t>
      </w:r>
      <w:r w:rsidRPr="0076752A">
        <w:rPr>
          <w:lang w:val="en-US"/>
        </w:rPr>
        <w:t xml:space="preserve"> </w:t>
      </w:r>
      <w:r>
        <w:t>доступа</w:t>
      </w:r>
      <w:r w:rsidRPr="0076752A">
        <w:rPr>
          <w:lang w:val="en-US"/>
        </w:rPr>
        <w:t xml:space="preserve">: </w:t>
      </w:r>
      <w:r w:rsidR="0056120C">
        <w:fldChar w:fldCharType="begin"/>
      </w:r>
      <w:r w:rsidR="0056120C" w:rsidRPr="0013579A">
        <w:rPr>
          <w:lang w:val="en-US"/>
        </w:rPr>
        <w:instrText xml:space="preserve"> HYPERLINK "https://www.nytimes.com/2019/09/17/business/dealbook/wework-ipo.html" </w:instrText>
      </w:r>
      <w:r w:rsidR="0056120C">
        <w:fldChar w:fldCharType="separate"/>
      </w:r>
      <w:r w:rsidRPr="00E86486">
        <w:rPr>
          <w:rStyle w:val="afa"/>
          <w:lang w:val="en-US"/>
        </w:rPr>
        <w:t>https://www.nytimes.com/2019/09/17/business/dealbook/wework-ipo.html</w:t>
      </w:r>
      <w:r w:rsidR="0056120C">
        <w:rPr>
          <w:rStyle w:val="afa"/>
          <w:lang w:val="en-US"/>
        </w:rPr>
        <w:fldChar w:fldCharType="end"/>
      </w:r>
      <w:r w:rsidRPr="0076752A">
        <w:rPr>
          <w:lang w:val="en-US"/>
        </w:rPr>
        <w:t xml:space="preserve">, </w:t>
      </w:r>
      <w:r>
        <w:t>свободный</w:t>
      </w:r>
      <w:r w:rsidRPr="0076752A">
        <w:rPr>
          <w:lang w:val="en-US"/>
        </w:rPr>
        <w:t>. — (</w:t>
      </w:r>
      <w:r>
        <w:t>Дата</w:t>
      </w:r>
      <w:r w:rsidRPr="0076752A">
        <w:rPr>
          <w:lang w:val="en-US"/>
        </w:rPr>
        <w:t xml:space="preserve"> </w:t>
      </w:r>
      <w:r>
        <w:t>обращения</w:t>
      </w:r>
      <w:r w:rsidRPr="0076752A">
        <w:rPr>
          <w:lang w:val="en-US"/>
        </w:rPr>
        <w:t>: 11.03.2020)</w:t>
      </w:r>
    </w:p>
  </w:footnote>
  <w:footnote w:id="30">
    <w:p w14:paraId="1709BB09" w14:textId="310D886C" w:rsidR="00556FAA" w:rsidRPr="005C3871" w:rsidRDefault="00556FAA">
      <w:pPr>
        <w:pStyle w:val="afc"/>
      </w:pPr>
      <w:r>
        <w:rPr>
          <w:rStyle w:val="afe"/>
        </w:rPr>
        <w:footnoteRef/>
      </w:r>
      <w:r w:rsidRPr="005C3871">
        <w:t xml:space="preserve"> </w:t>
      </w:r>
      <w:r>
        <w:t>Стэнли</w:t>
      </w:r>
      <w:r w:rsidRPr="005C3871">
        <w:t xml:space="preserve"> </w:t>
      </w:r>
      <w:r>
        <w:t>Фостер</w:t>
      </w:r>
      <w:r w:rsidRPr="005C3871">
        <w:t xml:space="preserve"> </w:t>
      </w:r>
      <w:r>
        <w:t xml:space="preserve">Рид, Александра Рид Лажу Искусство слияний и поглощений // Альпина </w:t>
      </w:r>
      <w:proofErr w:type="spellStart"/>
      <w:r>
        <w:t>Паблишер</w:t>
      </w:r>
      <w:proofErr w:type="spellEnd"/>
      <w:r>
        <w:t xml:space="preserve">, 2014 г. — 957с. </w:t>
      </w:r>
    </w:p>
  </w:footnote>
  <w:footnote w:id="31">
    <w:p w14:paraId="1A1F9C67" w14:textId="79AEF4C5" w:rsidR="00556FAA" w:rsidRPr="001C74C2" w:rsidRDefault="00556FAA">
      <w:pPr>
        <w:pStyle w:val="afc"/>
        <w:rPr>
          <w:lang w:val="en-US"/>
        </w:rPr>
      </w:pPr>
      <w:r>
        <w:rPr>
          <w:rStyle w:val="afe"/>
        </w:rPr>
        <w:footnoteRef/>
      </w:r>
      <w:r w:rsidRPr="001C74C2">
        <w:rPr>
          <w:lang w:val="en-US"/>
        </w:rPr>
        <w:t xml:space="preserve"> Christensen C.M., Kaufman S.P., Shih W.C. Innovation killers: How Financial Tools Destroy Your Capacity to Do New Things // Harvard Business Review. – January 2008. – p. p. 98 – 107.</w:t>
      </w:r>
    </w:p>
  </w:footnote>
  <w:footnote w:id="32">
    <w:p w14:paraId="0C749257" w14:textId="2CD1656F" w:rsidR="00556FAA" w:rsidRDefault="00556FAA">
      <w:pPr>
        <w:pStyle w:val="afc"/>
      </w:pPr>
      <w:r>
        <w:rPr>
          <w:rStyle w:val="afe"/>
        </w:rPr>
        <w:footnoteRef/>
      </w:r>
      <w:r>
        <w:t xml:space="preserve"> </w:t>
      </w:r>
      <w:proofErr w:type="spellStart"/>
      <w:r>
        <w:t>Битюцких</w:t>
      </w:r>
      <w:proofErr w:type="spellEnd"/>
      <w:r>
        <w:t xml:space="preserve"> В.Т. Формула стоимости. Оценка стоимости компаний. / В.Т. </w:t>
      </w:r>
      <w:proofErr w:type="spellStart"/>
      <w:r>
        <w:t>Битюцких</w:t>
      </w:r>
      <w:proofErr w:type="spellEnd"/>
      <w:r>
        <w:t xml:space="preserve">. — М.: Олимп-Бизнес, 2016. — 216 с. </w:t>
      </w:r>
    </w:p>
  </w:footnote>
  <w:footnote w:id="33">
    <w:p w14:paraId="34017C6D" w14:textId="605FE6CE" w:rsidR="00556FAA" w:rsidRDefault="00556FAA">
      <w:pPr>
        <w:pStyle w:val="afc"/>
      </w:pPr>
      <w:r>
        <w:rPr>
          <w:rStyle w:val="afe"/>
        </w:rPr>
        <w:footnoteRef/>
      </w:r>
      <w:r>
        <w:t xml:space="preserve"> </w:t>
      </w:r>
      <w:proofErr w:type="spellStart"/>
      <w:r>
        <w:t>О.В.Пронина</w:t>
      </w:r>
      <w:proofErr w:type="spellEnd"/>
      <w:r>
        <w:t xml:space="preserve"> Проблемные аспекты оценки стоимости компании // Инновационная наука — №11 — Москва, 2018. — 4 с. </w:t>
      </w:r>
    </w:p>
  </w:footnote>
  <w:footnote w:id="34">
    <w:p w14:paraId="0767CB28" w14:textId="44635E69" w:rsidR="00556FAA" w:rsidRPr="00792D09" w:rsidRDefault="00556FAA" w:rsidP="00792D09">
      <w:pPr>
        <w:pStyle w:val="afc"/>
        <w:rPr>
          <w:lang w:val="en-US"/>
        </w:rPr>
      </w:pPr>
      <w:r>
        <w:rPr>
          <w:rStyle w:val="afe"/>
        </w:rPr>
        <w:footnoteRef/>
      </w:r>
      <w:r w:rsidRPr="00792D09">
        <w:rPr>
          <w:lang w:val="en-US"/>
        </w:rPr>
        <w:t xml:space="preserve"> Florin </w:t>
      </w:r>
      <w:proofErr w:type="spellStart"/>
      <w:r w:rsidRPr="00792D09">
        <w:rPr>
          <w:lang w:val="en-US"/>
        </w:rPr>
        <w:t>Turcaș</w:t>
      </w:r>
      <w:proofErr w:type="spellEnd"/>
      <w:r w:rsidRPr="00792D09">
        <w:rPr>
          <w:lang w:val="en-US"/>
        </w:rPr>
        <w:t xml:space="preserve">, Florin Cornel </w:t>
      </w:r>
      <w:proofErr w:type="spellStart"/>
      <w:r w:rsidRPr="00792D09">
        <w:rPr>
          <w:lang w:val="en-US"/>
        </w:rPr>
        <w:t>Dumiter</w:t>
      </w:r>
      <w:proofErr w:type="spellEnd"/>
      <w:r w:rsidRPr="00792D09">
        <w:rPr>
          <w:lang w:val="en-US"/>
        </w:rPr>
        <w:t xml:space="preserve">, </w:t>
      </w:r>
      <w:proofErr w:type="spellStart"/>
      <w:r w:rsidRPr="00792D09">
        <w:rPr>
          <w:lang w:val="en-US"/>
        </w:rPr>
        <w:t>Petre</w:t>
      </w:r>
      <w:proofErr w:type="spellEnd"/>
      <w:r w:rsidRPr="00792D09">
        <w:rPr>
          <w:lang w:val="en-US"/>
        </w:rPr>
        <w:t xml:space="preserve"> </w:t>
      </w:r>
      <w:proofErr w:type="spellStart"/>
      <w:r w:rsidRPr="00792D09">
        <w:rPr>
          <w:lang w:val="en-US"/>
        </w:rPr>
        <w:t>Brezeanu</w:t>
      </w:r>
      <w:proofErr w:type="spellEnd"/>
      <w:r w:rsidRPr="00792D09">
        <w:rPr>
          <w:lang w:val="en-US"/>
        </w:rPr>
        <w:t xml:space="preserve">, Marius </w:t>
      </w:r>
      <w:proofErr w:type="spellStart"/>
      <w:r w:rsidRPr="00792D09">
        <w:rPr>
          <w:lang w:val="en-US"/>
        </w:rPr>
        <w:t>Boiță</w:t>
      </w:r>
      <w:proofErr w:type="spellEnd"/>
      <w:r w:rsidRPr="00792D09">
        <w:rPr>
          <w:lang w:val="en-US"/>
        </w:rPr>
        <w:t xml:space="preserve"> </w:t>
      </w:r>
      <w:r>
        <w:rPr>
          <w:lang w:val="en-US"/>
        </w:rPr>
        <w:t>F</w:t>
      </w:r>
      <w:r w:rsidRPr="00792D09">
        <w:rPr>
          <w:lang w:val="en-US"/>
        </w:rPr>
        <w:t xml:space="preserve">orecasting, valuation and portfolio returns of stock market evolution: problems, paradoxes and efficient information. Worldwide implications and </w:t>
      </w:r>
      <w:proofErr w:type="spellStart"/>
      <w:r w:rsidRPr="00792D09">
        <w:rPr>
          <w:lang w:val="en-US"/>
        </w:rPr>
        <w:t>romanian</w:t>
      </w:r>
      <w:proofErr w:type="spellEnd"/>
      <w:r w:rsidRPr="00792D09">
        <w:rPr>
          <w:lang w:val="en-US"/>
        </w:rPr>
        <w:t xml:space="preserve"> evidence</w:t>
      </w:r>
      <w:r>
        <w:rPr>
          <w:lang w:val="en-US"/>
        </w:rPr>
        <w:t xml:space="preserve"> // </w:t>
      </w:r>
      <w:r w:rsidRPr="00792D09">
        <w:rPr>
          <w:lang w:val="en-US"/>
        </w:rPr>
        <w:t>Journal of Business Economics and Management</w:t>
      </w:r>
      <w:r>
        <w:rPr>
          <w:lang w:val="en-US"/>
        </w:rPr>
        <w:t xml:space="preserve"> — 2020 Volume 21 Issue 1 — 87-114 p. </w:t>
      </w:r>
    </w:p>
  </w:footnote>
  <w:footnote w:id="35">
    <w:p w14:paraId="4EF0286D" w14:textId="77777777" w:rsidR="00556FAA" w:rsidRPr="005E0C82" w:rsidRDefault="00556FAA" w:rsidP="00F07BE9">
      <w:pPr>
        <w:pStyle w:val="afc"/>
      </w:pPr>
      <w:r>
        <w:rPr>
          <w:rStyle w:val="afe"/>
        </w:rPr>
        <w:footnoteRef/>
      </w:r>
      <w:r>
        <w:t xml:space="preserve"> </w:t>
      </w:r>
      <w:proofErr w:type="spellStart"/>
      <w:r>
        <w:t>Нурбацин</w:t>
      </w:r>
      <w:proofErr w:type="spellEnd"/>
      <w:r>
        <w:t xml:space="preserve"> А.С. Оценка стоимости бизнеса: метод корпоративных оценок на основе клиента // Международный научный журнал «Вестник науки» №6 (15) Т.1 — июнь 2019 г. — 170-173с. </w:t>
      </w:r>
    </w:p>
  </w:footnote>
  <w:footnote w:id="36">
    <w:p w14:paraId="29868F3A" w14:textId="516EFD73" w:rsidR="00556FAA" w:rsidRPr="005E0C82" w:rsidRDefault="00556FAA">
      <w:pPr>
        <w:pStyle w:val="afc"/>
        <w:rPr>
          <w:lang w:val="en-US"/>
        </w:rPr>
      </w:pPr>
      <w:r>
        <w:rPr>
          <w:rStyle w:val="afe"/>
        </w:rPr>
        <w:footnoteRef/>
      </w:r>
      <w:r w:rsidRPr="005E0C82">
        <w:rPr>
          <w:lang w:val="en-US"/>
        </w:rPr>
        <w:t xml:space="preserve"> </w:t>
      </w:r>
      <w:r>
        <w:rPr>
          <w:lang w:val="en-US"/>
        </w:rPr>
        <w:t xml:space="preserve">Daniel McCarthy, Peter Fader How to value a company by analyzing its customers / Harvard Business Review — January-February 2020. — 51-55 p. </w:t>
      </w:r>
    </w:p>
  </w:footnote>
  <w:footnote w:id="37">
    <w:p w14:paraId="51F8A151" w14:textId="2616E2FA" w:rsidR="00556FAA" w:rsidRDefault="00556FAA">
      <w:pPr>
        <w:pStyle w:val="afc"/>
      </w:pPr>
      <w:r>
        <w:rPr>
          <w:rStyle w:val="afe"/>
        </w:rPr>
        <w:footnoteRef/>
      </w:r>
      <w:r>
        <w:t xml:space="preserve"> </w:t>
      </w:r>
      <w:proofErr w:type="spellStart"/>
      <w:r>
        <w:t>Нурбацин</w:t>
      </w:r>
      <w:proofErr w:type="spellEnd"/>
      <w:r>
        <w:t xml:space="preserve"> А.С. Оценка стоимости бизнеса: метод корпоративных оценок на основе клиента</w:t>
      </w:r>
    </w:p>
  </w:footnote>
  <w:footnote w:id="38">
    <w:p w14:paraId="63A0FD61" w14:textId="0D9C2400" w:rsidR="00556FAA" w:rsidRPr="002607CC" w:rsidRDefault="00556FAA">
      <w:pPr>
        <w:pStyle w:val="afc"/>
        <w:rPr>
          <w:lang w:val="en-US"/>
        </w:rPr>
      </w:pPr>
      <w:r>
        <w:rPr>
          <w:rStyle w:val="afe"/>
        </w:rPr>
        <w:footnoteRef/>
      </w:r>
      <w:r w:rsidRPr="00771C87">
        <w:rPr>
          <w:lang w:val="en-US"/>
        </w:rPr>
        <w:t xml:space="preserve"> </w:t>
      </w:r>
      <w:r>
        <w:rPr>
          <w:lang w:val="en-US"/>
        </w:rPr>
        <w:t>Edwards</w:t>
      </w:r>
      <w:r w:rsidRPr="00771C87">
        <w:rPr>
          <w:lang w:val="en-US"/>
        </w:rPr>
        <w:t xml:space="preserve"> </w:t>
      </w:r>
      <w:r>
        <w:rPr>
          <w:lang w:val="en-US"/>
        </w:rPr>
        <w:t>E</w:t>
      </w:r>
      <w:r w:rsidRPr="00771C87">
        <w:rPr>
          <w:lang w:val="en-US"/>
        </w:rPr>
        <w:t>.</w:t>
      </w:r>
      <w:r>
        <w:rPr>
          <w:lang w:val="en-US"/>
        </w:rPr>
        <w:t>, Bell P. The Theory and Measurement of Business Income</w:t>
      </w:r>
      <w:r w:rsidRPr="002607CC">
        <w:rPr>
          <w:lang w:val="en-US"/>
        </w:rPr>
        <w:t xml:space="preserve"> //</w:t>
      </w:r>
      <w:r>
        <w:rPr>
          <w:lang w:val="en-US"/>
        </w:rPr>
        <w:t>University of California Press, 1</w:t>
      </w:r>
      <w:r w:rsidRPr="002607CC">
        <w:rPr>
          <w:vertAlign w:val="superscript"/>
          <w:lang w:val="en-US"/>
        </w:rPr>
        <w:t>st</w:t>
      </w:r>
      <w:r>
        <w:rPr>
          <w:lang w:val="en-US"/>
        </w:rPr>
        <w:t xml:space="preserve"> Edition, 1961, 342 p. </w:t>
      </w:r>
    </w:p>
  </w:footnote>
  <w:footnote w:id="39">
    <w:p w14:paraId="669650C3" w14:textId="6145BD2F" w:rsidR="00556FAA" w:rsidRDefault="00556FAA">
      <w:pPr>
        <w:pStyle w:val="afc"/>
      </w:pPr>
      <w:r>
        <w:rPr>
          <w:rStyle w:val="afe"/>
        </w:rPr>
        <w:footnoteRef/>
      </w:r>
      <w:r>
        <w:t xml:space="preserve"> </w:t>
      </w:r>
      <w:r w:rsidRPr="00B345F7">
        <w:t xml:space="preserve">Федотова М.А., </w:t>
      </w:r>
      <w:proofErr w:type="spellStart"/>
      <w:r w:rsidRPr="00B345F7">
        <w:t>Будицкий</w:t>
      </w:r>
      <w:proofErr w:type="spellEnd"/>
      <w:r w:rsidRPr="00B345F7">
        <w:t xml:space="preserve"> А.Е. Новые методы оценки стоимости бизнеса и возможность их применения в отношении банков // Вестник ФА №3 (2007)</w:t>
      </w:r>
    </w:p>
  </w:footnote>
  <w:footnote w:id="40">
    <w:p w14:paraId="5C9A00E5" w14:textId="2BF87793" w:rsidR="00556FAA" w:rsidRPr="00BF1B05" w:rsidRDefault="00556FAA">
      <w:pPr>
        <w:pStyle w:val="afc"/>
      </w:pPr>
      <w:r>
        <w:rPr>
          <w:rStyle w:val="afe"/>
        </w:rPr>
        <w:footnoteRef/>
      </w:r>
      <w:r w:rsidRPr="002607CC">
        <w:rPr>
          <w:lang w:val="en-US"/>
        </w:rPr>
        <w:t xml:space="preserve"> Ohlson, James A. Earnings, Book Values, and Dividends in Equity Valuation. </w:t>
      </w:r>
      <w:r w:rsidRPr="00F9538A">
        <w:rPr>
          <w:lang w:val="en-US"/>
        </w:rPr>
        <w:t>Contemporary</w:t>
      </w:r>
      <w:r w:rsidRPr="00BF1B05">
        <w:t xml:space="preserve"> </w:t>
      </w:r>
      <w:r w:rsidRPr="00F9538A">
        <w:rPr>
          <w:lang w:val="en-US"/>
        </w:rPr>
        <w:t>Accounting</w:t>
      </w:r>
      <w:r w:rsidRPr="00BF1B05">
        <w:t xml:space="preserve"> </w:t>
      </w:r>
      <w:r w:rsidRPr="00F9538A">
        <w:rPr>
          <w:lang w:val="en-US"/>
        </w:rPr>
        <w:t>Research</w:t>
      </w:r>
      <w:r w:rsidRPr="00BF1B05">
        <w:t xml:space="preserve">, </w:t>
      </w:r>
      <w:r w:rsidRPr="00F9538A">
        <w:rPr>
          <w:lang w:val="en-US"/>
        </w:rPr>
        <w:t>Vol</w:t>
      </w:r>
      <w:r w:rsidRPr="00BF1B05">
        <w:t xml:space="preserve">. 11, 1995 </w:t>
      </w:r>
    </w:p>
  </w:footnote>
  <w:footnote w:id="41">
    <w:p w14:paraId="4251F178" w14:textId="6BEE082B" w:rsidR="00556FAA" w:rsidRDefault="00556FAA">
      <w:pPr>
        <w:pStyle w:val="afc"/>
      </w:pPr>
      <w:r>
        <w:rPr>
          <w:rStyle w:val="afe"/>
        </w:rPr>
        <w:footnoteRef/>
      </w:r>
      <w:r>
        <w:t xml:space="preserve"> </w:t>
      </w:r>
      <w:proofErr w:type="spellStart"/>
      <w:r>
        <w:t>Рутгайзер</w:t>
      </w:r>
      <w:proofErr w:type="spellEnd"/>
      <w:r>
        <w:t xml:space="preserve"> В.М. Оценка стоимости бизнеса // </w:t>
      </w:r>
      <w:r w:rsidRPr="00972D36">
        <w:t xml:space="preserve">2-е издание, Издательство: Маросейка, 2008 г. </w:t>
      </w:r>
      <w:r>
        <w:t xml:space="preserve">— </w:t>
      </w:r>
      <w:r w:rsidRPr="00972D36">
        <w:t>432 стр.</w:t>
      </w:r>
    </w:p>
  </w:footnote>
  <w:footnote w:id="42">
    <w:p w14:paraId="1F350B34" w14:textId="1E6AD875" w:rsidR="00556FAA" w:rsidRDefault="00556FAA">
      <w:pPr>
        <w:pStyle w:val="afc"/>
      </w:pPr>
      <w:r>
        <w:rPr>
          <w:rStyle w:val="afe"/>
        </w:rPr>
        <w:footnoteRef/>
      </w:r>
      <w:r>
        <w:t xml:space="preserve"> Там же </w:t>
      </w:r>
    </w:p>
  </w:footnote>
  <w:footnote w:id="43">
    <w:p w14:paraId="5015BFD1" w14:textId="69EA12EC" w:rsidR="00556FAA" w:rsidRDefault="00556FAA">
      <w:pPr>
        <w:pStyle w:val="afc"/>
      </w:pPr>
      <w:r>
        <w:rPr>
          <w:rStyle w:val="afe"/>
        </w:rPr>
        <w:footnoteRef/>
      </w:r>
      <w:r>
        <w:t xml:space="preserve"> Там же</w:t>
      </w:r>
    </w:p>
  </w:footnote>
  <w:footnote w:id="44">
    <w:p w14:paraId="096E6994" w14:textId="4D5A1095" w:rsidR="00556FAA" w:rsidRDefault="00556FAA">
      <w:pPr>
        <w:pStyle w:val="afc"/>
      </w:pPr>
      <w:r>
        <w:rPr>
          <w:rStyle w:val="afe"/>
        </w:rPr>
        <w:footnoteRef/>
      </w:r>
      <w:r>
        <w:t xml:space="preserve"> Хасанов А.Б. Оценка стоимости на основе модели Ольсона на примере развитых рынков Европы // Финансы и кредит. — 2019. — Т.25, №5. — С. 1205 — 1226. </w:t>
      </w:r>
    </w:p>
  </w:footnote>
  <w:footnote w:id="45">
    <w:p w14:paraId="65A4B97D" w14:textId="1CC52855" w:rsidR="00556FAA" w:rsidRDefault="00556FAA">
      <w:pPr>
        <w:pStyle w:val="afc"/>
      </w:pPr>
      <w:r>
        <w:rPr>
          <w:rStyle w:val="afe"/>
        </w:rPr>
        <w:footnoteRef/>
      </w:r>
      <w:r>
        <w:t xml:space="preserve"> Царев В.В., </w:t>
      </w:r>
      <w:proofErr w:type="spellStart"/>
      <w:r>
        <w:t>Кантарович</w:t>
      </w:r>
      <w:proofErr w:type="spellEnd"/>
      <w:r>
        <w:t xml:space="preserve"> А.А. Оценка стоимости бизнеса // </w:t>
      </w:r>
      <w:proofErr w:type="gramStart"/>
      <w:r w:rsidRPr="00675840">
        <w:t>М.:ЮНИТИ</w:t>
      </w:r>
      <w:proofErr w:type="gramEnd"/>
      <w:r w:rsidRPr="00675840">
        <w:t>-ДАНА, 2015. - 575 с.</w:t>
      </w:r>
      <w:r>
        <w:t xml:space="preserve"> </w:t>
      </w:r>
    </w:p>
  </w:footnote>
  <w:footnote w:id="46">
    <w:p w14:paraId="179BAE55" w14:textId="77777777" w:rsidR="00556FAA" w:rsidRPr="005E0C82" w:rsidRDefault="00556FAA" w:rsidP="00DE597A">
      <w:pPr>
        <w:pStyle w:val="afc"/>
      </w:pPr>
      <w:r>
        <w:rPr>
          <w:rStyle w:val="afe"/>
        </w:rPr>
        <w:footnoteRef/>
      </w:r>
      <w:r w:rsidRPr="005E0C82">
        <w:t xml:space="preserve"> </w:t>
      </w:r>
      <w:r>
        <w:t>Там</w:t>
      </w:r>
      <w:r w:rsidRPr="005E0C82">
        <w:t xml:space="preserve"> </w:t>
      </w:r>
      <w:r>
        <w:t>же</w:t>
      </w:r>
    </w:p>
  </w:footnote>
  <w:footnote w:id="47">
    <w:p w14:paraId="2A6025D3" w14:textId="13E04511" w:rsidR="00556FAA" w:rsidRPr="00CD2F4E" w:rsidRDefault="00556FAA" w:rsidP="00DE597A">
      <w:pPr>
        <w:pStyle w:val="afc"/>
      </w:pPr>
      <w:r>
        <w:rPr>
          <w:rStyle w:val="afe"/>
        </w:rPr>
        <w:footnoteRef/>
      </w:r>
      <w:r>
        <w:t xml:space="preserve"> </w:t>
      </w:r>
      <w:proofErr w:type="spellStart"/>
      <w:r>
        <w:t>Битюцких</w:t>
      </w:r>
      <w:proofErr w:type="spellEnd"/>
      <w:r>
        <w:t xml:space="preserve"> В.Т. Формула стоимости. Оценка стоимости компаний. / В.Т. </w:t>
      </w:r>
      <w:proofErr w:type="spellStart"/>
      <w:r>
        <w:t>Битюцких</w:t>
      </w:r>
      <w:proofErr w:type="spellEnd"/>
      <w:r>
        <w:t xml:space="preserve">. — 1-е изд. — М.: Олимп-Бизнес, 2016. — 216 с. </w:t>
      </w:r>
    </w:p>
  </w:footnote>
  <w:footnote w:id="48">
    <w:p w14:paraId="3BB3BA1F" w14:textId="77777777" w:rsidR="00556FAA" w:rsidRPr="005C3871" w:rsidRDefault="00556FAA" w:rsidP="001D2CD2">
      <w:pPr>
        <w:pStyle w:val="afc"/>
        <w:rPr>
          <w:lang w:val="en-US"/>
        </w:rPr>
      </w:pPr>
      <w:r>
        <w:rPr>
          <w:rStyle w:val="afe"/>
        </w:rPr>
        <w:footnoteRef/>
      </w:r>
      <w:r w:rsidRPr="005C3871">
        <w:rPr>
          <w:lang w:val="en-US"/>
        </w:rPr>
        <w:t xml:space="preserve"> </w:t>
      </w:r>
      <w:r>
        <w:t>Там</w:t>
      </w:r>
      <w:r w:rsidRPr="005C3871">
        <w:rPr>
          <w:lang w:val="en-US"/>
        </w:rPr>
        <w:t xml:space="preserve"> </w:t>
      </w:r>
      <w:r>
        <w:t>же</w:t>
      </w:r>
      <w:r w:rsidRPr="005C3871">
        <w:rPr>
          <w:lang w:val="en-US"/>
        </w:rPr>
        <w:t xml:space="preserve"> </w:t>
      </w:r>
    </w:p>
  </w:footnote>
  <w:footnote w:id="49">
    <w:p w14:paraId="5DCE933D" w14:textId="77777777" w:rsidR="00556FAA" w:rsidRPr="009969EB" w:rsidRDefault="00556FAA" w:rsidP="00F9538A">
      <w:pPr>
        <w:pStyle w:val="afc"/>
        <w:rPr>
          <w:lang w:val="en-US"/>
        </w:rPr>
      </w:pPr>
      <w:r>
        <w:rPr>
          <w:rStyle w:val="afe"/>
        </w:rPr>
        <w:footnoteRef/>
      </w:r>
      <w:r w:rsidRPr="009969EB">
        <w:rPr>
          <w:lang w:val="en-US"/>
        </w:rPr>
        <w:t xml:space="preserve"> </w:t>
      </w:r>
      <w:r w:rsidRPr="004D7AEE">
        <w:rPr>
          <w:lang w:val="en-US"/>
        </w:rPr>
        <w:t>International Valuation Standards Council (IVSC) — Valuation Guide: Discounted Cash Flow, pp.5-6, p.7, 2012</w:t>
      </w:r>
    </w:p>
  </w:footnote>
  <w:footnote w:id="50">
    <w:p w14:paraId="1EA65850" w14:textId="7E79268C" w:rsidR="00556FAA" w:rsidRPr="00474DDB" w:rsidRDefault="00556FAA">
      <w:pPr>
        <w:pStyle w:val="afc"/>
        <w:rPr>
          <w:lang w:val="en-US"/>
        </w:rPr>
      </w:pPr>
      <w:r>
        <w:rPr>
          <w:rStyle w:val="afe"/>
        </w:rPr>
        <w:footnoteRef/>
      </w:r>
      <w:r w:rsidRPr="000F415A">
        <w:rPr>
          <w:lang w:val="en-US"/>
        </w:rPr>
        <w:t xml:space="preserve"> </w:t>
      </w:r>
      <w:proofErr w:type="spellStart"/>
      <w:r>
        <w:rPr>
          <w:lang w:val="en-US"/>
        </w:rPr>
        <w:t>Banuta</w:t>
      </w:r>
      <w:proofErr w:type="spellEnd"/>
      <w:r>
        <w:rPr>
          <w:lang w:val="en-US"/>
        </w:rPr>
        <w:t xml:space="preserve"> Mariana, </w:t>
      </w:r>
      <w:proofErr w:type="spellStart"/>
      <w:r>
        <w:rPr>
          <w:lang w:val="en-US"/>
        </w:rPr>
        <w:t>Gadoiu</w:t>
      </w:r>
      <w:proofErr w:type="spellEnd"/>
      <w:r>
        <w:rPr>
          <w:lang w:val="en-US"/>
        </w:rPr>
        <w:t xml:space="preserve"> Mihaela Aspects concerning the determination of the company value using the DCF method // Scientific Bulletin — Economic Sciences, Volume 15/Special Issue </w:t>
      </w:r>
      <w:proofErr w:type="spellStart"/>
      <w:r>
        <w:rPr>
          <w:lang w:val="en-US"/>
        </w:rPr>
        <w:t>ETAEc</w:t>
      </w:r>
      <w:proofErr w:type="spellEnd"/>
      <w:r>
        <w:rPr>
          <w:lang w:val="en-US"/>
        </w:rPr>
        <w:t xml:space="preserve"> 2016 — 123p.</w:t>
      </w:r>
    </w:p>
  </w:footnote>
  <w:footnote w:id="51">
    <w:p w14:paraId="3214C950" w14:textId="5B649122" w:rsidR="00556FAA" w:rsidRPr="00980C82" w:rsidRDefault="00556FAA">
      <w:pPr>
        <w:pStyle w:val="afc"/>
      </w:pPr>
      <w:r>
        <w:rPr>
          <w:rStyle w:val="afe"/>
        </w:rPr>
        <w:footnoteRef/>
      </w:r>
      <w:r>
        <w:t xml:space="preserve"> Буга А.В., </w:t>
      </w:r>
      <w:proofErr w:type="spellStart"/>
      <w:r>
        <w:t>Канова</w:t>
      </w:r>
      <w:proofErr w:type="spellEnd"/>
      <w:r>
        <w:t xml:space="preserve"> А.К. Методические аспекты формирования и дисконтирования денежных потоков при реализации доходного подхода к оценке предприятий // Экономика и управление народным хозяйством (Санкт-Петербург), №7 (9) — 2019 г. — 99-111 с. </w:t>
      </w:r>
    </w:p>
  </w:footnote>
  <w:footnote w:id="52">
    <w:p w14:paraId="3C4A18F4" w14:textId="77777777" w:rsidR="00556FAA" w:rsidRDefault="00556FAA" w:rsidP="00B245D7">
      <w:pPr>
        <w:pStyle w:val="afc"/>
      </w:pPr>
      <w:r>
        <w:rPr>
          <w:rStyle w:val="afe"/>
        </w:rPr>
        <w:footnoteRef/>
      </w:r>
      <w:r>
        <w:t xml:space="preserve"> Там же</w:t>
      </w:r>
    </w:p>
  </w:footnote>
  <w:footnote w:id="53">
    <w:p w14:paraId="54CF2F4C" w14:textId="03038F9A" w:rsidR="00556FAA" w:rsidRDefault="00556FAA">
      <w:pPr>
        <w:pStyle w:val="afc"/>
      </w:pPr>
      <w:r>
        <w:rPr>
          <w:rStyle w:val="afe"/>
        </w:rPr>
        <w:footnoteRef/>
      </w:r>
      <w:r>
        <w:t xml:space="preserve"> Корниенко Б.И. Оценка стоимости предприятия с использованием метода дисконтированных денежных потоков в рамках доходного подхода // Концепт. Научно-методический электронный журнал. — 2015г. — №7. — 6с.</w:t>
      </w:r>
    </w:p>
  </w:footnote>
  <w:footnote w:id="54">
    <w:p w14:paraId="71482B96" w14:textId="40B99980" w:rsidR="00556FAA" w:rsidRDefault="00556FAA">
      <w:pPr>
        <w:pStyle w:val="afc"/>
      </w:pPr>
      <w:r>
        <w:rPr>
          <w:rStyle w:val="afe"/>
        </w:rPr>
        <w:footnoteRef/>
      </w:r>
      <w:r>
        <w:t xml:space="preserve"> Козырь Ю.В. Отражение влияния налогообложения доходов в моделях дисконтирования денежных потоков / Ю.В. Козырь // Имущественные отношения в РФ. Оценка всех видов собственности — №10 (109) 2010г. — 31-46 с. </w:t>
      </w:r>
    </w:p>
  </w:footnote>
  <w:footnote w:id="55">
    <w:p w14:paraId="245EFC04" w14:textId="723A94F3" w:rsidR="00556FAA" w:rsidRDefault="00556FAA">
      <w:pPr>
        <w:pStyle w:val="afc"/>
      </w:pPr>
      <w:r>
        <w:rPr>
          <w:rStyle w:val="afe"/>
        </w:rPr>
        <w:footnoteRef/>
      </w:r>
      <w:r>
        <w:t xml:space="preserve"> Изотова З.А., Стаценко Н.Р. Пути преодоления ограничений методов расчета ставки дисконтирования при оценке бизнеса // Научно-практическая конференция «Молодая наука» </w:t>
      </w:r>
    </w:p>
  </w:footnote>
  <w:footnote w:id="56">
    <w:p w14:paraId="5781EE78" w14:textId="27CA194F" w:rsidR="00556FAA" w:rsidRDefault="00556FAA">
      <w:pPr>
        <w:pStyle w:val="afc"/>
      </w:pPr>
      <w:r>
        <w:rPr>
          <w:rStyle w:val="afe"/>
        </w:rPr>
        <w:footnoteRef/>
      </w:r>
      <w:r>
        <w:t xml:space="preserve"> </w:t>
      </w:r>
      <w:proofErr w:type="spellStart"/>
      <w:r>
        <w:t>Бухонов</w:t>
      </w:r>
      <w:proofErr w:type="spellEnd"/>
      <w:r>
        <w:t xml:space="preserve"> С.М. Определение коэффициента дисконтирования в российских условиях, параметры ставки дисконтирования // Вестник БГТУ им. </w:t>
      </w:r>
      <w:proofErr w:type="spellStart"/>
      <w:r>
        <w:t>В.Г.Щухова</w:t>
      </w:r>
      <w:proofErr w:type="spellEnd"/>
      <w:r>
        <w:t xml:space="preserve"> — №4, 2013г. — 116-120с. </w:t>
      </w:r>
    </w:p>
  </w:footnote>
  <w:footnote w:id="57">
    <w:p w14:paraId="32A55F12" w14:textId="77777777" w:rsidR="00556FAA" w:rsidRDefault="00556FAA" w:rsidP="00025F91">
      <w:pPr>
        <w:pStyle w:val="afc"/>
      </w:pPr>
      <w:r>
        <w:rPr>
          <w:rStyle w:val="afe"/>
        </w:rPr>
        <w:footnoteRef/>
      </w:r>
      <w:r>
        <w:t xml:space="preserve"> </w:t>
      </w:r>
      <w:r w:rsidRPr="00157CC8">
        <w:t>Дорофеев М.Л. Альтернативная концепция дисконтирования денежных потоков</w:t>
      </w:r>
    </w:p>
  </w:footnote>
  <w:footnote w:id="58">
    <w:p w14:paraId="2C5BA47B" w14:textId="0B98D866" w:rsidR="00556FAA" w:rsidRDefault="00556FAA">
      <w:pPr>
        <w:pStyle w:val="afc"/>
      </w:pPr>
      <w:r>
        <w:rPr>
          <w:rStyle w:val="afe"/>
        </w:rPr>
        <w:footnoteRef/>
      </w:r>
      <w:r>
        <w:t xml:space="preserve"> Ивахно О.Е., Симонова Н.Ю. Методы определения ставки дисконтирования при принятии инвестиционных решений в современных условиях // Потенциал российской экономики и инновационные пути его реализации — 2015г. — 376с. </w:t>
      </w:r>
    </w:p>
  </w:footnote>
  <w:footnote w:id="59">
    <w:p w14:paraId="042B4636" w14:textId="2C34514E" w:rsidR="00556FAA" w:rsidRDefault="00556FAA">
      <w:pPr>
        <w:pStyle w:val="afc"/>
      </w:pPr>
      <w:r>
        <w:rPr>
          <w:rStyle w:val="afe"/>
        </w:rPr>
        <w:footnoteRef/>
      </w:r>
      <w:r>
        <w:t xml:space="preserve"> </w:t>
      </w:r>
      <w:proofErr w:type="spellStart"/>
      <w:r>
        <w:t>Лытнев</w:t>
      </w:r>
      <w:proofErr w:type="spellEnd"/>
      <w:r>
        <w:t xml:space="preserve"> О.Н. Финансовый риск, денежные потоки и ставки дисконтирования // Управление корпоративными финансами №1 (25) — 2008г. — 24с. </w:t>
      </w:r>
    </w:p>
  </w:footnote>
  <w:footnote w:id="60">
    <w:p w14:paraId="127A99B0" w14:textId="25913376" w:rsidR="00556FAA" w:rsidRDefault="00556FAA">
      <w:pPr>
        <w:pStyle w:val="afc"/>
      </w:pPr>
      <w:r>
        <w:rPr>
          <w:rStyle w:val="afe"/>
        </w:rPr>
        <w:footnoteRef/>
      </w:r>
      <w:r>
        <w:t xml:space="preserve"> </w:t>
      </w:r>
      <w:proofErr w:type="spellStart"/>
      <w:r>
        <w:t>Битюцких</w:t>
      </w:r>
      <w:proofErr w:type="spellEnd"/>
      <w:r>
        <w:t xml:space="preserve"> В.Т. Формула стоимости. Оценка стоимости компаний. / В.Т. </w:t>
      </w:r>
      <w:proofErr w:type="spellStart"/>
      <w:r>
        <w:t>Битюцких</w:t>
      </w:r>
      <w:proofErr w:type="spellEnd"/>
      <w:r>
        <w:t>. — М.: Олимп-Бизнес, 2016. — 216 с.</w:t>
      </w:r>
    </w:p>
  </w:footnote>
  <w:footnote w:id="61">
    <w:p w14:paraId="14487B8E" w14:textId="1D50BC7A" w:rsidR="00556FAA" w:rsidRDefault="00556FAA">
      <w:pPr>
        <w:pStyle w:val="afc"/>
      </w:pPr>
      <w:r>
        <w:rPr>
          <w:rStyle w:val="afe"/>
        </w:rPr>
        <w:footnoteRef/>
      </w:r>
      <w:r>
        <w:t xml:space="preserve"> Синицын Е.В., Стерхов А.В. Некоторые вопросы моделирования и оценки слияний и поглощений (на примере оптовых генерирующих компаний) // Экономический анализ: теория и практика, №18 (183) — 2010 г. — 7с.</w:t>
      </w:r>
    </w:p>
  </w:footnote>
  <w:footnote w:id="62">
    <w:p w14:paraId="25EEEF03" w14:textId="54A4219E" w:rsidR="00556FAA" w:rsidRDefault="00556FAA">
      <w:pPr>
        <w:pStyle w:val="afc"/>
      </w:pPr>
      <w:r>
        <w:rPr>
          <w:rStyle w:val="afe"/>
        </w:rPr>
        <w:footnoteRef/>
      </w:r>
      <w:r>
        <w:t xml:space="preserve"> </w:t>
      </w:r>
      <w:proofErr w:type="spellStart"/>
      <w:r>
        <w:t>Битюцких</w:t>
      </w:r>
      <w:proofErr w:type="spellEnd"/>
      <w:r>
        <w:t xml:space="preserve"> В.Т. Формула стоимости. Оценка стоимости компаний</w:t>
      </w:r>
    </w:p>
  </w:footnote>
  <w:footnote w:id="63">
    <w:p w14:paraId="5A028402" w14:textId="77777777" w:rsidR="00556FAA" w:rsidRPr="00973B87" w:rsidRDefault="00556FAA" w:rsidP="00814B91">
      <w:pPr>
        <w:pStyle w:val="afc"/>
      </w:pPr>
      <w:r>
        <w:rPr>
          <w:rStyle w:val="afe"/>
        </w:rPr>
        <w:footnoteRef/>
      </w:r>
      <w:r>
        <w:t xml:space="preserve"> Методика осуществления оценки справедливой стоимости активов, составляющих инвестиционный портфель АО «РВК» // Российская Венчурная компания — г. Москва, 2019 – 151 с.</w:t>
      </w:r>
    </w:p>
  </w:footnote>
  <w:footnote w:id="64">
    <w:p w14:paraId="4D03A59E" w14:textId="36933A36" w:rsidR="00556FAA" w:rsidRDefault="00556FAA">
      <w:pPr>
        <w:pStyle w:val="afc"/>
      </w:pPr>
      <w:r>
        <w:rPr>
          <w:rStyle w:val="afe"/>
        </w:rPr>
        <w:footnoteRef/>
      </w:r>
      <w:r>
        <w:t xml:space="preserve"> Синицын Е.В., Стерхов А.В. К вопросу об оценке инвестиционной привлекательности предприятий электроэнергетики (на примере оптовых генерирующих компаний) // Экономический анализ: теория и практика. Инвестиционная политика — №21 (150) — 2009г. — 9с. </w:t>
      </w:r>
    </w:p>
  </w:footnote>
  <w:footnote w:id="65">
    <w:p w14:paraId="124F0363" w14:textId="7EEAF0CD" w:rsidR="00556FAA" w:rsidRDefault="00556FAA">
      <w:pPr>
        <w:pStyle w:val="afc"/>
      </w:pPr>
      <w:r>
        <w:rPr>
          <w:rStyle w:val="afe"/>
        </w:rPr>
        <w:footnoteRef/>
      </w:r>
      <w:r>
        <w:t xml:space="preserve"> </w:t>
      </w:r>
      <w:proofErr w:type="spellStart"/>
      <w:r>
        <w:t>Битюцких</w:t>
      </w:r>
      <w:proofErr w:type="spellEnd"/>
      <w:r>
        <w:t xml:space="preserve"> В.Т. Формула стоимости. Оценка стоимости компаний</w:t>
      </w:r>
    </w:p>
  </w:footnote>
  <w:footnote w:id="66">
    <w:p w14:paraId="79B273C0" w14:textId="1028771C" w:rsidR="00556FAA" w:rsidRPr="00140CFC" w:rsidRDefault="00556FAA" w:rsidP="00CB4EF2">
      <w:pPr>
        <w:pStyle w:val="afc"/>
      </w:pPr>
      <w:r>
        <w:rPr>
          <w:rStyle w:val="afe"/>
        </w:rPr>
        <w:footnoteRef/>
      </w:r>
      <w:r w:rsidRPr="00CB4EF2">
        <w:rPr>
          <w:lang w:val="en-US"/>
        </w:rPr>
        <w:t xml:space="preserve"> Dickinson V. Cash Flow as Proxy for Firm Life Cycle; PhD; CPA.</w:t>
      </w:r>
      <w:r>
        <w:rPr>
          <w:lang w:val="en-US"/>
        </w:rPr>
        <w:t xml:space="preserve"> </w:t>
      </w:r>
      <w:r w:rsidRPr="00CB4EF2">
        <w:rPr>
          <w:lang w:val="en-US"/>
        </w:rPr>
        <w:t>Fisher School of Accounting Warrington. College of Business.</w:t>
      </w:r>
      <w:r>
        <w:rPr>
          <w:lang w:val="en-US"/>
        </w:rPr>
        <w:t xml:space="preserve"> </w:t>
      </w:r>
      <w:r w:rsidRPr="00CB4EF2">
        <w:rPr>
          <w:lang w:val="en-US"/>
        </w:rPr>
        <w:t xml:space="preserve">University of Florida. </w:t>
      </w:r>
      <w:r w:rsidRPr="00140CFC">
        <w:t>2007.</w:t>
      </w:r>
    </w:p>
  </w:footnote>
  <w:footnote w:id="67">
    <w:p w14:paraId="647FFCAF" w14:textId="14D5700E" w:rsidR="00556FAA" w:rsidRDefault="00556FAA">
      <w:pPr>
        <w:pStyle w:val="afc"/>
      </w:pPr>
      <w:r>
        <w:rPr>
          <w:rStyle w:val="afe"/>
        </w:rPr>
        <w:footnoteRef/>
      </w:r>
      <w:r>
        <w:t xml:space="preserve"> Чистый долг рассчитывался как долгосрочные обязательства плюс краткосрочные обязательства минус денежные средства и их эквиваленты </w:t>
      </w:r>
    </w:p>
  </w:footnote>
  <w:footnote w:id="68">
    <w:p w14:paraId="150B2B0E" w14:textId="5327503C" w:rsidR="00556FAA" w:rsidRDefault="00556FAA" w:rsidP="007B6C5E">
      <w:pPr>
        <w:pStyle w:val="afc"/>
      </w:pPr>
      <w:r>
        <w:rPr>
          <w:rStyle w:val="afe"/>
        </w:rPr>
        <w:footnoteRef/>
      </w:r>
      <w:r>
        <w:t xml:space="preserve"> </w:t>
      </w:r>
      <w:proofErr w:type="spellStart"/>
      <w:r>
        <w:t>Ивашковская</w:t>
      </w:r>
      <w:proofErr w:type="spellEnd"/>
      <w:r>
        <w:t xml:space="preserve"> И.В. Жизненный цикл организации: взгляд финансиста / </w:t>
      </w:r>
      <w:proofErr w:type="spellStart"/>
      <w:r>
        <w:t>И.В.Ивашковская</w:t>
      </w:r>
      <w:proofErr w:type="spellEnd"/>
      <w:r>
        <w:t xml:space="preserve"> // Корпоративные финансы. – 2006. − С. 60-67.</w:t>
      </w:r>
    </w:p>
  </w:footnote>
  <w:footnote w:id="69">
    <w:p w14:paraId="43B1DCB7" w14:textId="77777777" w:rsidR="00556FAA" w:rsidRPr="008512A0" w:rsidRDefault="00556FAA" w:rsidP="00A4255E">
      <w:pPr>
        <w:pStyle w:val="afc"/>
      </w:pPr>
      <w:r>
        <w:rPr>
          <w:rStyle w:val="afe"/>
        </w:rPr>
        <w:footnoteRef/>
      </w:r>
      <w:r>
        <w:t xml:space="preserve"> О компании ПАО «НКХП»</w:t>
      </w:r>
      <w:r w:rsidRPr="008512A0">
        <w:t xml:space="preserve"> [</w:t>
      </w:r>
      <w:r>
        <w:t>Электронный ресурс</w:t>
      </w:r>
      <w:r w:rsidRPr="008512A0">
        <w:t>]</w:t>
      </w:r>
      <w:r>
        <w:t xml:space="preserve"> // Официальный сайт компании НКХП — Режим доступа: </w:t>
      </w:r>
      <w:hyperlink r:id="rId4" w:history="1">
        <w:r w:rsidRPr="00301D0B">
          <w:rPr>
            <w:rStyle w:val="afa"/>
          </w:rPr>
          <w:t>https://novoroskhp.ru/o-kompanii/biznes.html</w:t>
        </w:r>
      </w:hyperlink>
      <w:r>
        <w:t>, свободный. (Дата обращения: 20.05.2020)</w:t>
      </w:r>
    </w:p>
  </w:footnote>
  <w:footnote w:id="70">
    <w:p w14:paraId="59F4946F" w14:textId="44389451" w:rsidR="00556FAA" w:rsidRDefault="00556FAA">
      <w:pPr>
        <w:pStyle w:val="afc"/>
      </w:pPr>
      <w:r>
        <w:rPr>
          <w:rStyle w:val="afe"/>
        </w:rPr>
        <w:footnoteRef/>
      </w:r>
      <w:r>
        <w:t xml:space="preserve"> Официальный сайт компании НКХП </w:t>
      </w:r>
      <w:r w:rsidRPr="008512A0">
        <w:t>[</w:t>
      </w:r>
      <w:r>
        <w:t>Электронный ресурс</w:t>
      </w:r>
      <w:r w:rsidRPr="008512A0">
        <w:t>]</w:t>
      </w:r>
      <w:r>
        <w:t xml:space="preserve"> — Режим доступа: </w:t>
      </w:r>
      <w:hyperlink r:id="rId5" w:history="1">
        <w:r w:rsidRPr="00301D0B">
          <w:rPr>
            <w:rStyle w:val="afa"/>
          </w:rPr>
          <w:t>https://novoroskhp.ru/o-kompanii/biznes.html</w:t>
        </w:r>
      </w:hyperlink>
      <w:r>
        <w:t xml:space="preserve">, свободный. (Дата обращения: 20.05.2020) </w:t>
      </w:r>
    </w:p>
  </w:footnote>
  <w:footnote w:id="71">
    <w:p w14:paraId="3312DB8C" w14:textId="5A9FE5D8" w:rsidR="00556FAA" w:rsidRDefault="00556FAA">
      <w:pPr>
        <w:pStyle w:val="afc"/>
      </w:pPr>
      <w:r>
        <w:rPr>
          <w:rStyle w:val="afe"/>
        </w:rPr>
        <w:footnoteRef/>
      </w:r>
      <w:r>
        <w:t xml:space="preserve"> </w:t>
      </w:r>
      <w:r w:rsidRPr="000F4171">
        <w:t>Что посеем. Общая посевная площадь в 2020 году составит около 80,3 млн гектаров</w:t>
      </w:r>
      <w:r>
        <w:t xml:space="preserve"> »</w:t>
      </w:r>
      <w:r w:rsidRPr="008512A0">
        <w:t xml:space="preserve"> [</w:t>
      </w:r>
      <w:r>
        <w:t>Электронный ресурс</w:t>
      </w:r>
      <w:r w:rsidRPr="008512A0">
        <w:t>]</w:t>
      </w:r>
      <w:r>
        <w:t xml:space="preserve"> // Журнал «</w:t>
      </w:r>
      <w:proofErr w:type="spellStart"/>
      <w:r>
        <w:t>Агроинвестор</w:t>
      </w:r>
      <w:proofErr w:type="spellEnd"/>
      <w:r>
        <w:t>» — Режим доступа:</w:t>
      </w:r>
      <w:r w:rsidRPr="000F4171">
        <w:t xml:space="preserve"> </w:t>
      </w:r>
      <w:hyperlink r:id="rId6" w:history="1">
        <w:r w:rsidRPr="00301D0B">
          <w:rPr>
            <w:rStyle w:val="afa"/>
          </w:rPr>
          <w:t>https://www.agroinvestor.ru/analytics/article/33319-chto-poseem-obshchaya-posevnaya-ploshchad-v-2020-godu-sostavit-okolo-80-3-mln-gektarov/</w:t>
        </w:r>
      </w:hyperlink>
      <w:r>
        <w:t xml:space="preserve">, </w:t>
      </w:r>
      <w:r w:rsidRPr="000F4171">
        <w:t>свободный. (Дата обращения: 2</w:t>
      </w:r>
      <w:r>
        <w:t>2</w:t>
      </w:r>
      <w:r w:rsidRPr="000F4171">
        <w:t>.05.2020)</w:t>
      </w:r>
    </w:p>
  </w:footnote>
  <w:footnote w:id="72">
    <w:p w14:paraId="7169B949" w14:textId="52361B91" w:rsidR="00556FAA" w:rsidRPr="00B21C8D" w:rsidRDefault="00556FAA">
      <w:pPr>
        <w:pStyle w:val="afc"/>
      </w:pPr>
      <w:r>
        <w:rPr>
          <w:rStyle w:val="afe"/>
        </w:rPr>
        <w:footnoteRef/>
      </w:r>
      <w:r>
        <w:t xml:space="preserve"> О компании ПАО «НОВАТЭК» </w:t>
      </w:r>
      <w:r w:rsidRPr="00B21C8D">
        <w:t>[</w:t>
      </w:r>
      <w:r>
        <w:t>Электронный ресурс</w:t>
      </w:r>
      <w:r w:rsidRPr="00B21C8D">
        <w:t>]</w:t>
      </w:r>
      <w:r>
        <w:t xml:space="preserve"> // Официальный сайт компании НОВАТЭК — Режим доступа: </w:t>
      </w:r>
      <w:hyperlink r:id="rId7" w:history="1">
        <w:r w:rsidRPr="00301D0B">
          <w:rPr>
            <w:rStyle w:val="afa"/>
          </w:rPr>
          <w:t>http://www.novatek.ru/ru/about/company/</w:t>
        </w:r>
      </w:hyperlink>
      <w:r>
        <w:t>, свободный. — (Дата обращения: 20.05.2020)</w:t>
      </w:r>
    </w:p>
  </w:footnote>
  <w:footnote w:id="73">
    <w:p w14:paraId="5DFF1111" w14:textId="77777777" w:rsidR="00556FAA" w:rsidRDefault="00556FAA" w:rsidP="0011603E">
      <w:pPr>
        <w:pStyle w:val="afc"/>
      </w:pPr>
      <w:r>
        <w:rPr>
          <w:rStyle w:val="afe"/>
        </w:rPr>
        <w:footnoteRef/>
      </w:r>
      <w:r>
        <w:t xml:space="preserve"> О компании «АЛРОСА» </w:t>
      </w:r>
      <w:r w:rsidRPr="00B21C8D">
        <w:t>[</w:t>
      </w:r>
      <w:r>
        <w:t>Электронный ресурс</w:t>
      </w:r>
      <w:r w:rsidRPr="00B21C8D">
        <w:t>]</w:t>
      </w:r>
      <w:r>
        <w:t xml:space="preserve"> // Официальный сайт компании АЛРОСА — Режим доступа: </w:t>
      </w:r>
      <w:hyperlink r:id="rId8" w:history="1">
        <w:r w:rsidRPr="00301D0B">
          <w:rPr>
            <w:rStyle w:val="afa"/>
          </w:rPr>
          <w:t>http://www.alrosa.ru/о-нас/</w:t>
        </w:r>
      </w:hyperlink>
      <w:r>
        <w:t>, свободный. — (Дата обращения: 20.05.2020)</w:t>
      </w:r>
    </w:p>
  </w:footnote>
  <w:footnote w:id="74">
    <w:p w14:paraId="4090FD8F" w14:textId="5C9FF3E7" w:rsidR="00556FAA" w:rsidRPr="006D2917" w:rsidRDefault="00556FAA">
      <w:pPr>
        <w:pStyle w:val="afc"/>
      </w:pPr>
      <w:r>
        <w:rPr>
          <w:rStyle w:val="afe"/>
        </w:rPr>
        <w:footnoteRef/>
      </w:r>
      <w:r>
        <w:t xml:space="preserve"> Решения совета директоров (наблюдательного совета) АК «АЛРОСА» (ПАО) </w:t>
      </w:r>
      <w:r w:rsidRPr="006D2917">
        <w:t>[</w:t>
      </w:r>
      <w:r>
        <w:t>Электронный ресурс</w:t>
      </w:r>
      <w:r w:rsidRPr="006D2917">
        <w:t>]</w:t>
      </w:r>
      <w:r>
        <w:t xml:space="preserve"> // Центр раскрытия корпоративной информации </w:t>
      </w:r>
      <w:r>
        <w:rPr>
          <w:lang w:val="en-US"/>
        </w:rPr>
        <w:t>E</w:t>
      </w:r>
      <w:r w:rsidRPr="006D2917">
        <w:t>-</w:t>
      </w:r>
      <w:r>
        <w:rPr>
          <w:lang w:val="en-US"/>
        </w:rPr>
        <w:t>disclosure</w:t>
      </w:r>
      <w:r w:rsidRPr="006D2917">
        <w:t xml:space="preserve"> </w:t>
      </w:r>
      <w:r>
        <w:t xml:space="preserve">— Режим доступа: </w:t>
      </w:r>
      <w:hyperlink r:id="rId9" w:history="1">
        <w:r w:rsidRPr="00301D0B">
          <w:rPr>
            <w:rStyle w:val="afa"/>
          </w:rPr>
          <w:t>https://www.e-disclosure.ru/portal/event.aspx?EventId=DAAWzJ2LCkauJAezOjGWEA-B-B</w:t>
        </w:r>
      </w:hyperlink>
      <w:r>
        <w:t>, свободный. — (Дата обращения: 24.05.2020)</w:t>
      </w:r>
    </w:p>
  </w:footnote>
  <w:footnote w:id="75">
    <w:p w14:paraId="536850C6" w14:textId="7896CF03" w:rsidR="00556FAA" w:rsidRDefault="00556FAA">
      <w:pPr>
        <w:pStyle w:val="afc"/>
      </w:pPr>
      <w:r>
        <w:rPr>
          <w:rStyle w:val="afe"/>
        </w:rPr>
        <w:footnoteRef/>
      </w:r>
      <w:r>
        <w:t xml:space="preserve"> О группе «АКРОН» </w:t>
      </w:r>
      <w:r w:rsidRPr="00B21C8D">
        <w:t>[</w:t>
      </w:r>
      <w:r>
        <w:t>Электронный ресурс</w:t>
      </w:r>
      <w:r w:rsidRPr="00B21C8D">
        <w:t>]</w:t>
      </w:r>
      <w:r>
        <w:t xml:space="preserve"> // Официальный сайт компании АКРОН— Режим доступа: </w:t>
      </w:r>
      <w:hyperlink r:id="rId10" w:history="1">
        <w:r w:rsidRPr="00301D0B">
          <w:rPr>
            <w:rStyle w:val="afa"/>
          </w:rPr>
          <w:t>https://www.acron.ru/about-acron-group/about/</w:t>
        </w:r>
      </w:hyperlink>
      <w:r>
        <w:t>, свободный. — (Дата обращения: 20.05.2020)</w:t>
      </w:r>
    </w:p>
  </w:footnote>
  <w:footnote w:id="76">
    <w:p w14:paraId="7A610DD2" w14:textId="77777777" w:rsidR="00556FAA" w:rsidRPr="00BB7D04" w:rsidRDefault="00556FAA" w:rsidP="009870E2">
      <w:pPr>
        <w:pStyle w:val="afc"/>
      </w:pPr>
      <w:r>
        <w:rPr>
          <w:rStyle w:val="afe"/>
        </w:rPr>
        <w:footnoteRef/>
      </w:r>
      <w:r>
        <w:t xml:space="preserve"> </w:t>
      </w:r>
      <w:r>
        <w:rPr>
          <w:lang w:val="en-US"/>
        </w:rPr>
        <w:t>About</w:t>
      </w:r>
      <w:r w:rsidRPr="00BB7D04">
        <w:t xml:space="preserve"> </w:t>
      </w:r>
      <w:r>
        <w:rPr>
          <w:lang w:val="en-US"/>
        </w:rPr>
        <w:t>the</w:t>
      </w:r>
      <w:r w:rsidRPr="00BB7D04">
        <w:t xml:space="preserve"> </w:t>
      </w:r>
      <w:r>
        <w:rPr>
          <w:lang w:val="en-US"/>
        </w:rPr>
        <w:t>company</w:t>
      </w:r>
      <w:r w:rsidRPr="00BB7D04">
        <w:t xml:space="preserve">. </w:t>
      </w:r>
      <w:r>
        <w:rPr>
          <w:lang w:val="en-US"/>
        </w:rPr>
        <w:t>Strategy</w:t>
      </w:r>
      <w:r w:rsidRPr="00BB7D04">
        <w:t xml:space="preserve"> </w:t>
      </w:r>
      <w:r>
        <w:t xml:space="preserve">// официальный информационный сайт </w:t>
      </w:r>
      <w:r w:rsidRPr="00BB7D04">
        <w:t>[</w:t>
      </w:r>
      <w:r>
        <w:t>Электронный ресурс</w:t>
      </w:r>
      <w:r w:rsidRPr="00BB7D04">
        <w:t>]</w:t>
      </w:r>
      <w:r>
        <w:t xml:space="preserve"> — Режим доступа: </w:t>
      </w:r>
      <w:r w:rsidRPr="00BB7D04">
        <w:t xml:space="preserve">https://investor.hh.ru/our-company/strategy, </w:t>
      </w:r>
      <w:r>
        <w:t>свободный. (Дата обращения: 27.03.2020)</w:t>
      </w:r>
      <w:r w:rsidRPr="00BB7D04">
        <w:t xml:space="preserve"> </w:t>
      </w:r>
    </w:p>
  </w:footnote>
  <w:footnote w:id="77">
    <w:p w14:paraId="0E9EACC2" w14:textId="3A7AA218" w:rsidR="00556FAA" w:rsidRPr="007B6C5E" w:rsidRDefault="00556FAA">
      <w:pPr>
        <w:pStyle w:val="afc"/>
      </w:pPr>
      <w:r>
        <w:rPr>
          <w:rStyle w:val="afe"/>
        </w:rPr>
        <w:footnoteRef/>
      </w:r>
      <w:r w:rsidRPr="007B6C5E">
        <w:t xml:space="preserve"> </w:t>
      </w:r>
      <w:r>
        <w:t>По</w:t>
      </w:r>
      <w:r w:rsidRPr="007B6C5E">
        <w:t xml:space="preserve"> </w:t>
      </w:r>
      <w:r>
        <w:t>данным</w:t>
      </w:r>
      <w:r w:rsidRPr="007B6C5E">
        <w:t xml:space="preserve"> </w:t>
      </w:r>
      <w:r>
        <w:t>оценки</w:t>
      </w:r>
      <w:r w:rsidRPr="007B6C5E">
        <w:t xml:space="preserve"> </w:t>
      </w:r>
      <w:r>
        <w:rPr>
          <w:lang w:val="en-US"/>
        </w:rPr>
        <w:t>J</w:t>
      </w:r>
      <w:r w:rsidRPr="007B6C5E">
        <w:t>’</w:t>
      </w:r>
      <w:r>
        <w:rPr>
          <w:lang w:val="en-US"/>
        </w:rPr>
        <w:t>son</w:t>
      </w:r>
      <w:r w:rsidRPr="007B6C5E">
        <w:t xml:space="preserve"> &amp; </w:t>
      </w:r>
      <w:r>
        <w:rPr>
          <w:lang w:val="en-US"/>
        </w:rPr>
        <w:t>Partners</w:t>
      </w:r>
      <w:r w:rsidRPr="007B6C5E">
        <w:t xml:space="preserve"> </w:t>
      </w:r>
      <w:r>
        <w:t>и</w:t>
      </w:r>
      <w:r w:rsidRPr="007B6C5E">
        <w:t xml:space="preserve"> </w:t>
      </w:r>
      <w:proofErr w:type="spellStart"/>
      <w:r>
        <w:rPr>
          <w:lang w:val="en-US"/>
        </w:rPr>
        <w:t>TalentTech</w:t>
      </w:r>
      <w:proofErr w:type="spellEnd"/>
    </w:p>
  </w:footnote>
  <w:footnote w:id="78">
    <w:p w14:paraId="74D7F24B" w14:textId="2922167F" w:rsidR="00556FAA" w:rsidRDefault="00556FAA">
      <w:pPr>
        <w:pStyle w:val="afc"/>
      </w:pPr>
      <w:r>
        <w:rPr>
          <w:rStyle w:val="afe"/>
        </w:rPr>
        <w:footnoteRef/>
      </w:r>
      <w:r>
        <w:t xml:space="preserve"> </w:t>
      </w:r>
      <w:r w:rsidRPr="00011111">
        <w:t>Владельцы HeadHunter рассчитывают получить $220 млн в ходе IPO</w:t>
      </w:r>
      <w:r>
        <w:t xml:space="preserve"> // Ведомости </w:t>
      </w:r>
      <w:r w:rsidRPr="008424CA">
        <w:t>[</w:t>
      </w:r>
      <w:r>
        <w:t>Электронный ресурс</w:t>
      </w:r>
      <w:r w:rsidRPr="008424CA">
        <w:t>]</w:t>
      </w:r>
      <w:r>
        <w:t xml:space="preserve"> — Режим доступа: </w:t>
      </w:r>
      <w:hyperlink r:id="rId11" w:history="1">
        <w:r>
          <w:rPr>
            <w:rStyle w:val="afa"/>
          </w:rPr>
          <w:t>https://www.vedomosti.ru/technology/articles/2019/05/09/801097-headhunter</w:t>
        </w:r>
      </w:hyperlink>
      <w:r>
        <w:t>, свободный. (Дата обращения: 27.03.2020)</w:t>
      </w:r>
    </w:p>
  </w:footnote>
  <w:footnote w:id="79">
    <w:p w14:paraId="079C48C5" w14:textId="2ACBA982" w:rsidR="00556FAA" w:rsidRPr="00913472" w:rsidRDefault="00556FAA" w:rsidP="00913472">
      <w:pPr>
        <w:pStyle w:val="afc"/>
      </w:pPr>
      <w:r>
        <w:rPr>
          <w:rStyle w:val="afe"/>
        </w:rPr>
        <w:footnoteRef/>
      </w:r>
      <w:r>
        <w:t xml:space="preserve"> Среднемесячная доходность индекса 5–10-летних государственных облигаций (RUGBITR10Y) // </w:t>
      </w:r>
      <w:proofErr w:type="spellStart"/>
      <w:r>
        <w:rPr>
          <w:lang w:val="en-US"/>
        </w:rPr>
        <w:t>Conomy</w:t>
      </w:r>
      <w:proofErr w:type="spellEnd"/>
      <w:r w:rsidRPr="00913472">
        <w:t xml:space="preserve"> [</w:t>
      </w:r>
      <w:r>
        <w:t>Электронный ресурс</w:t>
      </w:r>
      <w:r w:rsidRPr="00913472">
        <w:t>]</w:t>
      </w:r>
      <w:r>
        <w:t xml:space="preserve"> — Режим доступа: </w:t>
      </w:r>
      <w:hyperlink r:id="rId12" w:history="1">
        <w:r w:rsidRPr="0090426E">
          <w:rPr>
            <w:rStyle w:val="afa"/>
          </w:rPr>
          <w:t>https://www.conomy.ru/stavki-gko</w:t>
        </w:r>
      </w:hyperlink>
      <w:r>
        <w:t>, свободный. (Дата обращения: 27.03.2020)</w:t>
      </w:r>
    </w:p>
  </w:footnote>
  <w:footnote w:id="80">
    <w:p w14:paraId="49DD6C1D" w14:textId="5BFAE913" w:rsidR="00556FAA" w:rsidRPr="00913472" w:rsidRDefault="00556FAA">
      <w:pPr>
        <w:pStyle w:val="afc"/>
      </w:pPr>
      <w:r>
        <w:rPr>
          <w:rStyle w:val="afe"/>
        </w:rPr>
        <w:footnoteRef/>
      </w:r>
      <w:r w:rsidRPr="00913472">
        <w:t xml:space="preserve"> </w:t>
      </w:r>
      <w:r>
        <w:rPr>
          <w:lang w:val="en-US"/>
        </w:rPr>
        <w:t>Betas</w:t>
      </w:r>
      <w:r w:rsidRPr="00913472">
        <w:t xml:space="preserve"> </w:t>
      </w:r>
      <w:r>
        <w:rPr>
          <w:lang w:val="en-US"/>
        </w:rPr>
        <w:t>by</w:t>
      </w:r>
      <w:r w:rsidRPr="00913472">
        <w:t xml:space="preserve"> </w:t>
      </w:r>
      <w:r>
        <w:rPr>
          <w:lang w:val="en-US"/>
        </w:rPr>
        <w:t>sectors</w:t>
      </w:r>
      <w:r w:rsidRPr="00913472">
        <w:t xml:space="preserve"> // </w:t>
      </w:r>
      <w:r>
        <w:rPr>
          <w:lang w:val="en-US"/>
        </w:rPr>
        <w:t>Damodaran</w:t>
      </w:r>
      <w:r w:rsidRPr="00913472">
        <w:t xml:space="preserve"> </w:t>
      </w:r>
      <w:r>
        <w:rPr>
          <w:lang w:val="en-US"/>
        </w:rPr>
        <w:t>Online</w:t>
      </w:r>
      <w:r w:rsidRPr="00913472">
        <w:t xml:space="preserve"> [</w:t>
      </w:r>
      <w:r>
        <w:t>Электронный</w:t>
      </w:r>
      <w:r w:rsidRPr="00913472">
        <w:t xml:space="preserve"> </w:t>
      </w:r>
      <w:r>
        <w:t>ресурс</w:t>
      </w:r>
      <w:r w:rsidRPr="00913472">
        <w:t xml:space="preserve">] — </w:t>
      </w:r>
      <w:r>
        <w:t>Режим</w:t>
      </w:r>
      <w:r w:rsidRPr="00913472">
        <w:t xml:space="preserve"> </w:t>
      </w:r>
      <w:r>
        <w:t xml:space="preserve">доступа: </w:t>
      </w:r>
      <w:hyperlink r:id="rId13" w:history="1">
        <w:r w:rsidRPr="0090426E">
          <w:rPr>
            <w:rStyle w:val="afa"/>
          </w:rPr>
          <w:t>http://pages.stern.nyu.edu/~adamodar/New_Home_Page/datafile/Betas.html</w:t>
        </w:r>
      </w:hyperlink>
      <w:r>
        <w:t>, свободный. (Дата обращения: 27.03.2020)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E4649" w14:textId="77777777" w:rsidR="00556FAA" w:rsidRDefault="00556FAA" w:rsidP="00E62448">
    <w:pPr>
      <w:pStyle w:val="af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858"/>
    <w:multiLevelType w:val="hybridMultilevel"/>
    <w:tmpl w:val="348E9D8C"/>
    <w:lvl w:ilvl="0" w:tplc="EC840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EA2426"/>
    <w:multiLevelType w:val="hybridMultilevel"/>
    <w:tmpl w:val="FF62F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837BE"/>
    <w:multiLevelType w:val="hybridMultilevel"/>
    <w:tmpl w:val="B07C0600"/>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A44B1"/>
    <w:multiLevelType w:val="multilevel"/>
    <w:tmpl w:val="5CF495FA"/>
    <w:lvl w:ilvl="0">
      <w:start w:val="1"/>
      <w:numFmt w:val="decimal"/>
      <w:lvlText w:val="%1."/>
      <w:lvlJc w:val="left"/>
      <w:pPr>
        <w:ind w:left="720" w:hanging="360"/>
      </w:pPr>
      <w:rPr>
        <w:rFonts w:hint="default"/>
      </w:rPr>
    </w:lvl>
    <w:lvl w:ilvl="1">
      <w:start w:val="2"/>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7D3A4C"/>
    <w:multiLevelType w:val="hybridMultilevel"/>
    <w:tmpl w:val="1638D7BA"/>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80774"/>
    <w:multiLevelType w:val="hybridMultilevel"/>
    <w:tmpl w:val="294A41FE"/>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5364E"/>
    <w:multiLevelType w:val="hybridMultilevel"/>
    <w:tmpl w:val="6EEE0108"/>
    <w:lvl w:ilvl="0" w:tplc="3BEE7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6210CB"/>
    <w:multiLevelType w:val="hybridMultilevel"/>
    <w:tmpl w:val="FDEE3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AA65E1"/>
    <w:multiLevelType w:val="hybridMultilevel"/>
    <w:tmpl w:val="BEB835AE"/>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A44E21"/>
    <w:multiLevelType w:val="hybridMultilevel"/>
    <w:tmpl w:val="E4149318"/>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26738A"/>
    <w:multiLevelType w:val="hybridMultilevel"/>
    <w:tmpl w:val="7576C4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F3C0367"/>
    <w:multiLevelType w:val="hybridMultilevel"/>
    <w:tmpl w:val="54B62EB8"/>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6467A"/>
    <w:multiLevelType w:val="hybridMultilevel"/>
    <w:tmpl w:val="F49C9F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DE5C85"/>
    <w:multiLevelType w:val="hybridMultilevel"/>
    <w:tmpl w:val="88B6413E"/>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272653"/>
    <w:multiLevelType w:val="hybridMultilevel"/>
    <w:tmpl w:val="E0DAAA66"/>
    <w:lvl w:ilvl="0" w:tplc="D522F3BE">
      <w:start w:val="1"/>
      <w:numFmt w:val="decimal"/>
      <w:pStyle w:val="a"/>
      <w:lvlText w:val="Рис. %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645F04"/>
    <w:multiLevelType w:val="hybridMultilevel"/>
    <w:tmpl w:val="E5F0B47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41646D"/>
    <w:multiLevelType w:val="hybridMultilevel"/>
    <w:tmpl w:val="7D14DB46"/>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B25503"/>
    <w:multiLevelType w:val="hybridMultilevel"/>
    <w:tmpl w:val="EF98184C"/>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343B8D"/>
    <w:multiLevelType w:val="hybridMultilevel"/>
    <w:tmpl w:val="CDAA9F36"/>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5838B7"/>
    <w:multiLevelType w:val="hybridMultilevel"/>
    <w:tmpl w:val="EA1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E8749A"/>
    <w:multiLevelType w:val="hybridMultilevel"/>
    <w:tmpl w:val="C7E680CA"/>
    <w:lvl w:ilvl="0" w:tplc="EDE2AEC8">
      <w:start w:val="1"/>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21" w15:restartNumberingAfterBreak="0">
    <w:nsid w:val="4E817FAE"/>
    <w:multiLevelType w:val="hybridMultilevel"/>
    <w:tmpl w:val="0EAE9534"/>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F17706"/>
    <w:multiLevelType w:val="hybridMultilevel"/>
    <w:tmpl w:val="41249068"/>
    <w:lvl w:ilvl="0" w:tplc="E4FC2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FD344C"/>
    <w:multiLevelType w:val="hybridMultilevel"/>
    <w:tmpl w:val="12A46A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B0814C9"/>
    <w:multiLevelType w:val="hybridMultilevel"/>
    <w:tmpl w:val="4BF67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FFF09C2"/>
    <w:multiLevelType w:val="hybridMultilevel"/>
    <w:tmpl w:val="428A1EDA"/>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203A5E"/>
    <w:multiLevelType w:val="hybridMultilevel"/>
    <w:tmpl w:val="3D289460"/>
    <w:lvl w:ilvl="0" w:tplc="9A44AAF6">
      <w:start w:val="1"/>
      <w:numFmt w:val="decimal"/>
      <w:pStyle w:val="a0"/>
      <w:lvlText w:val="Таблица %1"/>
      <w:lvlJc w:val="left"/>
      <w:pPr>
        <w:ind w:left="720"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530BA2"/>
    <w:multiLevelType w:val="hybridMultilevel"/>
    <w:tmpl w:val="7CC2959A"/>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CA798A"/>
    <w:multiLevelType w:val="hybridMultilevel"/>
    <w:tmpl w:val="8F96EA72"/>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F2402F"/>
    <w:multiLevelType w:val="hybridMultilevel"/>
    <w:tmpl w:val="EE1C2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503BFD"/>
    <w:multiLevelType w:val="hybridMultilevel"/>
    <w:tmpl w:val="31CA8514"/>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154D0A"/>
    <w:multiLevelType w:val="hybridMultilevel"/>
    <w:tmpl w:val="F146BD84"/>
    <w:lvl w:ilvl="0" w:tplc="966419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4"/>
  </w:num>
  <w:num w:numId="3">
    <w:abstractNumId w:val="24"/>
  </w:num>
  <w:num w:numId="4">
    <w:abstractNumId w:val="15"/>
  </w:num>
  <w:num w:numId="5">
    <w:abstractNumId w:val="23"/>
  </w:num>
  <w:num w:numId="6">
    <w:abstractNumId w:val="17"/>
  </w:num>
  <w:num w:numId="7">
    <w:abstractNumId w:val="19"/>
  </w:num>
  <w:num w:numId="8">
    <w:abstractNumId w:val="27"/>
  </w:num>
  <w:num w:numId="9">
    <w:abstractNumId w:val="9"/>
  </w:num>
  <w:num w:numId="10">
    <w:abstractNumId w:val="28"/>
  </w:num>
  <w:num w:numId="11">
    <w:abstractNumId w:val="30"/>
  </w:num>
  <w:num w:numId="12">
    <w:abstractNumId w:val="13"/>
  </w:num>
  <w:num w:numId="13">
    <w:abstractNumId w:val="25"/>
  </w:num>
  <w:num w:numId="14">
    <w:abstractNumId w:val="8"/>
  </w:num>
  <w:num w:numId="15">
    <w:abstractNumId w:val="11"/>
  </w:num>
  <w:num w:numId="16">
    <w:abstractNumId w:val="21"/>
  </w:num>
  <w:num w:numId="17">
    <w:abstractNumId w:val="16"/>
  </w:num>
  <w:num w:numId="18">
    <w:abstractNumId w:val="4"/>
  </w:num>
  <w:num w:numId="19">
    <w:abstractNumId w:val="6"/>
  </w:num>
  <w:num w:numId="20">
    <w:abstractNumId w:val="29"/>
  </w:num>
  <w:num w:numId="21">
    <w:abstractNumId w:val="7"/>
  </w:num>
  <w:num w:numId="22">
    <w:abstractNumId w:val="12"/>
  </w:num>
  <w:num w:numId="23">
    <w:abstractNumId w:val="20"/>
  </w:num>
  <w:num w:numId="24">
    <w:abstractNumId w:val="3"/>
  </w:num>
  <w:num w:numId="25">
    <w:abstractNumId w:val="26"/>
    <w:lvlOverride w:ilvl="0">
      <w:startOverride w:val="1"/>
    </w:lvlOverride>
  </w:num>
  <w:num w:numId="26">
    <w:abstractNumId w:val="1"/>
  </w:num>
  <w:num w:numId="27">
    <w:abstractNumId w:val="18"/>
  </w:num>
  <w:num w:numId="28">
    <w:abstractNumId w:val="5"/>
  </w:num>
  <w:num w:numId="29">
    <w:abstractNumId w:val="31"/>
  </w:num>
  <w:num w:numId="30">
    <w:abstractNumId w:val="22"/>
  </w:num>
  <w:num w:numId="31">
    <w:abstractNumId w:val="2"/>
  </w:num>
  <w:num w:numId="32">
    <w:abstractNumId w:val="0"/>
  </w:num>
  <w:num w:numId="33">
    <w:abstractNumId w:val="14"/>
  </w:num>
  <w:num w:numId="34">
    <w:abstractNumId w:val="26"/>
    <w:lvlOverride w:ilvl="0">
      <w:startOverride w:val="1"/>
    </w:lvlOverride>
  </w:num>
  <w:num w:numId="3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0F4"/>
    <w:rsid w:val="000000B8"/>
    <w:rsid w:val="00002228"/>
    <w:rsid w:val="0000368E"/>
    <w:rsid w:val="000040FA"/>
    <w:rsid w:val="00011111"/>
    <w:rsid w:val="000135DF"/>
    <w:rsid w:val="000151C6"/>
    <w:rsid w:val="00016772"/>
    <w:rsid w:val="00016D4D"/>
    <w:rsid w:val="000212E3"/>
    <w:rsid w:val="000219EB"/>
    <w:rsid w:val="00023C4D"/>
    <w:rsid w:val="00024D59"/>
    <w:rsid w:val="00025044"/>
    <w:rsid w:val="0002539E"/>
    <w:rsid w:val="00025F91"/>
    <w:rsid w:val="00026B06"/>
    <w:rsid w:val="00031E8E"/>
    <w:rsid w:val="000333B3"/>
    <w:rsid w:val="000339C9"/>
    <w:rsid w:val="00037F2D"/>
    <w:rsid w:val="00041D2A"/>
    <w:rsid w:val="0004224A"/>
    <w:rsid w:val="00045CC3"/>
    <w:rsid w:val="00045D53"/>
    <w:rsid w:val="00051AA5"/>
    <w:rsid w:val="0005322D"/>
    <w:rsid w:val="00053620"/>
    <w:rsid w:val="00054203"/>
    <w:rsid w:val="00054F53"/>
    <w:rsid w:val="0005607F"/>
    <w:rsid w:val="00056DDF"/>
    <w:rsid w:val="0005706C"/>
    <w:rsid w:val="00060214"/>
    <w:rsid w:val="0006165C"/>
    <w:rsid w:val="00062F6E"/>
    <w:rsid w:val="00063128"/>
    <w:rsid w:val="00070031"/>
    <w:rsid w:val="00071F3C"/>
    <w:rsid w:val="00072906"/>
    <w:rsid w:val="00080675"/>
    <w:rsid w:val="00081127"/>
    <w:rsid w:val="00081763"/>
    <w:rsid w:val="00091DE7"/>
    <w:rsid w:val="00093F8B"/>
    <w:rsid w:val="000945C8"/>
    <w:rsid w:val="000958B0"/>
    <w:rsid w:val="000A0391"/>
    <w:rsid w:val="000A07EA"/>
    <w:rsid w:val="000A127E"/>
    <w:rsid w:val="000A23F3"/>
    <w:rsid w:val="000A4B83"/>
    <w:rsid w:val="000A5F02"/>
    <w:rsid w:val="000A70BB"/>
    <w:rsid w:val="000A7B04"/>
    <w:rsid w:val="000A7B24"/>
    <w:rsid w:val="000A7BA5"/>
    <w:rsid w:val="000A7EE7"/>
    <w:rsid w:val="000B1FCD"/>
    <w:rsid w:val="000B3DBB"/>
    <w:rsid w:val="000B6741"/>
    <w:rsid w:val="000B6F89"/>
    <w:rsid w:val="000C03FA"/>
    <w:rsid w:val="000C0802"/>
    <w:rsid w:val="000C0D27"/>
    <w:rsid w:val="000C0D49"/>
    <w:rsid w:val="000C11C7"/>
    <w:rsid w:val="000C1CF9"/>
    <w:rsid w:val="000C27A0"/>
    <w:rsid w:val="000C27E5"/>
    <w:rsid w:val="000D095D"/>
    <w:rsid w:val="000D548E"/>
    <w:rsid w:val="000D6316"/>
    <w:rsid w:val="000D6408"/>
    <w:rsid w:val="000E0833"/>
    <w:rsid w:val="000E2486"/>
    <w:rsid w:val="000E3FBA"/>
    <w:rsid w:val="000E4753"/>
    <w:rsid w:val="000E6DA2"/>
    <w:rsid w:val="000E7457"/>
    <w:rsid w:val="000F0BA5"/>
    <w:rsid w:val="000F0F1A"/>
    <w:rsid w:val="000F415A"/>
    <w:rsid w:val="000F4171"/>
    <w:rsid w:val="000F70AF"/>
    <w:rsid w:val="00100DC8"/>
    <w:rsid w:val="00101808"/>
    <w:rsid w:val="00107855"/>
    <w:rsid w:val="0011603E"/>
    <w:rsid w:val="0011631C"/>
    <w:rsid w:val="00117C12"/>
    <w:rsid w:val="00120087"/>
    <w:rsid w:val="00120C1D"/>
    <w:rsid w:val="00120DC1"/>
    <w:rsid w:val="00123818"/>
    <w:rsid w:val="00127811"/>
    <w:rsid w:val="00130A49"/>
    <w:rsid w:val="001318F3"/>
    <w:rsid w:val="001322D5"/>
    <w:rsid w:val="0013296E"/>
    <w:rsid w:val="001334BC"/>
    <w:rsid w:val="0013579A"/>
    <w:rsid w:val="00136402"/>
    <w:rsid w:val="00137F7E"/>
    <w:rsid w:val="00140CF9"/>
    <w:rsid w:val="00140CFC"/>
    <w:rsid w:val="001414EE"/>
    <w:rsid w:val="0014201B"/>
    <w:rsid w:val="001525D7"/>
    <w:rsid w:val="00152C0B"/>
    <w:rsid w:val="001542D4"/>
    <w:rsid w:val="0015465E"/>
    <w:rsid w:val="001547CB"/>
    <w:rsid w:val="00155486"/>
    <w:rsid w:val="001574CC"/>
    <w:rsid w:val="00157CC8"/>
    <w:rsid w:val="00163157"/>
    <w:rsid w:val="0016469E"/>
    <w:rsid w:val="00166A35"/>
    <w:rsid w:val="0016740C"/>
    <w:rsid w:val="00167FEC"/>
    <w:rsid w:val="00170B92"/>
    <w:rsid w:val="00171736"/>
    <w:rsid w:val="00173501"/>
    <w:rsid w:val="00173740"/>
    <w:rsid w:val="00174270"/>
    <w:rsid w:val="001778E3"/>
    <w:rsid w:val="00181BA3"/>
    <w:rsid w:val="001833BF"/>
    <w:rsid w:val="0018441B"/>
    <w:rsid w:val="0018632F"/>
    <w:rsid w:val="00187011"/>
    <w:rsid w:val="00190034"/>
    <w:rsid w:val="0019107B"/>
    <w:rsid w:val="00191FCB"/>
    <w:rsid w:val="001931C3"/>
    <w:rsid w:val="00195994"/>
    <w:rsid w:val="00195E50"/>
    <w:rsid w:val="00196172"/>
    <w:rsid w:val="001978EF"/>
    <w:rsid w:val="001A15EF"/>
    <w:rsid w:val="001A62A0"/>
    <w:rsid w:val="001A671A"/>
    <w:rsid w:val="001B0435"/>
    <w:rsid w:val="001B1BED"/>
    <w:rsid w:val="001B22FD"/>
    <w:rsid w:val="001B42A9"/>
    <w:rsid w:val="001B61D1"/>
    <w:rsid w:val="001B7433"/>
    <w:rsid w:val="001C0F24"/>
    <w:rsid w:val="001C2134"/>
    <w:rsid w:val="001C6FE7"/>
    <w:rsid w:val="001C74C2"/>
    <w:rsid w:val="001C7EF1"/>
    <w:rsid w:val="001D2CD2"/>
    <w:rsid w:val="001D46AA"/>
    <w:rsid w:val="001D4C42"/>
    <w:rsid w:val="001D55BD"/>
    <w:rsid w:val="001D702E"/>
    <w:rsid w:val="001E2948"/>
    <w:rsid w:val="001E3D18"/>
    <w:rsid w:val="001E62DA"/>
    <w:rsid w:val="001E728D"/>
    <w:rsid w:val="00203CF8"/>
    <w:rsid w:val="00205803"/>
    <w:rsid w:val="00206566"/>
    <w:rsid w:val="002067BC"/>
    <w:rsid w:val="002132A5"/>
    <w:rsid w:val="00214859"/>
    <w:rsid w:val="0021771D"/>
    <w:rsid w:val="0021775C"/>
    <w:rsid w:val="00217F27"/>
    <w:rsid w:val="00221601"/>
    <w:rsid w:val="002227EE"/>
    <w:rsid w:val="00223029"/>
    <w:rsid w:val="0022553F"/>
    <w:rsid w:val="00232A7D"/>
    <w:rsid w:val="00232BC5"/>
    <w:rsid w:val="0023579D"/>
    <w:rsid w:val="00244E21"/>
    <w:rsid w:val="00247AB0"/>
    <w:rsid w:val="0025020E"/>
    <w:rsid w:val="00252BC9"/>
    <w:rsid w:val="002607CC"/>
    <w:rsid w:val="0026192F"/>
    <w:rsid w:val="00262A91"/>
    <w:rsid w:val="00263470"/>
    <w:rsid w:val="00264B82"/>
    <w:rsid w:val="00264F48"/>
    <w:rsid w:val="002713B6"/>
    <w:rsid w:val="00272D7B"/>
    <w:rsid w:val="00275DCA"/>
    <w:rsid w:val="0027646C"/>
    <w:rsid w:val="002774E6"/>
    <w:rsid w:val="0028015D"/>
    <w:rsid w:val="00280350"/>
    <w:rsid w:val="00280B57"/>
    <w:rsid w:val="0028122B"/>
    <w:rsid w:val="0028175B"/>
    <w:rsid w:val="00283194"/>
    <w:rsid w:val="002854B4"/>
    <w:rsid w:val="00286DB5"/>
    <w:rsid w:val="0028716E"/>
    <w:rsid w:val="00287BF3"/>
    <w:rsid w:val="00287F85"/>
    <w:rsid w:val="002918DE"/>
    <w:rsid w:val="002954C7"/>
    <w:rsid w:val="002966EC"/>
    <w:rsid w:val="002A0A0A"/>
    <w:rsid w:val="002A1E64"/>
    <w:rsid w:val="002A46F2"/>
    <w:rsid w:val="002A4F5D"/>
    <w:rsid w:val="002A4F84"/>
    <w:rsid w:val="002B2980"/>
    <w:rsid w:val="002B4757"/>
    <w:rsid w:val="002B6CB8"/>
    <w:rsid w:val="002B794F"/>
    <w:rsid w:val="002C243E"/>
    <w:rsid w:val="002C7424"/>
    <w:rsid w:val="002D1903"/>
    <w:rsid w:val="002D2E6A"/>
    <w:rsid w:val="002D53E7"/>
    <w:rsid w:val="002D6AAF"/>
    <w:rsid w:val="002E6F46"/>
    <w:rsid w:val="002E7269"/>
    <w:rsid w:val="002F0AF1"/>
    <w:rsid w:val="002F16DA"/>
    <w:rsid w:val="002F1F70"/>
    <w:rsid w:val="002F4492"/>
    <w:rsid w:val="002F481C"/>
    <w:rsid w:val="002F597D"/>
    <w:rsid w:val="002F6700"/>
    <w:rsid w:val="002F6E03"/>
    <w:rsid w:val="003022D1"/>
    <w:rsid w:val="003044B4"/>
    <w:rsid w:val="003062DC"/>
    <w:rsid w:val="0031309E"/>
    <w:rsid w:val="003136E3"/>
    <w:rsid w:val="003137AD"/>
    <w:rsid w:val="003205E6"/>
    <w:rsid w:val="0032124D"/>
    <w:rsid w:val="003213B6"/>
    <w:rsid w:val="003256F7"/>
    <w:rsid w:val="00326F30"/>
    <w:rsid w:val="00332C64"/>
    <w:rsid w:val="00334478"/>
    <w:rsid w:val="00337D93"/>
    <w:rsid w:val="0034521A"/>
    <w:rsid w:val="00346366"/>
    <w:rsid w:val="00347491"/>
    <w:rsid w:val="00351457"/>
    <w:rsid w:val="00352DC9"/>
    <w:rsid w:val="0035322F"/>
    <w:rsid w:val="003558C3"/>
    <w:rsid w:val="00355D4F"/>
    <w:rsid w:val="003607FD"/>
    <w:rsid w:val="00364D6F"/>
    <w:rsid w:val="003662B4"/>
    <w:rsid w:val="003668BE"/>
    <w:rsid w:val="00367554"/>
    <w:rsid w:val="003718E4"/>
    <w:rsid w:val="00372FF1"/>
    <w:rsid w:val="00373DA8"/>
    <w:rsid w:val="00375D07"/>
    <w:rsid w:val="00375E9B"/>
    <w:rsid w:val="00375FBB"/>
    <w:rsid w:val="00376E0E"/>
    <w:rsid w:val="003776C1"/>
    <w:rsid w:val="00377948"/>
    <w:rsid w:val="003811E7"/>
    <w:rsid w:val="00382097"/>
    <w:rsid w:val="00384603"/>
    <w:rsid w:val="00384976"/>
    <w:rsid w:val="003876AD"/>
    <w:rsid w:val="003905F9"/>
    <w:rsid w:val="00390DA4"/>
    <w:rsid w:val="00391B82"/>
    <w:rsid w:val="0039338E"/>
    <w:rsid w:val="003938ED"/>
    <w:rsid w:val="00394D4D"/>
    <w:rsid w:val="003960CE"/>
    <w:rsid w:val="00397F9C"/>
    <w:rsid w:val="003B03E1"/>
    <w:rsid w:val="003B1514"/>
    <w:rsid w:val="003B3398"/>
    <w:rsid w:val="003B3E89"/>
    <w:rsid w:val="003B5085"/>
    <w:rsid w:val="003B796B"/>
    <w:rsid w:val="003C15B6"/>
    <w:rsid w:val="003C4E8B"/>
    <w:rsid w:val="003C4EAE"/>
    <w:rsid w:val="003C58D6"/>
    <w:rsid w:val="003D1BF9"/>
    <w:rsid w:val="003D209A"/>
    <w:rsid w:val="003D42C5"/>
    <w:rsid w:val="003D5A73"/>
    <w:rsid w:val="003D787F"/>
    <w:rsid w:val="003E5228"/>
    <w:rsid w:val="003E5373"/>
    <w:rsid w:val="003F4476"/>
    <w:rsid w:val="003F4BB8"/>
    <w:rsid w:val="003F60F9"/>
    <w:rsid w:val="003F6BD9"/>
    <w:rsid w:val="0040126B"/>
    <w:rsid w:val="00403FA0"/>
    <w:rsid w:val="0040515F"/>
    <w:rsid w:val="00406691"/>
    <w:rsid w:val="0040687D"/>
    <w:rsid w:val="004116AE"/>
    <w:rsid w:val="0041383C"/>
    <w:rsid w:val="00413CBA"/>
    <w:rsid w:val="00416B11"/>
    <w:rsid w:val="00421B7C"/>
    <w:rsid w:val="004269BA"/>
    <w:rsid w:val="00430E7E"/>
    <w:rsid w:val="00436294"/>
    <w:rsid w:val="0043730A"/>
    <w:rsid w:val="00440856"/>
    <w:rsid w:val="00442A64"/>
    <w:rsid w:val="00445E9D"/>
    <w:rsid w:val="0044663F"/>
    <w:rsid w:val="004469B4"/>
    <w:rsid w:val="00454AA4"/>
    <w:rsid w:val="004600D4"/>
    <w:rsid w:val="00461911"/>
    <w:rsid w:val="004625DB"/>
    <w:rsid w:val="00462664"/>
    <w:rsid w:val="00463990"/>
    <w:rsid w:val="004640D8"/>
    <w:rsid w:val="004731F7"/>
    <w:rsid w:val="00474A61"/>
    <w:rsid w:val="00474DDB"/>
    <w:rsid w:val="0047524B"/>
    <w:rsid w:val="0047635E"/>
    <w:rsid w:val="00476CD4"/>
    <w:rsid w:val="0048635A"/>
    <w:rsid w:val="00486520"/>
    <w:rsid w:val="00486877"/>
    <w:rsid w:val="00487180"/>
    <w:rsid w:val="00487520"/>
    <w:rsid w:val="0049087B"/>
    <w:rsid w:val="00492E28"/>
    <w:rsid w:val="0049473A"/>
    <w:rsid w:val="004947C7"/>
    <w:rsid w:val="00494EA3"/>
    <w:rsid w:val="00494F73"/>
    <w:rsid w:val="004A3443"/>
    <w:rsid w:val="004A3722"/>
    <w:rsid w:val="004A7282"/>
    <w:rsid w:val="004B0F0A"/>
    <w:rsid w:val="004B33EB"/>
    <w:rsid w:val="004B3DC2"/>
    <w:rsid w:val="004B3FCB"/>
    <w:rsid w:val="004B4466"/>
    <w:rsid w:val="004B70B3"/>
    <w:rsid w:val="004C01FB"/>
    <w:rsid w:val="004C07CE"/>
    <w:rsid w:val="004C1D99"/>
    <w:rsid w:val="004C234E"/>
    <w:rsid w:val="004C2757"/>
    <w:rsid w:val="004C40B4"/>
    <w:rsid w:val="004C5ECB"/>
    <w:rsid w:val="004D00F0"/>
    <w:rsid w:val="004D0DD3"/>
    <w:rsid w:val="004D0FA8"/>
    <w:rsid w:val="004D2101"/>
    <w:rsid w:val="004D4A5E"/>
    <w:rsid w:val="004D67A0"/>
    <w:rsid w:val="004D7AEE"/>
    <w:rsid w:val="004E0793"/>
    <w:rsid w:val="004E2C3E"/>
    <w:rsid w:val="004E3978"/>
    <w:rsid w:val="004E39A8"/>
    <w:rsid w:val="004E3BD6"/>
    <w:rsid w:val="004E53F4"/>
    <w:rsid w:val="004E6C40"/>
    <w:rsid w:val="004F0FCA"/>
    <w:rsid w:val="004F1E59"/>
    <w:rsid w:val="004F2DED"/>
    <w:rsid w:val="004F2F8F"/>
    <w:rsid w:val="004F3640"/>
    <w:rsid w:val="00502C01"/>
    <w:rsid w:val="00504F26"/>
    <w:rsid w:val="0050500E"/>
    <w:rsid w:val="00505A55"/>
    <w:rsid w:val="00505FDA"/>
    <w:rsid w:val="0050738F"/>
    <w:rsid w:val="00507B2D"/>
    <w:rsid w:val="00516A89"/>
    <w:rsid w:val="00517400"/>
    <w:rsid w:val="005177A2"/>
    <w:rsid w:val="005178A3"/>
    <w:rsid w:val="0052495E"/>
    <w:rsid w:val="00524F51"/>
    <w:rsid w:val="005256F5"/>
    <w:rsid w:val="00525968"/>
    <w:rsid w:val="00530A10"/>
    <w:rsid w:val="0053171A"/>
    <w:rsid w:val="00532745"/>
    <w:rsid w:val="005333DB"/>
    <w:rsid w:val="00534CA4"/>
    <w:rsid w:val="00540487"/>
    <w:rsid w:val="00540AE5"/>
    <w:rsid w:val="00541A58"/>
    <w:rsid w:val="00541E74"/>
    <w:rsid w:val="00544D95"/>
    <w:rsid w:val="0054671A"/>
    <w:rsid w:val="005468D3"/>
    <w:rsid w:val="00546EB3"/>
    <w:rsid w:val="00551944"/>
    <w:rsid w:val="00553165"/>
    <w:rsid w:val="00553633"/>
    <w:rsid w:val="0055512F"/>
    <w:rsid w:val="00556E05"/>
    <w:rsid w:val="00556FAA"/>
    <w:rsid w:val="00556FFB"/>
    <w:rsid w:val="005579DB"/>
    <w:rsid w:val="00557B7C"/>
    <w:rsid w:val="0056078E"/>
    <w:rsid w:val="0056120C"/>
    <w:rsid w:val="005626F0"/>
    <w:rsid w:val="00564645"/>
    <w:rsid w:val="00571DFF"/>
    <w:rsid w:val="00575ACB"/>
    <w:rsid w:val="0057666E"/>
    <w:rsid w:val="00581962"/>
    <w:rsid w:val="00583FAB"/>
    <w:rsid w:val="00590EEF"/>
    <w:rsid w:val="0059110D"/>
    <w:rsid w:val="00591F82"/>
    <w:rsid w:val="0059222A"/>
    <w:rsid w:val="005946CA"/>
    <w:rsid w:val="0059507F"/>
    <w:rsid w:val="00595A83"/>
    <w:rsid w:val="005A2DFE"/>
    <w:rsid w:val="005A3D27"/>
    <w:rsid w:val="005A4301"/>
    <w:rsid w:val="005A6061"/>
    <w:rsid w:val="005B0D35"/>
    <w:rsid w:val="005B2409"/>
    <w:rsid w:val="005B465C"/>
    <w:rsid w:val="005B4DEB"/>
    <w:rsid w:val="005B788E"/>
    <w:rsid w:val="005B7BEA"/>
    <w:rsid w:val="005B7DD2"/>
    <w:rsid w:val="005C017D"/>
    <w:rsid w:val="005C07A0"/>
    <w:rsid w:val="005C10F3"/>
    <w:rsid w:val="005C2490"/>
    <w:rsid w:val="005C2630"/>
    <w:rsid w:val="005C3720"/>
    <w:rsid w:val="005C3871"/>
    <w:rsid w:val="005C3E7B"/>
    <w:rsid w:val="005C6D0F"/>
    <w:rsid w:val="005D04DB"/>
    <w:rsid w:val="005D46E7"/>
    <w:rsid w:val="005D52DF"/>
    <w:rsid w:val="005D53E6"/>
    <w:rsid w:val="005E0443"/>
    <w:rsid w:val="005E0C82"/>
    <w:rsid w:val="005E1A57"/>
    <w:rsid w:val="005E24CC"/>
    <w:rsid w:val="005E3467"/>
    <w:rsid w:val="005E4170"/>
    <w:rsid w:val="005E50DE"/>
    <w:rsid w:val="005E7836"/>
    <w:rsid w:val="005F0542"/>
    <w:rsid w:val="005F2A81"/>
    <w:rsid w:val="005F4ACD"/>
    <w:rsid w:val="005F4B6C"/>
    <w:rsid w:val="005F7DDF"/>
    <w:rsid w:val="00602590"/>
    <w:rsid w:val="00603138"/>
    <w:rsid w:val="00603960"/>
    <w:rsid w:val="006049E7"/>
    <w:rsid w:val="0061161F"/>
    <w:rsid w:val="00612846"/>
    <w:rsid w:val="0061352E"/>
    <w:rsid w:val="00613F3F"/>
    <w:rsid w:val="006163B8"/>
    <w:rsid w:val="00622604"/>
    <w:rsid w:val="00622CB6"/>
    <w:rsid w:val="006234D1"/>
    <w:rsid w:val="00624074"/>
    <w:rsid w:val="00624B08"/>
    <w:rsid w:val="00625000"/>
    <w:rsid w:val="006301E2"/>
    <w:rsid w:val="00630B26"/>
    <w:rsid w:val="006315A2"/>
    <w:rsid w:val="006326B7"/>
    <w:rsid w:val="00633BB8"/>
    <w:rsid w:val="006341FE"/>
    <w:rsid w:val="006370FB"/>
    <w:rsid w:val="00637DDC"/>
    <w:rsid w:val="00640A95"/>
    <w:rsid w:val="00641B0C"/>
    <w:rsid w:val="00642184"/>
    <w:rsid w:val="00642478"/>
    <w:rsid w:val="00646630"/>
    <w:rsid w:val="00647BD5"/>
    <w:rsid w:val="0065363D"/>
    <w:rsid w:val="00653AE1"/>
    <w:rsid w:val="00653FC3"/>
    <w:rsid w:val="00661AF8"/>
    <w:rsid w:val="006621D7"/>
    <w:rsid w:val="006623C0"/>
    <w:rsid w:val="00662BC9"/>
    <w:rsid w:val="00666D7D"/>
    <w:rsid w:val="0066766A"/>
    <w:rsid w:val="006722BE"/>
    <w:rsid w:val="006735B3"/>
    <w:rsid w:val="006755F7"/>
    <w:rsid w:val="00675840"/>
    <w:rsid w:val="00675E21"/>
    <w:rsid w:val="00676BB4"/>
    <w:rsid w:val="0068053D"/>
    <w:rsid w:val="0068056F"/>
    <w:rsid w:val="00681EA2"/>
    <w:rsid w:val="0068234D"/>
    <w:rsid w:val="0068488E"/>
    <w:rsid w:val="0069113E"/>
    <w:rsid w:val="0069164A"/>
    <w:rsid w:val="0069367C"/>
    <w:rsid w:val="006964AA"/>
    <w:rsid w:val="006A0F44"/>
    <w:rsid w:val="006A213E"/>
    <w:rsid w:val="006A2A1D"/>
    <w:rsid w:val="006A3621"/>
    <w:rsid w:val="006A3927"/>
    <w:rsid w:val="006A5F8A"/>
    <w:rsid w:val="006B01D7"/>
    <w:rsid w:val="006B15F7"/>
    <w:rsid w:val="006B3C08"/>
    <w:rsid w:val="006B67C2"/>
    <w:rsid w:val="006B7E28"/>
    <w:rsid w:val="006C1BB6"/>
    <w:rsid w:val="006C1FFB"/>
    <w:rsid w:val="006C2AAB"/>
    <w:rsid w:val="006C37B1"/>
    <w:rsid w:val="006C4A75"/>
    <w:rsid w:val="006D0A1F"/>
    <w:rsid w:val="006D2917"/>
    <w:rsid w:val="006D2985"/>
    <w:rsid w:val="006D38A7"/>
    <w:rsid w:val="006D4A0E"/>
    <w:rsid w:val="006D7385"/>
    <w:rsid w:val="006E09DA"/>
    <w:rsid w:val="006E0D62"/>
    <w:rsid w:val="006E1A6B"/>
    <w:rsid w:val="006E1F4D"/>
    <w:rsid w:val="006E3F00"/>
    <w:rsid w:val="006E4870"/>
    <w:rsid w:val="006E76BE"/>
    <w:rsid w:val="006F0443"/>
    <w:rsid w:val="006F1AAB"/>
    <w:rsid w:val="006F36EF"/>
    <w:rsid w:val="006F3899"/>
    <w:rsid w:val="006F38CC"/>
    <w:rsid w:val="006F416F"/>
    <w:rsid w:val="006F48B9"/>
    <w:rsid w:val="006F7780"/>
    <w:rsid w:val="00701A6E"/>
    <w:rsid w:val="00703A19"/>
    <w:rsid w:val="00707D63"/>
    <w:rsid w:val="0071580C"/>
    <w:rsid w:val="00715B46"/>
    <w:rsid w:val="0071766E"/>
    <w:rsid w:val="00720106"/>
    <w:rsid w:val="00721852"/>
    <w:rsid w:val="00727A33"/>
    <w:rsid w:val="00730369"/>
    <w:rsid w:val="007313FD"/>
    <w:rsid w:val="00732AE1"/>
    <w:rsid w:val="0073323F"/>
    <w:rsid w:val="007348D2"/>
    <w:rsid w:val="00734F75"/>
    <w:rsid w:val="00736538"/>
    <w:rsid w:val="00736FEB"/>
    <w:rsid w:val="007438B6"/>
    <w:rsid w:val="00747598"/>
    <w:rsid w:val="0075049D"/>
    <w:rsid w:val="0075085D"/>
    <w:rsid w:val="00755D1B"/>
    <w:rsid w:val="00760EEA"/>
    <w:rsid w:val="00761C4E"/>
    <w:rsid w:val="00761D1D"/>
    <w:rsid w:val="007623C8"/>
    <w:rsid w:val="00762AD5"/>
    <w:rsid w:val="0076752A"/>
    <w:rsid w:val="00767B2B"/>
    <w:rsid w:val="00770025"/>
    <w:rsid w:val="00771C87"/>
    <w:rsid w:val="00771D7D"/>
    <w:rsid w:val="00772380"/>
    <w:rsid w:val="00772862"/>
    <w:rsid w:val="00772BEA"/>
    <w:rsid w:val="0077351B"/>
    <w:rsid w:val="00773551"/>
    <w:rsid w:val="00775202"/>
    <w:rsid w:val="007766F0"/>
    <w:rsid w:val="0077799B"/>
    <w:rsid w:val="00780951"/>
    <w:rsid w:val="00780DAF"/>
    <w:rsid w:val="0078207D"/>
    <w:rsid w:val="00782C70"/>
    <w:rsid w:val="00783555"/>
    <w:rsid w:val="007845EE"/>
    <w:rsid w:val="0078575A"/>
    <w:rsid w:val="00786EE0"/>
    <w:rsid w:val="007921D3"/>
    <w:rsid w:val="00792686"/>
    <w:rsid w:val="00792C34"/>
    <w:rsid w:val="00792D09"/>
    <w:rsid w:val="00792F6C"/>
    <w:rsid w:val="00793C24"/>
    <w:rsid w:val="007A2F60"/>
    <w:rsid w:val="007A4790"/>
    <w:rsid w:val="007A765B"/>
    <w:rsid w:val="007B3C2C"/>
    <w:rsid w:val="007B6ACE"/>
    <w:rsid w:val="007B6C5E"/>
    <w:rsid w:val="007C0788"/>
    <w:rsid w:val="007C3DC5"/>
    <w:rsid w:val="007C4702"/>
    <w:rsid w:val="007C4E43"/>
    <w:rsid w:val="007C6F81"/>
    <w:rsid w:val="007D29BE"/>
    <w:rsid w:val="007D47ED"/>
    <w:rsid w:val="007E17BB"/>
    <w:rsid w:val="007E3CB0"/>
    <w:rsid w:val="007E423F"/>
    <w:rsid w:val="007E74A4"/>
    <w:rsid w:val="007E7719"/>
    <w:rsid w:val="007F03C7"/>
    <w:rsid w:val="007F1590"/>
    <w:rsid w:val="007F4B48"/>
    <w:rsid w:val="007F566A"/>
    <w:rsid w:val="007F699D"/>
    <w:rsid w:val="007F75DB"/>
    <w:rsid w:val="00800C32"/>
    <w:rsid w:val="00804512"/>
    <w:rsid w:val="00807368"/>
    <w:rsid w:val="00807C1E"/>
    <w:rsid w:val="00807CCF"/>
    <w:rsid w:val="008130B7"/>
    <w:rsid w:val="00814B91"/>
    <w:rsid w:val="00815B4B"/>
    <w:rsid w:val="008177CE"/>
    <w:rsid w:val="008201C5"/>
    <w:rsid w:val="00821359"/>
    <w:rsid w:val="008226C9"/>
    <w:rsid w:val="00827E7C"/>
    <w:rsid w:val="008343DD"/>
    <w:rsid w:val="00835175"/>
    <w:rsid w:val="00835E73"/>
    <w:rsid w:val="0083679E"/>
    <w:rsid w:val="008408FC"/>
    <w:rsid w:val="00842438"/>
    <w:rsid w:val="008424CA"/>
    <w:rsid w:val="00845828"/>
    <w:rsid w:val="00845853"/>
    <w:rsid w:val="008479ED"/>
    <w:rsid w:val="008512A0"/>
    <w:rsid w:val="00851C73"/>
    <w:rsid w:val="00851D7C"/>
    <w:rsid w:val="00851E1A"/>
    <w:rsid w:val="00853361"/>
    <w:rsid w:val="008538FB"/>
    <w:rsid w:val="0085547B"/>
    <w:rsid w:val="008613BB"/>
    <w:rsid w:val="0086189B"/>
    <w:rsid w:val="00861BD7"/>
    <w:rsid w:val="008666D3"/>
    <w:rsid w:val="008670A6"/>
    <w:rsid w:val="0086774F"/>
    <w:rsid w:val="00867795"/>
    <w:rsid w:val="008677A6"/>
    <w:rsid w:val="008679E8"/>
    <w:rsid w:val="00871ECD"/>
    <w:rsid w:val="008743E1"/>
    <w:rsid w:val="008770A6"/>
    <w:rsid w:val="00883A06"/>
    <w:rsid w:val="00884E2C"/>
    <w:rsid w:val="008912B7"/>
    <w:rsid w:val="0089292E"/>
    <w:rsid w:val="00892A5F"/>
    <w:rsid w:val="0089714B"/>
    <w:rsid w:val="008A1087"/>
    <w:rsid w:val="008A2093"/>
    <w:rsid w:val="008A4030"/>
    <w:rsid w:val="008A63A2"/>
    <w:rsid w:val="008A7CF2"/>
    <w:rsid w:val="008A7EDC"/>
    <w:rsid w:val="008B0AEA"/>
    <w:rsid w:val="008B1E9D"/>
    <w:rsid w:val="008B34D1"/>
    <w:rsid w:val="008B3C1E"/>
    <w:rsid w:val="008B4943"/>
    <w:rsid w:val="008B6BFA"/>
    <w:rsid w:val="008C05DD"/>
    <w:rsid w:val="008C0B4F"/>
    <w:rsid w:val="008C128C"/>
    <w:rsid w:val="008C48E4"/>
    <w:rsid w:val="008C5780"/>
    <w:rsid w:val="008D33CB"/>
    <w:rsid w:val="008D3448"/>
    <w:rsid w:val="008D4A92"/>
    <w:rsid w:val="008D64E9"/>
    <w:rsid w:val="008E01A0"/>
    <w:rsid w:val="008E26E4"/>
    <w:rsid w:val="008E2C88"/>
    <w:rsid w:val="008E34F5"/>
    <w:rsid w:val="008E386A"/>
    <w:rsid w:val="008E628A"/>
    <w:rsid w:val="008E699F"/>
    <w:rsid w:val="008E7292"/>
    <w:rsid w:val="008E7CD7"/>
    <w:rsid w:val="008F1390"/>
    <w:rsid w:val="008F1C44"/>
    <w:rsid w:val="008F1CD0"/>
    <w:rsid w:val="008F1CFE"/>
    <w:rsid w:val="008F1D0B"/>
    <w:rsid w:val="008F1DE1"/>
    <w:rsid w:val="008F277F"/>
    <w:rsid w:val="008F32D8"/>
    <w:rsid w:val="008F54BB"/>
    <w:rsid w:val="0090066C"/>
    <w:rsid w:val="0090287C"/>
    <w:rsid w:val="009050DA"/>
    <w:rsid w:val="00907644"/>
    <w:rsid w:val="00913472"/>
    <w:rsid w:val="0091387E"/>
    <w:rsid w:val="00913E73"/>
    <w:rsid w:val="009172C7"/>
    <w:rsid w:val="00921A35"/>
    <w:rsid w:val="00922DC9"/>
    <w:rsid w:val="009239CC"/>
    <w:rsid w:val="009248CB"/>
    <w:rsid w:val="00924C9C"/>
    <w:rsid w:val="00927A7D"/>
    <w:rsid w:val="00932F89"/>
    <w:rsid w:val="009359C7"/>
    <w:rsid w:val="00935A77"/>
    <w:rsid w:val="009376B0"/>
    <w:rsid w:val="009378EB"/>
    <w:rsid w:val="00947F08"/>
    <w:rsid w:val="00953ED6"/>
    <w:rsid w:val="00956149"/>
    <w:rsid w:val="0095678A"/>
    <w:rsid w:val="00957065"/>
    <w:rsid w:val="009613DD"/>
    <w:rsid w:val="00961E40"/>
    <w:rsid w:val="00963DBC"/>
    <w:rsid w:val="00972D36"/>
    <w:rsid w:val="00972F98"/>
    <w:rsid w:val="00973B87"/>
    <w:rsid w:val="00974290"/>
    <w:rsid w:val="00974A1F"/>
    <w:rsid w:val="009754EC"/>
    <w:rsid w:val="00980579"/>
    <w:rsid w:val="00980C82"/>
    <w:rsid w:val="00981F6A"/>
    <w:rsid w:val="00981FFE"/>
    <w:rsid w:val="009825A4"/>
    <w:rsid w:val="00985FB5"/>
    <w:rsid w:val="009870E2"/>
    <w:rsid w:val="00987CDC"/>
    <w:rsid w:val="00990ABF"/>
    <w:rsid w:val="00992AFE"/>
    <w:rsid w:val="009969EB"/>
    <w:rsid w:val="009A01D5"/>
    <w:rsid w:val="009A3A49"/>
    <w:rsid w:val="009A4AD1"/>
    <w:rsid w:val="009B244B"/>
    <w:rsid w:val="009B3BE8"/>
    <w:rsid w:val="009B6BD7"/>
    <w:rsid w:val="009B6F98"/>
    <w:rsid w:val="009C071E"/>
    <w:rsid w:val="009C1581"/>
    <w:rsid w:val="009C15F8"/>
    <w:rsid w:val="009C1649"/>
    <w:rsid w:val="009C35A9"/>
    <w:rsid w:val="009C6998"/>
    <w:rsid w:val="009D0331"/>
    <w:rsid w:val="009D0B5F"/>
    <w:rsid w:val="009D32B5"/>
    <w:rsid w:val="009D3773"/>
    <w:rsid w:val="009D4FD5"/>
    <w:rsid w:val="009D572A"/>
    <w:rsid w:val="009D723B"/>
    <w:rsid w:val="009D77C3"/>
    <w:rsid w:val="009E11CE"/>
    <w:rsid w:val="009E792B"/>
    <w:rsid w:val="009E7E08"/>
    <w:rsid w:val="009F13E5"/>
    <w:rsid w:val="009F4821"/>
    <w:rsid w:val="009F7085"/>
    <w:rsid w:val="00A00801"/>
    <w:rsid w:val="00A00A95"/>
    <w:rsid w:val="00A02DB9"/>
    <w:rsid w:val="00A03E13"/>
    <w:rsid w:val="00A055A3"/>
    <w:rsid w:val="00A10613"/>
    <w:rsid w:val="00A11BE1"/>
    <w:rsid w:val="00A12096"/>
    <w:rsid w:val="00A123B1"/>
    <w:rsid w:val="00A12B1C"/>
    <w:rsid w:val="00A12FFE"/>
    <w:rsid w:val="00A148AE"/>
    <w:rsid w:val="00A15C1B"/>
    <w:rsid w:val="00A200AB"/>
    <w:rsid w:val="00A21488"/>
    <w:rsid w:val="00A223E3"/>
    <w:rsid w:val="00A23020"/>
    <w:rsid w:val="00A252C0"/>
    <w:rsid w:val="00A312CB"/>
    <w:rsid w:val="00A33B65"/>
    <w:rsid w:val="00A34226"/>
    <w:rsid w:val="00A34FC1"/>
    <w:rsid w:val="00A367E7"/>
    <w:rsid w:val="00A36DCC"/>
    <w:rsid w:val="00A4255E"/>
    <w:rsid w:val="00A4271E"/>
    <w:rsid w:val="00A446F1"/>
    <w:rsid w:val="00A4495E"/>
    <w:rsid w:val="00A44C4C"/>
    <w:rsid w:val="00A451D2"/>
    <w:rsid w:val="00A47D82"/>
    <w:rsid w:val="00A47E49"/>
    <w:rsid w:val="00A54D94"/>
    <w:rsid w:val="00A5573F"/>
    <w:rsid w:val="00A557E8"/>
    <w:rsid w:val="00A6129C"/>
    <w:rsid w:val="00A63BC3"/>
    <w:rsid w:val="00A65857"/>
    <w:rsid w:val="00A66932"/>
    <w:rsid w:val="00A705ED"/>
    <w:rsid w:val="00A720EA"/>
    <w:rsid w:val="00A74D53"/>
    <w:rsid w:val="00A774EC"/>
    <w:rsid w:val="00A815FF"/>
    <w:rsid w:val="00A82137"/>
    <w:rsid w:val="00A83F2F"/>
    <w:rsid w:val="00A94601"/>
    <w:rsid w:val="00A95F78"/>
    <w:rsid w:val="00AA2082"/>
    <w:rsid w:val="00AA20F0"/>
    <w:rsid w:val="00AA2DED"/>
    <w:rsid w:val="00AA64C6"/>
    <w:rsid w:val="00AB028D"/>
    <w:rsid w:val="00AB1C80"/>
    <w:rsid w:val="00AC3564"/>
    <w:rsid w:val="00AC4100"/>
    <w:rsid w:val="00AC47E3"/>
    <w:rsid w:val="00AC7102"/>
    <w:rsid w:val="00AD1327"/>
    <w:rsid w:val="00AD153B"/>
    <w:rsid w:val="00AD2B8A"/>
    <w:rsid w:val="00AD2D3E"/>
    <w:rsid w:val="00AD4B14"/>
    <w:rsid w:val="00AD76D1"/>
    <w:rsid w:val="00AE05C9"/>
    <w:rsid w:val="00AE06C2"/>
    <w:rsid w:val="00AE0B76"/>
    <w:rsid w:val="00AE3276"/>
    <w:rsid w:val="00AE6842"/>
    <w:rsid w:val="00AE711B"/>
    <w:rsid w:val="00AF42DE"/>
    <w:rsid w:val="00AF65DB"/>
    <w:rsid w:val="00AF78EA"/>
    <w:rsid w:val="00AF7DFE"/>
    <w:rsid w:val="00AF7EB8"/>
    <w:rsid w:val="00B02296"/>
    <w:rsid w:val="00B03BC1"/>
    <w:rsid w:val="00B04789"/>
    <w:rsid w:val="00B061BB"/>
    <w:rsid w:val="00B11CC0"/>
    <w:rsid w:val="00B1290B"/>
    <w:rsid w:val="00B135B1"/>
    <w:rsid w:val="00B17BB9"/>
    <w:rsid w:val="00B211B3"/>
    <w:rsid w:val="00B21C8D"/>
    <w:rsid w:val="00B245D7"/>
    <w:rsid w:val="00B26816"/>
    <w:rsid w:val="00B268A7"/>
    <w:rsid w:val="00B2767E"/>
    <w:rsid w:val="00B3071F"/>
    <w:rsid w:val="00B31250"/>
    <w:rsid w:val="00B345F7"/>
    <w:rsid w:val="00B358B8"/>
    <w:rsid w:val="00B368A6"/>
    <w:rsid w:val="00B379EA"/>
    <w:rsid w:val="00B41A6E"/>
    <w:rsid w:val="00B44EB0"/>
    <w:rsid w:val="00B46AEE"/>
    <w:rsid w:val="00B46F37"/>
    <w:rsid w:val="00B47F11"/>
    <w:rsid w:val="00B53A31"/>
    <w:rsid w:val="00B55749"/>
    <w:rsid w:val="00B573DD"/>
    <w:rsid w:val="00B5781F"/>
    <w:rsid w:val="00B57A5B"/>
    <w:rsid w:val="00B57AAE"/>
    <w:rsid w:val="00B60740"/>
    <w:rsid w:val="00B62322"/>
    <w:rsid w:val="00B62899"/>
    <w:rsid w:val="00B62BF4"/>
    <w:rsid w:val="00B63A7B"/>
    <w:rsid w:val="00B65225"/>
    <w:rsid w:val="00B66733"/>
    <w:rsid w:val="00B67D7B"/>
    <w:rsid w:val="00B72BD2"/>
    <w:rsid w:val="00B72E74"/>
    <w:rsid w:val="00B75EC7"/>
    <w:rsid w:val="00B768C7"/>
    <w:rsid w:val="00B8329A"/>
    <w:rsid w:val="00B86AB6"/>
    <w:rsid w:val="00B873FB"/>
    <w:rsid w:val="00B90462"/>
    <w:rsid w:val="00B95F75"/>
    <w:rsid w:val="00B97E68"/>
    <w:rsid w:val="00BA20C3"/>
    <w:rsid w:val="00BA244F"/>
    <w:rsid w:val="00BA3F37"/>
    <w:rsid w:val="00BA62FA"/>
    <w:rsid w:val="00BB0AFC"/>
    <w:rsid w:val="00BB0F8B"/>
    <w:rsid w:val="00BB1B71"/>
    <w:rsid w:val="00BB46BF"/>
    <w:rsid w:val="00BB5BBF"/>
    <w:rsid w:val="00BB5BE2"/>
    <w:rsid w:val="00BB5CFE"/>
    <w:rsid w:val="00BB691B"/>
    <w:rsid w:val="00BB7129"/>
    <w:rsid w:val="00BB73FE"/>
    <w:rsid w:val="00BB7D04"/>
    <w:rsid w:val="00BC071B"/>
    <w:rsid w:val="00BC0EC6"/>
    <w:rsid w:val="00BC3581"/>
    <w:rsid w:val="00BC4CEF"/>
    <w:rsid w:val="00BD0E41"/>
    <w:rsid w:val="00BD433B"/>
    <w:rsid w:val="00BD68E2"/>
    <w:rsid w:val="00BD7E53"/>
    <w:rsid w:val="00BE1C7E"/>
    <w:rsid w:val="00BE2749"/>
    <w:rsid w:val="00BE5836"/>
    <w:rsid w:val="00BF0DBB"/>
    <w:rsid w:val="00BF1B05"/>
    <w:rsid w:val="00BF476B"/>
    <w:rsid w:val="00BF66F4"/>
    <w:rsid w:val="00BF71ED"/>
    <w:rsid w:val="00BF770C"/>
    <w:rsid w:val="00C017D2"/>
    <w:rsid w:val="00C019E0"/>
    <w:rsid w:val="00C03FD0"/>
    <w:rsid w:val="00C05698"/>
    <w:rsid w:val="00C104F8"/>
    <w:rsid w:val="00C13A80"/>
    <w:rsid w:val="00C14421"/>
    <w:rsid w:val="00C15885"/>
    <w:rsid w:val="00C16CB1"/>
    <w:rsid w:val="00C176E1"/>
    <w:rsid w:val="00C17C66"/>
    <w:rsid w:val="00C209CB"/>
    <w:rsid w:val="00C21640"/>
    <w:rsid w:val="00C24C01"/>
    <w:rsid w:val="00C2753C"/>
    <w:rsid w:val="00C3056B"/>
    <w:rsid w:val="00C31ADF"/>
    <w:rsid w:val="00C327C5"/>
    <w:rsid w:val="00C32864"/>
    <w:rsid w:val="00C33C75"/>
    <w:rsid w:val="00C3509C"/>
    <w:rsid w:val="00C36B13"/>
    <w:rsid w:val="00C37C40"/>
    <w:rsid w:val="00C40A4E"/>
    <w:rsid w:val="00C4338F"/>
    <w:rsid w:val="00C437D2"/>
    <w:rsid w:val="00C439CE"/>
    <w:rsid w:val="00C4695E"/>
    <w:rsid w:val="00C46DFC"/>
    <w:rsid w:val="00C52459"/>
    <w:rsid w:val="00C537DD"/>
    <w:rsid w:val="00C544D3"/>
    <w:rsid w:val="00C544EF"/>
    <w:rsid w:val="00C579B0"/>
    <w:rsid w:val="00C60095"/>
    <w:rsid w:val="00C61011"/>
    <w:rsid w:val="00C61EEF"/>
    <w:rsid w:val="00C66555"/>
    <w:rsid w:val="00C67605"/>
    <w:rsid w:val="00C67AAB"/>
    <w:rsid w:val="00C74CEF"/>
    <w:rsid w:val="00C75126"/>
    <w:rsid w:val="00C76256"/>
    <w:rsid w:val="00C76F1D"/>
    <w:rsid w:val="00C80089"/>
    <w:rsid w:val="00C81B75"/>
    <w:rsid w:val="00C84307"/>
    <w:rsid w:val="00C84AC8"/>
    <w:rsid w:val="00C87B0F"/>
    <w:rsid w:val="00C91707"/>
    <w:rsid w:val="00C96A79"/>
    <w:rsid w:val="00CA0105"/>
    <w:rsid w:val="00CA13E7"/>
    <w:rsid w:val="00CA47EF"/>
    <w:rsid w:val="00CA793F"/>
    <w:rsid w:val="00CB11A2"/>
    <w:rsid w:val="00CB2F5F"/>
    <w:rsid w:val="00CB4EF2"/>
    <w:rsid w:val="00CC0445"/>
    <w:rsid w:val="00CC0A46"/>
    <w:rsid w:val="00CC2313"/>
    <w:rsid w:val="00CC276E"/>
    <w:rsid w:val="00CC5283"/>
    <w:rsid w:val="00CC65B6"/>
    <w:rsid w:val="00CD1A1E"/>
    <w:rsid w:val="00CD2816"/>
    <w:rsid w:val="00CD2F4E"/>
    <w:rsid w:val="00CD4D5F"/>
    <w:rsid w:val="00CD7F98"/>
    <w:rsid w:val="00CE1159"/>
    <w:rsid w:val="00CE1173"/>
    <w:rsid w:val="00CE41BB"/>
    <w:rsid w:val="00CE4897"/>
    <w:rsid w:val="00CE63E9"/>
    <w:rsid w:val="00CE778D"/>
    <w:rsid w:val="00CE79BD"/>
    <w:rsid w:val="00CF0D3C"/>
    <w:rsid w:val="00CF4740"/>
    <w:rsid w:val="00CF69D8"/>
    <w:rsid w:val="00D02D4B"/>
    <w:rsid w:val="00D0677C"/>
    <w:rsid w:val="00D074CF"/>
    <w:rsid w:val="00D1224B"/>
    <w:rsid w:val="00D12BEB"/>
    <w:rsid w:val="00D133C7"/>
    <w:rsid w:val="00D157E1"/>
    <w:rsid w:val="00D16E67"/>
    <w:rsid w:val="00D20395"/>
    <w:rsid w:val="00D21495"/>
    <w:rsid w:val="00D216F0"/>
    <w:rsid w:val="00D230F2"/>
    <w:rsid w:val="00D234AB"/>
    <w:rsid w:val="00D34D7F"/>
    <w:rsid w:val="00D359F6"/>
    <w:rsid w:val="00D3784D"/>
    <w:rsid w:val="00D37D0E"/>
    <w:rsid w:val="00D40B4A"/>
    <w:rsid w:val="00D447EC"/>
    <w:rsid w:val="00D471A2"/>
    <w:rsid w:val="00D4736A"/>
    <w:rsid w:val="00D47FF2"/>
    <w:rsid w:val="00D516CF"/>
    <w:rsid w:val="00D51B1D"/>
    <w:rsid w:val="00D51CE5"/>
    <w:rsid w:val="00D5383F"/>
    <w:rsid w:val="00D558B7"/>
    <w:rsid w:val="00D55C67"/>
    <w:rsid w:val="00D60A7E"/>
    <w:rsid w:val="00D61944"/>
    <w:rsid w:val="00D62EF5"/>
    <w:rsid w:val="00D64EE5"/>
    <w:rsid w:val="00D66098"/>
    <w:rsid w:val="00D66A3B"/>
    <w:rsid w:val="00D6713D"/>
    <w:rsid w:val="00D67174"/>
    <w:rsid w:val="00D70898"/>
    <w:rsid w:val="00D734B8"/>
    <w:rsid w:val="00D73653"/>
    <w:rsid w:val="00D747D9"/>
    <w:rsid w:val="00D803F9"/>
    <w:rsid w:val="00D81A0E"/>
    <w:rsid w:val="00D85ADF"/>
    <w:rsid w:val="00D85CA2"/>
    <w:rsid w:val="00D874C0"/>
    <w:rsid w:val="00D90749"/>
    <w:rsid w:val="00D93005"/>
    <w:rsid w:val="00D93FF6"/>
    <w:rsid w:val="00D97414"/>
    <w:rsid w:val="00DA2283"/>
    <w:rsid w:val="00DA28A1"/>
    <w:rsid w:val="00DA5288"/>
    <w:rsid w:val="00DA6156"/>
    <w:rsid w:val="00DB5BD4"/>
    <w:rsid w:val="00DB7964"/>
    <w:rsid w:val="00DC0AC4"/>
    <w:rsid w:val="00DC0F98"/>
    <w:rsid w:val="00DC30C1"/>
    <w:rsid w:val="00DC4012"/>
    <w:rsid w:val="00DD064F"/>
    <w:rsid w:val="00DD082C"/>
    <w:rsid w:val="00DD0CC2"/>
    <w:rsid w:val="00DD44C4"/>
    <w:rsid w:val="00DD54B2"/>
    <w:rsid w:val="00DD628F"/>
    <w:rsid w:val="00DD655F"/>
    <w:rsid w:val="00DE0850"/>
    <w:rsid w:val="00DE0A2C"/>
    <w:rsid w:val="00DE1E06"/>
    <w:rsid w:val="00DE275D"/>
    <w:rsid w:val="00DE2F9D"/>
    <w:rsid w:val="00DE2FB2"/>
    <w:rsid w:val="00DE597A"/>
    <w:rsid w:val="00DE6428"/>
    <w:rsid w:val="00DE7042"/>
    <w:rsid w:val="00DE7DCA"/>
    <w:rsid w:val="00DE7F9B"/>
    <w:rsid w:val="00DF040D"/>
    <w:rsid w:val="00DF31E8"/>
    <w:rsid w:val="00DF654E"/>
    <w:rsid w:val="00DF68F7"/>
    <w:rsid w:val="00DF6B67"/>
    <w:rsid w:val="00E00702"/>
    <w:rsid w:val="00E01A1C"/>
    <w:rsid w:val="00E02F75"/>
    <w:rsid w:val="00E0368F"/>
    <w:rsid w:val="00E06E28"/>
    <w:rsid w:val="00E079B6"/>
    <w:rsid w:val="00E10E73"/>
    <w:rsid w:val="00E1126C"/>
    <w:rsid w:val="00E11CF6"/>
    <w:rsid w:val="00E13473"/>
    <w:rsid w:val="00E13A86"/>
    <w:rsid w:val="00E14501"/>
    <w:rsid w:val="00E157B4"/>
    <w:rsid w:val="00E15912"/>
    <w:rsid w:val="00E16178"/>
    <w:rsid w:val="00E175AF"/>
    <w:rsid w:val="00E21B0B"/>
    <w:rsid w:val="00E24F4C"/>
    <w:rsid w:val="00E2589D"/>
    <w:rsid w:val="00E26C03"/>
    <w:rsid w:val="00E30400"/>
    <w:rsid w:val="00E3552F"/>
    <w:rsid w:val="00E35E4C"/>
    <w:rsid w:val="00E42324"/>
    <w:rsid w:val="00E471A0"/>
    <w:rsid w:val="00E47334"/>
    <w:rsid w:val="00E511E3"/>
    <w:rsid w:val="00E5215F"/>
    <w:rsid w:val="00E5644B"/>
    <w:rsid w:val="00E6036B"/>
    <w:rsid w:val="00E6202D"/>
    <w:rsid w:val="00E62448"/>
    <w:rsid w:val="00E70884"/>
    <w:rsid w:val="00E72578"/>
    <w:rsid w:val="00E75A11"/>
    <w:rsid w:val="00E81B5C"/>
    <w:rsid w:val="00E85E64"/>
    <w:rsid w:val="00E873B8"/>
    <w:rsid w:val="00E873D0"/>
    <w:rsid w:val="00E8751A"/>
    <w:rsid w:val="00E968EB"/>
    <w:rsid w:val="00E97753"/>
    <w:rsid w:val="00E97AEC"/>
    <w:rsid w:val="00E97E48"/>
    <w:rsid w:val="00EA027A"/>
    <w:rsid w:val="00EA0DE1"/>
    <w:rsid w:val="00EA1EC3"/>
    <w:rsid w:val="00EA234D"/>
    <w:rsid w:val="00EA35A6"/>
    <w:rsid w:val="00EB7BC6"/>
    <w:rsid w:val="00EC0843"/>
    <w:rsid w:val="00EC115D"/>
    <w:rsid w:val="00EC137B"/>
    <w:rsid w:val="00EC306D"/>
    <w:rsid w:val="00EC51E1"/>
    <w:rsid w:val="00ED2172"/>
    <w:rsid w:val="00ED473A"/>
    <w:rsid w:val="00ED553D"/>
    <w:rsid w:val="00ED5711"/>
    <w:rsid w:val="00ED7438"/>
    <w:rsid w:val="00EE3133"/>
    <w:rsid w:val="00EE6DC8"/>
    <w:rsid w:val="00EF20BC"/>
    <w:rsid w:val="00EF38C5"/>
    <w:rsid w:val="00F043BA"/>
    <w:rsid w:val="00F05237"/>
    <w:rsid w:val="00F060B0"/>
    <w:rsid w:val="00F07BE9"/>
    <w:rsid w:val="00F07D1A"/>
    <w:rsid w:val="00F11DF5"/>
    <w:rsid w:val="00F120A0"/>
    <w:rsid w:val="00F135EF"/>
    <w:rsid w:val="00F13D4F"/>
    <w:rsid w:val="00F13D77"/>
    <w:rsid w:val="00F144FD"/>
    <w:rsid w:val="00F151C2"/>
    <w:rsid w:val="00F17486"/>
    <w:rsid w:val="00F20B8A"/>
    <w:rsid w:val="00F234A2"/>
    <w:rsid w:val="00F25CD2"/>
    <w:rsid w:val="00F26C5E"/>
    <w:rsid w:val="00F273A0"/>
    <w:rsid w:val="00F3261E"/>
    <w:rsid w:val="00F33FE1"/>
    <w:rsid w:val="00F34B88"/>
    <w:rsid w:val="00F3548C"/>
    <w:rsid w:val="00F355A8"/>
    <w:rsid w:val="00F36299"/>
    <w:rsid w:val="00F36955"/>
    <w:rsid w:val="00F40D46"/>
    <w:rsid w:val="00F413F1"/>
    <w:rsid w:val="00F41FD1"/>
    <w:rsid w:val="00F45487"/>
    <w:rsid w:val="00F500F4"/>
    <w:rsid w:val="00F50352"/>
    <w:rsid w:val="00F5486D"/>
    <w:rsid w:val="00F54DC5"/>
    <w:rsid w:val="00F637F6"/>
    <w:rsid w:val="00F63EE6"/>
    <w:rsid w:val="00F656CB"/>
    <w:rsid w:val="00F65901"/>
    <w:rsid w:val="00F74D28"/>
    <w:rsid w:val="00F83A5D"/>
    <w:rsid w:val="00F83E6E"/>
    <w:rsid w:val="00F845EA"/>
    <w:rsid w:val="00F84DA9"/>
    <w:rsid w:val="00F85ACF"/>
    <w:rsid w:val="00F85CEC"/>
    <w:rsid w:val="00F8696D"/>
    <w:rsid w:val="00F873B5"/>
    <w:rsid w:val="00F93288"/>
    <w:rsid w:val="00F93D8C"/>
    <w:rsid w:val="00F9538A"/>
    <w:rsid w:val="00F97149"/>
    <w:rsid w:val="00F9791F"/>
    <w:rsid w:val="00FA13F2"/>
    <w:rsid w:val="00FA2070"/>
    <w:rsid w:val="00FA3A8B"/>
    <w:rsid w:val="00FA58DA"/>
    <w:rsid w:val="00FA6BBB"/>
    <w:rsid w:val="00FB235A"/>
    <w:rsid w:val="00FB4769"/>
    <w:rsid w:val="00FC0EB8"/>
    <w:rsid w:val="00FC2AF6"/>
    <w:rsid w:val="00FC2E9D"/>
    <w:rsid w:val="00FC60A3"/>
    <w:rsid w:val="00FC7C6C"/>
    <w:rsid w:val="00FD01C6"/>
    <w:rsid w:val="00FD0C89"/>
    <w:rsid w:val="00FD47AB"/>
    <w:rsid w:val="00FD4CC7"/>
    <w:rsid w:val="00FD59C2"/>
    <w:rsid w:val="00FD71E0"/>
    <w:rsid w:val="00FE06D5"/>
    <w:rsid w:val="00FE0AC4"/>
    <w:rsid w:val="00FE35E5"/>
    <w:rsid w:val="00FE465F"/>
    <w:rsid w:val="00FF02B6"/>
    <w:rsid w:val="00FF046A"/>
    <w:rsid w:val="00FF07AF"/>
    <w:rsid w:val="00FF08B9"/>
    <w:rsid w:val="00FF5B0D"/>
    <w:rsid w:val="00FF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13212"/>
  <w15:docId w15:val="{0448F436-9C90-458D-8DFF-BB2D94A4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500F4"/>
    <w:pPr>
      <w:spacing w:after="80" w:line="360" w:lineRule="auto"/>
      <w:ind w:firstLine="709"/>
      <w:jc w:val="both"/>
    </w:pPr>
    <w:rPr>
      <w:rFonts w:ascii="Times New Roman" w:hAnsi="Times New Roman"/>
      <w:sz w:val="24"/>
    </w:rPr>
  </w:style>
  <w:style w:type="paragraph" w:styleId="1">
    <w:name w:val="heading 1"/>
    <w:basedOn w:val="a1"/>
    <w:next w:val="a1"/>
    <w:link w:val="10"/>
    <w:uiPriority w:val="9"/>
    <w:qFormat/>
    <w:rsid w:val="008F1390"/>
    <w:pPr>
      <w:keepNext/>
      <w:keepLines/>
      <w:spacing w:before="480" w:after="0"/>
      <w:ind w:firstLine="0"/>
      <w:outlineLvl w:val="0"/>
    </w:pPr>
    <w:rPr>
      <w:rFonts w:eastAsiaTheme="majorEastAsia" w:cstheme="majorBidi"/>
      <w:b/>
      <w:bCs/>
      <w:caps/>
      <w:sz w:val="28"/>
      <w:szCs w:val="28"/>
    </w:rPr>
  </w:style>
  <w:style w:type="paragraph" w:styleId="2">
    <w:name w:val="heading 2"/>
    <w:basedOn w:val="a1"/>
    <w:next w:val="a1"/>
    <w:link w:val="20"/>
    <w:uiPriority w:val="9"/>
    <w:unhideWhenUsed/>
    <w:qFormat/>
    <w:rsid w:val="00244E21"/>
    <w:pPr>
      <w:keepNext/>
      <w:keepLines/>
      <w:spacing w:before="200" w:after="0"/>
      <w:ind w:firstLine="0"/>
      <w:outlineLvl w:val="1"/>
    </w:pPr>
    <w:rPr>
      <w:rFonts w:eastAsiaTheme="majorEastAsia" w:cstheme="majorBidi"/>
      <w:b/>
      <w:bCs/>
      <w:sz w:val="28"/>
      <w:szCs w:val="26"/>
    </w:rPr>
  </w:style>
  <w:style w:type="paragraph" w:styleId="3">
    <w:name w:val="heading 3"/>
    <w:basedOn w:val="a1"/>
    <w:next w:val="a1"/>
    <w:link w:val="30"/>
    <w:uiPriority w:val="9"/>
    <w:unhideWhenUsed/>
    <w:qFormat/>
    <w:rsid w:val="00807368"/>
    <w:pPr>
      <w:keepNext/>
      <w:keepLines/>
      <w:spacing w:before="200" w:after="0"/>
      <w:ind w:firstLine="0"/>
      <w:outlineLvl w:val="2"/>
    </w:pPr>
    <w:rPr>
      <w:rFonts w:eastAsiaTheme="majorEastAsia" w:cstheme="majorBidi"/>
      <w:b/>
      <w:bCs/>
    </w:rPr>
  </w:style>
  <w:style w:type="paragraph" w:styleId="4">
    <w:name w:val="heading 4"/>
    <w:basedOn w:val="a1"/>
    <w:next w:val="a1"/>
    <w:link w:val="40"/>
    <w:uiPriority w:val="9"/>
    <w:unhideWhenUsed/>
    <w:qFormat/>
    <w:rsid w:val="00A4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F1390"/>
    <w:rPr>
      <w:rFonts w:ascii="Times New Roman" w:eastAsiaTheme="majorEastAsia" w:hAnsi="Times New Roman" w:cstheme="majorBidi"/>
      <w:b/>
      <w:bCs/>
      <w:caps/>
      <w:sz w:val="28"/>
      <w:szCs w:val="28"/>
    </w:rPr>
  </w:style>
  <w:style w:type="character" w:customStyle="1" w:styleId="20">
    <w:name w:val="Заголовок 2 Знак"/>
    <w:basedOn w:val="a2"/>
    <w:link w:val="2"/>
    <w:uiPriority w:val="9"/>
    <w:rsid w:val="00244E21"/>
    <w:rPr>
      <w:rFonts w:ascii="Times New Roman" w:eastAsiaTheme="majorEastAsia" w:hAnsi="Times New Roman" w:cstheme="majorBidi"/>
      <w:b/>
      <w:bCs/>
      <w:sz w:val="28"/>
      <w:szCs w:val="26"/>
    </w:rPr>
  </w:style>
  <w:style w:type="character" w:customStyle="1" w:styleId="30">
    <w:name w:val="Заголовок 3 Знак"/>
    <w:basedOn w:val="a2"/>
    <w:link w:val="3"/>
    <w:uiPriority w:val="9"/>
    <w:rsid w:val="00807368"/>
    <w:rPr>
      <w:rFonts w:ascii="Times New Roman" w:eastAsiaTheme="majorEastAsia" w:hAnsi="Times New Roman" w:cstheme="majorBidi"/>
      <w:b/>
      <w:bCs/>
      <w:sz w:val="24"/>
    </w:rPr>
  </w:style>
  <w:style w:type="paragraph" w:customStyle="1" w:styleId="Default">
    <w:name w:val="Default"/>
    <w:rsid w:val="00280B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5">
    <w:name w:val="МЛР по центру"/>
    <w:basedOn w:val="a1"/>
    <w:qFormat/>
    <w:rsid w:val="009C1649"/>
    <w:pPr>
      <w:ind w:firstLine="0"/>
      <w:jc w:val="center"/>
    </w:pPr>
    <w:rPr>
      <w:szCs w:val="23"/>
    </w:rPr>
  </w:style>
  <w:style w:type="paragraph" w:customStyle="1" w:styleId="a6">
    <w:name w:val="МЛР без отступа"/>
    <w:basedOn w:val="a1"/>
    <w:qFormat/>
    <w:rsid w:val="00403FA0"/>
    <w:pPr>
      <w:ind w:firstLine="0"/>
    </w:pPr>
  </w:style>
  <w:style w:type="paragraph" w:customStyle="1" w:styleId="a">
    <w:name w:val="МЛР Рисунок"/>
    <w:basedOn w:val="a1"/>
    <w:qFormat/>
    <w:rsid w:val="00721852"/>
    <w:pPr>
      <w:numPr>
        <w:numId w:val="2"/>
      </w:numPr>
      <w:spacing w:before="240" w:after="240"/>
      <w:jc w:val="center"/>
    </w:pPr>
    <w:rPr>
      <w:i/>
    </w:rPr>
  </w:style>
  <w:style w:type="character" w:styleId="a7">
    <w:name w:val="Strong"/>
    <w:basedOn w:val="a2"/>
    <w:uiPriority w:val="22"/>
    <w:qFormat/>
    <w:rsid w:val="00FA3A8B"/>
    <w:rPr>
      <w:b/>
      <w:bCs/>
    </w:rPr>
  </w:style>
  <w:style w:type="character" w:styleId="a8">
    <w:name w:val="Intense Emphasis"/>
    <w:basedOn w:val="a2"/>
    <w:uiPriority w:val="21"/>
    <w:qFormat/>
    <w:rsid w:val="00FA3A8B"/>
    <w:rPr>
      <w:b/>
      <w:bCs/>
      <w:i/>
      <w:iCs/>
      <w:color w:val="4F81BD" w:themeColor="accent1"/>
    </w:rPr>
  </w:style>
  <w:style w:type="character" w:styleId="a9">
    <w:name w:val="Emphasis"/>
    <w:basedOn w:val="a2"/>
    <w:uiPriority w:val="20"/>
    <w:qFormat/>
    <w:rsid w:val="00FA3A8B"/>
    <w:rPr>
      <w:i/>
      <w:iCs/>
    </w:rPr>
  </w:style>
  <w:style w:type="character" w:styleId="aa">
    <w:name w:val="Subtle Reference"/>
    <w:basedOn w:val="a2"/>
    <w:uiPriority w:val="31"/>
    <w:qFormat/>
    <w:rsid w:val="00FA3A8B"/>
    <w:rPr>
      <w:smallCaps/>
      <w:color w:val="C0504D" w:themeColor="accent2"/>
      <w:u w:val="single"/>
    </w:rPr>
  </w:style>
  <w:style w:type="character" w:styleId="ab">
    <w:name w:val="Intense Reference"/>
    <w:basedOn w:val="a2"/>
    <w:uiPriority w:val="32"/>
    <w:qFormat/>
    <w:rsid w:val="00FA3A8B"/>
    <w:rPr>
      <w:b/>
      <w:bCs/>
      <w:smallCaps/>
      <w:color w:val="C0504D" w:themeColor="accent2"/>
      <w:spacing w:val="5"/>
      <w:u w:val="single"/>
    </w:rPr>
  </w:style>
  <w:style w:type="paragraph" w:styleId="ac">
    <w:name w:val="No Spacing"/>
    <w:uiPriority w:val="1"/>
    <w:qFormat/>
    <w:rsid w:val="00FA3A8B"/>
    <w:pPr>
      <w:spacing w:after="0" w:line="240" w:lineRule="auto"/>
      <w:ind w:firstLine="709"/>
      <w:jc w:val="both"/>
    </w:pPr>
    <w:rPr>
      <w:rFonts w:ascii="Times New Roman" w:hAnsi="Times New Roman"/>
      <w:sz w:val="24"/>
    </w:rPr>
  </w:style>
  <w:style w:type="paragraph" w:styleId="ad">
    <w:name w:val="Title"/>
    <w:basedOn w:val="a1"/>
    <w:next w:val="a1"/>
    <w:link w:val="ae"/>
    <w:uiPriority w:val="10"/>
    <w:qFormat/>
    <w:rsid w:val="00FA3A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2"/>
    <w:link w:val="ad"/>
    <w:uiPriority w:val="10"/>
    <w:rsid w:val="00FA3A8B"/>
    <w:rPr>
      <w:rFonts w:asciiTheme="majorHAnsi" w:eastAsiaTheme="majorEastAsia" w:hAnsiTheme="majorHAnsi" w:cstheme="majorBidi"/>
      <w:color w:val="17365D" w:themeColor="text2" w:themeShade="BF"/>
      <w:spacing w:val="5"/>
      <w:kern w:val="28"/>
      <w:sz w:val="52"/>
      <w:szCs w:val="52"/>
    </w:rPr>
  </w:style>
  <w:style w:type="paragraph" w:styleId="21">
    <w:name w:val="Quote"/>
    <w:basedOn w:val="a1"/>
    <w:next w:val="a1"/>
    <w:link w:val="22"/>
    <w:uiPriority w:val="29"/>
    <w:qFormat/>
    <w:rsid w:val="00FA3A8B"/>
    <w:rPr>
      <w:i/>
      <w:iCs/>
      <w:color w:val="000000" w:themeColor="text1"/>
    </w:rPr>
  </w:style>
  <w:style w:type="character" w:customStyle="1" w:styleId="22">
    <w:name w:val="Цитата 2 Знак"/>
    <w:basedOn w:val="a2"/>
    <w:link w:val="21"/>
    <w:uiPriority w:val="29"/>
    <w:rsid w:val="00FA3A8B"/>
    <w:rPr>
      <w:rFonts w:ascii="Times New Roman" w:hAnsi="Times New Roman"/>
      <w:i/>
      <w:iCs/>
      <w:color w:val="000000" w:themeColor="text1"/>
      <w:sz w:val="24"/>
    </w:rPr>
  </w:style>
  <w:style w:type="character" w:styleId="af">
    <w:name w:val="Book Title"/>
    <w:basedOn w:val="a2"/>
    <w:uiPriority w:val="33"/>
    <w:qFormat/>
    <w:rsid w:val="00FA3A8B"/>
    <w:rPr>
      <w:b/>
      <w:bCs/>
      <w:smallCaps/>
      <w:spacing w:val="5"/>
    </w:rPr>
  </w:style>
  <w:style w:type="table" w:customStyle="1" w:styleId="af0">
    <w:name w:val="МЛР Таблица"/>
    <w:basedOn w:val="a3"/>
    <w:uiPriority w:val="99"/>
    <w:rsid w:val="00FA3A8B"/>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imes New Roman" w:hAnsi="Times New Roman"/>
        <w:b/>
        <w:sz w:val="24"/>
      </w:rPr>
      <w:tblPr/>
      <w:tcPr>
        <w:vAlign w:val="center"/>
      </w:tcPr>
    </w:tblStylePr>
  </w:style>
  <w:style w:type="table" w:styleId="af1">
    <w:name w:val="Table Grid"/>
    <w:basedOn w:val="a3"/>
    <w:uiPriority w:val="59"/>
    <w:rsid w:val="00FA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af3"/>
    <w:uiPriority w:val="99"/>
    <w:semiHidden/>
    <w:unhideWhenUsed/>
    <w:rsid w:val="00FC0EB8"/>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FC0EB8"/>
    <w:rPr>
      <w:rFonts w:ascii="Tahoma" w:hAnsi="Tahoma" w:cs="Tahoma"/>
      <w:sz w:val="16"/>
      <w:szCs w:val="16"/>
    </w:rPr>
  </w:style>
  <w:style w:type="paragraph" w:customStyle="1" w:styleId="a0">
    <w:name w:val="МЛР Подпись к таблице"/>
    <w:basedOn w:val="a1"/>
    <w:next w:val="Default"/>
    <w:qFormat/>
    <w:rsid w:val="00556FAA"/>
    <w:pPr>
      <w:numPr>
        <w:numId w:val="1"/>
      </w:numPr>
      <w:jc w:val="right"/>
    </w:pPr>
  </w:style>
  <w:style w:type="paragraph" w:styleId="af4">
    <w:name w:val="header"/>
    <w:basedOn w:val="a1"/>
    <w:link w:val="af5"/>
    <w:uiPriority w:val="99"/>
    <w:unhideWhenUsed/>
    <w:rsid w:val="00461911"/>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461911"/>
    <w:rPr>
      <w:rFonts w:ascii="Times New Roman" w:hAnsi="Times New Roman"/>
      <w:sz w:val="24"/>
    </w:rPr>
  </w:style>
  <w:style w:type="paragraph" w:styleId="af6">
    <w:name w:val="footer"/>
    <w:basedOn w:val="a1"/>
    <w:link w:val="af7"/>
    <w:uiPriority w:val="99"/>
    <w:unhideWhenUsed/>
    <w:rsid w:val="00461911"/>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461911"/>
    <w:rPr>
      <w:rFonts w:ascii="Times New Roman" w:hAnsi="Times New Roman"/>
      <w:sz w:val="24"/>
    </w:rPr>
  </w:style>
  <w:style w:type="paragraph" w:styleId="af8">
    <w:name w:val="List Paragraph"/>
    <w:basedOn w:val="a1"/>
    <w:uiPriority w:val="34"/>
    <w:qFormat/>
    <w:rsid w:val="00F355A8"/>
    <w:pPr>
      <w:ind w:left="720"/>
      <w:contextualSpacing/>
    </w:pPr>
  </w:style>
  <w:style w:type="character" w:styleId="af9">
    <w:name w:val="Placeholder Text"/>
    <w:basedOn w:val="a2"/>
    <w:uiPriority w:val="99"/>
    <w:semiHidden/>
    <w:rsid w:val="00721852"/>
    <w:rPr>
      <w:color w:val="808080"/>
    </w:rPr>
  </w:style>
  <w:style w:type="character" w:customStyle="1" w:styleId="40">
    <w:name w:val="Заголовок 4 Знак"/>
    <w:basedOn w:val="a2"/>
    <w:link w:val="4"/>
    <w:uiPriority w:val="9"/>
    <w:rsid w:val="00A446F1"/>
    <w:rPr>
      <w:rFonts w:asciiTheme="majorHAnsi" w:eastAsiaTheme="majorEastAsia" w:hAnsiTheme="majorHAnsi" w:cstheme="majorBidi"/>
      <w:i/>
      <w:iCs/>
      <w:color w:val="365F91" w:themeColor="accent1" w:themeShade="BF"/>
      <w:sz w:val="24"/>
    </w:rPr>
  </w:style>
  <w:style w:type="character" w:styleId="afa">
    <w:name w:val="Hyperlink"/>
    <w:basedOn w:val="a2"/>
    <w:uiPriority w:val="99"/>
    <w:unhideWhenUsed/>
    <w:rsid w:val="006F3899"/>
    <w:rPr>
      <w:color w:val="0000FF" w:themeColor="hyperlink"/>
      <w:u w:val="single"/>
    </w:rPr>
  </w:style>
  <w:style w:type="character" w:styleId="afb">
    <w:name w:val="FollowedHyperlink"/>
    <w:basedOn w:val="a2"/>
    <w:uiPriority w:val="99"/>
    <w:semiHidden/>
    <w:unhideWhenUsed/>
    <w:rsid w:val="005A6061"/>
    <w:rPr>
      <w:color w:val="800080" w:themeColor="followedHyperlink"/>
      <w:u w:val="single"/>
    </w:rPr>
  </w:style>
  <w:style w:type="paragraph" w:styleId="afc">
    <w:name w:val="footnote text"/>
    <w:basedOn w:val="a1"/>
    <w:link w:val="afd"/>
    <w:uiPriority w:val="99"/>
    <w:semiHidden/>
    <w:unhideWhenUsed/>
    <w:rsid w:val="00E968EB"/>
    <w:pPr>
      <w:spacing w:after="0" w:line="240" w:lineRule="auto"/>
    </w:pPr>
    <w:rPr>
      <w:sz w:val="20"/>
      <w:szCs w:val="20"/>
    </w:rPr>
  </w:style>
  <w:style w:type="character" w:customStyle="1" w:styleId="afd">
    <w:name w:val="Текст сноски Знак"/>
    <w:basedOn w:val="a2"/>
    <w:link w:val="afc"/>
    <w:uiPriority w:val="99"/>
    <w:semiHidden/>
    <w:rsid w:val="00E968EB"/>
    <w:rPr>
      <w:rFonts w:ascii="Times New Roman" w:hAnsi="Times New Roman"/>
      <w:sz w:val="20"/>
      <w:szCs w:val="20"/>
    </w:rPr>
  </w:style>
  <w:style w:type="character" w:styleId="afe">
    <w:name w:val="footnote reference"/>
    <w:basedOn w:val="a2"/>
    <w:uiPriority w:val="99"/>
    <w:semiHidden/>
    <w:unhideWhenUsed/>
    <w:rsid w:val="00E968EB"/>
    <w:rPr>
      <w:vertAlign w:val="superscript"/>
    </w:rPr>
  </w:style>
  <w:style w:type="paragraph" w:styleId="aff">
    <w:name w:val="Normal (Web)"/>
    <w:basedOn w:val="a1"/>
    <w:uiPriority w:val="99"/>
    <w:semiHidden/>
    <w:unhideWhenUsed/>
    <w:rsid w:val="002954C7"/>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0">
    <w:name w:val="основной абзац"/>
    <w:basedOn w:val="a1"/>
    <w:rsid w:val="00F20B8A"/>
    <w:pPr>
      <w:spacing w:after="0" w:line="240" w:lineRule="auto"/>
      <w:ind w:firstLine="0"/>
    </w:pPr>
    <w:rPr>
      <w:rFonts w:eastAsia="Times New Roman" w:cs="Times New Roman"/>
      <w:szCs w:val="24"/>
      <w:lang w:eastAsia="ru-RU"/>
    </w:rPr>
  </w:style>
  <w:style w:type="character" w:customStyle="1" w:styleId="11">
    <w:name w:val="Неразрешенное упоминание1"/>
    <w:basedOn w:val="a2"/>
    <w:uiPriority w:val="99"/>
    <w:semiHidden/>
    <w:unhideWhenUsed/>
    <w:rsid w:val="00E62448"/>
    <w:rPr>
      <w:color w:val="808080"/>
      <w:shd w:val="clear" w:color="auto" w:fill="E6E6E6"/>
    </w:rPr>
  </w:style>
  <w:style w:type="paragraph" w:styleId="aff1">
    <w:name w:val="TOC Heading"/>
    <w:basedOn w:val="1"/>
    <w:next w:val="a1"/>
    <w:uiPriority w:val="39"/>
    <w:unhideWhenUsed/>
    <w:qFormat/>
    <w:rsid w:val="00F500F4"/>
    <w:pPr>
      <w:spacing w:before="240" w:line="259" w:lineRule="auto"/>
      <w:jc w:val="left"/>
      <w:outlineLvl w:val="9"/>
    </w:pPr>
    <w:rPr>
      <w:rFonts w:asciiTheme="majorHAnsi" w:hAnsiTheme="majorHAnsi"/>
      <w:b w:val="0"/>
      <w:bCs w:val="0"/>
      <w:color w:val="365F91" w:themeColor="accent1" w:themeShade="BF"/>
      <w:sz w:val="32"/>
      <w:szCs w:val="32"/>
      <w:lang w:eastAsia="ru-RU"/>
    </w:rPr>
  </w:style>
  <w:style w:type="paragraph" w:styleId="12">
    <w:name w:val="toc 1"/>
    <w:basedOn w:val="a1"/>
    <w:next w:val="a1"/>
    <w:autoRedefine/>
    <w:uiPriority w:val="39"/>
    <w:unhideWhenUsed/>
    <w:rsid w:val="009754EC"/>
    <w:pPr>
      <w:spacing w:after="100"/>
    </w:pPr>
  </w:style>
  <w:style w:type="paragraph" w:styleId="23">
    <w:name w:val="toc 2"/>
    <w:basedOn w:val="a1"/>
    <w:next w:val="a1"/>
    <w:autoRedefine/>
    <w:uiPriority w:val="39"/>
    <w:unhideWhenUsed/>
    <w:rsid w:val="009754EC"/>
    <w:pPr>
      <w:spacing w:after="100"/>
      <w:ind w:left="240"/>
    </w:pPr>
  </w:style>
  <w:style w:type="paragraph" w:styleId="31">
    <w:name w:val="toc 3"/>
    <w:basedOn w:val="a1"/>
    <w:next w:val="a1"/>
    <w:autoRedefine/>
    <w:uiPriority w:val="39"/>
    <w:unhideWhenUsed/>
    <w:rsid w:val="009754EC"/>
    <w:pPr>
      <w:spacing w:after="100"/>
      <w:ind w:left="480"/>
    </w:pPr>
  </w:style>
  <w:style w:type="character" w:styleId="aff2">
    <w:name w:val="annotation reference"/>
    <w:basedOn w:val="a2"/>
    <w:uiPriority w:val="99"/>
    <w:semiHidden/>
    <w:unhideWhenUsed/>
    <w:rsid w:val="00C14421"/>
    <w:rPr>
      <w:sz w:val="16"/>
      <w:szCs w:val="16"/>
    </w:rPr>
  </w:style>
  <w:style w:type="paragraph" w:styleId="aff3">
    <w:name w:val="annotation text"/>
    <w:basedOn w:val="a1"/>
    <w:link w:val="aff4"/>
    <w:uiPriority w:val="99"/>
    <w:semiHidden/>
    <w:unhideWhenUsed/>
    <w:rsid w:val="00C14421"/>
    <w:pPr>
      <w:spacing w:line="240" w:lineRule="auto"/>
    </w:pPr>
    <w:rPr>
      <w:sz w:val="20"/>
      <w:szCs w:val="20"/>
    </w:rPr>
  </w:style>
  <w:style w:type="character" w:customStyle="1" w:styleId="aff4">
    <w:name w:val="Текст примечания Знак"/>
    <w:basedOn w:val="a2"/>
    <w:link w:val="aff3"/>
    <w:uiPriority w:val="99"/>
    <w:semiHidden/>
    <w:rsid w:val="00C14421"/>
    <w:rPr>
      <w:rFonts w:ascii="Times New Roman" w:hAnsi="Times New Roman"/>
      <w:sz w:val="20"/>
      <w:szCs w:val="20"/>
    </w:rPr>
  </w:style>
  <w:style w:type="paragraph" w:styleId="aff5">
    <w:name w:val="annotation subject"/>
    <w:basedOn w:val="aff3"/>
    <w:next w:val="aff3"/>
    <w:link w:val="aff6"/>
    <w:uiPriority w:val="99"/>
    <w:semiHidden/>
    <w:unhideWhenUsed/>
    <w:rsid w:val="00C14421"/>
    <w:rPr>
      <w:b/>
      <w:bCs/>
    </w:rPr>
  </w:style>
  <w:style w:type="character" w:customStyle="1" w:styleId="aff6">
    <w:name w:val="Тема примечания Знак"/>
    <w:basedOn w:val="aff4"/>
    <w:link w:val="aff5"/>
    <w:uiPriority w:val="99"/>
    <w:semiHidden/>
    <w:rsid w:val="00C14421"/>
    <w:rPr>
      <w:rFonts w:ascii="Times New Roman" w:hAnsi="Times New Roman"/>
      <w:b/>
      <w:bCs/>
      <w:sz w:val="20"/>
      <w:szCs w:val="20"/>
    </w:rPr>
  </w:style>
  <w:style w:type="paragraph" w:styleId="aff7">
    <w:name w:val="Revision"/>
    <w:hidden/>
    <w:uiPriority w:val="99"/>
    <w:semiHidden/>
    <w:rsid w:val="00804512"/>
    <w:pPr>
      <w:spacing w:after="0" w:line="240" w:lineRule="auto"/>
    </w:pPr>
    <w:rPr>
      <w:rFonts w:ascii="Times New Roman" w:hAnsi="Times New Roman"/>
      <w:sz w:val="24"/>
    </w:rPr>
  </w:style>
  <w:style w:type="character" w:customStyle="1" w:styleId="24">
    <w:name w:val="Неразрешенное упоминание2"/>
    <w:basedOn w:val="a2"/>
    <w:uiPriority w:val="99"/>
    <w:semiHidden/>
    <w:unhideWhenUsed/>
    <w:rsid w:val="00F12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453">
      <w:bodyDiv w:val="1"/>
      <w:marLeft w:val="0"/>
      <w:marRight w:val="0"/>
      <w:marTop w:val="0"/>
      <w:marBottom w:val="0"/>
      <w:divBdr>
        <w:top w:val="none" w:sz="0" w:space="0" w:color="auto"/>
        <w:left w:val="none" w:sz="0" w:space="0" w:color="auto"/>
        <w:bottom w:val="none" w:sz="0" w:space="0" w:color="auto"/>
        <w:right w:val="none" w:sz="0" w:space="0" w:color="auto"/>
      </w:divBdr>
    </w:div>
    <w:div w:id="9064598">
      <w:bodyDiv w:val="1"/>
      <w:marLeft w:val="0"/>
      <w:marRight w:val="0"/>
      <w:marTop w:val="0"/>
      <w:marBottom w:val="0"/>
      <w:divBdr>
        <w:top w:val="none" w:sz="0" w:space="0" w:color="auto"/>
        <w:left w:val="none" w:sz="0" w:space="0" w:color="auto"/>
        <w:bottom w:val="none" w:sz="0" w:space="0" w:color="auto"/>
        <w:right w:val="none" w:sz="0" w:space="0" w:color="auto"/>
      </w:divBdr>
      <w:divsChild>
        <w:div w:id="1821389309">
          <w:marLeft w:val="706"/>
          <w:marRight w:val="0"/>
          <w:marTop w:val="60"/>
          <w:marBottom w:val="0"/>
          <w:divBdr>
            <w:top w:val="none" w:sz="0" w:space="0" w:color="auto"/>
            <w:left w:val="none" w:sz="0" w:space="0" w:color="auto"/>
            <w:bottom w:val="none" w:sz="0" w:space="0" w:color="auto"/>
            <w:right w:val="none" w:sz="0" w:space="0" w:color="auto"/>
          </w:divBdr>
        </w:div>
        <w:div w:id="2133671146">
          <w:marLeft w:val="706"/>
          <w:marRight w:val="0"/>
          <w:marTop w:val="60"/>
          <w:marBottom w:val="0"/>
          <w:divBdr>
            <w:top w:val="none" w:sz="0" w:space="0" w:color="auto"/>
            <w:left w:val="none" w:sz="0" w:space="0" w:color="auto"/>
            <w:bottom w:val="none" w:sz="0" w:space="0" w:color="auto"/>
            <w:right w:val="none" w:sz="0" w:space="0" w:color="auto"/>
          </w:divBdr>
        </w:div>
      </w:divsChild>
    </w:div>
    <w:div w:id="13775887">
      <w:bodyDiv w:val="1"/>
      <w:marLeft w:val="0"/>
      <w:marRight w:val="0"/>
      <w:marTop w:val="0"/>
      <w:marBottom w:val="0"/>
      <w:divBdr>
        <w:top w:val="none" w:sz="0" w:space="0" w:color="auto"/>
        <w:left w:val="none" w:sz="0" w:space="0" w:color="auto"/>
        <w:bottom w:val="none" w:sz="0" w:space="0" w:color="auto"/>
        <w:right w:val="none" w:sz="0" w:space="0" w:color="auto"/>
      </w:divBdr>
      <w:divsChild>
        <w:div w:id="1994680926">
          <w:marLeft w:val="547"/>
          <w:marRight w:val="0"/>
          <w:marTop w:val="154"/>
          <w:marBottom w:val="0"/>
          <w:divBdr>
            <w:top w:val="none" w:sz="0" w:space="0" w:color="auto"/>
            <w:left w:val="none" w:sz="0" w:space="0" w:color="auto"/>
            <w:bottom w:val="none" w:sz="0" w:space="0" w:color="auto"/>
            <w:right w:val="none" w:sz="0" w:space="0" w:color="auto"/>
          </w:divBdr>
        </w:div>
        <w:div w:id="1064840222">
          <w:marLeft w:val="547"/>
          <w:marRight w:val="0"/>
          <w:marTop w:val="154"/>
          <w:marBottom w:val="0"/>
          <w:divBdr>
            <w:top w:val="none" w:sz="0" w:space="0" w:color="auto"/>
            <w:left w:val="none" w:sz="0" w:space="0" w:color="auto"/>
            <w:bottom w:val="none" w:sz="0" w:space="0" w:color="auto"/>
            <w:right w:val="none" w:sz="0" w:space="0" w:color="auto"/>
          </w:divBdr>
        </w:div>
      </w:divsChild>
    </w:div>
    <w:div w:id="18548329">
      <w:bodyDiv w:val="1"/>
      <w:marLeft w:val="0"/>
      <w:marRight w:val="0"/>
      <w:marTop w:val="0"/>
      <w:marBottom w:val="0"/>
      <w:divBdr>
        <w:top w:val="none" w:sz="0" w:space="0" w:color="auto"/>
        <w:left w:val="none" w:sz="0" w:space="0" w:color="auto"/>
        <w:bottom w:val="none" w:sz="0" w:space="0" w:color="auto"/>
        <w:right w:val="none" w:sz="0" w:space="0" w:color="auto"/>
      </w:divBdr>
    </w:div>
    <w:div w:id="56979489">
      <w:bodyDiv w:val="1"/>
      <w:marLeft w:val="0"/>
      <w:marRight w:val="0"/>
      <w:marTop w:val="0"/>
      <w:marBottom w:val="0"/>
      <w:divBdr>
        <w:top w:val="none" w:sz="0" w:space="0" w:color="auto"/>
        <w:left w:val="none" w:sz="0" w:space="0" w:color="auto"/>
        <w:bottom w:val="none" w:sz="0" w:space="0" w:color="auto"/>
        <w:right w:val="none" w:sz="0" w:space="0" w:color="auto"/>
      </w:divBdr>
      <w:divsChild>
        <w:div w:id="388308511">
          <w:marLeft w:val="547"/>
          <w:marRight w:val="0"/>
          <w:marTop w:val="144"/>
          <w:marBottom w:val="0"/>
          <w:divBdr>
            <w:top w:val="none" w:sz="0" w:space="0" w:color="auto"/>
            <w:left w:val="none" w:sz="0" w:space="0" w:color="auto"/>
            <w:bottom w:val="none" w:sz="0" w:space="0" w:color="auto"/>
            <w:right w:val="none" w:sz="0" w:space="0" w:color="auto"/>
          </w:divBdr>
        </w:div>
        <w:div w:id="1777289253">
          <w:marLeft w:val="547"/>
          <w:marRight w:val="0"/>
          <w:marTop w:val="154"/>
          <w:marBottom w:val="0"/>
          <w:divBdr>
            <w:top w:val="none" w:sz="0" w:space="0" w:color="auto"/>
            <w:left w:val="none" w:sz="0" w:space="0" w:color="auto"/>
            <w:bottom w:val="none" w:sz="0" w:space="0" w:color="auto"/>
            <w:right w:val="none" w:sz="0" w:space="0" w:color="auto"/>
          </w:divBdr>
        </w:div>
        <w:div w:id="145364453">
          <w:marLeft w:val="547"/>
          <w:marRight w:val="0"/>
          <w:marTop w:val="154"/>
          <w:marBottom w:val="0"/>
          <w:divBdr>
            <w:top w:val="none" w:sz="0" w:space="0" w:color="auto"/>
            <w:left w:val="none" w:sz="0" w:space="0" w:color="auto"/>
            <w:bottom w:val="none" w:sz="0" w:space="0" w:color="auto"/>
            <w:right w:val="none" w:sz="0" w:space="0" w:color="auto"/>
          </w:divBdr>
        </w:div>
      </w:divsChild>
    </w:div>
    <w:div w:id="104810287">
      <w:bodyDiv w:val="1"/>
      <w:marLeft w:val="0"/>
      <w:marRight w:val="0"/>
      <w:marTop w:val="0"/>
      <w:marBottom w:val="0"/>
      <w:divBdr>
        <w:top w:val="none" w:sz="0" w:space="0" w:color="auto"/>
        <w:left w:val="none" w:sz="0" w:space="0" w:color="auto"/>
        <w:bottom w:val="none" w:sz="0" w:space="0" w:color="auto"/>
        <w:right w:val="none" w:sz="0" w:space="0" w:color="auto"/>
      </w:divBdr>
      <w:divsChild>
        <w:div w:id="667247215">
          <w:marLeft w:val="547"/>
          <w:marRight w:val="0"/>
          <w:marTop w:val="134"/>
          <w:marBottom w:val="0"/>
          <w:divBdr>
            <w:top w:val="none" w:sz="0" w:space="0" w:color="auto"/>
            <w:left w:val="none" w:sz="0" w:space="0" w:color="auto"/>
            <w:bottom w:val="none" w:sz="0" w:space="0" w:color="auto"/>
            <w:right w:val="none" w:sz="0" w:space="0" w:color="auto"/>
          </w:divBdr>
        </w:div>
        <w:div w:id="1421756305">
          <w:marLeft w:val="547"/>
          <w:marRight w:val="0"/>
          <w:marTop w:val="134"/>
          <w:marBottom w:val="0"/>
          <w:divBdr>
            <w:top w:val="none" w:sz="0" w:space="0" w:color="auto"/>
            <w:left w:val="none" w:sz="0" w:space="0" w:color="auto"/>
            <w:bottom w:val="none" w:sz="0" w:space="0" w:color="auto"/>
            <w:right w:val="none" w:sz="0" w:space="0" w:color="auto"/>
          </w:divBdr>
        </w:div>
        <w:div w:id="384959267">
          <w:marLeft w:val="547"/>
          <w:marRight w:val="0"/>
          <w:marTop w:val="134"/>
          <w:marBottom w:val="0"/>
          <w:divBdr>
            <w:top w:val="none" w:sz="0" w:space="0" w:color="auto"/>
            <w:left w:val="none" w:sz="0" w:space="0" w:color="auto"/>
            <w:bottom w:val="none" w:sz="0" w:space="0" w:color="auto"/>
            <w:right w:val="none" w:sz="0" w:space="0" w:color="auto"/>
          </w:divBdr>
        </w:div>
        <w:div w:id="62798577">
          <w:marLeft w:val="1138"/>
          <w:marRight w:val="0"/>
          <w:marTop w:val="134"/>
          <w:marBottom w:val="0"/>
          <w:divBdr>
            <w:top w:val="none" w:sz="0" w:space="0" w:color="auto"/>
            <w:left w:val="none" w:sz="0" w:space="0" w:color="auto"/>
            <w:bottom w:val="none" w:sz="0" w:space="0" w:color="auto"/>
            <w:right w:val="none" w:sz="0" w:space="0" w:color="auto"/>
          </w:divBdr>
        </w:div>
        <w:div w:id="17199455">
          <w:marLeft w:val="1138"/>
          <w:marRight w:val="0"/>
          <w:marTop w:val="134"/>
          <w:marBottom w:val="0"/>
          <w:divBdr>
            <w:top w:val="none" w:sz="0" w:space="0" w:color="auto"/>
            <w:left w:val="none" w:sz="0" w:space="0" w:color="auto"/>
            <w:bottom w:val="none" w:sz="0" w:space="0" w:color="auto"/>
            <w:right w:val="none" w:sz="0" w:space="0" w:color="auto"/>
          </w:divBdr>
        </w:div>
      </w:divsChild>
    </w:div>
    <w:div w:id="107891179">
      <w:bodyDiv w:val="1"/>
      <w:marLeft w:val="0"/>
      <w:marRight w:val="0"/>
      <w:marTop w:val="0"/>
      <w:marBottom w:val="0"/>
      <w:divBdr>
        <w:top w:val="none" w:sz="0" w:space="0" w:color="auto"/>
        <w:left w:val="none" w:sz="0" w:space="0" w:color="auto"/>
        <w:bottom w:val="none" w:sz="0" w:space="0" w:color="auto"/>
        <w:right w:val="none" w:sz="0" w:space="0" w:color="auto"/>
      </w:divBdr>
    </w:div>
    <w:div w:id="108473763">
      <w:bodyDiv w:val="1"/>
      <w:marLeft w:val="0"/>
      <w:marRight w:val="0"/>
      <w:marTop w:val="0"/>
      <w:marBottom w:val="0"/>
      <w:divBdr>
        <w:top w:val="none" w:sz="0" w:space="0" w:color="auto"/>
        <w:left w:val="none" w:sz="0" w:space="0" w:color="auto"/>
        <w:bottom w:val="none" w:sz="0" w:space="0" w:color="auto"/>
        <w:right w:val="none" w:sz="0" w:space="0" w:color="auto"/>
      </w:divBdr>
    </w:div>
    <w:div w:id="112600952">
      <w:bodyDiv w:val="1"/>
      <w:marLeft w:val="0"/>
      <w:marRight w:val="0"/>
      <w:marTop w:val="0"/>
      <w:marBottom w:val="0"/>
      <w:divBdr>
        <w:top w:val="none" w:sz="0" w:space="0" w:color="auto"/>
        <w:left w:val="none" w:sz="0" w:space="0" w:color="auto"/>
        <w:bottom w:val="none" w:sz="0" w:space="0" w:color="auto"/>
        <w:right w:val="none" w:sz="0" w:space="0" w:color="auto"/>
      </w:divBdr>
    </w:div>
    <w:div w:id="136997271">
      <w:bodyDiv w:val="1"/>
      <w:marLeft w:val="0"/>
      <w:marRight w:val="0"/>
      <w:marTop w:val="0"/>
      <w:marBottom w:val="0"/>
      <w:divBdr>
        <w:top w:val="none" w:sz="0" w:space="0" w:color="auto"/>
        <w:left w:val="none" w:sz="0" w:space="0" w:color="auto"/>
        <w:bottom w:val="none" w:sz="0" w:space="0" w:color="auto"/>
        <w:right w:val="none" w:sz="0" w:space="0" w:color="auto"/>
      </w:divBdr>
    </w:div>
    <w:div w:id="138696825">
      <w:bodyDiv w:val="1"/>
      <w:marLeft w:val="0"/>
      <w:marRight w:val="0"/>
      <w:marTop w:val="0"/>
      <w:marBottom w:val="0"/>
      <w:divBdr>
        <w:top w:val="none" w:sz="0" w:space="0" w:color="auto"/>
        <w:left w:val="none" w:sz="0" w:space="0" w:color="auto"/>
        <w:bottom w:val="none" w:sz="0" w:space="0" w:color="auto"/>
        <w:right w:val="none" w:sz="0" w:space="0" w:color="auto"/>
      </w:divBdr>
    </w:div>
    <w:div w:id="169565031">
      <w:bodyDiv w:val="1"/>
      <w:marLeft w:val="0"/>
      <w:marRight w:val="0"/>
      <w:marTop w:val="0"/>
      <w:marBottom w:val="0"/>
      <w:divBdr>
        <w:top w:val="none" w:sz="0" w:space="0" w:color="auto"/>
        <w:left w:val="none" w:sz="0" w:space="0" w:color="auto"/>
        <w:bottom w:val="none" w:sz="0" w:space="0" w:color="auto"/>
        <w:right w:val="none" w:sz="0" w:space="0" w:color="auto"/>
      </w:divBdr>
    </w:div>
    <w:div w:id="183634201">
      <w:bodyDiv w:val="1"/>
      <w:marLeft w:val="0"/>
      <w:marRight w:val="0"/>
      <w:marTop w:val="0"/>
      <w:marBottom w:val="0"/>
      <w:divBdr>
        <w:top w:val="none" w:sz="0" w:space="0" w:color="auto"/>
        <w:left w:val="none" w:sz="0" w:space="0" w:color="auto"/>
        <w:bottom w:val="none" w:sz="0" w:space="0" w:color="auto"/>
        <w:right w:val="none" w:sz="0" w:space="0" w:color="auto"/>
      </w:divBdr>
      <w:divsChild>
        <w:div w:id="351341335">
          <w:marLeft w:val="547"/>
          <w:marRight w:val="0"/>
          <w:marTop w:val="134"/>
          <w:marBottom w:val="0"/>
          <w:divBdr>
            <w:top w:val="none" w:sz="0" w:space="0" w:color="auto"/>
            <w:left w:val="none" w:sz="0" w:space="0" w:color="auto"/>
            <w:bottom w:val="none" w:sz="0" w:space="0" w:color="auto"/>
            <w:right w:val="none" w:sz="0" w:space="0" w:color="auto"/>
          </w:divBdr>
        </w:div>
      </w:divsChild>
    </w:div>
    <w:div w:id="235938428">
      <w:bodyDiv w:val="1"/>
      <w:marLeft w:val="0"/>
      <w:marRight w:val="0"/>
      <w:marTop w:val="0"/>
      <w:marBottom w:val="0"/>
      <w:divBdr>
        <w:top w:val="none" w:sz="0" w:space="0" w:color="auto"/>
        <w:left w:val="none" w:sz="0" w:space="0" w:color="auto"/>
        <w:bottom w:val="none" w:sz="0" w:space="0" w:color="auto"/>
        <w:right w:val="none" w:sz="0" w:space="0" w:color="auto"/>
      </w:divBdr>
    </w:div>
    <w:div w:id="262809740">
      <w:bodyDiv w:val="1"/>
      <w:marLeft w:val="0"/>
      <w:marRight w:val="0"/>
      <w:marTop w:val="0"/>
      <w:marBottom w:val="0"/>
      <w:divBdr>
        <w:top w:val="none" w:sz="0" w:space="0" w:color="auto"/>
        <w:left w:val="none" w:sz="0" w:space="0" w:color="auto"/>
        <w:bottom w:val="none" w:sz="0" w:space="0" w:color="auto"/>
        <w:right w:val="none" w:sz="0" w:space="0" w:color="auto"/>
      </w:divBdr>
    </w:div>
    <w:div w:id="300892150">
      <w:bodyDiv w:val="1"/>
      <w:marLeft w:val="0"/>
      <w:marRight w:val="0"/>
      <w:marTop w:val="0"/>
      <w:marBottom w:val="0"/>
      <w:divBdr>
        <w:top w:val="none" w:sz="0" w:space="0" w:color="auto"/>
        <w:left w:val="none" w:sz="0" w:space="0" w:color="auto"/>
        <w:bottom w:val="none" w:sz="0" w:space="0" w:color="auto"/>
        <w:right w:val="none" w:sz="0" w:space="0" w:color="auto"/>
      </w:divBdr>
      <w:divsChild>
        <w:div w:id="1785298181">
          <w:marLeft w:val="547"/>
          <w:marRight w:val="0"/>
          <w:marTop w:val="154"/>
          <w:marBottom w:val="0"/>
          <w:divBdr>
            <w:top w:val="none" w:sz="0" w:space="0" w:color="auto"/>
            <w:left w:val="none" w:sz="0" w:space="0" w:color="auto"/>
            <w:bottom w:val="none" w:sz="0" w:space="0" w:color="auto"/>
            <w:right w:val="none" w:sz="0" w:space="0" w:color="auto"/>
          </w:divBdr>
        </w:div>
        <w:div w:id="59989853">
          <w:marLeft w:val="547"/>
          <w:marRight w:val="0"/>
          <w:marTop w:val="154"/>
          <w:marBottom w:val="0"/>
          <w:divBdr>
            <w:top w:val="none" w:sz="0" w:space="0" w:color="auto"/>
            <w:left w:val="none" w:sz="0" w:space="0" w:color="auto"/>
            <w:bottom w:val="none" w:sz="0" w:space="0" w:color="auto"/>
            <w:right w:val="none" w:sz="0" w:space="0" w:color="auto"/>
          </w:divBdr>
        </w:div>
      </w:divsChild>
    </w:div>
    <w:div w:id="310059793">
      <w:bodyDiv w:val="1"/>
      <w:marLeft w:val="0"/>
      <w:marRight w:val="0"/>
      <w:marTop w:val="0"/>
      <w:marBottom w:val="0"/>
      <w:divBdr>
        <w:top w:val="none" w:sz="0" w:space="0" w:color="auto"/>
        <w:left w:val="none" w:sz="0" w:space="0" w:color="auto"/>
        <w:bottom w:val="none" w:sz="0" w:space="0" w:color="auto"/>
        <w:right w:val="none" w:sz="0" w:space="0" w:color="auto"/>
      </w:divBdr>
    </w:div>
    <w:div w:id="323820720">
      <w:bodyDiv w:val="1"/>
      <w:marLeft w:val="0"/>
      <w:marRight w:val="0"/>
      <w:marTop w:val="0"/>
      <w:marBottom w:val="0"/>
      <w:divBdr>
        <w:top w:val="none" w:sz="0" w:space="0" w:color="auto"/>
        <w:left w:val="none" w:sz="0" w:space="0" w:color="auto"/>
        <w:bottom w:val="none" w:sz="0" w:space="0" w:color="auto"/>
        <w:right w:val="none" w:sz="0" w:space="0" w:color="auto"/>
      </w:divBdr>
    </w:div>
    <w:div w:id="326137399">
      <w:bodyDiv w:val="1"/>
      <w:marLeft w:val="0"/>
      <w:marRight w:val="0"/>
      <w:marTop w:val="0"/>
      <w:marBottom w:val="0"/>
      <w:divBdr>
        <w:top w:val="none" w:sz="0" w:space="0" w:color="auto"/>
        <w:left w:val="none" w:sz="0" w:space="0" w:color="auto"/>
        <w:bottom w:val="none" w:sz="0" w:space="0" w:color="auto"/>
        <w:right w:val="none" w:sz="0" w:space="0" w:color="auto"/>
      </w:divBdr>
      <w:divsChild>
        <w:div w:id="588084097">
          <w:marLeft w:val="547"/>
          <w:marRight w:val="0"/>
          <w:marTop w:val="134"/>
          <w:marBottom w:val="0"/>
          <w:divBdr>
            <w:top w:val="none" w:sz="0" w:space="0" w:color="auto"/>
            <w:left w:val="none" w:sz="0" w:space="0" w:color="auto"/>
            <w:bottom w:val="none" w:sz="0" w:space="0" w:color="auto"/>
            <w:right w:val="none" w:sz="0" w:space="0" w:color="auto"/>
          </w:divBdr>
        </w:div>
        <w:div w:id="1409309681">
          <w:marLeft w:val="547"/>
          <w:marRight w:val="0"/>
          <w:marTop w:val="154"/>
          <w:marBottom w:val="0"/>
          <w:divBdr>
            <w:top w:val="none" w:sz="0" w:space="0" w:color="auto"/>
            <w:left w:val="none" w:sz="0" w:space="0" w:color="auto"/>
            <w:bottom w:val="none" w:sz="0" w:space="0" w:color="auto"/>
            <w:right w:val="none" w:sz="0" w:space="0" w:color="auto"/>
          </w:divBdr>
        </w:div>
        <w:div w:id="1263537767">
          <w:marLeft w:val="547"/>
          <w:marRight w:val="0"/>
          <w:marTop w:val="154"/>
          <w:marBottom w:val="0"/>
          <w:divBdr>
            <w:top w:val="none" w:sz="0" w:space="0" w:color="auto"/>
            <w:left w:val="none" w:sz="0" w:space="0" w:color="auto"/>
            <w:bottom w:val="none" w:sz="0" w:space="0" w:color="auto"/>
            <w:right w:val="none" w:sz="0" w:space="0" w:color="auto"/>
          </w:divBdr>
        </w:div>
        <w:div w:id="904527956">
          <w:marLeft w:val="547"/>
          <w:marRight w:val="0"/>
          <w:marTop w:val="154"/>
          <w:marBottom w:val="0"/>
          <w:divBdr>
            <w:top w:val="none" w:sz="0" w:space="0" w:color="auto"/>
            <w:left w:val="none" w:sz="0" w:space="0" w:color="auto"/>
            <w:bottom w:val="none" w:sz="0" w:space="0" w:color="auto"/>
            <w:right w:val="none" w:sz="0" w:space="0" w:color="auto"/>
          </w:divBdr>
        </w:div>
      </w:divsChild>
    </w:div>
    <w:div w:id="345181889">
      <w:bodyDiv w:val="1"/>
      <w:marLeft w:val="0"/>
      <w:marRight w:val="0"/>
      <w:marTop w:val="0"/>
      <w:marBottom w:val="0"/>
      <w:divBdr>
        <w:top w:val="none" w:sz="0" w:space="0" w:color="auto"/>
        <w:left w:val="none" w:sz="0" w:space="0" w:color="auto"/>
        <w:bottom w:val="none" w:sz="0" w:space="0" w:color="auto"/>
        <w:right w:val="none" w:sz="0" w:space="0" w:color="auto"/>
      </w:divBdr>
    </w:div>
    <w:div w:id="382297257">
      <w:bodyDiv w:val="1"/>
      <w:marLeft w:val="0"/>
      <w:marRight w:val="0"/>
      <w:marTop w:val="0"/>
      <w:marBottom w:val="0"/>
      <w:divBdr>
        <w:top w:val="none" w:sz="0" w:space="0" w:color="auto"/>
        <w:left w:val="none" w:sz="0" w:space="0" w:color="auto"/>
        <w:bottom w:val="none" w:sz="0" w:space="0" w:color="auto"/>
        <w:right w:val="none" w:sz="0" w:space="0" w:color="auto"/>
      </w:divBdr>
    </w:div>
    <w:div w:id="409275833">
      <w:bodyDiv w:val="1"/>
      <w:marLeft w:val="0"/>
      <w:marRight w:val="0"/>
      <w:marTop w:val="0"/>
      <w:marBottom w:val="0"/>
      <w:divBdr>
        <w:top w:val="none" w:sz="0" w:space="0" w:color="auto"/>
        <w:left w:val="none" w:sz="0" w:space="0" w:color="auto"/>
        <w:bottom w:val="none" w:sz="0" w:space="0" w:color="auto"/>
        <w:right w:val="none" w:sz="0" w:space="0" w:color="auto"/>
      </w:divBdr>
    </w:div>
    <w:div w:id="415513845">
      <w:bodyDiv w:val="1"/>
      <w:marLeft w:val="0"/>
      <w:marRight w:val="0"/>
      <w:marTop w:val="0"/>
      <w:marBottom w:val="0"/>
      <w:divBdr>
        <w:top w:val="none" w:sz="0" w:space="0" w:color="auto"/>
        <w:left w:val="none" w:sz="0" w:space="0" w:color="auto"/>
        <w:bottom w:val="none" w:sz="0" w:space="0" w:color="auto"/>
        <w:right w:val="none" w:sz="0" w:space="0" w:color="auto"/>
      </w:divBdr>
      <w:divsChild>
        <w:div w:id="97527306">
          <w:marLeft w:val="547"/>
          <w:marRight w:val="0"/>
          <w:marTop w:val="144"/>
          <w:marBottom w:val="0"/>
          <w:divBdr>
            <w:top w:val="none" w:sz="0" w:space="0" w:color="auto"/>
            <w:left w:val="none" w:sz="0" w:space="0" w:color="auto"/>
            <w:bottom w:val="none" w:sz="0" w:space="0" w:color="auto"/>
            <w:right w:val="none" w:sz="0" w:space="0" w:color="auto"/>
          </w:divBdr>
        </w:div>
        <w:div w:id="862282533">
          <w:marLeft w:val="547"/>
          <w:marRight w:val="0"/>
          <w:marTop w:val="144"/>
          <w:marBottom w:val="0"/>
          <w:divBdr>
            <w:top w:val="none" w:sz="0" w:space="0" w:color="auto"/>
            <w:left w:val="none" w:sz="0" w:space="0" w:color="auto"/>
            <w:bottom w:val="none" w:sz="0" w:space="0" w:color="auto"/>
            <w:right w:val="none" w:sz="0" w:space="0" w:color="auto"/>
          </w:divBdr>
        </w:div>
      </w:divsChild>
    </w:div>
    <w:div w:id="440103830">
      <w:bodyDiv w:val="1"/>
      <w:marLeft w:val="0"/>
      <w:marRight w:val="0"/>
      <w:marTop w:val="0"/>
      <w:marBottom w:val="0"/>
      <w:divBdr>
        <w:top w:val="none" w:sz="0" w:space="0" w:color="auto"/>
        <w:left w:val="none" w:sz="0" w:space="0" w:color="auto"/>
        <w:bottom w:val="none" w:sz="0" w:space="0" w:color="auto"/>
        <w:right w:val="none" w:sz="0" w:space="0" w:color="auto"/>
      </w:divBdr>
    </w:div>
    <w:div w:id="444809344">
      <w:bodyDiv w:val="1"/>
      <w:marLeft w:val="0"/>
      <w:marRight w:val="0"/>
      <w:marTop w:val="0"/>
      <w:marBottom w:val="0"/>
      <w:divBdr>
        <w:top w:val="none" w:sz="0" w:space="0" w:color="auto"/>
        <w:left w:val="none" w:sz="0" w:space="0" w:color="auto"/>
        <w:bottom w:val="none" w:sz="0" w:space="0" w:color="auto"/>
        <w:right w:val="none" w:sz="0" w:space="0" w:color="auto"/>
      </w:divBdr>
    </w:div>
    <w:div w:id="457601786">
      <w:bodyDiv w:val="1"/>
      <w:marLeft w:val="0"/>
      <w:marRight w:val="0"/>
      <w:marTop w:val="0"/>
      <w:marBottom w:val="0"/>
      <w:divBdr>
        <w:top w:val="none" w:sz="0" w:space="0" w:color="auto"/>
        <w:left w:val="none" w:sz="0" w:space="0" w:color="auto"/>
        <w:bottom w:val="none" w:sz="0" w:space="0" w:color="auto"/>
        <w:right w:val="none" w:sz="0" w:space="0" w:color="auto"/>
      </w:divBdr>
    </w:div>
    <w:div w:id="469055541">
      <w:bodyDiv w:val="1"/>
      <w:marLeft w:val="0"/>
      <w:marRight w:val="0"/>
      <w:marTop w:val="0"/>
      <w:marBottom w:val="0"/>
      <w:divBdr>
        <w:top w:val="none" w:sz="0" w:space="0" w:color="auto"/>
        <w:left w:val="none" w:sz="0" w:space="0" w:color="auto"/>
        <w:bottom w:val="none" w:sz="0" w:space="0" w:color="auto"/>
        <w:right w:val="none" w:sz="0" w:space="0" w:color="auto"/>
      </w:divBdr>
    </w:div>
    <w:div w:id="512846313">
      <w:bodyDiv w:val="1"/>
      <w:marLeft w:val="0"/>
      <w:marRight w:val="0"/>
      <w:marTop w:val="0"/>
      <w:marBottom w:val="0"/>
      <w:divBdr>
        <w:top w:val="none" w:sz="0" w:space="0" w:color="auto"/>
        <w:left w:val="none" w:sz="0" w:space="0" w:color="auto"/>
        <w:bottom w:val="none" w:sz="0" w:space="0" w:color="auto"/>
        <w:right w:val="none" w:sz="0" w:space="0" w:color="auto"/>
      </w:divBdr>
    </w:div>
    <w:div w:id="521404424">
      <w:bodyDiv w:val="1"/>
      <w:marLeft w:val="0"/>
      <w:marRight w:val="0"/>
      <w:marTop w:val="0"/>
      <w:marBottom w:val="0"/>
      <w:divBdr>
        <w:top w:val="none" w:sz="0" w:space="0" w:color="auto"/>
        <w:left w:val="none" w:sz="0" w:space="0" w:color="auto"/>
        <w:bottom w:val="none" w:sz="0" w:space="0" w:color="auto"/>
        <w:right w:val="none" w:sz="0" w:space="0" w:color="auto"/>
      </w:divBdr>
      <w:divsChild>
        <w:div w:id="1180390883">
          <w:marLeft w:val="547"/>
          <w:marRight w:val="0"/>
          <w:marTop w:val="154"/>
          <w:marBottom w:val="0"/>
          <w:divBdr>
            <w:top w:val="none" w:sz="0" w:space="0" w:color="auto"/>
            <w:left w:val="none" w:sz="0" w:space="0" w:color="auto"/>
            <w:bottom w:val="none" w:sz="0" w:space="0" w:color="auto"/>
            <w:right w:val="none" w:sz="0" w:space="0" w:color="auto"/>
          </w:divBdr>
        </w:div>
        <w:div w:id="369113199">
          <w:marLeft w:val="547"/>
          <w:marRight w:val="0"/>
          <w:marTop w:val="154"/>
          <w:marBottom w:val="0"/>
          <w:divBdr>
            <w:top w:val="none" w:sz="0" w:space="0" w:color="auto"/>
            <w:left w:val="none" w:sz="0" w:space="0" w:color="auto"/>
            <w:bottom w:val="none" w:sz="0" w:space="0" w:color="auto"/>
            <w:right w:val="none" w:sz="0" w:space="0" w:color="auto"/>
          </w:divBdr>
        </w:div>
      </w:divsChild>
    </w:div>
    <w:div w:id="525753731">
      <w:bodyDiv w:val="1"/>
      <w:marLeft w:val="0"/>
      <w:marRight w:val="0"/>
      <w:marTop w:val="0"/>
      <w:marBottom w:val="0"/>
      <w:divBdr>
        <w:top w:val="none" w:sz="0" w:space="0" w:color="auto"/>
        <w:left w:val="none" w:sz="0" w:space="0" w:color="auto"/>
        <w:bottom w:val="none" w:sz="0" w:space="0" w:color="auto"/>
        <w:right w:val="none" w:sz="0" w:space="0" w:color="auto"/>
      </w:divBdr>
    </w:div>
    <w:div w:id="530648782">
      <w:bodyDiv w:val="1"/>
      <w:marLeft w:val="0"/>
      <w:marRight w:val="0"/>
      <w:marTop w:val="0"/>
      <w:marBottom w:val="0"/>
      <w:divBdr>
        <w:top w:val="none" w:sz="0" w:space="0" w:color="auto"/>
        <w:left w:val="none" w:sz="0" w:space="0" w:color="auto"/>
        <w:bottom w:val="none" w:sz="0" w:space="0" w:color="auto"/>
        <w:right w:val="none" w:sz="0" w:space="0" w:color="auto"/>
      </w:divBdr>
      <w:divsChild>
        <w:div w:id="1239093369">
          <w:marLeft w:val="547"/>
          <w:marRight w:val="0"/>
          <w:marTop w:val="120"/>
          <w:marBottom w:val="0"/>
          <w:divBdr>
            <w:top w:val="none" w:sz="0" w:space="0" w:color="auto"/>
            <w:left w:val="none" w:sz="0" w:space="0" w:color="auto"/>
            <w:bottom w:val="none" w:sz="0" w:space="0" w:color="auto"/>
            <w:right w:val="none" w:sz="0" w:space="0" w:color="auto"/>
          </w:divBdr>
        </w:div>
        <w:div w:id="268395741">
          <w:marLeft w:val="547"/>
          <w:marRight w:val="0"/>
          <w:marTop w:val="120"/>
          <w:marBottom w:val="0"/>
          <w:divBdr>
            <w:top w:val="none" w:sz="0" w:space="0" w:color="auto"/>
            <w:left w:val="none" w:sz="0" w:space="0" w:color="auto"/>
            <w:bottom w:val="none" w:sz="0" w:space="0" w:color="auto"/>
            <w:right w:val="none" w:sz="0" w:space="0" w:color="auto"/>
          </w:divBdr>
        </w:div>
        <w:div w:id="939066556">
          <w:marLeft w:val="547"/>
          <w:marRight w:val="0"/>
          <w:marTop w:val="120"/>
          <w:marBottom w:val="0"/>
          <w:divBdr>
            <w:top w:val="none" w:sz="0" w:space="0" w:color="auto"/>
            <w:left w:val="none" w:sz="0" w:space="0" w:color="auto"/>
            <w:bottom w:val="none" w:sz="0" w:space="0" w:color="auto"/>
            <w:right w:val="none" w:sz="0" w:space="0" w:color="auto"/>
          </w:divBdr>
        </w:div>
        <w:div w:id="293951903">
          <w:marLeft w:val="547"/>
          <w:marRight w:val="0"/>
          <w:marTop w:val="120"/>
          <w:marBottom w:val="0"/>
          <w:divBdr>
            <w:top w:val="none" w:sz="0" w:space="0" w:color="auto"/>
            <w:left w:val="none" w:sz="0" w:space="0" w:color="auto"/>
            <w:bottom w:val="none" w:sz="0" w:space="0" w:color="auto"/>
            <w:right w:val="none" w:sz="0" w:space="0" w:color="auto"/>
          </w:divBdr>
        </w:div>
        <w:div w:id="1630625623">
          <w:marLeft w:val="547"/>
          <w:marRight w:val="0"/>
          <w:marTop w:val="120"/>
          <w:marBottom w:val="0"/>
          <w:divBdr>
            <w:top w:val="none" w:sz="0" w:space="0" w:color="auto"/>
            <w:left w:val="none" w:sz="0" w:space="0" w:color="auto"/>
            <w:bottom w:val="none" w:sz="0" w:space="0" w:color="auto"/>
            <w:right w:val="none" w:sz="0" w:space="0" w:color="auto"/>
          </w:divBdr>
        </w:div>
      </w:divsChild>
    </w:div>
    <w:div w:id="534347468">
      <w:bodyDiv w:val="1"/>
      <w:marLeft w:val="0"/>
      <w:marRight w:val="0"/>
      <w:marTop w:val="0"/>
      <w:marBottom w:val="0"/>
      <w:divBdr>
        <w:top w:val="none" w:sz="0" w:space="0" w:color="auto"/>
        <w:left w:val="none" w:sz="0" w:space="0" w:color="auto"/>
        <w:bottom w:val="none" w:sz="0" w:space="0" w:color="auto"/>
        <w:right w:val="none" w:sz="0" w:space="0" w:color="auto"/>
      </w:divBdr>
    </w:div>
    <w:div w:id="534738918">
      <w:bodyDiv w:val="1"/>
      <w:marLeft w:val="0"/>
      <w:marRight w:val="0"/>
      <w:marTop w:val="0"/>
      <w:marBottom w:val="0"/>
      <w:divBdr>
        <w:top w:val="none" w:sz="0" w:space="0" w:color="auto"/>
        <w:left w:val="none" w:sz="0" w:space="0" w:color="auto"/>
        <w:bottom w:val="none" w:sz="0" w:space="0" w:color="auto"/>
        <w:right w:val="none" w:sz="0" w:space="0" w:color="auto"/>
      </w:divBdr>
    </w:div>
    <w:div w:id="610478888">
      <w:bodyDiv w:val="1"/>
      <w:marLeft w:val="0"/>
      <w:marRight w:val="0"/>
      <w:marTop w:val="0"/>
      <w:marBottom w:val="0"/>
      <w:divBdr>
        <w:top w:val="none" w:sz="0" w:space="0" w:color="auto"/>
        <w:left w:val="none" w:sz="0" w:space="0" w:color="auto"/>
        <w:bottom w:val="none" w:sz="0" w:space="0" w:color="auto"/>
        <w:right w:val="none" w:sz="0" w:space="0" w:color="auto"/>
      </w:divBdr>
      <w:divsChild>
        <w:div w:id="1688017699">
          <w:marLeft w:val="547"/>
          <w:marRight w:val="0"/>
          <w:marTop w:val="154"/>
          <w:marBottom w:val="0"/>
          <w:divBdr>
            <w:top w:val="none" w:sz="0" w:space="0" w:color="auto"/>
            <w:left w:val="none" w:sz="0" w:space="0" w:color="auto"/>
            <w:bottom w:val="none" w:sz="0" w:space="0" w:color="auto"/>
            <w:right w:val="none" w:sz="0" w:space="0" w:color="auto"/>
          </w:divBdr>
        </w:div>
      </w:divsChild>
    </w:div>
    <w:div w:id="611983535">
      <w:bodyDiv w:val="1"/>
      <w:marLeft w:val="0"/>
      <w:marRight w:val="0"/>
      <w:marTop w:val="0"/>
      <w:marBottom w:val="0"/>
      <w:divBdr>
        <w:top w:val="none" w:sz="0" w:space="0" w:color="auto"/>
        <w:left w:val="none" w:sz="0" w:space="0" w:color="auto"/>
        <w:bottom w:val="none" w:sz="0" w:space="0" w:color="auto"/>
        <w:right w:val="none" w:sz="0" w:space="0" w:color="auto"/>
      </w:divBdr>
    </w:div>
    <w:div w:id="612639389">
      <w:bodyDiv w:val="1"/>
      <w:marLeft w:val="0"/>
      <w:marRight w:val="0"/>
      <w:marTop w:val="0"/>
      <w:marBottom w:val="0"/>
      <w:divBdr>
        <w:top w:val="none" w:sz="0" w:space="0" w:color="auto"/>
        <w:left w:val="none" w:sz="0" w:space="0" w:color="auto"/>
        <w:bottom w:val="none" w:sz="0" w:space="0" w:color="auto"/>
        <w:right w:val="none" w:sz="0" w:space="0" w:color="auto"/>
      </w:divBdr>
    </w:div>
    <w:div w:id="624585203">
      <w:bodyDiv w:val="1"/>
      <w:marLeft w:val="0"/>
      <w:marRight w:val="0"/>
      <w:marTop w:val="0"/>
      <w:marBottom w:val="0"/>
      <w:divBdr>
        <w:top w:val="none" w:sz="0" w:space="0" w:color="auto"/>
        <w:left w:val="none" w:sz="0" w:space="0" w:color="auto"/>
        <w:bottom w:val="none" w:sz="0" w:space="0" w:color="auto"/>
        <w:right w:val="none" w:sz="0" w:space="0" w:color="auto"/>
      </w:divBdr>
    </w:div>
    <w:div w:id="627324347">
      <w:bodyDiv w:val="1"/>
      <w:marLeft w:val="0"/>
      <w:marRight w:val="0"/>
      <w:marTop w:val="0"/>
      <w:marBottom w:val="0"/>
      <w:divBdr>
        <w:top w:val="none" w:sz="0" w:space="0" w:color="auto"/>
        <w:left w:val="none" w:sz="0" w:space="0" w:color="auto"/>
        <w:bottom w:val="none" w:sz="0" w:space="0" w:color="auto"/>
        <w:right w:val="none" w:sz="0" w:space="0" w:color="auto"/>
      </w:divBdr>
    </w:div>
    <w:div w:id="628167288">
      <w:bodyDiv w:val="1"/>
      <w:marLeft w:val="0"/>
      <w:marRight w:val="0"/>
      <w:marTop w:val="0"/>
      <w:marBottom w:val="0"/>
      <w:divBdr>
        <w:top w:val="none" w:sz="0" w:space="0" w:color="auto"/>
        <w:left w:val="none" w:sz="0" w:space="0" w:color="auto"/>
        <w:bottom w:val="none" w:sz="0" w:space="0" w:color="auto"/>
        <w:right w:val="none" w:sz="0" w:space="0" w:color="auto"/>
      </w:divBdr>
    </w:div>
    <w:div w:id="640578682">
      <w:bodyDiv w:val="1"/>
      <w:marLeft w:val="0"/>
      <w:marRight w:val="0"/>
      <w:marTop w:val="0"/>
      <w:marBottom w:val="0"/>
      <w:divBdr>
        <w:top w:val="none" w:sz="0" w:space="0" w:color="auto"/>
        <w:left w:val="none" w:sz="0" w:space="0" w:color="auto"/>
        <w:bottom w:val="none" w:sz="0" w:space="0" w:color="auto"/>
        <w:right w:val="none" w:sz="0" w:space="0" w:color="auto"/>
      </w:divBdr>
    </w:div>
    <w:div w:id="649361034">
      <w:bodyDiv w:val="1"/>
      <w:marLeft w:val="0"/>
      <w:marRight w:val="0"/>
      <w:marTop w:val="0"/>
      <w:marBottom w:val="0"/>
      <w:divBdr>
        <w:top w:val="none" w:sz="0" w:space="0" w:color="auto"/>
        <w:left w:val="none" w:sz="0" w:space="0" w:color="auto"/>
        <w:bottom w:val="none" w:sz="0" w:space="0" w:color="auto"/>
        <w:right w:val="none" w:sz="0" w:space="0" w:color="auto"/>
      </w:divBdr>
      <w:divsChild>
        <w:div w:id="48457068">
          <w:marLeft w:val="547"/>
          <w:marRight w:val="0"/>
          <w:marTop w:val="139"/>
          <w:marBottom w:val="0"/>
          <w:divBdr>
            <w:top w:val="none" w:sz="0" w:space="0" w:color="auto"/>
            <w:left w:val="none" w:sz="0" w:space="0" w:color="auto"/>
            <w:bottom w:val="none" w:sz="0" w:space="0" w:color="auto"/>
            <w:right w:val="none" w:sz="0" w:space="0" w:color="auto"/>
          </w:divBdr>
        </w:div>
        <w:div w:id="28191328">
          <w:marLeft w:val="547"/>
          <w:marRight w:val="0"/>
          <w:marTop w:val="139"/>
          <w:marBottom w:val="0"/>
          <w:divBdr>
            <w:top w:val="none" w:sz="0" w:space="0" w:color="auto"/>
            <w:left w:val="none" w:sz="0" w:space="0" w:color="auto"/>
            <w:bottom w:val="none" w:sz="0" w:space="0" w:color="auto"/>
            <w:right w:val="none" w:sz="0" w:space="0" w:color="auto"/>
          </w:divBdr>
        </w:div>
        <w:div w:id="1899247957">
          <w:marLeft w:val="547"/>
          <w:marRight w:val="0"/>
          <w:marTop w:val="139"/>
          <w:marBottom w:val="0"/>
          <w:divBdr>
            <w:top w:val="none" w:sz="0" w:space="0" w:color="auto"/>
            <w:left w:val="none" w:sz="0" w:space="0" w:color="auto"/>
            <w:bottom w:val="none" w:sz="0" w:space="0" w:color="auto"/>
            <w:right w:val="none" w:sz="0" w:space="0" w:color="auto"/>
          </w:divBdr>
        </w:div>
        <w:div w:id="683744699">
          <w:marLeft w:val="547"/>
          <w:marRight w:val="0"/>
          <w:marTop w:val="139"/>
          <w:marBottom w:val="0"/>
          <w:divBdr>
            <w:top w:val="none" w:sz="0" w:space="0" w:color="auto"/>
            <w:left w:val="none" w:sz="0" w:space="0" w:color="auto"/>
            <w:bottom w:val="none" w:sz="0" w:space="0" w:color="auto"/>
            <w:right w:val="none" w:sz="0" w:space="0" w:color="auto"/>
          </w:divBdr>
        </w:div>
      </w:divsChild>
    </w:div>
    <w:div w:id="650909832">
      <w:bodyDiv w:val="1"/>
      <w:marLeft w:val="0"/>
      <w:marRight w:val="0"/>
      <w:marTop w:val="0"/>
      <w:marBottom w:val="0"/>
      <w:divBdr>
        <w:top w:val="none" w:sz="0" w:space="0" w:color="auto"/>
        <w:left w:val="none" w:sz="0" w:space="0" w:color="auto"/>
        <w:bottom w:val="none" w:sz="0" w:space="0" w:color="auto"/>
        <w:right w:val="none" w:sz="0" w:space="0" w:color="auto"/>
      </w:divBdr>
    </w:div>
    <w:div w:id="722102513">
      <w:bodyDiv w:val="1"/>
      <w:marLeft w:val="0"/>
      <w:marRight w:val="0"/>
      <w:marTop w:val="0"/>
      <w:marBottom w:val="0"/>
      <w:divBdr>
        <w:top w:val="none" w:sz="0" w:space="0" w:color="auto"/>
        <w:left w:val="none" w:sz="0" w:space="0" w:color="auto"/>
        <w:bottom w:val="none" w:sz="0" w:space="0" w:color="auto"/>
        <w:right w:val="none" w:sz="0" w:space="0" w:color="auto"/>
      </w:divBdr>
    </w:div>
    <w:div w:id="742877791">
      <w:bodyDiv w:val="1"/>
      <w:marLeft w:val="0"/>
      <w:marRight w:val="0"/>
      <w:marTop w:val="0"/>
      <w:marBottom w:val="0"/>
      <w:divBdr>
        <w:top w:val="none" w:sz="0" w:space="0" w:color="auto"/>
        <w:left w:val="none" w:sz="0" w:space="0" w:color="auto"/>
        <w:bottom w:val="none" w:sz="0" w:space="0" w:color="auto"/>
        <w:right w:val="none" w:sz="0" w:space="0" w:color="auto"/>
      </w:divBdr>
      <w:divsChild>
        <w:div w:id="1926844763">
          <w:marLeft w:val="446"/>
          <w:marRight w:val="0"/>
          <w:marTop w:val="154"/>
          <w:marBottom w:val="0"/>
          <w:divBdr>
            <w:top w:val="none" w:sz="0" w:space="0" w:color="auto"/>
            <w:left w:val="none" w:sz="0" w:space="0" w:color="auto"/>
            <w:bottom w:val="none" w:sz="0" w:space="0" w:color="auto"/>
            <w:right w:val="none" w:sz="0" w:space="0" w:color="auto"/>
          </w:divBdr>
        </w:div>
        <w:div w:id="887227974">
          <w:marLeft w:val="446"/>
          <w:marRight w:val="0"/>
          <w:marTop w:val="154"/>
          <w:marBottom w:val="0"/>
          <w:divBdr>
            <w:top w:val="none" w:sz="0" w:space="0" w:color="auto"/>
            <w:left w:val="none" w:sz="0" w:space="0" w:color="auto"/>
            <w:bottom w:val="none" w:sz="0" w:space="0" w:color="auto"/>
            <w:right w:val="none" w:sz="0" w:space="0" w:color="auto"/>
          </w:divBdr>
        </w:div>
      </w:divsChild>
    </w:div>
    <w:div w:id="743918881">
      <w:bodyDiv w:val="1"/>
      <w:marLeft w:val="0"/>
      <w:marRight w:val="0"/>
      <w:marTop w:val="0"/>
      <w:marBottom w:val="0"/>
      <w:divBdr>
        <w:top w:val="none" w:sz="0" w:space="0" w:color="auto"/>
        <w:left w:val="none" w:sz="0" w:space="0" w:color="auto"/>
        <w:bottom w:val="none" w:sz="0" w:space="0" w:color="auto"/>
        <w:right w:val="none" w:sz="0" w:space="0" w:color="auto"/>
      </w:divBdr>
      <w:divsChild>
        <w:div w:id="1502236871">
          <w:marLeft w:val="547"/>
          <w:marRight w:val="0"/>
          <w:marTop w:val="154"/>
          <w:marBottom w:val="0"/>
          <w:divBdr>
            <w:top w:val="none" w:sz="0" w:space="0" w:color="auto"/>
            <w:left w:val="none" w:sz="0" w:space="0" w:color="auto"/>
            <w:bottom w:val="none" w:sz="0" w:space="0" w:color="auto"/>
            <w:right w:val="none" w:sz="0" w:space="0" w:color="auto"/>
          </w:divBdr>
        </w:div>
        <w:div w:id="1073118612">
          <w:marLeft w:val="547"/>
          <w:marRight w:val="0"/>
          <w:marTop w:val="154"/>
          <w:marBottom w:val="0"/>
          <w:divBdr>
            <w:top w:val="none" w:sz="0" w:space="0" w:color="auto"/>
            <w:left w:val="none" w:sz="0" w:space="0" w:color="auto"/>
            <w:bottom w:val="none" w:sz="0" w:space="0" w:color="auto"/>
            <w:right w:val="none" w:sz="0" w:space="0" w:color="auto"/>
          </w:divBdr>
        </w:div>
        <w:div w:id="810709998">
          <w:marLeft w:val="547"/>
          <w:marRight w:val="0"/>
          <w:marTop w:val="154"/>
          <w:marBottom w:val="0"/>
          <w:divBdr>
            <w:top w:val="none" w:sz="0" w:space="0" w:color="auto"/>
            <w:left w:val="none" w:sz="0" w:space="0" w:color="auto"/>
            <w:bottom w:val="none" w:sz="0" w:space="0" w:color="auto"/>
            <w:right w:val="none" w:sz="0" w:space="0" w:color="auto"/>
          </w:divBdr>
        </w:div>
        <w:div w:id="439371461">
          <w:marLeft w:val="547"/>
          <w:marRight w:val="0"/>
          <w:marTop w:val="154"/>
          <w:marBottom w:val="0"/>
          <w:divBdr>
            <w:top w:val="none" w:sz="0" w:space="0" w:color="auto"/>
            <w:left w:val="none" w:sz="0" w:space="0" w:color="auto"/>
            <w:bottom w:val="none" w:sz="0" w:space="0" w:color="auto"/>
            <w:right w:val="none" w:sz="0" w:space="0" w:color="auto"/>
          </w:divBdr>
        </w:div>
        <w:div w:id="160921">
          <w:marLeft w:val="547"/>
          <w:marRight w:val="0"/>
          <w:marTop w:val="154"/>
          <w:marBottom w:val="0"/>
          <w:divBdr>
            <w:top w:val="none" w:sz="0" w:space="0" w:color="auto"/>
            <w:left w:val="none" w:sz="0" w:space="0" w:color="auto"/>
            <w:bottom w:val="none" w:sz="0" w:space="0" w:color="auto"/>
            <w:right w:val="none" w:sz="0" w:space="0" w:color="auto"/>
          </w:divBdr>
        </w:div>
      </w:divsChild>
    </w:div>
    <w:div w:id="744842221">
      <w:bodyDiv w:val="1"/>
      <w:marLeft w:val="0"/>
      <w:marRight w:val="0"/>
      <w:marTop w:val="0"/>
      <w:marBottom w:val="0"/>
      <w:divBdr>
        <w:top w:val="none" w:sz="0" w:space="0" w:color="auto"/>
        <w:left w:val="none" w:sz="0" w:space="0" w:color="auto"/>
        <w:bottom w:val="none" w:sz="0" w:space="0" w:color="auto"/>
        <w:right w:val="none" w:sz="0" w:space="0" w:color="auto"/>
      </w:divBdr>
      <w:divsChild>
        <w:div w:id="589431949">
          <w:marLeft w:val="547"/>
          <w:marRight w:val="0"/>
          <w:marTop w:val="154"/>
          <w:marBottom w:val="0"/>
          <w:divBdr>
            <w:top w:val="none" w:sz="0" w:space="0" w:color="auto"/>
            <w:left w:val="none" w:sz="0" w:space="0" w:color="auto"/>
            <w:bottom w:val="none" w:sz="0" w:space="0" w:color="auto"/>
            <w:right w:val="none" w:sz="0" w:space="0" w:color="auto"/>
          </w:divBdr>
        </w:div>
      </w:divsChild>
    </w:div>
    <w:div w:id="746997362">
      <w:bodyDiv w:val="1"/>
      <w:marLeft w:val="0"/>
      <w:marRight w:val="0"/>
      <w:marTop w:val="0"/>
      <w:marBottom w:val="0"/>
      <w:divBdr>
        <w:top w:val="none" w:sz="0" w:space="0" w:color="auto"/>
        <w:left w:val="none" w:sz="0" w:space="0" w:color="auto"/>
        <w:bottom w:val="none" w:sz="0" w:space="0" w:color="auto"/>
        <w:right w:val="none" w:sz="0" w:space="0" w:color="auto"/>
      </w:divBdr>
    </w:div>
    <w:div w:id="758409910">
      <w:bodyDiv w:val="1"/>
      <w:marLeft w:val="0"/>
      <w:marRight w:val="0"/>
      <w:marTop w:val="0"/>
      <w:marBottom w:val="0"/>
      <w:divBdr>
        <w:top w:val="none" w:sz="0" w:space="0" w:color="auto"/>
        <w:left w:val="none" w:sz="0" w:space="0" w:color="auto"/>
        <w:bottom w:val="none" w:sz="0" w:space="0" w:color="auto"/>
        <w:right w:val="none" w:sz="0" w:space="0" w:color="auto"/>
      </w:divBdr>
      <w:divsChild>
        <w:div w:id="2031564967">
          <w:marLeft w:val="547"/>
          <w:marRight w:val="0"/>
          <w:marTop w:val="173"/>
          <w:marBottom w:val="0"/>
          <w:divBdr>
            <w:top w:val="none" w:sz="0" w:space="0" w:color="auto"/>
            <w:left w:val="none" w:sz="0" w:space="0" w:color="auto"/>
            <w:bottom w:val="none" w:sz="0" w:space="0" w:color="auto"/>
            <w:right w:val="none" w:sz="0" w:space="0" w:color="auto"/>
          </w:divBdr>
        </w:div>
        <w:div w:id="823280964">
          <w:marLeft w:val="547"/>
          <w:marRight w:val="0"/>
          <w:marTop w:val="173"/>
          <w:marBottom w:val="0"/>
          <w:divBdr>
            <w:top w:val="none" w:sz="0" w:space="0" w:color="auto"/>
            <w:left w:val="none" w:sz="0" w:space="0" w:color="auto"/>
            <w:bottom w:val="none" w:sz="0" w:space="0" w:color="auto"/>
            <w:right w:val="none" w:sz="0" w:space="0" w:color="auto"/>
          </w:divBdr>
        </w:div>
        <w:div w:id="1362972315">
          <w:marLeft w:val="547"/>
          <w:marRight w:val="0"/>
          <w:marTop w:val="173"/>
          <w:marBottom w:val="0"/>
          <w:divBdr>
            <w:top w:val="none" w:sz="0" w:space="0" w:color="auto"/>
            <w:left w:val="none" w:sz="0" w:space="0" w:color="auto"/>
            <w:bottom w:val="none" w:sz="0" w:space="0" w:color="auto"/>
            <w:right w:val="none" w:sz="0" w:space="0" w:color="auto"/>
          </w:divBdr>
        </w:div>
      </w:divsChild>
    </w:div>
    <w:div w:id="766274126">
      <w:bodyDiv w:val="1"/>
      <w:marLeft w:val="0"/>
      <w:marRight w:val="0"/>
      <w:marTop w:val="0"/>
      <w:marBottom w:val="0"/>
      <w:divBdr>
        <w:top w:val="none" w:sz="0" w:space="0" w:color="auto"/>
        <w:left w:val="none" w:sz="0" w:space="0" w:color="auto"/>
        <w:bottom w:val="none" w:sz="0" w:space="0" w:color="auto"/>
        <w:right w:val="none" w:sz="0" w:space="0" w:color="auto"/>
      </w:divBdr>
    </w:div>
    <w:div w:id="768697678">
      <w:bodyDiv w:val="1"/>
      <w:marLeft w:val="0"/>
      <w:marRight w:val="0"/>
      <w:marTop w:val="0"/>
      <w:marBottom w:val="0"/>
      <w:divBdr>
        <w:top w:val="none" w:sz="0" w:space="0" w:color="auto"/>
        <w:left w:val="none" w:sz="0" w:space="0" w:color="auto"/>
        <w:bottom w:val="none" w:sz="0" w:space="0" w:color="auto"/>
        <w:right w:val="none" w:sz="0" w:space="0" w:color="auto"/>
      </w:divBdr>
    </w:div>
    <w:div w:id="775446125">
      <w:bodyDiv w:val="1"/>
      <w:marLeft w:val="0"/>
      <w:marRight w:val="0"/>
      <w:marTop w:val="0"/>
      <w:marBottom w:val="0"/>
      <w:divBdr>
        <w:top w:val="none" w:sz="0" w:space="0" w:color="auto"/>
        <w:left w:val="none" w:sz="0" w:space="0" w:color="auto"/>
        <w:bottom w:val="none" w:sz="0" w:space="0" w:color="auto"/>
        <w:right w:val="none" w:sz="0" w:space="0" w:color="auto"/>
      </w:divBdr>
      <w:divsChild>
        <w:div w:id="208616665">
          <w:marLeft w:val="547"/>
          <w:marRight w:val="0"/>
          <w:marTop w:val="154"/>
          <w:marBottom w:val="0"/>
          <w:divBdr>
            <w:top w:val="none" w:sz="0" w:space="0" w:color="auto"/>
            <w:left w:val="none" w:sz="0" w:space="0" w:color="auto"/>
            <w:bottom w:val="none" w:sz="0" w:space="0" w:color="auto"/>
            <w:right w:val="none" w:sz="0" w:space="0" w:color="auto"/>
          </w:divBdr>
        </w:div>
        <w:div w:id="1764104515">
          <w:marLeft w:val="547"/>
          <w:marRight w:val="0"/>
          <w:marTop w:val="154"/>
          <w:marBottom w:val="0"/>
          <w:divBdr>
            <w:top w:val="none" w:sz="0" w:space="0" w:color="auto"/>
            <w:left w:val="none" w:sz="0" w:space="0" w:color="auto"/>
            <w:bottom w:val="none" w:sz="0" w:space="0" w:color="auto"/>
            <w:right w:val="none" w:sz="0" w:space="0" w:color="auto"/>
          </w:divBdr>
        </w:div>
      </w:divsChild>
    </w:div>
    <w:div w:id="805122878">
      <w:bodyDiv w:val="1"/>
      <w:marLeft w:val="0"/>
      <w:marRight w:val="0"/>
      <w:marTop w:val="0"/>
      <w:marBottom w:val="0"/>
      <w:divBdr>
        <w:top w:val="none" w:sz="0" w:space="0" w:color="auto"/>
        <w:left w:val="none" w:sz="0" w:space="0" w:color="auto"/>
        <w:bottom w:val="none" w:sz="0" w:space="0" w:color="auto"/>
        <w:right w:val="none" w:sz="0" w:space="0" w:color="auto"/>
      </w:divBdr>
    </w:div>
    <w:div w:id="805508305">
      <w:bodyDiv w:val="1"/>
      <w:marLeft w:val="0"/>
      <w:marRight w:val="0"/>
      <w:marTop w:val="0"/>
      <w:marBottom w:val="0"/>
      <w:divBdr>
        <w:top w:val="none" w:sz="0" w:space="0" w:color="auto"/>
        <w:left w:val="none" w:sz="0" w:space="0" w:color="auto"/>
        <w:bottom w:val="none" w:sz="0" w:space="0" w:color="auto"/>
        <w:right w:val="none" w:sz="0" w:space="0" w:color="auto"/>
      </w:divBdr>
    </w:div>
    <w:div w:id="809248927">
      <w:bodyDiv w:val="1"/>
      <w:marLeft w:val="0"/>
      <w:marRight w:val="0"/>
      <w:marTop w:val="0"/>
      <w:marBottom w:val="0"/>
      <w:divBdr>
        <w:top w:val="none" w:sz="0" w:space="0" w:color="auto"/>
        <w:left w:val="none" w:sz="0" w:space="0" w:color="auto"/>
        <w:bottom w:val="none" w:sz="0" w:space="0" w:color="auto"/>
        <w:right w:val="none" w:sz="0" w:space="0" w:color="auto"/>
      </w:divBdr>
      <w:divsChild>
        <w:div w:id="958993824">
          <w:marLeft w:val="547"/>
          <w:marRight w:val="0"/>
          <w:marTop w:val="134"/>
          <w:marBottom w:val="0"/>
          <w:divBdr>
            <w:top w:val="none" w:sz="0" w:space="0" w:color="auto"/>
            <w:left w:val="none" w:sz="0" w:space="0" w:color="auto"/>
            <w:bottom w:val="none" w:sz="0" w:space="0" w:color="auto"/>
            <w:right w:val="none" w:sz="0" w:space="0" w:color="auto"/>
          </w:divBdr>
        </w:div>
      </w:divsChild>
    </w:div>
    <w:div w:id="827212495">
      <w:bodyDiv w:val="1"/>
      <w:marLeft w:val="0"/>
      <w:marRight w:val="0"/>
      <w:marTop w:val="0"/>
      <w:marBottom w:val="0"/>
      <w:divBdr>
        <w:top w:val="none" w:sz="0" w:space="0" w:color="auto"/>
        <w:left w:val="none" w:sz="0" w:space="0" w:color="auto"/>
        <w:bottom w:val="none" w:sz="0" w:space="0" w:color="auto"/>
        <w:right w:val="none" w:sz="0" w:space="0" w:color="auto"/>
      </w:divBdr>
      <w:divsChild>
        <w:div w:id="1180971684">
          <w:marLeft w:val="547"/>
          <w:marRight w:val="0"/>
          <w:marTop w:val="173"/>
          <w:marBottom w:val="0"/>
          <w:divBdr>
            <w:top w:val="none" w:sz="0" w:space="0" w:color="auto"/>
            <w:left w:val="none" w:sz="0" w:space="0" w:color="auto"/>
            <w:bottom w:val="none" w:sz="0" w:space="0" w:color="auto"/>
            <w:right w:val="none" w:sz="0" w:space="0" w:color="auto"/>
          </w:divBdr>
        </w:div>
        <w:div w:id="250898301">
          <w:marLeft w:val="547"/>
          <w:marRight w:val="0"/>
          <w:marTop w:val="173"/>
          <w:marBottom w:val="0"/>
          <w:divBdr>
            <w:top w:val="none" w:sz="0" w:space="0" w:color="auto"/>
            <w:left w:val="none" w:sz="0" w:space="0" w:color="auto"/>
            <w:bottom w:val="none" w:sz="0" w:space="0" w:color="auto"/>
            <w:right w:val="none" w:sz="0" w:space="0" w:color="auto"/>
          </w:divBdr>
        </w:div>
        <w:div w:id="1705981583">
          <w:marLeft w:val="547"/>
          <w:marRight w:val="0"/>
          <w:marTop w:val="173"/>
          <w:marBottom w:val="0"/>
          <w:divBdr>
            <w:top w:val="none" w:sz="0" w:space="0" w:color="auto"/>
            <w:left w:val="none" w:sz="0" w:space="0" w:color="auto"/>
            <w:bottom w:val="none" w:sz="0" w:space="0" w:color="auto"/>
            <w:right w:val="none" w:sz="0" w:space="0" w:color="auto"/>
          </w:divBdr>
        </w:div>
      </w:divsChild>
    </w:div>
    <w:div w:id="830945158">
      <w:bodyDiv w:val="1"/>
      <w:marLeft w:val="0"/>
      <w:marRight w:val="0"/>
      <w:marTop w:val="0"/>
      <w:marBottom w:val="0"/>
      <w:divBdr>
        <w:top w:val="none" w:sz="0" w:space="0" w:color="auto"/>
        <w:left w:val="none" w:sz="0" w:space="0" w:color="auto"/>
        <w:bottom w:val="none" w:sz="0" w:space="0" w:color="auto"/>
        <w:right w:val="none" w:sz="0" w:space="0" w:color="auto"/>
      </w:divBdr>
    </w:div>
    <w:div w:id="850333404">
      <w:bodyDiv w:val="1"/>
      <w:marLeft w:val="0"/>
      <w:marRight w:val="0"/>
      <w:marTop w:val="0"/>
      <w:marBottom w:val="0"/>
      <w:divBdr>
        <w:top w:val="none" w:sz="0" w:space="0" w:color="auto"/>
        <w:left w:val="none" w:sz="0" w:space="0" w:color="auto"/>
        <w:bottom w:val="none" w:sz="0" w:space="0" w:color="auto"/>
        <w:right w:val="none" w:sz="0" w:space="0" w:color="auto"/>
      </w:divBdr>
    </w:div>
    <w:div w:id="873347577">
      <w:bodyDiv w:val="1"/>
      <w:marLeft w:val="0"/>
      <w:marRight w:val="0"/>
      <w:marTop w:val="0"/>
      <w:marBottom w:val="0"/>
      <w:divBdr>
        <w:top w:val="none" w:sz="0" w:space="0" w:color="auto"/>
        <w:left w:val="none" w:sz="0" w:space="0" w:color="auto"/>
        <w:bottom w:val="none" w:sz="0" w:space="0" w:color="auto"/>
        <w:right w:val="none" w:sz="0" w:space="0" w:color="auto"/>
      </w:divBdr>
      <w:divsChild>
        <w:div w:id="988825059">
          <w:marLeft w:val="547"/>
          <w:marRight w:val="0"/>
          <w:marTop w:val="154"/>
          <w:marBottom w:val="0"/>
          <w:divBdr>
            <w:top w:val="none" w:sz="0" w:space="0" w:color="auto"/>
            <w:left w:val="none" w:sz="0" w:space="0" w:color="auto"/>
            <w:bottom w:val="none" w:sz="0" w:space="0" w:color="auto"/>
            <w:right w:val="none" w:sz="0" w:space="0" w:color="auto"/>
          </w:divBdr>
        </w:div>
        <w:div w:id="420413962">
          <w:marLeft w:val="1138"/>
          <w:marRight w:val="0"/>
          <w:marTop w:val="154"/>
          <w:marBottom w:val="0"/>
          <w:divBdr>
            <w:top w:val="none" w:sz="0" w:space="0" w:color="auto"/>
            <w:left w:val="none" w:sz="0" w:space="0" w:color="auto"/>
            <w:bottom w:val="none" w:sz="0" w:space="0" w:color="auto"/>
            <w:right w:val="none" w:sz="0" w:space="0" w:color="auto"/>
          </w:divBdr>
        </w:div>
      </w:divsChild>
    </w:div>
    <w:div w:id="885525480">
      <w:bodyDiv w:val="1"/>
      <w:marLeft w:val="0"/>
      <w:marRight w:val="0"/>
      <w:marTop w:val="0"/>
      <w:marBottom w:val="0"/>
      <w:divBdr>
        <w:top w:val="none" w:sz="0" w:space="0" w:color="auto"/>
        <w:left w:val="none" w:sz="0" w:space="0" w:color="auto"/>
        <w:bottom w:val="none" w:sz="0" w:space="0" w:color="auto"/>
        <w:right w:val="none" w:sz="0" w:space="0" w:color="auto"/>
      </w:divBdr>
    </w:div>
    <w:div w:id="907888438">
      <w:bodyDiv w:val="1"/>
      <w:marLeft w:val="0"/>
      <w:marRight w:val="0"/>
      <w:marTop w:val="0"/>
      <w:marBottom w:val="0"/>
      <w:divBdr>
        <w:top w:val="none" w:sz="0" w:space="0" w:color="auto"/>
        <w:left w:val="none" w:sz="0" w:space="0" w:color="auto"/>
        <w:bottom w:val="none" w:sz="0" w:space="0" w:color="auto"/>
        <w:right w:val="none" w:sz="0" w:space="0" w:color="auto"/>
      </w:divBdr>
    </w:div>
    <w:div w:id="951472525">
      <w:bodyDiv w:val="1"/>
      <w:marLeft w:val="0"/>
      <w:marRight w:val="0"/>
      <w:marTop w:val="0"/>
      <w:marBottom w:val="0"/>
      <w:divBdr>
        <w:top w:val="none" w:sz="0" w:space="0" w:color="auto"/>
        <w:left w:val="none" w:sz="0" w:space="0" w:color="auto"/>
        <w:bottom w:val="none" w:sz="0" w:space="0" w:color="auto"/>
        <w:right w:val="none" w:sz="0" w:space="0" w:color="auto"/>
      </w:divBdr>
    </w:div>
    <w:div w:id="955796735">
      <w:bodyDiv w:val="1"/>
      <w:marLeft w:val="0"/>
      <w:marRight w:val="0"/>
      <w:marTop w:val="0"/>
      <w:marBottom w:val="0"/>
      <w:divBdr>
        <w:top w:val="none" w:sz="0" w:space="0" w:color="auto"/>
        <w:left w:val="none" w:sz="0" w:space="0" w:color="auto"/>
        <w:bottom w:val="none" w:sz="0" w:space="0" w:color="auto"/>
        <w:right w:val="none" w:sz="0" w:space="0" w:color="auto"/>
      </w:divBdr>
    </w:div>
    <w:div w:id="965700578">
      <w:bodyDiv w:val="1"/>
      <w:marLeft w:val="0"/>
      <w:marRight w:val="0"/>
      <w:marTop w:val="0"/>
      <w:marBottom w:val="0"/>
      <w:divBdr>
        <w:top w:val="none" w:sz="0" w:space="0" w:color="auto"/>
        <w:left w:val="none" w:sz="0" w:space="0" w:color="auto"/>
        <w:bottom w:val="none" w:sz="0" w:space="0" w:color="auto"/>
        <w:right w:val="none" w:sz="0" w:space="0" w:color="auto"/>
      </w:divBdr>
      <w:divsChild>
        <w:div w:id="1656227485">
          <w:marLeft w:val="547"/>
          <w:marRight w:val="0"/>
          <w:marTop w:val="154"/>
          <w:marBottom w:val="0"/>
          <w:divBdr>
            <w:top w:val="none" w:sz="0" w:space="0" w:color="auto"/>
            <w:left w:val="none" w:sz="0" w:space="0" w:color="auto"/>
            <w:bottom w:val="none" w:sz="0" w:space="0" w:color="auto"/>
            <w:right w:val="none" w:sz="0" w:space="0" w:color="auto"/>
          </w:divBdr>
        </w:div>
        <w:div w:id="1859196921">
          <w:marLeft w:val="547"/>
          <w:marRight w:val="0"/>
          <w:marTop w:val="154"/>
          <w:marBottom w:val="0"/>
          <w:divBdr>
            <w:top w:val="none" w:sz="0" w:space="0" w:color="auto"/>
            <w:left w:val="none" w:sz="0" w:space="0" w:color="auto"/>
            <w:bottom w:val="none" w:sz="0" w:space="0" w:color="auto"/>
            <w:right w:val="none" w:sz="0" w:space="0" w:color="auto"/>
          </w:divBdr>
        </w:div>
        <w:div w:id="415057315">
          <w:marLeft w:val="547"/>
          <w:marRight w:val="0"/>
          <w:marTop w:val="154"/>
          <w:marBottom w:val="0"/>
          <w:divBdr>
            <w:top w:val="none" w:sz="0" w:space="0" w:color="auto"/>
            <w:left w:val="none" w:sz="0" w:space="0" w:color="auto"/>
            <w:bottom w:val="none" w:sz="0" w:space="0" w:color="auto"/>
            <w:right w:val="none" w:sz="0" w:space="0" w:color="auto"/>
          </w:divBdr>
        </w:div>
        <w:div w:id="1136921529">
          <w:marLeft w:val="547"/>
          <w:marRight w:val="0"/>
          <w:marTop w:val="154"/>
          <w:marBottom w:val="0"/>
          <w:divBdr>
            <w:top w:val="none" w:sz="0" w:space="0" w:color="auto"/>
            <w:left w:val="none" w:sz="0" w:space="0" w:color="auto"/>
            <w:bottom w:val="none" w:sz="0" w:space="0" w:color="auto"/>
            <w:right w:val="none" w:sz="0" w:space="0" w:color="auto"/>
          </w:divBdr>
        </w:div>
      </w:divsChild>
    </w:div>
    <w:div w:id="995450139">
      <w:bodyDiv w:val="1"/>
      <w:marLeft w:val="0"/>
      <w:marRight w:val="0"/>
      <w:marTop w:val="0"/>
      <w:marBottom w:val="0"/>
      <w:divBdr>
        <w:top w:val="none" w:sz="0" w:space="0" w:color="auto"/>
        <w:left w:val="none" w:sz="0" w:space="0" w:color="auto"/>
        <w:bottom w:val="none" w:sz="0" w:space="0" w:color="auto"/>
        <w:right w:val="none" w:sz="0" w:space="0" w:color="auto"/>
      </w:divBdr>
    </w:div>
    <w:div w:id="1036665421">
      <w:bodyDiv w:val="1"/>
      <w:marLeft w:val="0"/>
      <w:marRight w:val="0"/>
      <w:marTop w:val="0"/>
      <w:marBottom w:val="0"/>
      <w:divBdr>
        <w:top w:val="none" w:sz="0" w:space="0" w:color="auto"/>
        <w:left w:val="none" w:sz="0" w:space="0" w:color="auto"/>
        <w:bottom w:val="none" w:sz="0" w:space="0" w:color="auto"/>
        <w:right w:val="none" w:sz="0" w:space="0" w:color="auto"/>
      </w:divBdr>
    </w:div>
    <w:div w:id="1059524210">
      <w:bodyDiv w:val="1"/>
      <w:marLeft w:val="0"/>
      <w:marRight w:val="0"/>
      <w:marTop w:val="0"/>
      <w:marBottom w:val="0"/>
      <w:divBdr>
        <w:top w:val="none" w:sz="0" w:space="0" w:color="auto"/>
        <w:left w:val="none" w:sz="0" w:space="0" w:color="auto"/>
        <w:bottom w:val="none" w:sz="0" w:space="0" w:color="auto"/>
        <w:right w:val="none" w:sz="0" w:space="0" w:color="auto"/>
      </w:divBdr>
      <w:divsChild>
        <w:div w:id="1922133628">
          <w:marLeft w:val="806"/>
          <w:marRight w:val="0"/>
          <w:marTop w:val="154"/>
          <w:marBottom w:val="0"/>
          <w:divBdr>
            <w:top w:val="none" w:sz="0" w:space="0" w:color="auto"/>
            <w:left w:val="none" w:sz="0" w:space="0" w:color="auto"/>
            <w:bottom w:val="none" w:sz="0" w:space="0" w:color="auto"/>
            <w:right w:val="none" w:sz="0" w:space="0" w:color="auto"/>
          </w:divBdr>
        </w:div>
        <w:div w:id="1589464135">
          <w:marLeft w:val="806"/>
          <w:marRight w:val="0"/>
          <w:marTop w:val="154"/>
          <w:marBottom w:val="0"/>
          <w:divBdr>
            <w:top w:val="none" w:sz="0" w:space="0" w:color="auto"/>
            <w:left w:val="none" w:sz="0" w:space="0" w:color="auto"/>
            <w:bottom w:val="none" w:sz="0" w:space="0" w:color="auto"/>
            <w:right w:val="none" w:sz="0" w:space="0" w:color="auto"/>
          </w:divBdr>
        </w:div>
        <w:div w:id="1034573334">
          <w:marLeft w:val="806"/>
          <w:marRight w:val="0"/>
          <w:marTop w:val="154"/>
          <w:marBottom w:val="0"/>
          <w:divBdr>
            <w:top w:val="none" w:sz="0" w:space="0" w:color="auto"/>
            <w:left w:val="none" w:sz="0" w:space="0" w:color="auto"/>
            <w:bottom w:val="none" w:sz="0" w:space="0" w:color="auto"/>
            <w:right w:val="none" w:sz="0" w:space="0" w:color="auto"/>
          </w:divBdr>
        </w:div>
        <w:div w:id="1069307037">
          <w:marLeft w:val="806"/>
          <w:marRight w:val="0"/>
          <w:marTop w:val="154"/>
          <w:marBottom w:val="0"/>
          <w:divBdr>
            <w:top w:val="none" w:sz="0" w:space="0" w:color="auto"/>
            <w:left w:val="none" w:sz="0" w:space="0" w:color="auto"/>
            <w:bottom w:val="none" w:sz="0" w:space="0" w:color="auto"/>
            <w:right w:val="none" w:sz="0" w:space="0" w:color="auto"/>
          </w:divBdr>
        </w:div>
      </w:divsChild>
    </w:div>
    <w:div w:id="1069687876">
      <w:bodyDiv w:val="1"/>
      <w:marLeft w:val="0"/>
      <w:marRight w:val="0"/>
      <w:marTop w:val="0"/>
      <w:marBottom w:val="0"/>
      <w:divBdr>
        <w:top w:val="none" w:sz="0" w:space="0" w:color="auto"/>
        <w:left w:val="none" w:sz="0" w:space="0" w:color="auto"/>
        <w:bottom w:val="none" w:sz="0" w:space="0" w:color="auto"/>
        <w:right w:val="none" w:sz="0" w:space="0" w:color="auto"/>
      </w:divBdr>
      <w:divsChild>
        <w:div w:id="1261647787">
          <w:marLeft w:val="547"/>
          <w:marRight w:val="0"/>
          <w:marTop w:val="154"/>
          <w:marBottom w:val="0"/>
          <w:divBdr>
            <w:top w:val="none" w:sz="0" w:space="0" w:color="auto"/>
            <w:left w:val="none" w:sz="0" w:space="0" w:color="auto"/>
            <w:bottom w:val="none" w:sz="0" w:space="0" w:color="auto"/>
            <w:right w:val="none" w:sz="0" w:space="0" w:color="auto"/>
          </w:divBdr>
        </w:div>
        <w:div w:id="1686177394">
          <w:marLeft w:val="547"/>
          <w:marRight w:val="0"/>
          <w:marTop w:val="154"/>
          <w:marBottom w:val="0"/>
          <w:divBdr>
            <w:top w:val="none" w:sz="0" w:space="0" w:color="auto"/>
            <w:left w:val="none" w:sz="0" w:space="0" w:color="auto"/>
            <w:bottom w:val="none" w:sz="0" w:space="0" w:color="auto"/>
            <w:right w:val="none" w:sz="0" w:space="0" w:color="auto"/>
          </w:divBdr>
        </w:div>
        <w:div w:id="1759715481">
          <w:marLeft w:val="547"/>
          <w:marRight w:val="0"/>
          <w:marTop w:val="154"/>
          <w:marBottom w:val="0"/>
          <w:divBdr>
            <w:top w:val="none" w:sz="0" w:space="0" w:color="auto"/>
            <w:left w:val="none" w:sz="0" w:space="0" w:color="auto"/>
            <w:bottom w:val="none" w:sz="0" w:space="0" w:color="auto"/>
            <w:right w:val="none" w:sz="0" w:space="0" w:color="auto"/>
          </w:divBdr>
        </w:div>
        <w:div w:id="761267068">
          <w:marLeft w:val="547"/>
          <w:marRight w:val="0"/>
          <w:marTop w:val="154"/>
          <w:marBottom w:val="0"/>
          <w:divBdr>
            <w:top w:val="none" w:sz="0" w:space="0" w:color="auto"/>
            <w:left w:val="none" w:sz="0" w:space="0" w:color="auto"/>
            <w:bottom w:val="none" w:sz="0" w:space="0" w:color="auto"/>
            <w:right w:val="none" w:sz="0" w:space="0" w:color="auto"/>
          </w:divBdr>
        </w:div>
      </w:divsChild>
    </w:div>
    <w:div w:id="1070926913">
      <w:bodyDiv w:val="1"/>
      <w:marLeft w:val="0"/>
      <w:marRight w:val="0"/>
      <w:marTop w:val="0"/>
      <w:marBottom w:val="0"/>
      <w:divBdr>
        <w:top w:val="none" w:sz="0" w:space="0" w:color="auto"/>
        <w:left w:val="none" w:sz="0" w:space="0" w:color="auto"/>
        <w:bottom w:val="none" w:sz="0" w:space="0" w:color="auto"/>
        <w:right w:val="none" w:sz="0" w:space="0" w:color="auto"/>
      </w:divBdr>
    </w:div>
    <w:div w:id="1110051208">
      <w:bodyDiv w:val="1"/>
      <w:marLeft w:val="0"/>
      <w:marRight w:val="0"/>
      <w:marTop w:val="0"/>
      <w:marBottom w:val="0"/>
      <w:divBdr>
        <w:top w:val="none" w:sz="0" w:space="0" w:color="auto"/>
        <w:left w:val="none" w:sz="0" w:space="0" w:color="auto"/>
        <w:bottom w:val="none" w:sz="0" w:space="0" w:color="auto"/>
        <w:right w:val="none" w:sz="0" w:space="0" w:color="auto"/>
      </w:divBdr>
    </w:div>
    <w:div w:id="1139763031">
      <w:bodyDiv w:val="1"/>
      <w:marLeft w:val="0"/>
      <w:marRight w:val="0"/>
      <w:marTop w:val="0"/>
      <w:marBottom w:val="0"/>
      <w:divBdr>
        <w:top w:val="none" w:sz="0" w:space="0" w:color="auto"/>
        <w:left w:val="none" w:sz="0" w:space="0" w:color="auto"/>
        <w:bottom w:val="none" w:sz="0" w:space="0" w:color="auto"/>
        <w:right w:val="none" w:sz="0" w:space="0" w:color="auto"/>
      </w:divBdr>
    </w:div>
    <w:div w:id="1143040771">
      <w:bodyDiv w:val="1"/>
      <w:marLeft w:val="0"/>
      <w:marRight w:val="0"/>
      <w:marTop w:val="0"/>
      <w:marBottom w:val="0"/>
      <w:divBdr>
        <w:top w:val="none" w:sz="0" w:space="0" w:color="auto"/>
        <w:left w:val="none" w:sz="0" w:space="0" w:color="auto"/>
        <w:bottom w:val="none" w:sz="0" w:space="0" w:color="auto"/>
        <w:right w:val="none" w:sz="0" w:space="0" w:color="auto"/>
      </w:divBdr>
    </w:div>
    <w:div w:id="1150446229">
      <w:bodyDiv w:val="1"/>
      <w:marLeft w:val="0"/>
      <w:marRight w:val="0"/>
      <w:marTop w:val="0"/>
      <w:marBottom w:val="0"/>
      <w:divBdr>
        <w:top w:val="none" w:sz="0" w:space="0" w:color="auto"/>
        <w:left w:val="none" w:sz="0" w:space="0" w:color="auto"/>
        <w:bottom w:val="none" w:sz="0" w:space="0" w:color="auto"/>
        <w:right w:val="none" w:sz="0" w:space="0" w:color="auto"/>
      </w:divBdr>
    </w:div>
    <w:div w:id="1151144099">
      <w:bodyDiv w:val="1"/>
      <w:marLeft w:val="0"/>
      <w:marRight w:val="0"/>
      <w:marTop w:val="0"/>
      <w:marBottom w:val="0"/>
      <w:divBdr>
        <w:top w:val="none" w:sz="0" w:space="0" w:color="auto"/>
        <w:left w:val="none" w:sz="0" w:space="0" w:color="auto"/>
        <w:bottom w:val="none" w:sz="0" w:space="0" w:color="auto"/>
        <w:right w:val="none" w:sz="0" w:space="0" w:color="auto"/>
      </w:divBdr>
      <w:divsChild>
        <w:div w:id="1468352932">
          <w:marLeft w:val="547"/>
          <w:marRight w:val="0"/>
          <w:marTop w:val="154"/>
          <w:marBottom w:val="0"/>
          <w:divBdr>
            <w:top w:val="none" w:sz="0" w:space="0" w:color="auto"/>
            <w:left w:val="none" w:sz="0" w:space="0" w:color="auto"/>
            <w:bottom w:val="none" w:sz="0" w:space="0" w:color="auto"/>
            <w:right w:val="none" w:sz="0" w:space="0" w:color="auto"/>
          </w:divBdr>
        </w:div>
      </w:divsChild>
    </w:div>
    <w:div w:id="1154025984">
      <w:bodyDiv w:val="1"/>
      <w:marLeft w:val="0"/>
      <w:marRight w:val="0"/>
      <w:marTop w:val="0"/>
      <w:marBottom w:val="0"/>
      <w:divBdr>
        <w:top w:val="none" w:sz="0" w:space="0" w:color="auto"/>
        <w:left w:val="none" w:sz="0" w:space="0" w:color="auto"/>
        <w:bottom w:val="none" w:sz="0" w:space="0" w:color="auto"/>
        <w:right w:val="none" w:sz="0" w:space="0" w:color="auto"/>
      </w:divBdr>
      <w:divsChild>
        <w:div w:id="1691026120">
          <w:marLeft w:val="547"/>
          <w:marRight w:val="0"/>
          <w:marTop w:val="154"/>
          <w:marBottom w:val="0"/>
          <w:divBdr>
            <w:top w:val="none" w:sz="0" w:space="0" w:color="auto"/>
            <w:left w:val="none" w:sz="0" w:space="0" w:color="auto"/>
            <w:bottom w:val="none" w:sz="0" w:space="0" w:color="auto"/>
            <w:right w:val="none" w:sz="0" w:space="0" w:color="auto"/>
          </w:divBdr>
        </w:div>
        <w:div w:id="425930343">
          <w:marLeft w:val="1138"/>
          <w:marRight w:val="0"/>
          <w:marTop w:val="154"/>
          <w:marBottom w:val="0"/>
          <w:divBdr>
            <w:top w:val="none" w:sz="0" w:space="0" w:color="auto"/>
            <w:left w:val="none" w:sz="0" w:space="0" w:color="auto"/>
            <w:bottom w:val="none" w:sz="0" w:space="0" w:color="auto"/>
            <w:right w:val="none" w:sz="0" w:space="0" w:color="auto"/>
          </w:divBdr>
        </w:div>
      </w:divsChild>
    </w:div>
    <w:div w:id="1166286523">
      <w:bodyDiv w:val="1"/>
      <w:marLeft w:val="0"/>
      <w:marRight w:val="0"/>
      <w:marTop w:val="0"/>
      <w:marBottom w:val="0"/>
      <w:divBdr>
        <w:top w:val="none" w:sz="0" w:space="0" w:color="auto"/>
        <w:left w:val="none" w:sz="0" w:space="0" w:color="auto"/>
        <w:bottom w:val="none" w:sz="0" w:space="0" w:color="auto"/>
        <w:right w:val="none" w:sz="0" w:space="0" w:color="auto"/>
      </w:divBdr>
      <w:divsChild>
        <w:div w:id="1489784212">
          <w:marLeft w:val="547"/>
          <w:marRight w:val="0"/>
          <w:marTop w:val="154"/>
          <w:marBottom w:val="0"/>
          <w:divBdr>
            <w:top w:val="none" w:sz="0" w:space="0" w:color="auto"/>
            <w:left w:val="none" w:sz="0" w:space="0" w:color="auto"/>
            <w:bottom w:val="none" w:sz="0" w:space="0" w:color="auto"/>
            <w:right w:val="none" w:sz="0" w:space="0" w:color="auto"/>
          </w:divBdr>
        </w:div>
        <w:div w:id="2081978281">
          <w:marLeft w:val="547"/>
          <w:marRight w:val="0"/>
          <w:marTop w:val="154"/>
          <w:marBottom w:val="0"/>
          <w:divBdr>
            <w:top w:val="none" w:sz="0" w:space="0" w:color="auto"/>
            <w:left w:val="none" w:sz="0" w:space="0" w:color="auto"/>
            <w:bottom w:val="none" w:sz="0" w:space="0" w:color="auto"/>
            <w:right w:val="none" w:sz="0" w:space="0" w:color="auto"/>
          </w:divBdr>
        </w:div>
        <w:div w:id="1539120212">
          <w:marLeft w:val="547"/>
          <w:marRight w:val="0"/>
          <w:marTop w:val="154"/>
          <w:marBottom w:val="0"/>
          <w:divBdr>
            <w:top w:val="none" w:sz="0" w:space="0" w:color="auto"/>
            <w:left w:val="none" w:sz="0" w:space="0" w:color="auto"/>
            <w:bottom w:val="none" w:sz="0" w:space="0" w:color="auto"/>
            <w:right w:val="none" w:sz="0" w:space="0" w:color="auto"/>
          </w:divBdr>
        </w:div>
      </w:divsChild>
    </w:div>
    <w:div w:id="1173492977">
      <w:bodyDiv w:val="1"/>
      <w:marLeft w:val="0"/>
      <w:marRight w:val="0"/>
      <w:marTop w:val="0"/>
      <w:marBottom w:val="0"/>
      <w:divBdr>
        <w:top w:val="none" w:sz="0" w:space="0" w:color="auto"/>
        <w:left w:val="none" w:sz="0" w:space="0" w:color="auto"/>
        <w:bottom w:val="none" w:sz="0" w:space="0" w:color="auto"/>
        <w:right w:val="none" w:sz="0" w:space="0" w:color="auto"/>
      </w:divBdr>
      <w:divsChild>
        <w:div w:id="366487570">
          <w:marLeft w:val="547"/>
          <w:marRight w:val="0"/>
          <w:marTop w:val="134"/>
          <w:marBottom w:val="0"/>
          <w:divBdr>
            <w:top w:val="none" w:sz="0" w:space="0" w:color="auto"/>
            <w:left w:val="none" w:sz="0" w:space="0" w:color="auto"/>
            <w:bottom w:val="none" w:sz="0" w:space="0" w:color="auto"/>
            <w:right w:val="none" w:sz="0" w:space="0" w:color="auto"/>
          </w:divBdr>
        </w:div>
      </w:divsChild>
    </w:div>
    <w:div w:id="1196309855">
      <w:bodyDiv w:val="1"/>
      <w:marLeft w:val="0"/>
      <w:marRight w:val="0"/>
      <w:marTop w:val="0"/>
      <w:marBottom w:val="0"/>
      <w:divBdr>
        <w:top w:val="none" w:sz="0" w:space="0" w:color="auto"/>
        <w:left w:val="none" w:sz="0" w:space="0" w:color="auto"/>
        <w:bottom w:val="none" w:sz="0" w:space="0" w:color="auto"/>
        <w:right w:val="none" w:sz="0" w:space="0" w:color="auto"/>
      </w:divBdr>
    </w:div>
    <w:div w:id="1237084078">
      <w:bodyDiv w:val="1"/>
      <w:marLeft w:val="0"/>
      <w:marRight w:val="0"/>
      <w:marTop w:val="0"/>
      <w:marBottom w:val="0"/>
      <w:divBdr>
        <w:top w:val="none" w:sz="0" w:space="0" w:color="auto"/>
        <w:left w:val="none" w:sz="0" w:space="0" w:color="auto"/>
        <w:bottom w:val="none" w:sz="0" w:space="0" w:color="auto"/>
        <w:right w:val="none" w:sz="0" w:space="0" w:color="auto"/>
      </w:divBdr>
    </w:div>
    <w:div w:id="1250893735">
      <w:bodyDiv w:val="1"/>
      <w:marLeft w:val="0"/>
      <w:marRight w:val="0"/>
      <w:marTop w:val="0"/>
      <w:marBottom w:val="0"/>
      <w:divBdr>
        <w:top w:val="none" w:sz="0" w:space="0" w:color="auto"/>
        <w:left w:val="none" w:sz="0" w:space="0" w:color="auto"/>
        <w:bottom w:val="none" w:sz="0" w:space="0" w:color="auto"/>
        <w:right w:val="none" w:sz="0" w:space="0" w:color="auto"/>
      </w:divBdr>
    </w:div>
    <w:div w:id="1277981105">
      <w:bodyDiv w:val="1"/>
      <w:marLeft w:val="0"/>
      <w:marRight w:val="0"/>
      <w:marTop w:val="0"/>
      <w:marBottom w:val="0"/>
      <w:divBdr>
        <w:top w:val="none" w:sz="0" w:space="0" w:color="auto"/>
        <w:left w:val="none" w:sz="0" w:space="0" w:color="auto"/>
        <w:bottom w:val="none" w:sz="0" w:space="0" w:color="auto"/>
        <w:right w:val="none" w:sz="0" w:space="0" w:color="auto"/>
      </w:divBdr>
      <w:divsChild>
        <w:div w:id="1560704676">
          <w:marLeft w:val="547"/>
          <w:marRight w:val="0"/>
          <w:marTop w:val="154"/>
          <w:marBottom w:val="0"/>
          <w:divBdr>
            <w:top w:val="none" w:sz="0" w:space="0" w:color="auto"/>
            <w:left w:val="none" w:sz="0" w:space="0" w:color="auto"/>
            <w:bottom w:val="none" w:sz="0" w:space="0" w:color="auto"/>
            <w:right w:val="none" w:sz="0" w:space="0" w:color="auto"/>
          </w:divBdr>
        </w:div>
        <w:div w:id="1288118396">
          <w:marLeft w:val="547"/>
          <w:marRight w:val="0"/>
          <w:marTop w:val="154"/>
          <w:marBottom w:val="0"/>
          <w:divBdr>
            <w:top w:val="none" w:sz="0" w:space="0" w:color="auto"/>
            <w:left w:val="none" w:sz="0" w:space="0" w:color="auto"/>
            <w:bottom w:val="none" w:sz="0" w:space="0" w:color="auto"/>
            <w:right w:val="none" w:sz="0" w:space="0" w:color="auto"/>
          </w:divBdr>
        </w:div>
        <w:div w:id="503325430">
          <w:marLeft w:val="547"/>
          <w:marRight w:val="0"/>
          <w:marTop w:val="154"/>
          <w:marBottom w:val="0"/>
          <w:divBdr>
            <w:top w:val="none" w:sz="0" w:space="0" w:color="auto"/>
            <w:left w:val="none" w:sz="0" w:space="0" w:color="auto"/>
            <w:bottom w:val="none" w:sz="0" w:space="0" w:color="auto"/>
            <w:right w:val="none" w:sz="0" w:space="0" w:color="auto"/>
          </w:divBdr>
        </w:div>
      </w:divsChild>
    </w:div>
    <w:div w:id="1298145459">
      <w:bodyDiv w:val="1"/>
      <w:marLeft w:val="0"/>
      <w:marRight w:val="0"/>
      <w:marTop w:val="0"/>
      <w:marBottom w:val="0"/>
      <w:divBdr>
        <w:top w:val="none" w:sz="0" w:space="0" w:color="auto"/>
        <w:left w:val="none" w:sz="0" w:space="0" w:color="auto"/>
        <w:bottom w:val="none" w:sz="0" w:space="0" w:color="auto"/>
        <w:right w:val="none" w:sz="0" w:space="0" w:color="auto"/>
      </w:divBdr>
    </w:div>
    <w:div w:id="1325402369">
      <w:bodyDiv w:val="1"/>
      <w:marLeft w:val="0"/>
      <w:marRight w:val="0"/>
      <w:marTop w:val="0"/>
      <w:marBottom w:val="0"/>
      <w:divBdr>
        <w:top w:val="none" w:sz="0" w:space="0" w:color="auto"/>
        <w:left w:val="none" w:sz="0" w:space="0" w:color="auto"/>
        <w:bottom w:val="none" w:sz="0" w:space="0" w:color="auto"/>
        <w:right w:val="none" w:sz="0" w:space="0" w:color="auto"/>
      </w:divBdr>
    </w:div>
    <w:div w:id="1327172242">
      <w:bodyDiv w:val="1"/>
      <w:marLeft w:val="0"/>
      <w:marRight w:val="0"/>
      <w:marTop w:val="0"/>
      <w:marBottom w:val="0"/>
      <w:divBdr>
        <w:top w:val="none" w:sz="0" w:space="0" w:color="auto"/>
        <w:left w:val="none" w:sz="0" w:space="0" w:color="auto"/>
        <w:bottom w:val="none" w:sz="0" w:space="0" w:color="auto"/>
        <w:right w:val="none" w:sz="0" w:space="0" w:color="auto"/>
      </w:divBdr>
    </w:div>
    <w:div w:id="1330059602">
      <w:bodyDiv w:val="1"/>
      <w:marLeft w:val="0"/>
      <w:marRight w:val="0"/>
      <w:marTop w:val="0"/>
      <w:marBottom w:val="0"/>
      <w:divBdr>
        <w:top w:val="none" w:sz="0" w:space="0" w:color="auto"/>
        <w:left w:val="none" w:sz="0" w:space="0" w:color="auto"/>
        <w:bottom w:val="none" w:sz="0" w:space="0" w:color="auto"/>
        <w:right w:val="none" w:sz="0" w:space="0" w:color="auto"/>
      </w:divBdr>
    </w:div>
    <w:div w:id="1365865083">
      <w:bodyDiv w:val="1"/>
      <w:marLeft w:val="0"/>
      <w:marRight w:val="0"/>
      <w:marTop w:val="0"/>
      <w:marBottom w:val="0"/>
      <w:divBdr>
        <w:top w:val="none" w:sz="0" w:space="0" w:color="auto"/>
        <w:left w:val="none" w:sz="0" w:space="0" w:color="auto"/>
        <w:bottom w:val="none" w:sz="0" w:space="0" w:color="auto"/>
        <w:right w:val="none" w:sz="0" w:space="0" w:color="auto"/>
      </w:divBdr>
    </w:div>
    <w:div w:id="1379160533">
      <w:bodyDiv w:val="1"/>
      <w:marLeft w:val="0"/>
      <w:marRight w:val="0"/>
      <w:marTop w:val="0"/>
      <w:marBottom w:val="0"/>
      <w:divBdr>
        <w:top w:val="none" w:sz="0" w:space="0" w:color="auto"/>
        <w:left w:val="none" w:sz="0" w:space="0" w:color="auto"/>
        <w:bottom w:val="none" w:sz="0" w:space="0" w:color="auto"/>
        <w:right w:val="none" w:sz="0" w:space="0" w:color="auto"/>
      </w:divBdr>
    </w:div>
    <w:div w:id="1433283334">
      <w:bodyDiv w:val="1"/>
      <w:marLeft w:val="0"/>
      <w:marRight w:val="0"/>
      <w:marTop w:val="0"/>
      <w:marBottom w:val="0"/>
      <w:divBdr>
        <w:top w:val="none" w:sz="0" w:space="0" w:color="auto"/>
        <w:left w:val="none" w:sz="0" w:space="0" w:color="auto"/>
        <w:bottom w:val="none" w:sz="0" w:space="0" w:color="auto"/>
        <w:right w:val="none" w:sz="0" w:space="0" w:color="auto"/>
      </w:divBdr>
    </w:div>
    <w:div w:id="1437410388">
      <w:bodyDiv w:val="1"/>
      <w:marLeft w:val="0"/>
      <w:marRight w:val="0"/>
      <w:marTop w:val="0"/>
      <w:marBottom w:val="0"/>
      <w:divBdr>
        <w:top w:val="none" w:sz="0" w:space="0" w:color="auto"/>
        <w:left w:val="none" w:sz="0" w:space="0" w:color="auto"/>
        <w:bottom w:val="none" w:sz="0" w:space="0" w:color="auto"/>
        <w:right w:val="none" w:sz="0" w:space="0" w:color="auto"/>
      </w:divBdr>
    </w:div>
    <w:div w:id="1442335785">
      <w:bodyDiv w:val="1"/>
      <w:marLeft w:val="0"/>
      <w:marRight w:val="0"/>
      <w:marTop w:val="0"/>
      <w:marBottom w:val="0"/>
      <w:divBdr>
        <w:top w:val="none" w:sz="0" w:space="0" w:color="auto"/>
        <w:left w:val="none" w:sz="0" w:space="0" w:color="auto"/>
        <w:bottom w:val="none" w:sz="0" w:space="0" w:color="auto"/>
        <w:right w:val="none" w:sz="0" w:space="0" w:color="auto"/>
      </w:divBdr>
    </w:div>
    <w:div w:id="1446853546">
      <w:bodyDiv w:val="1"/>
      <w:marLeft w:val="0"/>
      <w:marRight w:val="0"/>
      <w:marTop w:val="0"/>
      <w:marBottom w:val="0"/>
      <w:divBdr>
        <w:top w:val="none" w:sz="0" w:space="0" w:color="auto"/>
        <w:left w:val="none" w:sz="0" w:space="0" w:color="auto"/>
        <w:bottom w:val="none" w:sz="0" w:space="0" w:color="auto"/>
        <w:right w:val="none" w:sz="0" w:space="0" w:color="auto"/>
      </w:divBdr>
    </w:div>
    <w:div w:id="1447655347">
      <w:bodyDiv w:val="1"/>
      <w:marLeft w:val="0"/>
      <w:marRight w:val="0"/>
      <w:marTop w:val="0"/>
      <w:marBottom w:val="0"/>
      <w:divBdr>
        <w:top w:val="none" w:sz="0" w:space="0" w:color="auto"/>
        <w:left w:val="none" w:sz="0" w:space="0" w:color="auto"/>
        <w:bottom w:val="none" w:sz="0" w:space="0" w:color="auto"/>
        <w:right w:val="none" w:sz="0" w:space="0" w:color="auto"/>
      </w:divBdr>
    </w:div>
    <w:div w:id="1470054805">
      <w:bodyDiv w:val="1"/>
      <w:marLeft w:val="0"/>
      <w:marRight w:val="0"/>
      <w:marTop w:val="0"/>
      <w:marBottom w:val="0"/>
      <w:divBdr>
        <w:top w:val="none" w:sz="0" w:space="0" w:color="auto"/>
        <w:left w:val="none" w:sz="0" w:space="0" w:color="auto"/>
        <w:bottom w:val="none" w:sz="0" w:space="0" w:color="auto"/>
        <w:right w:val="none" w:sz="0" w:space="0" w:color="auto"/>
      </w:divBdr>
    </w:div>
    <w:div w:id="1475440519">
      <w:bodyDiv w:val="1"/>
      <w:marLeft w:val="0"/>
      <w:marRight w:val="0"/>
      <w:marTop w:val="0"/>
      <w:marBottom w:val="0"/>
      <w:divBdr>
        <w:top w:val="none" w:sz="0" w:space="0" w:color="auto"/>
        <w:left w:val="none" w:sz="0" w:space="0" w:color="auto"/>
        <w:bottom w:val="none" w:sz="0" w:space="0" w:color="auto"/>
        <w:right w:val="none" w:sz="0" w:space="0" w:color="auto"/>
      </w:divBdr>
    </w:div>
    <w:div w:id="1481380315">
      <w:bodyDiv w:val="1"/>
      <w:marLeft w:val="0"/>
      <w:marRight w:val="0"/>
      <w:marTop w:val="0"/>
      <w:marBottom w:val="0"/>
      <w:divBdr>
        <w:top w:val="none" w:sz="0" w:space="0" w:color="auto"/>
        <w:left w:val="none" w:sz="0" w:space="0" w:color="auto"/>
        <w:bottom w:val="none" w:sz="0" w:space="0" w:color="auto"/>
        <w:right w:val="none" w:sz="0" w:space="0" w:color="auto"/>
      </w:divBdr>
    </w:div>
    <w:div w:id="1500075200">
      <w:bodyDiv w:val="1"/>
      <w:marLeft w:val="0"/>
      <w:marRight w:val="0"/>
      <w:marTop w:val="0"/>
      <w:marBottom w:val="0"/>
      <w:divBdr>
        <w:top w:val="none" w:sz="0" w:space="0" w:color="auto"/>
        <w:left w:val="none" w:sz="0" w:space="0" w:color="auto"/>
        <w:bottom w:val="none" w:sz="0" w:space="0" w:color="auto"/>
        <w:right w:val="none" w:sz="0" w:space="0" w:color="auto"/>
      </w:divBdr>
      <w:divsChild>
        <w:div w:id="536551932">
          <w:marLeft w:val="547"/>
          <w:marRight w:val="0"/>
          <w:marTop w:val="154"/>
          <w:marBottom w:val="0"/>
          <w:divBdr>
            <w:top w:val="none" w:sz="0" w:space="0" w:color="auto"/>
            <w:left w:val="none" w:sz="0" w:space="0" w:color="auto"/>
            <w:bottom w:val="none" w:sz="0" w:space="0" w:color="auto"/>
            <w:right w:val="none" w:sz="0" w:space="0" w:color="auto"/>
          </w:divBdr>
        </w:div>
        <w:div w:id="362022156">
          <w:marLeft w:val="547"/>
          <w:marRight w:val="0"/>
          <w:marTop w:val="154"/>
          <w:marBottom w:val="0"/>
          <w:divBdr>
            <w:top w:val="none" w:sz="0" w:space="0" w:color="auto"/>
            <w:left w:val="none" w:sz="0" w:space="0" w:color="auto"/>
            <w:bottom w:val="none" w:sz="0" w:space="0" w:color="auto"/>
            <w:right w:val="none" w:sz="0" w:space="0" w:color="auto"/>
          </w:divBdr>
        </w:div>
        <w:div w:id="785932384">
          <w:marLeft w:val="547"/>
          <w:marRight w:val="0"/>
          <w:marTop w:val="154"/>
          <w:marBottom w:val="0"/>
          <w:divBdr>
            <w:top w:val="none" w:sz="0" w:space="0" w:color="auto"/>
            <w:left w:val="none" w:sz="0" w:space="0" w:color="auto"/>
            <w:bottom w:val="none" w:sz="0" w:space="0" w:color="auto"/>
            <w:right w:val="none" w:sz="0" w:space="0" w:color="auto"/>
          </w:divBdr>
        </w:div>
        <w:div w:id="1338381909">
          <w:marLeft w:val="547"/>
          <w:marRight w:val="0"/>
          <w:marTop w:val="154"/>
          <w:marBottom w:val="0"/>
          <w:divBdr>
            <w:top w:val="none" w:sz="0" w:space="0" w:color="auto"/>
            <w:left w:val="none" w:sz="0" w:space="0" w:color="auto"/>
            <w:bottom w:val="none" w:sz="0" w:space="0" w:color="auto"/>
            <w:right w:val="none" w:sz="0" w:space="0" w:color="auto"/>
          </w:divBdr>
        </w:div>
      </w:divsChild>
    </w:div>
    <w:div w:id="1517309663">
      <w:bodyDiv w:val="1"/>
      <w:marLeft w:val="0"/>
      <w:marRight w:val="0"/>
      <w:marTop w:val="0"/>
      <w:marBottom w:val="0"/>
      <w:divBdr>
        <w:top w:val="none" w:sz="0" w:space="0" w:color="auto"/>
        <w:left w:val="none" w:sz="0" w:space="0" w:color="auto"/>
        <w:bottom w:val="none" w:sz="0" w:space="0" w:color="auto"/>
        <w:right w:val="none" w:sz="0" w:space="0" w:color="auto"/>
      </w:divBdr>
      <w:divsChild>
        <w:div w:id="2074354107">
          <w:marLeft w:val="547"/>
          <w:marRight w:val="0"/>
          <w:marTop w:val="154"/>
          <w:marBottom w:val="0"/>
          <w:divBdr>
            <w:top w:val="none" w:sz="0" w:space="0" w:color="auto"/>
            <w:left w:val="none" w:sz="0" w:space="0" w:color="auto"/>
            <w:bottom w:val="none" w:sz="0" w:space="0" w:color="auto"/>
            <w:right w:val="none" w:sz="0" w:space="0" w:color="auto"/>
          </w:divBdr>
        </w:div>
        <w:div w:id="309600695">
          <w:marLeft w:val="1267"/>
          <w:marRight w:val="0"/>
          <w:marTop w:val="154"/>
          <w:marBottom w:val="0"/>
          <w:divBdr>
            <w:top w:val="none" w:sz="0" w:space="0" w:color="auto"/>
            <w:left w:val="none" w:sz="0" w:space="0" w:color="auto"/>
            <w:bottom w:val="none" w:sz="0" w:space="0" w:color="auto"/>
            <w:right w:val="none" w:sz="0" w:space="0" w:color="auto"/>
          </w:divBdr>
        </w:div>
        <w:div w:id="1871380729">
          <w:marLeft w:val="1267"/>
          <w:marRight w:val="0"/>
          <w:marTop w:val="154"/>
          <w:marBottom w:val="0"/>
          <w:divBdr>
            <w:top w:val="none" w:sz="0" w:space="0" w:color="auto"/>
            <w:left w:val="none" w:sz="0" w:space="0" w:color="auto"/>
            <w:bottom w:val="none" w:sz="0" w:space="0" w:color="auto"/>
            <w:right w:val="none" w:sz="0" w:space="0" w:color="auto"/>
          </w:divBdr>
        </w:div>
        <w:div w:id="635985682">
          <w:marLeft w:val="547"/>
          <w:marRight w:val="0"/>
          <w:marTop w:val="154"/>
          <w:marBottom w:val="0"/>
          <w:divBdr>
            <w:top w:val="none" w:sz="0" w:space="0" w:color="auto"/>
            <w:left w:val="none" w:sz="0" w:space="0" w:color="auto"/>
            <w:bottom w:val="none" w:sz="0" w:space="0" w:color="auto"/>
            <w:right w:val="none" w:sz="0" w:space="0" w:color="auto"/>
          </w:divBdr>
        </w:div>
      </w:divsChild>
    </w:div>
    <w:div w:id="1522742955">
      <w:bodyDiv w:val="1"/>
      <w:marLeft w:val="0"/>
      <w:marRight w:val="0"/>
      <w:marTop w:val="0"/>
      <w:marBottom w:val="0"/>
      <w:divBdr>
        <w:top w:val="none" w:sz="0" w:space="0" w:color="auto"/>
        <w:left w:val="none" w:sz="0" w:space="0" w:color="auto"/>
        <w:bottom w:val="none" w:sz="0" w:space="0" w:color="auto"/>
        <w:right w:val="none" w:sz="0" w:space="0" w:color="auto"/>
      </w:divBdr>
      <w:divsChild>
        <w:div w:id="1675568560">
          <w:marLeft w:val="547"/>
          <w:marRight w:val="0"/>
          <w:marTop w:val="154"/>
          <w:marBottom w:val="0"/>
          <w:divBdr>
            <w:top w:val="none" w:sz="0" w:space="0" w:color="auto"/>
            <w:left w:val="none" w:sz="0" w:space="0" w:color="auto"/>
            <w:bottom w:val="none" w:sz="0" w:space="0" w:color="auto"/>
            <w:right w:val="none" w:sz="0" w:space="0" w:color="auto"/>
          </w:divBdr>
        </w:div>
        <w:div w:id="1072778668">
          <w:marLeft w:val="547"/>
          <w:marRight w:val="0"/>
          <w:marTop w:val="154"/>
          <w:marBottom w:val="0"/>
          <w:divBdr>
            <w:top w:val="none" w:sz="0" w:space="0" w:color="auto"/>
            <w:left w:val="none" w:sz="0" w:space="0" w:color="auto"/>
            <w:bottom w:val="none" w:sz="0" w:space="0" w:color="auto"/>
            <w:right w:val="none" w:sz="0" w:space="0" w:color="auto"/>
          </w:divBdr>
        </w:div>
        <w:div w:id="1081827467">
          <w:marLeft w:val="547"/>
          <w:marRight w:val="0"/>
          <w:marTop w:val="154"/>
          <w:marBottom w:val="0"/>
          <w:divBdr>
            <w:top w:val="none" w:sz="0" w:space="0" w:color="auto"/>
            <w:left w:val="none" w:sz="0" w:space="0" w:color="auto"/>
            <w:bottom w:val="none" w:sz="0" w:space="0" w:color="auto"/>
            <w:right w:val="none" w:sz="0" w:space="0" w:color="auto"/>
          </w:divBdr>
        </w:div>
      </w:divsChild>
    </w:div>
    <w:div w:id="1536583044">
      <w:bodyDiv w:val="1"/>
      <w:marLeft w:val="0"/>
      <w:marRight w:val="0"/>
      <w:marTop w:val="0"/>
      <w:marBottom w:val="0"/>
      <w:divBdr>
        <w:top w:val="none" w:sz="0" w:space="0" w:color="auto"/>
        <w:left w:val="none" w:sz="0" w:space="0" w:color="auto"/>
        <w:bottom w:val="none" w:sz="0" w:space="0" w:color="auto"/>
        <w:right w:val="none" w:sz="0" w:space="0" w:color="auto"/>
      </w:divBdr>
    </w:div>
    <w:div w:id="1550268213">
      <w:bodyDiv w:val="1"/>
      <w:marLeft w:val="0"/>
      <w:marRight w:val="0"/>
      <w:marTop w:val="0"/>
      <w:marBottom w:val="0"/>
      <w:divBdr>
        <w:top w:val="none" w:sz="0" w:space="0" w:color="auto"/>
        <w:left w:val="none" w:sz="0" w:space="0" w:color="auto"/>
        <w:bottom w:val="none" w:sz="0" w:space="0" w:color="auto"/>
        <w:right w:val="none" w:sz="0" w:space="0" w:color="auto"/>
      </w:divBdr>
      <w:divsChild>
        <w:div w:id="691763783">
          <w:marLeft w:val="547"/>
          <w:marRight w:val="0"/>
          <w:marTop w:val="154"/>
          <w:marBottom w:val="0"/>
          <w:divBdr>
            <w:top w:val="none" w:sz="0" w:space="0" w:color="auto"/>
            <w:left w:val="none" w:sz="0" w:space="0" w:color="auto"/>
            <w:bottom w:val="none" w:sz="0" w:space="0" w:color="auto"/>
            <w:right w:val="none" w:sz="0" w:space="0" w:color="auto"/>
          </w:divBdr>
        </w:div>
        <w:div w:id="1658265345">
          <w:marLeft w:val="547"/>
          <w:marRight w:val="0"/>
          <w:marTop w:val="154"/>
          <w:marBottom w:val="0"/>
          <w:divBdr>
            <w:top w:val="none" w:sz="0" w:space="0" w:color="auto"/>
            <w:left w:val="none" w:sz="0" w:space="0" w:color="auto"/>
            <w:bottom w:val="none" w:sz="0" w:space="0" w:color="auto"/>
            <w:right w:val="none" w:sz="0" w:space="0" w:color="auto"/>
          </w:divBdr>
        </w:div>
        <w:div w:id="1901668512">
          <w:marLeft w:val="547"/>
          <w:marRight w:val="0"/>
          <w:marTop w:val="154"/>
          <w:marBottom w:val="0"/>
          <w:divBdr>
            <w:top w:val="none" w:sz="0" w:space="0" w:color="auto"/>
            <w:left w:val="none" w:sz="0" w:space="0" w:color="auto"/>
            <w:bottom w:val="none" w:sz="0" w:space="0" w:color="auto"/>
            <w:right w:val="none" w:sz="0" w:space="0" w:color="auto"/>
          </w:divBdr>
        </w:div>
        <w:div w:id="1992175413">
          <w:marLeft w:val="547"/>
          <w:marRight w:val="0"/>
          <w:marTop w:val="154"/>
          <w:marBottom w:val="0"/>
          <w:divBdr>
            <w:top w:val="none" w:sz="0" w:space="0" w:color="auto"/>
            <w:left w:val="none" w:sz="0" w:space="0" w:color="auto"/>
            <w:bottom w:val="none" w:sz="0" w:space="0" w:color="auto"/>
            <w:right w:val="none" w:sz="0" w:space="0" w:color="auto"/>
          </w:divBdr>
        </w:div>
        <w:div w:id="2125272852">
          <w:marLeft w:val="547"/>
          <w:marRight w:val="0"/>
          <w:marTop w:val="154"/>
          <w:marBottom w:val="0"/>
          <w:divBdr>
            <w:top w:val="none" w:sz="0" w:space="0" w:color="auto"/>
            <w:left w:val="none" w:sz="0" w:space="0" w:color="auto"/>
            <w:bottom w:val="none" w:sz="0" w:space="0" w:color="auto"/>
            <w:right w:val="none" w:sz="0" w:space="0" w:color="auto"/>
          </w:divBdr>
        </w:div>
      </w:divsChild>
    </w:div>
    <w:div w:id="1577976281">
      <w:bodyDiv w:val="1"/>
      <w:marLeft w:val="0"/>
      <w:marRight w:val="0"/>
      <w:marTop w:val="0"/>
      <w:marBottom w:val="0"/>
      <w:divBdr>
        <w:top w:val="none" w:sz="0" w:space="0" w:color="auto"/>
        <w:left w:val="none" w:sz="0" w:space="0" w:color="auto"/>
        <w:bottom w:val="none" w:sz="0" w:space="0" w:color="auto"/>
        <w:right w:val="none" w:sz="0" w:space="0" w:color="auto"/>
      </w:divBdr>
    </w:div>
    <w:div w:id="1585140614">
      <w:bodyDiv w:val="1"/>
      <w:marLeft w:val="0"/>
      <w:marRight w:val="0"/>
      <w:marTop w:val="0"/>
      <w:marBottom w:val="0"/>
      <w:divBdr>
        <w:top w:val="none" w:sz="0" w:space="0" w:color="auto"/>
        <w:left w:val="none" w:sz="0" w:space="0" w:color="auto"/>
        <w:bottom w:val="none" w:sz="0" w:space="0" w:color="auto"/>
        <w:right w:val="none" w:sz="0" w:space="0" w:color="auto"/>
      </w:divBdr>
    </w:div>
    <w:div w:id="1596287663">
      <w:bodyDiv w:val="1"/>
      <w:marLeft w:val="0"/>
      <w:marRight w:val="0"/>
      <w:marTop w:val="0"/>
      <w:marBottom w:val="0"/>
      <w:divBdr>
        <w:top w:val="none" w:sz="0" w:space="0" w:color="auto"/>
        <w:left w:val="none" w:sz="0" w:space="0" w:color="auto"/>
        <w:bottom w:val="none" w:sz="0" w:space="0" w:color="auto"/>
        <w:right w:val="none" w:sz="0" w:space="0" w:color="auto"/>
      </w:divBdr>
    </w:div>
    <w:div w:id="1600602863">
      <w:bodyDiv w:val="1"/>
      <w:marLeft w:val="0"/>
      <w:marRight w:val="0"/>
      <w:marTop w:val="0"/>
      <w:marBottom w:val="0"/>
      <w:divBdr>
        <w:top w:val="none" w:sz="0" w:space="0" w:color="auto"/>
        <w:left w:val="none" w:sz="0" w:space="0" w:color="auto"/>
        <w:bottom w:val="none" w:sz="0" w:space="0" w:color="auto"/>
        <w:right w:val="none" w:sz="0" w:space="0" w:color="auto"/>
      </w:divBdr>
    </w:div>
    <w:div w:id="1604337476">
      <w:bodyDiv w:val="1"/>
      <w:marLeft w:val="0"/>
      <w:marRight w:val="0"/>
      <w:marTop w:val="0"/>
      <w:marBottom w:val="0"/>
      <w:divBdr>
        <w:top w:val="none" w:sz="0" w:space="0" w:color="auto"/>
        <w:left w:val="none" w:sz="0" w:space="0" w:color="auto"/>
        <w:bottom w:val="none" w:sz="0" w:space="0" w:color="auto"/>
        <w:right w:val="none" w:sz="0" w:space="0" w:color="auto"/>
      </w:divBdr>
    </w:div>
    <w:div w:id="1627080733">
      <w:bodyDiv w:val="1"/>
      <w:marLeft w:val="0"/>
      <w:marRight w:val="0"/>
      <w:marTop w:val="0"/>
      <w:marBottom w:val="0"/>
      <w:divBdr>
        <w:top w:val="none" w:sz="0" w:space="0" w:color="auto"/>
        <w:left w:val="none" w:sz="0" w:space="0" w:color="auto"/>
        <w:bottom w:val="none" w:sz="0" w:space="0" w:color="auto"/>
        <w:right w:val="none" w:sz="0" w:space="0" w:color="auto"/>
      </w:divBdr>
    </w:div>
    <w:div w:id="1633243300">
      <w:bodyDiv w:val="1"/>
      <w:marLeft w:val="0"/>
      <w:marRight w:val="0"/>
      <w:marTop w:val="0"/>
      <w:marBottom w:val="0"/>
      <w:divBdr>
        <w:top w:val="none" w:sz="0" w:space="0" w:color="auto"/>
        <w:left w:val="none" w:sz="0" w:space="0" w:color="auto"/>
        <w:bottom w:val="none" w:sz="0" w:space="0" w:color="auto"/>
        <w:right w:val="none" w:sz="0" w:space="0" w:color="auto"/>
      </w:divBdr>
      <w:divsChild>
        <w:div w:id="1774474902">
          <w:marLeft w:val="547"/>
          <w:marRight w:val="0"/>
          <w:marTop w:val="0"/>
          <w:marBottom w:val="0"/>
          <w:divBdr>
            <w:top w:val="none" w:sz="0" w:space="0" w:color="auto"/>
            <w:left w:val="none" w:sz="0" w:space="0" w:color="auto"/>
            <w:bottom w:val="none" w:sz="0" w:space="0" w:color="auto"/>
            <w:right w:val="none" w:sz="0" w:space="0" w:color="auto"/>
          </w:divBdr>
        </w:div>
      </w:divsChild>
    </w:div>
    <w:div w:id="1653219556">
      <w:bodyDiv w:val="1"/>
      <w:marLeft w:val="0"/>
      <w:marRight w:val="0"/>
      <w:marTop w:val="0"/>
      <w:marBottom w:val="0"/>
      <w:divBdr>
        <w:top w:val="none" w:sz="0" w:space="0" w:color="auto"/>
        <w:left w:val="none" w:sz="0" w:space="0" w:color="auto"/>
        <w:bottom w:val="none" w:sz="0" w:space="0" w:color="auto"/>
        <w:right w:val="none" w:sz="0" w:space="0" w:color="auto"/>
      </w:divBdr>
    </w:div>
    <w:div w:id="1729105854">
      <w:bodyDiv w:val="1"/>
      <w:marLeft w:val="0"/>
      <w:marRight w:val="0"/>
      <w:marTop w:val="0"/>
      <w:marBottom w:val="0"/>
      <w:divBdr>
        <w:top w:val="none" w:sz="0" w:space="0" w:color="auto"/>
        <w:left w:val="none" w:sz="0" w:space="0" w:color="auto"/>
        <w:bottom w:val="none" w:sz="0" w:space="0" w:color="auto"/>
        <w:right w:val="none" w:sz="0" w:space="0" w:color="auto"/>
      </w:divBdr>
    </w:div>
    <w:div w:id="1776049409">
      <w:bodyDiv w:val="1"/>
      <w:marLeft w:val="0"/>
      <w:marRight w:val="0"/>
      <w:marTop w:val="0"/>
      <w:marBottom w:val="0"/>
      <w:divBdr>
        <w:top w:val="none" w:sz="0" w:space="0" w:color="auto"/>
        <w:left w:val="none" w:sz="0" w:space="0" w:color="auto"/>
        <w:bottom w:val="none" w:sz="0" w:space="0" w:color="auto"/>
        <w:right w:val="none" w:sz="0" w:space="0" w:color="auto"/>
      </w:divBdr>
    </w:div>
    <w:div w:id="1782142477">
      <w:bodyDiv w:val="1"/>
      <w:marLeft w:val="0"/>
      <w:marRight w:val="0"/>
      <w:marTop w:val="0"/>
      <w:marBottom w:val="0"/>
      <w:divBdr>
        <w:top w:val="none" w:sz="0" w:space="0" w:color="auto"/>
        <w:left w:val="none" w:sz="0" w:space="0" w:color="auto"/>
        <w:bottom w:val="none" w:sz="0" w:space="0" w:color="auto"/>
        <w:right w:val="none" w:sz="0" w:space="0" w:color="auto"/>
      </w:divBdr>
      <w:divsChild>
        <w:div w:id="672149411">
          <w:marLeft w:val="547"/>
          <w:marRight w:val="0"/>
          <w:marTop w:val="154"/>
          <w:marBottom w:val="0"/>
          <w:divBdr>
            <w:top w:val="none" w:sz="0" w:space="0" w:color="auto"/>
            <w:left w:val="none" w:sz="0" w:space="0" w:color="auto"/>
            <w:bottom w:val="none" w:sz="0" w:space="0" w:color="auto"/>
            <w:right w:val="none" w:sz="0" w:space="0" w:color="auto"/>
          </w:divBdr>
        </w:div>
        <w:div w:id="1905529018">
          <w:marLeft w:val="547"/>
          <w:marRight w:val="0"/>
          <w:marTop w:val="154"/>
          <w:marBottom w:val="0"/>
          <w:divBdr>
            <w:top w:val="none" w:sz="0" w:space="0" w:color="auto"/>
            <w:left w:val="none" w:sz="0" w:space="0" w:color="auto"/>
            <w:bottom w:val="none" w:sz="0" w:space="0" w:color="auto"/>
            <w:right w:val="none" w:sz="0" w:space="0" w:color="auto"/>
          </w:divBdr>
        </w:div>
        <w:div w:id="1185708066">
          <w:marLeft w:val="547"/>
          <w:marRight w:val="0"/>
          <w:marTop w:val="154"/>
          <w:marBottom w:val="0"/>
          <w:divBdr>
            <w:top w:val="none" w:sz="0" w:space="0" w:color="auto"/>
            <w:left w:val="none" w:sz="0" w:space="0" w:color="auto"/>
            <w:bottom w:val="none" w:sz="0" w:space="0" w:color="auto"/>
            <w:right w:val="none" w:sz="0" w:space="0" w:color="auto"/>
          </w:divBdr>
        </w:div>
      </w:divsChild>
    </w:div>
    <w:div w:id="1790393836">
      <w:bodyDiv w:val="1"/>
      <w:marLeft w:val="0"/>
      <w:marRight w:val="0"/>
      <w:marTop w:val="0"/>
      <w:marBottom w:val="0"/>
      <w:divBdr>
        <w:top w:val="none" w:sz="0" w:space="0" w:color="auto"/>
        <w:left w:val="none" w:sz="0" w:space="0" w:color="auto"/>
        <w:bottom w:val="none" w:sz="0" w:space="0" w:color="auto"/>
        <w:right w:val="none" w:sz="0" w:space="0" w:color="auto"/>
      </w:divBdr>
      <w:divsChild>
        <w:div w:id="28535738">
          <w:marLeft w:val="144"/>
          <w:marRight w:val="0"/>
          <w:marTop w:val="154"/>
          <w:marBottom w:val="0"/>
          <w:divBdr>
            <w:top w:val="none" w:sz="0" w:space="0" w:color="auto"/>
            <w:left w:val="none" w:sz="0" w:space="0" w:color="auto"/>
            <w:bottom w:val="none" w:sz="0" w:space="0" w:color="auto"/>
            <w:right w:val="none" w:sz="0" w:space="0" w:color="auto"/>
          </w:divBdr>
        </w:div>
        <w:div w:id="1353917915">
          <w:marLeft w:val="144"/>
          <w:marRight w:val="0"/>
          <w:marTop w:val="154"/>
          <w:marBottom w:val="0"/>
          <w:divBdr>
            <w:top w:val="none" w:sz="0" w:space="0" w:color="auto"/>
            <w:left w:val="none" w:sz="0" w:space="0" w:color="auto"/>
            <w:bottom w:val="none" w:sz="0" w:space="0" w:color="auto"/>
            <w:right w:val="none" w:sz="0" w:space="0" w:color="auto"/>
          </w:divBdr>
        </w:div>
        <w:div w:id="1860200190">
          <w:marLeft w:val="144"/>
          <w:marRight w:val="0"/>
          <w:marTop w:val="154"/>
          <w:marBottom w:val="0"/>
          <w:divBdr>
            <w:top w:val="none" w:sz="0" w:space="0" w:color="auto"/>
            <w:left w:val="none" w:sz="0" w:space="0" w:color="auto"/>
            <w:bottom w:val="none" w:sz="0" w:space="0" w:color="auto"/>
            <w:right w:val="none" w:sz="0" w:space="0" w:color="auto"/>
          </w:divBdr>
        </w:div>
        <w:div w:id="227231188">
          <w:marLeft w:val="547"/>
          <w:marRight w:val="0"/>
          <w:marTop w:val="134"/>
          <w:marBottom w:val="0"/>
          <w:divBdr>
            <w:top w:val="none" w:sz="0" w:space="0" w:color="auto"/>
            <w:left w:val="none" w:sz="0" w:space="0" w:color="auto"/>
            <w:bottom w:val="none" w:sz="0" w:space="0" w:color="auto"/>
            <w:right w:val="none" w:sz="0" w:space="0" w:color="auto"/>
          </w:divBdr>
        </w:div>
        <w:div w:id="2073698427">
          <w:marLeft w:val="547"/>
          <w:marRight w:val="0"/>
          <w:marTop w:val="134"/>
          <w:marBottom w:val="0"/>
          <w:divBdr>
            <w:top w:val="none" w:sz="0" w:space="0" w:color="auto"/>
            <w:left w:val="none" w:sz="0" w:space="0" w:color="auto"/>
            <w:bottom w:val="none" w:sz="0" w:space="0" w:color="auto"/>
            <w:right w:val="none" w:sz="0" w:space="0" w:color="auto"/>
          </w:divBdr>
        </w:div>
        <w:div w:id="1411805265">
          <w:marLeft w:val="547"/>
          <w:marRight w:val="0"/>
          <w:marTop w:val="134"/>
          <w:marBottom w:val="0"/>
          <w:divBdr>
            <w:top w:val="none" w:sz="0" w:space="0" w:color="auto"/>
            <w:left w:val="none" w:sz="0" w:space="0" w:color="auto"/>
            <w:bottom w:val="none" w:sz="0" w:space="0" w:color="auto"/>
            <w:right w:val="none" w:sz="0" w:space="0" w:color="auto"/>
          </w:divBdr>
        </w:div>
      </w:divsChild>
    </w:div>
    <w:div w:id="1819494774">
      <w:bodyDiv w:val="1"/>
      <w:marLeft w:val="0"/>
      <w:marRight w:val="0"/>
      <w:marTop w:val="0"/>
      <w:marBottom w:val="0"/>
      <w:divBdr>
        <w:top w:val="none" w:sz="0" w:space="0" w:color="auto"/>
        <w:left w:val="none" w:sz="0" w:space="0" w:color="auto"/>
        <w:bottom w:val="none" w:sz="0" w:space="0" w:color="auto"/>
        <w:right w:val="none" w:sz="0" w:space="0" w:color="auto"/>
      </w:divBdr>
    </w:div>
    <w:div w:id="1842771269">
      <w:bodyDiv w:val="1"/>
      <w:marLeft w:val="0"/>
      <w:marRight w:val="0"/>
      <w:marTop w:val="0"/>
      <w:marBottom w:val="0"/>
      <w:divBdr>
        <w:top w:val="none" w:sz="0" w:space="0" w:color="auto"/>
        <w:left w:val="none" w:sz="0" w:space="0" w:color="auto"/>
        <w:bottom w:val="none" w:sz="0" w:space="0" w:color="auto"/>
        <w:right w:val="none" w:sz="0" w:space="0" w:color="auto"/>
      </w:divBdr>
    </w:div>
    <w:div w:id="1861359556">
      <w:bodyDiv w:val="1"/>
      <w:marLeft w:val="0"/>
      <w:marRight w:val="0"/>
      <w:marTop w:val="0"/>
      <w:marBottom w:val="0"/>
      <w:divBdr>
        <w:top w:val="none" w:sz="0" w:space="0" w:color="auto"/>
        <w:left w:val="none" w:sz="0" w:space="0" w:color="auto"/>
        <w:bottom w:val="none" w:sz="0" w:space="0" w:color="auto"/>
        <w:right w:val="none" w:sz="0" w:space="0" w:color="auto"/>
      </w:divBdr>
    </w:div>
    <w:div w:id="1864979965">
      <w:bodyDiv w:val="1"/>
      <w:marLeft w:val="0"/>
      <w:marRight w:val="0"/>
      <w:marTop w:val="0"/>
      <w:marBottom w:val="0"/>
      <w:divBdr>
        <w:top w:val="none" w:sz="0" w:space="0" w:color="auto"/>
        <w:left w:val="none" w:sz="0" w:space="0" w:color="auto"/>
        <w:bottom w:val="none" w:sz="0" w:space="0" w:color="auto"/>
        <w:right w:val="none" w:sz="0" w:space="0" w:color="auto"/>
      </w:divBdr>
    </w:div>
    <w:div w:id="1929534177">
      <w:bodyDiv w:val="1"/>
      <w:marLeft w:val="0"/>
      <w:marRight w:val="0"/>
      <w:marTop w:val="0"/>
      <w:marBottom w:val="0"/>
      <w:divBdr>
        <w:top w:val="none" w:sz="0" w:space="0" w:color="auto"/>
        <w:left w:val="none" w:sz="0" w:space="0" w:color="auto"/>
        <w:bottom w:val="none" w:sz="0" w:space="0" w:color="auto"/>
        <w:right w:val="none" w:sz="0" w:space="0" w:color="auto"/>
      </w:divBdr>
    </w:div>
    <w:div w:id="1944461162">
      <w:bodyDiv w:val="1"/>
      <w:marLeft w:val="0"/>
      <w:marRight w:val="0"/>
      <w:marTop w:val="0"/>
      <w:marBottom w:val="0"/>
      <w:divBdr>
        <w:top w:val="none" w:sz="0" w:space="0" w:color="auto"/>
        <w:left w:val="none" w:sz="0" w:space="0" w:color="auto"/>
        <w:bottom w:val="none" w:sz="0" w:space="0" w:color="auto"/>
        <w:right w:val="none" w:sz="0" w:space="0" w:color="auto"/>
      </w:divBdr>
    </w:div>
    <w:div w:id="1963925726">
      <w:bodyDiv w:val="1"/>
      <w:marLeft w:val="0"/>
      <w:marRight w:val="0"/>
      <w:marTop w:val="0"/>
      <w:marBottom w:val="0"/>
      <w:divBdr>
        <w:top w:val="none" w:sz="0" w:space="0" w:color="auto"/>
        <w:left w:val="none" w:sz="0" w:space="0" w:color="auto"/>
        <w:bottom w:val="none" w:sz="0" w:space="0" w:color="auto"/>
        <w:right w:val="none" w:sz="0" w:space="0" w:color="auto"/>
      </w:divBdr>
    </w:div>
    <w:div w:id="1979214327">
      <w:bodyDiv w:val="1"/>
      <w:marLeft w:val="0"/>
      <w:marRight w:val="0"/>
      <w:marTop w:val="0"/>
      <w:marBottom w:val="0"/>
      <w:divBdr>
        <w:top w:val="none" w:sz="0" w:space="0" w:color="auto"/>
        <w:left w:val="none" w:sz="0" w:space="0" w:color="auto"/>
        <w:bottom w:val="none" w:sz="0" w:space="0" w:color="auto"/>
        <w:right w:val="none" w:sz="0" w:space="0" w:color="auto"/>
      </w:divBdr>
    </w:div>
    <w:div w:id="1983928207">
      <w:bodyDiv w:val="1"/>
      <w:marLeft w:val="0"/>
      <w:marRight w:val="0"/>
      <w:marTop w:val="0"/>
      <w:marBottom w:val="0"/>
      <w:divBdr>
        <w:top w:val="none" w:sz="0" w:space="0" w:color="auto"/>
        <w:left w:val="none" w:sz="0" w:space="0" w:color="auto"/>
        <w:bottom w:val="none" w:sz="0" w:space="0" w:color="auto"/>
        <w:right w:val="none" w:sz="0" w:space="0" w:color="auto"/>
      </w:divBdr>
      <w:divsChild>
        <w:div w:id="1884827567">
          <w:marLeft w:val="547"/>
          <w:marRight w:val="0"/>
          <w:marTop w:val="154"/>
          <w:marBottom w:val="0"/>
          <w:divBdr>
            <w:top w:val="none" w:sz="0" w:space="0" w:color="auto"/>
            <w:left w:val="none" w:sz="0" w:space="0" w:color="auto"/>
            <w:bottom w:val="none" w:sz="0" w:space="0" w:color="auto"/>
            <w:right w:val="none" w:sz="0" w:space="0" w:color="auto"/>
          </w:divBdr>
        </w:div>
        <w:div w:id="1886791369">
          <w:marLeft w:val="547"/>
          <w:marRight w:val="0"/>
          <w:marTop w:val="154"/>
          <w:marBottom w:val="0"/>
          <w:divBdr>
            <w:top w:val="none" w:sz="0" w:space="0" w:color="auto"/>
            <w:left w:val="none" w:sz="0" w:space="0" w:color="auto"/>
            <w:bottom w:val="none" w:sz="0" w:space="0" w:color="auto"/>
            <w:right w:val="none" w:sz="0" w:space="0" w:color="auto"/>
          </w:divBdr>
        </w:div>
        <w:div w:id="331760851">
          <w:marLeft w:val="547"/>
          <w:marRight w:val="0"/>
          <w:marTop w:val="154"/>
          <w:marBottom w:val="0"/>
          <w:divBdr>
            <w:top w:val="none" w:sz="0" w:space="0" w:color="auto"/>
            <w:left w:val="none" w:sz="0" w:space="0" w:color="auto"/>
            <w:bottom w:val="none" w:sz="0" w:space="0" w:color="auto"/>
            <w:right w:val="none" w:sz="0" w:space="0" w:color="auto"/>
          </w:divBdr>
        </w:div>
      </w:divsChild>
    </w:div>
    <w:div w:id="1985037572">
      <w:bodyDiv w:val="1"/>
      <w:marLeft w:val="0"/>
      <w:marRight w:val="0"/>
      <w:marTop w:val="0"/>
      <w:marBottom w:val="0"/>
      <w:divBdr>
        <w:top w:val="none" w:sz="0" w:space="0" w:color="auto"/>
        <w:left w:val="none" w:sz="0" w:space="0" w:color="auto"/>
        <w:bottom w:val="none" w:sz="0" w:space="0" w:color="auto"/>
        <w:right w:val="none" w:sz="0" w:space="0" w:color="auto"/>
      </w:divBdr>
      <w:divsChild>
        <w:div w:id="1610888806">
          <w:marLeft w:val="547"/>
          <w:marRight w:val="0"/>
          <w:marTop w:val="154"/>
          <w:marBottom w:val="0"/>
          <w:divBdr>
            <w:top w:val="none" w:sz="0" w:space="0" w:color="auto"/>
            <w:left w:val="none" w:sz="0" w:space="0" w:color="auto"/>
            <w:bottom w:val="none" w:sz="0" w:space="0" w:color="auto"/>
            <w:right w:val="none" w:sz="0" w:space="0" w:color="auto"/>
          </w:divBdr>
        </w:div>
      </w:divsChild>
    </w:div>
    <w:div w:id="2004355329">
      <w:bodyDiv w:val="1"/>
      <w:marLeft w:val="0"/>
      <w:marRight w:val="0"/>
      <w:marTop w:val="0"/>
      <w:marBottom w:val="0"/>
      <w:divBdr>
        <w:top w:val="none" w:sz="0" w:space="0" w:color="auto"/>
        <w:left w:val="none" w:sz="0" w:space="0" w:color="auto"/>
        <w:bottom w:val="none" w:sz="0" w:space="0" w:color="auto"/>
        <w:right w:val="none" w:sz="0" w:space="0" w:color="auto"/>
      </w:divBdr>
      <w:divsChild>
        <w:div w:id="1438057975">
          <w:marLeft w:val="547"/>
          <w:marRight w:val="0"/>
          <w:marTop w:val="134"/>
          <w:marBottom w:val="0"/>
          <w:divBdr>
            <w:top w:val="none" w:sz="0" w:space="0" w:color="auto"/>
            <w:left w:val="none" w:sz="0" w:space="0" w:color="auto"/>
            <w:bottom w:val="none" w:sz="0" w:space="0" w:color="auto"/>
            <w:right w:val="none" w:sz="0" w:space="0" w:color="auto"/>
          </w:divBdr>
        </w:div>
        <w:div w:id="1186015174">
          <w:marLeft w:val="547"/>
          <w:marRight w:val="0"/>
          <w:marTop w:val="134"/>
          <w:marBottom w:val="0"/>
          <w:divBdr>
            <w:top w:val="none" w:sz="0" w:space="0" w:color="auto"/>
            <w:left w:val="none" w:sz="0" w:space="0" w:color="auto"/>
            <w:bottom w:val="none" w:sz="0" w:space="0" w:color="auto"/>
            <w:right w:val="none" w:sz="0" w:space="0" w:color="auto"/>
          </w:divBdr>
        </w:div>
      </w:divsChild>
    </w:div>
    <w:div w:id="2013332285">
      <w:bodyDiv w:val="1"/>
      <w:marLeft w:val="0"/>
      <w:marRight w:val="0"/>
      <w:marTop w:val="0"/>
      <w:marBottom w:val="0"/>
      <w:divBdr>
        <w:top w:val="none" w:sz="0" w:space="0" w:color="auto"/>
        <w:left w:val="none" w:sz="0" w:space="0" w:color="auto"/>
        <w:bottom w:val="none" w:sz="0" w:space="0" w:color="auto"/>
        <w:right w:val="none" w:sz="0" w:space="0" w:color="auto"/>
      </w:divBdr>
      <w:divsChild>
        <w:div w:id="1844929319">
          <w:marLeft w:val="547"/>
          <w:marRight w:val="0"/>
          <w:marTop w:val="115"/>
          <w:marBottom w:val="0"/>
          <w:divBdr>
            <w:top w:val="none" w:sz="0" w:space="0" w:color="auto"/>
            <w:left w:val="none" w:sz="0" w:space="0" w:color="auto"/>
            <w:bottom w:val="none" w:sz="0" w:space="0" w:color="auto"/>
            <w:right w:val="none" w:sz="0" w:space="0" w:color="auto"/>
          </w:divBdr>
        </w:div>
        <w:div w:id="1127046946">
          <w:marLeft w:val="547"/>
          <w:marRight w:val="0"/>
          <w:marTop w:val="115"/>
          <w:marBottom w:val="0"/>
          <w:divBdr>
            <w:top w:val="none" w:sz="0" w:space="0" w:color="auto"/>
            <w:left w:val="none" w:sz="0" w:space="0" w:color="auto"/>
            <w:bottom w:val="none" w:sz="0" w:space="0" w:color="auto"/>
            <w:right w:val="none" w:sz="0" w:space="0" w:color="auto"/>
          </w:divBdr>
        </w:div>
        <w:div w:id="1501971687">
          <w:marLeft w:val="547"/>
          <w:marRight w:val="0"/>
          <w:marTop w:val="96"/>
          <w:marBottom w:val="0"/>
          <w:divBdr>
            <w:top w:val="none" w:sz="0" w:space="0" w:color="auto"/>
            <w:left w:val="none" w:sz="0" w:space="0" w:color="auto"/>
            <w:bottom w:val="none" w:sz="0" w:space="0" w:color="auto"/>
            <w:right w:val="none" w:sz="0" w:space="0" w:color="auto"/>
          </w:divBdr>
        </w:div>
      </w:divsChild>
    </w:div>
    <w:div w:id="2028863999">
      <w:bodyDiv w:val="1"/>
      <w:marLeft w:val="0"/>
      <w:marRight w:val="0"/>
      <w:marTop w:val="0"/>
      <w:marBottom w:val="0"/>
      <w:divBdr>
        <w:top w:val="none" w:sz="0" w:space="0" w:color="auto"/>
        <w:left w:val="none" w:sz="0" w:space="0" w:color="auto"/>
        <w:bottom w:val="none" w:sz="0" w:space="0" w:color="auto"/>
        <w:right w:val="none" w:sz="0" w:space="0" w:color="auto"/>
      </w:divBdr>
    </w:div>
    <w:div w:id="2034644139">
      <w:bodyDiv w:val="1"/>
      <w:marLeft w:val="0"/>
      <w:marRight w:val="0"/>
      <w:marTop w:val="0"/>
      <w:marBottom w:val="0"/>
      <w:divBdr>
        <w:top w:val="none" w:sz="0" w:space="0" w:color="auto"/>
        <w:left w:val="none" w:sz="0" w:space="0" w:color="auto"/>
        <w:bottom w:val="none" w:sz="0" w:space="0" w:color="auto"/>
        <w:right w:val="none" w:sz="0" w:space="0" w:color="auto"/>
      </w:divBdr>
      <w:divsChild>
        <w:div w:id="1113398779">
          <w:marLeft w:val="547"/>
          <w:marRight w:val="0"/>
          <w:marTop w:val="134"/>
          <w:marBottom w:val="0"/>
          <w:divBdr>
            <w:top w:val="none" w:sz="0" w:space="0" w:color="auto"/>
            <w:left w:val="none" w:sz="0" w:space="0" w:color="auto"/>
            <w:bottom w:val="none" w:sz="0" w:space="0" w:color="auto"/>
            <w:right w:val="none" w:sz="0" w:space="0" w:color="auto"/>
          </w:divBdr>
        </w:div>
        <w:div w:id="1094283608">
          <w:marLeft w:val="547"/>
          <w:marRight w:val="0"/>
          <w:marTop w:val="134"/>
          <w:marBottom w:val="0"/>
          <w:divBdr>
            <w:top w:val="none" w:sz="0" w:space="0" w:color="auto"/>
            <w:left w:val="none" w:sz="0" w:space="0" w:color="auto"/>
            <w:bottom w:val="none" w:sz="0" w:space="0" w:color="auto"/>
            <w:right w:val="none" w:sz="0" w:space="0" w:color="auto"/>
          </w:divBdr>
        </w:div>
      </w:divsChild>
    </w:div>
    <w:div w:id="2076463031">
      <w:bodyDiv w:val="1"/>
      <w:marLeft w:val="0"/>
      <w:marRight w:val="0"/>
      <w:marTop w:val="0"/>
      <w:marBottom w:val="0"/>
      <w:divBdr>
        <w:top w:val="none" w:sz="0" w:space="0" w:color="auto"/>
        <w:left w:val="none" w:sz="0" w:space="0" w:color="auto"/>
        <w:bottom w:val="none" w:sz="0" w:space="0" w:color="auto"/>
        <w:right w:val="none" w:sz="0" w:space="0" w:color="auto"/>
      </w:divBdr>
    </w:div>
    <w:div w:id="2085642673">
      <w:bodyDiv w:val="1"/>
      <w:marLeft w:val="0"/>
      <w:marRight w:val="0"/>
      <w:marTop w:val="0"/>
      <w:marBottom w:val="0"/>
      <w:divBdr>
        <w:top w:val="none" w:sz="0" w:space="0" w:color="auto"/>
        <w:left w:val="none" w:sz="0" w:space="0" w:color="auto"/>
        <w:bottom w:val="none" w:sz="0" w:space="0" w:color="auto"/>
        <w:right w:val="none" w:sz="0" w:space="0" w:color="auto"/>
      </w:divBdr>
      <w:divsChild>
        <w:div w:id="952856539">
          <w:marLeft w:val="547"/>
          <w:marRight w:val="0"/>
          <w:marTop w:val="154"/>
          <w:marBottom w:val="0"/>
          <w:divBdr>
            <w:top w:val="none" w:sz="0" w:space="0" w:color="auto"/>
            <w:left w:val="none" w:sz="0" w:space="0" w:color="auto"/>
            <w:bottom w:val="none" w:sz="0" w:space="0" w:color="auto"/>
            <w:right w:val="none" w:sz="0" w:space="0" w:color="auto"/>
          </w:divBdr>
        </w:div>
        <w:div w:id="1786608241">
          <w:marLeft w:val="547"/>
          <w:marRight w:val="0"/>
          <w:marTop w:val="154"/>
          <w:marBottom w:val="0"/>
          <w:divBdr>
            <w:top w:val="none" w:sz="0" w:space="0" w:color="auto"/>
            <w:left w:val="none" w:sz="0" w:space="0" w:color="auto"/>
            <w:bottom w:val="none" w:sz="0" w:space="0" w:color="auto"/>
            <w:right w:val="none" w:sz="0" w:space="0" w:color="auto"/>
          </w:divBdr>
        </w:div>
      </w:divsChild>
    </w:div>
    <w:div w:id="2106264618">
      <w:bodyDiv w:val="1"/>
      <w:marLeft w:val="0"/>
      <w:marRight w:val="0"/>
      <w:marTop w:val="0"/>
      <w:marBottom w:val="0"/>
      <w:divBdr>
        <w:top w:val="none" w:sz="0" w:space="0" w:color="auto"/>
        <w:left w:val="none" w:sz="0" w:space="0" w:color="auto"/>
        <w:bottom w:val="none" w:sz="0" w:space="0" w:color="auto"/>
        <w:right w:val="none" w:sz="0" w:space="0" w:color="auto"/>
      </w:divBdr>
    </w:div>
    <w:div w:id="21227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edomosti.ru/technology/characters/2019/11/20/816781-gendirektor-headhunter" TargetMode="External"/><Relationship Id="rId18" Type="http://schemas.openxmlformats.org/officeDocument/2006/relationships/hyperlink" Target="http://www.spark-interfax.ru/" TargetMode="External"/><Relationship Id="rId26" Type="http://schemas.openxmlformats.org/officeDocument/2006/relationships/hyperlink" Target="https://www.nytimes.com/2019/09/17/business/dealbook/wework-ipo.html" TargetMode="External"/><Relationship Id="rId3" Type="http://schemas.openxmlformats.org/officeDocument/2006/relationships/styles" Target="styles.xml"/><Relationship Id="rId21" Type="http://schemas.openxmlformats.org/officeDocument/2006/relationships/hyperlink" Target="https://www.vedomosti.ru/technology/articles/2019/04/01/797968-sberbank" TargetMode="External"/><Relationship Id="rId7" Type="http://schemas.openxmlformats.org/officeDocument/2006/relationships/endnotes" Target="endnotes.xml"/><Relationship Id="rId12" Type="http://schemas.openxmlformats.org/officeDocument/2006/relationships/hyperlink" Target="https://finzz.ru/metod-kapitalizacii-doxodov.html" TargetMode="External"/><Relationship Id="rId17" Type="http://schemas.openxmlformats.org/officeDocument/2006/relationships/hyperlink" Target="http://www.novatek.ru/ru/about/company/" TargetMode="External"/><Relationship Id="rId25" Type="http://schemas.openxmlformats.org/officeDocument/2006/relationships/hyperlink" Target="https://www.bloomberg.com/quote/HHR:US" TargetMode="External"/><Relationship Id="rId2" Type="http://schemas.openxmlformats.org/officeDocument/2006/relationships/numbering" Target="numbering.xml"/><Relationship Id="rId16" Type="http://schemas.openxmlformats.org/officeDocument/2006/relationships/hyperlink" Target="https://novoroskhp.ru/o-kompanii/biznes.html" TargetMode="External"/><Relationship Id="rId20" Type="http://schemas.openxmlformats.org/officeDocument/2006/relationships/hyperlink" Target="https://www.e-disclosure.ru/portal/event.aspx?EventId=DAAWzJ2LCkauJAezOjGWEA-B-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dviser.ru/index.php/%D0%9A%D0%BE%D0%BC%D0%BF%D0%B0%D0%BD%D0%B8%D1%8F:HeadHunter" TargetMode="External"/><Relationship Id="rId24" Type="http://schemas.openxmlformats.org/officeDocument/2006/relationships/hyperlink" Target="https://www.rbc.ru/technology_and_media/09/05/2019/5cd2b2f89a794749e03752b2" TargetMode="External"/><Relationship Id="rId5" Type="http://schemas.openxmlformats.org/officeDocument/2006/relationships/webSettings" Target="webSettings.xml"/><Relationship Id="rId15" Type="http://schemas.openxmlformats.org/officeDocument/2006/relationships/hyperlink" Target="http://www.alrosa.ru/&#1086;-&#1085;&#1072;&#1089;/" TargetMode="External"/><Relationship Id="rId23" Type="http://schemas.openxmlformats.org/officeDocument/2006/relationships/hyperlink" Target="https://www.eycom.ch/en/Publications/20130530-European-Solvency-2-survey/download"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incrussia.ru/fly/put-kareristov-istoriya-headhunter-ot-plotnika-do-ip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cron.ru/about-acron-group/about/" TargetMode="External"/><Relationship Id="rId22" Type="http://schemas.openxmlformats.org/officeDocument/2006/relationships/hyperlink" Target="https://www.agroinvestor.ru/analytics/article/33319-chto-poseem-obshchaya-posevnaya-ploshchad-v-2020-godu-sostavit-okolo-80-3-mln-gektarov/" TargetMode="External"/><Relationship Id="rId27"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alrosa.ru/&#1086;-&#1085;&#1072;&#1089;/" TargetMode="External"/><Relationship Id="rId13" Type="http://schemas.openxmlformats.org/officeDocument/2006/relationships/hyperlink" Target="http://pages.stern.nyu.edu/~adamodar/New_Home_Page/datafile/Betas.html" TargetMode="External"/><Relationship Id="rId3" Type="http://schemas.openxmlformats.org/officeDocument/2006/relationships/hyperlink" Target="https://cpa-russia.org/news-spo/1413/" TargetMode="External"/><Relationship Id="rId7" Type="http://schemas.openxmlformats.org/officeDocument/2006/relationships/hyperlink" Target="http://www.novatek.ru/ru/about/company/" TargetMode="External"/><Relationship Id="rId12" Type="http://schemas.openxmlformats.org/officeDocument/2006/relationships/hyperlink" Target="https://www.conomy.ru/stavki-gko" TargetMode="External"/><Relationship Id="rId2" Type="http://schemas.openxmlformats.org/officeDocument/2006/relationships/hyperlink" Target="http://www.consultant.ru/document/cons_doc_LAW_19586/e1cc1a2466ed060fcaf283706ea933816eed7ace/" TargetMode="External"/><Relationship Id="rId1" Type="http://schemas.openxmlformats.org/officeDocument/2006/relationships/hyperlink" Target="https://www.eycom.ch/en/Publications/20130530-European-Solvency-2-survey/download" TargetMode="External"/><Relationship Id="rId6" Type="http://schemas.openxmlformats.org/officeDocument/2006/relationships/hyperlink" Target="https://www.agroinvestor.ru/analytics/article/33319-chto-poseem-obshchaya-posevnaya-ploshchad-v-2020-godu-sostavit-okolo-80-3-mln-gektarov/" TargetMode="External"/><Relationship Id="rId11" Type="http://schemas.openxmlformats.org/officeDocument/2006/relationships/hyperlink" Target="https://www.vedomosti.ru/technology/articles/2019/05/09/801097-headhunter" TargetMode="External"/><Relationship Id="rId5" Type="http://schemas.openxmlformats.org/officeDocument/2006/relationships/hyperlink" Target="https://novoroskhp.ru/o-kompanii/biznes.html" TargetMode="External"/><Relationship Id="rId10" Type="http://schemas.openxmlformats.org/officeDocument/2006/relationships/hyperlink" Target="https://www.acron.ru/about-acron-group/about/" TargetMode="External"/><Relationship Id="rId4" Type="http://schemas.openxmlformats.org/officeDocument/2006/relationships/hyperlink" Target="https://novoroskhp.ru/o-kompanii/biznes.html" TargetMode="External"/><Relationship Id="rId9" Type="http://schemas.openxmlformats.org/officeDocument/2006/relationships/hyperlink" Target="https://www.e-disclosure.ru/portal/event.aspx?EventId=DAAWzJ2LCkauJAezOjGWEA-B-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3;&#1080;&#1085;&#1072;\Desktop\Sh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6A49-3F1B-4406-A813-60649103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Shablon</Template>
  <TotalTime>48</TotalTime>
  <Pages>74</Pages>
  <Words>20550</Words>
  <Characters>117141</Characters>
  <Application>Microsoft Office Word</Application>
  <DocSecurity>0</DocSecurity>
  <Lines>976</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19</cp:revision>
  <dcterms:created xsi:type="dcterms:W3CDTF">2020-05-31T09:16:00Z</dcterms:created>
  <dcterms:modified xsi:type="dcterms:W3CDTF">2020-05-31T10:22:00Z</dcterms:modified>
</cp:coreProperties>
</file>