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69097" w14:textId="77048424" w:rsidR="003901F9" w:rsidRDefault="003901F9" w:rsidP="007C3A31">
      <w:pPr>
        <w:ind w:firstLine="0"/>
      </w:pPr>
    </w:p>
    <w:p w14:paraId="07378EF8" w14:textId="77777777" w:rsidR="001B2158" w:rsidRPr="00F55676" w:rsidRDefault="001B2158" w:rsidP="00E610F2">
      <w:pPr>
        <w:ind w:firstLine="0"/>
        <w:jc w:val="center"/>
      </w:pPr>
      <w:bookmarkStart w:id="0" w:name="_Toc465931061"/>
      <w:bookmarkStart w:id="1" w:name="_Toc509855596"/>
      <w:bookmarkStart w:id="2" w:name="_Toc509855719"/>
      <w:r w:rsidRPr="00F55676">
        <w:t>Федеральное государственное образовательное учреждение</w:t>
      </w:r>
      <w:bookmarkEnd w:id="0"/>
      <w:bookmarkEnd w:id="1"/>
      <w:bookmarkEnd w:id="2"/>
    </w:p>
    <w:p w14:paraId="797478F6" w14:textId="77777777" w:rsidR="001B2158" w:rsidRPr="00F55676" w:rsidRDefault="001B2158" w:rsidP="00E610F2">
      <w:pPr>
        <w:ind w:firstLine="0"/>
        <w:jc w:val="center"/>
      </w:pPr>
      <w:bookmarkStart w:id="3" w:name="_Toc465931062"/>
      <w:bookmarkStart w:id="4" w:name="_Toc509855597"/>
      <w:bookmarkStart w:id="5" w:name="_Toc509855720"/>
      <w:r w:rsidRPr="00F55676">
        <w:t>Высшего профессионального образования</w:t>
      </w:r>
      <w:bookmarkEnd w:id="3"/>
      <w:bookmarkEnd w:id="4"/>
      <w:bookmarkEnd w:id="5"/>
    </w:p>
    <w:p w14:paraId="04517067" w14:textId="77777777" w:rsidR="001B2158" w:rsidRPr="00F55676" w:rsidRDefault="001B2158" w:rsidP="00E610F2">
      <w:pPr>
        <w:ind w:firstLine="0"/>
        <w:jc w:val="center"/>
      </w:pPr>
      <w:bookmarkStart w:id="6" w:name="_Toc465931063"/>
      <w:bookmarkStart w:id="7" w:name="_Toc509855598"/>
      <w:bookmarkStart w:id="8" w:name="_Toc509855721"/>
      <w:r w:rsidRPr="00F55676">
        <w:t>Санкт-Петербургский государственный университет</w:t>
      </w:r>
      <w:bookmarkEnd w:id="6"/>
      <w:bookmarkEnd w:id="7"/>
      <w:bookmarkEnd w:id="8"/>
    </w:p>
    <w:p w14:paraId="4351DCC9" w14:textId="77777777" w:rsidR="001B2158" w:rsidRPr="00F55676" w:rsidRDefault="001B2158" w:rsidP="00E610F2">
      <w:pPr>
        <w:ind w:firstLine="0"/>
        <w:jc w:val="center"/>
      </w:pPr>
      <w:bookmarkStart w:id="9" w:name="_Toc465931064"/>
      <w:bookmarkStart w:id="10" w:name="_Toc509855599"/>
      <w:bookmarkStart w:id="11" w:name="_Toc509855722"/>
      <w:r w:rsidRPr="00F55676">
        <w:t>Высшая школа менеджмента</w:t>
      </w:r>
      <w:bookmarkEnd w:id="9"/>
      <w:bookmarkEnd w:id="10"/>
      <w:bookmarkEnd w:id="11"/>
    </w:p>
    <w:p w14:paraId="368FDBCB" w14:textId="77777777" w:rsidR="001B2158" w:rsidRDefault="001B2158" w:rsidP="001B2158">
      <w:pPr>
        <w:jc w:val="center"/>
        <w:rPr>
          <w:rFonts w:cs="Times New Roman"/>
          <w:sz w:val="28"/>
          <w:szCs w:val="28"/>
        </w:rPr>
      </w:pPr>
    </w:p>
    <w:p w14:paraId="47EFCD3E" w14:textId="77777777" w:rsidR="001B2158" w:rsidRDefault="001B2158" w:rsidP="001B2158">
      <w:pPr>
        <w:jc w:val="center"/>
        <w:rPr>
          <w:rFonts w:cs="Times New Roman"/>
          <w:sz w:val="28"/>
          <w:szCs w:val="28"/>
        </w:rPr>
      </w:pPr>
    </w:p>
    <w:p w14:paraId="55A19CD6" w14:textId="77777777" w:rsidR="001B2158" w:rsidRPr="00F55676" w:rsidRDefault="001B2158" w:rsidP="001B2158">
      <w:pPr>
        <w:ind w:firstLine="0"/>
      </w:pPr>
    </w:p>
    <w:p w14:paraId="24CA0540" w14:textId="212009DC" w:rsidR="00537B4C" w:rsidRPr="000B0ED3" w:rsidRDefault="0038048D" w:rsidP="00F043CD">
      <w:pPr>
        <w:ind w:firstLine="0"/>
        <w:jc w:val="center"/>
        <w:rPr>
          <w:b/>
          <w:color w:val="000000" w:themeColor="text1"/>
        </w:rPr>
      </w:pPr>
      <w:bookmarkStart w:id="12" w:name="_Toc509855600"/>
      <w:bookmarkStart w:id="13" w:name="_Toc509855723"/>
      <w:r w:rsidRPr="000B0ED3">
        <w:rPr>
          <w:b/>
          <w:color w:val="000000" w:themeColor="text1"/>
        </w:rPr>
        <w:t>Ф</w:t>
      </w:r>
      <w:r w:rsidR="00740031" w:rsidRPr="000B0ED3">
        <w:rPr>
          <w:b/>
          <w:color w:val="000000" w:themeColor="text1"/>
        </w:rPr>
        <w:t>О</w:t>
      </w:r>
      <w:r w:rsidRPr="000B0ED3">
        <w:rPr>
          <w:b/>
          <w:color w:val="000000" w:themeColor="text1"/>
        </w:rPr>
        <w:t xml:space="preserve">РМЫ </w:t>
      </w:r>
      <w:r w:rsidR="000B0ED3" w:rsidRPr="000B0ED3">
        <w:rPr>
          <w:b/>
          <w:color w:val="000000" w:themeColor="text1"/>
        </w:rPr>
        <w:t xml:space="preserve">И ОСОБЕННОСТИ </w:t>
      </w:r>
      <w:r w:rsidRPr="000B0ED3">
        <w:rPr>
          <w:b/>
          <w:color w:val="000000" w:themeColor="text1"/>
        </w:rPr>
        <w:t>ВЗАИМОДЕЙСТВИЯ ГОСУДАРСТВА И БИЗНЕСА</w:t>
      </w:r>
      <w:r w:rsidR="006D25D5" w:rsidRPr="000B0ED3">
        <w:rPr>
          <w:b/>
          <w:color w:val="000000" w:themeColor="text1"/>
        </w:rPr>
        <w:t xml:space="preserve"> </w:t>
      </w:r>
    </w:p>
    <w:p w14:paraId="59DDCDEE" w14:textId="77777777" w:rsidR="000B0ED3" w:rsidRDefault="006D25D5" w:rsidP="00F043CD">
      <w:pPr>
        <w:ind w:firstLine="0"/>
        <w:jc w:val="center"/>
        <w:rPr>
          <w:b/>
          <w:color w:val="000000" w:themeColor="text1"/>
        </w:rPr>
      </w:pPr>
      <w:r w:rsidRPr="000B0ED3">
        <w:rPr>
          <w:b/>
          <w:color w:val="000000" w:themeColor="text1"/>
        </w:rPr>
        <w:t xml:space="preserve">В </w:t>
      </w:r>
      <w:r w:rsidR="000B0ED3" w:rsidRPr="000B0ED3">
        <w:rPr>
          <w:b/>
          <w:color w:val="000000" w:themeColor="text1"/>
        </w:rPr>
        <w:t xml:space="preserve">РОССИЙСКОЙ ФЕДЕРАЦИИ </w:t>
      </w:r>
    </w:p>
    <w:p w14:paraId="2C0ADEDD" w14:textId="2F15294A" w:rsidR="0038048D" w:rsidRPr="000B0ED3" w:rsidRDefault="006D25D5" w:rsidP="00F043CD">
      <w:pPr>
        <w:ind w:firstLine="0"/>
        <w:jc w:val="center"/>
        <w:rPr>
          <w:b/>
          <w:color w:val="000000" w:themeColor="text1"/>
        </w:rPr>
      </w:pPr>
      <w:r w:rsidRPr="000B0ED3">
        <w:rPr>
          <w:b/>
          <w:color w:val="000000" w:themeColor="text1"/>
        </w:rPr>
        <w:t>(НА ПРИМЕРЕ</w:t>
      </w:r>
      <w:r w:rsidR="000B0ED3" w:rsidRPr="000B0ED3">
        <w:rPr>
          <w:b/>
          <w:color w:val="000000" w:themeColor="text1"/>
        </w:rPr>
        <w:t xml:space="preserve"> СФЕРЫ ЗДРАВООХРАНЕНИЯ В</w:t>
      </w:r>
      <w:r w:rsidRPr="000B0ED3">
        <w:rPr>
          <w:b/>
          <w:color w:val="000000" w:themeColor="text1"/>
        </w:rPr>
        <w:t xml:space="preserve"> САНКТ-ПЕТЕРБУРГ</w:t>
      </w:r>
      <w:r w:rsidR="000B0ED3" w:rsidRPr="000B0ED3">
        <w:rPr>
          <w:b/>
          <w:color w:val="000000" w:themeColor="text1"/>
        </w:rPr>
        <w:t>Е</w:t>
      </w:r>
      <w:r w:rsidRPr="000B0ED3">
        <w:rPr>
          <w:b/>
          <w:color w:val="000000" w:themeColor="text1"/>
        </w:rPr>
        <w:t>)</w:t>
      </w:r>
      <w:r w:rsidR="0038048D" w:rsidRPr="000B0ED3">
        <w:rPr>
          <w:b/>
          <w:color w:val="000000" w:themeColor="text1"/>
        </w:rPr>
        <w:t xml:space="preserve"> </w:t>
      </w:r>
    </w:p>
    <w:bookmarkEnd w:id="12"/>
    <w:bookmarkEnd w:id="13"/>
    <w:p w14:paraId="5836B552" w14:textId="433D656F" w:rsidR="001B2158" w:rsidRDefault="001B2158" w:rsidP="001B2158">
      <w:pPr>
        <w:ind w:firstLine="0"/>
        <w:rPr>
          <w:rFonts w:cs="Times New Roman"/>
        </w:rPr>
      </w:pPr>
    </w:p>
    <w:p w14:paraId="256937F4" w14:textId="490F0A9E" w:rsidR="00B43CA3" w:rsidRDefault="00B43CA3" w:rsidP="001B2158">
      <w:pPr>
        <w:ind w:firstLine="0"/>
        <w:rPr>
          <w:rFonts w:cs="Times New Roman"/>
        </w:rPr>
      </w:pPr>
    </w:p>
    <w:p w14:paraId="6117391F" w14:textId="77777777" w:rsidR="00B43CA3" w:rsidRPr="00F55676" w:rsidRDefault="00B43CA3" w:rsidP="001B2158">
      <w:pPr>
        <w:ind w:firstLine="0"/>
        <w:rPr>
          <w:rFonts w:cs="Times New Roman"/>
        </w:rPr>
      </w:pPr>
    </w:p>
    <w:tbl>
      <w:tblPr>
        <w:tblStyle w:val="af6"/>
        <w:tblW w:w="0" w:type="auto"/>
        <w:tblLook w:val="04A0" w:firstRow="1" w:lastRow="0" w:firstColumn="1" w:lastColumn="0" w:noHBand="0" w:noVBand="1"/>
      </w:tblPr>
      <w:tblGrid>
        <w:gridCol w:w="4395"/>
        <w:gridCol w:w="4954"/>
      </w:tblGrid>
      <w:tr w:rsidR="001B2158" w:rsidRPr="00F55676" w14:paraId="6FB5AD34" w14:textId="77777777" w:rsidTr="00E610F2">
        <w:trPr>
          <w:trHeight w:val="1857"/>
        </w:trPr>
        <w:tc>
          <w:tcPr>
            <w:tcW w:w="4395" w:type="dxa"/>
            <w:tcBorders>
              <w:top w:val="nil"/>
              <w:left w:val="nil"/>
              <w:bottom w:val="nil"/>
              <w:right w:val="nil"/>
            </w:tcBorders>
          </w:tcPr>
          <w:p w14:paraId="45D6EE85" w14:textId="77777777" w:rsidR="001B2158" w:rsidRPr="00026D3C" w:rsidRDefault="001B2158" w:rsidP="00BE40D5">
            <w:pPr>
              <w:rPr>
                <w:rFonts w:cs="Times New Roman"/>
                <w:color w:val="FF0000"/>
                <w:szCs w:val="24"/>
              </w:rPr>
            </w:pPr>
          </w:p>
        </w:tc>
        <w:tc>
          <w:tcPr>
            <w:tcW w:w="4954" w:type="dxa"/>
            <w:tcBorders>
              <w:top w:val="nil"/>
              <w:left w:val="nil"/>
              <w:bottom w:val="nil"/>
              <w:right w:val="nil"/>
            </w:tcBorders>
          </w:tcPr>
          <w:p w14:paraId="118BD26F" w14:textId="29A0EF62" w:rsidR="00CB0D6A" w:rsidRPr="00210343" w:rsidRDefault="007C3A31" w:rsidP="00210343">
            <w:pPr>
              <w:ind w:firstLine="0"/>
              <w:jc w:val="left"/>
              <w:rPr>
                <w:color w:val="000000" w:themeColor="text1"/>
              </w:rPr>
            </w:pPr>
            <w:r w:rsidRPr="00210343">
              <w:rPr>
                <w:color w:val="000000" w:themeColor="text1"/>
              </w:rPr>
              <w:t>Выпускная квалификационная работа</w:t>
            </w:r>
          </w:p>
          <w:p w14:paraId="53A1EF5C" w14:textId="61E5F664" w:rsidR="006611CD" w:rsidRPr="00210343" w:rsidRDefault="007C3A31" w:rsidP="00210343">
            <w:pPr>
              <w:ind w:firstLine="0"/>
              <w:jc w:val="left"/>
              <w:rPr>
                <w:color w:val="000000" w:themeColor="text1"/>
              </w:rPr>
            </w:pPr>
            <w:r w:rsidRPr="00210343">
              <w:rPr>
                <w:color w:val="000000" w:themeColor="text1"/>
              </w:rPr>
              <w:t>студентки 4</w:t>
            </w:r>
            <w:r w:rsidR="006611CD" w:rsidRPr="00210343">
              <w:rPr>
                <w:color w:val="000000" w:themeColor="text1"/>
              </w:rPr>
              <w:t xml:space="preserve"> курса бакалаврской программы, </w:t>
            </w:r>
          </w:p>
          <w:p w14:paraId="139B19F4" w14:textId="01394589" w:rsidR="006611CD" w:rsidRPr="00210343" w:rsidRDefault="00740031" w:rsidP="00210343">
            <w:pPr>
              <w:ind w:firstLine="0"/>
              <w:jc w:val="left"/>
              <w:rPr>
                <w:color w:val="000000" w:themeColor="text1"/>
              </w:rPr>
            </w:pPr>
            <w:r w:rsidRPr="00210343">
              <w:rPr>
                <w:color w:val="000000" w:themeColor="text1"/>
              </w:rPr>
              <w:t>профиль – г</w:t>
            </w:r>
            <w:r w:rsidR="006611CD" w:rsidRPr="00210343">
              <w:rPr>
                <w:color w:val="000000" w:themeColor="text1"/>
              </w:rPr>
              <w:t>осударственное и муниципальное управление</w:t>
            </w:r>
          </w:p>
          <w:p w14:paraId="14D39C33" w14:textId="562D3173" w:rsidR="00210343" w:rsidRPr="00210343" w:rsidRDefault="007C3A31" w:rsidP="00210343">
            <w:pPr>
              <w:ind w:firstLine="0"/>
              <w:jc w:val="left"/>
              <w:rPr>
                <w:color w:val="000000" w:themeColor="text1"/>
              </w:rPr>
            </w:pPr>
            <w:r w:rsidRPr="00210343">
              <w:rPr>
                <w:color w:val="000000" w:themeColor="text1"/>
              </w:rPr>
              <w:t xml:space="preserve">ИСААКЯН Ирины </w:t>
            </w:r>
            <w:proofErr w:type="spellStart"/>
            <w:r w:rsidRPr="00210343">
              <w:rPr>
                <w:color w:val="000000" w:themeColor="text1"/>
              </w:rPr>
              <w:t>Рубеновны</w:t>
            </w:r>
            <w:proofErr w:type="spellEnd"/>
          </w:p>
          <w:p w14:paraId="51B20129" w14:textId="1A91B3E1" w:rsidR="006611CD" w:rsidRPr="00210343" w:rsidRDefault="006611CD" w:rsidP="00210343">
            <w:pPr>
              <w:ind w:firstLine="0"/>
              <w:jc w:val="left"/>
              <w:rPr>
                <w:color w:val="000000" w:themeColor="text1"/>
              </w:rPr>
            </w:pPr>
            <w:r w:rsidRPr="00210343">
              <w:rPr>
                <w:color w:val="000000" w:themeColor="text1"/>
              </w:rPr>
              <w:t>_______________________________________</w:t>
            </w:r>
          </w:p>
          <w:p w14:paraId="206052E3" w14:textId="7134F398" w:rsidR="00E610F2" w:rsidRPr="00210343" w:rsidRDefault="00E610F2" w:rsidP="00210343">
            <w:pPr>
              <w:ind w:firstLine="0"/>
              <w:jc w:val="left"/>
              <w:rPr>
                <w:color w:val="000000" w:themeColor="text1"/>
              </w:rPr>
            </w:pPr>
          </w:p>
          <w:p w14:paraId="7F0E864A" w14:textId="77777777" w:rsidR="00210343" w:rsidRDefault="00210343" w:rsidP="00210343">
            <w:pPr>
              <w:tabs>
                <w:tab w:val="left" w:pos="1515"/>
              </w:tabs>
              <w:ind w:firstLine="0"/>
              <w:jc w:val="left"/>
            </w:pPr>
            <w:r>
              <w:t xml:space="preserve">Научный руководитель </w:t>
            </w:r>
          </w:p>
          <w:p w14:paraId="1C1EC57C" w14:textId="77777777" w:rsidR="00210343" w:rsidRDefault="00210343" w:rsidP="00210343">
            <w:pPr>
              <w:tabs>
                <w:tab w:val="left" w:pos="1515"/>
              </w:tabs>
              <w:ind w:firstLine="0"/>
              <w:jc w:val="left"/>
            </w:pPr>
            <w:proofErr w:type="spellStart"/>
            <w:r>
              <w:t>к.ю.н</w:t>
            </w:r>
            <w:proofErr w:type="spellEnd"/>
            <w:r>
              <w:t xml:space="preserve">., доцент кафедры государственного и муниципального управления Санкт-Петербургского государственного университета </w:t>
            </w:r>
          </w:p>
          <w:p w14:paraId="67B164EF" w14:textId="249ABD9A" w:rsidR="00210343" w:rsidRDefault="00210343" w:rsidP="00210343">
            <w:pPr>
              <w:tabs>
                <w:tab w:val="left" w:pos="1515"/>
              </w:tabs>
              <w:ind w:firstLine="0"/>
              <w:jc w:val="left"/>
            </w:pPr>
            <w:r>
              <w:t>МАСЛОВА Светлана Валентиновна</w:t>
            </w:r>
          </w:p>
          <w:p w14:paraId="244B16C8" w14:textId="13B8DDE1" w:rsidR="00210343" w:rsidRPr="00210343" w:rsidRDefault="00B43CA3" w:rsidP="00210343">
            <w:pPr>
              <w:tabs>
                <w:tab w:val="left" w:pos="1515"/>
              </w:tabs>
              <w:ind w:firstLine="0"/>
              <w:jc w:val="left"/>
            </w:pPr>
            <w:r>
              <w:t>____________________</w:t>
            </w:r>
            <w:r w:rsidR="00210343">
              <w:t>__________________</w:t>
            </w:r>
          </w:p>
        </w:tc>
      </w:tr>
      <w:tr w:rsidR="001B2158" w:rsidRPr="00A979E4" w14:paraId="124A3598" w14:textId="77777777" w:rsidTr="00E610F2">
        <w:trPr>
          <w:trHeight w:val="2136"/>
        </w:trPr>
        <w:tc>
          <w:tcPr>
            <w:tcW w:w="4395" w:type="dxa"/>
            <w:tcBorders>
              <w:top w:val="nil"/>
              <w:left w:val="nil"/>
              <w:bottom w:val="nil"/>
              <w:right w:val="nil"/>
            </w:tcBorders>
            <w:shd w:val="clear" w:color="auto" w:fill="auto"/>
          </w:tcPr>
          <w:p w14:paraId="27C286B9" w14:textId="77777777" w:rsidR="001B2158" w:rsidRPr="00A979E4" w:rsidRDefault="001B2158" w:rsidP="00210343">
            <w:pPr>
              <w:ind w:firstLine="0"/>
              <w:rPr>
                <w:rFonts w:cs="Times New Roman"/>
                <w:sz w:val="22"/>
                <w:szCs w:val="24"/>
              </w:rPr>
            </w:pPr>
          </w:p>
        </w:tc>
        <w:tc>
          <w:tcPr>
            <w:tcW w:w="4954" w:type="dxa"/>
            <w:tcBorders>
              <w:top w:val="nil"/>
              <w:left w:val="nil"/>
              <w:bottom w:val="nil"/>
              <w:right w:val="nil"/>
            </w:tcBorders>
            <w:shd w:val="clear" w:color="auto" w:fill="auto"/>
          </w:tcPr>
          <w:p w14:paraId="6CB73129" w14:textId="77777777" w:rsidR="001B2158" w:rsidRPr="00A979E4" w:rsidRDefault="001B2158" w:rsidP="00BE40D5"/>
          <w:p w14:paraId="3E44E507" w14:textId="77777777" w:rsidR="001B2158" w:rsidRDefault="001B2158" w:rsidP="00BE40D5">
            <w:pPr>
              <w:ind w:firstLine="0"/>
            </w:pPr>
          </w:p>
          <w:p w14:paraId="157242A4" w14:textId="77777777" w:rsidR="00900B60" w:rsidRDefault="00900B60" w:rsidP="00BE40D5">
            <w:pPr>
              <w:ind w:firstLine="0"/>
            </w:pPr>
          </w:p>
          <w:p w14:paraId="6E60CA9F" w14:textId="18F37436" w:rsidR="00900B60" w:rsidRPr="00A979E4" w:rsidRDefault="00900B60" w:rsidP="00BE40D5">
            <w:pPr>
              <w:ind w:firstLine="0"/>
            </w:pPr>
          </w:p>
        </w:tc>
      </w:tr>
    </w:tbl>
    <w:p w14:paraId="2C9029D8" w14:textId="15117FE9" w:rsidR="00E610F2" w:rsidRDefault="00E610F2" w:rsidP="00E610F2">
      <w:pPr>
        <w:pStyle w:val="a6"/>
      </w:pPr>
      <w:bookmarkStart w:id="14" w:name="_Toc465931066"/>
      <w:r>
        <w:t>Санкт-Петербург</w:t>
      </w:r>
    </w:p>
    <w:p w14:paraId="61EAFD39" w14:textId="4791DEB9" w:rsidR="00537B4C" w:rsidRPr="007E76C9" w:rsidRDefault="001B2158" w:rsidP="007E76C9">
      <w:pPr>
        <w:pStyle w:val="a6"/>
      </w:pPr>
      <w:r w:rsidRPr="00A979E4">
        <w:t>20</w:t>
      </w:r>
      <w:bookmarkEnd w:id="14"/>
      <w:r w:rsidR="007C3A31">
        <w:t>20</w:t>
      </w:r>
    </w:p>
    <w:p w14:paraId="7294E995" w14:textId="52D574B4" w:rsidR="00E8418A" w:rsidRPr="008D6501" w:rsidRDefault="00E8418A" w:rsidP="00D36141">
      <w:pPr>
        <w:ind w:right="141" w:firstLine="0"/>
        <w:jc w:val="center"/>
        <w:rPr>
          <w:rFonts w:cs="Times New Roman"/>
          <w:b/>
          <w:szCs w:val="24"/>
        </w:rPr>
      </w:pPr>
      <w:r w:rsidRPr="008D6501">
        <w:rPr>
          <w:rFonts w:cs="Times New Roman"/>
          <w:b/>
          <w:szCs w:val="24"/>
        </w:rPr>
        <w:lastRenderedPageBreak/>
        <w:t>Заявление</w:t>
      </w:r>
    </w:p>
    <w:p w14:paraId="1CEEE9DC" w14:textId="5573C21C" w:rsidR="005E0D78" w:rsidRDefault="006611CD" w:rsidP="005E0D78">
      <w:pPr>
        <w:ind w:firstLine="0"/>
        <w:jc w:val="center"/>
        <w:rPr>
          <w:rFonts w:cs="Times New Roman"/>
          <w:b/>
          <w:szCs w:val="24"/>
        </w:rPr>
      </w:pPr>
      <w:r>
        <w:rPr>
          <w:rFonts w:cs="Times New Roman"/>
          <w:b/>
          <w:szCs w:val="24"/>
        </w:rPr>
        <w:t>о</w:t>
      </w:r>
      <w:r w:rsidR="00E8418A" w:rsidRPr="008D6501">
        <w:rPr>
          <w:rFonts w:cs="Times New Roman"/>
          <w:b/>
          <w:szCs w:val="24"/>
        </w:rPr>
        <w:t xml:space="preserve"> самостоятельном </w:t>
      </w:r>
      <w:r>
        <w:rPr>
          <w:rFonts w:cs="Times New Roman"/>
          <w:b/>
          <w:szCs w:val="24"/>
        </w:rPr>
        <w:t xml:space="preserve">выполнении </w:t>
      </w:r>
      <w:r w:rsidR="005E0D78">
        <w:rPr>
          <w:rFonts w:cs="Times New Roman"/>
          <w:b/>
          <w:szCs w:val="24"/>
        </w:rPr>
        <w:t xml:space="preserve">выпускной квалификационной </w:t>
      </w:r>
      <w:r>
        <w:rPr>
          <w:rFonts w:cs="Times New Roman"/>
          <w:b/>
          <w:szCs w:val="24"/>
        </w:rPr>
        <w:t>работы</w:t>
      </w:r>
    </w:p>
    <w:p w14:paraId="3BB62147" w14:textId="77777777" w:rsidR="005E0D78" w:rsidRPr="00D36141" w:rsidRDefault="005E0D78" w:rsidP="005E0D78">
      <w:pPr>
        <w:ind w:firstLine="0"/>
        <w:jc w:val="center"/>
        <w:rPr>
          <w:rFonts w:cs="Times New Roman"/>
          <w:b/>
          <w:szCs w:val="24"/>
        </w:rPr>
      </w:pPr>
    </w:p>
    <w:p w14:paraId="2B51FE65" w14:textId="7FEC34FF" w:rsidR="005E0D78" w:rsidRDefault="005E0D78" w:rsidP="005E0D78">
      <w:r>
        <w:t xml:space="preserve">Я, Исаакян Ирина </w:t>
      </w:r>
      <w:proofErr w:type="spellStart"/>
      <w:r>
        <w:t>Рубеновна</w:t>
      </w:r>
      <w:proofErr w:type="spellEnd"/>
      <w:r>
        <w:t xml:space="preserve">, студентка 4 курса направления «Государственное и муниципальное управление», заявляю, что в моей ВКР на тему «Формы </w:t>
      </w:r>
      <w:r w:rsidR="00C67EBF">
        <w:t xml:space="preserve">и особенности </w:t>
      </w:r>
      <w:r>
        <w:t>взаим</w:t>
      </w:r>
      <w:r w:rsidR="00F043CD">
        <w:t xml:space="preserve">одействия государства и бизнеса </w:t>
      </w:r>
      <w:r>
        <w:t>в</w:t>
      </w:r>
      <w:r w:rsidR="00C67EBF">
        <w:t xml:space="preserve"> Российской Федерации (на примере сферы здравоохранения в </w:t>
      </w:r>
      <w:r>
        <w:t>Санкт-Петербург</w:t>
      </w:r>
      <w:r w:rsidR="00C67EBF">
        <w:t>е</w:t>
      </w:r>
      <w:r>
        <w:t xml:space="preserve">)», представленной в офис бакалаврской программы для публичной защиты, не содержится элементов плагиата. </w:t>
      </w:r>
    </w:p>
    <w:p w14:paraId="039926E3" w14:textId="77777777" w:rsidR="005E0D78" w:rsidRDefault="005E0D78" w:rsidP="005E0D78">
      <w:r>
        <w:t xml:space="preserve">Все прямые заимствования из печатных и электронных источников, а также из защищенных ранее курсовых и выпускных квалификационных работ, кандидатских и докторских диссертаций имеют соответствующие ссылки. </w:t>
      </w:r>
    </w:p>
    <w:p w14:paraId="13113275" w14:textId="4BBE50D3" w:rsidR="00E8418A" w:rsidRDefault="005E0D78" w:rsidP="00737558">
      <w:r w:rsidRPr="00B43FB4">
        <w:t>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w:t>
      </w:r>
    </w:p>
    <w:p w14:paraId="79AA4918" w14:textId="07E601DA" w:rsidR="00E8418A" w:rsidRDefault="00E8418A" w:rsidP="005D3242"/>
    <w:p w14:paraId="1DE1B83A" w14:textId="6D41DCB4" w:rsidR="00E8418A" w:rsidRDefault="00E8418A" w:rsidP="005D3242"/>
    <w:p w14:paraId="12BCE705" w14:textId="3EBB3F5A" w:rsidR="00E8418A" w:rsidRDefault="00E8418A" w:rsidP="005D3242"/>
    <w:p w14:paraId="307A4407" w14:textId="6B2A3FA9" w:rsidR="00E8418A" w:rsidRDefault="00E8418A" w:rsidP="005D3242"/>
    <w:p w14:paraId="4ED92E34" w14:textId="3C1127EB" w:rsidR="00E8418A" w:rsidRDefault="00E8418A" w:rsidP="005D3242"/>
    <w:p w14:paraId="79354739" w14:textId="58988655" w:rsidR="00E8418A" w:rsidRDefault="00E8418A" w:rsidP="005D3242"/>
    <w:p w14:paraId="6E6645EA" w14:textId="5C4F162E" w:rsidR="00E8418A" w:rsidRDefault="00E8418A" w:rsidP="005D3242"/>
    <w:p w14:paraId="6112BA9A" w14:textId="0D4FED16" w:rsidR="00E8418A" w:rsidRDefault="00E8418A" w:rsidP="005D3242"/>
    <w:p w14:paraId="4E471937" w14:textId="549197F8" w:rsidR="00E8418A" w:rsidRDefault="00E8418A" w:rsidP="005D3242"/>
    <w:p w14:paraId="707FFA5B" w14:textId="18EEF88F" w:rsidR="00E8418A" w:rsidRDefault="00E8418A" w:rsidP="005D3242"/>
    <w:p w14:paraId="22C241BE" w14:textId="1FC3493D" w:rsidR="00E8418A" w:rsidRDefault="00E8418A" w:rsidP="005D3242"/>
    <w:p w14:paraId="223F3E47" w14:textId="72065DD0" w:rsidR="00E8418A" w:rsidRDefault="00E8418A" w:rsidP="005D3242"/>
    <w:p w14:paraId="7949F74F" w14:textId="2248B811" w:rsidR="00E8418A" w:rsidRDefault="00E8418A" w:rsidP="00E8418A">
      <w:pPr>
        <w:pStyle w:val="1"/>
      </w:pPr>
      <w:bookmarkStart w:id="15" w:name="_Toc41427823"/>
      <w:r>
        <w:lastRenderedPageBreak/>
        <w:t>Оглавление</w:t>
      </w:r>
      <w:bookmarkEnd w:id="15"/>
      <w:r>
        <w:t xml:space="preserve"> </w:t>
      </w:r>
    </w:p>
    <w:sdt>
      <w:sdtPr>
        <w:rPr>
          <w:rFonts w:ascii="Times New Roman" w:eastAsiaTheme="minorHAnsi" w:hAnsi="Times New Roman" w:cstheme="minorBidi"/>
          <w:b w:val="0"/>
          <w:bCs w:val="0"/>
          <w:color w:val="auto"/>
          <w:sz w:val="24"/>
          <w:szCs w:val="22"/>
          <w:lang w:eastAsia="en-US"/>
        </w:rPr>
        <w:id w:val="-1957168740"/>
        <w:docPartObj>
          <w:docPartGallery w:val="Table of Contents"/>
          <w:docPartUnique/>
        </w:docPartObj>
      </w:sdtPr>
      <w:sdtContent>
        <w:p w14:paraId="3B22DA03" w14:textId="46887358" w:rsidR="00236696" w:rsidRDefault="00236696">
          <w:pPr>
            <w:pStyle w:val="af2"/>
          </w:pPr>
        </w:p>
        <w:p w14:paraId="7797027F" w14:textId="291886F1" w:rsidR="005E05D4" w:rsidRDefault="00236696">
          <w:pPr>
            <w:pStyle w:val="11"/>
            <w:rPr>
              <w:rFonts w:asciiTheme="minorHAnsi" w:eastAsiaTheme="minorEastAsia" w:hAnsiTheme="minorHAnsi" w:cstheme="minorBidi"/>
              <w:b w:val="0"/>
              <w:sz w:val="22"/>
              <w:szCs w:val="22"/>
              <w:lang w:eastAsia="ru-RU"/>
            </w:rPr>
          </w:pPr>
          <w:r w:rsidRPr="002B1A86">
            <w:fldChar w:fldCharType="begin"/>
          </w:r>
          <w:r w:rsidRPr="002B1A86">
            <w:instrText xml:space="preserve"> TOC \o "1-3" \h \z \u </w:instrText>
          </w:r>
          <w:r w:rsidRPr="002B1A86">
            <w:fldChar w:fldCharType="separate"/>
          </w:r>
          <w:hyperlink w:anchor="_Toc41427823" w:history="1">
            <w:r w:rsidR="005E05D4" w:rsidRPr="004F5E23">
              <w:rPr>
                <w:rStyle w:val="af3"/>
              </w:rPr>
              <w:t>Оглавление</w:t>
            </w:r>
            <w:r w:rsidR="005E05D4">
              <w:rPr>
                <w:webHidden/>
              </w:rPr>
              <w:tab/>
            </w:r>
            <w:r w:rsidR="005E05D4">
              <w:rPr>
                <w:webHidden/>
              </w:rPr>
              <w:fldChar w:fldCharType="begin"/>
            </w:r>
            <w:r w:rsidR="005E05D4">
              <w:rPr>
                <w:webHidden/>
              </w:rPr>
              <w:instrText xml:space="preserve"> PAGEREF _Toc41427823 \h </w:instrText>
            </w:r>
            <w:r w:rsidR="005E05D4">
              <w:rPr>
                <w:webHidden/>
              </w:rPr>
            </w:r>
            <w:r w:rsidR="005E05D4">
              <w:rPr>
                <w:webHidden/>
              </w:rPr>
              <w:fldChar w:fldCharType="separate"/>
            </w:r>
            <w:r w:rsidR="005E05D4">
              <w:rPr>
                <w:webHidden/>
              </w:rPr>
              <w:t>3</w:t>
            </w:r>
            <w:r w:rsidR="005E05D4">
              <w:rPr>
                <w:webHidden/>
              </w:rPr>
              <w:fldChar w:fldCharType="end"/>
            </w:r>
          </w:hyperlink>
        </w:p>
        <w:p w14:paraId="7747B85F" w14:textId="30714314" w:rsidR="005E05D4" w:rsidRDefault="005E05D4">
          <w:pPr>
            <w:pStyle w:val="11"/>
            <w:rPr>
              <w:rFonts w:asciiTheme="minorHAnsi" w:eastAsiaTheme="minorEastAsia" w:hAnsiTheme="minorHAnsi" w:cstheme="minorBidi"/>
              <w:b w:val="0"/>
              <w:sz w:val="22"/>
              <w:szCs w:val="22"/>
              <w:lang w:eastAsia="ru-RU"/>
            </w:rPr>
          </w:pPr>
          <w:hyperlink w:anchor="_Toc41427824" w:history="1">
            <w:r w:rsidRPr="004F5E23">
              <w:rPr>
                <w:rStyle w:val="af3"/>
              </w:rPr>
              <w:t>Введение</w:t>
            </w:r>
            <w:r>
              <w:rPr>
                <w:webHidden/>
              </w:rPr>
              <w:tab/>
            </w:r>
            <w:r>
              <w:rPr>
                <w:webHidden/>
              </w:rPr>
              <w:fldChar w:fldCharType="begin"/>
            </w:r>
            <w:r>
              <w:rPr>
                <w:webHidden/>
              </w:rPr>
              <w:instrText xml:space="preserve"> PAGEREF _Toc41427824 \h </w:instrText>
            </w:r>
            <w:r>
              <w:rPr>
                <w:webHidden/>
              </w:rPr>
            </w:r>
            <w:r>
              <w:rPr>
                <w:webHidden/>
              </w:rPr>
              <w:fldChar w:fldCharType="separate"/>
            </w:r>
            <w:r>
              <w:rPr>
                <w:webHidden/>
              </w:rPr>
              <w:t>4</w:t>
            </w:r>
            <w:r>
              <w:rPr>
                <w:webHidden/>
              </w:rPr>
              <w:fldChar w:fldCharType="end"/>
            </w:r>
          </w:hyperlink>
        </w:p>
        <w:p w14:paraId="157906A1" w14:textId="7C847A7C" w:rsidR="005E05D4" w:rsidRDefault="005E05D4">
          <w:pPr>
            <w:pStyle w:val="11"/>
            <w:rPr>
              <w:rFonts w:asciiTheme="minorHAnsi" w:eastAsiaTheme="minorEastAsia" w:hAnsiTheme="minorHAnsi" w:cstheme="minorBidi"/>
              <w:b w:val="0"/>
              <w:sz w:val="22"/>
              <w:szCs w:val="22"/>
              <w:lang w:eastAsia="ru-RU"/>
            </w:rPr>
          </w:pPr>
          <w:hyperlink w:anchor="_Toc41427825" w:history="1">
            <w:r w:rsidRPr="004F5E23">
              <w:rPr>
                <w:rStyle w:val="af3"/>
              </w:rPr>
              <w:t>Глава 1. Теоретические подходы к формам взаимодействия государства и бизнеса</w:t>
            </w:r>
            <w:r>
              <w:rPr>
                <w:webHidden/>
              </w:rPr>
              <w:tab/>
            </w:r>
            <w:r>
              <w:rPr>
                <w:webHidden/>
              </w:rPr>
              <w:fldChar w:fldCharType="begin"/>
            </w:r>
            <w:r>
              <w:rPr>
                <w:webHidden/>
              </w:rPr>
              <w:instrText xml:space="preserve"> PAGEREF _Toc41427825 \h </w:instrText>
            </w:r>
            <w:r>
              <w:rPr>
                <w:webHidden/>
              </w:rPr>
            </w:r>
            <w:r>
              <w:rPr>
                <w:webHidden/>
              </w:rPr>
              <w:fldChar w:fldCharType="separate"/>
            </w:r>
            <w:r>
              <w:rPr>
                <w:webHidden/>
              </w:rPr>
              <w:t>7</w:t>
            </w:r>
            <w:r>
              <w:rPr>
                <w:webHidden/>
              </w:rPr>
              <w:fldChar w:fldCharType="end"/>
            </w:r>
          </w:hyperlink>
        </w:p>
        <w:p w14:paraId="5F001A8A" w14:textId="518E3BE8" w:rsidR="005E05D4" w:rsidRDefault="005E05D4">
          <w:pPr>
            <w:pStyle w:val="21"/>
            <w:rPr>
              <w:rFonts w:asciiTheme="minorHAnsi" w:eastAsiaTheme="minorEastAsia" w:hAnsiTheme="minorHAnsi" w:cstheme="minorBidi"/>
              <w:sz w:val="22"/>
              <w:szCs w:val="22"/>
              <w:lang w:eastAsia="ru-RU"/>
            </w:rPr>
          </w:pPr>
          <w:hyperlink w:anchor="_Toc41427826" w:history="1">
            <w:r w:rsidRPr="004F5E23">
              <w:rPr>
                <w:rStyle w:val="af3"/>
              </w:rPr>
              <w:t>1.1 Теоретические основы типологий взаимодействия государства и бизнеса</w:t>
            </w:r>
            <w:r>
              <w:rPr>
                <w:webHidden/>
              </w:rPr>
              <w:tab/>
            </w:r>
            <w:r>
              <w:rPr>
                <w:webHidden/>
              </w:rPr>
              <w:fldChar w:fldCharType="begin"/>
            </w:r>
            <w:r>
              <w:rPr>
                <w:webHidden/>
              </w:rPr>
              <w:instrText xml:space="preserve"> PAGEREF _Toc41427826 \h </w:instrText>
            </w:r>
            <w:r>
              <w:rPr>
                <w:webHidden/>
              </w:rPr>
            </w:r>
            <w:r>
              <w:rPr>
                <w:webHidden/>
              </w:rPr>
              <w:fldChar w:fldCharType="separate"/>
            </w:r>
            <w:r>
              <w:rPr>
                <w:webHidden/>
              </w:rPr>
              <w:t>7</w:t>
            </w:r>
            <w:r>
              <w:rPr>
                <w:webHidden/>
              </w:rPr>
              <w:fldChar w:fldCharType="end"/>
            </w:r>
          </w:hyperlink>
        </w:p>
        <w:p w14:paraId="220707FC" w14:textId="38203C74" w:rsidR="005E05D4" w:rsidRDefault="005E05D4">
          <w:pPr>
            <w:pStyle w:val="21"/>
            <w:rPr>
              <w:rFonts w:asciiTheme="minorHAnsi" w:eastAsiaTheme="minorEastAsia" w:hAnsiTheme="minorHAnsi" w:cstheme="minorBidi"/>
              <w:sz w:val="22"/>
              <w:szCs w:val="22"/>
              <w:lang w:eastAsia="ru-RU"/>
            </w:rPr>
          </w:pPr>
          <w:hyperlink w:anchor="_Toc41427827" w:history="1">
            <w:r w:rsidRPr="004F5E23">
              <w:rPr>
                <w:rStyle w:val="af3"/>
              </w:rPr>
              <w:t>1.2 Основные формы взаимодействия государства и бизнеса и их характеристики</w:t>
            </w:r>
            <w:r>
              <w:rPr>
                <w:webHidden/>
              </w:rPr>
              <w:tab/>
            </w:r>
            <w:r>
              <w:rPr>
                <w:webHidden/>
              </w:rPr>
              <w:fldChar w:fldCharType="begin"/>
            </w:r>
            <w:r>
              <w:rPr>
                <w:webHidden/>
              </w:rPr>
              <w:instrText xml:space="preserve"> PAGEREF _Toc41427827 \h </w:instrText>
            </w:r>
            <w:r>
              <w:rPr>
                <w:webHidden/>
              </w:rPr>
            </w:r>
            <w:r>
              <w:rPr>
                <w:webHidden/>
              </w:rPr>
              <w:fldChar w:fldCharType="separate"/>
            </w:r>
            <w:r>
              <w:rPr>
                <w:webHidden/>
              </w:rPr>
              <w:t>11</w:t>
            </w:r>
            <w:r>
              <w:rPr>
                <w:webHidden/>
              </w:rPr>
              <w:fldChar w:fldCharType="end"/>
            </w:r>
          </w:hyperlink>
        </w:p>
        <w:p w14:paraId="02CA1EF3" w14:textId="508CB7D5" w:rsidR="005E05D4" w:rsidRDefault="005E05D4">
          <w:pPr>
            <w:pStyle w:val="11"/>
            <w:rPr>
              <w:rFonts w:asciiTheme="minorHAnsi" w:eastAsiaTheme="minorEastAsia" w:hAnsiTheme="minorHAnsi" w:cstheme="minorBidi"/>
              <w:b w:val="0"/>
              <w:sz w:val="22"/>
              <w:szCs w:val="22"/>
              <w:lang w:eastAsia="ru-RU"/>
            </w:rPr>
          </w:pPr>
          <w:hyperlink w:anchor="_Toc41427828" w:history="1">
            <w:r w:rsidRPr="004F5E23">
              <w:rPr>
                <w:rStyle w:val="af3"/>
              </w:rPr>
              <w:t>Глава 2. Взаимодействие государства и бизнеса в сфере здравоохранения в Санкт-Петербурге: формы и текущее состояние</w:t>
            </w:r>
            <w:r>
              <w:rPr>
                <w:webHidden/>
              </w:rPr>
              <w:tab/>
            </w:r>
            <w:r>
              <w:rPr>
                <w:webHidden/>
              </w:rPr>
              <w:fldChar w:fldCharType="begin"/>
            </w:r>
            <w:r>
              <w:rPr>
                <w:webHidden/>
              </w:rPr>
              <w:instrText xml:space="preserve"> PAGEREF _Toc41427828 \h </w:instrText>
            </w:r>
            <w:r>
              <w:rPr>
                <w:webHidden/>
              </w:rPr>
            </w:r>
            <w:r>
              <w:rPr>
                <w:webHidden/>
              </w:rPr>
              <w:fldChar w:fldCharType="separate"/>
            </w:r>
            <w:r>
              <w:rPr>
                <w:webHidden/>
              </w:rPr>
              <w:t>42</w:t>
            </w:r>
            <w:r>
              <w:rPr>
                <w:webHidden/>
              </w:rPr>
              <w:fldChar w:fldCharType="end"/>
            </w:r>
          </w:hyperlink>
        </w:p>
        <w:p w14:paraId="1F11FFEF" w14:textId="2002AD9E" w:rsidR="005E05D4" w:rsidRDefault="005E05D4">
          <w:pPr>
            <w:pStyle w:val="21"/>
            <w:rPr>
              <w:rFonts w:asciiTheme="minorHAnsi" w:eastAsiaTheme="minorEastAsia" w:hAnsiTheme="minorHAnsi" w:cstheme="minorBidi"/>
              <w:sz w:val="22"/>
              <w:szCs w:val="22"/>
              <w:lang w:eastAsia="ru-RU"/>
            </w:rPr>
          </w:pPr>
          <w:hyperlink w:anchor="_Toc41427829" w:history="1">
            <w:r w:rsidRPr="004F5E23">
              <w:rPr>
                <w:rStyle w:val="af3"/>
              </w:rPr>
              <w:t>2.1 Место и роль взаимодействия власти и бизнеса в развитии сферы здравоохранения в Санкт-Петербурге в соответствии с документами стратегического планирования</w:t>
            </w:r>
            <w:r>
              <w:rPr>
                <w:webHidden/>
              </w:rPr>
              <w:tab/>
            </w:r>
            <w:r>
              <w:rPr>
                <w:webHidden/>
              </w:rPr>
              <w:fldChar w:fldCharType="begin"/>
            </w:r>
            <w:r>
              <w:rPr>
                <w:webHidden/>
              </w:rPr>
              <w:instrText xml:space="preserve"> PAGEREF _Toc41427829 \h </w:instrText>
            </w:r>
            <w:r>
              <w:rPr>
                <w:webHidden/>
              </w:rPr>
            </w:r>
            <w:r>
              <w:rPr>
                <w:webHidden/>
              </w:rPr>
              <w:fldChar w:fldCharType="separate"/>
            </w:r>
            <w:r>
              <w:rPr>
                <w:webHidden/>
              </w:rPr>
              <w:t>42</w:t>
            </w:r>
            <w:r>
              <w:rPr>
                <w:webHidden/>
              </w:rPr>
              <w:fldChar w:fldCharType="end"/>
            </w:r>
          </w:hyperlink>
        </w:p>
        <w:p w14:paraId="10943B63" w14:textId="674F48F2" w:rsidR="005E05D4" w:rsidRDefault="005E05D4">
          <w:pPr>
            <w:pStyle w:val="21"/>
            <w:rPr>
              <w:rFonts w:asciiTheme="minorHAnsi" w:eastAsiaTheme="minorEastAsia" w:hAnsiTheme="minorHAnsi" w:cstheme="minorBidi"/>
              <w:sz w:val="22"/>
              <w:szCs w:val="22"/>
              <w:lang w:eastAsia="ru-RU"/>
            </w:rPr>
          </w:pPr>
          <w:hyperlink w:anchor="_Toc41427830" w:history="1">
            <w:r w:rsidRPr="004F5E23">
              <w:rPr>
                <w:rStyle w:val="af3"/>
              </w:rPr>
              <w:t>2.2 Состояние взаимодействия государства и бизнеса в сфере здравоохранение в Санкт-Петербурге</w:t>
            </w:r>
            <w:r>
              <w:rPr>
                <w:webHidden/>
              </w:rPr>
              <w:tab/>
            </w:r>
            <w:r>
              <w:rPr>
                <w:webHidden/>
              </w:rPr>
              <w:fldChar w:fldCharType="begin"/>
            </w:r>
            <w:r>
              <w:rPr>
                <w:webHidden/>
              </w:rPr>
              <w:instrText xml:space="preserve"> PAGEREF _Toc41427830 \h </w:instrText>
            </w:r>
            <w:r>
              <w:rPr>
                <w:webHidden/>
              </w:rPr>
            </w:r>
            <w:r>
              <w:rPr>
                <w:webHidden/>
              </w:rPr>
              <w:fldChar w:fldCharType="separate"/>
            </w:r>
            <w:r>
              <w:rPr>
                <w:webHidden/>
              </w:rPr>
              <w:t>52</w:t>
            </w:r>
            <w:r>
              <w:rPr>
                <w:webHidden/>
              </w:rPr>
              <w:fldChar w:fldCharType="end"/>
            </w:r>
          </w:hyperlink>
        </w:p>
        <w:p w14:paraId="21B6FAFE" w14:textId="55D6B02B" w:rsidR="005E05D4" w:rsidRDefault="005E05D4">
          <w:pPr>
            <w:pStyle w:val="11"/>
            <w:rPr>
              <w:rFonts w:asciiTheme="minorHAnsi" w:eastAsiaTheme="minorEastAsia" w:hAnsiTheme="minorHAnsi" w:cstheme="minorBidi"/>
              <w:b w:val="0"/>
              <w:sz w:val="22"/>
              <w:szCs w:val="22"/>
              <w:lang w:eastAsia="ru-RU"/>
            </w:rPr>
          </w:pPr>
          <w:hyperlink w:anchor="_Toc41427831" w:history="1">
            <w:r w:rsidRPr="004F5E23">
              <w:rPr>
                <w:rStyle w:val="af3"/>
              </w:rPr>
              <w:t>Глава 3. Пути развития взаимодействия государства и бизнеса в форме ГЧП в сфере здравоохранения в санкт-петербурге</w:t>
            </w:r>
            <w:r>
              <w:rPr>
                <w:webHidden/>
              </w:rPr>
              <w:tab/>
            </w:r>
            <w:r>
              <w:rPr>
                <w:webHidden/>
              </w:rPr>
              <w:fldChar w:fldCharType="begin"/>
            </w:r>
            <w:r>
              <w:rPr>
                <w:webHidden/>
              </w:rPr>
              <w:instrText xml:space="preserve"> PAGEREF _Toc41427831 \h </w:instrText>
            </w:r>
            <w:r>
              <w:rPr>
                <w:webHidden/>
              </w:rPr>
            </w:r>
            <w:r>
              <w:rPr>
                <w:webHidden/>
              </w:rPr>
              <w:fldChar w:fldCharType="separate"/>
            </w:r>
            <w:r>
              <w:rPr>
                <w:webHidden/>
              </w:rPr>
              <w:t>59</w:t>
            </w:r>
            <w:r>
              <w:rPr>
                <w:webHidden/>
              </w:rPr>
              <w:fldChar w:fldCharType="end"/>
            </w:r>
          </w:hyperlink>
        </w:p>
        <w:p w14:paraId="03C79454" w14:textId="7FF72092" w:rsidR="005E05D4" w:rsidRDefault="005E05D4">
          <w:pPr>
            <w:pStyle w:val="21"/>
            <w:rPr>
              <w:rFonts w:asciiTheme="minorHAnsi" w:eastAsiaTheme="minorEastAsia" w:hAnsiTheme="minorHAnsi" w:cstheme="minorBidi"/>
              <w:sz w:val="22"/>
              <w:szCs w:val="22"/>
              <w:lang w:eastAsia="ru-RU"/>
            </w:rPr>
          </w:pPr>
          <w:hyperlink w:anchor="_Toc41427832" w:history="1">
            <w:r w:rsidRPr="004F5E23">
              <w:rPr>
                <w:rStyle w:val="af3"/>
              </w:rPr>
              <w:t>3.1 Факторы, влияющие на осуществление взаимодействия власти и бизнеса в форме ГЧП в сфере здравоохранения в Санкт-Петербурге</w:t>
            </w:r>
            <w:r>
              <w:rPr>
                <w:webHidden/>
              </w:rPr>
              <w:tab/>
            </w:r>
            <w:r>
              <w:rPr>
                <w:webHidden/>
              </w:rPr>
              <w:fldChar w:fldCharType="begin"/>
            </w:r>
            <w:r>
              <w:rPr>
                <w:webHidden/>
              </w:rPr>
              <w:instrText xml:space="preserve"> PAGEREF _Toc41427832 \h </w:instrText>
            </w:r>
            <w:r>
              <w:rPr>
                <w:webHidden/>
              </w:rPr>
            </w:r>
            <w:r>
              <w:rPr>
                <w:webHidden/>
              </w:rPr>
              <w:fldChar w:fldCharType="separate"/>
            </w:r>
            <w:r>
              <w:rPr>
                <w:webHidden/>
              </w:rPr>
              <w:t>59</w:t>
            </w:r>
            <w:r>
              <w:rPr>
                <w:webHidden/>
              </w:rPr>
              <w:fldChar w:fldCharType="end"/>
            </w:r>
          </w:hyperlink>
        </w:p>
        <w:p w14:paraId="1A921AE2" w14:textId="799CEEA0" w:rsidR="005E05D4" w:rsidRDefault="005E05D4">
          <w:pPr>
            <w:pStyle w:val="21"/>
            <w:rPr>
              <w:rFonts w:asciiTheme="minorHAnsi" w:eastAsiaTheme="minorEastAsia" w:hAnsiTheme="minorHAnsi" w:cstheme="minorBidi"/>
              <w:sz w:val="22"/>
              <w:szCs w:val="22"/>
              <w:lang w:eastAsia="ru-RU"/>
            </w:rPr>
          </w:pPr>
          <w:hyperlink w:anchor="_Toc41427833" w:history="1">
            <w:r w:rsidRPr="004F5E23">
              <w:rPr>
                <w:rStyle w:val="af3"/>
              </w:rPr>
              <w:t>3.2 Апробация рекомендаций: экспертное интервью</w:t>
            </w:r>
            <w:r>
              <w:rPr>
                <w:webHidden/>
              </w:rPr>
              <w:tab/>
            </w:r>
            <w:r>
              <w:rPr>
                <w:webHidden/>
              </w:rPr>
              <w:fldChar w:fldCharType="begin"/>
            </w:r>
            <w:r>
              <w:rPr>
                <w:webHidden/>
              </w:rPr>
              <w:instrText xml:space="preserve"> PAGEREF _Toc41427833 \h </w:instrText>
            </w:r>
            <w:r>
              <w:rPr>
                <w:webHidden/>
              </w:rPr>
            </w:r>
            <w:r>
              <w:rPr>
                <w:webHidden/>
              </w:rPr>
              <w:fldChar w:fldCharType="separate"/>
            </w:r>
            <w:r>
              <w:rPr>
                <w:webHidden/>
              </w:rPr>
              <w:t>64</w:t>
            </w:r>
            <w:r>
              <w:rPr>
                <w:webHidden/>
              </w:rPr>
              <w:fldChar w:fldCharType="end"/>
            </w:r>
          </w:hyperlink>
        </w:p>
        <w:p w14:paraId="721E04B3" w14:textId="485095E0" w:rsidR="005E05D4" w:rsidRDefault="005E05D4">
          <w:pPr>
            <w:pStyle w:val="21"/>
            <w:rPr>
              <w:rFonts w:asciiTheme="minorHAnsi" w:eastAsiaTheme="minorEastAsia" w:hAnsiTheme="minorHAnsi" w:cstheme="minorBidi"/>
              <w:sz w:val="22"/>
              <w:szCs w:val="22"/>
              <w:lang w:eastAsia="ru-RU"/>
            </w:rPr>
          </w:pPr>
          <w:hyperlink w:anchor="_Toc41427834" w:history="1">
            <w:r w:rsidRPr="004F5E23">
              <w:rPr>
                <w:rStyle w:val="af3"/>
              </w:rPr>
              <w:t>3.3 Рекомендации по активизации взаимодействия государства и бизнеса в форме ГЧП в сфере здравоохранения</w:t>
            </w:r>
            <w:r>
              <w:rPr>
                <w:webHidden/>
              </w:rPr>
              <w:tab/>
            </w:r>
            <w:r>
              <w:rPr>
                <w:webHidden/>
              </w:rPr>
              <w:fldChar w:fldCharType="begin"/>
            </w:r>
            <w:r>
              <w:rPr>
                <w:webHidden/>
              </w:rPr>
              <w:instrText xml:space="preserve"> PAGEREF _Toc41427834 \h </w:instrText>
            </w:r>
            <w:r>
              <w:rPr>
                <w:webHidden/>
              </w:rPr>
            </w:r>
            <w:r>
              <w:rPr>
                <w:webHidden/>
              </w:rPr>
              <w:fldChar w:fldCharType="separate"/>
            </w:r>
            <w:r>
              <w:rPr>
                <w:webHidden/>
              </w:rPr>
              <w:t>67</w:t>
            </w:r>
            <w:r>
              <w:rPr>
                <w:webHidden/>
              </w:rPr>
              <w:fldChar w:fldCharType="end"/>
            </w:r>
          </w:hyperlink>
        </w:p>
        <w:p w14:paraId="04A73480" w14:textId="493C0DBC" w:rsidR="005E05D4" w:rsidRDefault="005E05D4">
          <w:pPr>
            <w:pStyle w:val="11"/>
            <w:rPr>
              <w:rFonts w:asciiTheme="minorHAnsi" w:eastAsiaTheme="minorEastAsia" w:hAnsiTheme="minorHAnsi" w:cstheme="minorBidi"/>
              <w:b w:val="0"/>
              <w:sz w:val="22"/>
              <w:szCs w:val="22"/>
              <w:lang w:eastAsia="ru-RU"/>
            </w:rPr>
          </w:pPr>
          <w:hyperlink w:anchor="_Toc41427835" w:history="1">
            <w:r w:rsidRPr="004F5E23">
              <w:rPr>
                <w:rStyle w:val="af3"/>
              </w:rPr>
              <w:t>Заключение</w:t>
            </w:r>
            <w:r>
              <w:rPr>
                <w:webHidden/>
              </w:rPr>
              <w:tab/>
            </w:r>
            <w:r>
              <w:rPr>
                <w:webHidden/>
              </w:rPr>
              <w:fldChar w:fldCharType="begin"/>
            </w:r>
            <w:r>
              <w:rPr>
                <w:webHidden/>
              </w:rPr>
              <w:instrText xml:space="preserve"> PAGEREF _Toc41427835 \h </w:instrText>
            </w:r>
            <w:r>
              <w:rPr>
                <w:webHidden/>
              </w:rPr>
            </w:r>
            <w:r>
              <w:rPr>
                <w:webHidden/>
              </w:rPr>
              <w:fldChar w:fldCharType="separate"/>
            </w:r>
            <w:r>
              <w:rPr>
                <w:webHidden/>
              </w:rPr>
              <w:t>68</w:t>
            </w:r>
            <w:r>
              <w:rPr>
                <w:webHidden/>
              </w:rPr>
              <w:fldChar w:fldCharType="end"/>
            </w:r>
          </w:hyperlink>
        </w:p>
        <w:p w14:paraId="1D95D484" w14:textId="112D77FE" w:rsidR="005E05D4" w:rsidRDefault="005E05D4">
          <w:pPr>
            <w:pStyle w:val="11"/>
            <w:rPr>
              <w:rFonts w:asciiTheme="minorHAnsi" w:eastAsiaTheme="minorEastAsia" w:hAnsiTheme="minorHAnsi" w:cstheme="minorBidi"/>
              <w:b w:val="0"/>
              <w:sz w:val="22"/>
              <w:szCs w:val="22"/>
              <w:lang w:eastAsia="ru-RU"/>
            </w:rPr>
          </w:pPr>
          <w:hyperlink w:anchor="_Toc41427836" w:history="1">
            <w:r w:rsidRPr="004F5E23">
              <w:rPr>
                <w:rStyle w:val="af3"/>
              </w:rPr>
              <w:t>Список использованной литературы</w:t>
            </w:r>
            <w:r>
              <w:rPr>
                <w:webHidden/>
              </w:rPr>
              <w:tab/>
            </w:r>
            <w:r>
              <w:rPr>
                <w:webHidden/>
              </w:rPr>
              <w:fldChar w:fldCharType="begin"/>
            </w:r>
            <w:r>
              <w:rPr>
                <w:webHidden/>
              </w:rPr>
              <w:instrText xml:space="preserve"> PAGEREF _Toc41427836 \h </w:instrText>
            </w:r>
            <w:r>
              <w:rPr>
                <w:webHidden/>
              </w:rPr>
            </w:r>
            <w:r>
              <w:rPr>
                <w:webHidden/>
              </w:rPr>
              <w:fldChar w:fldCharType="separate"/>
            </w:r>
            <w:r>
              <w:rPr>
                <w:webHidden/>
              </w:rPr>
              <w:t>71</w:t>
            </w:r>
            <w:r>
              <w:rPr>
                <w:webHidden/>
              </w:rPr>
              <w:fldChar w:fldCharType="end"/>
            </w:r>
          </w:hyperlink>
        </w:p>
        <w:p w14:paraId="4312866C" w14:textId="10ED3856" w:rsidR="00236696" w:rsidRDefault="00236696">
          <w:r w:rsidRPr="002B1A86">
            <w:rPr>
              <w:rFonts w:cs="Times New Roman"/>
              <w:b/>
              <w:bCs/>
            </w:rPr>
            <w:fldChar w:fldCharType="end"/>
          </w:r>
        </w:p>
      </w:sdtContent>
    </w:sdt>
    <w:p w14:paraId="17AF0CC1" w14:textId="77777777" w:rsidR="00E8418A" w:rsidRPr="00E8418A" w:rsidRDefault="00E8418A" w:rsidP="00E8418A"/>
    <w:p w14:paraId="01AE4D26" w14:textId="401515F4" w:rsidR="00E8418A" w:rsidRDefault="00E8418A" w:rsidP="005D3242"/>
    <w:p w14:paraId="03F81047" w14:textId="5016F168" w:rsidR="00E8418A" w:rsidRDefault="00ED2B7B" w:rsidP="005D3242">
      <w:r>
        <w:t xml:space="preserve"> </w:t>
      </w:r>
    </w:p>
    <w:p w14:paraId="2E986714" w14:textId="285CB0AF" w:rsidR="00E8418A" w:rsidRDefault="00E8418A" w:rsidP="00DF4F07">
      <w:pPr>
        <w:ind w:firstLine="0"/>
      </w:pPr>
    </w:p>
    <w:p w14:paraId="40C66E72" w14:textId="486879C1" w:rsidR="00896622" w:rsidRDefault="00A83D4E" w:rsidP="00896622">
      <w:pPr>
        <w:pStyle w:val="1"/>
      </w:pPr>
      <w:bookmarkStart w:id="16" w:name="_Toc41427824"/>
      <w:r>
        <w:lastRenderedPageBreak/>
        <w:t>Введение</w:t>
      </w:r>
      <w:bookmarkEnd w:id="16"/>
    </w:p>
    <w:p w14:paraId="16D069BD" w14:textId="48469B3C" w:rsidR="00B90D77" w:rsidRDefault="00896622" w:rsidP="00B90D77">
      <w:r>
        <w:t xml:space="preserve">В современных условиях социально-экономическое </w:t>
      </w:r>
      <w:r w:rsidR="00D960C2">
        <w:t>развитие Санкт-Петербурга</w:t>
      </w:r>
      <w:r w:rsidR="001238B9">
        <w:t xml:space="preserve"> во многих сферах</w:t>
      </w:r>
      <w:r w:rsidR="00D960C2">
        <w:t xml:space="preserve">, </w:t>
      </w:r>
      <w:r w:rsidR="004A173D">
        <w:t>в частности</w:t>
      </w:r>
      <w:r w:rsidR="00537B4C">
        <w:t>,</w:t>
      </w:r>
      <w:r w:rsidR="004A173D">
        <w:t xml:space="preserve"> </w:t>
      </w:r>
      <w:r w:rsidR="001238B9">
        <w:t>в сфере</w:t>
      </w:r>
      <w:r w:rsidR="00D960C2">
        <w:t xml:space="preserve"> здравоохранения, </w:t>
      </w:r>
      <w:r>
        <w:t xml:space="preserve">требует </w:t>
      </w:r>
      <w:r w:rsidR="00F043CD">
        <w:t xml:space="preserve">активизации </w:t>
      </w:r>
      <w:r>
        <w:t>взаимодействия</w:t>
      </w:r>
      <w:r w:rsidR="00BD58DE">
        <w:t xml:space="preserve"> между</w:t>
      </w:r>
      <w:r>
        <w:t xml:space="preserve"> госу</w:t>
      </w:r>
      <w:r w:rsidR="00BD58DE">
        <w:t>дарством и бизнесом</w:t>
      </w:r>
      <w:r>
        <w:t>. Очевидно, что</w:t>
      </w:r>
      <w:r w:rsidR="00D37A4C">
        <w:t xml:space="preserve"> в ряде случаев,</w:t>
      </w:r>
      <w:r>
        <w:t xml:space="preserve"> различные формы в</w:t>
      </w:r>
      <w:r w:rsidR="00BD58DE">
        <w:t>заимодействия</w:t>
      </w:r>
      <w:r w:rsidRPr="005F31B6">
        <w:t xml:space="preserve"> бизнеса и власти</w:t>
      </w:r>
      <w:r>
        <w:t xml:space="preserve">, объединяющие их </w:t>
      </w:r>
      <w:r w:rsidR="00877FAE">
        <w:t xml:space="preserve">уникальные </w:t>
      </w:r>
      <w:r>
        <w:t>ресурсы и потенциал,</w:t>
      </w:r>
      <w:r w:rsidRPr="005F31B6">
        <w:t xml:space="preserve"> </w:t>
      </w:r>
      <w:r>
        <w:t>являю</w:t>
      </w:r>
      <w:r w:rsidR="00756688">
        <w:t>тся более эффективным</w:t>
      </w:r>
      <w:r w:rsidRPr="005F31B6">
        <w:t xml:space="preserve"> </w:t>
      </w:r>
      <w:r w:rsidR="00877FAE">
        <w:t xml:space="preserve">способом решения </w:t>
      </w:r>
      <w:r w:rsidRPr="005F31B6">
        <w:t>инфраструктурных</w:t>
      </w:r>
      <w:r>
        <w:t>, социальных, экономических, научно-технических</w:t>
      </w:r>
      <w:r w:rsidR="00756688">
        <w:t xml:space="preserve"> и других задач</w:t>
      </w:r>
      <w:r w:rsidRPr="005F31B6">
        <w:t>,</w:t>
      </w:r>
      <w:r w:rsidR="00877FAE">
        <w:t xml:space="preserve"> чем бюджетное финансирование или</w:t>
      </w:r>
      <w:r>
        <w:t xml:space="preserve"> </w:t>
      </w:r>
      <w:r w:rsidRPr="005F31B6">
        <w:t>приватизация.</w:t>
      </w:r>
      <w:r w:rsidR="00877FAE">
        <w:t xml:space="preserve"> </w:t>
      </w:r>
      <w:r w:rsidR="001E2B7E">
        <w:t>Взаимодействие государства и бизнеса это один из механизмов, способствующих установлению баланса между раст</w:t>
      </w:r>
      <w:r w:rsidR="00537B4C">
        <w:t>ущими</w:t>
      </w:r>
      <w:r w:rsidR="001E2B7E">
        <w:t xml:space="preserve"> потребностями общества и возможностями для их реализаци</w:t>
      </w:r>
      <w:r w:rsidR="005B6962">
        <w:t>и</w:t>
      </w:r>
      <w:r w:rsidR="00086062">
        <w:t>.</w:t>
      </w:r>
      <w:r w:rsidR="00F043CD">
        <w:t xml:space="preserve"> </w:t>
      </w:r>
      <w:r w:rsidR="00086062">
        <w:t>Основное преимущество взаимодействия власти и бизнеса состоит в том, что независимо от формы, государство сохраняет регулирующую роль в взаимоотношениях, что позволяет ему обеспечить поставку товаров, работ или услуг населению в требуемом объеме и качестве, удовлетворяя его нужды.</w:t>
      </w:r>
      <w:r w:rsidR="00546BBC">
        <w:t xml:space="preserve"> Взаимодействие государства с бизнесом позволяет власти не только разделить бремя ответственности за реализацию общественных потребностей, но и применить особые компетенции бизнеса для эффективного и экономичного использования ресурсов обеих сторон</w:t>
      </w:r>
      <w:r w:rsidR="00B551DF">
        <w:t xml:space="preserve">. </w:t>
      </w:r>
      <w:r w:rsidR="00546BBC">
        <w:t>При этом ключевой интерес бизнеса в таком роде отношений заключается в возможности обеспечения частичного финансирования инвестиционных проектов из бюджетных средств, разделении рисков реализации проекта с государством, в том числе, путем государственных гарантий, получения дополнительного дохода в виде прибыли от использования государственных активов.</w:t>
      </w:r>
      <w:r w:rsidR="00B90D77">
        <w:t xml:space="preserve"> То есть </w:t>
      </w:r>
      <w:r w:rsidR="00B551DF">
        <w:t xml:space="preserve">взаимодействие государства и бизнеса строится на комбинации их интересов. </w:t>
      </w:r>
    </w:p>
    <w:p w14:paraId="35A77C96" w14:textId="1A27192A" w:rsidR="00DF32AF" w:rsidRPr="00007529" w:rsidRDefault="00B551DF" w:rsidP="00007529">
      <w:r>
        <w:t>Для государства основной предпосылкой для взаимодействия с бизнесом, как правило, является необходимость в частных инвестициях, ноу-хау, опыте и знаниях менеджеров, а также других ресурсов</w:t>
      </w:r>
      <w:r w:rsidR="008C2C53">
        <w:t xml:space="preserve"> частного сектора</w:t>
      </w:r>
      <w:r>
        <w:t xml:space="preserve">. </w:t>
      </w:r>
      <w:r w:rsidR="00512743">
        <w:t>Как и другие сферы общественной жизни Санкт-Петербурга, сфера</w:t>
      </w:r>
      <w:r w:rsidR="008C2C53">
        <w:t xml:space="preserve"> здравоохранения столкнулась не только с традиционной проблемой, выражающейся в ограниченности и недостаточности бюджетных средств, но и с</w:t>
      </w:r>
      <w:r w:rsidR="00DC1DCD">
        <w:t xml:space="preserve"> специфическими, например: усложнение</w:t>
      </w:r>
      <w:r w:rsidR="00007529">
        <w:t>м</w:t>
      </w:r>
      <w:r w:rsidR="008C2C53">
        <w:t xml:space="preserve"> </w:t>
      </w:r>
      <w:r w:rsidR="00DC1DCD">
        <w:t>и удорожание</w:t>
      </w:r>
      <w:r w:rsidR="00007529">
        <w:t>м</w:t>
      </w:r>
      <w:r w:rsidR="008C2C53">
        <w:t xml:space="preserve"> создания и управления объектами здравоохранения, а также </w:t>
      </w:r>
      <w:r w:rsidR="00007529">
        <w:t>процессом</w:t>
      </w:r>
      <w:r w:rsidR="008C2C53">
        <w:t xml:space="preserve"> предоставления медицинских услуг,</w:t>
      </w:r>
      <w:r w:rsidR="00FC00D6">
        <w:t xml:space="preserve"> обусловленное</w:t>
      </w:r>
      <w:r w:rsidR="008C2C53">
        <w:t xml:space="preserve"> </w:t>
      </w:r>
      <w:r w:rsidR="00DC1DCD">
        <w:t>изношенность</w:t>
      </w:r>
      <w:r w:rsidR="00FC00D6">
        <w:t>ю</w:t>
      </w:r>
      <w:r w:rsidR="00DC1DCD">
        <w:t xml:space="preserve"> и устаревание</w:t>
      </w:r>
      <w:r w:rsidR="00FC00D6">
        <w:t>м</w:t>
      </w:r>
      <w:r w:rsidR="008C2C53">
        <w:t xml:space="preserve"> инфраструктуры, </w:t>
      </w:r>
      <w:r w:rsidR="00DC1DCD">
        <w:t>необходимость</w:t>
      </w:r>
      <w:r w:rsidR="00FC00D6">
        <w:t>ю</w:t>
      </w:r>
      <w:r w:rsidR="00B95255" w:rsidRPr="004A793D">
        <w:t xml:space="preserve"> </w:t>
      </w:r>
      <w:r w:rsidR="00B95255">
        <w:t>широкого применения</w:t>
      </w:r>
      <w:r w:rsidR="008C2C53" w:rsidRPr="004A793D">
        <w:t xml:space="preserve"> дорогостоящего медицинского оборудования, </w:t>
      </w:r>
      <w:r w:rsidR="00FC00D6">
        <w:t xml:space="preserve">а также </w:t>
      </w:r>
      <w:r w:rsidR="00DC1DCD">
        <w:t>вн</w:t>
      </w:r>
      <w:r w:rsidR="00FC00D6">
        <w:t>едрения</w:t>
      </w:r>
      <w:r w:rsidR="008C2C53" w:rsidRPr="004A793D">
        <w:t xml:space="preserve"> в клиническую практику передовых медицинских </w:t>
      </w:r>
      <w:r w:rsidR="004D44D4">
        <w:t xml:space="preserve">и информационных </w:t>
      </w:r>
      <w:r w:rsidR="008C2C53" w:rsidRPr="004A793D">
        <w:t>технологий</w:t>
      </w:r>
      <w:r w:rsidR="008C2C53">
        <w:t>.</w:t>
      </w:r>
      <w:r w:rsidR="00156177">
        <w:t xml:space="preserve"> </w:t>
      </w:r>
      <w:r w:rsidR="00F0629D" w:rsidRPr="00F0629D">
        <w:t xml:space="preserve">Именно </w:t>
      </w:r>
      <w:r w:rsidR="00B90D77" w:rsidRPr="00F0629D">
        <w:t>взаимодействие</w:t>
      </w:r>
      <w:r w:rsidR="00FC00D6" w:rsidRPr="00F0629D">
        <w:t xml:space="preserve"> </w:t>
      </w:r>
      <w:r w:rsidR="00F0629D" w:rsidRPr="00F0629D">
        <w:t xml:space="preserve">власти с бизнесом может стать </w:t>
      </w:r>
      <w:r w:rsidR="00F0629D">
        <w:t>основой</w:t>
      </w:r>
      <w:r w:rsidR="00F0629D" w:rsidRPr="00F0629D">
        <w:t xml:space="preserve"> для использования</w:t>
      </w:r>
      <w:r w:rsidR="00F0629D">
        <w:t xml:space="preserve"> сильных сторон частного сектора</w:t>
      </w:r>
      <w:r w:rsidR="00DF32AF" w:rsidRPr="00F0629D">
        <w:t xml:space="preserve">, </w:t>
      </w:r>
      <w:r w:rsidR="00F0629D">
        <w:t>таких как</w:t>
      </w:r>
      <w:r w:rsidR="00DF32AF" w:rsidRPr="00F0629D">
        <w:t xml:space="preserve"> высокий уровень профессионализма</w:t>
      </w:r>
      <w:r w:rsidR="00007529">
        <w:t xml:space="preserve"> менеджмента</w:t>
      </w:r>
      <w:r w:rsidR="00DF32AF" w:rsidRPr="00F0629D">
        <w:t xml:space="preserve">, гибкость и </w:t>
      </w:r>
      <w:r w:rsidR="00DF32AF" w:rsidRPr="00F0629D">
        <w:lastRenderedPageBreak/>
        <w:t>оперативность при принятии решений</w:t>
      </w:r>
      <w:r w:rsidR="00F0629D">
        <w:t xml:space="preserve">, способность к новаторской деятельности, </w:t>
      </w:r>
      <w:r w:rsidR="00007529">
        <w:t>в реализации качественных проектов, направленных на развитие сферы здравоохранения в целом.</w:t>
      </w:r>
    </w:p>
    <w:p w14:paraId="519C5632" w14:textId="4239EEA4" w:rsidR="007C2F0A" w:rsidRDefault="007C2F0A" w:rsidP="007C2F0A">
      <w:r>
        <w:t>Выбор формы взаимодействия между государством и бизнесом должен определяться целями и задачами, а также ожидаемыми результатами от этого взаимодействия для достижения социально-экономических развития, как Санкт-Петербурга в целом, так и сферы здравоохранения в частности. Грамотное использование форм взаимодействия имеет стратегическое значение, так как позволяет оптимальным образом использовать ресурсы и потенциал обоих участников.</w:t>
      </w:r>
    </w:p>
    <w:p w14:paraId="23E197FA" w14:textId="762FD306" w:rsidR="00CC0933" w:rsidRDefault="00CC0933" w:rsidP="00CC0933">
      <w:r>
        <w:t xml:space="preserve">Объектом исследования являются формы взаимодействия </w:t>
      </w:r>
      <w:r w:rsidR="00C07173">
        <w:t xml:space="preserve">власти </w:t>
      </w:r>
      <w:r>
        <w:t>и частного бизнеса.</w:t>
      </w:r>
    </w:p>
    <w:p w14:paraId="429355D8" w14:textId="4EE2DAD1" w:rsidR="00CC0933" w:rsidRDefault="00CC0933" w:rsidP="00CC0933">
      <w:r>
        <w:t>Предмет исследования – механизм взаимодействия власти и бизнеса в контексте решения социально-экономических задач</w:t>
      </w:r>
      <w:r w:rsidR="00F62AD9">
        <w:t xml:space="preserve"> в сфере здравоохранения на примере г. Санкт-Петербург. </w:t>
      </w:r>
    </w:p>
    <w:p w14:paraId="11E2EB39" w14:textId="781826FA" w:rsidR="00C07173" w:rsidRDefault="00577371" w:rsidP="00CC0933">
      <w:r>
        <w:t xml:space="preserve">Проблема заключается в ограниченном использовании </w:t>
      </w:r>
      <w:r w:rsidR="0072135E">
        <w:t xml:space="preserve">всего </w:t>
      </w:r>
      <w:r w:rsidR="00F62AD9">
        <w:t xml:space="preserve">разнообразия </w:t>
      </w:r>
      <w:r>
        <w:t xml:space="preserve">форм взаимодействия государства и бизнеса </w:t>
      </w:r>
      <w:r w:rsidR="00F62AD9">
        <w:t>в Санкт-Петербурге для решения</w:t>
      </w:r>
      <w:r>
        <w:t xml:space="preserve"> социально-экономических задач </w:t>
      </w:r>
      <w:r w:rsidR="00F62AD9">
        <w:t>в сфере здравоохранения.</w:t>
      </w:r>
    </w:p>
    <w:p w14:paraId="1E2BE535" w14:textId="1F13FBF2" w:rsidR="006D6997" w:rsidRPr="006D6997" w:rsidRDefault="00CC0933" w:rsidP="00836A4B">
      <w:r w:rsidRPr="00973F69">
        <w:t>Цель и</w:t>
      </w:r>
      <w:r w:rsidR="006D6997">
        <w:t xml:space="preserve">сследования заключается в выработке рекомендаций, которые могут быть использованы органами государственной власти на региональном уровне, </w:t>
      </w:r>
      <w:r w:rsidR="00836A4B">
        <w:t>в целях активизации использования форм взаимодействия государства и бизнеса для решения социально-экономических задач</w:t>
      </w:r>
      <w:r w:rsidR="00B172D5">
        <w:t xml:space="preserve"> развития</w:t>
      </w:r>
      <w:r w:rsidR="00836A4B">
        <w:t xml:space="preserve"> </w:t>
      </w:r>
      <w:r w:rsidR="00B172D5">
        <w:t xml:space="preserve">субъектов Российской Федерации </w:t>
      </w:r>
      <w:r w:rsidR="00836A4B">
        <w:t>на примере</w:t>
      </w:r>
      <w:r w:rsidR="00836A4B" w:rsidRPr="00836A4B">
        <w:t xml:space="preserve"> </w:t>
      </w:r>
      <w:r w:rsidR="00836A4B">
        <w:t xml:space="preserve">сферы здравоохранения в Санкт-Петербурге. </w:t>
      </w:r>
    </w:p>
    <w:p w14:paraId="7795DA7B" w14:textId="77777777" w:rsidR="007362C2" w:rsidRPr="00973F69" w:rsidRDefault="007362C2" w:rsidP="007362C2">
      <w:r w:rsidRPr="00973F69">
        <w:t>Для достижения поставленной цели необходимо решить следующие задачи:</w:t>
      </w:r>
    </w:p>
    <w:p w14:paraId="5C4AF21B" w14:textId="1EABF629" w:rsidR="00931DDC" w:rsidRDefault="00931DDC" w:rsidP="00486867">
      <w:pPr>
        <w:pStyle w:val="af5"/>
        <w:numPr>
          <w:ilvl w:val="0"/>
          <w:numId w:val="16"/>
        </w:numPr>
        <w:spacing w:after="160"/>
        <w:rPr>
          <w:rFonts w:cs="Times New Roman"/>
          <w:szCs w:val="24"/>
        </w:rPr>
      </w:pPr>
      <w:r>
        <w:rPr>
          <w:rFonts w:cs="Times New Roman"/>
          <w:szCs w:val="24"/>
        </w:rPr>
        <w:t xml:space="preserve">Проанализировать типологии </w:t>
      </w:r>
      <w:r w:rsidR="006E202A">
        <w:rPr>
          <w:rFonts w:cs="Times New Roman"/>
          <w:szCs w:val="24"/>
        </w:rPr>
        <w:t xml:space="preserve">моделей </w:t>
      </w:r>
      <w:r>
        <w:rPr>
          <w:rFonts w:cs="Times New Roman"/>
          <w:szCs w:val="24"/>
        </w:rPr>
        <w:t>взаимодействия государства и бизнеса;</w:t>
      </w:r>
    </w:p>
    <w:p w14:paraId="4AEBA708" w14:textId="6C6791A2" w:rsidR="007362C2" w:rsidRPr="008A413C" w:rsidRDefault="007362C2" w:rsidP="00486867">
      <w:pPr>
        <w:pStyle w:val="af5"/>
        <w:numPr>
          <w:ilvl w:val="0"/>
          <w:numId w:val="16"/>
        </w:numPr>
        <w:spacing w:after="160"/>
        <w:rPr>
          <w:rFonts w:cs="Times New Roman"/>
          <w:color w:val="000000" w:themeColor="text1"/>
          <w:szCs w:val="24"/>
        </w:rPr>
      </w:pPr>
      <w:r w:rsidRPr="008A413C">
        <w:rPr>
          <w:rFonts w:cs="Times New Roman"/>
          <w:color w:val="000000" w:themeColor="text1"/>
          <w:szCs w:val="24"/>
        </w:rPr>
        <w:t>Определить существующие формы взаимодействия государства и бизнеса и их особенности;</w:t>
      </w:r>
    </w:p>
    <w:p w14:paraId="4E146DDC" w14:textId="4036F94F" w:rsidR="00CC0933" w:rsidRPr="008A413C" w:rsidRDefault="00C556F1" w:rsidP="00486867">
      <w:pPr>
        <w:pStyle w:val="af5"/>
        <w:numPr>
          <w:ilvl w:val="0"/>
          <w:numId w:val="16"/>
        </w:numPr>
        <w:rPr>
          <w:rFonts w:cs="Times New Roman"/>
          <w:color w:val="000000" w:themeColor="text1"/>
          <w:szCs w:val="24"/>
        </w:rPr>
      </w:pPr>
      <w:r w:rsidRPr="008A413C">
        <w:rPr>
          <w:rFonts w:cs="Times New Roman"/>
          <w:color w:val="000000" w:themeColor="text1"/>
          <w:szCs w:val="24"/>
        </w:rPr>
        <w:t>Проанализировать документы</w:t>
      </w:r>
      <w:r w:rsidR="00CC0933" w:rsidRPr="008A413C">
        <w:rPr>
          <w:rFonts w:cs="Times New Roman"/>
          <w:color w:val="000000" w:themeColor="text1"/>
          <w:szCs w:val="24"/>
        </w:rPr>
        <w:t xml:space="preserve"> стратегического планирования</w:t>
      </w:r>
      <w:r w:rsidR="002E6063" w:rsidRPr="008A413C">
        <w:rPr>
          <w:rFonts w:cs="Times New Roman"/>
          <w:color w:val="000000" w:themeColor="text1"/>
          <w:szCs w:val="24"/>
        </w:rPr>
        <w:t xml:space="preserve"> </w:t>
      </w:r>
      <w:r w:rsidRPr="008A413C">
        <w:rPr>
          <w:rFonts w:cs="Times New Roman"/>
          <w:color w:val="000000" w:themeColor="text1"/>
          <w:szCs w:val="24"/>
        </w:rPr>
        <w:t>Санкт-Петербург</w:t>
      </w:r>
      <w:r w:rsidR="002E6063" w:rsidRPr="008A413C">
        <w:rPr>
          <w:rFonts w:cs="Times New Roman"/>
          <w:color w:val="000000" w:themeColor="text1"/>
          <w:szCs w:val="24"/>
        </w:rPr>
        <w:t>а</w:t>
      </w:r>
      <w:r w:rsidR="00CC0933" w:rsidRPr="008A413C">
        <w:rPr>
          <w:rFonts w:cs="Times New Roman"/>
          <w:color w:val="000000" w:themeColor="text1"/>
          <w:szCs w:val="24"/>
        </w:rPr>
        <w:t xml:space="preserve"> для идентификации роли и места </w:t>
      </w:r>
      <w:r w:rsidRPr="008A413C">
        <w:rPr>
          <w:rFonts w:cs="Times New Roman"/>
          <w:color w:val="000000" w:themeColor="text1"/>
          <w:szCs w:val="24"/>
        </w:rPr>
        <w:t xml:space="preserve">взаимодействия </w:t>
      </w:r>
      <w:r w:rsidR="00CC0933" w:rsidRPr="008A413C">
        <w:rPr>
          <w:rFonts w:cs="Times New Roman"/>
          <w:color w:val="000000" w:themeColor="text1"/>
          <w:szCs w:val="24"/>
        </w:rPr>
        <w:t>власти и бизнеса в решении социально-экономических задач</w:t>
      </w:r>
      <w:r w:rsidR="00FC529B" w:rsidRPr="008A413C">
        <w:rPr>
          <w:rFonts w:cs="Times New Roman"/>
          <w:color w:val="000000" w:themeColor="text1"/>
          <w:szCs w:val="24"/>
        </w:rPr>
        <w:t xml:space="preserve"> в сфере здравоохранения</w:t>
      </w:r>
      <w:r w:rsidR="00CC0933" w:rsidRPr="008A413C">
        <w:rPr>
          <w:rFonts w:cs="Times New Roman"/>
          <w:color w:val="000000" w:themeColor="text1"/>
          <w:szCs w:val="24"/>
        </w:rPr>
        <w:t>;</w:t>
      </w:r>
    </w:p>
    <w:p w14:paraId="77C08A2E" w14:textId="228916FE" w:rsidR="00C556F1" w:rsidRDefault="00C556F1" w:rsidP="00486867">
      <w:pPr>
        <w:pStyle w:val="af5"/>
        <w:numPr>
          <w:ilvl w:val="0"/>
          <w:numId w:val="16"/>
        </w:numPr>
        <w:rPr>
          <w:rFonts w:cs="Times New Roman"/>
          <w:color w:val="000000" w:themeColor="text1"/>
          <w:szCs w:val="24"/>
        </w:rPr>
      </w:pPr>
      <w:r w:rsidRPr="008A413C">
        <w:rPr>
          <w:rFonts w:cs="Times New Roman"/>
          <w:color w:val="000000" w:themeColor="text1"/>
          <w:szCs w:val="24"/>
        </w:rPr>
        <w:t xml:space="preserve">Определить формы взаимодействия, </w:t>
      </w:r>
      <w:r w:rsidR="005C3656" w:rsidRPr="008A413C">
        <w:rPr>
          <w:rFonts w:cs="Times New Roman"/>
          <w:color w:val="000000" w:themeColor="text1"/>
          <w:szCs w:val="24"/>
        </w:rPr>
        <w:t>с помощью которых возможно достижение социально-экономических целей и зад</w:t>
      </w:r>
      <w:r w:rsidR="00836A4B" w:rsidRPr="008A413C">
        <w:rPr>
          <w:rFonts w:cs="Times New Roman"/>
          <w:color w:val="000000" w:themeColor="text1"/>
          <w:szCs w:val="24"/>
        </w:rPr>
        <w:t xml:space="preserve">ач в сфере здравоохранения в </w:t>
      </w:r>
      <w:r w:rsidR="005C3656" w:rsidRPr="008A413C">
        <w:rPr>
          <w:rFonts w:cs="Times New Roman"/>
          <w:color w:val="000000" w:themeColor="text1"/>
          <w:szCs w:val="24"/>
        </w:rPr>
        <w:t>Санкт-Петербург</w:t>
      </w:r>
      <w:r w:rsidR="00836A4B" w:rsidRPr="008A413C">
        <w:rPr>
          <w:rFonts w:cs="Times New Roman"/>
          <w:color w:val="000000" w:themeColor="text1"/>
          <w:szCs w:val="24"/>
        </w:rPr>
        <w:t>е</w:t>
      </w:r>
      <w:r w:rsidR="002E6063" w:rsidRPr="008A413C">
        <w:rPr>
          <w:rFonts w:cs="Times New Roman"/>
          <w:color w:val="000000" w:themeColor="text1"/>
          <w:szCs w:val="24"/>
        </w:rPr>
        <w:t>;</w:t>
      </w:r>
    </w:p>
    <w:p w14:paraId="0043CE57" w14:textId="22EADA0F" w:rsidR="005E05D4" w:rsidRPr="008A413C" w:rsidRDefault="005E05D4" w:rsidP="00486867">
      <w:pPr>
        <w:pStyle w:val="af5"/>
        <w:numPr>
          <w:ilvl w:val="0"/>
          <w:numId w:val="16"/>
        </w:numPr>
        <w:rPr>
          <w:rFonts w:cs="Times New Roman"/>
          <w:color w:val="000000" w:themeColor="text1"/>
          <w:szCs w:val="24"/>
        </w:rPr>
      </w:pPr>
      <w:r>
        <w:rPr>
          <w:rFonts w:cs="Times New Roman"/>
          <w:color w:val="000000" w:themeColor="text1"/>
          <w:szCs w:val="24"/>
        </w:rPr>
        <w:t>Проанализировать текущее состояние взаимодействия власти и бизнеса и применяемые формы в реализации задач социально-экономического развития в сфере здравоохранения в Санкт-Петербурге;</w:t>
      </w:r>
    </w:p>
    <w:p w14:paraId="40241D87" w14:textId="3FF6950C" w:rsidR="002E6063" w:rsidRPr="008A413C" w:rsidRDefault="005E05D4" w:rsidP="00486867">
      <w:pPr>
        <w:pStyle w:val="af5"/>
        <w:numPr>
          <w:ilvl w:val="0"/>
          <w:numId w:val="16"/>
        </w:numPr>
        <w:rPr>
          <w:rFonts w:cs="Times New Roman"/>
          <w:color w:val="000000" w:themeColor="text1"/>
          <w:szCs w:val="24"/>
        </w:rPr>
      </w:pPr>
      <w:r>
        <w:rPr>
          <w:rFonts w:cs="Times New Roman"/>
          <w:color w:val="000000" w:themeColor="text1"/>
          <w:szCs w:val="24"/>
        </w:rPr>
        <w:lastRenderedPageBreak/>
        <w:t xml:space="preserve">Определить факторы, способствующие и препятствующие организации взаимодействия власти и бизнеса в форме ГЧП для решения задач социально-экономического развития в сфере здравоохранения в Санкт-Петербурге; </w:t>
      </w:r>
    </w:p>
    <w:p w14:paraId="2F3C12EA" w14:textId="122CB6BF" w:rsidR="00836A4B" w:rsidRPr="008A413C" w:rsidRDefault="00836A4B" w:rsidP="00486867">
      <w:pPr>
        <w:pStyle w:val="af5"/>
        <w:numPr>
          <w:ilvl w:val="0"/>
          <w:numId w:val="16"/>
        </w:numPr>
        <w:rPr>
          <w:rFonts w:cs="Times New Roman"/>
          <w:color w:val="000000" w:themeColor="text1"/>
          <w:szCs w:val="24"/>
        </w:rPr>
      </w:pPr>
      <w:r w:rsidRPr="008A413C">
        <w:rPr>
          <w:rFonts w:cs="Times New Roman"/>
          <w:color w:val="000000" w:themeColor="text1"/>
          <w:szCs w:val="24"/>
        </w:rPr>
        <w:t>Выработать рекомендации по</w:t>
      </w:r>
      <w:r w:rsidR="008A413C">
        <w:rPr>
          <w:rFonts w:cs="Times New Roman"/>
          <w:color w:val="000000" w:themeColor="text1"/>
          <w:szCs w:val="24"/>
        </w:rPr>
        <w:t xml:space="preserve"> активизации использования форм взаимодействия власти и бизнеса в решении социально-экономических задач в сфере здравоохранения в Санкт-Петербурге</w:t>
      </w:r>
      <w:r w:rsidR="005E05D4">
        <w:rPr>
          <w:rFonts w:cs="Times New Roman"/>
          <w:color w:val="000000" w:themeColor="text1"/>
          <w:szCs w:val="24"/>
        </w:rPr>
        <w:t xml:space="preserve"> в форме ГЧП</w:t>
      </w:r>
      <w:r w:rsidR="008A413C">
        <w:rPr>
          <w:rFonts w:cs="Times New Roman"/>
          <w:color w:val="000000" w:themeColor="text1"/>
          <w:szCs w:val="24"/>
        </w:rPr>
        <w:t>.</w:t>
      </w:r>
    </w:p>
    <w:p w14:paraId="7852E0DA" w14:textId="230739FB" w:rsidR="007362C2" w:rsidRDefault="007362C2" w:rsidP="00CC0933">
      <w:r w:rsidRPr="00152ED9">
        <w:t xml:space="preserve">Предполагаемый инструментарий исследования: </w:t>
      </w:r>
      <w:r>
        <w:t xml:space="preserve">анализ и обобщение специализированной литературы, публикаций и статей по </w:t>
      </w:r>
      <w:bookmarkStart w:id="17" w:name="_GoBack"/>
      <w:bookmarkEnd w:id="17"/>
      <w:r>
        <w:t xml:space="preserve">выбранной теме, нормативно-правовой </w:t>
      </w:r>
      <w:r w:rsidR="00DB647F">
        <w:t>контент-</w:t>
      </w:r>
      <w:r>
        <w:t>анализ,</w:t>
      </w:r>
      <w:r w:rsidR="00DB647F">
        <w:t xml:space="preserve"> кейс-анализ,</w:t>
      </w:r>
      <w:r w:rsidR="008A413C">
        <w:t xml:space="preserve"> обзор экспертных мнений,</w:t>
      </w:r>
      <w:r>
        <w:t xml:space="preserve"> сбор и обработка первичной информации</w:t>
      </w:r>
      <w:r w:rsidR="00DB647F">
        <w:t>,</w:t>
      </w:r>
      <w:r>
        <w:t xml:space="preserve"> </w:t>
      </w:r>
      <w:r w:rsidR="00DB647F">
        <w:t>проведение</w:t>
      </w:r>
      <w:r w:rsidR="0072135E">
        <w:t xml:space="preserve"> глубинных интервью</w:t>
      </w:r>
      <w:r w:rsidR="00836A4B">
        <w:t xml:space="preserve"> </w:t>
      </w:r>
      <w:r w:rsidR="00836A4B" w:rsidRPr="00836A4B">
        <w:t xml:space="preserve">с представителями государственных и частных медицинских учреждений, </w:t>
      </w:r>
      <w:r w:rsidR="00836A4B">
        <w:t>а также представителями комитета здравоохранения Санкт-Петербурга</w:t>
      </w:r>
      <w:r>
        <w:t>.</w:t>
      </w:r>
      <w:r w:rsidRPr="00152ED9">
        <w:t xml:space="preserve"> Предполагаемые ист</w:t>
      </w:r>
      <w:r w:rsidR="0004524D">
        <w:t>очники информации: нормативно-</w:t>
      </w:r>
      <w:r w:rsidRPr="00152ED9">
        <w:t>правовая база</w:t>
      </w:r>
      <w:r>
        <w:t xml:space="preserve"> федерального и </w:t>
      </w:r>
      <w:r w:rsidRPr="00743BB3">
        <w:t xml:space="preserve">регионального уровня, </w:t>
      </w:r>
      <w:r w:rsidRPr="00152ED9">
        <w:t>научная и экспертная п</w:t>
      </w:r>
      <w:r>
        <w:t>ериодическая литература.</w:t>
      </w:r>
    </w:p>
    <w:p w14:paraId="2EC10395" w14:textId="07435DBB" w:rsidR="00CB0D6A" w:rsidRDefault="00CB0D6A" w:rsidP="00627FC3">
      <w:pPr>
        <w:ind w:firstLine="0"/>
      </w:pPr>
    </w:p>
    <w:p w14:paraId="3E6F9584" w14:textId="59F78A6F" w:rsidR="00CB0D6A" w:rsidRDefault="00CB0D6A" w:rsidP="00E8418A"/>
    <w:p w14:paraId="0886A30A" w14:textId="678C0117" w:rsidR="00CB0D6A" w:rsidRDefault="00CB0D6A" w:rsidP="00E8418A"/>
    <w:p w14:paraId="0112B5C9" w14:textId="2CFE8977" w:rsidR="00CB0D6A" w:rsidRDefault="00CB0D6A" w:rsidP="00E8418A"/>
    <w:p w14:paraId="3BEC5281" w14:textId="6B39B6E9" w:rsidR="00CB0D6A" w:rsidRDefault="00CB0D6A" w:rsidP="00E8418A"/>
    <w:p w14:paraId="202AE974" w14:textId="14B5D370" w:rsidR="00CB0D6A" w:rsidRDefault="00CB0D6A" w:rsidP="00E8418A"/>
    <w:p w14:paraId="1E7D3958" w14:textId="1A79048E" w:rsidR="00CB0D6A" w:rsidRDefault="00CB0D6A" w:rsidP="00E8418A"/>
    <w:p w14:paraId="60D04740" w14:textId="24913A6D" w:rsidR="00332836" w:rsidRPr="00332836" w:rsidRDefault="007C3A31" w:rsidP="00332836">
      <w:pPr>
        <w:pStyle w:val="1"/>
      </w:pPr>
      <w:bookmarkStart w:id="18" w:name="_Toc41427825"/>
      <w:r>
        <w:lastRenderedPageBreak/>
        <w:t>Глава 1. Теоретические подходы к форм</w:t>
      </w:r>
      <w:r w:rsidR="00DB647F">
        <w:t>ам</w:t>
      </w:r>
      <w:r>
        <w:t xml:space="preserve"> взаимодействия государства и бизнеса</w:t>
      </w:r>
      <w:bookmarkEnd w:id="18"/>
      <w:r>
        <w:t xml:space="preserve"> </w:t>
      </w:r>
    </w:p>
    <w:p w14:paraId="4B200D59" w14:textId="7FE7F7C0" w:rsidR="000F3996" w:rsidRDefault="000F3996" w:rsidP="00A3101A">
      <w:pPr>
        <w:pStyle w:val="2"/>
        <w:spacing w:after="120"/>
      </w:pPr>
      <w:bookmarkStart w:id="19" w:name="_Toc41427826"/>
      <w:r w:rsidRPr="000F3996">
        <w:t xml:space="preserve">1.1 Теоретические </w:t>
      </w:r>
      <w:r w:rsidR="008A3AB1">
        <w:t xml:space="preserve">основы </w:t>
      </w:r>
      <w:r w:rsidR="00735ADC">
        <w:t>типологий</w:t>
      </w:r>
      <w:r w:rsidRPr="000F3996">
        <w:t xml:space="preserve"> взаимодействия государства и бизнеса</w:t>
      </w:r>
      <w:bookmarkEnd w:id="19"/>
    </w:p>
    <w:p w14:paraId="31C8ACC9" w14:textId="6732636C" w:rsidR="005E2E2F" w:rsidRDefault="00DB647F" w:rsidP="005E2E2F">
      <w:pPr>
        <w:rPr>
          <w:rFonts w:cs="Times New Roman"/>
          <w:szCs w:val="24"/>
        </w:rPr>
      </w:pPr>
      <w:r>
        <w:rPr>
          <w:rFonts w:cs="Times New Roman"/>
          <w:szCs w:val="24"/>
        </w:rPr>
        <w:t>Понятие «взаимоотношение» более широкое и расплывчатое, чем понятие «взаимодействие». Взаимоотношения между экономическими субъектами – эта статичная связь, которая лишь подчёркивает некую степень их взаимосвязанности, например, существование на общей политической, экономической, социальной арене, то есть в сходных условиях в различных сферах социально-экономической жизни. Тогда как в</w:t>
      </w:r>
      <w:r w:rsidRPr="00482EE3">
        <w:rPr>
          <w:rFonts w:cs="Times New Roman"/>
          <w:szCs w:val="24"/>
        </w:rPr>
        <w:t>заимодействие — это сложный процесс, включающий в себя воздействие субъектов деятельности друг на друга, их взаимную обусловленность и изменение каждого из субъектов состояния другого</w:t>
      </w:r>
      <w:r>
        <w:rPr>
          <w:rFonts w:cs="Times New Roman"/>
          <w:szCs w:val="24"/>
        </w:rPr>
        <w:t>.</w:t>
      </w:r>
      <w:r>
        <w:rPr>
          <w:rStyle w:val="afa"/>
          <w:rFonts w:cs="Times New Roman"/>
          <w:szCs w:val="24"/>
        </w:rPr>
        <w:footnoteReference w:id="1"/>
      </w:r>
      <w:r>
        <w:rPr>
          <w:rFonts w:cs="Times New Roman"/>
          <w:szCs w:val="24"/>
        </w:rPr>
        <w:t xml:space="preserve"> В</w:t>
      </w:r>
      <w:r w:rsidRPr="00DB647F">
        <w:rPr>
          <w:rFonts w:cs="Times New Roman"/>
          <w:szCs w:val="24"/>
        </w:rPr>
        <w:t xml:space="preserve">заимодействие экономических субъектов </w:t>
      </w:r>
      <w:r>
        <w:rPr>
          <w:rFonts w:cs="Times New Roman"/>
          <w:szCs w:val="24"/>
        </w:rPr>
        <w:t xml:space="preserve">представляет собой </w:t>
      </w:r>
      <w:r w:rsidRPr="00DB647F">
        <w:rPr>
          <w:rFonts w:cs="Times New Roman"/>
          <w:szCs w:val="24"/>
        </w:rPr>
        <w:t>процесс развития отношений сотрудничества, согласования действий по удовлетворению потребностей для достижения своих целей, получения выгоды и обеспечение взаимной адаптации к институциональным изменениям.</w:t>
      </w:r>
      <w:r>
        <w:rPr>
          <w:rStyle w:val="afa"/>
          <w:rFonts w:cs="Times New Roman"/>
          <w:szCs w:val="24"/>
        </w:rPr>
        <w:footnoteReference w:id="2"/>
      </w:r>
      <w:r>
        <w:rPr>
          <w:rFonts w:cs="Times New Roman"/>
          <w:szCs w:val="24"/>
        </w:rPr>
        <w:t xml:space="preserve"> </w:t>
      </w:r>
      <w:r w:rsidR="00F06209">
        <w:rPr>
          <w:rFonts w:cs="Times New Roman"/>
          <w:szCs w:val="24"/>
        </w:rPr>
        <w:t>То есть в</w:t>
      </w:r>
      <w:r>
        <w:rPr>
          <w:rFonts w:cs="Times New Roman"/>
          <w:szCs w:val="24"/>
        </w:rPr>
        <w:t xml:space="preserve">заимодействие экономических субъектов – это динамичный процесс, предполагающий адаптацию деятельности и функций субъектов под изменяющуюся среду, цели и задачи. Другими словами, эффективность взаимодействия базируется на оптимальном распределении различных материальных ресурсов, обязанностей и полномочий экономических субъектов, а также их ролей в обществе. </w:t>
      </w:r>
    </w:p>
    <w:p w14:paraId="665788B0" w14:textId="1A218CC8" w:rsidR="005E2E2F" w:rsidRDefault="00DE32D0" w:rsidP="006E05F1">
      <w:r>
        <w:rPr>
          <w:rFonts w:cs="Times New Roman"/>
          <w:szCs w:val="24"/>
        </w:rPr>
        <w:t>Обращаясь к определениям термина «взаимодействие» в контексте отношений между государства</w:t>
      </w:r>
      <w:r w:rsidR="00E80D4B">
        <w:rPr>
          <w:rFonts w:cs="Times New Roman"/>
          <w:szCs w:val="24"/>
        </w:rPr>
        <w:t xml:space="preserve"> и бизнесом следует обратить внимание на широкую вариативность понятий. В большей мере авторы при трактовке данного термина фокусируются на сферах использования такого типа взаимоотношений власти и бизнеса, а также подчеркивают необходимость учета интересов обеих сторон. И. А. Бабкин и Е. Д. </w:t>
      </w:r>
      <w:proofErr w:type="spellStart"/>
      <w:r w:rsidR="00E80D4B">
        <w:rPr>
          <w:rFonts w:cs="Times New Roman"/>
          <w:szCs w:val="24"/>
        </w:rPr>
        <w:t>Жеребов</w:t>
      </w:r>
      <w:proofErr w:type="spellEnd"/>
      <w:r w:rsidR="00E80D4B">
        <w:rPr>
          <w:rFonts w:cs="Times New Roman"/>
          <w:szCs w:val="24"/>
        </w:rPr>
        <w:t xml:space="preserve"> под взаимодействием государства и бизнеса понимают </w:t>
      </w:r>
      <w:r w:rsidR="00E80D4B">
        <w:t xml:space="preserve">институциональный и организационный альянс государства (или муниципальной власти) и бизнеса, </w:t>
      </w:r>
      <w:r w:rsidR="00F06209">
        <w:t>основывающийся на объединении</w:t>
      </w:r>
      <w:r w:rsidR="00E80D4B">
        <w:t xml:space="preserve"> материальных и нематериальных ресурсов обеих сторон на взаимовыгодной договорной основе в целях реализации общественно значимых проектов и программ в </w:t>
      </w:r>
      <w:r w:rsidR="00E80D4B">
        <w:lastRenderedPageBreak/>
        <w:t>широком спектре сфер деятельности: от базовых отраслей промышленности и НИОКР до оказания общественных услуг.</w:t>
      </w:r>
      <w:r w:rsidR="00F06209">
        <w:rPr>
          <w:rStyle w:val="afa"/>
        </w:rPr>
        <w:footnoteReference w:id="3"/>
      </w:r>
      <w:r w:rsidR="00752B46">
        <w:t xml:space="preserve"> А. Писарев рассматривает взаимодействие власти и бизнеса как договорные, взаимовыгодные отношения между государством и хозяйствующими субъектами различных форм собственности, складывающихся для решения задач, стоящих перед социальным государством.</w:t>
      </w:r>
      <w:r w:rsidR="00752B46">
        <w:rPr>
          <w:rStyle w:val="afa"/>
        </w:rPr>
        <w:footnoteReference w:id="4"/>
      </w:r>
      <w:r w:rsidR="00653109">
        <w:t xml:space="preserve"> Н. А. </w:t>
      </w:r>
      <w:proofErr w:type="spellStart"/>
      <w:r w:rsidR="00653109">
        <w:t>Коробкова</w:t>
      </w:r>
      <w:proofErr w:type="spellEnd"/>
      <w:r w:rsidR="00653109">
        <w:t xml:space="preserve"> и Л. С. Парамонова понимают взаимодействие региональной власти и бизнеса как институциональный и организационный союз между властью и бизнесом в целях решения региональных проблем и реализации локальных или национальных проектов.</w:t>
      </w:r>
      <w:r w:rsidR="00653109">
        <w:rPr>
          <w:rStyle w:val="afa"/>
        </w:rPr>
        <w:footnoteReference w:id="5"/>
      </w:r>
      <w:r w:rsidR="006E05F1">
        <w:t xml:space="preserve"> По мнению И. Ю. Беляевой под взаимодействием бизнеса и власти подразумевается система партнерства органов государственной власти и местного самоуправления, профсоюзов, организаций работодателей и бизнес-структур в регулировании социально-экономических проблем.</w:t>
      </w:r>
      <w:r w:rsidR="006E05F1">
        <w:rPr>
          <w:rStyle w:val="afa"/>
        </w:rPr>
        <w:footnoteReference w:id="6"/>
      </w:r>
    </w:p>
    <w:p w14:paraId="2CA7B0F3" w14:textId="28F1747D" w:rsidR="006E202A" w:rsidRDefault="001905D3" w:rsidP="001905D3">
      <w:r>
        <w:t>Переходя к типологиям форм взаимодействия власти и бизнеса, следует подчеркнуть, что большинство экспертов используют следующий подход, опирающийся на две основные институциональные формы взаимодействия</w:t>
      </w:r>
      <w:r w:rsidR="00E55A19">
        <w:t xml:space="preserve"> </w:t>
      </w:r>
      <w:r w:rsidR="006E202A">
        <w:t xml:space="preserve">государства и бизнеса: </w:t>
      </w:r>
    </w:p>
    <w:p w14:paraId="4501F291" w14:textId="17ED6804" w:rsidR="006E202A" w:rsidRDefault="001905D3" w:rsidP="00486867">
      <w:pPr>
        <w:pStyle w:val="af5"/>
        <w:numPr>
          <w:ilvl w:val="0"/>
          <w:numId w:val="19"/>
        </w:numPr>
      </w:pPr>
      <w:r>
        <w:t>корпоративная</w:t>
      </w:r>
      <w:r w:rsidR="006E202A">
        <w:t xml:space="preserve"> (частный бизнес и государство являются субъектами совместного участия в капитале компании);</w:t>
      </w:r>
    </w:p>
    <w:p w14:paraId="1672472B" w14:textId="4975173F" w:rsidR="00E55A19" w:rsidRPr="006E202A" w:rsidRDefault="006E202A" w:rsidP="00486867">
      <w:pPr>
        <w:pStyle w:val="af5"/>
        <w:numPr>
          <w:ilvl w:val="0"/>
          <w:numId w:val="19"/>
        </w:numPr>
      </w:pPr>
      <w:r>
        <w:t>к</w:t>
      </w:r>
      <w:r w:rsidR="001905D3">
        <w:t>онтрактная или договорная</w:t>
      </w:r>
      <w:r>
        <w:t>, при которой у частного сектора и государственного возникает возможность заключения подробного соглашения/контракта, где прописываются все детали данного партнерства.</w:t>
      </w:r>
    </w:p>
    <w:p w14:paraId="53B5BBEA" w14:textId="2F1AB18C" w:rsidR="005D532F" w:rsidRDefault="005D532F" w:rsidP="005D532F">
      <w:r>
        <w:t>При это авторы указывают, что институциональной основой ведения экономической деятельности, предполагающей развитие взаимодействия государственного</w:t>
      </w:r>
      <w:r w:rsidR="00024A36">
        <w:t xml:space="preserve"> и частного секторов</w:t>
      </w:r>
      <w:r>
        <w:t>, выступает именно контрактная система.</w:t>
      </w:r>
    </w:p>
    <w:p w14:paraId="649711A5" w14:textId="5A55DA14" w:rsidR="00B52697" w:rsidRDefault="00B44BF4" w:rsidP="00D94B1A">
      <w:r>
        <w:t xml:space="preserve">Данная мысль может найти подтверждение в классификациях других экспертов, которые при анализе взаимодействия государства и бизнеса, выделяют сугубо контрактные отношения между ними. </w:t>
      </w:r>
      <w:r w:rsidR="00557BD9">
        <w:t xml:space="preserve">Например, </w:t>
      </w:r>
      <w:r w:rsidR="00B52697">
        <w:t xml:space="preserve">О. Морозов разделил </w:t>
      </w:r>
      <w:r w:rsidR="004D6CC1">
        <w:t xml:space="preserve">типы </w:t>
      </w:r>
      <w:r w:rsidR="00B52697">
        <w:t>взаимодействия</w:t>
      </w:r>
      <w:r w:rsidR="004D6CC1">
        <w:t xml:space="preserve"> между государством и бизнесом</w:t>
      </w:r>
      <w:r w:rsidR="00B52697">
        <w:t xml:space="preserve"> на </w:t>
      </w:r>
      <w:r>
        <w:t xml:space="preserve">следующие </w:t>
      </w:r>
      <w:r w:rsidR="00B52697">
        <w:t>группы</w:t>
      </w:r>
      <w:r w:rsidR="00B52697">
        <w:rPr>
          <w:rStyle w:val="afa"/>
        </w:rPr>
        <w:footnoteReference w:id="7"/>
      </w:r>
      <w:r w:rsidR="00B52697">
        <w:t>:</w:t>
      </w:r>
    </w:p>
    <w:p w14:paraId="2B6A633E" w14:textId="2FECA2DF" w:rsidR="00B52697" w:rsidRDefault="00B52697" w:rsidP="00486867">
      <w:pPr>
        <w:pStyle w:val="af5"/>
        <w:numPr>
          <w:ilvl w:val="0"/>
          <w:numId w:val="17"/>
        </w:numPr>
      </w:pPr>
      <w:r>
        <w:t>конкурсные методы взаимодействия (поставки товаров и услуг, подряд для государственных нужд);</w:t>
      </w:r>
    </w:p>
    <w:p w14:paraId="243113C3" w14:textId="33245278" w:rsidR="00B52697" w:rsidRDefault="00B52697" w:rsidP="00486867">
      <w:pPr>
        <w:pStyle w:val="af5"/>
        <w:numPr>
          <w:ilvl w:val="0"/>
          <w:numId w:val="17"/>
        </w:numPr>
      </w:pPr>
      <w:r>
        <w:lastRenderedPageBreak/>
        <w:t>аутсорсинг при передаче бизнес-структуре некоторых функций государства, в результате которого происходит освобождение от выполнения непрофильных и избыточных функций;</w:t>
      </w:r>
    </w:p>
    <w:p w14:paraId="7B9296ED" w14:textId="6E93C949" w:rsidR="00B52697" w:rsidRDefault="00B52697" w:rsidP="00486867">
      <w:pPr>
        <w:pStyle w:val="af5"/>
        <w:numPr>
          <w:ilvl w:val="0"/>
          <w:numId w:val="17"/>
        </w:numPr>
      </w:pPr>
      <w:r>
        <w:t>государственно-частное партнерство (ГЧП) как особый вид сотрудничества государственного и частного секторов с целью привлечения внебюджетных источников к социально-значимым инфраструктурным проектам.</w:t>
      </w:r>
    </w:p>
    <w:p w14:paraId="4C3D471B" w14:textId="31CB0BAB" w:rsidR="00392258" w:rsidRDefault="00392258" w:rsidP="00392258">
      <w:proofErr w:type="spellStart"/>
      <w:r>
        <w:t>Рагулина</w:t>
      </w:r>
      <w:proofErr w:type="spellEnd"/>
      <w:r>
        <w:t xml:space="preserve"> Ю., Петрова Ю. и др.  </w:t>
      </w:r>
      <w:r w:rsidRPr="00023C02">
        <w:t>в зависимости от целей партнёрства государства и бизнеса подразделяют модели на четыре группы: организации (концессии), кооперации (кооперация государства, бизнеса и науки при разработке и реализации стратегий, отраслевых программ, инновационных проектов и др.), интеграции (особые экономические зоны, кластеры, формирование интеграционных структур), финансирования (аренда, лизинг, проектное финансирование и др.).</w:t>
      </w:r>
      <w:r>
        <w:rPr>
          <w:rStyle w:val="afa"/>
        </w:rPr>
        <w:footnoteReference w:id="8"/>
      </w:r>
    </w:p>
    <w:p w14:paraId="1841C975" w14:textId="249A67A6" w:rsidR="00392258" w:rsidRDefault="00392258" w:rsidP="00392258">
      <w:r>
        <w:t>Е.</w:t>
      </w:r>
      <w:r w:rsidRPr="00023C02">
        <w:t>В</w:t>
      </w:r>
      <w:r>
        <w:t xml:space="preserve">. </w:t>
      </w:r>
      <w:proofErr w:type="spellStart"/>
      <w:r>
        <w:t>Карлина</w:t>
      </w:r>
      <w:proofErr w:type="spellEnd"/>
      <w:r>
        <w:t xml:space="preserve"> в своей статье обращалась к результатам работы </w:t>
      </w:r>
      <w:r w:rsidRPr="00023C02">
        <w:t>профессор</w:t>
      </w:r>
      <w:r>
        <w:t xml:space="preserve">а Т. В. Юрьевой, которая в своем исследовании вопросов государственно-частного партнёрства, </w:t>
      </w:r>
      <w:r w:rsidRPr="00023C02">
        <w:t xml:space="preserve">выделила пять базовых моделей сотрудничества государства и частного бизнеса, </w:t>
      </w:r>
      <w:r>
        <w:t>на основе трех критериев: форма</w:t>
      </w:r>
      <w:r w:rsidRPr="00023C02">
        <w:t xml:space="preserve"> собственности, </w:t>
      </w:r>
      <w:r>
        <w:t xml:space="preserve">способ </w:t>
      </w:r>
      <w:r w:rsidRPr="00023C02">
        <w:t xml:space="preserve">финансирования и </w:t>
      </w:r>
      <w:r>
        <w:t>тип управления.</w:t>
      </w:r>
      <w:r w:rsidRPr="00023C02">
        <w:t xml:space="preserve"> </w:t>
      </w:r>
      <w:r>
        <w:t>Т. В. Юрьева перечислила следующие модели: модель оператора, модель кооперации, модель концессии, модель договорная, модель лизинга.</w:t>
      </w:r>
      <w:r>
        <w:rPr>
          <w:rStyle w:val="afa"/>
        </w:rPr>
        <w:footnoteReference w:id="9"/>
      </w:r>
    </w:p>
    <w:p w14:paraId="4F00BF8E" w14:textId="65DFA3BA" w:rsidR="00840F53" w:rsidRDefault="00840F53" w:rsidP="00840F53">
      <w:r>
        <w:t>А. Н. Шохин и А. В. Скиба выделяют</w:t>
      </w:r>
      <w:r w:rsidRPr="00840F53">
        <w:t xml:space="preserve"> группы форм </w:t>
      </w:r>
      <w:r>
        <w:t>взаимодействия власти и бизнеса, основываясь на таких факторах как право на собственность, мера вовлеченности государства в проект, распределение рисков</w:t>
      </w:r>
      <w:r>
        <w:rPr>
          <w:rStyle w:val="afa"/>
        </w:rPr>
        <w:footnoteReference w:id="10"/>
      </w:r>
      <w:r>
        <w:t>:</w:t>
      </w:r>
    </w:p>
    <w:p w14:paraId="75D88646" w14:textId="064766F7" w:rsidR="00840F53" w:rsidRDefault="00840F53" w:rsidP="00486867">
      <w:pPr>
        <w:pStyle w:val="af5"/>
        <w:numPr>
          <w:ilvl w:val="0"/>
          <w:numId w:val="23"/>
        </w:numPr>
      </w:pPr>
      <w:r w:rsidRPr="00840F53">
        <w:t>контрактные, которые заключаются между государством и бизнесом с целью осуществления</w:t>
      </w:r>
      <w:r>
        <w:t xml:space="preserve"> социально значимых проектов;</w:t>
      </w:r>
    </w:p>
    <w:p w14:paraId="78704679" w14:textId="77777777" w:rsidR="00840F53" w:rsidRDefault="00840F53" w:rsidP="00486867">
      <w:pPr>
        <w:pStyle w:val="af5"/>
        <w:numPr>
          <w:ilvl w:val="0"/>
          <w:numId w:val="23"/>
        </w:numPr>
      </w:pPr>
      <w:r>
        <w:t xml:space="preserve">арендные отношения; </w:t>
      </w:r>
    </w:p>
    <w:p w14:paraId="5E86728C" w14:textId="77777777" w:rsidR="00840F53" w:rsidRDefault="00840F53" w:rsidP="00486867">
      <w:pPr>
        <w:pStyle w:val="af5"/>
        <w:numPr>
          <w:ilvl w:val="0"/>
          <w:numId w:val="23"/>
        </w:numPr>
      </w:pPr>
      <w:r w:rsidRPr="00840F53">
        <w:t xml:space="preserve">концессионные отношения, в рамках которых объект государственной собственности передается на срок, установленный соглашением в пользование и владение бизнесу, последний же обязуется за свой счет реконструировать или модернизировать предоставленный объект; </w:t>
      </w:r>
    </w:p>
    <w:p w14:paraId="713DEC90" w14:textId="77777777" w:rsidR="00840F53" w:rsidRDefault="00840F53" w:rsidP="00486867">
      <w:pPr>
        <w:pStyle w:val="af5"/>
        <w:numPr>
          <w:ilvl w:val="0"/>
          <w:numId w:val="23"/>
        </w:numPr>
      </w:pPr>
      <w:r w:rsidRPr="00840F53">
        <w:t xml:space="preserve">соглашение о разделе продукции, в рамках которого частный инвестор осуществляет добычу полезных ископаемых, которые в последствии распределяются между сторонами </w:t>
      </w:r>
      <w:r>
        <w:t xml:space="preserve">в соответствии с соглашением; </w:t>
      </w:r>
    </w:p>
    <w:p w14:paraId="52870AC5" w14:textId="01E29CF9" w:rsidR="00840F53" w:rsidRDefault="00840F53" w:rsidP="00486867">
      <w:pPr>
        <w:pStyle w:val="af5"/>
        <w:numPr>
          <w:ilvl w:val="0"/>
          <w:numId w:val="23"/>
        </w:numPr>
      </w:pPr>
      <w:r w:rsidRPr="00840F53">
        <w:lastRenderedPageBreak/>
        <w:t>совместные предприятия в виде акционерных обществ или совместные пр</w:t>
      </w:r>
      <w:r>
        <w:t>едприятия с долевым участием</w:t>
      </w:r>
      <w:r w:rsidRPr="00840F53">
        <w:t>.</w:t>
      </w:r>
    </w:p>
    <w:p w14:paraId="7C54F3B0" w14:textId="1DB2B9EF" w:rsidR="00840F53" w:rsidRDefault="00840F53" w:rsidP="00840F53">
      <w:r>
        <w:t xml:space="preserve">В. </w:t>
      </w:r>
      <w:proofErr w:type="spellStart"/>
      <w:r>
        <w:t>Варнавский</w:t>
      </w:r>
      <w:proofErr w:type="spellEnd"/>
      <w:r>
        <w:t xml:space="preserve"> определял основные различия между формами взаимодействия государства и бизнеса на основе следующих критериев: правоотношения собственности (владение, пользование, распоряжение), степень зависимости от государства, в первую очередь в вопросах финансирования и разделения рисков, а также количестве экономических функций (строительства, эксплуатации, ремонта и т.д.), выполняемых в рамках контракта или соглашения.</w:t>
      </w:r>
      <w:r>
        <w:rPr>
          <w:rStyle w:val="afa"/>
        </w:rPr>
        <w:footnoteReference w:id="11"/>
      </w:r>
      <w:r>
        <w:t xml:space="preserve"> На рисунке ниже можно увидеть результаты систематизации форм взаимодействия, проведенной В. </w:t>
      </w:r>
      <w:proofErr w:type="spellStart"/>
      <w:r>
        <w:t>Варнавским</w:t>
      </w:r>
      <w:proofErr w:type="spellEnd"/>
      <w:r>
        <w:t>.</w:t>
      </w:r>
    </w:p>
    <w:p w14:paraId="6C93B600" w14:textId="2B9E6C34" w:rsidR="00840F53" w:rsidRDefault="00840F53" w:rsidP="00840F53">
      <w:pPr>
        <w:pStyle w:val="a9"/>
      </w:pPr>
      <w:r>
        <w:rPr>
          <w:noProof/>
          <w:lang w:eastAsia="ru-RU"/>
        </w:rPr>
        <w:drawing>
          <wp:inline distT="0" distB="0" distL="0" distR="0" wp14:anchorId="40C4D9B9" wp14:editId="5AE16DD0">
            <wp:extent cx="4436428" cy="3888105"/>
            <wp:effectExtent l="0" t="0" r="254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8436" cy="3907393"/>
                    </a:xfrm>
                    <a:prstGeom prst="rect">
                      <a:avLst/>
                    </a:prstGeom>
                    <a:noFill/>
                    <a:ln>
                      <a:noFill/>
                    </a:ln>
                  </pic:spPr>
                </pic:pic>
              </a:graphicData>
            </a:graphic>
          </wp:inline>
        </w:drawing>
      </w:r>
    </w:p>
    <w:p w14:paraId="3FC3FA53" w14:textId="7730EEA0" w:rsidR="00840F53" w:rsidRDefault="00840F53" w:rsidP="00840F53">
      <w:pPr>
        <w:pStyle w:val="a"/>
      </w:pPr>
      <w:r>
        <w:t xml:space="preserve"> Классификация основных форм государственно-частного партнерства (автор В. </w:t>
      </w:r>
      <w:proofErr w:type="spellStart"/>
      <w:r>
        <w:t>Варнавский</w:t>
      </w:r>
      <w:proofErr w:type="spellEnd"/>
      <w:r>
        <w:t>)</w:t>
      </w:r>
    </w:p>
    <w:p w14:paraId="2FDEF43E" w14:textId="1977DB91" w:rsidR="00556E20" w:rsidRDefault="00713BFB" w:rsidP="00392258">
      <w:r w:rsidRPr="00392258">
        <w:t xml:space="preserve">Таким образом, ключевые критерии, которые были сформулированы экспертами, касаются вопросов </w:t>
      </w:r>
      <w:r w:rsidR="00CB7AC2" w:rsidRPr="00392258">
        <w:t xml:space="preserve">целей взаимодействия, </w:t>
      </w:r>
      <w:r w:rsidRPr="00392258">
        <w:t xml:space="preserve">прав собственности, распределения рисков, финансирования, </w:t>
      </w:r>
      <w:r w:rsidR="00A3101A" w:rsidRPr="00392258">
        <w:t>масштабов проекта, зависящих от объема функций, ко</w:t>
      </w:r>
      <w:r w:rsidR="00747F5C" w:rsidRPr="00392258">
        <w:t>торый должны</w:t>
      </w:r>
      <w:r w:rsidR="00A06139" w:rsidRPr="00392258">
        <w:t xml:space="preserve"> выполнить бизнес и государство. </w:t>
      </w:r>
    </w:p>
    <w:p w14:paraId="14FF2736" w14:textId="545CAA57" w:rsidR="000F464A" w:rsidRPr="00DA40F7" w:rsidRDefault="000F464A" w:rsidP="00392258">
      <w:pPr>
        <w:ind w:firstLine="0"/>
      </w:pPr>
    </w:p>
    <w:p w14:paraId="5B0563B3" w14:textId="17545CEE" w:rsidR="000E6494" w:rsidRPr="00A3101A" w:rsidRDefault="000F3996" w:rsidP="00A3101A">
      <w:pPr>
        <w:pStyle w:val="2"/>
        <w:spacing w:before="120" w:after="120"/>
      </w:pPr>
      <w:bookmarkStart w:id="20" w:name="_Toc41427827"/>
      <w:r w:rsidRPr="00A3101A">
        <w:lastRenderedPageBreak/>
        <w:t>1.2</w:t>
      </w:r>
      <w:r w:rsidR="000E6494" w:rsidRPr="00A3101A">
        <w:t xml:space="preserve"> Основные формы взаимодействия</w:t>
      </w:r>
      <w:r w:rsidR="007E6AB7" w:rsidRPr="00A3101A">
        <w:t xml:space="preserve"> государства и бизнеса</w:t>
      </w:r>
      <w:r w:rsidR="000E6494" w:rsidRPr="00A3101A">
        <w:t xml:space="preserve"> и их характеристики</w:t>
      </w:r>
      <w:bookmarkEnd w:id="20"/>
    </w:p>
    <w:p w14:paraId="4D5C5236" w14:textId="1D41896F" w:rsidR="007E6AB7" w:rsidRPr="00E802CC" w:rsidRDefault="007E6AB7" w:rsidP="00080496">
      <w:pPr>
        <w:rPr>
          <w:rFonts w:cs="Times New Roman"/>
          <w:szCs w:val="24"/>
        </w:rPr>
      </w:pPr>
      <w:r w:rsidRPr="00B43C03">
        <w:t xml:space="preserve">Для того, чтобы определить какие формы взаимоотношений между государством и бизнесом можно отнести к взаимодействию, воспользуемся некоторыми определениями государственно-частного партнерства. </w:t>
      </w:r>
      <w:r w:rsidR="00080496">
        <w:t xml:space="preserve">Многие специалисты продолжают использовать понятие «государственно-частное партнёрство» в целях </w:t>
      </w:r>
      <w:r w:rsidR="00080496" w:rsidRPr="009734DA">
        <w:t>обобщения всех возможных форм, при которых бизнес и государство</w:t>
      </w:r>
      <w:r w:rsidR="00080496">
        <w:t xml:space="preserve"> выступали сторонами каких-либо отношений</w:t>
      </w:r>
      <w:r w:rsidR="00080496" w:rsidRPr="009734DA">
        <w:t>.</w:t>
      </w:r>
      <w:r w:rsidRPr="00951409">
        <w:rPr>
          <w:color w:val="FF0000"/>
        </w:rPr>
        <w:t xml:space="preserve"> </w:t>
      </w:r>
      <w:r>
        <w:t>Так, С.О. Шохин о</w:t>
      </w:r>
      <w:r w:rsidR="00740031">
        <w:t xml:space="preserve">тносит к ГЧП в широком смысле: </w:t>
      </w:r>
      <w:r w:rsidRPr="00185695">
        <w:t>любые взаимовыгодные формы взаимодействия государства и бизнеса, включая государственные контракты, арендные отношения, финансовую аренду (лизинг), государственно-частные предприятия, соглашения о разделе прод</w:t>
      </w:r>
      <w:r w:rsidR="00740031">
        <w:t>укции, концессионные соглашения.</w:t>
      </w:r>
      <w:r>
        <w:rPr>
          <w:rStyle w:val="afa"/>
        </w:rPr>
        <w:footnoteReference w:id="12"/>
      </w:r>
      <w:r>
        <w:t xml:space="preserve"> Также Л.А. Добрынин, Е.И. Марковская и др. в учебном пособии по взаимодействию государства и бизнеса приводят следующие формы реализации государственно-частного партнерства: </w:t>
      </w:r>
      <w:r w:rsidRPr="003E24A1">
        <w:t>контракты на выполнение работ, оказание общественных услуг, управление, поставку продукции для государственных ну</w:t>
      </w:r>
      <w:r>
        <w:t xml:space="preserve">жд, оказание технической помощи,  аренду </w:t>
      </w:r>
      <w:r w:rsidRPr="003E24A1">
        <w:t>в ее традиционной форме (договоры аренды) и в форме лизинга</w:t>
      </w:r>
      <w:r>
        <w:t>, концессионное соглашение, соглашение о разделе продукции и совместные предприятия (СП).</w:t>
      </w:r>
      <w:r>
        <w:rPr>
          <w:rStyle w:val="afa"/>
        </w:rPr>
        <w:footnoteReference w:id="13"/>
      </w:r>
      <w:r>
        <w:t xml:space="preserve"> </w:t>
      </w:r>
      <w:r w:rsidR="00797596">
        <w:t>Таким образом, в анализ будут включены названные экспертами формы взаимодействия государства и бизнеса.</w:t>
      </w:r>
    </w:p>
    <w:p w14:paraId="69CABEFA" w14:textId="434C93D8" w:rsidR="007E6AB7" w:rsidRDefault="00080496" w:rsidP="007E6AB7">
      <w:r>
        <w:t>Однако, не</w:t>
      </w:r>
      <w:r w:rsidR="007E6AB7">
        <w:t xml:space="preserve">льзя не заметить, что государственно-частное партнёрство </w:t>
      </w:r>
      <w:r w:rsidR="007E6AB7" w:rsidRPr="00397F0D">
        <w:t>– это самостоятельная форма взаимодействия государства</w:t>
      </w:r>
      <w:r w:rsidR="007E6AB7">
        <w:t xml:space="preserve"> и бизнеса, которая обладает уникальными признаками, отличающими ее от </w:t>
      </w:r>
      <w:r>
        <w:t>форм</w:t>
      </w:r>
      <w:r w:rsidR="00797596">
        <w:t xml:space="preserve">, содержащихся в представленных выше определениях. </w:t>
      </w:r>
      <w:r w:rsidR="007E6AB7">
        <w:t>Вследствие чего, данная форма будет также включена в анализ.</w:t>
      </w:r>
    </w:p>
    <w:p w14:paraId="220D6319" w14:textId="34542D5E" w:rsidR="007E6AB7" w:rsidRPr="00D81F13" w:rsidRDefault="007E6AB7" w:rsidP="007E6AB7">
      <w:r w:rsidRPr="00D81F13">
        <w:t>Кроме того, в анализ следует включить такую современную модель взаимодействия государства и бизнеса, как социальное партнерств</w:t>
      </w:r>
      <w:r w:rsidR="00272EED">
        <w:t xml:space="preserve">о. Существует два </w:t>
      </w:r>
      <w:r w:rsidRPr="00D81F13">
        <w:t xml:space="preserve">подхода к трактовке социального партнерства: тред-юнионистская и межсекторная. Первый подход фокусируется на социальном партнерстве в социально-трудовых отношениях между работодателем, наемными работниками и государством. Тогда как второй подход предполагает взаимодействие трех секторов общества – государства, бизнеса и некоммерческих общественных организаций, предметом взаимодействия которых является весь спектр социальных проблем. В рамках данной работы, будет рассмотрен второй подход, так как роль государства как полноценного партнёра в социально-трудовых </w:t>
      </w:r>
      <w:r w:rsidRPr="00D81F13">
        <w:lastRenderedPageBreak/>
        <w:t>отношениях становится все менее заметной, скорее государство выступает посредником между бизнесом и</w:t>
      </w:r>
      <w:r w:rsidR="00272EED">
        <w:t xml:space="preserve"> наемными сотрудниками</w:t>
      </w:r>
      <w:r w:rsidRPr="00D81F13">
        <w:t xml:space="preserve">. Органы государственной власти и органы местного самоуправления выполняют функцию посредника между сторонами трудовых отношений, оказывая им содействие в нахождении взаимоприемлемых решений. </w:t>
      </w:r>
      <w:r w:rsidR="00272EED">
        <w:t xml:space="preserve">Однако, нельзя не заметить, что сотрудники </w:t>
      </w:r>
      <w:r w:rsidRPr="00D81F13">
        <w:t>и работодатели могут сотрудничать и без вмешательства государства: не существует требований по привлечению государственных органов или органов местного самоуправления, при заключении соглашений между сторонами трудовых отношений. В связи с чем, отношения между государством и бизнесом в рамках данного подхода взаимодействием назвать достаточно сложно</w:t>
      </w:r>
      <w:r w:rsidR="00272EED">
        <w:t>.</w:t>
      </w:r>
    </w:p>
    <w:p w14:paraId="769F8D98" w14:textId="66233C1A" w:rsidR="007E6AB7" w:rsidRPr="00D81F13" w:rsidRDefault="007E6AB7" w:rsidP="007E6AB7">
      <w:r w:rsidRPr="00D81F13">
        <w:t xml:space="preserve">Несмотря на то, что второй подход называется межсекторным, не составляет никакой трудности рассмотреть его только в рамках двустороннего соглашения между бизнесом и государством. Например, в РФ данную форму взаимодействия можно реализовать на основе двустороннего участия организации и органов государственной власти в рамках Соглашения о социально-экономическом сотрудничестве, которое заключается </w:t>
      </w:r>
      <w:r w:rsidR="00F90902" w:rsidRPr="00F90902">
        <w:t>как способ выражения намерения</w:t>
      </w:r>
      <w:r w:rsidR="00F90902">
        <w:t xml:space="preserve"> частного бизнеса</w:t>
      </w:r>
      <w:r w:rsidR="00F90902" w:rsidRPr="00F90902">
        <w:t xml:space="preserve"> </w:t>
      </w:r>
      <w:r w:rsidRPr="00D81F13">
        <w:t xml:space="preserve">реализации различных инвестиционных проектов, имеющих социальное значение, причем, в подавляющем большинстве случаев, на территории присутствия компании. </w:t>
      </w:r>
      <w:r>
        <w:t>Зачастую вышеупомянутое Соглашение подписывается со стороны частного бизнеса, как инструмент для реализации политики компании в сфере корпоративной социальной ответственности. Это подтверждает определение КСО, предложенное Ассоциацией менеджеров России (АМР): «КСО – это добровольный вклад частного сектора в общественное развитие через механизм социальных инвестиций».</w:t>
      </w:r>
      <w:r>
        <w:rPr>
          <w:rStyle w:val="afa"/>
        </w:rPr>
        <w:footnoteReference w:id="14"/>
      </w:r>
      <w:r>
        <w:t xml:space="preserve"> Однако, следует понимать, что в целом КСО – не является предметом взаимодействия государства и бизнеса, в гораздо большей степени – это взаимодействия между частными компаниями, обществом и НКО, так как первоочередная задача для бизнеса в рамках КСО – оправдать общественные ожидания, что в конечном итоге оказывает положительный эффект на ценность компании для потребителей. </w:t>
      </w:r>
    </w:p>
    <w:p w14:paraId="6208066A" w14:textId="064F8E15" w:rsidR="007E6AB7" w:rsidRDefault="007E6AB7" w:rsidP="007E6AB7">
      <w:r>
        <w:t xml:space="preserve">Итак, перечислим все формы взаимодействия государства и бизнеса, которые будут </w:t>
      </w:r>
      <w:r w:rsidR="00F90902">
        <w:t xml:space="preserve">проанализированы </w:t>
      </w:r>
      <w:r>
        <w:t>в работе:</w:t>
      </w:r>
    </w:p>
    <w:p w14:paraId="68EAF6A2" w14:textId="367564B4" w:rsidR="007E6AB7" w:rsidRDefault="00006C5C" w:rsidP="00E167F6">
      <w:pPr>
        <w:pStyle w:val="af5"/>
        <w:numPr>
          <w:ilvl w:val="0"/>
          <w:numId w:val="4"/>
        </w:numPr>
        <w:rPr>
          <w:rFonts w:cs="Times New Roman"/>
          <w:szCs w:val="24"/>
        </w:rPr>
      </w:pPr>
      <w:r>
        <w:rPr>
          <w:rFonts w:cs="Times New Roman"/>
          <w:szCs w:val="24"/>
        </w:rPr>
        <w:t>Д</w:t>
      </w:r>
      <w:r w:rsidR="0035145E">
        <w:rPr>
          <w:rFonts w:cs="Times New Roman"/>
          <w:szCs w:val="24"/>
        </w:rPr>
        <w:t>оговор аренды</w:t>
      </w:r>
      <w:r w:rsidR="007E6AB7">
        <w:rPr>
          <w:rFonts w:cs="Times New Roman"/>
          <w:szCs w:val="24"/>
        </w:rPr>
        <w:t>;</w:t>
      </w:r>
    </w:p>
    <w:p w14:paraId="32F061E4" w14:textId="18DA400E" w:rsidR="0035145E" w:rsidRPr="00473AF6" w:rsidRDefault="0035145E" w:rsidP="00E167F6">
      <w:pPr>
        <w:pStyle w:val="af5"/>
        <w:numPr>
          <w:ilvl w:val="0"/>
          <w:numId w:val="4"/>
        </w:numPr>
        <w:rPr>
          <w:rFonts w:cs="Times New Roman"/>
          <w:color w:val="000000" w:themeColor="text1"/>
          <w:szCs w:val="24"/>
        </w:rPr>
      </w:pPr>
      <w:r w:rsidRPr="00473AF6">
        <w:rPr>
          <w:rFonts w:cs="Times New Roman"/>
          <w:color w:val="000000" w:themeColor="text1"/>
          <w:szCs w:val="24"/>
        </w:rPr>
        <w:t>Финансовая аренда (лизинг);</w:t>
      </w:r>
    </w:p>
    <w:p w14:paraId="190494CC" w14:textId="77777777" w:rsidR="007E6AB7" w:rsidRDefault="007E6AB7" w:rsidP="00E167F6">
      <w:pPr>
        <w:pStyle w:val="af5"/>
        <w:numPr>
          <w:ilvl w:val="0"/>
          <w:numId w:val="4"/>
        </w:numPr>
        <w:rPr>
          <w:rFonts w:cs="Times New Roman"/>
          <w:szCs w:val="24"/>
        </w:rPr>
      </w:pPr>
      <w:r>
        <w:rPr>
          <w:rFonts w:cs="Times New Roman"/>
          <w:szCs w:val="24"/>
        </w:rPr>
        <w:t>Государственные (муниципальные) контракты;</w:t>
      </w:r>
    </w:p>
    <w:p w14:paraId="5FCD17D2" w14:textId="77777777" w:rsidR="007E6AB7" w:rsidRDefault="007E6AB7" w:rsidP="00E167F6">
      <w:pPr>
        <w:pStyle w:val="af5"/>
        <w:numPr>
          <w:ilvl w:val="0"/>
          <w:numId w:val="4"/>
        </w:numPr>
        <w:rPr>
          <w:rFonts w:cs="Times New Roman"/>
          <w:szCs w:val="24"/>
        </w:rPr>
      </w:pPr>
      <w:r>
        <w:rPr>
          <w:rFonts w:cs="Times New Roman"/>
          <w:szCs w:val="24"/>
        </w:rPr>
        <w:t>Соглашение о разделе продукции;</w:t>
      </w:r>
    </w:p>
    <w:p w14:paraId="5A17B897" w14:textId="77777777" w:rsidR="007E6AB7" w:rsidRDefault="007E6AB7" w:rsidP="00E167F6">
      <w:pPr>
        <w:pStyle w:val="af5"/>
        <w:numPr>
          <w:ilvl w:val="0"/>
          <w:numId w:val="4"/>
        </w:numPr>
        <w:rPr>
          <w:rFonts w:cs="Times New Roman"/>
          <w:szCs w:val="24"/>
        </w:rPr>
      </w:pPr>
      <w:r>
        <w:rPr>
          <w:rFonts w:cs="Times New Roman"/>
          <w:szCs w:val="24"/>
        </w:rPr>
        <w:t>Контракты жизненного цикла (КЖЦ);</w:t>
      </w:r>
    </w:p>
    <w:p w14:paraId="5B1168DF" w14:textId="77777777" w:rsidR="007E6AB7" w:rsidRDefault="007E6AB7" w:rsidP="00E167F6">
      <w:pPr>
        <w:pStyle w:val="af5"/>
        <w:numPr>
          <w:ilvl w:val="0"/>
          <w:numId w:val="4"/>
        </w:numPr>
        <w:rPr>
          <w:rFonts w:cs="Times New Roman"/>
          <w:szCs w:val="24"/>
        </w:rPr>
      </w:pPr>
      <w:r>
        <w:rPr>
          <w:rFonts w:cs="Times New Roman"/>
          <w:szCs w:val="24"/>
        </w:rPr>
        <w:lastRenderedPageBreak/>
        <w:t>Концессионное соглашение;</w:t>
      </w:r>
    </w:p>
    <w:p w14:paraId="45F1220E" w14:textId="77777777" w:rsidR="007E6AB7" w:rsidRDefault="007E6AB7" w:rsidP="00E167F6">
      <w:pPr>
        <w:pStyle w:val="af5"/>
        <w:numPr>
          <w:ilvl w:val="0"/>
          <w:numId w:val="4"/>
        </w:numPr>
        <w:rPr>
          <w:rFonts w:cs="Times New Roman"/>
          <w:szCs w:val="24"/>
        </w:rPr>
      </w:pPr>
      <w:r>
        <w:rPr>
          <w:rFonts w:cs="Times New Roman"/>
          <w:szCs w:val="24"/>
        </w:rPr>
        <w:t>Соглашения о государственно-частном партнерстве;</w:t>
      </w:r>
    </w:p>
    <w:p w14:paraId="4EB45444" w14:textId="77777777" w:rsidR="007E6AB7" w:rsidRPr="004B4FB5" w:rsidRDefault="007E6AB7" w:rsidP="00E167F6">
      <w:pPr>
        <w:pStyle w:val="af5"/>
        <w:numPr>
          <w:ilvl w:val="0"/>
          <w:numId w:val="4"/>
        </w:numPr>
        <w:rPr>
          <w:rFonts w:cs="Times New Roman"/>
          <w:color w:val="000000" w:themeColor="text1"/>
          <w:szCs w:val="24"/>
        </w:rPr>
      </w:pPr>
      <w:r w:rsidRPr="004B4FB5">
        <w:rPr>
          <w:rFonts w:cs="Times New Roman"/>
          <w:color w:val="000000" w:themeColor="text1"/>
          <w:szCs w:val="24"/>
        </w:rPr>
        <w:t xml:space="preserve">Специальный инвестиционный контракт (СПИК); </w:t>
      </w:r>
    </w:p>
    <w:p w14:paraId="7711A518" w14:textId="77777777" w:rsidR="007E6AB7" w:rsidRPr="003D69BB" w:rsidRDefault="007E6AB7" w:rsidP="00E167F6">
      <w:pPr>
        <w:pStyle w:val="af5"/>
        <w:numPr>
          <w:ilvl w:val="0"/>
          <w:numId w:val="4"/>
        </w:numPr>
        <w:rPr>
          <w:rFonts w:cs="Times New Roman"/>
          <w:color w:val="000000" w:themeColor="text1"/>
          <w:szCs w:val="24"/>
        </w:rPr>
      </w:pPr>
      <w:r w:rsidRPr="003D69BB">
        <w:rPr>
          <w:rFonts w:cs="Times New Roman"/>
          <w:color w:val="000000" w:themeColor="text1"/>
          <w:szCs w:val="24"/>
        </w:rPr>
        <w:t>Соглашение о социально-экономическом сотрудничестве.</w:t>
      </w:r>
    </w:p>
    <w:p w14:paraId="7AF7753D" w14:textId="5A344FCB" w:rsidR="007E6AB7" w:rsidRDefault="007E6AB7" w:rsidP="007E6AB7">
      <w:r w:rsidRPr="00E65C29">
        <w:t xml:space="preserve">В целях проведения сравнительного анализа существующих форм взаимодействия государства и бизнеса, определим набор критериев, которые помогут выявить основные характеристики </w:t>
      </w:r>
      <w:r w:rsidR="00B94B36">
        <w:t xml:space="preserve">и особенности </w:t>
      </w:r>
      <w:r w:rsidRPr="00E65C29">
        <w:t>каждой формы.</w:t>
      </w:r>
      <w:r>
        <w:t xml:space="preserve"> Используем следующие критерии для анализа</w:t>
      </w:r>
      <w:r w:rsidRPr="00E65C29">
        <w:t xml:space="preserve">: </w:t>
      </w:r>
    </w:p>
    <w:p w14:paraId="0259982E" w14:textId="77777777" w:rsidR="007E6AB7" w:rsidRPr="00BD1E5E" w:rsidRDefault="007E6AB7" w:rsidP="00E167F6">
      <w:pPr>
        <w:pStyle w:val="af5"/>
        <w:numPr>
          <w:ilvl w:val="0"/>
          <w:numId w:val="3"/>
        </w:numPr>
        <w:rPr>
          <w:rFonts w:cs="Times New Roman"/>
          <w:szCs w:val="24"/>
        </w:rPr>
      </w:pPr>
      <w:r>
        <w:rPr>
          <w:rFonts w:cs="Times New Roman"/>
          <w:szCs w:val="24"/>
        </w:rPr>
        <w:t>Правовая основа формы взаимодействия;</w:t>
      </w:r>
    </w:p>
    <w:p w14:paraId="422FC94B" w14:textId="77777777" w:rsidR="007E6AB7" w:rsidRPr="00BB63DD" w:rsidRDefault="007E6AB7" w:rsidP="00E167F6">
      <w:pPr>
        <w:pStyle w:val="af5"/>
        <w:numPr>
          <w:ilvl w:val="0"/>
          <w:numId w:val="3"/>
        </w:numPr>
        <w:rPr>
          <w:rFonts w:cs="Times New Roman"/>
          <w:szCs w:val="24"/>
        </w:rPr>
      </w:pPr>
      <w:r>
        <w:rPr>
          <w:rFonts w:cs="Times New Roman"/>
          <w:szCs w:val="24"/>
        </w:rPr>
        <w:t>С</w:t>
      </w:r>
      <w:r w:rsidRPr="005C3888">
        <w:rPr>
          <w:rFonts w:cs="Times New Roman"/>
          <w:szCs w:val="24"/>
        </w:rPr>
        <w:t xml:space="preserve">убъектный </w:t>
      </w:r>
      <w:r>
        <w:rPr>
          <w:rFonts w:cs="Times New Roman"/>
          <w:szCs w:val="24"/>
        </w:rPr>
        <w:t xml:space="preserve">и объектный </w:t>
      </w:r>
      <w:r w:rsidRPr="00BB63DD">
        <w:rPr>
          <w:rFonts w:cs="Times New Roman"/>
          <w:szCs w:val="24"/>
        </w:rPr>
        <w:t xml:space="preserve">состав </w:t>
      </w:r>
      <w:r>
        <w:rPr>
          <w:rFonts w:cs="Times New Roman"/>
          <w:szCs w:val="24"/>
        </w:rPr>
        <w:t xml:space="preserve">формы </w:t>
      </w:r>
      <w:r w:rsidRPr="00BB63DD">
        <w:rPr>
          <w:rFonts w:cs="Times New Roman"/>
          <w:szCs w:val="24"/>
        </w:rPr>
        <w:t>взаимодействия</w:t>
      </w:r>
      <w:r>
        <w:rPr>
          <w:rFonts w:cs="Times New Roman"/>
          <w:szCs w:val="24"/>
        </w:rPr>
        <w:t>;</w:t>
      </w:r>
      <w:r w:rsidRPr="00BB63DD">
        <w:rPr>
          <w:rFonts w:cs="Times New Roman"/>
          <w:szCs w:val="24"/>
        </w:rPr>
        <w:t xml:space="preserve"> </w:t>
      </w:r>
    </w:p>
    <w:p w14:paraId="3C947BA0" w14:textId="77777777" w:rsidR="007E6AB7" w:rsidRDefault="007E6AB7" w:rsidP="00E167F6">
      <w:pPr>
        <w:pStyle w:val="af5"/>
        <w:numPr>
          <w:ilvl w:val="0"/>
          <w:numId w:val="3"/>
        </w:numPr>
        <w:rPr>
          <w:rFonts w:cs="Times New Roman"/>
          <w:szCs w:val="24"/>
        </w:rPr>
      </w:pPr>
      <w:r>
        <w:rPr>
          <w:rFonts w:cs="Times New Roman"/>
          <w:szCs w:val="24"/>
        </w:rPr>
        <w:t>Ц</w:t>
      </w:r>
      <w:r w:rsidRPr="005C3888">
        <w:rPr>
          <w:rFonts w:cs="Times New Roman"/>
          <w:szCs w:val="24"/>
        </w:rPr>
        <w:t>ель взаимодействия</w:t>
      </w:r>
      <w:r>
        <w:rPr>
          <w:rFonts w:cs="Times New Roman"/>
          <w:szCs w:val="24"/>
        </w:rPr>
        <w:t xml:space="preserve"> для сторон;</w:t>
      </w:r>
    </w:p>
    <w:p w14:paraId="60E7144C" w14:textId="77777777" w:rsidR="007E6AB7" w:rsidRPr="005C3888" w:rsidRDefault="007E6AB7" w:rsidP="00E167F6">
      <w:pPr>
        <w:pStyle w:val="af5"/>
        <w:numPr>
          <w:ilvl w:val="0"/>
          <w:numId w:val="3"/>
        </w:numPr>
        <w:rPr>
          <w:rFonts w:cs="Times New Roman"/>
          <w:szCs w:val="24"/>
        </w:rPr>
      </w:pPr>
      <w:r>
        <w:rPr>
          <w:rFonts w:cs="Times New Roman"/>
          <w:szCs w:val="24"/>
        </w:rPr>
        <w:t>Сторона(-ы) осуществляющие финансирование и возможные виды финансирования;</w:t>
      </w:r>
    </w:p>
    <w:p w14:paraId="1C029502" w14:textId="77777777" w:rsidR="007E6AB7" w:rsidRDefault="007E6AB7" w:rsidP="00E167F6">
      <w:pPr>
        <w:pStyle w:val="af5"/>
        <w:numPr>
          <w:ilvl w:val="0"/>
          <w:numId w:val="3"/>
        </w:numPr>
        <w:rPr>
          <w:rFonts w:cs="Times New Roman"/>
          <w:szCs w:val="24"/>
        </w:rPr>
      </w:pPr>
      <w:r>
        <w:rPr>
          <w:rFonts w:cs="Times New Roman"/>
          <w:szCs w:val="24"/>
        </w:rPr>
        <w:t xml:space="preserve">Наличие оценки эффективности взаимодействия; </w:t>
      </w:r>
    </w:p>
    <w:p w14:paraId="49F25FC5" w14:textId="77777777" w:rsidR="007E6AB7" w:rsidRPr="002B384B" w:rsidRDefault="007E6AB7" w:rsidP="00E167F6">
      <w:pPr>
        <w:pStyle w:val="af5"/>
        <w:numPr>
          <w:ilvl w:val="0"/>
          <w:numId w:val="3"/>
        </w:numPr>
        <w:rPr>
          <w:rFonts w:cs="Times New Roman"/>
          <w:szCs w:val="24"/>
        </w:rPr>
      </w:pPr>
      <w:r>
        <w:rPr>
          <w:rFonts w:cs="Times New Roman"/>
          <w:szCs w:val="24"/>
        </w:rPr>
        <w:t>Наличие условия и порядка</w:t>
      </w:r>
      <w:r w:rsidRPr="005C3888">
        <w:rPr>
          <w:rFonts w:cs="Times New Roman"/>
          <w:szCs w:val="24"/>
        </w:rPr>
        <w:t xml:space="preserve"> возникновения права частной собственности на объект, если предусмотрено формой взаимодействия</w:t>
      </w:r>
      <w:r>
        <w:rPr>
          <w:rFonts w:ascii="Arial" w:hAnsi="Arial" w:cs="Arial"/>
          <w:color w:val="333333"/>
          <w:shd w:val="clear" w:color="auto" w:fill="FFFFFF"/>
        </w:rPr>
        <w:t>;</w:t>
      </w:r>
    </w:p>
    <w:p w14:paraId="7250D5F7" w14:textId="77777777" w:rsidR="007E6AB7" w:rsidRDefault="007E6AB7" w:rsidP="00E167F6">
      <w:pPr>
        <w:pStyle w:val="af5"/>
        <w:numPr>
          <w:ilvl w:val="0"/>
          <w:numId w:val="3"/>
        </w:numPr>
        <w:rPr>
          <w:rFonts w:cs="Times New Roman"/>
          <w:szCs w:val="24"/>
        </w:rPr>
      </w:pPr>
      <w:r w:rsidRPr="002B384B">
        <w:rPr>
          <w:rFonts w:cs="Times New Roman"/>
          <w:szCs w:val="24"/>
        </w:rPr>
        <w:t>Наличие государственных гарантий;</w:t>
      </w:r>
    </w:p>
    <w:p w14:paraId="222D56EC" w14:textId="77777777" w:rsidR="007E6AB7" w:rsidRDefault="007E6AB7" w:rsidP="00E167F6">
      <w:pPr>
        <w:pStyle w:val="af5"/>
        <w:numPr>
          <w:ilvl w:val="0"/>
          <w:numId w:val="3"/>
        </w:numPr>
        <w:rPr>
          <w:rFonts w:cs="Times New Roman"/>
          <w:szCs w:val="24"/>
        </w:rPr>
      </w:pPr>
      <w:r>
        <w:rPr>
          <w:rFonts w:cs="Times New Roman"/>
          <w:szCs w:val="24"/>
        </w:rPr>
        <w:t>Формы и методы вознаграждение бизнеса;</w:t>
      </w:r>
    </w:p>
    <w:p w14:paraId="406C6EAE" w14:textId="77777777" w:rsidR="007E6AB7" w:rsidRDefault="007E6AB7" w:rsidP="00E167F6">
      <w:pPr>
        <w:pStyle w:val="af5"/>
        <w:numPr>
          <w:ilvl w:val="0"/>
          <w:numId w:val="3"/>
        </w:numPr>
        <w:rPr>
          <w:rFonts w:cs="Times New Roman"/>
          <w:szCs w:val="24"/>
        </w:rPr>
      </w:pPr>
      <w:r>
        <w:rPr>
          <w:rFonts w:cs="Times New Roman"/>
          <w:szCs w:val="24"/>
        </w:rPr>
        <w:t>Сторона(-ы) осуществляющая(-</w:t>
      </w:r>
      <w:proofErr w:type="spellStart"/>
      <w:r>
        <w:rPr>
          <w:rFonts w:cs="Times New Roman"/>
          <w:szCs w:val="24"/>
        </w:rPr>
        <w:t>ие</w:t>
      </w:r>
      <w:proofErr w:type="spellEnd"/>
      <w:r>
        <w:rPr>
          <w:rFonts w:cs="Times New Roman"/>
          <w:szCs w:val="24"/>
        </w:rPr>
        <w:t>) содержание и эксплуатацию объекта;</w:t>
      </w:r>
    </w:p>
    <w:p w14:paraId="74295659" w14:textId="7A245F5C" w:rsidR="007E6AB7" w:rsidRDefault="007E6AB7" w:rsidP="00E167F6">
      <w:pPr>
        <w:pStyle w:val="af5"/>
        <w:numPr>
          <w:ilvl w:val="0"/>
          <w:numId w:val="3"/>
        </w:numPr>
        <w:rPr>
          <w:rFonts w:cs="Times New Roman"/>
          <w:szCs w:val="24"/>
        </w:rPr>
      </w:pPr>
      <w:r>
        <w:rPr>
          <w:rFonts w:cs="Times New Roman"/>
          <w:szCs w:val="24"/>
        </w:rPr>
        <w:t>Ключевые сферы применения</w:t>
      </w:r>
      <w:r w:rsidR="002D6C49">
        <w:rPr>
          <w:rFonts w:cs="Times New Roman"/>
          <w:szCs w:val="24"/>
        </w:rPr>
        <w:t xml:space="preserve"> формы</w:t>
      </w:r>
      <w:r>
        <w:rPr>
          <w:rFonts w:cs="Times New Roman"/>
          <w:szCs w:val="24"/>
        </w:rPr>
        <w:t xml:space="preserve"> взаимодействия.</w:t>
      </w:r>
    </w:p>
    <w:p w14:paraId="7287316F" w14:textId="2A2B78DD" w:rsidR="00FB2835" w:rsidRPr="00FB2835" w:rsidRDefault="00006C5C" w:rsidP="00FB2835">
      <w:pPr>
        <w:ind w:firstLine="0"/>
        <w:rPr>
          <w:rFonts w:cs="Times New Roman"/>
          <w:b/>
          <w:i/>
          <w:szCs w:val="24"/>
        </w:rPr>
      </w:pPr>
      <w:r>
        <w:rPr>
          <w:rFonts w:cs="Times New Roman"/>
          <w:b/>
          <w:i/>
          <w:szCs w:val="24"/>
        </w:rPr>
        <w:t>Д</w:t>
      </w:r>
      <w:r w:rsidR="00FB2835" w:rsidRPr="00FB2835">
        <w:rPr>
          <w:rFonts w:cs="Times New Roman"/>
          <w:b/>
          <w:i/>
          <w:szCs w:val="24"/>
        </w:rPr>
        <w:t>оговор аренды</w:t>
      </w:r>
      <w:r>
        <w:rPr>
          <w:rFonts w:cs="Times New Roman"/>
          <w:b/>
          <w:i/>
          <w:szCs w:val="24"/>
        </w:rPr>
        <w:t xml:space="preserve"> (в т. ч. с инвестиционными обязательствами)</w:t>
      </w:r>
    </w:p>
    <w:p w14:paraId="3E410AC3" w14:textId="77777777" w:rsidR="007E6AB7" w:rsidRPr="00D47FCE" w:rsidRDefault="007E6AB7" w:rsidP="00E167F6">
      <w:pPr>
        <w:pStyle w:val="af5"/>
        <w:numPr>
          <w:ilvl w:val="0"/>
          <w:numId w:val="5"/>
        </w:numPr>
        <w:rPr>
          <w:rFonts w:cs="Times New Roman"/>
          <w:szCs w:val="24"/>
          <w:u w:val="single"/>
        </w:rPr>
      </w:pPr>
      <w:r>
        <w:rPr>
          <w:rFonts w:cs="Times New Roman"/>
          <w:szCs w:val="24"/>
          <w:u w:val="single"/>
        </w:rPr>
        <w:t xml:space="preserve">Правовая </w:t>
      </w:r>
      <w:r w:rsidRPr="00D47FCE">
        <w:rPr>
          <w:rFonts w:cs="Times New Roman"/>
          <w:szCs w:val="24"/>
          <w:u w:val="single"/>
        </w:rPr>
        <w:t>основа арендных отношений.</w:t>
      </w:r>
    </w:p>
    <w:p w14:paraId="6046B6C6" w14:textId="08398CD0" w:rsidR="007E6AB7" w:rsidRDefault="007E6AB7" w:rsidP="007E6AB7">
      <w:pPr>
        <w:pStyle w:val="af4"/>
        <w:shd w:val="clear" w:color="auto" w:fill="FFFFFF"/>
        <w:spacing w:before="0" w:beforeAutospacing="0" w:after="0" w:afterAutospacing="0" w:line="360" w:lineRule="auto"/>
        <w:ind w:firstLine="709"/>
        <w:jc w:val="both"/>
        <w:textAlignment w:val="baseline"/>
      </w:pPr>
      <w:r>
        <w:t>Общие положения об аренде определены в главе 34 ГК РФ</w:t>
      </w:r>
      <w:r w:rsidR="00A104EA">
        <w:rPr>
          <w:rStyle w:val="afa"/>
        </w:rPr>
        <w:footnoteReference w:id="15"/>
      </w:r>
      <w:r>
        <w:t xml:space="preserve">. Так, понятие «аренды» содержится в ст. 606 Гражданском Кодексе РФ, в ст. 607 </w:t>
      </w:r>
      <w:r w:rsidRPr="00E86194">
        <w:t>установлены объекты аренды, а также обязанность в договоре аренды указывать данные, позволяющие определенно установить имущество, подлежащее пер</w:t>
      </w:r>
      <w:r>
        <w:t>едаче арендатору</w:t>
      </w:r>
      <w:r w:rsidRPr="00E86194">
        <w:t>;</w:t>
      </w:r>
      <w:r>
        <w:t xml:space="preserve"> в ст. 609 </w:t>
      </w:r>
      <w:r w:rsidRPr="00E86194">
        <w:t>установлено, что аренда имущества определяется сроком, указанным в договоре аренды, при не указании срока договор аренды считается заключенным на неопределенный срок;</w:t>
      </w:r>
      <w:r>
        <w:t xml:space="preserve"> в статьях 611, 612, 614 ГК РФ </w:t>
      </w:r>
      <w:r w:rsidRPr="00E86194">
        <w:t>определен порядок передачи имущества арендатору, а также ответственность арендодателя за недостат</w:t>
      </w:r>
      <w:r>
        <w:t>ки сданного в аренду имущества, кроме того, у</w:t>
      </w:r>
      <w:r w:rsidRPr="00E86194">
        <w:t>становлены виды арендной платы, порядок и сроки ее изменения</w:t>
      </w:r>
      <w:r>
        <w:t xml:space="preserve">; в </w:t>
      </w:r>
      <w:r w:rsidRPr="00E86194">
        <w:t>ст. 615 ГК РФ определен порядок использования имущества арендатором</w:t>
      </w:r>
      <w:r>
        <w:t>, а также предусмотрены</w:t>
      </w:r>
      <w:r w:rsidRPr="00E86194">
        <w:t xml:space="preserve"> условия передачи его в </w:t>
      </w:r>
      <w:r w:rsidRPr="00E86194">
        <w:lastRenderedPageBreak/>
        <w:t>субаренду</w:t>
      </w:r>
      <w:r>
        <w:t xml:space="preserve">; в </w:t>
      </w:r>
      <w:r w:rsidRPr="00E86194">
        <w:t>ст. 616 ГК РФ установлены обязательства сторон по содержанию имущества, в частности, сроки и условия проведения капитального и текущего ремонта имущества</w:t>
      </w:r>
      <w:r>
        <w:t xml:space="preserve">; в статьях </w:t>
      </w:r>
      <w:r w:rsidRPr="00E86194">
        <w:t>619</w:t>
      </w:r>
      <w:r>
        <w:t xml:space="preserve"> и </w:t>
      </w:r>
      <w:r w:rsidRPr="00E86194">
        <w:t>620 ГК РФ установлены случаи досрочного расторжения договора аренды, как по требованию арендодателя, так и по требованию арендатора</w:t>
      </w:r>
      <w:r>
        <w:t xml:space="preserve">; в ст. 624 ГК РФ </w:t>
      </w:r>
      <w:r w:rsidRPr="00E86194">
        <w:t>установлены возможные условия выкупа арендуемого имущества</w:t>
      </w:r>
      <w:r>
        <w:t>; и другое.</w:t>
      </w:r>
    </w:p>
    <w:p w14:paraId="6442746D" w14:textId="77777777" w:rsidR="007E6AB7" w:rsidRDefault="007E6AB7" w:rsidP="007E6AB7">
      <w:pPr>
        <w:pStyle w:val="af4"/>
        <w:shd w:val="clear" w:color="auto" w:fill="FFFFFF"/>
        <w:spacing w:before="0" w:beforeAutospacing="0" w:after="0" w:afterAutospacing="0" w:line="360" w:lineRule="auto"/>
        <w:ind w:firstLine="709"/>
        <w:jc w:val="both"/>
        <w:textAlignment w:val="baseline"/>
      </w:pPr>
      <w:r>
        <w:t xml:space="preserve">Кроме того, в зависимости от вида объекта собственности, существуют дополнительные положение относительно аренды, например, отдельные положения аренды земельных участков регулируются Земельным кодексом РФ, аренды участков лесного фонда – Земельным и Лесным кодексами РФ, аренды водных объектов – Водным кодексом РФ. </w:t>
      </w:r>
    </w:p>
    <w:p w14:paraId="647978AD" w14:textId="77777777" w:rsidR="007E6AB7" w:rsidRPr="00D47FCE" w:rsidRDefault="007E6AB7" w:rsidP="00E167F6">
      <w:pPr>
        <w:pStyle w:val="af5"/>
        <w:numPr>
          <w:ilvl w:val="0"/>
          <w:numId w:val="5"/>
        </w:numPr>
        <w:rPr>
          <w:rFonts w:cs="Times New Roman"/>
          <w:szCs w:val="24"/>
          <w:u w:val="single"/>
        </w:rPr>
      </w:pPr>
      <w:r w:rsidRPr="00D47FCE">
        <w:rPr>
          <w:rFonts w:cs="Times New Roman"/>
          <w:szCs w:val="24"/>
          <w:u w:val="single"/>
        </w:rPr>
        <w:t>Субъектно-объектный состав арендных отношений</w:t>
      </w:r>
      <w:r>
        <w:rPr>
          <w:rFonts w:cs="Times New Roman"/>
          <w:szCs w:val="24"/>
          <w:u w:val="single"/>
        </w:rPr>
        <w:t>.</w:t>
      </w:r>
    </w:p>
    <w:p w14:paraId="23176116" w14:textId="77777777" w:rsidR="007E6AB7" w:rsidRDefault="007E6AB7" w:rsidP="007E6AB7">
      <w:pPr>
        <w:pStyle w:val="af4"/>
        <w:shd w:val="clear" w:color="auto" w:fill="FFFFFF"/>
        <w:spacing w:before="0" w:beforeAutospacing="0" w:after="0" w:afterAutospacing="0" w:line="360" w:lineRule="auto"/>
        <w:ind w:firstLine="709"/>
        <w:jc w:val="both"/>
        <w:textAlignment w:val="baseline"/>
      </w:pPr>
      <w:r>
        <w:t xml:space="preserve">Так как участниками торгов, претендующими на заключение договора аренды, могут </w:t>
      </w:r>
      <w:r w:rsidRPr="007B20CB">
        <w:t xml:space="preserve">быть любые организации, физические лица и индивидуальные предприниматели, </w:t>
      </w:r>
      <w:r>
        <w:t>с</w:t>
      </w:r>
      <w:r w:rsidRPr="007B20CB">
        <w:t>оответствующие требованиям, установленным законодательством РФ для таких участников</w:t>
      </w:r>
      <w:r>
        <w:t xml:space="preserve">, то теоретически каждый из них может стать субъектом арендных отношений. Однако, наибольший интерес к данной форме взаимодействия проявляет малый и средний бизнес. Более того, предоставление субъектам малого и среднего предпринимательства нежилых помещений и др. имущества из реестра государственной/муниципальной собственности является одной из мер имущественной поддержки данным типам бизнеса, вследствие чего во многих субъектах РФ предусмотрены льготные ставки арендной платы по данному типу собственности. Кроме того, субъекты РФ и муниципальные сообразования формируют отдельный реестр объектов нежилого фонда, предназначенных для предоставления в аренду исключительно для осуществления социально значимых видов деятельности. К ним относят: </w:t>
      </w:r>
      <w:r w:rsidRPr="000F2E79">
        <w:t>магазины шаговой доступности, парикмахерские, химчистки, ремонт обуви и ветеринарные клиники; частные детские сады и образовательные центры; организации, оказывающие медицинские услуги и услуги социального обеспечения; организации, ведущие свою деятельность в области физической культуры и спорта.</w:t>
      </w:r>
      <w:r>
        <w:t xml:space="preserve"> Исходя из перечисленных выше организаций, несложно заметить, что они относятся к малому и/или среднему бизнесу.</w:t>
      </w:r>
    </w:p>
    <w:p w14:paraId="52F45378" w14:textId="77777777" w:rsidR="007E6AB7" w:rsidRDefault="007E6AB7" w:rsidP="007E6AB7">
      <w:pPr>
        <w:pStyle w:val="af4"/>
        <w:shd w:val="clear" w:color="auto" w:fill="FFFFFF"/>
        <w:spacing w:before="0" w:beforeAutospacing="0" w:after="0" w:afterAutospacing="0" w:line="360" w:lineRule="auto"/>
        <w:ind w:firstLine="709"/>
        <w:jc w:val="both"/>
        <w:textAlignment w:val="baseline"/>
      </w:pPr>
      <w:r>
        <w:t xml:space="preserve">Субъектом арендных отношений со стороны арендодателя в большинстве случаев становятся органы исполнительной власти, например, такие как Комитеты или Департаменты имущественных отношений субъектов РФ или Администрации местных самоуправлений. Для них же создаются типовые формы договоров аренды государственного/муниципального недвижимого имущества. </w:t>
      </w:r>
    </w:p>
    <w:p w14:paraId="1BF051F4" w14:textId="77777777" w:rsidR="007E6AB7" w:rsidRPr="00DB7B04" w:rsidRDefault="007E6AB7" w:rsidP="00E167F6">
      <w:pPr>
        <w:pStyle w:val="af5"/>
        <w:numPr>
          <w:ilvl w:val="0"/>
          <w:numId w:val="5"/>
        </w:numPr>
        <w:rPr>
          <w:rFonts w:cs="Times New Roman"/>
          <w:szCs w:val="24"/>
          <w:u w:val="single"/>
        </w:rPr>
      </w:pPr>
      <w:r w:rsidRPr="00DB7B04">
        <w:rPr>
          <w:rFonts w:cs="Times New Roman"/>
          <w:szCs w:val="24"/>
          <w:u w:val="single"/>
        </w:rPr>
        <w:t>Цель взаимодействия сторон.</w:t>
      </w:r>
    </w:p>
    <w:p w14:paraId="6D84C4AC" w14:textId="77777777" w:rsidR="007E6AB7" w:rsidRPr="00523186" w:rsidRDefault="007E6AB7" w:rsidP="00DB7B04">
      <w:pPr>
        <w:pStyle w:val="af4"/>
        <w:shd w:val="clear" w:color="auto" w:fill="FFFFFF"/>
        <w:spacing w:before="0" w:beforeAutospacing="0" w:after="0" w:afterAutospacing="0" w:line="360" w:lineRule="auto"/>
        <w:ind w:firstLine="709"/>
        <w:jc w:val="both"/>
        <w:textAlignment w:val="baseline"/>
      </w:pPr>
      <w:r w:rsidRPr="00523186">
        <w:lastRenderedPageBreak/>
        <w:t xml:space="preserve">Для арендатора (в данном случае представители малого и среднего бизнеса) – </w:t>
      </w:r>
      <w:r>
        <w:t xml:space="preserve">невысокие арендные ставки, </w:t>
      </w:r>
      <w:r w:rsidRPr="00523186">
        <w:t>возможность заключения договора на срок до 5-ти лет, а также возможность реализации преимущественного права на приватизацию (приобретение) арендуемого объекта.</w:t>
      </w:r>
    </w:p>
    <w:p w14:paraId="1979DBD2" w14:textId="77777777" w:rsidR="007E6AB7" w:rsidRDefault="007E6AB7" w:rsidP="00DB7B04">
      <w:pPr>
        <w:pStyle w:val="af4"/>
        <w:shd w:val="clear" w:color="auto" w:fill="FFFFFF"/>
        <w:spacing w:before="0" w:beforeAutospacing="0" w:after="0" w:afterAutospacing="0" w:line="360" w:lineRule="auto"/>
        <w:ind w:firstLine="709"/>
        <w:jc w:val="both"/>
        <w:textAlignment w:val="baseline"/>
      </w:pPr>
      <w:r w:rsidRPr="00200E04">
        <w:t>Для арендодателя (органов государственной и муниципальной власти) – наполнение</w:t>
      </w:r>
      <w:r>
        <w:t xml:space="preserve"> </w:t>
      </w:r>
      <w:r w:rsidRPr="00200E04">
        <w:t>доходной части бюджета, в том числе повыше</w:t>
      </w:r>
      <w:r>
        <w:t xml:space="preserve">ния эффективности использования </w:t>
      </w:r>
      <w:r w:rsidRPr="00200E04">
        <w:t>имущества и поддержания имущества в надлежащем состоянии</w:t>
      </w:r>
      <w:r>
        <w:t xml:space="preserve">; </w:t>
      </w:r>
      <w:r w:rsidRPr="00200E04">
        <w:t>привлечения дополнительных внебюджетных инвестиционных ресурсов в экономику</w:t>
      </w:r>
      <w:r>
        <w:t xml:space="preserve"> субъекта РФ</w:t>
      </w:r>
      <w:r w:rsidRPr="00200E04">
        <w:t>;</w:t>
      </w:r>
      <w:r>
        <w:t xml:space="preserve"> </w:t>
      </w:r>
      <w:r w:rsidRPr="00200E04">
        <w:t>снижения издержек в деятельности по управлению имуществом</w:t>
      </w:r>
      <w:r>
        <w:t>.</w:t>
      </w:r>
      <w:r w:rsidRPr="00523186">
        <w:t xml:space="preserve"> </w:t>
      </w:r>
    </w:p>
    <w:p w14:paraId="799C47A3" w14:textId="69764A5C" w:rsidR="007E6AB7" w:rsidRDefault="00FB2835" w:rsidP="00E167F6">
      <w:pPr>
        <w:pStyle w:val="af5"/>
        <w:numPr>
          <w:ilvl w:val="0"/>
          <w:numId w:val="5"/>
        </w:numPr>
        <w:rPr>
          <w:rFonts w:cs="Times New Roman"/>
          <w:szCs w:val="24"/>
          <w:u w:val="single"/>
        </w:rPr>
      </w:pPr>
      <w:r>
        <w:rPr>
          <w:rFonts w:cs="Times New Roman"/>
          <w:szCs w:val="24"/>
          <w:u w:val="single"/>
        </w:rPr>
        <w:t>Финансирование при заключении традиционного договора аренды</w:t>
      </w:r>
      <w:r w:rsidR="007E6AB7" w:rsidRPr="00914F27">
        <w:rPr>
          <w:rFonts w:cs="Times New Roman"/>
          <w:szCs w:val="24"/>
          <w:u w:val="single"/>
        </w:rPr>
        <w:t>;</w:t>
      </w:r>
    </w:p>
    <w:p w14:paraId="7B75271B" w14:textId="77777777" w:rsidR="007E6AB7" w:rsidRPr="00F173DB" w:rsidRDefault="007E6AB7" w:rsidP="007E6AB7">
      <w:r>
        <w:t>В договоре аренды прописывается размер ежемесячной платы за арендованный объект, который должен выплатить арендатор не позднее определённого договором, числа каждого месяца путем перечисления указанной суммы на счет а</w:t>
      </w:r>
      <w:r w:rsidRPr="00F173DB">
        <w:t>рендодателя.</w:t>
      </w:r>
    </w:p>
    <w:p w14:paraId="586A306B" w14:textId="77777777" w:rsidR="007E6AB7" w:rsidRPr="00193450" w:rsidRDefault="007E6AB7" w:rsidP="00E167F6">
      <w:pPr>
        <w:pStyle w:val="af5"/>
        <w:numPr>
          <w:ilvl w:val="0"/>
          <w:numId w:val="5"/>
        </w:numPr>
        <w:rPr>
          <w:rFonts w:cs="Times New Roman"/>
          <w:szCs w:val="24"/>
          <w:u w:val="single"/>
        </w:rPr>
      </w:pPr>
      <w:r w:rsidRPr="00193450">
        <w:rPr>
          <w:rFonts w:cs="Times New Roman"/>
          <w:szCs w:val="24"/>
          <w:u w:val="single"/>
        </w:rPr>
        <w:t>Наличие оценки эффективности взаимодействия.</w:t>
      </w:r>
    </w:p>
    <w:p w14:paraId="7CD04B37" w14:textId="77777777" w:rsidR="007E6AB7" w:rsidRDefault="007E6AB7" w:rsidP="007E6AB7">
      <w:r w:rsidRPr="002F50B0">
        <w:t>Отсутствует</w:t>
      </w:r>
      <w:r>
        <w:t xml:space="preserve">. </w:t>
      </w:r>
    </w:p>
    <w:p w14:paraId="5DE26EB8" w14:textId="77777777" w:rsidR="007E6AB7" w:rsidRDefault="007E6AB7" w:rsidP="007E6AB7">
      <w:r>
        <w:t xml:space="preserve">Однако в случае, если арендатор надлежащим образом исполнял </w:t>
      </w:r>
      <w:r w:rsidRPr="002F50B0">
        <w:t>свои обязанности</w:t>
      </w:r>
      <w:r>
        <w:t xml:space="preserve">, он получает </w:t>
      </w:r>
      <w:r w:rsidRPr="002F50B0">
        <w:t>преимущественное право при заключении договора аренды на новый срок, согласно с</w:t>
      </w:r>
      <w:r>
        <w:t>т.</w:t>
      </w:r>
      <w:r w:rsidRPr="002F50B0">
        <w:t xml:space="preserve"> 621 Г</w:t>
      </w:r>
      <w:r>
        <w:t>К РФ.</w:t>
      </w:r>
    </w:p>
    <w:p w14:paraId="0E8083BB" w14:textId="77777777" w:rsidR="007E6AB7" w:rsidRPr="00223E28" w:rsidRDefault="007E6AB7" w:rsidP="00E167F6">
      <w:pPr>
        <w:pStyle w:val="af5"/>
        <w:numPr>
          <w:ilvl w:val="0"/>
          <w:numId w:val="5"/>
        </w:numPr>
        <w:rPr>
          <w:rFonts w:cs="Times New Roman"/>
          <w:szCs w:val="24"/>
          <w:u w:val="single"/>
        </w:rPr>
      </w:pPr>
      <w:r w:rsidRPr="00223E28">
        <w:rPr>
          <w:rFonts w:cs="Times New Roman"/>
          <w:szCs w:val="24"/>
          <w:u w:val="single"/>
        </w:rPr>
        <w:t xml:space="preserve">Наличие условия и порядка возникновения права </w:t>
      </w:r>
      <w:r>
        <w:rPr>
          <w:rFonts w:cs="Times New Roman"/>
          <w:szCs w:val="24"/>
          <w:u w:val="single"/>
        </w:rPr>
        <w:t>частной собственности на объект договора аренды.</w:t>
      </w:r>
    </w:p>
    <w:p w14:paraId="734A659C" w14:textId="77777777" w:rsidR="007E6AB7" w:rsidRPr="00C35413" w:rsidRDefault="007E6AB7" w:rsidP="007E6AB7">
      <w:r>
        <w:t xml:space="preserve">В ст. 624 ГК РФ говорится о том, что </w:t>
      </w:r>
      <w:r w:rsidRPr="00C35413">
        <w:t>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r>
        <w:t xml:space="preserve"> </w:t>
      </w:r>
      <w:r w:rsidRPr="00C35413">
        <w:t>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r>
        <w:t xml:space="preserve"> </w:t>
      </w:r>
    </w:p>
    <w:p w14:paraId="08291939" w14:textId="77777777" w:rsidR="007E6AB7" w:rsidRDefault="007E6AB7" w:rsidP="00E167F6">
      <w:pPr>
        <w:pStyle w:val="af5"/>
        <w:numPr>
          <w:ilvl w:val="0"/>
          <w:numId w:val="5"/>
        </w:numPr>
        <w:rPr>
          <w:rFonts w:cs="Times New Roman"/>
          <w:szCs w:val="24"/>
          <w:u w:val="single"/>
        </w:rPr>
      </w:pPr>
      <w:r>
        <w:rPr>
          <w:rFonts w:cs="Times New Roman"/>
          <w:szCs w:val="24"/>
          <w:u w:val="single"/>
        </w:rPr>
        <w:t>Государственные гарантии при арендных отношениях.</w:t>
      </w:r>
    </w:p>
    <w:p w14:paraId="2BB94373" w14:textId="77777777" w:rsidR="007E6AB7" w:rsidRPr="00942E94" w:rsidRDefault="007E6AB7" w:rsidP="007E6AB7">
      <w:r>
        <w:t xml:space="preserve">Отсутствуют. </w:t>
      </w:r>
    </w:p>
    <w:p w14:paraId="7D5D5EE7" w14:textId="77777777" w:rsidR="007E6AB7" w:rsidRPr="006C235F" w:rsidRDefault="007E6AB7" w:rsidP="00E167F6">
      <w:pPr>
        <w:pStyle w:val="af5"/>
        <w:numPr>
          <w:ilvl w:val="0"/>
          <w:numId w:val="5"/>
        </w:numPr>
        <w:rPr>
          <w:rFonts w:cs="Times New Roman"/>
          <w:szCs w:val="24"/>
          <w:u w:val="single"/>
        </w:rPr>
      </w:pPr>
      <w:r w:rsidRPr="006C235F">
        <w:rPr>
          <w:rFonts w:cs="Times New Roman"/>
          <w:szCs w:val="24"/>
          <w:u w:val="single"/>
        </w:rPr>
        <w:t>Формы и методы вознаграждение бизнеса;</w:t>
      </w:r>
    </w:p>
    <w:p w14:paraId="020EB2BE" w14:textId="77777777" w:rsidR="007E6AB7" w:rsidRPr="002927BE" w:rsidRDefault="007E6AB7" w:rsidP="007E6AB7">
      <w:r>
        <w:t>Не предусмотрены.</w:t>
      </w:r>
    </w:p>
    <w:p w14:paraId="08EBC904" w14:textId="77777777" w:rsidR="007E6AB7" w:rsidRDefault="007E6AB7" w:rsidP="00E167F6">
      <w:pPr>
        <w:pStyle w:val="af5"/>
        <w:numPr>
          <w:ilvl w:val="0"/>
          <w:numId w:val="5"/>
        </w:numPr>
        <w:rPr>
          <w:rFonts w:cs="Times New Roman"/>
          <w:szCs w:val="24"/>
          <w:u w:val="single"/>
        </w:rPr>
      </w:pPr>
      <w:r w:rsidRPr="006C235F">
        <w:rPr>
          <w:rFonts w:cs="Times New Roman"/>
          <w:szCs w:val="24"/>
          <w:u w:val="single"/>
        </w:rPr>
        <w:t>Сторона(-ы) осуществляющая(-</w:t>
      </w:r>
      <w:proofErr w:type="spellStart"/>
      <w:r w:rsidRPr="006C235F">
        <w:rPr>
          <w:rFonts w:cs="Times New Roman"/>
          <w:szCs w:val="24"/>
          <w:u w:val="single"/>
        </w:rPr>
        <w:t>ие</w:t>
      </w:r>
      <w:proofErr w:type="spellEnd"/>
      <w:r w:rsidRPr="006C235F">
        <w:rPr>
          <w:rFonts w:cs="Times New Roman"/>
          <w:szCs w:val="24"/>
          <w:u w:val="single"/>
        </w:rPr>
        <w:t>) со</w:t>
      </w:r>
      <w:r>
        <w:rPr>
          <w:rFonts w:cs="Times New Roman"/>
          <w:szCs w:val="24"/>
          <w:u w:val="single"/>
        </w:rPr>
        <w:t>держание и эксплуатацию объекта.</w:t>
      </w:r>
    </w:p>
    <w:p w14:paraId="588B5574" w14:textId="77777777" w:rsidR="007E6AB7" w:rsidRDefault="007E6AB7" w:rsidP="007E6AB7">
      <w:r>
        <w:t>В соответствии с ст. 616 ГК РФ п</w:t>
      </w:r>
      <w:r w:rsidRPr="006C235F">
        <w:t>осле заключения договора аренды и вступления его в силу, аренда</w:t>
      </w:r>
      <w:r>
        <w:t xml:space="preserve">тор </w:t>
      </w:r>
      <w:r w:rsidRPr="006C235F">
        <w:t>осуществляет содержание и эксплуатацию объ</w:t>
      </w:r>
      <w:r>
        <w:t>екта до конца действия договора, в его обязанности входит: поддержание имущества</w:t>
      </w:r>
      <w:r w:rsidRPr="00CD4DC9">
        <w:t xml:space="preserve"> в исправном состоянии, </w:t>
      </w:r>
      <w:r w:rsidRPr="00CD4DC9">
        <w:lastRenderedPageBreak/>
        <w:t>производ</w:t>
      </w:r>
      <w:r>
        <w:t>ство за свой счет текущего</w:t>
      </w:r>
      <w:r w:rsidRPr="00CD4DC9">
        <w:t xml:space="preserve"> ремонт</w:t>
      </w:r>
      <w:r>
        <w:t>а</w:t>
      </w:r>
      <w:r w:rsidRPr="00CD4DC9">
        <w:t xml:space="preserve"> и </w:t>
      </w:r>
      <w:r>
        <w:t>несение расходов</w:t>
      </w:r>
      <w:r w:rsidRPr="00CD4DC9">
        <w:t xml:space="preserve"> на содержание имущества, если иное не установлено законом или договором аренды.</w:t>
      </w:r>
      <w:r>
        <w:t xml:space="preserve"> В свою очередь </w:t>
      </w:r>
      <w:r w:rsidRPr="00CD4DC9">
        <w:t>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r>
        <w:t>, причем к</w:t>
      </w:r>
      <w:r w:rsidRPr="00CD4DC9">
        <w:t>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r>
        <w:t xml:space="preserve"> </w:t>
      </w:r>
    </w:p>
    <w:p w14:paraId="745A1A0C" w14:textId="77777777" w:rsidR="007E6AB7" w:rsidRDefault="007E6AB7" w:rsidP="007E6AB7">
      <w:r>
        <w:t xml:space="preserve">Однако, в случае, если договор аренды включает инвестиционные обязательства арендатора по </w:t>
      </w:r>
      <w:r w:rsidRPr="00C02FFF">
        <w:t>прове</w:t>
      </w:r>
      <w:r>
        <w:t>дению</w:t>
      </w:r>
      <w:r w:rsidRPr="00C02FFF">
        <w:t xml:space="preserve"> реконструкцию (реставраци</w:t>
      </w:r>
      <w:r>
        <w:t>ю), ремонтных работ</w:t>
      </w:r>
      <w:r w:rsidRPr="00C02FFF">
        <w:t xml:space="preserve"> и выполн</w:t>
      </w:r>
      <w:r>
        <w:t>ению определенные условий</w:t>
      </w:r>
      <w:r w:rsidRPr="00C02FFF">
        <w:t xml:space="preserve"> на стадии эксплуатации объекта соглашения</w:t>
      </w:r>
      <w:r>
        <w:t>, то предыдущий пункт может быть исключен из договора.</w:t>
      </w:r>
    </w:p>
    <w:p w14:paraId="0DE2BA88" w14:textId="77777777" w:rsidR="00925516" w:rsidRDefault="007E6AB7" w:rsidP="00925516">
      <w:pPr>
        <w:pStyle w:val="af5"/>
        <w:numPr>
          <w:ilvl w:val="0"/>
          <w:numId w:val="5"/>
        </w:numPr>
        <w:rPr>
          <w:rFonts w:cs="Times New Roman"/>
          <w:szCs w:val="24"/>
          <w:u w:val="single"/>
        </w:rPr>
      </w:pPr>
      <w:r w:rsidRPr="00B30E0C">
        <w:rPr>
          <w:rFonts w:cs="Times New Roman"/>
          <w:szCs w:val="24"/>
          <w:u w:val="single"/>
        </w:rPr>
        <w:t xml:space="preserve">Ключевые сферы </w:t>
      </w:r>
      <w:r>
        <w:rPr>
          <w:rFonts w:cs="Times New Roman"/>
          <w:szCs w:val="24"/>
          <w:u w:val="single"/>
        </w:rPr>
        <w:t xml:space="preserve">реализации </w:t>
      </w:r>
      <w:r w:rsidRPr="00B30E0C">
        <w:rPr>
          <w:rFonts w:cs="Times New Roman"/>
          <w:szCs w:val="24"/>
          <w:u w:val="single"/>
        </w:rPr>
        <w:t>взаимодействия.</w:t>
      </w:r>
    </w:p>
    <w:p w14:paraId="5FDA2319" w14:textId="0A6633ED" w:rsidR="007E6AB7" w:rsidRPr="00925516" w:rsidRDefault="007E6AB7" w:rsidP="00925516">
      <w:pPr>
        <w:pStyle w:val="af5"/>
        <w:ind w:firstLine="0"/>
        <w:rPr>
          <w:rFonts w:cs="Times New Roman"/>
          <w:szCs w:val="24"/>
          <w:u w:val="single"/>
        </w:rPr>
      </w:pPr>
      <w:r w:rsidRPr="00925516">
        <w:rPr>
          <w:rFonts w:cs="Times New Roman"/>
          <w:szCs w:val="24"/>
        </w:rPr>
        <w:t>Аренда земельных участков и нежилых помещений (помещений и зданий).</w:t>
      </w:r>
    </w:p>
    <w:p w14:paraId="583125B6" w14:textId="0C29796D" w:rsidR="003943C3" w:rsidRDefault="003943C3" w:rsidP="00170E99">
      <w:pPr>
        <w:ind w:firstLine="0"/>
        <w:rPr>
          <w:b/>
          <w:i/>
        </w:rPr>
      </w:pPr>
      <w:r>
        <w:rPr>
          <w:b/>
          <w:i/>
        </w:rPr>
        <w:t>Финансовая аренда (лизинг)</w:t>
      </w:r>
    </w:p>
    <w:p w14:paraId="2EBAA572" w14:textId="2EC9482F" w:rsidR="003943C3" w:rsidRDefault="003943C3" w:rsidP="00486867">
      <w:pPr>
        <w:pStyle w:val="af5"/>
        <w:numPr>
          <w:ilvl w:val="0"/>
          <w:numId w:val="18"/>
        </w:numPr>
        <w:rPr>
          <w:rFonts w:cs="Times New Roman"/>
          <w:szCs w:val="24"/>
          <w:u w:val="single"/>
        </w:rPr>
      </w:pPr>
      <w:r w:rsidRPr="003943C3">
        <w:rPr>
          <w:rFonts w:cs="Times New Roman"/>
          <w:szCs w:val="24"/>
          <w:u w:val="single"/>
        </w:rPr>
        <w:t>Правовая ос</w:t>
      </w:r>
      <w:r w:rsidR="009C5F43">
        <w:rPr>
          <w:rFonts w:cs="Times New Roman"/>
          <w:szCs w:val="24"/>
          <w:u w:val="single"/>
        </w:rPr>
        <w:t>нова формы взаимодействия.</w:t>
      </w:r>
    </w:p>
    <w:p w14:paraId="75DDDE1C" w14:textId="5500C709" w:rsidR="009C5F43" w:rsidRPr="009D092F" w:rsidRDefault="009C5F43" w:rsidP="009D092F">
      <w:r w:rsidRPr="009D092F">
        <w:t>Основными нормативными документами, составляющими правовую основу взаимоотношений лизингодателя и лизингополучателя, являются ГК РФ и Федеральны</w:t>
      </w:r>
      <w:r w:rsidR="00473AF6">
        <w:t>й закон от 29.10.1998 № 164-ФЗ «О финансовой аренде (лизинге)»</w:t>
      </w:r>
      <w:r w:rsidR="00233EB6">
        <w:rPr>
          <w:rStyle w:val="afa"/>
        </w:rPr>
        <w:footnoteReference w:id="16"/>
      </w:r>
      <w:r w:rsidRPr="009D092F">
        <w:t>. В соответствии со ст. 665 ГК РФ по договору лизинга лизингодатель обязуется приобрести в собственность указанное лизингополучателем имущество у определенного им продавца и предоставить лизингополучателю это имущество за плату во временное владение и пользование для предпринимательских целей.</w:t>
      </w:r>
      <w:r w:rsidR="009D092F">
        <w:t xml:space="preserve"> </w:t>
      </w:r>
    </w:p>
    <w:p w14:paraId="63B7726A" w14:textId="77777777" w:rsidR="009D092F" w:rsidRDefault="003943C3" w:rsidP="00486867">
      <w:pPr>
        <w:pStyle w:val="af5"/>
        <w:numPr>
          <w:ilvl w:val="0"/>
          <w:numId w:val="18"/>
        </w:numPr>
        <w:rPr>
          <w:rFonts w:cs="Times New Roman"/>
          <w:szCs w:val="24"/>
          <w:u w:val="single"/>
        </w:rPr>
      </w:pPr>
      <w:r w:rsidRPr="003943C3">
        <w:rPr>
          <w:rFonts w:cs="Times New Roman"/>
          <w:szCs w:val="24"/>
          <w:u w:val="single"/>
        </w:rPr>
        <w:t>Субъектный и объектный состав формы взаимодействия</w:t>
      </w:r>
    </w:p>
    <w:p w14:paraId="35F62A81" w14:textId="77777777" w:rsidR="001178CD" w:rsidRPr="001178CD" w:rsidRDefault="001178CD" w:rsidP="001178CD">
      <w:r w:rsidRPr="001178CD">
        <w:t>Субъектами лизинга являются:</w:t>
      </w:r>
    </w:p>
    <w:p w14:paraId="2022BE67" w14:textId="77777777" w:rsidR="001178CD" w:rsidRDefault="001178CD" w:rsidP="00486867">
      <w:pPr>
        <w:pStyle w:val="af5"/>
        <w:numPr>
          <w:ilvl w:val="0"/>
          <w:numId w:val="21"/>
        </w:numPr>
      </w:pPr>
      <w:r>
        <w:t xml:space="preserve">Лизингодатель – </w:t>
      </w:r>
      <w:r w:rsidRPr="001178CD">
        <w:t>физическое или юридическое лицо, которое приобретает в ходе реализации договора лизинга в собственность имущество и предоставляет его в качестве предмета лизинга лизингополучателю за определенную плату,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w:t>
      </w:r>
      <w:bookmarkStart w:id="21" w:name="100025"/>
      <w:bookmarkEnd w:id="21"/>
      <w:r w:rsidRPr="001178CD">
        <w:t>;</w:t>
      </w:r>
    </w:p>
    <w:p w14:paraId="251DC996" w14:textId="77777777" w:rsidR="001178CD" w:rsidRDefault="001178CD" w:rsidP="00486867">
      <w:pPr>
        <w:pStyle w:val="af5"/>
        <w:numPr>
          <w:ilvl w:val="0"/>
          <w:numId w:val="21"/>
        </w:numPr>
      </w:pPr>
      <w:r>
        <w:t xml:space="preserve">Лизингополучатель – </w:t>
      </w:r>
      <w:r w:rsidRPr="001178CD">
        <w:t xml:space="preserve">физическое или юридическое лицо, которое в соответствии с договором лизинга обязано принять предмет лизинга за </w:t>
      </w:r>
      <w:r w:rsidRPr="001178CD">
        <w:lastRenderedPageBreak/>
        <w:t>определенную плату, на определенный срок и на определенных условиях во временное владение и в пользование в соответствии с договором лизинга;</w:t>
      </w:r>
      <w:bookmarkStart w:id="22" w:name="100026"/>
      <w:bookmarkEnd w:id="22"/>
    </w:p>
    <w:p w14:paraId="090A6AAC" w14:textId="18A51E4F" w:rsidR="001178CD" w:rsidRDefault="001178CD" w:rsidP="00486867">
      <w:pPr>
        <w:pStyle w:val="af5"/>
        <w:numPr>
          <w:ilvl w:val="0"/>
          <w:numId w:val="21"/>
        </w:numPr>
      </w:pPr>
      <w:r>
        <w:t xml:space="preserve">Продавец – </w:t>
      </w:r>
      <w:r w:rsidRPr="001178CD">
        <w:t>физическое или юридическое лицо, которое в соответствии с договором купли-продажи с лизингодателем продает лизингодателю в обусловленный срок имущество, являющееся предметом лизинга. Продавец обязан передать предмет лизинга лизингодателю или лизингополучателю в соответствии с условиями договора купли-продажи. Продавец может одновременно выступать в качестве лизингополучателя в пределах одного лизингового правоотношения.</w:t>
      </w:r>
    </w:p>
    <w:p w14:paraId="4507D155" w14:textId="15288E7B" w:rsidR="009D092F" w:rsidRDefault="009D092F" w:rsidP="009D092F">
      <w:r w:rsidRPr="009D092F">
        <w:t xml:space="preserve">Предметом договора финансовой аренды могут </w:t>
      </w:r>
      <w:r>
        <w:t xml:space="preserve">быть любые </w:t>
      </w:r>
      <w:proofErr w:type="spellStart"/>
      <w:r>
        <w:t>непотребляемые</w:t>
      </w:r>
      <w:proofErr w:type="spellEnd"/>
      <w:r>
        <w:t xml:space="preserve"> вещи,</w:t>
      </w:r>
    </w:p>
    <w:p w14:paraId="4969E3B3" w14:textId="47D0A015" w:rsidR="003943C3" w:rsidRPr="009D092F" w:rsidRDefault="009D092F" w:rsidP="009D092F">
      <w:pPr>
        <w:ind w:firstLine="0"/>
      </w:pPr>
      <w:r w:rsidRPr="009D092F">
        <w:t xml:space="preserve">используемые в целях ведения предпринимательской деятельности, кроме земельных участков и других природных объектов (ст. 666 ГК РФ). На основании п. 1 ст. 607 ГК РФ под </w:t>
      </w:r>
      <w:proofErr w:type="spellStart"/>
      <w:r w:rsidRPr="009D092F">
        <w:t>непотребляемой</w:t>
      </w:r>
      <w:proofErr w:type="spellEnd"/>
      <w:r w:rsidRPr="009D092F">
        <w:t xml:space="preserve"> вещью понимают вещи, которые не теряют своих натуральных свойств в процессе их использования, например, предприятия и другие имущественные комплексы, здания, сооружения, оборудование, транспортные средства и др.</w:t>
      </w:r>
      <w:r w:rsidR="003943C3" w:rsidRPr="009D092F">
        <w:t xml:space="preserve"> </w:t>
      </w:r>
    </w:p>
    <w:p w14:paraId="7E512955" w14:textId="0D102006" w:rsidR="003943C3" w:rsidRDefault="00413496" w:rsidP="00486867">
      <w:pPr>
        <w:pStyle w:val="af5"/>
        <w:numPr>
          <w:ilvl w:val="0"/>
          <w:numId w:val="18"/>
        </w:numPr>
        <w:rPr>
          <w:rFonts w:cs="Times New Roman"/>
          <w:szCs w:val="24"/>
          <w:u w:val="single"/>
        </w:rPr>
      </w:pPr>
      <w:r>
        <w:rPr>
          <w:rFonts w:cs="Times New Roman"/>
          <w:szCs w:val="24"/>
          <w:u w:val="single"/>
        </w:rPr>
        <w:t>Цель взаимодействия для сторон.</w:t>
      </w:r>
    </w:p>
    <w:p w14:paraId="5C1EFD11" w14:textId="59C67F2E" w:rsidR="00416672" w:rsidRDefault="0095766F" w:rsidP="00416672">
      <w:r>
        <w:t xml:space="preserve">В </w:t>
      </w:r>
      <w:r w:rsidR="001178CD">
        <w:t>соответствии</w:t>
      </w:r>
      <w:r>
        <w:t xml:space="preserve"> с</w:t>
      </w:r>
      <w:r w:rsidR="001178CD">
        <w:t xml:space="preserve"> содержанием Постановления</w:t>
      </w:r>
      <w:r w:rsidR="001178CD" w:rsidRPr="001178CD">
        <w:t xml:space="preserve"> Пленума Высшего Арбитражного Суда Российской</w:t>
      </w:r>
      <w:r w:rsidR="001178CD">
        <w:t xml:space="preserve"> Федерации от 14 марта 2014 г. № 17 «</w:t>
      </w:r>
      <w:r w:rsidR="001178CD" w:rsidRPr="001178CD">
        <w:t>Об отдельных вопросах, связанны</w:t>
      </w:r>
      <w:r w:rsidR="001178CD">
        <w:t>х с договором выкупного лизинга»</w:t>
      </w:r>
      <w:r w:rsidR="00233EB6">
        <w:rPr>
          <w:rStyle w:val="afa"/>
        </w:rPr>
        <w:footnoteReference w:id="17"/>
      </w:r>
      <w:r w:rsidR="001178CD">
        <w:t xml:space="preserve"> по</w:t>
      </w:r>
      <w:r>
        <w:t xml:space="preserve"> </w:t>
      </w:r>
      <w:r w:rsidRPr="001178CD">
        <w:t>общему правилу в договоре выкупного лизинга имущественный интерес лизингодателя заключается в размещении и последующем возврате с прибылью денежных средств, а имущественный интерес лизингополучателя - в приобретении предмета лизинга в собственность за счет средств, предоставленных лизингодателем, и при его содействии.</w:t>
      </w:r>
      <w:r w:rsidR="00C73925">
        <w:t xml:space="preserve"> Также для лизингополучателя – это форма генерирует возможность по распределению платежей во времени, что позволяет получить оборудование в пользование сейчас, а производить по нему оплату постепенно, например, медицинское оборудование можно получить в лизинг на 10-12 лет.</w:t>
      </w:r>
    </w:p>
    <w:p w14:paraId="0AABA3E2" w14:textId="70A5BA76" w:rsidR="003943C3" w:rsidRDefault="003943C3" w:rsidP="00486867">
      <w:pPr>
        <w:pStyle w:val="af5"/>
        <w:numPr>
          <w:ilvl w:val="0"/>
          <w:numId w:val="18"/>
        </w:numPr>
        <w:rPr>
          <w:rFonts w:cs="Times New Roman"/>
          <w:szCs w:val="24"/>
          <w:u w:val="single"/>
        </w:rPr>
      </w:pPr>
      <w:r w:rsidRPr="003943C3">
        <w:rPr>
          <w:rFonts w:cs="Times New Roman"/>
          <w:szCs w:val="24"/>
          <w:u w:val="single"/>
        </w:rPr>
        <w:t xml:space="preserve">Сторона(-ы) осуществляющие финансирование </w:t>
      </w:r>
      <w:r w:rsidR="00473AF6">
        <w:rPr>
          <w:rFonts w:cs="Times New Roman"/>
          <w:szCs w:val="24"/>
          <w:u w:val="single"/>
        </w:rPr>
        <w:t>и возможные виды финансирования.</w:t>
      </w:r>
    </w:p>
    <w:p w14:paraId="20EF45CB" w14:textId="664D3852" w:rsidR="00473AF6" w:rsidRPr="00473AF6" w:rsidRDefault="00473AF6" w:rsidP="00473AF6">
      <w:r>
        <w:t xml:space="preserve">Лизинговые платежи </w:t>
      </w:r>
      <w:r w:rsidRPr="00473AF6">
        <w:t xml:space="preserve">должен проводить заказчик. Лизинговый платеж включает в себя все оплаты, предусмотренные договором в течение срока его действия, а именно: возмещение расходов лизингодателя на покупку и сдачу предмета лизинга в аренду лизингополучателю; компенсация затрат на оказание других услуг согласно договору лизинга; доход лизингодателя. По усмотрению сторон казенные, бюджетные и автономные </w:t>
      </w:r>
      <w:r w:rsidRPr="00473AF6">
        <w:lastRenderedPageBreak/>
        <w:t xml:space="preserve">организации могут корректировать суммы лизинговых платежей с учетом сметы по бюджету или финансово-хозяйственного плана (ст. 9.1 ФЗ-164, часть 3). Общий порядок осуществления лизинговых платежей установлен в ст. 28 этого закона. Суммы и сроки данных платежей можно менять по обоюдному согласию сторон. Лизингодатель принимает на себя обязанности по лизинговым платежам, как только лизингополучатель начинает пользоваться арендованным имуществом, если других условий нет в тексте соглашения. </w:t>
      </w:r>
    </w:p>
    <w:p w14:paraId="75BACE45" w14:textId="1F940B7C" w:rsidR="003943C3" w:rsidRDefault="003943C3" w:rsidP="00486867">
      <w:pPr>
        <w:pStyle w:val="af5"/>
        <w:numPr>
          <w:ilvl w:val="0"/>
          <w:numId w:val="18"/>
        </w:numPr>
        <w:rPr>
          <w:rFonts w:cs="Times New Roman"/>
          <w:szCs w:val="24"/>
          <w:u w:val="single"/>
        </w:rPr>
      </w:pPr>
      <w:r w:rsidRPr="003943C3">
        <w:rPr>
          <w:rFonts w:cs="Times New Roman"/>
          <w:szCs w:val="24"/>
          <w:u w:val="single"/>
        </w:rPr>
        <w:t>Наличие оценк</w:t>
      </w:r>
      <w:r w:rsidR="00413496">
        <w:rPr>
          <w:rFonts w:cs="Times New Roman"/>
          <w:szCs w:val="24"/>
          <w:u w:val="single"/>
        </w:rPr>
        <w:t>и эффективности взаимодействия.</w:t>
      </w:r>
    </w:p>
    <w:p w14:paraId="0D895DB4" w14:textId="3A3B2FA0" w:rsidR="004F63A9" w:rsidRPr="004F63A9" w:rsidRDefault="004F63A9" w:rsidP="004F63A9">
      <w:r w:rsidRPr="004F63A9">
        <w:t>Отсутствует.</w:t>
      </w:r>
    </w:p>
    <w:p w14:paraId="1197689E" w14:textId="63898FE7" w:rsidR="0095766F" w:rsidRDefault="003943C3" w:rsidP="00486867">
      <w:pPr>
        <w:pStyle w:val="af5"/>
        <w:numPr>
          <w:ilvl w:val="0"/>
          <w:numId w:val="18"/>
        </w:numPr>
        <w:rPr>
          <w:rFonts w:cs="Times New Roman"/>
          <w:szCs w:val="24"/>
          <w:u w:val="single"/>
        </w:rPr>
      </w:pPr>
      <w:r w:rsidRPr="003943C3">
        <w:rPr>
          <w:rFonts w:cs="Times New Roman"/>
          <w:szCs w:val="24"/>
          <w:u w:val="single"/>
        </w:rPr>
        <w:t xml:space="preserve">Наличие условия и порядка возникновения права </w:t>
      </w:r>
      <w:r w:rsidR="00413496">
        <w:rPr>
          <w:rFonts w:cs="Times New Roman"/>
          <w:szCs w:val="24"/>
          <w:u w:val="single"/>
        </w:rPr>
        <w:t>частной собственности на объект</w:t>
      </w:r>
      <w:r w:rsidR="0095766F">
        <w:rPr>
          <w:rFonts w:cs="Times New Roman"/>
          <w:szCs w:val="24"/>
          <w:u w:val="single"/>
        </w:rPr>
        <w:t xml:space="preserve"> контракта</w:t>
      </w:r>
      <w:r w:rsidR="00413496">
        <w:rPr>
          <w:rFonts w:cs="Times New Roman"/>
          <w:szCs w:val="24"/>
          <w:u w:val="single"/>
        </w:rPr>
        <w:t>.</w:t>
      </w:r>
      <w:r w:rsidRPr="003943C3">
        <w:rPr>
          <w:rFonts w:cs="Times New Roman"/>
          <w:szCs w:val="24"/>
          <w:u w:val="single"/>
        </w:rPr>
        <w:t xml:space="preserve"> </w:t>
      </w:r>
    </w:p>
    <w:p w14:paraId="15F1B592" w14:textId="222E7DF7" w:rsidR="004F63A9" w:rsidRDefault="004F63A9" w:rsidP="004F63A9">
      <w:r>
        <w:t>Д</w:t>
      </w:r>
      <w:r w:rsidRPr="004F63A9">
        <w:t>оговор лизинга</w:t>
      </w:r>
      <w:r>
        <w:t xml:space="preserve"> может</w:t>
      </w:r>
      <w:r w:rsidRPr="004F63A9">
        <w:t xml:space="preserve"> предусматривает переход права собственности на имущество к лизингоп</w:t>
      </w:r>
      <w:r>
        <w:t>олучателю и при этом не содержать</w:t>
      </w:r>
      <w:r w:rsidRPr="004F63A9">
        <w:t xml:space="preserve"> указания на совершение отдельной сделки по выкупу предмета лизинга</w:t>
      </w:r>
      <w:r>
        <w:t xml:space="preserve">, в этом случае право </w:t>
      </w:r>
      <w:r w:rsidRPr="004F63A9">
        <w:t>собственности на лизинговое имущество переходит к Лизингополучателю при уплате общей суммы лизинговых платежей, и, возможно, выкупной цены.</w:t>
      </w:r>
    </w:p>
    <w:p w14:paraId="48BAD37F" w14:textId="619551A7" w:rsidR="004F63A9" w:rsidRDefault="004F63A9" w:rsidP="004F63A9">
      <w:r w:rsidRPr="004F63A9">
        <w:t>Договор лизинга может содержать указание на совершение отдельной сделки по выкупу имущества</w:t>
      </w:r>
      <w:r>
        <w:t xml:space="preserve">, в этом случае </w:t>
      </w:r>
      <w:r w:rsidRPr="004F63A9">
        <w:t>стороны заключают договор купли-продажи лизингового имущества</w:t>
      </w:r>
      <w:r>
        <w:t xml:space="preserve"> после уплаты лизингополучателем </w:t>
      </w:r>
      <w:r w:rsidRPr="004F63A9">
        <w:t>всей суммы лизинговых платежей</w:t>
      </w:r>
      <w:r>
        <w:t>.</w:t>
      </w:r>
    </w:p>
    <w:p w14:paraId="49360122" w14:textId="3C24FA3A" w:rsidR="001968CD" w:rsidRDefault="004F63A9" w:rsidP="001968CD">
      <w:r>
        <w:t xml:space="preserve">Также </w:t>
      </w:r>
      <w:r w:rsidRPr="004F63A9">
        <w:t xml:space="preserve">договор лизинга </w:t>
      </w:r>
      <w:r>
        <w:t>может не предусматривать</w:t>
      </w:r>
      <w:r w:rsidRPr="004F63A9">
        <w:t xml:space="preserve"> возможность выкупа имущества. В </w:t>
      </w:r>
      <w:r w:rsidR="001968CD">
        <w:t>этом случае, переход права</w:t>
      </w:r>
      <w:r w:rsidRPr="004F63A9">
        <w:t xml:space="preserve"> собственности </w:t>
      </w:r>
      <w:r w:rsidR="001968CD">
        <w:t>к</w:t>
      </w:r>
      <w:r w:rsidR="001968CD" w:rsidRPr="004F63A9">
        <w:t xml:space="preserve"> лизингопо</w:t>
      </w:r>
      <w:r w:rsidR="001968CD">
        <w:t xml:space="preserve">лучателю </w:t>
      </w:r>
      <w:r w:rsidRPr="004F63A9">
        <w:t>не наступает</w:t>
      </w:r>
      <w:r w:rsidR="001968CD">
        <w:t>.</w:t>
      </w:r>
    </w:p>
    <w:p w14:paraId="72E4BCEA" w14:textId="4B63858A" w:rsidR="003943C3" w:rsidRPr="00C73925" w:rsidRDefault="003943C3" w:rsidP="00486867">
      <w:pPr>
        <w:pStyle w:val="af5"/>
        <w:numPr>
          <w:ilvl w:val="0"/>
          <w:numId w:val="18"/>
        </w:numPr>
        <w:rPr>
          <w:rFonts w:cs="Times New Roman"/>
          <w:color w:val="000000" w:themeColor="text1"/>
          <w:szCs w:val="24"/>
          <w:u w:val="single"/>
        </w:rPr>
      </w:pPr>
      <w:r w:rsidRPr="00C73925">
        <w:rPr>
          <w:rFonts w:cs="Times New Roman"/>
          <w:color w:val="000000" w:themeColor="text1"/>
          <w:szCs w:val="24"/>
          <w:u w:val="single"/>
        </w:rPr>
        <w:t>Наличие государственны</w:t>
      </w:r>
      <w:r w:rsidR="00413496" w:rsidRPr="00C73925">
        <w:rPr>
          <w:rFonts w:cs="Times New Roman"/>
          <w:color w:val="000000" w:themeColor="text1"/>
          <w:szCs w:val="24"/>
          <w:u w:val="single"/>
        </w:rPr>
        <w:t>х гарантий.</w:t>
      </w:r>
      <w:r w:rsidR="00C6585C" w:rsidRPr="00C73925">
        <w:rPr>
          <w:rFonts w:ascii="Arial" w:hAnsi="Arial" w:cs="Arial"/>
          <w:color w:val="000000" w:themeColor="text1"/>
          <w:sz w:val="23"/>
          <w:szCs w:val="23"/>
        </w:rPr>
        <w:t xml:space="preserve"> </w:t>
      </w:r>
    </w:p>
    <w:p w14:paraId="4406CC02" w14:textId="17950931" w:rsidR="00C73925" w:rsidRPr="00C73925" w:rsidRDefault="00C73925" w:rsidP="00C73925">
      <w:pPr>
        <w:rPr>
          <w:color w:val="000000" w:themeColor="text1"/>
        </w:rPr>
      </w:pPr>
      <w:r w:rsidRPr="00C73925">
        <w:rPr>
          <w:color w:val="000000" w:themeColor="text1"/>
        </w:rPr>
        <w:t>Не предполагаются.</w:t>
      </w:r>
    </w:p>
    <w:p w14:paraId="4C3055A4" w14:textId="06805410" w:rsidR="003943C3" w:rsidRPr="00C73925" w:rsidRDefault="003943C3" w:rsidP="00486867">
      <w:pPr>
        <w:pStyle w:val="af5"/>
        <w:numPr>
          <w:ilvl w:val="0"/>
          <w:numId w:val="18"/>
        </w:numPr>
        <w:rPr>
          <w:rFonts w:cs="Times New Roman"/>
          <w:color w:val="000000" w:themeColor="text1"/>
          <w:szCs w:val="24"/>
          <w:u w:val="single"/>
        </w:rPr>
      </w:pPr>
      <w:r w:rsidRPr="00C73925">
        <w:rPr>
          <w:rFonts w:cs="Times New Roman"/>
          <w:color w:val="000000" w:themeColor="text1"/>
          <w:szCs w:val="24"/>
          <w:u w:val="single"/>
        </w:rPr>
        <w:t xml:space="preserve">Формы </w:t>
      </w:r>
      <w:r w:rsidR="00413496" w:rsidRPr="00C73925">
        <w:rPr>
          <w:rFonts w:cs="Times New Roman"/>
          <w:color w:val="000000" w:themeColor="text1"/>
          <w:szCs w:val="24"/>
          <w:u w:val="single"/>
        </w:rPr>
        <w:t>и методы вознаграждение бизнеса.</w:t>
      </w:r>
    </w:p>
    <w:p w14:paraId="0425A024" w14:textId="46E07EEC" w:rsidR="00C73925" w:rsidRPr="00C73925" w:rsidRDefault="00C73925" w:rsidP="00C73925">
      <w:r w:rsidRPr="00C73925">
        <w:t>Н</w:t>
      </w:r>
      <w:r w:rsidR="00501F2B">
        <w:t xml:space="preserve">е предполагаются, помимо получения лизингодателем лизинговых платежей от заказчика. </w:t>
      </w:r>
    </w:p>
    <w:p w14:paraId="75525F7F" w14:textId="750F88FA" w:rsidR="003943C3" w:rsidRDefault="003943C3" w:rsidP="00486867">
      <w:pPr>
        <w:pStyle w:val="af5"/>
        <w:numPr>
          <w:ilvl w:val="0"/>
          <w:numId w:val="18"/>
        </w:numPr>
        <w:rPr>
          <w:rFonts w:cs="Times New Roman"/>
          <w:color w:val="000000" w:themeColor="text1"/>
          <w:szCs w:val="24"/>
          <w:u w:val="single"/>
        </w:rPr>
      </w:pPr>
      <w:r w:rsidRPr="00C73925">
        <w:rPr>
          <w:rFonts w:cs="Times New Roman"/>
          <w:color w:val="000000" w:themeColor="text1"/>
          <w:szCs w:val="24"/>
          <w:u w:val="single"/>
        </w:rPr>
        <w:t>Сторона(-ы) осуществляющая(-</w:t>
      </w:r>
      <w:proofErr w:type="spellStart"/>
      <w:r w:rsidRPr="00C73925">
        <w:rPr>
          <w:rFonts w:cs="Times New Roman"/>
          <w:color w:val="000000" w:themeColor="text1"/>
          <w:szCs w:val="24"/>
          <w:u w:val="single"/>
        </w:rPr>
        <w:t>ие</w:t>
      </w:r>
      <w:proofErr w:type="spellEnd"/>
      <w:r w:rsidRPr="00C73925">
        <w:rPr>
          <w:rFonts w:cs="Times New Roman"/>
          <w:color w:val="000000" w:themeColor="text1"/>
          <w:szCs w:val="24"/>
          <w:u w:val="single"/>
        </w:rPr>
        <w:t>) со</w:t>
      </w:r>
      <w:r w:rsidR="00413496" w:rsidRPr="00C73925">
        <w:rPr>
          <w:rFonts w:cs="Times New Roman"/>
          <w:color w:val="000000" w:themeColor="text1"/>
          <w:szCs w:val="24"/>
          <w:u w:val="single"/>
        </w:rPr>
        <w:t>держание и эксплуатацию объекта.</w:t>
      </w:r>
    </w:p>
    <w:p w14:paraId="7006DFFE" w14:textId="073DCB9A" w:rsidR="00501F2B" w:rsidRPr="00501F2B" w:rsidRDefault="00501F2B" w:rsidP="00501F2B">
      <w:r w:rsidRPr="00501F2B">
        <w:t>Заказчик осуществляе</w:t>
      </w:r>
      <w:r>
        <w:t>т</w:t>
      </w:r>
      <w:r w:rsidRPr="00501F2B">
        <w:t xml:space="preserve"> содержание и эксплу</w:t>
      </w:r>
      <w:r>
        <w:t>атацию</w:t>
      </w:r>
      <w:r w:rsidRPr="00501F2B">
        <w:t xml:space="preserve"> объекта</w:t>
      </w:r>
      <w:r w:rsidR="00306694">
        <w:t xml:space="preserve"> соглашения</w:t>
      </w:r>
      <w:r w:rsidRPr="00501F2B">
        <w:t xml:space="preserve">. </w:t>
      </w:r>
    </w:p>
    <w:p w14:paraId="2E23F8FB" w14:textId="4F10050F" w:rsidR="003943C3" w:rsidRPr="00C73925" w:rsidRDefault="003943C3" w:rsidP="00486867">
      <w:pPr>
        <w:pStyle w:val="af5"/>
        <w:numPr>
          <w:ilvl w:val="0"/>
          <w:numId w:val="18"/>
        </w:numPr>
        <w:rPr>
          <w:rFonts w:cs="Times New Roman"/>
          <w:color w:val="000000" w:themeColor="text1"/>
          <w:szCs w:val="24"/>
          <w:u w:val="single"/>
        </w:rPr>
      </w:pPr>
      <w:r w:rsidRPr="00C73925">
        <w:rPr>
          <w:rFonts w:cs="Times New Roman"/>
          <w:color w:val="000000" w:themeColor="text1"/>
          <w:szCs w:val="24"/>
          <w:u w:val="single"/>
        </w:rPr>
        <w:t>Ключевые сферы применения взаимодействия.</w:t>
      </w:r>
    </w:p>
    <w:p w14:paraId="349EE784" w14:textId="69DB2DC5" w:rsidR="00C73925" w:rsidRPr="00C73925" w:rsidRDefault="00C73925" w:rsidP="00C73925">
      <w:r w:rsidRPr="00C73925">
        <w:t> </w:t>
      </w:r>
      <w:r>
        <w:t>П</w:t>
      </w:r>
      <w:r w:rsidRPr="00C73925">
        <w:t>ереоснащение модернизации основных средств предприятия</w:t>
      </w:r>
      <w:r>
        <w:t>,</w:t>
      </w:r>
      <w:r w:rsidR="00306694">
        <w:t xml:space="preserve"> в частности,</w:t>
      </w:r>
      <w:r>
        <w:t xml:space="preserve"> </w:t>
      </w:r>
      <w:r w:rsidRPr="00C73925">
        <w:t>мед</w:t>
      </w:r>
      <w:r>
        <w:t xml:space="preserve">ицинской </w:t>
      </w:r>
      <w:r w:rsidRPr="00C73925">
        <w:t xml:space="preserve">техники </w:t>
      </w:r>
      <w:r>
        <w:t xml:space="preserve">больниц и клиник, </w:t>
      </w:r>
    </w:p>
    <w:p w14:paraId="4E816CFE" w14:textId="416EF170" w:rsidR="007E6AB7" w:rsidRPr="00284EA1" w:rsidRDefault="007E6AB7" w:rsidP="00170E99">
      <w:pPr>
        <w:ind w:firstLine="0"/>
        <w:rPr>
          <w:b/>
          <w:i/>
        </w:rPr>
      </w:pPr>
      <w:r w:rsidRPr="00284EA1">
        <w:rPr>
          <w:b/>
          <w:i/>
        </w:rPr>
        <w:t>Государственный контракт</w:t>
      </w:r>
    </w:p>
    <w:p w14:paraId="563F303A" w14:textId="77777777" w:rsidR="007E6AB7" w:rsidRDefault="007E6AB7" w:rsidP="00E167F6">
      <w:pPr>
        <w:pStyle w:val="af5"/>
        <w:numPr>
          <w:ilvl w:val="0"/>
          <w:numId w:val="6"/>
        </w:numPr>
        <w:rPr>
          <w:rFonts w:cs="Times New Roman"/>
          <w:szCs w:val="24"/>
          <w:u w:val="single"/>
        </w:rPr>
      </w:pPr>
      <w:r w:rsidRPr="00284EA1">
        <w:rPr>
          <w:rFonts w:cs="Times New Roman"/>
          <w:szCs w:val="24"/>
          <w:u w:val="single"/>
        </w:rPr>
        <w:t>Правовая</w:t>
      </w:r>
      <w:r>
        <w:rPr>
          <w:rFonts w:cs="Times New Roman"/>
          <w:szCs w:val="24"/>
          <w:u w:val="single"/>
        </w:rPr>
        <w:t xml:space="preserve"> основа взаимодействия государства и бизнеса посредством заключения гос. контракта.</w:t>
      </w:r>
    </w:p>
    <w:p w14:paraId="512A06BF" w14:textId="77777777" w:rsidR="007E6AB7" w:rsidRDefault="007E6AB7" w:rsidP="007E6AB7">
      <w:r w:rsidRPr="00284EA1">
        <w:lastRenderedPageBreak/>
        <w:t xml:space="preserve">Гражданским кодексом </w:t>
      </w:r>
      <w:r>
        <w:t xml:space="preserve">РФ </w:t>
      </w:r>
      <w:r w:rsidRPr="00284EA1">
        <w:t>предусмотрено заключение государственного контракта на поставку товаров для государственных нужд (ст. 526 ГК РФ) и государственного контракта на выполнение подрядных работ для государственных нужд (ст. 763 ГК РФ).</w:t>
      </w:r>
    </w:p>
    <w:p w14:paraId="5451B9E2" w14:textId="3000665B" w:rsidR="007E6AB7" w:rsidRDefault="007E6AB7" w:rsidP="007E6AB7">
      <w:r w:rsidRPr="00433FDD">
        <w:t>С</w:t>
      </w:r>
      <w:r>
        <w:t>огласно с</w:t>
      </w:r>
      <w:r w:rsidRPr="00433FDD">
        <w:t>т</w:t>
      </w:r>
      <w:r>
        <w:t>.</w:t>
      </w:r>
      <w:r w:rsidRPr="00433FDD">
        <w:t xml:space="preserve"> 3 Федерального Закона</w:t>
      </w:r>
      <w:r>
        <w:t xml:space="preserve"> РФ от 5 апреля 2013 г.</w:t>
      </w:r>
      <w:r w:rsidRPr="00433FDD">
        <w:t xml:space="preserve"> </w:t>
      </w:r>
      <w:r w:rsidRPr="003E5977">
        <w:t xml:space="preserve">№ 44-ФЗ </w:t>
      </w:r>
      <w:r>
        <w:t>«</w:t>
      </w:r>
      <w:r w:rsidRPr="003E5977">
        <w:t>О контрактной системе в сфере закупок товаров, работ, услуг для обеспечения госуда</w:t>
      </w:r>
      <w:r>
        <w:t>рственных и муниципальных нужд»</w:t>
      </w:r>
      <w:r w:rsidR="00F10B89">
        <w:rPr>
          <w:rStyle w:val="afa"/>
        </w:rPr>
        <w:footnoteReference w:id="18"/>
      </w:r>
      <w:r w:rsidRPr="00433FDD">
        <w:t xml:space="preserve">, государственный, муниципальный контракт – </w:t>
      </w:r>
      <w:r w:rsidRPr="003E5977">
        <w:t>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w:t>
      </w:r>
      <w:r>
        <w:t xml:space="preserve"> РФ</w:t>
      </w:r>
      <w:r w:rsidRPr="003E5977">
        <w:t xml:space="preserve">, субъекта </w:t>
      </w:r>
      <w:r>
        <w:t xml:space="preserve">РФ </w:t>
      </w:r>
      <w:r w:rsidRPr="003E5977">
        <w:t>(государственный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r>
        <w:t>.</w:t>
      </w:r>
    </w:p>
    <w:p w14:paraId="7B29AA2F" w14:textId="77777777" w:rsidR="007E6AB7" w:rsidRDefault="007E6AB7" w:rsidP="00E167F6">
      <w:pPr>
        <w:pStyle w:val="af5"/>
        <w:numPr>
          <w:ilvl w:val="0"/>
          <w:numId w:val="6"/>
        </w:numPr>
        <w:rPr>
          <w:rFonts w:cs="Times New Roman"/>
          <w:szCs w:val="24"/>
          <w:u w:val="single"/>
        </w:rPr>
      </w:pPr>
      <w:r w:rsidRPr="003E5977">
        <w:rPr>
          <w:rFonts w:cs="Times New Roman"/>
          <w:szCs w:val="24"/>
          <w:u w:val="single"/>
        </w:rPr>
        <w:t>Субъектно-объектный состав</w:t>
      </w:r>
      <w:r>
        <w:rPr>
          <w:rFonts w:cs="Times New Roman"/>
          <w:szCs w:val="24"/>
          <w:u w:val="single"/>
        </w:rPr>
        <w:t xml:space="preserve"> взаимодействия государства и бизнеса посредством заключения гос. контракта.</w:t>
      </w:r>
    </w:p>
    <w:p w14:paraId="0872D23A" w14:textId="24032359" w:rsidR="007E6AB7" w:rsidRDefault="007E6AB7" w:rsidP="007E6AB7">
      <w:r>
        <w:t xml:space="preserve">Заказчики по 44-ФЗ: </w:t>
      </w:r>
      <w:r w:rsidR="004307B9">
        <w:t>о</w:t>
      </w:r>
      <w:r w:rsidRPr="0061293F">
        <w:t>рганы власти (государственные, муниципальные), Государственная</w:t>
      </w:r>
      <w:r>
        <w:t xml:space="preserve"> корпорация по атомной энергии «</w:t>
      </w:r>
      <w:proofErr w:type="spellStart"/>
      <w:r>
        <w:t>Росатом</w:t>
      </w:r>
      <w:proofErr w:type="spellEnd"/>
      <w:r>
        <w:t xml:space="preserve">», </w:t>
      </w:r>
      <w:r w:rsidRPr="0061293F">
        <w:t>Государственная корпорац</w:t>
      </w:r>
      <w:r>
        <w:t>ия по космической деятельности «</w:t>
      </w:r>
      <w:proofErr w:type="spellStart"/>
      <w:r w:rsidRPr="0061293F">
        <w:t>Роскосмос</w:t>
      </w:r>
      <w:proofErr w:type="spellEnd"/>
      <w:r>
        <w:t xml:space="preserve">», </w:t>
      </w:r>
      <w:r w:rsidRPr="0061293F">
        <w:t xml:space="preserve">орган управления государственным внебюджетным фондом, государственные и муниципальные казенные учреждения. Бюджетные учреждения. Унитарные предприятия, если закупка проходит за счет бюджетных средств. </w:t>
      </w:r>
    </w:p>
    <w:p w14:paraId="1CB733E2" w14:textId="6466052F" w:rsidR="008D6286" w:rsidRDefault="007E6AB7" w:rsidP="008D6286">
      <w:r>
        <w:t>Заказчики по 223-ФЗ</w:t>
      </w:r>
      <w:r w:rsidR="008D6286">
        <w:rPr>
          <w:rStyle w:val="afa"/>
        </w:rPr>
        <w:footnoteReference w:id="19"/>
      </w:r>
      <w:r>
        <w:t xml:space="preserve">: </w:t>
      </w:r>
      <w:r w:rsidRPr="0061293F">
        <w:t>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r w:rsidRPr="005D44E1">
        <w:t>, юридические лица с инвестиционными проектами более 500 млн</w:t>
      </w:r>
      <w:r>
        <w:t>.</w:t>
      </w:r>
      <w:r w:rsidRPr="005D44E1">
        <w:t xml:space="preserve"> руб. с гос</w:t>
      </w:r>
      <w:r>
        <w:t xml:space="preserve">ударственной </w:t>
      </w:r>
      <w:r w:rsidRPr="005D44E1">
        <w:t>подд</w:t>
      </w:r>
      <w:r>
        <w:t>ержкой. Б</w:t>
      </w:r>
      <w:r w:rsidRPr="005D44E1">
        <w:t xml:space="preserve">юджетные учреждения, унитарные предприятия, приобретающие продукцию: за счет грантов; как субподряд; за счет собственных доходов. Унитарные предприятия, если </w:t>
      </w:r>
      <w:r>
        <w:t xml:space="preserve">закупка осуществляется за их </w:t>
      </w:r>
      <w:r w:rsidRPr="005D44E1">
        <w:t xml:space="preserve">собственные средства. </w:t>
      </w:r>
    </w:p>
    <w:p w14:paraId="32A85147" w14:textId="77777777" w:rsidR="007E6AB7" w:rsidRDefault="007E6AB7" w:rsidP="007E6AB7">
      <w:r w:rsidRPr="0061293F">
        <w:t>Поставщик</w:t>
      </w:r>
      <w:r>
        <w:t>и (подрядчики, исполнители) по 44-ФЗ: юридические лица; физические лица; и</w:t>
      </w:r>
      <w:r w:rsidRPr="005D44E1">
        <w:t xml:space="preserve">ндивидуальные предприниматели (ИП). </w:t>
      </w:r>
    </w:p>
    <w:p w14:paraId="7E42CD42" w14:textId="77777777" w:rsidR="007E6AB7" w:rsidRPr="0061293F" w:rsidRDefault="007E6AB7" w:rsidP="007E6AB7">
      <w:r>
        <w:lastRenderedPageBreak/>
        <w:t>Поставщики (подрядчики, исполнители) по 223-ФЗ: юридические лица; физические лица; индивидуальные предприниматели; к</w:t>
      </w:r>
      <w:r w:rsidRPr="005D44E1">
        <w:t xml:space="preserve">оллективные участники. </w:t>
      </w:r>
    </w:p>
    <w:p w14:paraId="63C94D38" w14:textId="77777777" w:rsidR="007E6AB7" w:rsidRDefault="007E6AB7" w:rsidP="007E6AB7">
      <w:r>
        <w:t xml:space="preserve">Объектом государственных (муниципальных) закупок может выступать «объект закупки» – конкретный товар (работа, услуга) и «предмет контракта» – понятие, </w:t>
      </w:r>
      <w:r w:rsidRPr="005D44E1">
        <w:t>которое может включать в себя несколько объектов закупки, а также сопутствующие работы (услуги).</w:t>
      </w:r>
      <w:r>
        <w:t xml:space="preserve"> </w:t>
      </w:r>
    </w:p>
    <w:p w14:paraId="2CE01618" w14:textId="77777777" w:rsidR="007E6AB7" w:rsidRDefault="007E6AB7" w:rsidP="00E167F6">
      <w:pPr>
        <w:pStyle w:val="af5"/>
        <w:numPr>
          <w:ilvl w:val="0"/>
          <w:numId w:val="6"/>
        </w:numPr>
        <w:rPr>
          <w:rFonts w:cs="Times New Roman"/>
          <w:szCs w:val="24"/>
          <w:u w:val="single"/>
        </w:rPr>
      </w:pPr>
      <w:r w:rsidRPr="00D92AF6">
        <w:rPr>
          <w:rFonts w:cs="Times New Roman"/>
          <w:szCs w:val="24"/>
          <w:u w:val="single"/>
        </w:rPr>
        <w:t>Цель взаимодействия для сторон</w:t>
      </w:r>
      <w:r>
        <w:rPr>
          <w:rFonts w:cs="Times New Roman"/>
          <w:szCs w:val="24"/>
          <w:u w:val="single"/>
        </w:rPr>
        <w:t xml:space="preserve"> государственного контракта. </w:t>
      </w:r>
    </w:p>
    <w:p w14:paraId="09FA93F5" w14:textId="3CFA7E1F" w:rsidR="004307B9" w:rsidRDefault="004307B9" w:rsidP="004307B9">
      <w:r w:rsidRPr="00D92AF6">
        <w:t xml:space="preserve">Для заказчика – </w:t>
      </w:r>
      <w:r w:rsidRPr="00D30086">
        <w:t>оптимизация расходов государственного бюджета</w:t>
      </w:r>
      <w:r>
        <w:t>, выполнение</w:t>
      </w:r>
      <w:r w:rsidRPr="00723AA1">
        <w:t xml:space="preserve"> целей и задач государственных и муниципальных органов управления, в частности социально-экономического развития, обеспечение социального равенства, поддержка групп н</w:t>
      </w:r>
      <w:r>
        <w:t>аселения</w:t>
      </w:r>
      <w:r w:rsidRPr="00723AA1">
        <w:t>, развитие предприятий, действующих в сфере государственных закупок.</w:t>
      </w:r>
      <w:r>
        <w:t xml:space="preserve"> </w:t>
      </w:r>
    </w:p>
    <w:p w14:paraId="2BBC5210" w14:textId="3CAA85CB" w:rsidR="007E6AB7" w:rsidRPr="00C6006A" w:rsidRDefault="007E6AB7" w:rsidP="007E6AB7">
      <w:r w:rsidRPr="00C6006A">
        <w:t xml:space="preserve">Для поставщика </w:t>
      </w:r>
      <w:r>
        <w:t>участие в государственных закупках – основной или дополнительный источник</w:t>
      </w:r>
      <w:r w:rsidR="004307B9">
        <w:t xml:space="preserve"> прибыли</w:t>
      </w:r>
      <w:r>
        <w:t>.</w:t>
      </w:r>
    </w:p>
    <w:p w14:paraId="72A50441" w14:textId="77777777" w:rsidR="007E6AB7" w:rsidRDefault="007E6AB7" w:rsidP="00E167F6">
      <w:pPr>
        <w:pStyle w:val="af5"/>
        <w:numPr>
          <w:ilvl w:val="0"/>
          <w:numId w:val="6"/>
        </w:numPr>
        <w:rPr>
          <w:rFonts w:cs="Times New Roman"/>
          <w:szCs w:val="24"/>
          <w:u w:val="single"/>
        </w:rPr>
      </w:pPr>
      <w:r w:rsidRPr="0000207D">
        <w:rPr>
          <w:rFonts w:cs="Times New Roman"/>
          <w:szCs w:val="24"/>
          <w:u w:val="single"/>
        </w:rPr>
        <w:t>П</w:t>
      </w:r>
      <w:r>
        <w:rPr>
          <w:rFonts w:cs="Times New Roman"/>
          <w:szCs w:val="24"/>
          <w:u w:val="single"/>
        </w:rPr>
        <w:t>родолжительность взаимодействия.</w:t>
      </w:r>
    </w:p>
    <w:p w14:paraId="3FA126A7" w14:textId="77777777" w:rsidR="007E6AB7" w:rsidRDefault="007E6AB7" w:rsidP="007E6AB7">
      <w:r w:rsidRPr="00845A82">
        <w:t xml:space="preserve">Краткосрочные контракты – в </w:t>
      </w:r>
      <w:r>
        <w:t>пределах 1 года (ограничены лимитом бюджетных обязательств в текущем финансовом году).</w:t>
      </w:r>
    </w:p>
    <w:p w14:paraId="2454A405" w14:textId="77777777" w:rsidR="007E6AB7" w:rsidRPr="00845A82" w:rsidRDefault="007E6AB7" w:rsidP="007E6AB7">
      <w:r>
        <w:t xml:space="preserve">Однако в </w:t>
      </w:r>
      <w:r w:rsidRPr="002759B6">
        <w:t>Распоря</w:t>
      </w:r>
      <w:r>
        <w:t>жении</w:t>
      </w:r>
      <w:r w:rsidRPr="002759B6">
        <w:t xml:space="preserve"> от 19 декабря 2017 года №</w:t>
      </w:r>
      <w:r>
        <w:t xml:space="preserve"> 2866-р. были у</w:t>
      </w:r>
      <w:r w:rsidRPr="002759B6">
        <w:t>тверждены перечни работ и услуг, в целях выполнения которых в 2018–2023 годах могут заключаться долгосрочные государственные контракты на содержание автомобильных дорог общего пользования федерального значения и искусственных сооружений на таких автомобильных дорогах.</w:t>
      </w:r>
      <w:r>
        <w:t xml:space="preserve"> В этом случае </w:t>
      </w:r>
      <w:r w:rsidRPr="002759B6">
        <w:t>государственные (муниципальные) контракты могут заключаться в пределах средств, установленных на соответствующие цели долгосрочными целевыми программами, а также в соответствии с решениями Правительства России</w:t>
      </w:r>
      <w:r>
        <w:t xml:space="preserve">. </w:t>
      </w:r>
    </w:p>
    <w:p w14:paraId="709547D0" w14:textId="77777777" w:rsidR="007E6AB7" w:rsidRDefault="007E6AB7" w:rsidP="00E167F6">
      <w:pPr>
        <w:pStyle w:val="af5"/>
        <w:numPr>
          <w:ilvl w:val="0"/>
          <w:numId w:val="6"/>
        </w:numPr>
        <w:rPr>
          <w:rFonts w:cs="Times New Roman"/>
          <w:szCs w:val="24"/>
          <w:u w:val="single"/>
        </w:rPr>
      </w:pPr>
      <w:r w:rsidRPr="00914CE8">
        <w:rPr>
          <w:rFonts w:cs="Times New Roman"/>
          <w:szCs w:val="24"/>
          <w:u w:val="single"/>
        </w:rPr>
        <w:t>Сторона(-ы) осуществляющие финансирование и возможные виды финансирования</w:t>
      </w:r>
      <w:r>
        <w:rPr>
          <w:rFonts w:cs="Times New Roman"/>
          <w:szCs w:val="24"/>
          <w:u w:val="single"/>
        </w:rPr>
        <w:t>.</w:t>
      </w:r>
    </w:p>
    <w:p w14:paraId="29F0F9B0" w14:textId="77777777" w:rsidR="007E6AB7" w:rsidRPr="00C6006A" w:rsidRDefault="007E6AB7" w:rsidP="007E6AB7">
      <w:r w:rsidRPr="00914CE8">
        <w:t xml:space="preserve">Порядок </w:t>
      </w:r>
      <w:r w:rsidRPr="00C6006A">
        <w:t>оплаты государственных контрактов по 44-ФЗ (по 223-ФЗ)</w:t>
      </w:r>
      <w:r w:rsidRPr="00914CE8">
        <w:t xml:space="preserve"> предполагает один из вариантов:</w:t>
      </w:r>
    </w:p>
    <w:p w14:paraId="1CA7A9FC" w14:textId="77777777" w:rsidR="007E6AB7" w:rsidRPr="00C6006A" w:rsidRDefault="007E6AB7" w:rsidP="00486867">
      <w:pPr>
        <w:pStyle w:val="af5"/>
        <w:numPr>
          <w:ilvl w:val="0"/>
          <w:numId w:val="8"/>
        </w:numPr>
        <w:rPr>
          <w:rFonts w:cs="Times New Roman"/>
          <w:szCs w:val="24"/>
        </w:rPr>
      </w:pPr>
      <w:r w:rsidRPr="00C6006A">
        <w:rPr>
          <w:rFonts w:cs="Times New Roman"/>
          <w:szCs w:val="24"/>
        </w:rPr>
        <w:t>полное единовременное перечисление средств;</w:t>
      </w:r>
    </w:p>
    <w:p w14:paraId="6730E23D" w14:textId="77777777" w:rsidR="007E6AB7" w:rsidRPr="00C6006A" w:rsidRDefault="007E6AB7" w:rsidP="00486867">
      <w:pPr>
        <w:pStyle w:val="af5"/>
        <w:numPr>
          <w:ilvl w:val="0"/>
          <w:numId w:val="8"/>
        </w:numPr>
        <w:rPr>
          <w:rFonts w:cs="Times New Roman"/>
          <w:szCs w:val="24"/>
        </w:rPr>
      </w:pPr>
      <w:r w:rsidRPr="00C6006A">
        <w:rPr>
          <w:rFonts w:cs="Times New Roman"/>
          <w:szCs w:val="24"/>
        </w:rPr>
        <w:t>авансирование;</w:t>
      </w:r>
    </w:p>
    <w:p w14:paraId="5964391E" w14:textId="77777777" w:rsidR="007E6AB7" w:rsidRPr="00C6006A" w:rsidRDefault="007E6AB7" w:rsidP="00486867">
      <w:pPr>
        <w:pStyle w:val="af5"/>
        <w:numPr>
          <w:ilvl w:val="0"/>
          <w:numId w:val="8"/>
        </w:numPr>
        <w:rPr>
          <w:rFonts w:cs="Times New Roman"/>
          <w:szCs w:val="24"/>
        </w:rPr>
      </w:pPr>
      <w:r w:rsidRPr="00C6006A">
        <w:rPr>
          <w:rFonts w:cs="Times New Roman"/>
          <w:szCs w:val="24"/>
        </w:rPr>
        <w:t>поэтапная оплата по мере исполнения контракта.</w:t>
      </w:r>
    </w:p>
    <w:p w14:paraId="74F01082" w14:textId="580CA73F" w:rsidR="007E6AB7" w:rsidRPr="00C6006A" w:rsidRDefault="007E6AB7" w:rsidP="007E6AB7">
      <w:r w:rsidRPr="00C6006A">
        <w:rPr>
          <w:i/>
        </w:rPr>
        <w:t>Полная единовременная выплата</w:t>
      </w:r>
      <w:r w:rsidRPr="00C6006A">
        <w:t xml:space="preserve"> устанавливается соглашением в случае, когда поставщику для исполнения заказа не нужен аванс, и соглашение не предусматривает промежуточных этапов исполнения. По общему правилу из ч. 13.1 ст. 34 44-ФЗ, сроки оплаты контракта составляют не более 30 рабочих дней (или 15 рабочих дней для СМП) с момента подписания сторонами документов о приемке. Допустимо изменение сроков </w:t>
      </w:r>
      <w:r w:rsidRPr="00C6006A">
        <w:lastRenderedPageBreak/>
        <w:t xml:space="preserve">оплаты по контракту 44-ФЗ в сторону уменьшения: государственный заказчик вправе заплатить раньше истечения предоставленного ему месяца. </w:t>
      </w:r>
    </w:p>
    <w:p w14:paraId="340EFA89" w14:textId="77777777" w:rsidR="00480DFA" w:rsidRDefault="007E6AB7" w:rsidP="003943C3">
      <w:r w:rsidRPr="00C6006A">
        <w:rPr>
          <w:i/>
        </w:rPr>
        <w:t>Авансирование</w:t>
      </w:r>
      <w:r w:rsidRPr="00C6006A">
        <w:t xml:space="preserve"> предполагает осуществление платежа, который проводит заказчик в пользу контрагента до того, как тот выполнит и сдаст ему результат работ. Сумма аванса вычитается из общей суммы договора, поэтому после его исполнения расчет заказчика производится в сумме соглашения за вычетом уже перечисленного аванса. 44-ФЗ не вводит каких-либо специальных правил относительно сроков выплаты аванса. Не установлены в законе и общие требования к размеру аванса: допустим любой размер аванса, вплоть до </w:t>
      </w:r>
    </w:p>
    <w:p w14:paraId="41A42D4C" w14:textId="189C023F" w:rsidR="007E6AB7" w:rsidRPr="00C6006A" w:rsidRDefault="007E6AB7" w:rsidP="00480DFA">
      <w:pPr>
        <w:ind w:firstLine="0"/>
      </w:pPr>
      <w:r w:rsidRPr="00480DFA">
        <w:rPr>
          <w:color w:val="000000" w:themeColor="text1"/>
        </w:rPr>
        <w:t>100</w:t>
      </w:r>
      <w:r w:rsidR="00480DFA">
        <w:rPr>
          <w:color w:val="000000" w:themeColor="text1"/>
        </w:rPr>
        <w:t xml:space="preserve"> </w:t>
      </w:r>
      <w:r w:rsidRPr="00480DFA">
        <w:rPr>
          <w:color w:val="000000" w:themeColor="text1"/>
        </w:rPr>
        <w:t>%</w:t>
      </w:r>
      <w:r w:rsidR="003943C3" w:rsidRPr="00480DFA">
        <w:rPr>
          <w:color w:val="000000" w:themeColor="text1"/>
        </w:rPr>
        <w:t xml:space="preserve"> </w:t>
      </w:r>
      <w:r w:rsidR="003943C3">
        <w:t>от общей суммы договора</w:t>
      </w:r>
      <w:r w:rsidRPr="00C6006A">
        <w:t>.</w:t>
      </w:r>
      <w:r w:rsidR="003943C3">
        <w:t xml:space="preserve"> </w:t>
      </w:r>
    </w:p>
    <w:p w14:paraId="526A9FAA" w14:textId="77777777" w:rsidR="007E6AB7" w:rsidRPr="00C6006A" w:rsidRDefault="007E6AB7" w:rsidP="007E6AB7">
      <w:r w:rsidRPr="00C6006A">
        <w:rPr>
          <w:i/>
        </w:rPr>
        <w:t>Поэтапное перечисление суммы</w:t>
      </w:r>
      <w:r w:rsidRPr="00C6006A">
        <w:t xml:space="preserve"> по соглашению допустимо в государственных контрактах, где имеется разбивка на этапы выполнения работ, которые принимают по отдельности по мере выполнения. По итогам выполнения каждого этапа стороны проводят приемку результатов, составляют и подписывают закрывающие этап документы. В контракте предусматривают сроки выплаты вознаграждения по отдельному этапу работ. Выплата по каждому этапу производится в течение 30 дней после приемки.</w:t>
      </w:r>
    </w:p>
    <w:p w14:paraId="5F7C1B8A" w14:textId="77777777" w:rsidR="007E6AB7" w:rsidRPr="00C6006A" w:rsidRDefault="007E6AB7" w:rsidP="007E6AB7">
      <w:r w:rsidRPr="00C6006A">
        <w:rPr>
          <w:color w:val="000000"/>
        </w:rPr>
        <w:t>В рамках 223-ФЗ срок оплаты заказчика по договору составляет 30 календарных дней (для СМП – 15 дней). Допустимо изменение</w:t>
      </w:r>
      <w:r w:rsidRPr="00C6006A">
        <w:t xml:space="preserve"> сроков оплаты по контракту 223-ФЗ в сторону уменьшения: государственный заказчик вправе заплатить раньше истечения предоставленных 30-ти (15-ти для СМП) дней. Увеличить 30-дневный (15-дневный для СМП) период нельзя.</w:t>
      </w:r>
    </w:p>
    <w:p w14:paraId="373974B8" w14:textId="77777777" w:rsidR="007E6AB7" w:rsidRPr="004B4FB5" w:rsidRDefault="007E6AB7" w:rsidP="00E167F6">
      <w:pPr>
        <w:pStyle w:val="af5"/>
        <w:numPr>
          <w:ilvl w:val="0"/>
          <w:numId w:val="6"/>
        </w:numPr>
        <w:rPr>
          <w:rFonts w:cs="Times New Roman"/>
          <w:color w:val="000000" w:themeColor="text1"/>
          <w:szCs w:val="24"/>
          <w:u w:val="single"/>
        </w:rPr>
      </w:pPr>
      <w:r w:rsidRPr="004B4FB5">
        <w:rPr>
          <w:rFonts w:cs="Times New Roman"/>
          <w:color w:val="000000" w:themeColor="text1"/>
          <w:szCs w:val="24"/>
          <w:u w:val="single"/>
        </w:rPr>
        <w:t>Наличие процесса оценки эффективности взаимодействия.</w:t>
      </w:r>
    </w:p>
    <w:p w14:paraId="323F8CCA" w14:textId="77777777" w:rsidR="007E6AB7" w:rsidRPr="00F02861" w:rsidRDefault="007E6AB7" w:rsidP="007E6AB7">
      <w:r>
        <w:t xml:space="preserve">Единство в подходах к оценке эффективности государственных закупок отсутствует. </w:t>
      </w:r>
      <w:r w:rsidRPr="00193450">
        <w:t>При наличии требования обеспечения эффективности и результативности государственных (муниципальных) закупок оценка производится при проведении мониторинга за</w:t>
      </w:r>
      <w:r>
        <w:t>купок и аудита в данной сфере. Могут использоваться, как качественные, так и количественные показатели эффективности: полнота</w:t>
      </w:r>
      <w:r w:rsidRPr="00F02861">
        <w:t>, качество и своевременность обеспечения государственных (муниципальных) нужд</w:t>
      </w:r>
      <w:r>
        <w:t>; экономия бюджетных средств (</w:t>
      </w:r>
      <w:r w:rsidRPr="0038048D">
        <w:t xml:space="preserve">% </w:t>
      </w:r>
      <w:r>
        <w:t>снижения НМЦК).</w:t>
      </w:r>
    </w:p>
    <w:p w14:paraId="4FB8C207" w14:textId="77777777" w:rsidR="00126D2B" w:rsidRDefault="007E6AB7" w:rsidP="00126D2B">
      <w:pPr>
        <w:pStyle w:val="af5"/>
        <w:numPr>
          <w:ilvl w:val="0"/>
          <w:numId w:val="6"/>
        </w:numPr>
        <w:rPr>
          <w:rFonts w:cs="Times New Roman"/>
          <w:szCs w:val="24"/>
          <w:u w:val="single"/>
        </w:rPr>
      </w:pPr>
      <w:r w:rsidRPr="00C7506B">
        <w:rPr>
          <w:rFonts w:cs="Times New Roman"/>
          <w:szCs w:val="24"/>
          <w:u w:val="single"/>
        </w:rPr>
        <w:t>Наличие условия и порядка возникновения права частной собственности на объект.</w:t>
      </w:r>
    </w:p>
    <w:p w14:paraId="5E2F5967" w14:textId="1AEB4B69" w:rsidR="007E6AB7" w:rsidRPr="00126D2B" w:rsidRDefault="007E6AB7" w:rsidP="00126D2B">
      <w:pPr>
        <w:pStyle w:val="af5"/>
        <w:ind w:firstLine="0"/>
        <w:rPr>
          <w:rFonts w:cs="Times New Roman"/>
          <w:szCs w:val="24"/>
          <w:u w:val="single"/>
        </w:rPr>
      </w:pPr>
      <w:r w:rsidRPr="00126D2B">
        <w:rPr>
          <w:rFonts w:cs="Times New Roman"/>
          <w:color w:val="000000"/>
          <w:szCs w:val="24"/>
        </w:rPr>
        <w:t>Отсутствует.</w:t>
      </w:r>
    </w:p>
    <w:p w14:paraId="2A0CC404" w14:textId="77777777" w:rsidR="00126D2B" w:rsidRDefault="007E6AB7" w:rsidP="00126D2B">
      <w:pPr>
        <w:pStyle w:val="af5"/>
        <w:numPr>
          <w:ilvl w:val="0"/>
          <w:numId w:val="6"/>
        </w:numPr>
        <w:rPr>
          <w:rFonts w:cs="Times New Roman"/>
          <w:szCs w:val="24"/>
          <w:u w:val="single"/>
        </w:rPr>
      </w:pPr>
      <w:r w:rsidRPr="00C7506B">
        <w:rPr>
          <w:rFonts w:cs="Times New Roman"/>
          <w:szCs w:val="24"/>
          <w:u w:val="single"/>
        </w:rPr>
        <w:t>Наличие государственных гарантий.</w:t>
      </w:r>
    </w:p>
    <w:p w14:paraId="78094525" w14:textId="2427E870" w:rsidR="007E6AB7" w:rsidRPr="00126D2B" w:rsidRDefault="007E6AB7" w:rsidP="00126D2B">
      <w:pPr>
        <w:pStyle w:val="af5"/>
        <w:ind w:firstLine="0"/>
        <w:rPr>
          <w:rFonts w:cs="Times New Roman"/>
          <w:szCs w:val="24"/>
          <w:u w:val="single"/>
        </w:rPr>
      </w:pPr>
      <w:r w:rsidRPr="00126D2B">
        <w:rPr>
          <w:rFonts w:cs="Times New Roman"/>
          <w:color w:val="000000"/>
          <w:szCs w:val="24"/>
        </w:rPr>
        <w:t>Отсутствует.</w:t>
      </w:r>
    </w:p>
    <w:p w14:paraId="7C21370A" w14:textId="77777777" w:rsidR="00126D2B" w:rsidRDefault="007E6AB7" w:rsidP="00126D2B">
      <w:pPr>
        <w:pStyle w:val="af5"/>
        <w:numPr>
          <w:ilvl w:val="0"/>
          <w:numId w:val="6"/>
        </w:numPr>
        <w:rPr>
          <w:rFonts w:cs="Times New Roman"/>
          <w:szCs w:val="24"/>
          <w:u w:val="single"/>
        </w:rPr>
      </w:pPr>
      <w:r w:rsidRPr="00C7506B">
        <w:rPr>
          <w:rFonts w:cs="Times New Roman"/>
          <w:szCs w:val="24"/>
          <w:u w:val="single"/>
        </w:rPr>
        <w:t>Формы и методы вознаграждение бизнеса</w:t>
      </w:r>
      <w:r>
        <w:rPr>
          <w:rFonts w:cs="Times New Roman"/>
          <w:szCs w:val="24"/>
          <w:u w:val="single"/>
        </w:rPr>
        <w:t>.</w:t>
      </w:r>
    </w:p>
    <w:p w14:paraId="66D7659D" w14:textId="77777777" w:rsidR="00126D2B" w:rsidRDefault="007E6AB7" w:rsidP="00126D2B">
      <w:pPr>
        <w:pStyle w:val="af5"/>
        <w:ind w:firstLine="0"/>
        <w:rPr>
          <w:rFonts w:cs="Times New Roman"/>
          <w:color w:val="000000"/>
          <w:szCs w:val="24"/>
        </w:rPr>
      </w:pPr>
      <w:r w:rsidRPr="00126D2B">
        <w:rPr>
          <w:rFonts w:cs="Times New Roman"/>
          <w:color w:val="000000"/>
          <w:szCs w:val="24"/>
        </w:rPr>
        <w:t xml:space="preserve">Отсутствует. </w:t>
      </w:r>
    </w:p>
    <w:p w14:paraId="13AC52A9" w14:textId="0E9E3802" w:rsidR="007E6AB7" w:rsidRPr="00126D2B" w:rsidRDefault="007E6AB7" w:rsidP="00126D2B">
      <w:pPr>
        <w:pStyle w:val="af5"/>
        <w:ind w:firstLine="0"/>
        <w:rPr>
          <w:rFonts w:cs="Times New Roman"/>
          <w:szCs w:val="24"/>
          <w:u w:val="single"/>
        </w:rPr>
      </w:pPr>
      <w:r w:rsidRPr="00126D2B">
        <w:rPr>
          <w:rFonts w:cs="Times New Roman"/>
          <w:color w:val="000000"/>
          <w:szCs w:val="24"/>
        </w:rPr>
        <w:t>16 января в рамках XI Гайдаровского форума заместитель руководителя ФАС</w:t>
      </w:r>
    </w:p>
    <w:p w14:paraId="54EBD3B7" w14:textId="77777777" w:rsidR="007E6AB7" w:rsidRPr="00D8786D" w:rsidRDefault="007E6AB7" w:rsidP="00126D2B">
      <w:pPr>
        <w:ind w:firstLine="0"/>
        <w:rPr>
          <w:color w:val="000000"/>
        </w:rPr>
      </w:pPr>
      <w:r w:rsidRPr="00D8786D">
        <w:rPr>
          <w:color w:val="000000"/>
        </w:rPr>
        <w:lastRenderedPageBreak/>
        <w:t xml:space="preserve">России Михаил </w:t>
      </w:r>
      <w:proofErr w:type="spellStart"/>
      <w:r w:rsidRPr="00D8786D">
        <w:rPr>
          <w:color w:val="000000"/>
        </w:rPr>
        <w:t>Евраев</w:t>
      </w:r>
      <w:proofErr w:type="spellEnd"/>
      <w:r w:rsidRPr="00D8786D">
        <w:rPr>
          <w:color w:val="000000"/>
        </w:rPr>
        <w:t xml:space="preserve"> в рамках секция «Есть ли место малому и среднему бизнесу в мире закупок?» предложил ввести рейтинг деловой репутации представителей бизнеса, который будет автоматически составляться в ЕИС в зависимости от качества, количества и стоимости исполненных контрактов. И главным его смыслом будет снижение размера обеспечения заявки и контракта в зависимости от места компании в рейтинге.</w:t>
      </w:r>
    </w:p>
    <w:p w14:paraId="677B1328" w14:textId="77777777" w:rsidR="00126D2B" w:rsidRDefault="007E6AB7" w:rsidP="00126D2B">
      <w:pPr>
        <w:pStyle w:val="af5"/>
        <w:numPr>
          <w:ilvl w:val="0"/>
          <w:numId w:val="6"/>
        </w:numPr>
        <w:rPr>
          <w:rFonts w:cs="Times New Roman"/>
          <w:szCs w:val="24"/>
          <w:u w:val="single"/>
        </w:rPr>
      </w:pPr>
      <w:r w:rsidRPr="00D8786D">
        <w:rPr>
          <w:rFonts w:cs="Times New Roman"/>
          <w:szCs w:val="24"/>
          <w:u w:val="single"/>
        </w:rPr>
        <w:t>Сторона(-ы) осуществляющая(-</w:t>
      </w:r>
      <w:proofErr w:type="spellStart"/>
      <w:r w:rsidRPr="00D8786D">
        <w:rPr>
          <w:rFonts w:cs="Times New Roman"/>
          <w:szCs w:val="24"/>
          <w:u w:val="single"/>
        </w:rPr>
        <w:t>ие</w:t>
      </w:r>
      <w:proofErr w:type="spellEnd"/>
      <w:r w:rsidRPr="00D8786D">
        <w:rPr>
          <w:rFonts w:cs="Times New Roman"/>
          <w:szCs w:val="24"/>
          <w:u w:val="single"/>
        </w:rPr>
        <w:t>) со</w:t>
      </w:r>
      <w:r>
        <w:rPr>
          <w:rFonts w:cs="Times New Roman"/>
          <w:szCs w:val="24"/>
          <w:u w:val="single"/>
        </w:rPr>
        <w:t>держание и эксплуатацию объекта.</w:t>
      </w:r>
    </w:p>
    <w:p w14:paraId="74160C45" w14:textId="77777777" w:rsidR="00126D2B" w:rsidRDefault="007E6AB7" w:rsidP="00126D2B">
      <w:pPr>
        <w:pStyle w:val="af5"/>
        <w:ind w:firstLine="0"/>
        <w:rPr>
          <w:rFonts w:cs="Times New Roman"/>
          <w:color w:val="000000"/>
          <w:szCs w:val="24"/>
        </w:rPr>
      </w:pPr>
      <w:r w:rsidRPr="00126D2B">
        <w:rPr>
          <w:rFonts w:cs="Times New Roman"/>
          <w:color w:val="000000"/>
          <w:szCs w:val="24"/>
        </w:rPr>
        <w:t>Объект, в отношении которого, например, оказываются работы (ре</w:t>
      </w:r>
      <w:r w:rsidR="00126D2B">
        <w:rPr>
          <w:rFonts w:cs="Times New Roman"/>
          <w:color w:val="000000"/>
          <w:szCs w:val="24"/>
        </w:rPr>
        <w:t>монт) н</w:t>
      </w:r>
      <w:r w:rsidRPr="00126D2B">
        <w:rPr>
          <w:rFonts w:cs="Times New Roman"/>
          <w:color w:val="000000"/>
          <w:szCs w:val="24"/>
        </w:rPr>
        <w:t>е</w:t>
      </w:r>
    </w:p>
    <w:p w14:paraId="53176FBC" w14:textId="7E46A012" w:rsidR="007E6AB7" w:rsidRPr="00126D2B" w:rsidRDefault="007E6AB7" w:rsidP="00126D2B">
      <w:pPr>
        <w:ind w:firstLine="0"/>
        <w:rPr>
          <w:rFonts w:cs="Times New Roman"/>
          <w:color w:val="000000"/>
          <w:szCs w:val="24"/>
        </w:rPr>
      </w:pPr>
      <w:r w:rsidRPr="00126D2B">
        <w:rPr>
          <w:color w:val="000000"/>
        </w:rPr>
        <w:t xml:space="preserve">переходит в содержание или эксплуатацию контрагента. </w:t>
      </w:r>
    </w:p>
    <w:p w14:paraId="10CB7419" w14:textId="77777777" w:rsidR="007E6AB7" w:rsidRDefault="007E6AB7" w:rsidP="00E167F6">
      <w:pPr>
        <w:pStyle w:val="af5"/>
        <w:numPr>
          <w:ilvl w:val="0"/>
          <w:numId w:val="6"/>
        </w:numPr>
        <w:rPr>
          <w:rFonts w:cs="Times New Roman"/>
          <w:szCs w:val="24"/>
          <w:u w:val="single"/>
        </w:rPr>
      </w:pPr>
      <w:r w:rsidRPr="004548BC">
        <w:rPr>
          <w:rFonts w:cs="Times New Roman"/>
          <w:szCs w:val="24"/>
          <w:u w:val="single"/>
        </w:rPr>
        <w:t>Ключевые сферы взаимодействия.</w:t>
      </w:r>
    </w:p>
    <w:p w14:paraId="6831A325" w14:textId="2D8568CE" w:rsidR="007E6AB7" w:rsidRPr="004548BC" w:rsidRDefault="007E6AB7" w:rsidP="007E6AB7">
      <w:pPr>
        <w:ind w:left="357"/>
        <w:rPr>
          <w:color w:val="000000"/>
        </w:rPr>
      </w:pPr>
      <w:r>
        <w:rPr>
          <w:color w:val="000000"/>
        </w:rPr>
        <w:t>Поставка</w:t>
      </w:r>
      <w:r w:rsidR="006C40FE">
        <w:rPr>
          <w:color w:val="000000"/>
        </w:rPr>
        <w:t xml:space="preserve"> </w:t>
      </w:r>
      <w:r>
        <w:rPr>
          <w:color w:val="000000"/>
        </w:rPr>
        <w:t xml:space="preserve">лекарственных и медицинских изделий, </w:t>
      </w:r>
      <w:r w:rsidR="006C40FE">
        <w:rPr>
          <w:color w:val="000000"/>
        </w:rPr>
        <w:t>продуктов питания, нефтепродуктов</w:t>
      </w:r>
      <w:r w:rsidR="006C40FE" w:rsidRPr="004548BC">
        <w:rPr>
          <w:color w:val="000000"/>
        </w:rPr>
        <w:t xml:space="preserve">, </w:t>
      </w:r>
      <w:r>
        <w:rPr>
          <w:color w:val="000000"/>
        </w:rPr>
        <w:t>мебели, машин, оборудования, автотранспортных средств и услуг</w:t>
      </w:r>
      <w:r w:rsidRPr="004548BC">
        <w:rPr>
          <w:color w:val="000000"/>
        </w:rPr>
        <w:t xml:space="preserve"> по их ремонту, как правило, являются одними из наиболее закупаемых товаров, работ, услуг.</w:t>
      </w:r>
      <w:r>
        <w:rPr>
          <w:rStyle w:val="afa"/>
          <w:color w:val="000000"/>
        </w:rPr>
        <w:footnoteReference w:id="20"/>
      </w:r>
    </w:p>
    <w:p w14:paraId="534CA7E5" w14:textId="77777777" w:rsidR="007E6AB7" w:rsidRPr="00855787" w:rsidRDefault="007E6AB7" w:rsidP="00170E99">
      <w:pPr>
        <w:ind w:firstLine="0"/>
        <w:rPr>
          <w:b/>
          <w:i/>
        </w:rPr>
      </w:pPr>
      <w:r w:rsidRPr="00855787">
        <w:rPr>
          <w:b/>
          <w:i/>
        </w:rPr>
        <w:t>Соглашение о разделе продукции</w:t>
      </w:r>
    </w:p>
    <w:p w14:paraId="3ED1D3C8" w14:textId="77777777" w:rsidR="007E6AB7" w:rsidRDefault="007E6AB7" w:rsidP="00486867">
      <w:pPr>
        <w:pStyle w:val="af5"/>
        <w:numPr>
          <w:ilvl w:val="0"/>
          <w:numId w:val="9"/>
        </w:numPr>
        <w:rPr>
          <w:rFonts w:cs="Times New Roman"/>
          <w:szCs w:val="24"/>
          <w:u w:val="single"/>
        </w:rPr>
      </w:pPr>
      <w:r>
        <w:rPr>
          <w:rFonts w:cs="Times New Roman"/>
          <w:szCs w:val="24"/>
          <w:u w:val="single"/>
        </w:rPr>
        <w:t xml:space="preserve">Правовая </w:t>
      </w:r>
      <w:r w:rsidRPr="00D47FCE">
        <w:rPr>
          <w:rFonts w:cs="Times New Roman"/>
          <w:szCs w:val="24"/>
          <w:u w:val="single"/>
        </w:rPr>
        <w:t>основа</w:t>
      </w:r>
      <w:r>
        <w:rPr>
          <w:rFonts w:cs="Times New Roman"/>
          <w:szCs w:val="24"/>
          <w:u w:val="single"/>
        </w:rPr>
        <w:t xml:space="preserve"> взаимодействия между государством и бизнесом посредством заключения соглашения о разделе продукции</w:t>
      </w:r>
      <w:r w:rsidRPr="00D47FCE">
        <w:rPr>
          <w:rFonts w:cs="Times New Roman"/>
          <w:szCs w:val="24"/>
          <w:u w:val="single"/>
        </w:rPr>
        <w:t>.</w:t>
      </w:r>
    </w:p>
    <w:p w14:paraId="12B68676" w14:textId="77777777" w:rsidR="007E6AB7" w:rsidRDefault="007E6AB7" w:rsidP="00126D2B">
      <w:pPr>
        <w:pStyle w:val="af5"/>
        <w:ind w:firstLine="0"/>
        <w:rPr>
          <w:rFonts w:cs="Times New Roman"/>
          <w:color w:val="000000"/>
          <w:szCs w:val="24"/>
        </w:rPr>
      </w:pPr>
      <w:r w:rsidRPr="00855787">
        <w:rPr>
          <w:rFonts w:cs="Times New Roman"/>
          <w:color w:val="000000"/>
          <w:szCs w:val="24"/>
        </w:rPr>
        <w:t>Данная форма взаимодейс</w:t>
      </w:r>
      <w:r>
        <w:rPr>
          <w:rFonts w:cs="Times New Roman"/>
          <w:color w:val="000000"/>
          <w:szCs w:val="24"/>
        </w:rPr>
        <w:t>твия</w:t>
      </w:r>
      <w:r w:rsidRPr="00855787">
        <w:rPr>
          <w:rFonts w:cs="Times New Roman"/>
          <w:color w:val="000000"/>
          <w:szCs w:val="24"/>
        </w:rPr>
        <w:t xml:space="preserve"> государства и бизнеса регулируется Федеральным</w:t>
      </w:r>
    </w:p>
    <w:p w14:paraId="7F51186F" w14:textId="77777777" w:rsidR="007E6AB7" w:rsidRDefault="007E6AB7" w:rsidP="00126D2B">
      <w:pPr>
        <w:ind w:firstLine="0"/>
        <w:rPr>
          <w:color w:val="000000"/>
        </w:rPr>
      </w:pPr>
      <w:r>
        <w:rPr>
          <w:color w:val="000000"/>
        </w:rPr>
        <w:t>законом от 3</w:t>
      </w:r>
      <w:r w:rsidRPr="00855787">
        <w:rPr>
          <w:color w:val="000000"/>
        </w:rPr>
        <w:t>0 декабря 1995 № 225-ФЗ «О соглашениях о разделе продукции</w:t>
      </w:r>
      <w:r>
        <w:rPr>
          <w:color w:val="000000"/>
        </w:rPr>
        <w:t>». В соответствии с ст. 1 данного закона им регулируются о</w:t>
      </w:r>
      <w:r w:rsidRPr="00A04429">
        <w:rPr>
          <w:color w:val="000000"/>
        </w:rPr>
        <w:t>тношения, возникающие в процессе поисков, разведки и добычи минерального сырья, раздела произведенной продукции, а также ее транспортировки, обработки, хранения, переработки, использования, реализаци</w:t>
      </w:r>
      <w:r>
        <w:rPr>
          <w:color w:val="000000"/>
        </w:rPr>
        <w:t>и или распоряжения иным образом. Причем под его регулирующее воздействие не попадают отношения, связанные с добываемыми драгоценными металлами, природными</w:t>
      </w:r>
      <w:r w:rsidRPr="00A04429">
        <w:rPr>
          <w:color w:val="000000"/>
        </w:rPr>
        <w:t xml:space="preserve"> </w:t>
      </w:r>
      <w:r>
        <w:rPr>
          <w:color w:val="000000"/>
        </w:rPr>
        <w:t>драгоценными камнями, радиоактивным</w:t>
      </w:r>
      <w:r w:rsidRPr="00A04429">
        <w:rPr>
          <w:color w:val="000000"/>
        </w:rPr>
        <w:t xml:space="preserve"> сырье</w:t>
      </w:r>
      <w:r>
        <w:rPr>
          <w:color w:val="000000"/>
        </w:rPr>
        <w:t>м и другими металлами, и продуктами.</w:t>
      </w:r>
      <w:r w:rsidRPr="00A04429">
        <w:rPr>
          <w:color w:val="000000"/>
        </w:rPr>
        <w:t xml:space="preserve"> </w:t>
      </w:r>
      <w:r>
        <w:rPr>
          <w:color w:val="000000"/>
        </w:rPr>
        <w:t xml:space="preserve">Эти отношения </w:t>
      </w:r>
      <w:r w:rsidRPr="00A04429">
        <w:rPr>
          <w:color w:val="000000"/>
        </w:rPr>
        <w:t>регулируются законодательством Российской Федерации о недрах, другими законами и иными нормативными правовыми актами</w:t>
      </w:r>
      <w:r>
        <w:rPr>
          <w:color w:val="000000"/>
        </w:rPr>
        <w:t xml:space="preserve"> РФ</w:t>
      </w:r>
      <w:r w:rsidRPr="00A04429">
        <w:rPr>
          <w:color w:val="000000"/>
        </w:rPr>
        <w:t>.</w:t>
      </w:r>
    </w:p>
    <w:p w14:paraId="48F590C6" w14:textId="55AC5327" w:rsidR="007E6AB7" w:rsidRPr="00840747" w:rsidRDefault="007E6AB7" w:rsidP="00486867">
      <w:pPr>
        <w:pStyle w:val="af5"/>
        <w:numPr>
          <w:ilvl w:val="0"/>
          <w:numId w:val="9"/>
        </w:numPr>
        <w:rPr>
          <w:rFonts w:cs="Times New Roman"/>
          <w:szCs w:val="24"/>
          <w:u w:val="single"/>
        </w:rPr>
      </w:pPr>
      <w:r w:rsidRPr="0022575C">
        <w:rPr>
          <w:rFonts w:cs="Times New Roman"/>
          <w:szCs w:val="24"/>
          <w:u w:val="single"/>
        </w:rPr>
        <w:t>Субъектный и объектный состав формы взаимодействия</w:t>
      </w:r>
      <w:r>
        <w:rPr>
          <w:rFonts w:cs="Times New Roman"/>
          <w:szCs w:val="24"/>
          <w:u w:val="single"/>
        </w:rPr>
        <w:t>.</w:t>
      </w:r>
    </w:p>
    <w:p w14:paraId="0FBFE043" w14:textId="77777777" w:rsidR="007E6AB7" w:rsidRPr="00A224B1" w:rsidRDefault="007E6AB7" w:rsidP="007E6AB7">
      <w:pPr>
        <w:rPr>
          <w:color w:val="000000"/>
        </w:rPr>
      </w:pPr>
      <w:r w:rsidRPr="00A224B1">
        <w:rPr>
          <w:color w:val="000000"/>
        </w:rPr>
        <w:t>Согласно ст. 3 </w:t>
      </w:r>
      <w:r>
        <w:rPr>
          <w:color w:val="000000"/>
        </w:rPr>
        <w:t xml:space="preserve">Федерального закона </w:t>
      </w:r>
      <w:r w:rsidRPr="00A224B1">
        <w:rPr>
          <w:color w:val="000000"/>
        </w:rPr>
        <w:t>225-ФЗ сторонами соглашения являются:</w:t>
      </w:r>
    </w:p>
    <w:p w14:paraId="4F0B2622" w14:textId="75EA2427" w:rsidR="007E6AB7" w:rsidRDefault="007E6AB7" w:rsidP="00126D2B">
      <w:pPr>
        <w:ind w:firstLine="0"/>
        <w:rPr>
          <w:color w:val="000000"/>
        </w:rPr>
      </w:pPr>
      <w:r>
        <w:rPr>
          <w:color w:val="000000"/>
        </w:rPr>
        <w:t xml:space="preserve">Российская Федерация («государство»), </w:t>
      </w:r>
      <w:r w:rsidRPr="00A224B1">
        <w:rPr>
          <w:color w:val="000000"/>
        </w:rPr>
        <w:t>от имени которой в соглашении выступают Правительство Российской Федерации или уполномоченные им органы;</w:t>
      </w:r>
      <w:r>
        <w:rPr>
          <w:color w:val="000000"/>
        </w:rPr>
        <w:t xml:space="preserve"> а с другой стороны </w:t>
      </w:r>
      <w:r w:rsidRPr="00A224B1">
        <w:rPr>
          <w:color w:val="000000"/>
        </w:rPr>
        <w:t>инвесторы</w:t>
      </w:r>
      <w:r>
        <w:rPr>
          <w:color w:val="000000"/>
        </w:rPr>
        <w:t xml:space="preserve"> («бизнес»)</w:t>
      </w:r>
      <w:r w:rsidRPr="00A224B1">
        <w:rPr>
          <w:color w:val="000000"/>
        </w:rPr>
        <w:t xml:space="preserve"> </w:t>
      </w:r>
      <w:r>
        <w:rPr>
          <w:color w:val="000000"/>
        </w:rPr>
        <w:t>–</w:t>
      </w:r>
      <w:r w:rsidRPr="00A224B1">
        <w:rPr>
          <w:color w:val="000000"/>
        </w:rPr>
        <w:t xml:space="preserve"> юридические лица и создаваемые на основе договора о совместной </w:t>
      </w:r>
      <w:r w:rsidRPr="00A224B1">
        <w:rPr>
          <w:color w:val="000000"/>
        </w:rPr>
        <w:lastRenderedPageBreak/>
        <w:t>деятельности и не имеющие статуса юридического лица объединения юридических лиц</w:t>
      </w:r>
      <w:r>
        <w:rPr>
          <w:color w:val="000000"/>
        </w:rPr>
        <w:t xml:space="preserve"> (консорциум)</w:t>
      </w:r>
      <w:r w:rsidRPr="00A224B1">
        <w:rPr>
          <w:color w:val="000000"/>
        </w:rPr>
        <w:t>, осуществляющие вложение собственных заемных или привлеченных средств (имущества и (или) имущественных прав) в поиски, разведку и добычу минерального сырья и являющиеся пользователями недр на условиях соглашения.</w:t>
      </w:r>
      <w:r>
        <w:rPr>
          <w:color w:val="000000"/>
        </w:rPr>
        <w:t xml:space="preserve"> </w:t>
      </w:r>
    </w:p>
    <w:p w14:paraId="79C2BE3D" w14:textId="56A83F63" w:rsidR="007E6AB7" w:rsidRPr="00A224B1" w:rsidRDefault="007E6AB7" w:rsidP="007E6AB7">
      <w:pPr>
        <w:rPr>
          <w:color w:val="000000"/>
        </w:rPr>
      </w:pPr>
      <w:r>
        <w:rPr>
          <w:color w:val="000000"/>
        </w:rPr>
        <w:t xml:space="preserve">В соответствии с ст. 2 Федерального закона </w:t>
      </w:r>
      <w:r w:rsidRPr="00A224B1">
        <w:rPr>
          <w:color w:val="000000"/>
        </w:rPr>
        <w:t>225-ФЗ</w:t>
      </w:r>
      <w:r>
        <w:rPr>
          <w:color w:val="000000"/>
        </w:rPr>
        <w:t>,</w:t>
      </w:r>
      <w:r w:rsidRPr="00A224B1">
        <w:rPr>
          <w:color w:val="000000"/>
        </w:rPr>
        <w:t xml:space="preserve"> </w:t>
      </w:r>
      <w:r>
        <w:rPr>
          <w:color w:val="000000"/>
        </w:rPr>
        <w:t xml:space="preserve">объектом взаимодействия являются </w:t>
      </w:r>
      <w:r w:rsidRPr="00A150FC">
        <w:rPr>
          <w:color w:val="000000"/>
        </w:rPr>
        <w:t>исключительные права</w:t>
      </w:r>
      <w:r>
        <w:rPr>
          <w:color w:val="000000"/>
        </w:rPr>
        <w:t xml:space="preserve">, которые РФ предоставляет субъекту предпринимательской деятельности на возмездный основе и на определенный срок, </w:t>
      </w:r>
      <w:r w:rsidRPr="00A150FC">
        <w:rPr>
          <w:color w:val="000000"/>
        </w:rPr>
        <w:t xml:space="preserve">на поиски, разведку, добычу минерального сырья на участке недр, указанном в соглашении, и на ведение связанных </w:t>
      </w:r>
      <w:proofErr w:type="gramStart"/>
      <w:r>
        <w:rPr>
          <w:color w:val="000000"/>
        </w:rPr>
        <w:t>с этим</w:t>
      </w:r>
      <w:r w:rsidRPr="00A150FC">
        <w:rPr>
          <w:color w:val="000000"/>
        </w:rPr>
        <w:t xml:space="preserve"> работ</w:t>
      </w:r>
      <w:proofErr w:type="gramEnd"/>
      <w:r w:rsidRPr="00A150FC">
        <w:rPr>
          <w:color w:val="000000"/>
        </w:rPr>
        <w:t xml:space="preserve">, а инвестор обязуется осуществить проведение указанных работ за свой счет и на свой риск. </w:t>
      </w:r>
    </w:p>
    <w:p w14:paraId="6DF10E1B" w14:textId="77777777" w:rsidR="007E6AB7" w:rsidRDefault="007E6AB7" w:rsidP="00486867">
      <w:pPr>
        <w:pStyle w:val="af5"/>
        <w:numPr>
          <w:ilvl w:val="0"/>
          <w:numId w:val="9"/>
        </w:numPr>
        <w:rPr>
          <w:rFonts w:cs="Times New Roman"/>
          <w:szCs w:val="24"/>
          <w:u w:val="single"/>
        </w:rPr>
      </w:pPr>
      <w:r>
        <w:rPr>
          <w:rFonts w:cs="Times New Roman"/>
          <w:szCs w:val="24"/>
          <w:u w:val="single"/>
        </w:rPr>
        <w:t>Цель взаимодействия для сторон.</w:t>
      </w:r>
    </w:p>
    <w:p w14:paraId="53B712CD" w14:textId="77777777" w:rsidR="007E6AB7" w:rsidRDefault="007E6AB7" w:rsidP="007E6AB7">
      <w:pPr>
        <w:rPr>
          <w:color w:val="000000"/>
        </w:rPr>
      </w:pPr>
      <w:r w:rsidRPr="007B787E">
        <w:rPr>
          <w:color w:val="000000"/>
        </w:rPr>
        <w:t>Основной целью</w:t>
      </w:r>
      <w:r>
        <w:rPr>
          <w:color w:val="000000"/>
        </w:rPr>
        <w:t xml:space="preserve"> сторон в рамках Соглашения о разделе продукции</w:t>
      </w:r>
      <w:r w:rsidRPr="0038048D">
        <w:rPr>
          <w:color w:val="000000"/>
        </w:rPr>
        <w:t xml:space="preserve"> (</w:t>
      </w:r>
      <w:r>
        <w:rPr>
          <w:color w:val="000000"/>
        </w:rPr>
        <w:t>СРП) является</w:t>
      </w:r>
      <w:r w:rsidRPr="007B787E">
        <w:rPr>
          <w:color w:val="000000"/>
        </w:rPr>
        <w:t xml:space="preserve"> </w:t>
      </w:r>
      <w:r>
        <w:rPr>
          <w:color w:val="000000"/>
        </w:rPr>
        <w:t xml:space="preserve">получение </w:t>
      </w:r>
      <w:r w:rsidRPr="007B787E">
        <w:rPr>
          <w:color w:val="000000"/>
        </w:rPr>
        <w:t>прибыли в виде готовой продукции.</w:t>
      </w:r>
      <w:r>
        <w:rPr>
          <w:rStyle w:val="afa"/>
          <w:color w:val="000000"/>
        </w:rPr>
        <w:footnoteReference w:id="21"/>
      </w:r>
    </w:p>
    <w:p w14:paraId="31591904" w14:textId="77777777" w:rsidR="007E6AB7" w:rsidRDefault="007E6AB7" w:rsidP="007E6AB7">
      <w:pPr>
        <w:rPr>
          <w:color w:val="000000"/>
        </w:rPr>
      </w:pPr>
      <w:r>
        <w:rPr>
          <w:color w:val="000000"/>
        </w:rPr>
        <w:t xml:space="preserve">Для государства СРП это инструмент для привлечения инвестиций, как отечественных, так и зарубежных, увеличения объемов </w:t>
      </w:r>
      <w:r w:rsidRPr="007B787E">
        <w:rPr>
          <w:color w:val="000000"/>
        </w:rPr>
        <w:t>геологоразведочных работ</w:t>
      </w:r>
      <w:r>
        <w:rPr>
          <w:color w:val="000000"/>
        </w:rPr>
        <w:t xml:space="preserve">. СРП в теории главным образом должен применяться для разработки </w:t>
      </w:r>
      <w:r w:rsidRPr="00E309AC">
        <w:rPr>
          <w:color w:val="000000"/>
        </w:rPr>
        <w:t>наиболее сложных месторождений</w:t>
      </w:r>
      <w:r>
        <w:rPr>
          <w:rStyle w:val="afa"/>
          <w:color w:val="000000"/>
        </w:rPr>
        <w:footnoteReference w:id="22"/>
      </w:r>
      <w:r>
        <w:rPr>
          <w:color w:val="000000"/>
        </w:rPr>
        <w:t xml:space="preserve">, поэтому он также является инструментом для привлечения </w:t>
      </w:r>
      <w:proofErr w:type="spellStart"/>
      <w:r>
        <w:rPr>
          <w:color w:val="000000"/>
        </w:rPr>
        <w:t>высоквалифицированных</w:t>
      </w:r>
      <w:proofErr w:type="spellEnd"/>
      <w:r>
        <w:rPr>
          <w:color w:val="000000"/>
        </w:rPr>
        <w:t xml:space="preserve"> инвесторов.</w:t>
      </w:r>
    </w:p>
    <w:p w14:paraId="4221806D" w14:textId="77777777" w:rsidR="007E6AB7" w:rsidRPr="00E309AC" w:rsidRDefault="007E6AB7" w:rsidP="007E6AB7">
      <w:pPr>
        <w:rPr>
          <w:color w:val="000000"/>
        </w:rPr>
      </w:pPr>
      <w:r>
        <w:rPr>
          <w:color w:val="000000"/>
        </w:rPr>
        <w:t xml:space="preserve">Для бизнеса: относительно </w:t>
      </w:r>
      <w:r w:rsidRPr="00E309AC">
        <w:rPr>
          <w:color w:val="000000"/>
        </w:rPr>
        <w:t>стабильная и предсказуемая инвестиционная среда, позволяющая инвестору извлекать разумную прибыль.</w:t>
      </w:r>
      <w:r>
        <w:rPr>
          <w:rStyle w:val="afa"/>
          <w:color w:val="000000"/>
        </w:rPr>
        <w:footnoteReference w:id="23"/>
      </w:r>
    </w:p>
    <w:p w14:paraId="3B22CE4A" w14:textId="77777777" w:rsidR="007E6AB7" w:rsidRPr="000C381B" w:rsidRDefault="007E6AB7" w:rsidP="00486867">
      <w:pPr>
        <w:pStyle w:val="af5"/>
        <w:numPr>
          <w:ilvl w:val="0"/>
          <w:numId w:val="9"/>
        </w:numPr>
        <w:rPr>
          <w:rFonts w:cs="Times New Roman"/>
          <w:szCs w:val="24"/>
        </w:rPr>
      </w:pPr>
      <w:r w:rsidRPr="000C381B">
        <w:rPr>
          <w:rFonts w:cs="Times New Roman"/>
          <w:szCs w:val="24"/>
          <w:u w:val="single"/>
        </w:rPr>
        <w:t>Сторона(-ы) осуществляющие финансирование и возможные виды финансирования.</w:t>
      </w:r>
    </w:p>
    <w:p w14:paraId="4150B81C" w14:textId="77777777" w:rsidR="007E6AB7" w:rsidRDefault="007E6AB7" w:rsidP="007E6AB7">
      <w:pPr>
        <w:rPr>
          <w:color w:val="000000"/>
        </w:rPr>
      </w:pPr>
      <w:r>
        <w:rPr>
          <w:color w:val="000000"/>
        </w:rPr>
        <w:t>Инвесторы осуществляют</w:t>
      </w:r>
      <w:r w:rsidRPr="00A25B1C">
        <w:rPr>
          <w:color w:val="000000"/>
        </w:rPr>
        <w:t xml:space="preserve"> вложения собственных, заемных или привлеченных средств (имущества и (или) имущественных прав) в поиски, разве</w:t>
      </w:r>
      <w:r>
        <w:rPr>
          <w:color w:val="000000"/>
        </w:rPr>
        <w:t>дку и добычу минерального сырья, то есть реализуя свое исключительное право переданное посредством заключения СРП.</w:t>
      </w:r>
    </w:p>
    <w:p w14:paraId="50B3F219" w14:textId="77777777" w:rsidR="007E6AB7" w:rsidRDefault="007E6AB7" w:rsidP="00486867">
      <w:pPr>
        <w:pStyle w:val="af5"/>
        <w:numPr>
          <w:ilvl w:val="0"/>
          <w:numId w:val="9"/>
        </w:numPr>
        <w:rPr>
          <w:rFonts w:cs="Times New Roman"/>
          <w:color w:val="000000" w:themeColor="text1"/>
          <w:szCs w:val="24"/>
          <w:u w:val="single"/>
        </w:rPr>
      </w:pPr>
      <w:r>
        <w:rPr>
          <w:rFonts w:cs="Times New Roman"/>
          <w:color w:val="000000" w:themeColor="text1"/>
          <w:szCs w:val="24"/>
          <w:u w:val="single"/>
        </w:rPr>
        <w:t>Наличие оценки эффективности</w:t>
      </w:r>
      <w:r w:rsidRPr="00AD740E">
        <w:rPr>
          <w:rFonts w:cs="Times New Roman"/>
          <w:color w:val="000000" w:themeColor="text1"/>
          <w:szCs w:val="24"/>
          <w:u w:val="single"/>
        </w:rPr>
        <w:t xml:space="preserve"> взаимодействия. </w:t>
      </w:r>
    </w:p>
    <w:p w14:paraId="225B8073" w14:textId="77777777" w:rsidR="007E6AB7" w:rsidRDefault="007E6AB7" w:rsidP="007E6AB7">
      <w:pPr>
        <w:rPr>
          <w:color w:val="000000"/>
        </w:rPr>
      </w:pPr>
      <w:r w:rsidRPr="00AD740E">
        <w:rPr>
          <w:color w:val="000000"/>
        </w:rPr>
        <w:t>Присутствует. СРП предусматривают увеличение доли государства и прибыльной продукции в случае улучшения показателей инвестиционной эффективности для инвестора при выполнении соглашения. Показатели инвестиционной эффективности устанавливаются в соответствии</w:t>
      </w:r>
      <w:r>
        <w:rPr>
          <w:color w:val="000000"/>
        </w:rPr>
        <w:t xml:space="preserve"> с условиями соглашения – в соответствии с ст. 346.35 Налогового кодекса РФ.</w:t>
      </w:r>
    </w:p>
    <w:p w14:paraId="3AC552C2" w14:textId="77777777" w:rsidR="007E6AB7" w:rsidRPr="003412D1" w:rsidRDefault="007E6AB7" w:rsidP="00486867">
      <w:pPr>
        <w:pStyle w:val="af5"/>
        <w:numPr>
          <w:ilvl w:val="0"/>
          <w:numId w:val="9"/>
        </w:numPr>
        <w:rPr>
          <w:rFonts w:cs="Times New Roman"/>
          <w:szCs w:val="24"/>
          <w:u w:val="single"/>
        </w:rPr>
      </w:pPr>
      <w:r w:rsidRPr="003412D1">
        <w:rPr>
          <w:rFonts w:cs="Times New Roman"/>
          <w:szCs w:val="24"/>
          <w:u w:val="single"/>
        </w:rPr>
        <w:lastRenderedPageBreak/>
        <w:t>Наличие условия и порядка возникновения права частной собственности на объект, если предусмотрено формой взаимодействия</w:t>
      </w:r>
      <w:r>
        <w:rPr>
          <w:rFonts w:ascii="Arial" w:hAnsi="Arial" w:cs="Arial"/>
          <w:color w:val="333333"/>
          <w:u w:val="single"/>
          <w:shd w:val="clear" w:color="auto" w:fill="FFFFFF"/>
        </w:rPr>
        <w:t>.</w:t>
      </w:r>
    </w:p>
    <w:p w14:paraId="3F04B305" w14:textId="77777777" w:rsidR="007E6AB7" w:rsidRDefault="007E6AB7" w:rsidP="007E6AB7">
      <w:pPr>
        <w:rPr>
          <w:color w:val="000000"/>
        </w:rPr>
      </w:pPr>
      <w:r w:rsidRPr="003412D1">
        <w:rPr>
          <w:color w:val="000000"/>
        </w:rPr>
        <w:t>Часть произведенной продукции, являющаяся по условиям соглашения долей инвестора, принадлежит на праве собственности инвестору</w:t>
      </w:r>
      <w:r>
        <w:rPr>
          <w:color w:val="000000"/>
        </w:rPr>
        <w:t xml:space="preserve"> – ст. 9 225-ФЗ.</w:t>
      </w:r>
    </w:p>
    <w:p w14:paraId="3254A441" w14:textId="77777777" w:rsidR="007E6AB7" w:rsidRPr="003412D1" w:rsidRDefault="007E6AB7" w:rsidP="007E6AB7">
      <w:pPr>
        <w:rPr>
          <w:color w:val="000000"/>
        </w:rPr>
      </w:pPr>
      <w:r w:rsidRPr="003412D1">
        <w:rPr>
          <w:color w:val="000000"/>
        </w:rPr>
        <w:t>Имущество, вновь созданное или приобретенное инвестором и используемое им для выполнения работ по соглашению, является собственностью инвестора, если иное не предусмотрено соглашением.</w:t>
      </w:r>
      <w:r>
        <w:rPr>
          <w:color w:val="000000"/>
        </w:rPr>
        <w:t xml:space="preserve"> </w:t>
      </w:r>
      <w:r w:rsidRPr="003412D1">
        <w:rPr>
          <w:color w:val="000000"/>
        </w:rPr>
        <w:t>Право собственности на указанное имущество может перейти от инвестора к государству со дня, когда стоимость указанного имущества полностью возмещена, или со дня прекращения соглашения, или с иного согласованного сторонами дня на условиях и в порядке, котор</w:t>
      </w:r>
      <w:r>
        <w:rPr>
          <w:color w:val="000000"/>
        </w:rPr>
        <w:t>ые предусмотрены соглашением</w:t>
      </w:r>
      <w:r w:rsidRPr="003412D1">
        <w:rPr>
          <w:color w:val="000000"/>
        </w:rPr>
        <w:t xml:space="preserve"> </w:t>
      </w:r>
      <w:r>
        <w:rPr>
          <w:color w:val="000000"/>
        </w:rPr>
        <w:t>– ст. 11 225-ФЗ.</w:t>
      </w:r>
    </w:p>
    <w:p w14:paraId="742E187E" w14:textId="77777777" w:rsidR="007E6AB7" w:rsidRDefault="007E6AB7" w:rsidP="00486867">
      <w:pPr>
        <w:pStyle w:val="af5"/>
        <w:numPr>
          <w:ilvl w:val="0"/>
          <w:numId w:val="9"/>
        </w:numPr>
        <w:rPr>
          <w:rFonts w:cs="Times New Roman"/>
          <w:szCs w:val="24"/>
          <w:u w:val="single"/>
        </w:rPr>
      </w:pPr>
      <w:r w:rsidRPr="00DA280B">
        <w:rPr>
          <w:rFonts w:cs="Times New Roman"/>
          <w:szCs w:val="24"/>
          <w:u w:val="single"/>
        </w:rPr>
        <w:t>Н</w:t>
      </w:r>
      <w:r>
        <w:rPr>
          <w:rFonts w:cs="Times New Roman"/>
          <w:szCs w:val="24"/>
          <w:u w:val="single"/>
        </w:rPr>
        <w:t>аличие государственных гарантий.</w:t>
      </w:r>
    </w:p>
    <w:p w14:paraId="276E9389" w14:textId="72F5C0BD" w:rsidR="007E6AB7" w:rsidRPr="00DA280B" w:rsidRDefault="007E6AB7" w:rsidP="007E6AB7">
      <w:pPr>
        <w:rPr>
          <w:color w:val="000000"/>
        </w:rPr>
      </w:pPr>
      <w:r w:rsidRPr="00DA280B">
        <w:rPr>
          <w:color w:val="000000"/>
        </w:rPr>
        <w:t xml:space="preserve">В </w:t>
      </w:r>
      <w:r w:rsidR="003943C3" w:rsidRPr="00DA280B">
        <w:rPr>
          <w:color w:val="000000"/>
        </w:rPr>
        <w:t>соответствии</w:t>
      </w:r>
      <w:r w:rsidRPr="00DA280B">
        <w:rPr>
          <w:color w:val="000000"/>
        </w:rPr>
        <w:t xml:space="preserve"> с ст. 18 «</w:t>
      </w:r>
      <w:r w:rsidR="003943C3" w:rsidRPr="00DA280B">
        <w:rPr>
          <w:color w:val="000000"/>
        </w:rPr>
        <w:t>Государственные</w:t>
      </w:r>
      <w:r w:rsidRPr="00DA280B">
        <w:rPr>
          <w:color w:val="000000"/>
        </w:rPr>
        <w:t xml:space="preserve"> гарантии прав инвестора»</w:t>
      </w:r>
      <w:r>
        <w:rPr>
          <w:color w:val="000000"/>
        </w:rPr>
        <w:t>:</w:t>
      </w:r>
      <w:r w:rsidRPr="00DA280B">
        <w:rPr>
          <w:color w:val="000000"/>
        </w:rPr>
        <w:t xml:space="preserve"> </w:t>
      </w:r>
      <w:r>
        <w:rPr>
          <w:color w:val="000000"/>
        </w:rPr>
        <w:t>и</w:t>
      </w:r>
      <w:r w:rsidRPr="00DA280B">
        <w:rPr>
          <w:color w:val="000000"/>
        </w:rPr>
        <w:t>нвестору гарантируется защита имущественных и иных прав, приобретенных и осуществляемых им в соответствии с соглашением</w:t>
      </w:r>
      <w:r>
        <w:rPr>
          <w:color w:val="000000"/>
        </w:rPr>
        <w:t>.</w:t>
      </w:r>
      <w:r w:rsidRPr="00DA280B">
        <w:rPr>
          <w:color w:val="000000"/>
        </w:rPr>
        <w:t xml:space="preserve"> На инвестора не распространяется действие нормативных правовых актов федеральных органов исполнительной власти, а также законов и иных нормативных правовых актов субъектов Российской Федерации и правовых актов органов местного самоуправления, если указанные акты устанавливают ограничения прав инвестора, приобретенных и осуществляемых им в соответствии с соглашением, за исключением предписаний соответствующих органов надзора, которые выдаются в соответствии с законодательством Российской Федерации в целях обеспечения безопасного ведения работ, охраны недр, окружающей среды, здоровья населения, а также в целях обеспечения общественной и государственной безопасности.</w:t>
      </w:r>
    </w:p>
    <w:p w14:paraId="581EA8B0" w14:textId="77777777" w:rsidR="007E6AB7" w:rsidRPr="00DA280B" w:rsidRDefault="007E6AB7" w:rsidP="00486867">
      <w:pPr>
        <w:pStyle w:val="af5"/>
        <w:numPr>
          <w:ilvl w:val="0"/>
          <w:numId w:val="9"/>
        </w:numPr>
        <w:rPr>
          <w:rFonts w:cs="Times New Roman"/>
          <w:szCs w:val="24"/>
          <w:u w:val="single"/>
        </w:rPr>
      </w:pPr>
      <w:r w:rsidRPr="00DA280B">
        <w:rPr>
          <w:rFonts w:cs="Times New Roman"/>
          <w:szCs w:val="24"/>
          <w:u w:val="single"/>
        </w:rPr>
        <w:t>Формы и методы вознаграждение бизнеса</w:t>
      </w:r>
      <w:r>
        <w:rPr>
          <w:rFonts w:cs="Times New Roman"/>
          <w:szCs w:val="24"/>
          <w:u w:val="single"/>
        </w:rPr>
        <w:t>.</w:t>
      </w:r>
    </w:p>
    <w:p w14:paraId="2B3A5170" w14:textId="77777777" w:rsidR="007E6AB7" w:rsidRDefault="007E6AB7" w:rsidP="007E6AB7">
      <w:pPr>
        <w:rPr>
          <w:color w:val="000000"/>
        </w:rPr>
      </w:pPr>
      <w:r w:rsidRPr="00A25B1C">
        <w:rPr>
          <w:color w:val="000000"/>
        </w:rPr>
        <w:t>Главой 26.4 НК РФ предусмотрены два способа раздела продукции</w:t>
      </w:r>
      <w:r>
        <w:rPr>
          <w:rStyle w:val="afa"/>
          <w:color w:val="000000"/>
        </w:rPr>
        <w:footnoteReference w:id="24"/>
      </w:r>
      <w:r>
        <w:rPr>
          <w:color w:val="000000"/>
        </w:rPr>
        <w:t xml:space="preserve">: </w:t>
      </w:r>
    </w:p>
    <w:p w14:paraId="775305EF" w14:textId="77777777" w:rsidR="007E6AB7" w:rsidRPr="00226CA0" w:rsidRDefault="007E6AB7" w:rsidP="00486867">
      <w:pPr>
        <w:pStyle w:val="af5"/>
        <w:numPr>
          <w:ilvl w:val="0"/>
          <w:numId w:val="10"/>
        </w:numPr>
        <w:rPr>
          <w:rFonts w:cs="Times New Roman"/>
          <w:color w:val="000000"/>
          <w:szCs w:val="24"/>
        </w:rPr>
      </w:pPr>
      <w:r w:rsidRPr="00FD5457">
        <w:rPr>
          <w:rFonts w:cs="Times New Roman"/>
          <w:color w:val="000000"/>
          <w:szCs w:val="24"/>
        </w:rPr>
        <w:t>«традиционный раздел», предусматривающий три уровня раздела продукции</w:t>
      </w:r>
      <w:r>
        <w:rPr>
          <w:rFonts w:cs="Times New Roman"/>
          <w:color w:val="000000"/>
          <w:szCs w:val="24"/>
        </w:rPr>
        <w:t xml:space="preserve">: </w:t>
      </w:r>
      <w:r w:rsidRPr="00940DDD">
        <w:rPr>
          <w:rFonts w:cs="Times New Roman"/>
          <w:color w:val="000000"/>
          <w:szCs w:val="24"/>
        </w:rPr>
        <w:t>сначала из полученной инвестором продукции выделяется часть, направляемая государству в виде платежей за пользование недрами (роялти); затем происходит возмещение затрат инвестора (компенсационная продукция); оставшаяся часть (прибыльная продукция) делится между государством и инвестором.</w:t>
      </w:r>
      <w:r>
        <w:rPr>
          <w:rStyle w:val="afa"/>
          <w:rFonts w:cs="Times New Roman"/>
          <w:color w:val="000000"/>
          <w:szCs w:val="24"/>
        </w:rPr>
        <w:footnoteReference w:id="25"/>
      </w:r>
      <w:r>
        <w:t xml:space="preserve"> </w:t>
      </w:r>
      <w:r w:rsidRPr="00226CA0">
        <w:rPr>
          <w:rFonts w:cs="Times New Roman"/>
          <w:color w:val="000000"/>
          <w:szCs w:val="24"/>
        </w:rPr>
        <w:t xml:space="preserve">Предельный уровень компенсационной продукции не должен превышать 75%, а при добыче на континентальном шельфе Российской Федерации – 90% общего объема произведенной </w:t>
      </w:r>
      <w:r w:rsidRPr="00226CA0">
        <w:rPr>
          <w:rFonts w:cs="Times New Roman"/>
          <w:color w:val="000000"/>
          <w:szCs w:val="24"/>
        </w:rPr>
        <w:lastRenderedPageBreak/>
        <w:t>продукции</w:t>
      </w:r>
      <w:r>
        <w:rPr>
          <w:rFonts w:cs="Times New Roman"/>
          <w:color w:val="000000"/>
          <w:szCs w:val="24"/>
        </w:rPr>
        <w:t xml:space="preserve">, </w:t>
      </w:r>
      <w:r w:rsidRPr="00226CA0">
        <w:rPr>
          <w:rFonts w:cs="Times New Roman"/>
          <w:color w:val="000000"/>
          <w:szCs w:val="24"/>
        </w:rPr>
        <w:t>передаваемой в собственность инвестора для возмещения понесенных им расходов (возмещаемые расходы), состав кото</w:t>
      </w:r>
      <w:r>
        <w:rPr>
          <w:rFonts w:cs="Times New Roman"/>
          <w:color w:val="000000"/>
          <w:szCs w:val="24"/>
        </w:rPr>
        <w:t>рых устанавливается соглашением;</w:t>
      </w:r>
    </w:p>
    <w:p w14:paraId="47179045" w14:textId="77777777" w:rsidR="007E6AB7" w:rsidRPr="00FD5457" w:rsidRDefault="007E6AB7" w:rsidP="00486867">
      <w:pPr>
        <w:pStyle w:val="af5"/>
        <w:numPr>
          <w:ilvl w:val="0"/>
          <w:numId w:val="10"/>
        </w:numPr>
        <w:rPr>
          <w:rFonts w:cs="Times New Roman"/>
          <w:color w:val="000000"/>
          <w:szCs w:val="24"/>
        </w:rPr>
      </w:pPr>
      <w:r w:rsidRPr="00FD5457">
        <w:rPr>
          <w:rFonts w:cs="Times New Roman"/>
          <w:color w:val="000000"/>
          <w:szCs w:val="24"/>
        </w:rPr>
        <w:t>«прямой раздел», в котором отсутствует стадия выделения компенсационной продукции, т. е. раздел всей произведенной продукции (п. 2 ст. 8 Закона о СРП).</w:t>
      </w:r>
      <w:r>
        <w:rPr>
          <w:rFonts w:cs="Times New Roman"/>
          <w:color w:val="000000"/>
          <w:szCs w:val="24"/>
        </w:rPr>
        <w:t xml:space="preserve"> </w:t>
      </w:r>
      <w:r w:rsidRPr="00226CA0">
        <w:rPr>
          <w:rFonts w:cs="Times New Roman"/>
          <w:color w:val="000000"/>
          <w:szCs w:val="24"/>
        </w:rPr>
        <w:t>Доля инвестора в произведенной продукции не должна превышать 68%.</w:t>
      </w:r>
    </w:p>
    <w:p w14:paraId="7CE7651B" w14:textId="77777777" w:rsidR="007E6AB7" w:rsidRPr="00DA280B" w:rsidRDefault="007E6AB7" w:rsidP="00486867">
      <w:pPr>
        <w:pStyle w:val="af5"/>
        <w:numPr>
          <w:ilvl w:val="0"/>
          <w:numId w:val="9"/>
        </w:numPr>
        <w:rPr>
          <w:rFonts w:cs="Times New Roman"/>
          <w:szCs w:val="24"/>
          <w:u w:val="single"/>
        </w:rPr>
      </w:pPr>
      <w:r w:rsidRPr="00DA280B">
        <w:rPr>
          <w:rFonts w:cs="Times New Roman"/>
          <w:szCs w:val="24"/>
          <w:u w:val="single"/>
        </w:rPr>
        <w:t>Сторона(-ы) осуществляющая(-</w:t>
      </w:r>
      <w:proofErr w:type="spellStart"/>
      <w:r w:rsidRPr="00DA280B">
        <w:rPr>
          <w:rFonts w:cs="Times New Roman"/>
          <w:szCs w:val="24"/>
          <w:u w:val="single"/>
        </w:rPr>
        <w:t>ие</w:t>
      </w:r>
      <w:proofErr w:type="spellEnd"/>
      <w:r w:rsidRPr="00DA280B">
        <w:rPr>
          <w:rFonts w:cs="Times New Roman"/>
          <w:szCs w:val="24"/>
          <w:u w:val="single"/>
        </w:rPr>
        <w:t>) со</w:t>
      </w:r>
      <w:r>
        <w:rPr>
          <w:rFonts w:cs="Times New Roman"/>
          <w:szCs w:val="24"/>
          <w:u w:val="single"/>
        </w:rPr>
        <w:t>держание и эксплуатацию объекта.</w:t>
      </w:r>
    </w:p>
    <w:p w14:paraId="541EAB2D" w14:textId="77777777" w:rsidR="007E6AB7" w:rsidRDefault="007E6AB7" w:rsidP="007E6AB7">
      <w:pPr>
        <w:rPr>
          <w:color w:val="000000"/>
        </w:rPr>
      </w:pPr>
      <w:r w:rsidRPr="00DA280B">
        <w:rPr>
          <w:color w:val="000000"/>
        </w:rPr>
        <w:t>Имущество, вновь созданное или приобретенное инвестором и используемое им для выполнения работ по соглашению, является собственностью инвестора, если иное не предусмотрено соглашением. При этом в течение срока действия соглашения инвестору предоставляется исключительное право на пользование таким имуществом на безвозмездной</w:t>
      </w:r>
      <w:r>
        <w:rPr>
          <w:color w:val="000000"/>
        </w:rPr>
        <w:t xml:space="preserve"> основе для проведения работ по </w:t>
      </w:r>
      <w:r w:rsidRPr="00DA280B">
        <w:rPr>
          <w:color w:val="000000"/>
        </w:rPr>
        <w:t>соглашению, и инвестор несет бремя содержания находящегося в его пользовании имущества и риск его случайной гибели или случайного повреждения</w:t>
      </w:r>
      <w:r>
        <w:rPr>
          <w:color w:val="000000"/>
        </w:rPr>
        <w:t>, согласно ст. 11 225-ФЗ. Таким образом, в течение действия СРП, содержание и эксплуатация объекта – обязанности инвестора/консорциума.</w:t>
      </w:r>
    </w:p>
    <w:p w14:paraId="493E1E4A" w14:textId="77777777" w:rsidR="007E6AB7" w:rsidRPr="006A3104" w:rsidRDefault="007E6AB7" w:rsidP="00486867">
      <w:pPr>
        <w:pStyle w:val="af5"/>
        <w:numPr>
          <w:ilvl w:val="0"/>
          <w:numId w:val="9"/>
        </w:numPr>
        <w:rPr>
          <w:rFonts w:cs="Times New Roman"/>
          <w:szCs w:val="24"/>
          <w:u w:val="single"/>
        </w:rPr>
      </w:pPr>
      <w:r w:rsidRPr="006A3104">
        <w:rPr>
          <w:rFonts w:cs="Times New Roman"/>
          <w:szCs w:val="24"/>
          <w:u w:val="single"/>
        </w:rPr>
        <w:t>Ключевые сферы взаимодействия.</w:t>
      </w:r>
    </w:p>
    <w:p w14:paraId="6F1CE987" w14:textId="77777777" w:rsidR="007E6AB7" w:rsidRPr="006A3104" w:rsidRDefault="007E6AB7" w:rsidP="007E6AB7">
      <w:pPr>
        <w:rPr>
          <w:color w:val="000000"/>
        </w:rPr>
      </w:pPr>
      <w:r>
        <w:rPr>
          <w:color w:val="000000"/>
        </w:rPr>
        <w:t>Нефтегазовая отрасль. На сегодняшний заключено 3 СРП по следующим проектам: «Сахалин-1», «Сахалин-2», «</w:t>
      </w:r>
      <w:proofErr w:type="spellStart"/>
      <w:r>
        <w:rPr>
          <w:color w:val="000000"/>
        </w:rPr>
        <w:t>Харьягинское</w:t>
      </w:r>
      <w:proofErr w:type="spellEnd"/>
      <w:r>
        <w:rPr>
          <w:color w:val="000000"/>
        </w:rPr>
        <w:t xml:space="preserve"> СРП»</w:t>
      </w:r>
      <w:r w:rsidRPr="006A3104">
        <w:rPr>
          <w:color w:val="000000"/>
        </w:rPr>
        <w:t xml:space="preserve">. </w:t>
      </w:r>
      <w:r>
        <w:rPr>
          <w:color w:val="000000"/>
        </w:rPr>
        <w:t>Все СРП</w:t>
      </w:r>
      <w:r w:rsidRPr="006A3104">
        <w:rPr>
          <w:color w:val="000000"/>
        </w:rPr>
        <w:t xml:space="preserve"> </w:t>
      </w:r>
      <w:r>
        <w:rPr>
          <w:color w:val="000000"/>
        </w:rPr>
        <w:t>направлены на разработку и добычу</w:t>
      </w:r>
      <w:r w:rsidRPr="006A3104">
        <w:rPr>
          <w:color w:val="000000"/>
        </w:rPr>
        <w:t xml:space="preserve"> нефти</w:t>
      </w:r>
      <w:r>
        <w:rPr>
          <w:color w:val="000000"/>
        </w:rPr>
        <w:t xml:space="preserve"> и газа.</w:t>
      </w:r>
    </w:p>
    <w:p w14:paraId="4337C86B" w14:textId="77777777" w:rsidR="007E6AB7" w:rsidRDefault="007E6AB7" w:rsidP="00423535">
      <w:pPr>
        <w:ind w:firstLine="0"/>
        <w:rPr>
          <w:b/>
          <w:i/>
        </w:rPr>
      </w:pPr>
      <w:r w:rsidRPr="003E5977">
        <w:rPr>
          <w:b/>
          <w:i/>
        </w:rPr>
        <w:t>К</w:t>
      </w:r>
      <w:r>
        <w:rPr>
          <w:b/>
          <w:i/>
        </w:rPr>
        <w:t>онтракт жизненного цикла</w:t>
      </w:r>
    </w:p>
    <w:p w14:paraId="4E108BC2" w14:textId="77777777" w:rsidR="007E6AB7" w:rsidRPr="003E5977" w:rsidRDefault="007E6AB7" w:rsidP="00E167F6">
      <w:pPr>
        <w:pStyle w:val="af5"/>
        <w:numPr>
          <w:ilvl w:val="0"/>
          <w:numId w:val="7"/>
        </w:numPr>
        <w:rPr>
          <w:rFonts w:cs="Times New Roman"/>
          <w:szCs w:val="24"/>
          <w:u w:val="single"/>
        </w:rPr>
      </w:pPr>
      <w:r w:rsidRPr="00284EA1">
        <w:rPr>
          <w:rFonts w:cs="Times New Roman"/>
          <w:szCs w:val="24"/>
          <w:u w:val="single"/>
        </w:rPr>
        <w:t>Правовая</w:t>
      </w:r>
      <w:r>
        <w:rPr>
          <w:rFonts w:cs="Times New Roman"/>
          <w:szCs w:val="24"/>
          <w:u w:val="single"/>
        </w:rPr>
        <w:t xml:space="preserve"> основа взаимодействия государства и бизнеса посредством заключения КЖЦ.</w:t>
      </w:r>
    </w:p>
    <w:p w14:paraId="62DD3C54" w14:textId="011911F9" w:rsidR="007E6AB7" w:rsidRPr="002463A7" w:rsidRDefault="007E6AB7" w:rsidP="002463A7">
      <w:r w:rsidRPr="00433FDD">
        <w:t>С</w:t>
      </w:r>
      <w:r>
        <w:t>огласно с</w:t>
      </w:r>
      <w:r w:rsidRPr="00433FDD">
        <w:t>т</w:t>
      </w:r>
      <w:r>
        <w:t>.</w:t>
      </w:r>
      <w:r w:rsidRPr="00433FDD">
        <w:t xml:space="preserve"> 3 Федерального Закона</w:t>
      </w:r>
      <w:r>
        <w:t xml:space="preserve"> РФ от 5 апреля 2013 г.</w:t>
      </w:r>
      <w:r w:rsidRPr="00433FDD">
        <w:t xml:space="preserve"> </w:t>
      </w:r>
      <w:r w:rsidRPr="003E5977">
        <w:t xml:space="preserve">№ 44-ФЗ </w:t>
      </w:r>
      <w:r>
        <w:t>«</w:t>
      </w:r>
      <w:r w:rsidRPr="003E5977">
        <w:t>О контрактной системе в сфере закупок товаров, работ, услуг для обеспечения госуда</w:t>
      </w:r>
      <w:r>
        <w:t xml:space="preserve">рственных и муниципальных нужд», </w:t>
      </w:r>
      <w:r w:rsidRPr="003E5977">
        <w:t>контракт жизненного цикла </w:t>
      </w:r>
      <w:r>
        <w:t xml:space="preserve">– </w:t>
      </w:r>
      <w:r w:rsidRPr="003E5977">
        <w:t>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r>
        <w:t>.</w:t>
      </w:r>
      <w:r w:rsidR="002463A7">
        <w:t xml:space="preserve"> </w:t>
      </w:r>
      <w:r>
        <w:t xml:space="preserve">Также </w:t>
      </w:r>
      <w:r w:rsidRPr="00A24791">
        <w:t xml:space="preserve">контракт жизненного цикла подпадает под действие Постановления Правительства № 1087 от 28.11.2013, где определены случаи, при которых заключают подобные соглашения. К ним относят работы по </w:t>
      </w:r>
      <w:r>
        <w:t>проектированию и строительству:</w:t>
      </w:r>
      <w:r w:rsidR="002463A7">
        <w:t xml:space="preserve"> </w:t>
      </w:r>
      <w:r w:rsidRPr="002463A7">
        <w:rPr>
          <w:rFonts w:cs="Times New Roman"/>
          <w:szCs w:val="24"/>
        </w:rPr>
        <w:t>автодорог и их участков;</w:t>
      </w:r>
      <w:r w:rsidR="002463A7">
        <w:t xml:space="preserve"> </w:t>
      </w:r>
      <w:r w:rsidRPr="002463A7">
        <w:rPr>
          <w:rFonts w:cs="Times New Roman"/>
          <w:szCs w:val="24"/>
        </w:rPr>
        <w:t xml:space="preserve">инфраструктуры морских и речных портов; аэродромов; объектов </w:t>
      </w:r>
      <w:r w:rsidRPr="002463A7">
        <w:rPr>
          <w:rFonts w:cs="Times New Roman"/>
          <w:szCs w:val="24"/>
        </w:rPr>
        <w:lastRenderedPageBreak/>
        <w:t xml:space="preserve">коммунального хозяйства; инфраструктуры городского транспорта, </w:t>
      </w:r>
      <w:r w:rsidR="002463A7" w:rsidRPr="002463A7">
        <w:rPr>
          <w:rFonts w:cs="Times New Roman"/>
          <w:szCs w:val="24"/>
        </w:rPr>
        <w:t xml:space="preserve">метрополитена; </w:t>
      </w:r>
      <w:r w:rsidR="002463A7">
        <w:t>инфраструктуры</w:t>
      </w:r>
      <w:r w:rsidRPr="002463A7">
        <w:rPr>
          <w:rFonts w:cs="Times New Roman"/>
          <w:szCs w:val="24"/>
        </w:rPr>
        <w:t xml:space="preserve"> железнодорожного транспорта; уникальных объектов капитального строительства.</w:t>
      </w:r>
    </w:p>
    <w:p w14:paraId="03EEE6CF" w14:textId="7F0B1563" w:rsidR="007E6AB7" w:rsidRPr="002463A7" w:rsidRDefault="007E6AB7" w:rsidP="002463A7">
      <w:r>
        <w:t xml:space="preserve">Работы по </w:t>
      </w:r>
      <w:r w:rsidRPr="00453058">
        <w:rPr>
          <w:i/>
        </w:rPr>
        <w:t>проектированию, строительству и оснащением оборудованием</w:t>
      </w:r>
      <w:r>
        <w:t xml:space="preserve"> </w:t>
      </w:r>
      <w:r w:rsidRPr="00ED4BC3">
        <w:t>объект</w:t>
      </w:r>
      <w:r>
        <w:t>ы</w:t>
      </w:r>
      <w:r w:rsidRPr="00ED4BC3">
        <w:t xml:space="preserve"> капстроительства:</w:t>
      </w:r>
      <w:r w:rsidR="002463A7">
        <w:t xml:space="preserve"> </w:t>
      </w:r>
      <w:r w:rsidRPr="002463A7">
        <w:rPr>
          <w:rFonts w:cs="Times New Roman"/>
          <w:i/>
          <w:szCs w:val="24"/>
        </w:rPr>
        <w:t>в сфере здравоохранения (больницы, поликлиники, санатории)</w:t>
      </w:r>
      <w:r w:rsidRPr="002463A7">
        <w:rPr>
          <w:rFonts w:cs="Times New Roman"/>
          <w:szCs w:val="24"/>
        </w:rPr>
        <w:t>;</w:t>
      </w:r>
      <w:r w:rsidR="002463A7">
        <w:t xml:space="preserve"> </w:t>
      </w:r>
      <w:r w:rsidRPr="002463A7">
        <w:rPr>
          <w:rFonts w:cs="Times New Roman"/>
          <w:szCs w:val="24"/>
        </w:rPr>
        <w:t>тылового назначения (для проживания семей военнослужащих, для учебно-материальной базы боевой подготовки и др.);</w:t>
      </w:r>
      <w:r w:rsidR="002463A7">
        <w:t xml:space="preserve"> </w:t>
      </w:r>
      <w:r w:rsidRPr="002463A7">
        <w:rPr>
          <w:rFonts w:cs="Times New Roman"/>
          <w:szCs w:val="24"/>
        </w:rPr>
        <w:t>для социального обслуживания граждан (</w:t>
      </w:r>
      <w:r w:rsidR="00170E99" w:rsidRPr="002463A7">
        <w:rPr>
          <w:rFonts w:cs="Times New Roman"/>
          <w:i/>
          <w:szCs w:val="24"/>
        </w:rPr>
        <w:t xml:space="preserve">психоневрологические </w:t>
      </w:r>
      <w:r w:rsidRPr="002463A7">
        <w:rPr>
          <w:rFonts w:cs="Times New Roman"/>
          <w:i/>
          <w:szCs w:val="24"/>
        </w:rPr>
        <w:t>интернаты,</w:t>
      </w:r>
      <w:r w:rsidRPr="002463A7">
        <w:rPr>
          <w:rFonts w:cs="Times New Roman"/>
          <w:szCs w:val="24"/>
        </w:rPr>
        <w:t xml:space="preserve"> </w:t>
      </w:r>
      <w:r w:rsidRPr="002463A7">
        <w:rPr>
          <w:rFonts w:cs="Times New Roman"/>
          <w:i/>
          <w:szCs w:val="24"/>
        </w:rPr>
        <w:t>пансионаты, реабилитационные центры</w:t>
      </w:r>
      <w:r w:rsidR="00170E99" w:rsidRPr="002463A7">
        <w:rPr>
          <w:rFonts w:cs="Times New Roman"/>
          <w:i/>
          <w:szCs w:val="24"/>
        </w:rPr>
        <w:t>, социально-оздоровительные центры, геронтологические центры, центры психолого-педагогической помощи</w:t>
      </w:r>
      <w:r w:rsidRPr="002463A7">
        <w:rPr>
          <w:rFonts w:cs="Times New Roman"/>
          <w:i/>
          <w:szCs w:val="24"/>
        </w:rPr>
        <w:t xml:space="preserve"> </w:t>
      </w:r>
      <w:r w:rsidRPr="002463A7">
        <w:rPr>
          <w:rFonts w:cs="Times New Roman"/>
          <w:szCs w:val="24"/>
        </w:rPr>
        <w:t>и т.д.);</w:t>
      </w:r>
      <w:r w:rsidR="002463A7">
        <w:t xml:space="preserve"> </w:t>
      </w:r>
      <w:r w:rsidRPr="002463A7">
        <w:rPr>
          <w:rFonts w:cs="Times New Roman"/>
          <w:szCs w:val="24"/>
        </w:rPr>
        <w:t>в сфере культуры (театры, мемориалы, концертные залы и т.д.).</w:t>
      </w:r>
    </w:p>
    <w:p w14:paraId="06F5B551" w14:textId="6FB8DAA0" w:rsidR="007E6AB7" w:rsidRPr="002463A7" w:rsidRDefault="007E6AB7" w:rsidP="002463A7">
      <w:pPr>
        <w:rPr>
          <w:bCs/>
        </w:rPr>
      </w:pPr>
      <w:r>
        <w:rPr>
          <w:bCs/>
        </w:rPr>
        <w:t xml:space="preserve">Работы по проектированию, </w:t>
      </w:r>
      <w:r w:rsidRPr="00ED4BC3">
        <w:rPr>
          <w:bCs/>
        </w:rPr>
        <w:t>реконстру</w:t>
      </w:r>
      <w:r>
        <w:rPr>
          <w:bCs/>
        </w:rPr>
        <w:t>кции и оснащению оборудованием аварийных</w:t>
      </w:r>
      <w:r w:rsidRPr="00ED4BC3">
        <w:rPr>
          <w:bCs/>
        </w:rPr>
        <w:t xml:space="preserve"> объект</w:t>
      </w:r>
      <w:r>
        <w:rPr>
          <w:bCs/>
        </w:rPr>
        <w:t>ов</w:t>
      </w:r>
      <w:r w:rsidRPr="00ED4BC3">
        <w:rPr>
          <w:bCs/>
        </w:rPr>
        <w:t xml:space="preserve"> культурного наследия, памятник</w:t>
      </w:r>
      <w:r>
        <w:rPr>
          <w:bCs/>
        </w:rPr>
        <w:t>ов</w:t>
      </w:r>
      <w:r w:rsidRPr="00ED4BC3">
        <w:rPr>
          <w:bCs/>
        </w:rPr>
        <w:t xml:space="preserve"> истории и культуры или </w:t>
      </w:r>
      <w:r>
        <w:rPr>
          <w:bCs/>
        </w:rPr>
        <w:t>их остатков</w:t>
      </w:r>
      <w:r w:rsidRPr="00ED4BC3">
        <w:rPr>
          <w:bCs/>
        </w:rPr>
        <w:t>.</w:t>
      </w:r>
      <w:r w:rsidR="002463A7">
        <w:rPr>
          <w:bCs/>
        </w:rPr>
        <w:t xml:space="preserve"> </w:t>
      </w:r>
      <w:r>
        <w:t>Кроме этого КЖЦ можно заключать в целях закупки: железнодорожного состава,</w:t>
      </w:r>
    </w:p>
    <w:p w14:paraId="1B39A34B" w14:textId="77777777" w:rsidR="007E6AB7" w:rsidRDefault="007E6AB7" w:rsidP="00C513A8">
      <w:pPr>
        <w:ind w:firstLine="0"/>
      </w:pPr>
      <w:r w:rsidRPr="00ED4BC3">
        <w:t>транспорт</w:t>
      </w:r>
      <w:r>
        <w:t>а</w:t>
      </w:r>
      <w:r w:rsidRPr="00ED4BC3">
        <w:t xml:space="preserve"> метрополитена, монорельса, трамвай, троллейбус</w:t>
      </w:r>
      <w:r>
        <w:t>а</w:t>
      </w:r>
      <w:r w:rsidRPr="00ED4BC3">
        <w:t>;</w:t>
      </w:r>
      <w:r>
        <w:t xml:space="preserve"> воздушного, морского или речного судна</w:t>
      </w:r>
      <w:r w:rsidRPr="00ED4BC3">
        <w:t>.</w:t>
      </w:r>
    </w:p>
    <w:p w14:paraId="0D5A3BA1" w14:textId="77777777" w:rsidR="007E6AB7" w:rsidRDefault="007E6AB7" w:rsidP="007E6AB7">
      <w:r>
        <w:t xml:space="preserve">Постановлением </w:t>
      </w:r>
      <w:r w:rsidRPr="00383358">
        <w:t>Правительства </w:t>
      </w:r>
      <w:r>
        <w:t>РФ от 21 января 2020 г. №</w:t>
      </w:r>
      <w:r w:rsidRPr="00383358">
        <w:t> 27</w:t>
      </w:r>
      <w:r>
        <w:t xml:space="preserve"> «</w:t>
      </w:r>
      <w:r w:rsidRPr="00383358">
        <w:t xml:space="preserve">О внесении изменения в пункт 1 постановления Правительства Российской </w:t>
      </w:r>
      <w:r>
        <w:t>Федерации от 28 ноября 2013 г. №</w:t>
      </w:r>
      <w:r w:rsidRPr="00383358">
        <w:t> 1087</w:t>
      </w:r>
      <w:r>
        <w:t>» к случаям заключения КЖЦ был добавлен пункт «</w:t>
      </w:r>
      <w:r w:rsidRPr="00C513A8">
        <w:rPr>
          <w:i/>
        </w:rPr>
        <w:t>закупка медицинской техники</w:t>
      </w:r>
      <w:r>
        <w:t xml:space="preserve">, </w:t>
      </w:r>
      <w:r w:rsidRPr="001066B2">
        <w:t>включенной в коды 26.60.11, 26.60.12, 26.60.13.130, 26.70.22.150, 32.50.12.000, 32.50.21.121, 32.50.21.122 Общероссийского классификатора продукции по видам экономической деятельности 034-2014</w:t>
      </w:r>
      <w:r>
        <w:t>.</w:t>
      </w:r>
    </w:p>
    <w:p w14:paraId="59AE49EE" w14:textId="65E73EFC" w:rsidR="007E6AB7" w:rsidRPr="00ED4BC3" w:rsidRDefault="007E6AB7" w:rsidP="007E6AB7">
      <w:r>
        <w:t xml:space="preserve"> </w:t>
      </w:r>
      <w:r w:rsidRPr="0071710E">
        <w:t>В письме Министерства экономического развития Ро</w:t>
      </w:r>
      <w:r w:rsidR="00DF5258">
        <w:t>ссии от 22.06.2015 № Д28и-1818</w:t>
      </w:r>
      <w:r>
        <w:t xml:space="preserve"> уточняется, что, если</w:t>
      </w:r>
      <w:r w:rsidRPr="0071710E">
        <w:t xml:space="preserve"> контракт предусматривает закупку товара или работы, указанных в Постановлении № 1087, но не включает в себя </w:t>
      </w:r>
      <w:r w:rsidRPr="00433FF8">
        <w:t xml:space="preserve">последующие обслуживание, ремонт и при необходимости эксплуатацию и (или) утилизацию поставленного товара или созданного в результате выполнения работ объекта, </w:t>
      </w:r>
      <w:r w:rsidRPr="0071710E">
        <w:t>то такой контракт не является КЖЦ и заключается по общим правилам в соответств</w:t>
      </w:r>
      <w:r>
        <w:t>ии с положениями Закона № 44-ФЗ.</w:t>
      </w:r>
    </w:p>
    <w:p w14:paraId="0E572361" w14:textId="77777777" w:rsidR="007E6AB7" w:rsidRDefault="007E6AB7" w:rsidP="00E167F6">
      <w:pPr>
        <w:pStyle w:val="af5"/>
        <w:numPr>
          <w:ilvl w:val="0"/>
          <w:numId w:val="7"/>
        </w:numPr>
        <w:rPr>
          <w:rFonts w:cs="Times New Roman"/>
          <w:szCs w:val="24"/>
          <w:u w:val="single"/>
        </w:rPr>
      </w:pPr>
      <w:r w:rsidRPr="003069E9">
        <w:rPr>
          <w:rFonts w:cs="Times New Roman"/>
          <w:szCs w:val="24"/>
          <w:u w:val="single"/>
        </w:rPr>
        <w:t>Субъектный и объектный состав формы взаимодействия</w:t>
      </w:r>
      <w:r>
        <w:rPr>
          <w:rFonts w:cs="Times New Roman"/>
          <w:szCs w:val="24"/>
          <w:u w:val="single"/>
        </w:rPr>
        <w:t>.</w:t>
      </w:r>
      <w:r w:rsidRPr="003069E9">
        <w:rPr>
          <w:rFonts w:cs="Times New Roman"/>
          <w:szCs w:val="24"/>
          <w:u w:val="single"/>
        </w:rPr>
        <w:t xml:space="preserve"> </w:t>
      </w:r>
    </w:p>
    <w:p w14:paraId="3FF4F3A4" w14:textId="77777777" w:rsidR="007E6AB7" w:rsidRPr="00571808" w:rsidRDefault="007E6AB7" w:rsidP="007E6AB7">
      <w:r w:rsidRPr="00571808">
        <w:t xml:space="preserve">В качестве заказчика может выступать Российская Федерация, субъект Российской Федерации и муниципальное образование в лице уполномоченных органов, государственных корпораций, органов управления государственными внебюджетными фондами, казенных учреждений (в зависимости от уровня реализации проекта). </w:t>
      </w:r>
    </w:p>
    <w:p w14:paraId="3333A548" w14:textId="77777777" w:rsidR="007E6AB7" w:rsidRDefault="007E6AB7" w:rsidP="007E6AB7">
      <w:r w:rsidRPr="00571808">
        <w:t xml:space="preserve">Исполнителем по КЖЦ может являться любое юридическое лицо независимо от его организационно-правовой формы, формы собственности, места нахождения и места </w:t>
      </w:r>
      <w:r w:rsidRPr="00571808">
        <w:lastRenderedPageBreak/>
        <w:t>происхождения капитала или любое физическое лицо, в том числе зарегистрированное в качестве индивидуального предпринимателя</w:t>
      </w:r>
      <w:r>
        <w:t>.</w:t>
      </w:r>
    </w:p>
    <w:p w14:paraId="5F5898AA" w14:textId="77777777" w:rsidR="007E6AB7" w:rsidRPr="0060318A" w:rsidRDefault="007E6AB7" w:rsidP="007E6AB7">
      <w:r>
        <w:t xml:space="preserve">КЖЦ заключаются в отношении объектов </w:t>
      </w:r>
      <w:r w:rsidRPr="004760BB">
        <w:t xml:space="preserve">государственной </w:t>
      </w:r>
      <w:r w:rsidRPr="0060318A">
        <w:t>и муниципальной собственности, а также услуг, исполняемых и оказываемых государственными и муниципальными органами, учреждениями и предприятиями в целях реализации общественно значимых проектов</w:t>
      </w:r>
      <w:r>
        <w:t>.</w:t>
      </w:r>
    </w:p>
    <w:p w14:paraId="4B17B684" w14:textId="77777777" w:rsidR="007E6AB7" w:rsidRDefault="007E6AB7" w:rsidP="00E167F6">
      <w:pPr>
        <w:pStyle w:val="af5"/>
        <w:numPr>
          <w:ilvl w:val="0"/>
          <w:numId w:val="7"/>
        </w:numPr>
        <w:rPr>
          <w:rFonts w:cs="Times New Roman"/>
          <w:szCs w:val="24"/>
          <w:u w:val="single"/>
        </w:rPr>
      </w:pPr>
      <w:r w:rsidRPr="003069E9">
        <w:rPr>
          <w:rFonts w:cs="Times New Roman"/>
          <w:szCs w:val="24"/>
          <w:u w:val="single"/>
        </w:rPr>
        <w:t>Цель взаимодействия для сторон</w:t>
      </w:r>
      <w:r>
        <w:rPr>
          <w:rFonts w:cs="Times New Roman"/>
          <w:szCs w:val="24"/>
          <w:u w:val="single"/>
        </w:rPr>
        <w:t>.</w:t>
      </w:r>
    </w:p>
    <w:p w14:paraId="67C1C4F6" w14:textId="39FDA92D" w:rsidR="007E6AB7" w:rsidRPr="004760BB" w:rsidRDefault="007E6AB7" w:rsidP="007E6AB7">
      <w:r w:rsidRPr="004760BB">
        <w:t>Для</w:t>
      </w:r>
      <w:r w:rsidR="00086503">
        <w:t xml:space="preserve"> поставщика (подрядчика, исполнителя)</w:t>
      </w:r>
      <w:r w:rsidRPr="004760BB">
        <w:t xml:space="preserve">: </w:t>
      </w:r>
      <w:r>
        <w:t>получение гарантированного дохода, который не зависи</w:t>
      </w:r>
      <w:r w:rsidRPr="00283753">
        <w:t>т от конечного спроса н</w:t>
      </w:r>
      <w:r>
        <w:t xml:space="preserve">а объект; </w:t>
      </w:r>
      <w:r w:rsidRPr="00283753">
        <w:t xml:space="preserve">возможность привлечения долгосрочного финансирования, обеспечением которого могут служить </w:t>
      </w:r>
      <w:proofErr w:type="spellStart"/>
      <w:r w:rsidRPr="00283753">
        <w:t>аннуитетные</w:t>
      </w:r>
      <w:proofErr w:type="spellEnd"/>
      <w:r w:rsidRPr="00283753">
        <w:t xml:space="preserve"> платежи по контракту</w:t>
      </w:r>
      <w:r>
        <w:t xml:space="preserve">; </w:t>
      </w:r>
      <w:r w:rsidRPr="00283753">
        <w:t>укрепление рыночных позиций фирмы; применение новых технологических и управленческих решений</w:t>
      </w:r>
      <w:r>
        <w:t xml:space="preserve"> в связи с тем, что </w:t>
      </w:r>
      <w:r w:rsidRPr="00283753">
        <w:t>бизнес-партнер имеет полную свободу выбора методов решения технических проблем при разработке проектно-сметной документации, строительстве и эксплуатации объекта</w:t>
      </w:r>
      <w:r>
        <w:t>.</w:t>
      </w:r>
    </w:p>
    <w:p w14:paraId="0FADF77F" w14:textId="71D66C44" w:rsidR="007E6AB7" w:rsidRPr="004760BB" w:rsidRDefault="007E6AB7" w:rsidP="007E6AB7">
      <w:r w:rsidRPr="004760BB">
        <w:t>Для</w:t>
      </w:r>
      <w:r w:rsidR="00086503">
        <w:t xml:space="preserve"> заказчика</w:t>
      </w:r>
      <w:r w:rsidRPr="004760BB">
        <w:t xml:space="preserve">: повышения эффективности планирования и расходования бюджетных средств, связанных с долгосрочным обслуживанием дорогостоящих объектов закупок, </w:t>
      </w:r>
      <w:r>
        <w:t>требующих</w:t>
      </w:r>
      <w:r w:rsidRPr="004760BB">
        <w:t xml:space="preserve"> значительных финансовых затрат при эксплу</w:t>
      </w:r>
      <w:r w:rsidR="00086503">
        <w:t xml:space="preserve">атации и сервисном обслуживании; </w:t>
      </w:r>
      <w:r w:rsidR="00086503" w:rsidRPr="00086503">
        <w:t>возможность выбора поставщи</w:t>
      </w:r>
      <w:r w:rsidR="00086503">
        <w:t>ка по соотношению</w:t>
      </w:r>
      <w:r w:rsidR="00433FF8">
        <w:t xml:space="preserve"> критериев</w:t>
      </w:r>
      <w:r w:rsidR="00086503">
        <w:t xml:space="preserve"> цена-качество;</w:t>
      </w:r>
      <w:r w:rsidR="00086503" w:rsidRPr="00086503">
        <w:t xml:space="preserve"> снижение транзакционных издержек</w:t>
      </w:r>
      <w:r w:rsidR="00433FF8">
        <w:t xml:space="preserve"> (КЖЦ позволяет избежать необходимость повторных закупок в целях сервисного обслуживания оборудования, так как он уже его включает)</w:t>
      </w:r>
      <w:r w:rsidR="00086503">
        <w:t xml:space="preserve">; </w:t>
      </w:r>
      <w:r w:rsidR="00433FF8">
        <w:t>уменьшение</w:t>
      </w:r>
      <w:r w:rsidR="00086503" w:rsidRPr="00086503">
        <w:t xml:space="preserve"> риска оппортунистического поведения </w:t>
      </w:r>
      <w:r w:rsidR="00086503">
        <w:t>поставщика</w:t>
      </w:r>
      <w:r w:rsidR="00086503" w:rsidRPr="00086503">
        <w:t>.</w:t>
      </w:r>
    </w:p>
    <w:p w14:paraId="69E7F08F" w14:textId="77777777" w:rsidR="007E6AB7" w:rsidRDefault="007E6AB7" w:rsidP="00E167F6">
      <w:pPr>
        <w:pStyle w:val="af5"/>
        <w:numPr>
          <w:ilvl w:val="0"/>
          <w:numId w:val="7"/>
        </w:numPr>
        <w:rPr>
          <w:rFonts w:cs="Times New Roman"/>
          <w:szCs w:val="24"/>
          <w:u w:val="single"/>
        </w:rPr>
      </w:pPr>
      <w:r w:rsidRPr="003069E9">
        <w:rPr>
          <w:rFonts w:cs="Times New Roman"/>
          <w:szCs w:val="24"/>
          <w:u w:val="single"/>
        </w:rPr>
        <w:t>Сторона(-ы) осуществляющие финансирование и возможные виды финансирования</w:t>
      </w:r>
      <w:r>
        <w:rPr>
          <w:rFonts w:cs="Times New Roman"/>
          <w:szCs w:val="24"/>
          <w:u w:val="single"/>
        </w:rPr>
        <w:t>.</w:t>
      </w:r>
    </w:p>
    <w:p w14:paraId="02047F49" w14:textId="273F6FB6" w:rsidR="007E6AB7" w:rsidRPr="00E62D3D" w:rsidRDefault="007E6AB7" w:rsidP="007E6AB7">
      <w:r w:rsidRPr="00E62D3D">
        <w:t>Подрядчик самостоятельно инвестируе</w:t>
      </w:r>
      <w:r w:rsidR="00E62D3D" w:rsidRPr="00E62D3D">
        <w:t>т собственные средства в объект</w:t>
      </w:r>
      <w:r w:rsidRPr="00E62D3D">
        <w:t xml:space="preserve"> или привлекает заемные средства.</w:t>
      </w:r>
    </w:p>
    <w:p w14:paraId="0193C520" w14:textId="77777777" w:rsidR="007E6AB7" w:rsidRPr="00A33AE7" w:rsidRDefault="007E6AB7" w:rsidP="00E167F6">
      <w:pPr>
        <w:pStyle w:val="af5"/>
        <w:numPr>
          <w:ilvl w:val="0"/>
          <w:numId w:val="7"/>
        </w:numPr>
        <w:rPr>
          <w:rFonts w:cs="Times New Roman"/>
          <w:color w:val="000000" w:themeColor="text1"/>
          <w:szCs w:val="24"/>
          <w:u w:val="single"/>
        </w:rPr>
      </w:pPr>
      <w:r w:rsidRPr="00A33AE7">
        <w:rPr>
          <w:rFonts w:cs="Times New Roman"/>
          <w:color w:val="000000" w:themeColor="text1"/>
          <w:szCs w:val="24"/>
          <w:u w:val="single"/>
        </w:rPr>
        <w:t>Наличие оценки результатов взаимодействия.</w:t>
      </w:r>
    </w:p>
    <w:p w14:paraId="1CFE198C" w14:textId="77777777" w:rsidR="007E6AB7" w:rsidRPr="00AF55DA" w:rsidRDefault="007E6AB7" w:rsidP="007E6AB7">
      <w:r w:rsidRPr="00AF55DA">
        <w:t xml:space="preserve">Законодательно не установлено. Однако, </w:t>
      </w:r>
      <w:r>
        <w:t xml:space="preserve">могут быть использованы следующие критерии: социально-экономическая эффективность, бюджетная эффективность, коммерческая (финансовая) эффективность. </w:t>
      </w:r>
    </w:p>
    <w:p w14:paraId="4C8302EC" w14:textId="77777777" w:rsidR="007E6AB7" w:rsidRDefault="007E6AB7" w:rsidP="00E167F6">
      <w:pPr>
        <w:pStyle w:val="af5"/>
        <w:numPr>
          <w:ilvl w:val="0"/>
          <w:numId w:val="7"/>
        </w:numPr>
        <w:rPr>
          <w:rFonts w:cs="Times New Roman"/>
          <w:szCs w:val="24"/>
          <w:u w:val="single"/>
        </w:rPr>
      </w:pPr>
      <w:r w:rsidRPr="003069E9">
        <w:rPr>
          <w:rFonts w:cs="Times New Roman"/>
          <w:szCs w:val="24"/>
          <w:u w:val="single"/>
        </w:rPr>
        <w:t>Наличие условия и порядка возникновения права частной собственности на объект, если предусмотрено формой взаимодействия</w:t>
      </w:r>
      <w:r>
        <w:rPr>
          <w:rFonts w:cs="Times New Roman"/>
          <w:szCs w:val="24"/>
          <w:u w:val="single"/>
        </w:rPr>
        <w:t>.</w:t>
      </w:r>
    </w:p>
    <w:p w14:paraId="5913E655" w14:textId="77777777" w:rsidR="007E6AB7" w:rsidRPr="00571808" w:rsidRDefault="007E6AB7" w:rsidP="007E6AB7">
      <w:r w:rsidRPr="00571808">
        <w:t>Не предусмотрено.</w:t>
      </w:r>
      <w:r>
        <w:t xml:space="preserve"> </w:t>
      </w:r>
      <w:r w:rsidRPr="00571808">
        <w:t>Для целей осуществления технического обслуживания либо технического обслуживания и экспл</w:t>
      </w:r>
      <w:r>
        <w:t>уатации о</w:t>
      </w:r>
      <w:r w:rsidRPr="00571808">
        <w:t>бъекта</w:t>
      </w:r>
      <w:r>
        <w:t xml:space="preserve"> контракта</w:t>
      </w:r>
      <w:r w:rsidRPr="00571808">
        <w:t xml:space="preserve"> исполнителю могут передаватьс</w:t>
      </w:r>
      <w:r>
        <w:t>я права владения и пользования о</w:t>
      </w:r>
      <w:r w:rsidRPr="00571808">
        <w:t>бъектом.</w:t>
      </w:r>
    </w:p>
    <w:p w14:paraId="6B783979" w14:textId="77777777" w:rsidR="007E6AB7" w:rsidRDefault="007E6AB7" w:rsidP="00E167F6">
      <w:pPr>
        <w:pStyle w:val="af5"/>
        <w:numPr>
          <w:ilvl w:val="0"/>
          <w:numId w:val="7"/>
        </w:numPr>
        <w:rPr>
          <w:rFonts w:cs="Times New Roman"/>
          <w:szCs w:val="24"/>
          <w:u w:val="single"/>
        </w:rPr>
      </w:pPr>
      <w:r w:rsidRPr="00D10ECC">
        <w:rPr>
          <w:rFonts w:cs="Times New Roman"/>
          <w:szCs w:val="24"/>
          <w:u w:val="single"/>
        </w:rPr>
        <w:t>Наличие государственных гарантий.</w:t>
      </w:r>
    </w:p>
    <w:p w14:paraId="7E41B4B0" w14:textId="4F33D710" w:rsidR="007E6AB7" w:rsidRPr="00BB10A6" w:rsidRDefault="007E6AB7" w:rsidP="007E6AB7">
      <w:r>
        <w:lastRenderedPageBreak/>
        <w:t>Г</w:t>
      </w:r>
      <w:r w:rsidRPr="00BB10A6">
        <w:t>осударство</w:t>
      </w:r>
      <w:r>
        <w:t xml:space="preserve"> гарантирует</w:t>
      </w:r>
      <w:r w:rsidRPr="00BB10A6">
        <w:t xml:space="preserve"> подрядчику, что в случае успешного предоставления сервиса оплата будет выполняться регулярно.</w:t>
      </w:r>
      <w:r w:rsidR="00433FF8">
        <w:t xml:space="preserve"> </w:t>
      </w:r>
      <w:r w:rsidR="00433FF8" w:rsidRPr="003069E9">
        <w:t xml:space="preserve">Частный партнер </w:t>
      </w:r>
      <w:r w:rsidR="00433FF8">
        <w:t xml:space="preserve">берет </w:t>
      </w:r>
      <w:r w:rsidR="00433FF8" w:rsidRPr="003069E9">
        <w:t>на себя все риски, а также</w:t>
      </w:r>
      <w:r w:rsidR="00433FF8">
        <w:t xml:space="preserve"> самостоятельно</w:t>
      </w:r>
      <w:r w:rsidR="00433FF8" w:rsidRPr="003069E9">
        <w:t xml:space="preserve"> </w:t>
      </w:r>
      <w:r w:rsidR="00433FF8">
        <w:t xml:space="preserve">принимает </w:t>
      </w:r>
      <w:r w:rsidR="00433FF8" w:rsidRPr="003069E9">
        <w:t>все проектные и технические решения.</w:t>
      </w:r>
    </w:p>
    <w:p w14:paraId="39BDCD22" w14:textId="77777777" w:rsidR="007E6AB7" w:rsidRPr="00D10ECC" w:rsidRDefault="007E6AB7" w:rsidP="00E167F6">
      <w:pPr>
        <w:pStyle w:val="af5"/>
        <w:numPr>
          <w:ilvl w:val="0"/>
          <w:numId w:val="7"/>
        </w:numPr>
        <w:rPr>
          <w:rFonts w:cs="Times New Roman"/>
          <w:szCs w:val="24"/>
          <w:u w:val="single"/>
        </w:rPr>
      </w:pPr>
      <w:r w:rsidRPr="00D10ECC">
        <w:rPr>
          <w:rFonts w:cs="Times New Roman"/>
          <w:szCs w:val="24"/>
          <w:u w:val="single"/>
        </w:rPr>
        <w:t>Формы и методы вознаграждение бизнеса.</w:t>
      </w:r>
    </w:p>
    <w:p w14:paraId="41735B4E" w14:textId="6C7BEEF2" w:rsidR="007E6AB7" w:rsidRDefault="00E073CD" w:rsidP="007E6AB7">
      <w:r>
        <w:t xml:space="preserve">Заказчик </w:t>
      </w:r>
      <w:r w:rsidR="007E6AB7" w:rsidRPr="003069E9">
        <w:t>осуществляет платежи только с момента начала эксплуатации объекта; дан</w:t>
      </w:r>
      <w:r w:rsidR="007E6AB7">
        <w:t>ные платежи представляют собой «плату»</w:t>
      </w:r>
      <w:r w:rsidR="007E6AB7" w:rsidRPr="003069E9">
        <w:t xml:space="preserve"> за сервис и зависят от выполнения функциональных требований по контракту и о</w:t>
      </w:r>
      <w:r w:rsidR="007E6AB7">
        <w:t xml:space="preserve">т качества построенного объекта. </w:t>
      </w:r>
    </w:p>
    <w:p w14:paraId="0182A3E5" w14:textId="77777777" w:rsidR="007E6AB7" w:rsidRPr="003069E9" w:rsidRDefault="007E6AB7" w:rsidP="007E6AB7">
      <w:r>
        <w:t xml:space="preserve">Бюджетное финансирование до ввода объекта в эксплуатацию опционально, путем предоставления капитального гранта. </w:t>
      </w:r>
    </w:p>
    <w:p w14:paraId="0BD63288" w14:textId="77777777" w:rsidR="007E6AB7" w:rsidRDefault="007E6AB7" w:rsidP="00E167F6">
      <w:pPr>
        <w:pStyle w:val="af5"/>
        <w:numPr>
          <w:ilvl w:val="0"/>
          <w:numId w:val="7"/>
        </w:numPr>
        <w:rPr>
          <w:rFonts w:cs="Times New Roman"/>
          <w:szCs w:val="24"/>
          <w:u w:val="single"/>
        </w:rPr>
      </w:pPr>
      <w:r w:rsidRPr="003069E9">
        <w:rPr>
          <w:rFonts w:cs="Times New Roman"/>
          <w:szCs w:val="24"/>
          <w:u w:val="single"/>
        </w:rPr>
        <w:t>Сторона(-ы) осуществляющая(-</w:t>
      </w:r>
      <w:proofErr w:type="spellStart"/>
      <w:r w:rsidRPr="003069E9">
        <w:rPr>
          <w:rFonts w:cs="Times New Roman"/>
          <w:szCs w:val="24"/>
          <w:u w:val="single"/>
        </w:rPr>
        <w:t>ие</w:t>
      </w:r>
      <w:proofErr w:type="spellEnd"/>
      <w:r w:rsidRPr="003069E9">
        <w:rPr>
          <w:rFonts w:cs="Times New Roman"/>
          <w:szCs w:val="24"/>
          <w:u w:val="single"/>
        </w:rPr>
        <w:t>) со</w:t>
      </w:r>
      <w:r>
        <w:rPr>
          <w:rFonts w:cs="Times New Roman"/>
          <w:szCs w:val="24"/>
          <w:u w:val="single"/>
        </w:rPr>
        <w:t>держание и эксплуатацию объекта.</w:t>
      </w:r>
    </w:p>
    <w:p w14:paraId="335D3093" w14:textId="77777777" w:rsidR="007E6AB7" w:rsidRDefault="007E6AB7" w:rsidP="007E6AB7">
      <w:r w:rsidRPr="00571808">
        <w:t xml:space="preserve">Если контрактом предусмотрено </w:t>
      </w:r>
      <w:r>
        <w:t xml:space="preserve">техническое обслуживание и/или эксплуатация объекта контракта, то на время действия КЖЦ содержать и эксплуатировать объект обязан частный партнёр. Однако, после окончания контракта содержание и эксплуатация становятся обязанностью публичной стороны. Кроме того, эксплуатация не является обязательным элементом КЖЦ, </w:t>
      </w:r>
      <w:r w:rsidRPr="00D10ECC">
        <w:t>за исключением объектов социального обслуживания, для которых эксплуатация напрямую предусмотрена законодательством</w:t>
      </w:r>
      <w:r>
        <w:t xml:space="preserve"> (</w:t>
      </w:r>
      <w:r w:rsidRPr="00D10ECC">
        <w:t>Подпункт «м» пункта 1 постановления Правительства РФ от 28.11.2013 № 1087 «Об определении случаев заключе</w:t>
      </w:r>
      <w:r>
        <w:t>ния контракта жизненного цикла»), поэтому содержание и эксплуатация могут не стать обязанностью частного партнёра по контракту.</w:t>
      </w:r>
    </w:p>
    <w:p w14:paraId="191D39FB" w14:textId="77777777" w:rsidR="007E6AB7" w:rsidRDefault="007E6AB7" w:rsidP="00E167F6">
      <w:pPr>
        <w:pStyle w:val="af5"/>
        <w:numPr>
          <w:ilvl w:val="0"/>
          <w:numId w:val="7"/>
        </w:numPr>
        <w:rPr>
          <w:rFonts w:cs="Times New Roman"/>
          <w:szCs w:val="24"/>
          <w:u w:val="single"/>
        </w:rPr>
      </w:pPr>
      <w:r>
        <w:rPr>
          <w:rFonts w:cs="Times New Roman"/>
          <w:szCs w:val="24"/>
          <w:u w:val="single"/>
        </w:rPr>
        <w:t>Способы заключения соглашения.</w:t>
      </w:r>
    </w:p>
    <w:p w14:paraId="1146015B" w14:textId="77777777" w:rsidR="007E6AB7" w:rsidRPr="00383358" w:rsidRDefault="007E6AB7" w:rsidP="007E6AB7">
      <w:r>
        <w:t xml:space="preserve">КЖЦ </w:t>
      </w:r>
      <w:r w:rsidRPr="00383358">
        <w:t>может быть заключён по итогам проведения аукциона в электронной форме или открытого конкурса в электронной форме.</w:t>
      </w:r>
    </w:p>
    <w:p w14:paraId="45AEAD81" w14:textId="77777777" w:rsidR="007E6AB7" w:rsidRPr="003069E9" w:rsidRDefault="007E6AB7" w:rsidP="00E167F6">
      <w:pPr>
        <w:pStyle w:val="af5"/>
        <w:numPr>
          <w:ilvl w:val="0"/>
          <w:numId w:val="7"/>
        </w:numPr>
        <w:rPr>
          <w:rFonts w:cs="Times New Roman"/>
          <w:szCs w:val="24"/>
          <w:u w:val="single"/>
        </w:rPr>
      </w:pPr>
      <w:r w:rsidRPr="003069E9">
        <w:rPr>
          <w:rFonts w:cs="Times New Roman"/>
          <w:szCs w:val="24"/>
          <w:u w:val="single"/>
        </w:rPr>
        <w:t>Ключевые сферы применения взаимодействия.</w:t>
      </w:r>
    </w:p>
    <w:p w14:paraId="5942FADA" w14:textId="77777777" w:rsidR="007E6AB7" w:rsidRDefault="007E6AB7" w:rsidP="007E6AB7">
      <w:r w:rsidRPr="003069E9">
        <w:t>КЖЦ могут применяться в транспортной, коммунальной, социальной и производственной сферах.</w:t>
      </w:r>
      <w:r>
        <w:t xml:space="preserve">  В частности, КЖЦ заключаются </w:t>
      </w:r>
      <w:r w:rsidRPr="0060318A">
        <w:t>в отношении автомобильных, железнодорожных дорог/магистралей, тоннелей, больниц и других важных объектов общественной инфраструктуры. </w:t>
      </w:r>
    </w:p>
    <w:p w14:paraId="799E5C34" w14:textId="77777777" w:rsidR="007E6AB7" w:rsidRPr="00406C1C" w:rsidRDefault="007E6AB7" w:rsidP="00433FF8">
      <w:pPr>
        <w:ind w:firstLine="0"/>
        <w:rPr>
          <w:b/>
          <w:i/>
          <w:color w:val="000000"/>
        </w:rPr>
      </w:pPr>
      <w:r w:rsidRPr="00406C1C">
        <w:rPr>
          <w:b/>
          <w:i/>
          <w:color w:val="000000"/>
        </w:rPr>
        <w:t>Концессионное соглашение</w:t>
      </w:r>
    </w:p>
    <w:p w14:paraId="4B441D04" w14:textId="77777777" w:rsidR="007E6AB7" w:rsidRDefault="007E6AB7" w:rsidP="00486867">
      <w:pPr>
        <w:pStyle w:val="af5"/>
        <w:numPr>
          <w:ilvl w:val="0"/>
          <w:numId w:val="11"/>
        </w:numPr>
        <w:rPr>
          <w:rFonts w:cs="Times New Roman"/>
          <w:szCs w:val="24"/>
          <w:u w:val="single"/>
        </w:rPr>
      </w:pPr>
      <w:r w:rsidRPr="00572450">
        <w:rPr>
          <w:rFonts w:cs="Times New Roman"/>
          <w:szCs w:val="24"/>
          <w:u w:val="single"/>
        </w:rPr>
        <w:t>Право</w:t>
      </w:r>
      <w:r>
        <w:rPr>
          <w:rFonts w:cs="Times New Roman"/>
          <w:szCs w:val="24"/>
          <w:u w:val="single"/>
        </w:rPr>
        <w:t>вая основа формы взаимодействия.</w:t>
      </w:r>
    </w:p>
    <w:p w14:paraId="0F1A1279" w14:textId="2C08C72A" w:rsidR="007E6AB7" w:rsidRDefault="007E6AB7" w:rsidP="007E6AB7">
      <w:r w:rsidRPr="00D97DDA">
        <w:t xml:space="preserve">Основным законом, регулирующим отношения государства и бизнеса в контексте концессионного соглашения, является Федеральный закон от </w:t>
      </w:r>
      <w:r>
        <w:t>21</w:t>
      </w:r>
      <w:r w:rsidRPr="00D97DDA">
        <w:t xml:space="preserve"> </w:t>
      </w:r>
      <w:r>
        <w:t>июля 2005</w:t>
      </w:r>
      <w:r w:rsidRPr="00D97DDA">
        <w:t xml:space="preserve"> г.</w:t>
      </w:r>
      <w:r>
        <w:t xml:space="preserve"> «О концессионных соглашениях» № 115-ФЗ</w:t>
      </w:r>
      <w:r w:rsidR="00C665B3">
        <w:rPr>
          <w:rStyle w:val="afa"/>
        </w:rPr>
        <w:footnoteReference w:id="26"/>
      </w:r>
      <w:r>
        <w:t xml:space="preserve">. В соответствии с ст. 3 Федерального закона 115-ФЗ, </w:t>
      </w:r>
      <w:r w:rsidRPr="008E675F">
        <w:t xml:space="preserve">по концессионному соглашению одна сторона (концессионер) обязуется за свой счет </w:t>
      </w:r>
      <w:r w:rsidRPr="008E675F">
        <w:lastRenderedPageBreak/>
        <w:t>создать и (или) реконструировать определе</w:t>
      </w:r>
      <w:r>
        <w:t xml:space="preserve">нное этим соглашением имущество, </w:t>
      </w:r>
      <w:r w:rsidRPr="008E675F">
        <w:t>право собственности на которое принадлежит или будет принадлежать другой стороне (</w:t>
      </w:r>
      <w:proofErr w:type="spellStart"/>
      <w:r w:rsidRPr="008E675F">
        <w:t>концеденту</w:t>
      </w:r>
      <w:proofErr w:type="spellEnd"/>
      <w:r w:rsidRPr="008E675F">
        <w:t xml:space="preserve">), осуществлять деятельность с использованием (эксплуатацией) объекта концессионного соглашения, а </w:t>
      </w:r>
      <w:proofErr w:type="spellStart"/>
      <w:r w:rsidRPr="008E675F">
        <w:t>концедент</w:t>
      </w:r>
      <w:proofErr w:type="spellEnd"/>
      <w:r w:rsidRPr="008E675F">
        <w:t xml:space="preserve">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r>
        <w:t xml:space="preserve"> </w:t>
      </w:r>
    </w:p>
    <w:p w14:paraId="764374A2" w14:textId="77777777" w:rsidR="007E6AB7" w:rsidRPr="00F250A0" w:rsidRDefault="007E6AB7" w:rsidP="007E6AB7">
      <w:r>
        <w:t xml:space="preserve">Таким образом, на основании определения в указанном законе, проект по концессионному соглашению может быть реализован только в по схеме </w:t>
      </w:r>
      <w:r>
        <w:rPr>
          <w:lang w:val="en-US"/>
        </w:rPr>
        <w:t>BTO</w:t>
      </w:r>
      <w:r w:rsidRPr="0038048D">
        <w:t xml:space="preserve"> (</w:t>
      </w:r>
      <w:r>
        <w:rPr>
          <w:lang w:val="en-US"/>
        </w:rPr>
        <w:t>build</w:t>
      </w:r>
      <w:r w:rsidRPr="0038048D">
        <w:t>-</w:t>
      </w:r>
      <w:r>
        <w:rPr>
          <w:lang w:val="en-US"/>
        </w:rPr>
        <w:t>transfer</w:t>
      </w:r>
      <w:r w:rsidRPr="0038048D">
        <w:t>-</w:t>
      </w:r>
      <w:r>
        <w:rPr>
          <w:lang w:val="en-US"/>
        </w:rPr>
        <w:t>operate</w:t>
      </w:r>
      <w:r w:rsidRPr="0038048D">
        <w:t xml:space="preserve">) </w:t>
      </w:r>
      <w:r>
        <w:t xml:space="preserve">и ее модификации </w:t>
      </w:r>
      <w:r>
        <w:rPr>
          <w:lang w:val="en-US"/>
        </w:rPr>
        <w:t>RTO</w:t>
      </w:r>
      <w:r w:rsidRPr="0038048D">
        <w:t xml:space="preserve"> (</w:t>
      </w:r>
      <w:r>
        <w:rPr>
          <w:lang w:val="en-US"/>
        </w:rPr>
        <w:t>reconstruct</w:t>
      </w:r>
      <w:r w:rsidRPr="0038048D">
        <w:t>-</w:t>
      </w:r>
      <w:r>
        <w:rPr>
          <w:lang w:val="en-US"/>
        </w:rPr>
        <w:t>transfer</w:t>
      </w:r>
      <w:r w:rsidRPr="0038048D">
        <w:t>-</w:t>
      </w:r>
      <w:r>
        <w:rPr>
          <w:lang w:val="en-US"/>
        </w:rPr>
        <w:t>operate</w:t>
      </w:r>
      <w:r w:rsidRPr="0038048D">
        <w:t>)</w:t>
      </w:r>
      <w:r>
        <w:t>, если вместо строительства объекта осуществляется реконструкция.</w:t>
      </w:r>
    </w:p>
    <w:p w14:paraId="14DE7266" w14:textId="77777777" w:rsidR="007E6AB7" w:rsidRDefault="007E6AB7" w:rsidP="00486867">
      <w:pPr>
        <w:pStyle w:val="af5"/>
        <w:numPr>
          <w:ilvl w:val="0"/>
          <w:numId w:val="11"/>
        </w:numPr>
        <w:rPr>
          <w:rFonts w:cs="Times New Roman"/>
          <w:szCs w:val="24"/>
          <w:u w:val="single"/>
        </w:rPr>
      </w:pPr>
      <w:r w:rsidRPr="00572450">
        <w:rPr>
          <w:rFonts w:cs="Times New Roman"/>
          <w:szCs w:val="24"/>
          <w:u w:val="single"/>
        </w:rPr>
        <w:t>Субъектный и объектный состав формы взаимодействия</w:t>
      </w:r>
      <w:r>
        <w:rPr>
          <w:rFonts w:cs="Times New Roman"/>
          <w:szCs w:val="24"/>
          <w:u w:val="single"/>
        </w:rPr>
        <w:t>.</w:t>
      </w:r>
    </w:p>
    <w:p w14:paraId="34D77D29" w14:textId="77777777" w:rsidR="007E6AB7" w:rsidRDefault="007E6AB7" w:rsidP="007E6AB7">
      <w:r w:rsidRPr="008E675F">
        <w:t xml:space="preserve">Согласно ст. 5 Федерального закона 115-ФЗ </w:t>
      </w:r>
      <w:proofErr w:type="spellStart"/>
      <w:r w:rsidRPr="008E675F">
        <w:t>концедентом</w:t>
      </w:r>
      <w:proofErr w:type="spellEnd"/>
      <w:r w:rsidRPr="008E675F">
        <w:t xml:space="preserve"> может быть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Полномочия </w:t>
      </w:r>
      <w:proofErr w:type="spellStart"/>
      <w:r w:rsidRPr="008E675F">
        <w:t>концедента</w:t>
      </w:r>
      <w:proofErr w:type="spellEnd"/>
      <w:r w:rsidRPr="008E675F">
        <w:t xml:space="preserve"> также вправе осуществлять государственная компания</w:t>
      </w:r>
      <w:r>
        <w:t xml:space="preserve"> «</w:t>
      </w:r>
      <w:r w:rsidRPr="008E675F">
        <w:t>Р</w:t>
      </w:r>
      <w:r>
        <w:t>оссийские автомобильные дороги»</w:t>
      </w:r>
      <w:r w:rsidRPr="008E675F">
        <w:t xml:space="preserve">, государственная корпорация, </w:t>
      </w:r>
      <w:r>
        <w:t>созданная Российской Федерацией, «</w:t>
      </w:r>
      <w:proofErr w:type="spellStart"/>
      <w:r>
        <w:t>Росатом</w:t>
      </w:r>
      <w:proofErr w:type="spellEnd"/>
      <w:r>
        <w:t>».</w:t>
      </w:r>
    </w:p>
    <w:p w14:paraId="49E95A05" w14:textId="77777777" w:rsidR="007E6AB7" w:rsidRDefault="007E6AB7" w:rsidP="007E6AB7">
      <w:r>
        <w:t>К</w:t>
      </w:r>
      <w:r w:rsidRPr="00E366B1">
        <w:t>онцессионер</w:t>
      </w:r>
      <w:r>
        <w:t xml:space="preserve">ом может быть </w:t>
      </w:r>
      <w:r w:rsidRPr="00E366B1">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14:paraId="182F60A3" w14:textId="31FDF4DA" w:rsidR="007E6AB7" w:rsidRDefault="007E6AB7" w:rsidP="007E6AB7">
      <w:r>
        <w:t xml:space="preserve">Объектами концессионного соглашения являются: </w:t>
      </w:r>
      <w:r w:rsidRPr="00E366B1">
        <w:t>социально значимые объекты, которые не могут быть приватизированы, такие как аэродромы, железные дороги, объекты ЖКХ и</w:t>
      </w:r>
      <w:r>
        <w:t xml:space="preserve"> </w:t>
      </w:r>
      <w:r w:rsidRPr="00E366B1">
        <w:t xml:space="preserve">другие инфраструктурные сооружения, а также системы общественного транспорта, </w:t>
      </w:r>
      <w:r w:rsidRPr="00433FF8">
        <w:rPr>
          <w:i/>
        </w:rPr>
        <w:t>объекты здравоохранения</w:t>
      </w:r>
      <w:r w:rsidR="00E62D3D">
        <w:rPr>
          <w:i/>
        </w:rPr>
        <w:t xml:space="preserve"> (поликлиники, больницы, многопрофильные медицинские центры, диспансеры, амбулатории, пансионаты, санатории-профилактории), </w:t>
      </w:r>
      <w:r w:rsidR="00E62D3D" w:rsidRPr="00E366B1">
        <w:t>образования</w:t>
      </w:r>
      <w:r w:rsidRPr="00E366B1">
        <w:t>, культуры и спорта.</w:t>
      </w:r>
      <w:r>
        <w:t xml:space="preserve"> </w:t>
      </w:r>
      <w:r w:rsidRPr="00E366B1">
        <w:t xml:space="preserve">Несмотря на то, что в ст. 4 Федерального закона 115-ФЗ перечислены </w:t>
      </w:r>
      <w:r>
        <w:t xml:space="preserve">конкретные </w:t>
      </w:r>
      <w:r w:rsidRPr="00E366B1">
        <w:t>объекты концессионного соглашения, данный перечень не является исчерпывающим.</w:t>
      </w:r>
    </w:p>
    <w:p w14:paraId="6C9B197D" w14:textId="77777777" w:rsidR="007E6AB7" w:rsidRPr="00E366B1" w:rsidRDefault="007E6AB7" w:rsidP="007E6AB7">
      <w:r w:rsidRPr="0063304E">
        <w:t xml:space="preserve">В отношении следующих объектов может быть заключено только КС (статья 4 Закона о КС): </w:t>
      </w:r>
      <w:r>
        <w:t>объекты тепло- и водоснабжения/</w:t>
      </w:r>
      <w:r w:rsidRPr="0063304E">
        <w:t xml:space="preserve">водоотведения; федеральные, региональные и местные дороги; метрополитен; здания, строения и сооружения, предназначенные для складирования, хранения и ремонта имущества ВС РФ. </w:t>
      </w:r>
    </w:p>
    <w:p w14:paraId="2F501A0B" w14:textId="77777777" w:rsidR="007E6AB7" w:rsidRDefault="007E6AB7" w:rsidP="00486867">
      <w:pPr>
        <w:pStyle w:val="af5"/>
        <w:numPr>
          <w:ilvl w:val="0"/>
          <w:numId w:val="11"/>
        </w:numPr>
        <w:rPr>
          <w:rFonts w:cs="Times New Roman"/>
          <w:szCs w:val="24"/>
          <w:u w:val="single"/>
        </w:rPr>
      </w:pPr>
      <w:r>
        <w:rPr>
          <w:rFonts w:cs="Times New Roman"/>
          <w:szCs w:val="24"/>
          <w:u w:val="single"/>
        </w:rPr>
        <w:lastRenderedPageBreak/>
        <w:t>Цель взаимодействия для сторон.</w:t>
      </w:r>
    </w:p>
    <w:p w14:paraId="2F03F73B" w14:textId="7E161326" w:rsidR="007E6AB7" w:rsidRPr="00D97DDA" w:rsidRDefault="007E6AB7" w:rsidP="007E6AB7">
      <w:r>
        <w:t xml:space="preserve">Для </w:t>
      </w:r>
      <w:proofErr w:type="spellStart"/>
      <w:r>
        <w:t>концедента</w:t>
      </w:r>
      <w:proofErr w:type="spellEnd"/>
      <w:r>
        <w:t>: привлечение</w:t>
      </w:r>
      <w:r w:rsidRPr="00D97DDA">
        <w:t xml:space="preserve"> внебюджетных источников финансирования создания и (или) реконструкции и эксплуатации недвижимого имущества, недвижимого и движимого имущества, технологически связанного между собой, в отсутствии достаточного объема средств регионального бюджета;</w:t>
      </w:r>
      <w:r>
        <w:t xml:space="preserve"> </w:t>
      </w:r>
      <w:r w:rsidRPr="00D97DDA">
        <w:t>использовании накопленного опыта, технологий и ресурсов концессионера для</w:t>
      </w:r>
      <w:r>
        <w:t xml:space="preserve"> </w:t>
      </w:r>
      <w:r w:rsidRPr="00D97DDA">
        <w:t>осуществления общественно значимых проектов в социально-экономической сфере региона</w:t>
      </w:r>
      <w:r>
        <w:t>, вследствие чего ожидается п</w:t>
      </w:r>
      <w:r w:rsidRPr="000B1559">
        <w:t>овышение качества товаров, работ, услу</w:t>
      </w:r>
      <w:r w:rsidR="00722274">
        <w:t xml:space="preserve">г, предоставляемых потребителям; снижение риска оппортунистического поведения поставщика; </w:t>
      </w:r>
      <w:r w:rsidR="00722274" w:rsidRPr="00722274">
        <w:t>предоставление одним частным партнером решения по инфраструктурному объекту на весь его жизненный цикл, т.е. строительство/реконструкцию и последующее управление объектом</w:t>
      </w:r>
      <w:r w:rsidR="00722274">
        <w:t>.</w:t>
      </w:r>
    </w:p>
    <w:p w14:paraId="4630671A" w14:textId="32B63B99" w:rsidR="007E6AB7" w:rsidRPr="000B1559" w:rsidRDefault="007E6AB7" w:rsidP="007E6AB7">
      <w:r w:rsidRPr="000B1559">
        <w:t>Для концессионера:</w:t>
      </w:r>
      <w:r w:rsidR="00722274">
        <w:t xml:space="preserve"> инвестирование с гарантией</w:t>
      </w:r>
      <w:r>
        <w:t xml:space="preserve"> возврата вложенных средств, возможность эксплуатации объекта соглашения, получение доступа к </w:t>
      </w:r>
    </w:p>
    <w:p w14:paraId="3A4CB06D" w14:textId="77777777" w:rsidR="007E6AB7" w:rsidRDefault="007E6AB7" w:rsidP="00486867">
      <w:pPr>
        <w:pStyle w:val="af5"/>
        <w:numPr>
          <w:ilvl w:val="0"/>
          <w:numId w:val="11"/>
        </w:numPr>
        <w:rPr>
          <w:rFonts w:cs="Times New Roman"/>
          <w:szCs w:val="24"/>
          <w:u w:val="single"/>
        </w:rPr>
      </w:pPr>
      <w:r w:rsidRPr="00572450">
        <w:rPr>
          <w:rFonts w:cs="Times New Roman"/>
          <w:szCs w:val="24"/>
          <w:u w:val="single"/>
        </w:rPr>
        <w:t xml:space="preserve">Сторона(-ы) осуществляющие финансирование </w:t>
      </w:r>
      <w:r>
        <w:rPr>
          <w:rFonts w:cs="Times New Roman"/>
          <w:szCs w:val="24"/>
          <w:u w:val="single"/>
        </w:rPr>
        <w:t>и возможные виды финансирования.</w:t>
      </w:r>
    </w:p>
    <w:p w14:paraId="2B190D75" w14:textId="77777777" w:rsidR="007E6AB7" w:rsidRPr="00523BA5" w:rsidRDefault="007E6AB7" w:rsidP="007E6AB7">
      <w:r w:rsidRPr="00523BA5">
        <w:t xml:space="preserve">Концессионером </w:t>
      </w:r>
      <w:r>
        <w:t xml:space="preserve">реализует работы, предусмотренные концессионным соглашением </w:t>
      </w:r>
      <w:r w:rsidRPr="00523BA5">
        <w:t>полностью или частично за счет собственных и заемных средств.</w:t>
      </w:r>
    </w:p>
    <w:p w14:paraId="7B25FC65" w14:textId="6B193546" w:rsidR="007E6AB7" w:rsidRPr="008E675F" w:rsidRDefault="007E6AB7" w:rsidP="007E6AB7">
      <w:r>
        <w:t xml:space="preserve">В соответствии с ст. 3 Федерального закона 115-ФЗ: </w:t>
      </w:r>
      <w:proofErr w:type="spellStart"/>
      <w:r w:rsidR="00DA1C5F">
        <w:t>к</w:t>
      </w:r>
      <w:r w:rsidRPr="008E675F">
        <w:t>онцедент</w:t>
      </w:r>
      <w:proofErr w:type="spellEnd"/>
      <w:r w:rsidRPr="008E675F">
        <w:t xml:space="preserve">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w:t>
      </w:r>
      <w:r>
        <w:t xml:space="preserve"> бюджетным законодательством РФ</w:t>
      </w:r>
      <w:r w:rsidRPr="008E675F">
        <w:t>. </w:t>
      </w:r>
      <w:r>
        <w:t xml:space="preserve">Другими словами, </w:t>
      </w:r>
      <w:proofErr w:type="spellStart"/>
      <w:r>
        <w:t>концедент</w:t>
      </w:r>
      <w:proofErr w:type="spellEnd"/>
      <w:r>
        <w:t xml:space="preserve"> может участвовать в финансировании объекта концессионного соглашения.</w:t>
      </w:r>
    </w:p>
    <w:p w14:paraId="7B50A60D" w14:textId="77777777" w:rsidR="007E6AB7" w:rsidRPr="00A267D0" w:rsidRDefault="007E6AB7" w:rsidP="00486867">
      <w:pPr>
        <w:pStyle w:val="af5"/>
        <w:numPr>
          <w:ilvl w:val="0"/>
          <w:numId w:val="11"/>
        </w:numPr>
        <w:rPr>
          <w:rFonts w:cs="Times New Roman"/>
          <w:szCs w:val="24"/>
          <w:u w:val="single"/>
        </w:rPr>
      </w:pPr>
      <w:r w:rsidRPr="00A267D0">
        <w:rPr>
          <w:rFonts w:cs="Times New Roman"/>
          <w:szCs w:val="24"/>
          <w:u w:val="single"/>
        </w:rPr>
        <w:t>Наличие оценки эффективности взаимодействия.</w:t>
      </w:r>
    </w:p>
    <w:p w14:paraId="5FFF2832" w14:textId="77777777" w:rsidR="007E6AB7" w:rsidRDefault="007E6AB7" w:rsidP="007E6AB7">
      <w:r w:rsidRPr="00A267D0">
        <w:t>Законодательно не</w:t>
      </w:r>
      <w:r>
        <w:t xml:space="preserve"> установлено</w:t>
      </w:r>
      <w:r w:rsidRPr="00A267D0">
        <w:t xml:space="preserve">. </w:t>
      </w:r>
    </w:p>
    <w:p w14:paraId="5AB60085" w14:textId="77777777" w:rsidR="007E6AB7" w:rsidRPr="00404A0A" w:rsidRDefault="007E6AB7" w:rsidP="007E6AB7">
      <w:r w:rsidRPr="00404A0A">
        <w:t>Минэкономразвития предлагает оценивать эффективность с финансовой и социа</w:t>
      </w:r>
      <w:r>
        <w:t>льно-экономической точек зрения – на первом этапе. А на втором этапе проводить сравнительное преимущества проекта концессионного соглашения, посредством сравнения расходов бюджета, а также обязательств и рисков публичной стороны, в целях проверки того, что КС эффективнее традиционной государственной закупки.</w:t>
      </w:r>
      <w:r>
        <w:rPr>
          <w:rStyle w:val="afa"/>
        </w:rPr>
        <w:footnoteReference w:id="27"/>
      </w:r>
    </w:p>
    <w:p w14:paraId="274E3F25" w14:textId="6333C294" w:rsidR="007E6AB7" w:rsidRDefault="007E6AB7" w:rsidP="00486867">
      <w:pPr>
        <w:pStyle w:val="af5"/>
        <w:numPr>
          <w:ilvl w:val="0"/>
          <w:numId w:val="11"/>
        </w:numPr>
        <w:rPr>
          <w:rFonts w:cs="Times New Roman"/>
          <w:szCs w:val="24"/>
          <w:u w:val="single"/>
        </w:rPr>
      </w:pPr>
      <w:r w:rsidRPr="00572450">
        <w:rPr>
          <w:rFonts w:cs="Times New Roman"/>
          <w:szCs w:val="24"/>
          <w:u w:val="single"/>
        </w:rPr>
        <w:t>Наличие условия и порядка возникновения права частной собственности на объект, если пред</w:t>
      </w:r>
      <w:r>
        <w:rPr>
          <w:rFonts w:cs="Times New Roman"/>
          <w:szCs w:val="24"/>
          <w:u w:val="single"/>
        </w:rPr>
        <w:t>усмотрено формой взаимодействия.</w:t>
      </w:r>
    </w:p>
    <w:p w14:paraId="748C09F4" w14:textId="276D272F" w:rsidR="00B23AD2" w:rsidRPr="00B23AD2" w:rsidRDefault="00B23AD2" w:rsidP="00B23AD2">
      <w:r>
        <w:lastRenderedPageBreak/>
        <w:t xml:space="preserve">В соответствии с ст. 30.2 ФЗ </w:t>
      </w:r>
      <w:r w:rsidRPr="00B23AD2">
        <w:t xml:space="preserve">от </w:t>
      </w:r>
      <w:r>
        <w:t xml:space="preserve">21.12.2001 № </w:t>
      </w:r>
      <w:r w:rsidRPr="00B23AD2">
        <w:t xml:space="preserve">178-ФЗ </w:t>
      </w:r>
      <w:r>
        <w:t>«</w:t>
      </w:r>
      <w:r w:rsidRPr="00B23AD2">
        <w:t>О приватизации государствен</w:t>
      </w:r>
      <w:r>
        <w:t xml:space="preserve">ного и муниципального имущества»: в </w:t>
      </w:r>
      <w:r w:rsidRPr="00B23AD2">
        <w:t>случае включения имущества, входящего в состав объекта концессионного соглашения, в </w:t>
      </w:r>
      <w:hyperlink r:id="rId9" w:anchor="dst100008" w:history="1">
        <w:r w:rsidRPr="00B23AD2">
          <w:t>прогнозный план</w:t>
        </w:r>
      </w:hyperlink>
      <w:r w:rsidRPr="00B23AD2">
        <w:t> (программу) приватизации федерального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r>
        <w:t xml:space="preserve"> Заключается договор купли-продажи между сторонами и объект переходит в собственность частной стороны.</w:t>
      </w:r>
    </w:p>
    <w:p w14:paraId="49EE0F69" w14:textId="2D24B6F8" w:rsidR="007E6AB7" w:rsidRDefault="007E6AB7" w:rsidP="00486867">
      <w:pPr>
        <w:pStyle w:val="af5"/>
        <w:numPr>
          <w:ilvl w:val="0"/>
          <w:numId w:val="11"/>
        </w:numPr>
        <w:rPr>
          <w:rFonts w:cs="Times New Roman"/>
          <w:szCs w:val="24"/>
          <w:u w:val="single"/>
        </w:rPr>
      </w:pPr>
      <w:r w:rsidRPr="00572450">
        <w:rPr>
          <w:rFonts w:cs="Times New Roman"/>
          <w:szCs w:val="24"/>
          <w:u w:val="single"/>
        </w:rPr>
        <w:t>Н</w:t>
      </w:r>
      <w:r>
        <w:rPr>
          <w:rFonts w:cs="Times New Roman"/>
          <w:szCs w:val="24"/>
          <w:u w:val="single"/>
        </w:rPr>
        <w:t>аличие государственных гарантий.</w:t>
      </w:r>
    </w:p>
    <w:p w14:paraId="4CD21053" w14:textId="77777777" w:rsidR="007E6AB7" w:rsidRPr="006B5A5C" w:rsidRDefault="007E6AB7" w:rsidP="007E6AB7">
      <w:r w:rsidRPr="006B5A5C">
        <w:t xml:space="preserve">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w:t>
      </w:r>
      <w:proofErr w:type="spellStart"/>
      <w:r w:rsidRPr="006B5A5C">
        <w:t>концедент</w:t>
      </w:r>
      <w:proofErr w:type="spellEnd"/>
      <w:r w:rsidRPr="006B5A5C">
        <w:t xml:space="preserve"> вправе увеличить размер платы </w:t>
      </w:r>
      <w:proofErr w:type="spellStart"/>
      <w:r w:rsidRPr="006B5A5C">
        <w:t>концедента</w:t>
      </w:r>
      <w:proofErr w:type="spellEnd"/>
      <w:r w:rsidRPr="006B5A5C">
        <w:t xml:space="preserve"> по концессионному соглашению, срок концессионного соглашения с согласия концессионера, размер принимаемых на себя </w:t>
      </w:r>
      <w:proofErr w:type="spellStart"/>
      <w:r w:rsidRPr="006B5A5C">
        <w:t>концедентом</w:t>
      </w:r>
      <w:proofErr w:type="spellEnd"/>
      <w:r w:rsidRPr="006B5A5C">
        <w:t xml:space="preserve"> расходов на создание и (или) реконструкцию объекта концессионного соглашения, а также предоставить концессионеру дополнительные государственные или муниципальные гарантии.</w:t>
      </w:r>
    </w:p>
    <w:p w14:paraId="31C9308C" w14:textId="77777777" w:rsidR="007E6AB7" w:rsidRDefault="007E6AB7" w:rsidP="00486867">
      <w:pPr>
        <w:pStyle w:val="af5"/>
        <w:numPr>
          <w:ilvl w:val="0"/>
          <w:numId w:val="11"/>
        </w:numPr>
        <w:rPr>
          <w:rFonts w:cs="Times New Roman"/>
          <w:szCs w:val="24"/>
          <w:u w:val="single"/>
        </w:rPr>
      </w:pPr>
      <w:r w:rsidRPr="006B5A5C">
        <w:rPr>
          <w:rFonts w:cs="Times New Roman"/>
          <w:szCs w:val="24"/>
          <w:u w:val="single"/>
        </w:rPr>
        <w:t>Формы и методы вознаграждение бизнеса.</w:t>
      </w:r>
    </w:p>
    <w:p w14:paraId="0E583006" w14:textId="5BD0AEC8" w:rsidR="007E6AB7" w:rsidRPr="006B5A5C" w:rsidRDefault="007E6AB7" w:rsidP="007E6AB7">
      <w:r w:rsidRPr="006B5A5C">
        <w:t xml:space="preserve">Возврат средств </w:t>
      </w:r>
      <w:r w:rsidR="00722274">
        <w:t>концессионеров</w:t>
      </w:r>
      <w:r w:rsidRPr="006B5A5C">
        <w:t xml:space="preserve"> </w:t>
      </w:r>
      <w:r>
        <w:t xml:space="preserve">может </w:t>
      </w:r>
      <w:r w:rsidRPr="006B5A5C">
        <w:t>осуществл</w:t>
      </w:r>
      <w:r>
        <w:t>яться следующими способами:</w:t>
      </w:r>
    </w:p>
    <w:p w14:paraId="6836FC64" w14:textId="545B727B" w:rsidR="007E6AB7" w:rsidRPr="005C72FC" w:rsidRDefault="007E6AB7" w:rsidP="00486867">
      <w:pPr>
        <w:pStyle w:val="af5"/>
        <w:numPr>
          <w:ilvl w:val="0"/>
          <w:numId w:val="13"/>
        </w:numPr>
        <w:rPr>
          <w:rFonts w:cs="Times New Roman"/>
          <w:bCs/>
          <w:szCs w:val="24"/>
        </w:rPr>
      </w:pPr>
      <w:r w:rsidRPr="006B5A5C">
        <w:rPr>
          <w:rFonts w:cs="Times New Roman"/>
          <w:bCs/>
          <w:szCs w:val="24"/>
        </w:rPr>
        <w:t xml:space="preserve">Плата </w:t>
      </w:r>
      <w:proofErr w:type="spellStart"/>
      <w:r w:rsidRPr="006B5A5C">
        <w:rPr>
          <w:rFonts w:cs="Times New Roman"/>
          <w:bCs/>
          <w:szCs w:val="24"/>
        </w:rPr>
        <w:t>концедента</w:t>
      </w:r>
      <w:proofErr w:type="spellEnd"/>
      <w:r>
        <w:rPr>
          <w:rFonts w:cs="Times New Roman"/>
          <w:bCs/>
          <w:szCs w:val="24"/>
        </w:rPr>
        <w:t xml:space="preserve"> </w:t>
      </w:r>
      <w:r w:rsidR="00722274">
        <w:rPr>
          <w:rFonts w:cs="Times New Roman"/>
          <w:bCs/>
          <w:szCs w:val="24"/>
        </w:rPr>
        <w:t>–</w:t>
      </w:r>
      <w:r>
        <w:rPr>
          <w:rFonts w:cs="Times New Roman"/>
          <w:bCs/>
          <w:szCs w:val="24"/>
        </w:rPr>
        <w:t xml:space="preserve"> </w:t>
      </w:r>
      <w:proofErr w:type="spellStart"/>
      <w:r w:rsidRPr="005C72FC">
        <w:rPr>
          <w:rFonts w:cs="Times New Roman"/>
          <w:szCs w:val="24"/>
        </w:rPr>
        <w:t>концедент</w:t>
      </w:r>
      <w:proofErr w:type="spellEnd"/>
      <w:r w:rsidRPr="005C72FC">
        <w:rPr>
          <w:rFonts w:cs="Times New Roman"/>
          <w:szCs w:val="24"/>
        </w:rPr>
        <w:t xml:space="preserve"> в течении </w:t>
      </w:r>
      <w:r>
        <w:rPr>
          <w:rFonts w:cs="Times New Roman"/>
          <w:szCs w:val="24"/>
        </w:rPr>
        <w:t xml:space="preserve">срока концессионного соглашения или </w:t>
      </w:r>
      <w:r w:rsidRPr="005C72FC">
        <w:rPr>
          <w:rFonts w:cs="Times New Roman"/>
          <w:bCs/>
          <w:szCs w:val="24"/>
        </w:rPr>
        <w:t>в течение отдельных периодов такого использования (эксплуатации)</w:t>
      </w:r>
      <w:r>
        <w:rPr>
          <w:rFonts w:cs="Times New Roman"/>
          <w:szCs w:val="24"/>
        </w:rPr>
        <w:t xml:space="preserve">, </w:t>
      </w:r>
      <w:r w:rsidRPr="005C72FC">
        <w:rPr>
          <w:rFonts w:cs="Times New Roman"/>
          <w:szCs w:val="24"/>
        </w:rPr>
        <w:t>уплачивает концессионеру плату, исходя из финансовой модели концессионного соглашения</w:t>
      </w:r>
      <w:r>
        <w:rPr>
          <w:rFonts w:cs="Times New Roman"/>
          <w:szCs w:val="24"/>
        </w:rPr>
        <w:t>;</w:t>
      </w:r>
    </w:p>
    <w:p w14:paraId="207D7A99" w14:textId="77777777" w:rsidR="007E6AB7" w:rsidRPr="006B5A5C" w:rsidRDefault="007E6AB7" w:rsidP="00486867">
      <w:pPr>
        <w:pStyle w:val="af5"/>
        <w:numPr>
          <w:ilvl w:val="0"/>
          <w:numId w:val="13"/>
        </w:numPr>
        <w:rPr>
          <w:rFonts w:cs="Times New Roman"/>
          <w:bCs/>
          <w:szCs w:val="24"/>
        </w:rPr>
      </w:pPr>
      <w:r w:rsidRPr="006B5A5C">
        <w:rPr>
          <w:rFonts w:cs="Times New Roman"/>
          <w:bCs/>
          <w:szCs w:val="24"/>
        </w:rPr>
        <w:t>На основе тарифов</w:t>
      </w:r>
      <w:r>
        <w:rPr>
          <w:rFonts w:cs="Times New Roman"/>
          <w:bCs/>
          <w:szCs w:val="24"/>
        </w:rPr>
        <w:t xml:space="preserve"> – у</w:t>
      </w:r>
      <w:r w:rsidRPr="005C72FC">
        <w:rPr>
          <w:rFonts w:cs="Times New Roman"/>
          <w:bCs/>
          <w:szCs w:val="24"/>
        </w:rPr>
        <w:t>полномоченный орган утверждает долгосрочные параметры тарифного регулирования и тариф по виду деятельности концессионера. Возврат инвестиций осуществляется путем предоставления услуг/реализации продукции потребителя</w:t>
      </w:r>
      <w:r>
        <w:rPr>
          <w:rFonts w:cs="Times New Roman"/>
          <w:bCs/>
          <w:szCs w:val="24"/>
        </w:rPr>
        <w:t>м в рамках утвержденного тарифа;</w:t>
      </w:r>
      <w:r w:rsidRPr="005C72FC">
        <w:rPr>
          <w:rFonts w:cs="Times New Roman"/>
          <w:bCs/>
          <w:szCs w:val="24"/>
        </w:rPr>
        <w:t> </w:t>
      </w:r>
    </w:p>
    <w:p w14:paraId="08D4F323" w14:textId="77777777" w:rsidR="007E6AB7" w:rsidRPr="006B5A5C" w:rsidRDefault="007E6AB7" w:rsidP="00486867">
      <w:pPr>
        <w:pStyle w:val="af5"/>
        <w:numPr>
          <w:ilvl w:val="0"/>
          <w:numId w:val="13"/>
        </w:numPr>
        <w:rPr>
          <w:rFonts w:cs="Times New Roman"/>
          <w:bCs/>
          <w:szCs w:val="24"/>
        </w:rPr>
      </w:pPr>
      <w:r w:rsidRPr="006B5A5C">
        <w:rPr>
          <w:rFonts w:cs="Times New Roman"/>
          <w:bCs/>
          <w:szCs w:val="24"/>
        </w:rPr>
        <w:t>На основе оплаты услуг конечными потребителями</w:t>
      </w:r>
      <w:r>
        <w:rPr>
          <w:rFonts w:cs="Times New Roman"/>
          <w:bCs/>
          <w:szCs w:val="24"/>
        </w:rPr>
        <w:t xml:space="preserve"> – в</w:t>
      </w:r>
      <w:r w:rsidRPr="005C72FC">
        <w:rPr>
          <w:rFonts w:cs="Times New Roman"/>
          <w:bCs/>
          <w:szCs w:val="24"/>
        </w:rPr>
        <w:t xml:space="preserve"> течение срока действия концессионного соглашения концессионер эксплуатирует объект концессии по назначению, указанному в концессионном соглашении. Возврат инвестиций производится путем получения дохода от коммерческой эксплуатации объекта концессии (реализации продукции и /и</w:t>
      </w:r>
      <w:r>
        <w:rPr>
          <w:rFonts w:cs="Times New Roman"/>
          <w:bCs/>
          <w:szCs w:val="24"/>
        </w:rPr>
        <w:t>ли оказания услуг потребителям);</w:t>
      </w:r>
    </w:p>
    <w:p w14:paraId="6C8037FD" w14:textId="77777777" w:rsidR="007E6AB7" w:rsidRPr="006B5A5C" w:rsidRDefault="007E6AB7" w:rsidP="00486867">
      <w:pPr>
        <w:pStyle w:val="af5"/>
        <w:numPr>
          <w:ilvl w:val="0"/>
          <w:numId w:val="13"/>
        </w:numPr>
        <w:rPr>
          <w:rFonts w:cs="Times New Roman"/>
          <w:bCs/>
          <w:szCs w:val="24"/>
        </w:rPr>
      </w:pPr>
      <w:r w:rsidRPr="006B5A5C">
        <w:rPr>
          <w:rFonts w:cs="Times New Roman"/>
          <w:bCs/>
          <w:szCs w:val="24"/>
        </w:rPr>
        <w:lastRenderedPageBreak/>
        <w:t>На основе смешанных источников</w:t>
      </w:r>
      <w:r>
        <w:rPr>
          <w:rFonts w:cs="Times New Roman"/>
          <w:bCs/>
          <w:szCs w:val="24"/>
        </w:rPr>
        <w:t xml:space="preserve"> – </w:t>
      </w:r>
      <w:r w:rsidRPr="005C72FC">
        <w:rPr>
          <w:rFonts w:cs="Times New Roman"/>
          <w:bCs/>
          <w:szCs w:val="24"/>
        </w:rPr>
        <w:t>сочетание типов обеспечения возвратности средств инвесторов в</w:t>
      </w:r>
      <w:r>
        <w:rPr>
          <w:rFonts w:cs="Times New Roman"/>
          <w:bCs/>
          <w:szCs w:val="24"/>
        </w:rPr>
        <w:t xml:space="preserve"> рамках концессионного проект</w:t>
      </w:r>
      <w:r w:rsidRPr="005C72FC">
        <w:rPr>
          <w:rFonts w:cs="Times New Roman"/>
          <w:bCs/>
          <w:szCs w:val="24"/>
        </w:rPr>
        <w:t>а:</w:t>
      </w:r>
      <w:r>
        <w:rPr>
          <w:rFonts w:cs="Times New Roman"/>
          <w:bCs/>
          <w:szCs w:val="24"/>
        </w:rPr>
        <w:t xml:space="preserve"> </w:t>
      </w:r>
      <w:r w:rsidRPr="005C72FC">
        <w:rPr>
          <w:rFonts w:cs="Times New Roman"/>
          <w:bCs/>
          <w:szCs w:val="24"/>
        </w:rPr>
        <w:t xml:space="preserve">получение платы </w:t>
      </w:r>
      <w:proofErr w:type="spellStart"/>
      <w:r w:rsidRPr="005C72FC">
        <w:rPr>
          <w:rFonts w:cs="Times New Roman"/>
          <w:bCs/>
          <w:szCs w:val="24"/>
        </w:rPr>
        <w:t>концедента</w:t>
      </w:r>
      <w:proofErr w:type="spellEnd"/>
      <w:r w:rsidRPr="005C72FC">
        <w:rPr>
          <w:rFonts w:cs="Times New Roman"/>
          <w:bCs/>
          <w:szCs w:val="24"/>
        </w:rPr>
        <w:t xml:space="preserve"> </w:t>
      </w:r>
      <w:r>
        <w:rPr>
          <w:rFonts w:cs="Times New Roman"/>
          <w:bCs/>
          <w:szCs w:val="24"/>
        </w:rPr>
        <w:t>и платы</w:t>
      </w:r>
      <w:r w:rsidRPr="005C72FC">
        <w:rPr>
          <w:rFonts w:cs="Times New Roman"/>
          <w:bCs/>
          <w:szCs w:val="24"/>
        </w:rPr>
        <w:t xml:space="preserve"> с потребителей за продукцию, полученную от использования объекта концессии. </w:t>
      </w:r>
    </w:p>
    <w:p w14:paraId="0DF0E08C" w14:textId="77777777" w:rsidR="007E6AB7" w:rsidRPr="00CF0498" w:rsidRDefault="007E6AB7" w:rsidP="00486867">
      <w:pPr>
        <w:pStyle w:val="af5"/>
        <w:numPr>
          <w:ilvl w:val="0"/>
          <w:numId w:val="11"/>
        </w:numPr>
        <w:rPr>
          <w:rFonts w:cs="Times New Roman"/>
          <w:szCs w:val="24"/>
          <w:u w:val="single"/>
        </w:rPr>
      </w:pPr>
      <w:r w:rsidRPr="00572450">
        <w:rPr>
          <w:rFonts w:cs="Times New Roman"/>
          <w:szCs w:val="24"/>
          <w:u w:val="single"/>
        </w:rPr>
        <w:t>Сторона(-ы) осуществляющая(-</w:t>
      </w:r>
      <w:proofErr w:type="spellStart"/>
      <w:r w:rsidRPr="00572450">
        <w:rPr>
          <w:rFonts w:cs="Times New Roman"/>
          <w:szCs w:val="24"/>
          <w:u w:val="single"/>
        </w:rPr>
        <w:t>ие</w:t>
      </w:r>
      <w:proofErr w:type="spellEnd"/>
      <w:r w:rsidRPr="00572450">
        <w:rPr>
          <w:rFonts w:cs="Times New Roman"/>
          <w:szCs w:val="24"/>
          <w:u w:val="single"/>
        </w:rPr>
        <w:t>) со</w:t>
      </w:r>
      <w:r>
        <w:rPr>
          <w:rFonts w:cs="Times New Roman"/>
          <w:szCs w:val="24"/>
          <w:u w:val="single"/>
        </w:rPr>
        <w:t>держание и эксплуатацию объекта.</w:t>
      </w:r>
    </w:p>
    <w:p w14:paraId="6CE3033E" w14:textId="77777777" w:rsidR="007E6AB7" w:rsidRDefault="007E6AB7" w:rsidP="007E6AB7">
      <w:r w:rsidRPr="00CF0498">
        <w:t>При исполнении концессионного соглашения концессионер обязан:</w:t>
      </w:r>
      <w:r>
        <w:t xml:space="preserve"> </w:t>
      </w:r>
      <w:r w:rsidRPr="00CF0498">
        <w:t> </w:t>
      </w:r>
      <w:r w:rsidRPr="00CF0498">
        <w:t>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r>
        <w:t xml:space="preserve"> </w:t>
      </w:r>
      <w:r w:rsidRPr="00CF0498">
        <w:t xml:space="preserve">обеспечивать при осуществлении деятельности, предусмотренной концессионным соглашением, возможность получения </w:t>
      </w:r>
      <w:r w:rsidRPr="00CF0498">
        <w:softHyphen/>
        <w:t>потребителями соответствующих товаров, работ, услуг;</w:t>
      </w:r>
      <w:r>
        <w:t xml:space="preserve"> </w:t>
      </w:r>
      <w:r w:rsidRPr="00CF0498">
        <w:t>поддерживать объекты концессионного соглашения в исправном состоянии, проводить за свой счет текущий ремонт и капитальный ремонт, нести расходы на содержание этих объектов, если иное не установлено концессионным соглашением.</w:t>
      </w:r>
      <w:r>
        <w:t xml:space="preserve"> Таким образом, за содержание и эксплуатацию объекты несет ответственность концессионер.</w:t>
      </w:r>
    </w:p>
    <w:p w14:paraId="2A0554E0" w14:textId="77777777" w:rsidR="007E6AB7" w:rsidRPr="008E675F" w:rsidRDefault="007E6AB7" w:rsidP="00486867">
      <w:pPr>
        <w:pStyle w:val="af5"/>
        <w:numPr>
          <w:ilvl w:val="0"/>
          <w:numId w:val="11"/>
        </w:numPr>
        <w:rPr>
          <w:rFonts w:cs="Times New Roman"/>
          <w:szCs w:val="24"/>
          <w:u w:val="single"/>
        </w:rPr>
      </w:pPr>
      <w:r w:rsidRPr="00572450">
        <w:rPr>
          <w:rFonts w:cs="Times New Roman"/>
          <w:szCs w:val="24"/>
          <w:u w:val="single"/>
        </w:rPr>
        <w:t>Ключевые сферы применения взаимодействия.</w:t>
      </w:r>
    </w:p>
    <w:p w14:paraId="2995E686" w14:textId="77777777" w:rsidR="007E6AB7" w:rsidRPr="00D97DDA" w:rsidRDefault="007E6AB7" w:rsidP="007E6AB7">
      <w:r>
        <w:t>К</w:t>
      </w:r>
      <w:r w:rsidRPr="00D97DDA">
        <w:t>оммунальная (объекты обращения с твердыми ком</w:t>
      </w:r>
      <w:r>
        <w:t xml:space="preserve">мунальными отходами, холодное и </w:t>
      </w:r>
      <w:r w:rsidRPr="00D97DDA">
        <w:t>горячее водоснабжение и водоотведение, объекты благоустройства);</w:t>
      </w:r>
      <w:r>
        <w:t xml:space="preserve"> </w:t>
      </w:r>
      <w:r w:rsidRPr="00D97DDA">
        <w:t>транспортная (автомобильные дороги и объекты дорожной инфраструктуры, аэропорты, морские и речные порты, инфраструктура железнодорожного транспорта, общественный транспорт);</w:t>
      </w:r>
      <w:r>
        <w:t xml:space="preserve"> </w:t>
      </w:r>
      <w:r w:rsidRPr="00D97DDA">
        <w:t>социальная (</w:t>
      </w:r>
      <w:r w:rsidRPr="000B06CB">
        <w:rPr>
          <w:i/>
        </w:rPr>
        <w:t>объекты здравоохранения</w:t>
      </w:r>
      <w:r w:rsidRPr="00D97DDA">
        <w:t>, образования, физической культуры и спорта, культуры и культурного наследия, социального и социально-бытового обслуживания населения);</w:t>
      </w:r>
      <w:r>
        <w:t xml:space="preserve"> </w:t>
      </w:r>
      <w:r w:rsidRPr="00D97DDA">
        <w:t xml:space="preserve">энергетическая (объекты передачи и распределения электрической и тепловой энергии, системы </w:t>
      </w:r>
      <w:r>
        <w:t>уличного и дорожного освещения).</w:t>
      </w:r>
      <w:r>
        <w:rPr>
          <w:rStyle w:val="afa"/>
        </w:rPr>
        <w:footnoteReference w:id="28"/>
      </w:r>
    </w:p>
    <w:p w14:paraId="76B971A7" w14:textId="77777777" w:rsidR="007E6AB7" w:rsidRDefault="007E6AB7" w:rsidP="00E62D3D">
      <w:pPr>
        <w:ind w:firstLine="0"/>
        <w:rPr>
          <w:b/>
          <w:i/>
        </w:rPr>
      </w:pPr>
      <w:r>
        <w:rPr>
          <w:b/>
          <w:i/>
        </w:rPr>
        <w:t>Государственно-частное партнёрство</w:t>
      </w:r>
    </w:p>
    <w:p w14:paraId="4349FEBE" w14:textId="77777777" w:rsidR="007E6AB7" w:rsidRDefault="007E6AB7" w:rsidP="00486867">
      <w:pPr>
        <w:pStyle w:val="af5"/>
        <w:numPr>
          <w:ilvl w:val="0"/>
          <w:numId w:val="12"/>
        </w:numPr>
        <w:rPr>
          <w:rFonts w:cs="Times New Roman"/>
          <w:szCs w:val="24"/>
          <w:u w:val="single"/>
        </w:rPr>
      </w:pPr>
      <w:r w:rsidRPr="00572450">
        <w:rPr>
          <w:rFonts w:cs="Times New Roman"/>
          <w:szCs w:val="24"/>
          <w:u w:val="single"/>
        </w:rPr>
        <w:t>Право</w:t>
      </w:r>
      <w:r>
        <w:rPr>
          <w:rFonts w:cs="Times New Roman"/>
          <w:szCs w:val="24"/>
          <w:u w:val="single"/>
        </w:rPr>
        <w:t>вая основа формы взаимодействия.</w:t>
      </w:r>
    </w:p>
    <w:p w14:paraId="08BE883B" w14:textId="77777777" w:rsidR="007E6AB7" w:rsidRDefault="007E6AB7" w:rsidP="007E6AB7">
      <w:r>
        <w:t xml:space="preserve">Данная форма взаимодействия регулируется Федеральным Законом от 13 июля 2015 г. № 224-ФЗ, в соответствии с которым ГЧП (МЧП) – </w:t>
      </w:r>
      <w:r w:rsidRPr="00A735B0">
        <w:t>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w:t>
      </w:r>
      <w:r>
        <w:t xml:space="preserve"> ГЧП (СГЧП) , соглашения о МЧП (СМЧП)</w:t>
      </w:r>
      <w:r w:rsidRPr="00A735B0">
        <w:t xml:space="preserve">, заключенных в соответствии с настоящим Федеральным </w:t>
      </w:r>
      <w:hyperlink r:id="rId10" w:anchor="dst100229" w:history="1">
        <w:r w:rsidRPr="00A735B0">
          <w:t>законом</w:t>
        </w:r>
      </w:hyperlink>
      <w:r w:rsidRPr="00A735B0">
        <w:t xml:space="preserve"> в целях привлечения в экономику частных инвестиций, обеспечения органами государственной </w:t>
      </w:r>
      <w:r w:rsidRPr="00A735B0">
        <w:lastRenderedPageBreak/>
        <w:t>власти и органами местного самоуправления доступности товаров, работ</w:t>
      </w:r>
      <w:r>
        <w:t>, услуг и повышения их качества.</w:t>
      </w:r>
    </w:p>
    <w:p w14:paraId="107D04AC" w14:textId="77777777" w:rsidR="007E6AB7" w:rsidRPr="00652493" w:rsidRDefault="007E6AB7" w:rsidP="00486867">
      <w:pPr>
        <w:pStyle w:val="af5"/>
        <w:numPr>
          <w:ilvl w:val="0"/>
          <w:numId w:val="12"/>
        </w:numPr>
        <w:rPr>
          <w:rFonts w:cs="Times New Roman"/>
          <w:color w:val="000000" w:themeColor="text1"/>
          <w:szCs w:val="24"/>
          <w:u w:val="single"/>
        </w:rPr>
      </w:pPr>
      <w:r w:rsidRPr="00652493">
        <w:rPr>
          <w:rFonts w:cs="Times New Roman"/>
          <w:color w:val="000000" w:themeColor="text1"/>
          <w:szCs w:val="24"/>
          <w:u w:val="single"/>
        </w:rPr>
        <w:t>Субъектный и объектный состав формы взаимодействия.</w:t>
      </w:r>
    </w:p>
    <w:p w14:paraId="2728E7AB" w14:textId="77777777" w:rsidR="007E6AB7" w:rsidRPr="0038048D" w:rsidRDefault="007E6AB7" w:rsidP="007E6AB7">
      <w:r w:rsidRPr="008A63BF">
        <w:t>Сторонами</w:t>
      </w:r>
      <w:r>
        <w:t xml:space="preserve"> СГЧП</w:t>
      </w:r>
      <w:r w:rsidRPr="008A63BF">
        <w:t xml:space="preserve">, </w:t>
      </w:r>
      <w:r>
        <w:t xml:space="preserve">СМЧП </w:t>
      </w:r>
      <w:r w:rsidRPr="008A63BF">
        <w:t>являются публ</w:t>
      </w:r>
      <w:r>
        <w:t>ичный партнер и частный партнер, согласно ст. 5 Федерального закона 224-ФЗ.</w:t>
      </w:r>
    </w:p>
    <w:p w14:paraId="674C52E6" w14:textId="77777777" w:rsidR="007E6AB7" w:rsidRPr="00A735B0" w:rsidRDefault="007E6AB7" w:rsidP="007E6AB7">
      <w:r>
        <w:t xml:space="preserve">Публичным </w:t>
      </w:r>
      <w:r w:rsidRPr="00A735B0">
        <w:t>партнер</w:t>
      </w:r>
      <w:r>
        <w:t xml:space="preserve">ом может выступать </w:t>
      </w:r>
      <w:r w:rsidRPr="00A735B0">
        <w:t>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r>
        <w:t>.</w:t>
      </w:r>
    </w:p>
    <w:p w14:paraId="76154234" w14:textId="26FC1F7D" w:rsidR="007E6AB7" w:rsidRDefault="007E6AB7" w:rsidP="007E6AB7">
      <w:r w:rsidRPr="00A735B0">
        <w:t>Частный партнер –</w:t>
      </w:r>
      <w:r>
        <w:t xml:space="preserve"> российское юридическое лицо.</w:t>
      </w:r>
    </w:p>
    <w:p w14:paraId="3150B6D5" w14:textId="7762A0B8" w:rsidR="00C10E3D" w:rsidRPr="00A735B0" w:rsidRDefault="00C10E3D" w:rsidP="007E6AB7">
      <w:r w:rsidRPr="00C10E3D">
        <w:t xml:space="preserve">Объектом соглашения </w:t>
      </w:r>
      <w:r>
        <w:t xml:space="preserve">является </w:t>
      </w:r>
      <w:r w:rsidRPr="00C10E3D">
        <w:t>недвижимое имущество или недвижимое имущество и движимое имущество, технологически связанные между и предназначенные для осуществления деятельности, предусмотренной соглашением, осуществлять эксплуатацию и (или) техническое</w:t>
      </w:r>
      <w:r>
        <w:t xml:space="preserve"> обслуживание такого имущества.</w:t>
      </w:r>
    </w:p>
    <w:p w14:paraId="0629184C" w14:textId="77777777" w:rsidR="007E6AB7" w:rsidRDefault="007E6AB7" w:rsidP="00486867">
      <w:pPr>
        <w:pStyle w:val="af5"/>
        <w:numPr>
          <w:ilvl w:val="0"/>
          <w:numId w:val="12"/>
        </w:numPr>
        <w:rPr>
          <w:rFonts w:cs="Times New Roman"/>
          <w:szCs w:val="24"/>
          <w:u w:val="single"/>
        </w:rPr>
      </w:pPr>
      <w:r>
        <w:rPr>
          <w:rFonts w:cs="Times New Roman"/>
          <w:szCs w:val="24"/>
          <w:u w:val="single"/>
        </w:rPr>
        <w:t>Цель взаимодействия для сторон.</w:t>
      </w:r>
    </w:p>
    <w:p w14:paraId="7195DF0B" w14:textId="0CC189C2" w:rsidR="007E6AB7" w:rsidRDefault="007E6AB7" w:rsidP="002463A7">
      <w:r w:rsidRPr="002463A7">
        <w:rPr>
          <w:color w:val="000000" w:themeColor="text1"/>
        </w:rPr>
        <w:t>Для публичного партнёра:</w:t>
      </w:r>
      <w:r w:rsidR="001B3F6D" w:rsidRPr="002463A7">
        <w:rPr>
          <w:color w:val="000000" w:themeColor="text1"/>
        </w:rPr>
        <w:t xml:space="preserve"> </w:t>
      </w:r>
      <w:r w:rsidR="002463A7" w:rsidRPr="002463A7">
        <w:rPr>
          <w:color w:val="000000" w:themeColor="text1"/>
        </w:rPr>
        <w:t xml:space="preserve">возможность </w:t>
      </w:r>
      <w:r w:rsidR="002463A7">
        <w:t xml:space="preserve">реализации проекта в том числе за счет привлечения частных инвестиций, </w:t>
      </w:r>
      <w:r w:rsidRPr="00A735B0">
        <w:t>повышение качества и дос</w:t>
      </w:r>
      <w:r w:rsidR="002463A7">
        <w:t>тупности товаров, работ и услуг, привлечение инновационных технологий и опытных специалистов к реализации проекта, совместное разделение рисков по проекту с частным партнером, управление и обслуживание объекта инфраструктуры на протяжении всего жизненного</w:t>
      </w:r>
      <w:r w:rsidR="002463A7" w:rsidRPr="00722274">
        <w:t xml:space="preserve"> цикл</w:t>
      </w:r>
      <w:r w:rsidR="002463A7">
        <w:t xml:space="preserve">а, снижение риска оппортунистического поведения частного партнера. </w:t>
      </w:r>
    </w:p>
    <w:p w14:paraId="1D9A951F" w14:textId="6FFA8328" w:rsidR="007E6AB7" w:rsidRPr="0063304E" w:rsidRDefault="007E6AB7" w:rsidP="007E6AB7">
      <w:pPr>
        <w:rPr>
          <w:color w:val="000000" w:themeColor="text1"/>
        </w:rPr>
      </w:pPr>
      <w:r w:rsidRPr="0063304E">
        <w:t>Для частного партнера:</w:t>
      </w:r>
      <w:r>
        <w:t xml:space="preserve"> </w:t>
      </w:r>
      <w:r w:rsidRPr="0063304E">
        <w:t xml:space="preserve">возможность </w:t>
      </w:r>
      <w:proofErr w:type="spellStart"/>
      <w:r w:rsidRPr="0063304E">
        <w:t>софинансирования</w:t>
      </w:r>
      <w:proofErr w:type="spellEnd"/>
      <w:r w:rsidRPr="0063304E">
        <w:t xml:space="preserve"> проекта публичной стороной, получения дополнительных гарантий (в т. ч. минимальной доходности);</w:t>
      </w:r>
      <w:r>
        <w:t xml:space="preserve"> </w:t>
      </w:r>
      <w:r w:rsidRPr="0063304E">
        <w:t>возможность увеличивать свою выручку по проекту за счет оказания дополнительных платных услуг и/или применения различных решений, снижающих затраты на этапе создания или эксплуатации;</w:t>
      </w:r>
      <w:r>
        <w:t xml:space="preserve"> </w:t>
      </w:r>
      <w:r w:rsidRPr="0063304E">
        <w:t>распределение рисков по проекту между частной стороной и публичным партнёром;</w:t>
      </w:r>
      <w:r>
        <w:t xml:space="preserve"> закрепление в сферах деятельности, традиционно занимаемых государством.</w:t>
      </w:r>
    </w:p>
    <w:p w14:paraId="7D8618B2" w14:textId="77777777" w:rsidR="007E6AB7" w:rsidRDefault="007E6AB7" w:rsidP="00486867">
      <w:pPr>
        <w:pStyle w:val="af5"/>
        <w:numPr>
          <w:ilvl w:val="0"/>
          <w:numId w:val="12"/>
        </w:numPr>
        <w:rPr>
          <w:rFonts w:cs="Times New Roman"/>
          <w:szCs w:val="24"/>
          <w:u w:val="single"/>
        </w:rPr>
      </w:pPr>
      <w:r w:rsidRPr="00572450">
        <w:rPr>
          <w:rFonts w:cs="Times New Roman"/>
          <w:szCs w:val="24"/>
          <w:u w:val="single"/>
        </w:rPr>
        <w:t xml:space="preserve">Сторона(-ы) осуществляющие финансирование </w:t>
      </w:r>
      <w:r>
        <w:rPr>
          <w:rFonts w:cs="Times New Roman"/>
          <w:szCs w:val="24"/>
          <w:u w:val="single"/>
        </w:rPr>
        <w:t>и возможные виды финансирования.</w:t>
      </w:r>
    </w:p>
    <w:p w14:paraId="1C6E6C70" w14:textId="77777777" w:rsidR="007E6AB7" w:rsidRDefault="007E6AB7" w:rsidP="007E6AB7">
      <w:r>
        <w:t xml:space="preserve">Обязательным элементов соглашения является осуществление </w:t>
      </w:r>
      <w:r w:rsidRPr="00E946FF">
        <w:t>частным партнером полного или частичного финансирования</w:t>
      </w:r>
      <w:r>
        <w:t xml:space="preserve"> создания объекта соглашения, а опциональным </w:t>
      </w:r>
      <w:r>
        <w:lastRenderedPageBreak/>
        <w:t xml:space="preserve">элементом – полное или частичное финансирование </w:t>
      </w:r>
      <w:r w:rsidRPr="00E946FF">
        <w:t>эксплуатации и (или) технического обслуживания объекта соглашения</w:t>
      </w:r>
      <w:r>
        <w:t>.</w:t>
      </w:r>
    </w:p>
    <w:p w14:paraId="5342BD42" w14:textId="77777777" w:rsidR="007E6AB7" w:rsidRDefault="007E6AB7" w:rsidP="007E6AB7">
      <w:r>
        <w:t>Основные источники финансирования: долевое финансирование проектов ГЧП – используется собственный капитал частного партнёра и/или его акционеров; долговое финансирование – используются средства заемного капитала; проектное финансирование – используются средства долгового капитала, которые, как правило, обеспечиваются залогом объекта ГЧП и акциями частного партнера, денежными потоками и активами соответствующего проекта ГЧП.</w:t>
      </w:r>
      <w:r>
        <w:rPr>
          <w:rStyle w:val="afa"/>
        </w:rPr>
        <w:footnoteReference w:id="29"/>
      </w:r>
    </w:p>
    <w:p w14:paraId="42636C23" w14:textId="758649D8" w:rsidR="007E6AB7" w:rsidRPr="00E946FF" w:rsidRDefault="007E6AB7" w:rsidP="007E6AB7">
      <w:r>
        <w:t xml:space="preserve">При этом </w:t>
      </w:r>
      <w:r w:rsidRPr="00E946FF">
        <w:t>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r>
        <w:t>, не является обязательным элементом соглашения. Однако, финансовая поддержка проекта в виде субсидий или обеспечения доступа к</w:t>
      </w:r>
      <w:r w:rsidR="004551A5">
        <w:t xml:space="preserve"> </w:t>
      </w:r>
      <w:r>
        <w:t>финансированию, которая может быть оказана публичными органами, считается ключом к коммерческой жизнеспособности проекта, а также повышению его эффективности.</w:t>
      </w:r>
      <w:r>
        <w:rPr>
          <w:rStyle w:val="afa"/>
        </w:rPr>
        <w:footnoteReference w:id="30"/>
      </w:r>
    </w:p>
    <w:p w14:paraId="7B38486A" w14:textId="77777777" w:rsidR="007E6AB7" w:rsidRPr="00A267D0" w:rsidRDefault="007E6AB7" w:rsidP="00486867">
      <w:pPr>
        <w:pStyle w:val="af5"/>
        <w:numPr>
          <w:ilvl w:val="0"/>
          <w:numId w:val="12"/>
        </w:numPr>
        <w:rPr>
          <w:rFonts w:cs="Times New Roman"/>
          <w:szCs w:val="24"/>
          <w:u w:val="single"/>
        </w:rPr>
      </w:pPr>
      <w:r w:rsidRPr="00A267D0">
        <w:rPr>
          <w:rFonts w:cs="Times New Roman"/>
          <w:szCs w:val="24"/>
          <w:u w:val="single"/>
        </w:rPr>
        <w:t>Наличие процесса оценки результатов взаимодействия.</w:t>
      </w:r>
    </w:p>
    <w:p w14:paraId="393EF236" w14:textId="77777777" w:rsidR="007E6AB7" w:rsidRPr="00A267D0" w:rsidRDefault="007E6AB7" w:rsidP="007E6AB7">
      <w:r w:rsidRPr="00A267D0">
        <w:t>Отбор проекта ГЧП основывается на оценке его эффективности и определении его сравнительного преимущества.</w:t>
      </w:r>
      <w:r>
        <w:t xml:space="preserve"> Это процедура является двухэтапной. На первом этапе осуществляется оценка эффективности проекта посредством двух критериев: финансовой эффективности и социально-экономического эффекта от реализации проекта ГЧП. На втором этапе осуществляется рассмотрение проекта ГЧП на его сравнительное преимущество. </w:t>
      </w:r>
    </w:p>
    <w:p w14:paraId="2BAB2818" w14:textId="77777777" w:rsidR="007E6AB7" w:rsidRDefault="007E6AB7" w:rsidP="00486867">
      <w:pPr>
        <w:pStyle w:val="af5"/>
        <w:numPr>
          <w:ilvl w:val="0"/>
          <w:numId w:val="12"/>
        </w:numPr>
        <w:rPr>
          <w:rFonts w:cs="Times New Roman"/>
          <w:szCs w:val="24"/>
          <w:u w:val="single"/>
        </w:rPr>
      </w:pPr>
      <w:r w:rsidRPr="00572450">
        <w:rPr>
          <w:rFonts w:cs="Times New Roman"/>
          <w:szCs w:val="24"/>
          <w:u w:val="single"/>
        </w:rPr>
        <w:t>Наличие условия и порядка возникновения права ч</w:t>
      </w:r>
      <w:r>
        <w:rPr>
          <w:rFonts w:cs="Times New Roman"/>
          <w:szCs w:val="24"/>
          <w:u w:val="single"/>
        </w:rPr>
        <w:t xml:space="preserve">астной собственности на объект, </w:t>
      </w:r>
      <w:r w:rsidRPr="00572450">
        <w:rPr>
          <w:rFonts w:cs="Times New Roman"/>
          <w:szCs w:val="24"/>
          <w:u w:val="single"/>
        </w:rPr>
        <w:t>если пред</w:t>
      </w:r>
      <w:r>
        <w:rPr>
          <w:rFonts w:cs="Times New Roman"/>
          <w:szCs w:val="24"/>
          <w:u w:val="single"/>
        </w:rPr>
        <w:t>усмотрено формой взаимодействия.</w:t>
      </w:r>
    </w:p>
    <w:p w14:paraId="602DF9CF" w14:textId="5559C94A" w:rsidR="007E6AB7" w:rsidRDefault="007E6AB7" w:rsidP="007E6AB7">
      <w:r>
        <w:t>В</w:t>
      </w:r>
      <w:r w:rsidRPr="00E946FF">
        <w:t>озникновение у частного партнера права собственности на объект соглашения при условии обременения объекта соглашения в соответствии с Федеральным законом</w:t>
      </w:r>
      <w:r>
        <w:t xml:space="preserve"> 224-</w:t>
      </w:r>
      <w:r w:rsidR="004551A5">
        <w:t>ФЗ, является</w:t>
      </w:r>
      <w:r>
        <w:t xml:space="preserve"> обязательным элементом соглашения.</w:t>
      </w:r>
    </w:p>
    <w:p w14:paraId="5ED552EA" w14:textId="77777777" w:rsidR="007E6AB7" w:rsidRPr="00E946FF" w:rsidRDefault="007E6AB7" w:rsidP="007E6AB7">
      <w:r>
        <w:t xml:space="preserve">Одним из существенных условий, которое </w:t>
      </w:r>
      <w:r w:rsidRPr="00A259E1">
        <w:t xml:space="preserve">Соглашение должно включать в себя </w:t>
      </w:r>
      <w:r>
        <w:t xml:space="preserve">является: </w:t>
      </w:r>
      <w:r w:rsidRPr="00A259E1">
        <w:t>условие и порядок возникновения права частной собственности на объект соглашения</w:t>
      </w:r>
      <w:r>
        <w:t xml:space="preserve"> (гл. 3 ст. 12 224-ФЗ).</w:t>
      </w:r>
    </w:p>
    <w:p w14:paraId="38DAB73F" w14:textId="77777777" w:rsidR="007E6AB7" w:rsidRDefault="007E6AB7" w:rsidP="00486867">
      <w:pPr>
        <w:pStyle w:val="af5"/>
        <w:numPr>
          <w:ilvl w:val="0"/>
          <w:numId w:val="12"/>
        </w:numPr>
        <w:rPr>
          <w:rFonts w:cs="Times New Roman"/>
          <w:szCs w:val="24"/>
          <w:u w:val="single"/>
        </w:rPr>
      </w:pPr>
      <w:r w:rsidRPr="00463C49">
        <w:rPr>
          <w:rFonts w:cs="Times New Roman"/>
          <w:szCs w:val="24"/>
          <w:u w:val="single"/>
        </w:rPr>
        <w:t>Наличие государственных гарантий.</w:t>
      </w:r>
    </w:p>
    <w:p w14:paraId="39B4B65E" w14:textId="77777777" w:rsidR="007E6AB7" w:rsidRPr="00842223" w:rsidRDefault="007E6AB7" w:rsidP="007E6AB7">
      <w:r w:rsidRPr="00842223">
        <w:t>Гарантии</w:t>
      </w:r>
      <w:r>
        <w:t>,</w:t>
      </w:r>
      <w:r w:rsidRPr="00842223">
        <w:t xml:space="preserve"> предоставляемые частному партнеру</w:t>
      </w:r>
      <w:r>
        <w:t xml:space="preserve"> в рамках СГЧП/СМЧП,</w:t>
      </w:r>
      <w:r w:rsidRPr="00842223">
        <w:t xml:space="preserve"> отражены в ст. 15 Федерально закона 224-ФЗ. </w:t>
      </w:r>
      <w:r>
        <w:t>Рассмотрим некоторые из них:</w:t>
      </w:r>
    </w:p>
    <w:p w14:paraId="64C4FCC1" w14:textId="77777777" w:rsidR="007E6AB7" w:rsidRDefault="007E6AB7" w:rsidP="007E6AB7">
      <w:r w:rsidRPr="00463C49">
        <w:lastRenderedPageBreak/>
        <w:t>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14:paraId="74215253" w14:textId="77777777" w:rsidR="007E6AB7" w:rsidRDefault="007E6AB7" w:rsidP="007E6AB7">
      <w:r w:rsidRPr="00463C49">
        <w:t>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w:t>
      </w:r>
    </w:p>
    <w:p w14:paraId="3D602EAB" w14:textId="77777777" w:rsidR="007E6AB7" w:rsidRPr="00463C49" w:rsidRDefault="007E6AB7" w:rsidP="007E6AB7">
      <w:r w:rsidRPr="00463C49">
        <w:t>Соглашением могут быть установлены также иные гарантии прав частного партнера, не противоречащие</w:t>
      </w:r>
      <w:r>
        <w:t xml:space="preserve"> </w:t>
      </w:r>
      <w:r w:rsidRPr="00463C49">
        <w:t>Федеральному закону</w:t>
      </w:r>
      <w:r>
        <w:t xml:space="preserve"> 224-ФЗ</w:t>
      </w:r>
      <w:r w:rsidRPr="00463C49">
        <w:t xml:space="preserve">, другим федеральным законам, иным нормативным правовым актам </w:t>
      </w:r>
      <w:r>
        <w:t>РФ</w:t>
      </w:r>
      <w:r w:rsidRPr="00463C49">
        <w:t>, нормативным правовым актам суб</w:t>
      </w:r>
      <w:r>
        <w:t>ъектов РФ</w:t>
      </w:r>
      <w:r w:rsidRPr="00463C49">
        <w:t>, муниципальным правовым актам.</w:t>
      </w:r>
    </w:p>
    <w:p w14:paraId="2DEB1AFB" w14:textId="77777777" w:rsidR="007E6AB7" w:rsidRDefault="007E6AB7" w:rsidP="00486867">
      <w:pPr>
        <w:pStyle w:val="af5"/>
        <w:numPr>
          <w:ilvl w:val="0"/>
          <w:numId w:val="12"/>
        </w:numPr>
        <w:rPr>
          <w:rFonts w:cs="Times New Roman"/>
          <w:szCs w:val="24"/>
          <w:u w:val="single"/>
        </w:rPr>
      </w:pPr>
      <w:r w:rsidRPr="00572450">
        <w:rPr>
          <w:rFonts w:cs="Times New Roman"/>
          <w:szCs w:val="24"/>
          <w:u w:val="single"/>
        </w:rPr>
        <w:t xml:space="preserve">Формы </w:t>
      </w:r>
      <w:r>
        <w:rPr>
          <w:rFonts w:cs="Times New Roman"/>
          <w:szCs w:val="24"/>
          <w:u w:val="single"/>
        </w:rPr>
        <w:t>и методы вознаграждение бизнеса.</w:t>
      </w:r>
    </w:p>
    <w:p w14:paraId="2F76E640" w14:textId="77777777" w:rsidR="007E6AB7" w:rsidRPr="008E6144" w:rsidRDefault="007E6AB7" w:rsidP="00486867">
      <w:pPr>
        <w:pStyle w:val="af5"/>
        <w:numPr>
          <w:ilvl w:val="0"/>
          <w:numId w:val="20"/>
        </w:numPr>
        <w:rPr>
          <w:rFonts w:cs="Times New Roman"/>
          <w:bCs/>
          <w:szCs w:val="24"/>
        </w:rPr>
      </w:pPr>
      <w:r w:rsidRPr="008E6144">
        <w:rPr>
          <w:rFonts w:cs="Times New Roman"/>
          <w:bCs/>
          <w:szCs w:val="24"/>
        </w:rPr>
        <w:t>Прямой сбор платы с пользователей;</w:t>
      </w:r>
    </w:p>
    <w:p w14:paraId="7F6C01A2" w14:textId="77777777" w:rsidR="007E6AB7" w:rsidRDefault="007E6AB7" w:rsidP="00486867">
      <w:pPr>
        <w:pStyle w:val="af5"/>
        <w:numPr>
          <w:ilvl w:val="0"/>
          <w:numId w:val="20"/>
        </w:numPr>
        <w:rPr>
          <w:rFonts w:cs="Times New Roman"/>
          <w:bCs/>
          <w:szCs w:val="24"/>
        </w:rPr>
      </w:pPr>
      <w:r w:rsidRPr="008E6144">
        <w:rPr>
          <w:rFonts w:cs="Times New Roman"/>
          <w:bCs/>
          <w:szCs w:val="24"/>
        </w:rPr>
        <w:t>Плата за доступность/плата за эксплуатационную готовность – выплачивается публичной стороной соглашения;</w:t>
      </w:r>
    </w:p>
    <w:p w14:paraId="6D87A2A1" w14:textId="77777777" w:rsidR="007E6AB7" w:rsidRDefault="007E6AB7" w:rsidP="00486867">
      <w:pPr>
        <w:pStyle w:val="af5"/>
        <w:numPr>
          <w:ilvl w:val="0"/>
          <w:numId w:val="20"/>
        </w:numPr>
        <w:rPr>
          <w:rFonts w:cs="Times New Roman"/>
          <w:bCs/>
          <w:szCs w:val="24"/>
        </w:rPr>
      </w:pPr>
      <w:r>
        <w:rPr>
          <w:rFonts w:cs="Times New Roman"/>
          <w:bCs/>
          <w:szCs w:val="24"/>
        </w:rPr>
        <w:t xml:space="preserve">Скрытые платежи (рассчитываются исходя из объема оказанных услуг) - </w:t>
      </w:r>
      <w:r w:rsidRPr="008E6144">
        <w:rPr>
          <w:rFonts w:cs="Times New Roman"/>
          <w:bCs/>
          <w:szCs w:val="24"/>
        </w:rPr>
        <w:t>выплачивается публичной стороной соглашения;</w:t>
      </w:r>
    </w:p>
    <w:p w14:paraId="0776E138" w14:textId="77777777" w:rsidR="007E6AB7" w:rsidRDefault="007E6AB7" w:rsidP="00486867">
      <w:pPr>
        <w:pStyle w:val="af5"/>
        <w:numPr>
          <w:ilvl w:val="0"/>
          <w:numId w:val="20"/>
        </w:numPr>
        <w:rPr>
          <w:rFonts w:cs="Times New Roman"/>
          <w:bCs/>
          <w:szCs w:val="24"/>
        </w:rPr>
      </w:pPr>
      <w:r>
        <w:rPr>
          <w:rFonts w:cs="Times New Roman"/>
          <w:bCs/>
          <w:szCs w:val="24"/>
        </w:rPr>
        <w:t xml:space="preserve">Плата за эффективность – </w:t>
      </w:r>
      <w:r w:rsidRPr="008E6144">
        <w:rPr>
          <w:rFonts w:cs="Times New Roman"/>
          <w:bCs/>
          <w:szCs w:val="24"/>
        </w:rPr>
        <w:t>выплачивается публичной стороной соглашения</w:t>
      </w:r>
      <w:r>
        <w:rPr>
          <w:rFonts w:cs="Times New Roman"/>
          <w:bCs/>
          <w:szCs w:val="24"/>
        </w:rPr>
        <w:t>, а размер платы зависит от эффективности деятельности частного партнера</w:t>
      </w:r>
      <w:r w:rsidRPr="008E6144">
        <w:rPr>
          <w:rFonts w:cs="Times New Roman"/>
          <w:bCs/>
          <w:szCs w:val="24"/>
        </w:rPr>
        <w:t>;</w:t>
      </w:r>
    </w:p>
    <w:p w14:paraId="76AAD604" w14:textId="77777777" w:rsidR="007E6AB7" w:rsidRDefault="007E6AB7" w:rsidP="00486867">
      <w:pPr>
        <w:pStyle w:val="af5"/>
        <w:numPr>
          <w:ilvl w:val="0"/>
          <w:numId w:val="20"/>
        </w:numPr>
        <w:rPr>
          <w:rFonts w:cs="Times New Roman"/>
          <w:bCs/>
          <w:szCs w:val="24"/>
        </w:rPr>
      </w:pPr>
      <w:r>
        <w:rPr>
          <w:rFonts w:cs="Times New Roman"/>
          <w:bCs/>
          <w:szCs w:val="24"/>
        </w:rPr>
        <w:t xml:space="preserve">Минимальный гарантированный доход – </w:t>
      </w:r>
      <w:r w:rsidRPr="008E6144">
        <w:rPr>
          <w:rFonts w:cs="Times New Roman"/>
          <w:bCs/>
          <w:szCs w:val="24"/>
        </w:rPr>
        <w:t>выплачивается публичной стороной соглашения</w:t>
      </w:r>
      <w:r>
        <w:rPr>
          <w:rFonts w:cs="Times New Roman"/>
          <w:bCs/>
          <w:szCs w:val="24"/>
        </w:rPr>
        <w:t xml:space="preserve">, в случае </w:t>
      </w:r>
      <w:proofErr w:type="spellStart"/>
      <w:r>
        <w:rPr>
          <w:rFonts w:cs="Times New Roman"/>
          <w:bCs/>
          <w:szCs w:val="24"/>
        </w:rPr>
        <w:t>недополучения</w:t>
      </w:r>
      <w:proofErr w:type="spellEnd"/>
      <w:r>
        <w:rPr>
          <w:rFonts w:cs="Times New Roman"/>
          <w:bCs/>
          <w:szCs w:val="24"/>
        </w:rPr>
        <w:t xml:space="preserve"> частным партнером дохода при эксплуатации объекта ГЧП, в том размере, который был согласован в соглашении;</w:t>
      </w:r>
    </w:p>
    <w:p w14:paraId="12E14BE5" w14:textId="77777777" w:rsidR="007E6AB7" w:rsidRDefault="007E6AB7" w:rsidP="00486867">
      <w:pPr>
        <w:pStyle w:val="af5"/>
        <w:numPr>
          <w:ilvl w:val="0"/>
          <w:numId w:val="20"/>
        </w:numPr>
        <w:rPr>
          <w:rFonts w:cs="Times New Roman"/>
          <w:bCs/>
          <w:szCs w:val="24"/>
        </w:rPr>
      </w:pPr>
      <w:r>
        <w:rPr>
          <w:rFonts w:cs="Times New Roman"/>
          <w:bCs/>
          <w:szCs w:val="24"/>
        </w:rPr>
        <w:t>Механизм распределения дохода – «сверхдоход», полученный от эксплуатации объекта ГЧП, распределяется между сторонами в заранее согласованном размере;</w:t>
      </w:r>
    </w:p>
    <w:p w14:paraId="68294E28" w14:textId="77777777" w:rsidR="007E6AB7" w:rsidRPr="008E6144" w:rsidRDefault="007E6AB7" w:rsidP="00486867">
      <w:pPr>
        <w:pStyle w:val="af5"/>
        <w:numPr>
          <w:ilvl w:val="0"/>
          <w:numId w:val="20"/>
        </w:numPr>
        <w:rPr>
          <w:rFonts w:cs="Times New Roman"/>
          <w:bCs/>
          <w:szCs w:val="24"/>
        </w:rPr>
      </w:pPr>
      <w:r>
        <w:rPr>
          <w:rFonts w:cs="Times New Roman"/>
          <w:bCs/>
          <w:szCs w:val="24"/>
        </w:rPr>
        <w:t>Гибридная форма вознаграждения – комбинации 2-3 вышеперечисленных форм вознаграждения.</w:t>
      </w:r>
    </w:p>
    <w:p w14:paraId="13A836B1" w14:textId="77777777" w:rsidR="007E6AB7" w:rsidRDefault="007E6AB7" w:rsidP="00486867">
      <w:pPr>
        <w:pStyle w:val="af5"/>
        <w:numPr>
          <w:ilvl w:val="0"/>
          <w:numId w:val="12"/>
        </w:numPr>
        <w:rPr>
          <w:rFonts w:cs="Times New Roman"/>
          <w:szCs w:val="24"/>
          <w:u w:val="single"/>
        </w:rPr>
      </w:pPr>
      <w:r w:rsidRPr="00572450">
        <w:rPr>
          <w:rFonts w:cs="Times New Roman"/>
          <w:szCs w:val="24"/>
          <w:u w:val="single"/>
        </w:rPr>
        <w:lastRenderedPageBreak/>
        <w:t>Сторона(-ы) осуществляющая(-</w:t>
      </w:r>
      <w:proofErr w:type="spellStart"/>
      <w:r w:rsidRPr="00572450">
        <w:rPr>
          <w:rFonts w:cs="Times New Roman"/>
          <w:szCs w:val="24"/>
          <w:u w:val="single"/>
        </w:rPr>
        <w:t>ие</w:t>
      </w:r>
      <w:proofErr w:type="spellEnd"/>
      <w:r w:rsidRPr="00572450">
        <w:rPr>
          <w:rFonts w:cs="Times New Roman"/>
          <w:szCs w:val="24"/>
          <w:u w:val="single"/>
        </w:rPr>
        <w:t>) со</w:t>
      </w:r>
      <w:r>
        <w:rPr>
          <w:rFonts w:cs="Times New Roman"/>
          <w:szCs w:val="24"/>
          <w:u w:val="single"/>
        </w:rPr>
        <w:t>держание и эксплуатацию объекта.</w:t>
      </w:r>
    </w:p>
    <w:p w14:paraId="3746D5D4" w14:textId="77777777" w:rsidR="007E6AB7" w:rsidRDefault="007E6AB7" w:rsidP="007E6AB7">
      <w:r w:rsidRPr="00C845A2">
        <w:t>На время действия СГЧП, СМЧП – частный партнер берет на себя обязательства по содержанию, эксплуатации и/или техническому обслуживанию объекта соглашения.</w:t>
      </w:r>
    </w:p>
    <w:p w14:paraId="664710AA" w14:textId="77777777" w:rsidR="007E6AB7" w:rsidRPr="00572450" w:rsidRDefault="007E6AB7" w:rsidP="00486867">
      <w:pPr>
        <w:pStyle w:val="af5"/>
        <w:numPr>
          <w:ilvl w:val="0"/>
          <w:numId w:val="12"/>
        </w:numPr>
        <w:rPr>
          <w:rFonts w:cs="Times New Roman"/>
          <w:szCs w:val="24"/>
          <w:u w:val="single"/>
        </w:rPr>
      </w:pPr>
      <w:r w:rsidRPr="00572450">
        <w:rPr>
          <w:rFonts w:cs="Times New Roman"/>
          <w:szCs w:val="24"/>
          <w:u w:val="single"/>
        </w:rPr>
        <w:t>Ключевые сферы применения взаимодействия.</w:t>
      </w:r>
    </w:p>
    <w:p w14:paraId="4F5746AA" w14:textId="5D5A3B10" w:rsidR="007E6AB7" w:rsidRPr="00CB2D9F" w:rsidRDefault="007E6AB7" w:rsidP="007E6AB7">
      <w:r>
        <w:t xml:space="preserve">Транспортная, социальная сферы, сфера ЖКХ, </w:t>
      </w:r>
      <w:r>
        <w:rPr>
          <w:lang w:val="en-US"/>
        </w:rPr>
        <w:t>IT</w:t>
      </w:r>
      <w:r w:rsidRPr="0038048D">
        <w:t>-</w:t>
      </w:r>
      <w:r w:rsidR="00C76CE0">
        <w:t>сфера, сфера физической культуры и спорта.</w:t>
      </w:r>
    </w:p>
    <w:p w14:paraId="623EB9BA" w14:textId="77777777" w:rsidR="007E6AB7" w:rsidRDefault="007E6AB7" w:rsidP="000B06CB">
      <w:pPr>
        <w:ind w:firstLine="0"/>
        <w:rPr>
          <w:b/>
          <w:i/>
        </w:rPr>
      </w:pPr>
      <w:r w:rsidRPr="007A0288">
        <w:rPr>
          <w:b/>
          <w:i/>
        </w:rPr>
        <w:t xml:space="preserve">Специальный инвестиционный контракт </w:t>
      </w:r>
      <w:r>
        <w:rPr>
          <w:b/>
          <w:i/>
        </w:rPr>
        <w:t>(СПИК)</w:t>
      </w:r>
    </w:p>
    <w:p w14:paraId="1B6809D6" w14:textId="77777777" w:rsidR="007E6AB7" w:rsidRDefault="007E6AB7" w:rsidP="00486867">
      <w:pPr>
        <w:pStyle w:val="af5"/>
        <w:numPr>
          <w:ilvl w:val="0"/>
          <w:numId w:val="14"/>
        </w:numPr>
        <w:rPr>
          <w:rFonts w:cs="Times New Roman"/>
          <w:szCs w:val="24"/>
          <w:u w:val="single"/>
        </w:rPr>
      </w:pPr>
      <w:r w:rsidRPr="007A0288">
        <w:rPr>
          <w:rFonts w:cs="Times New Roman"/>
          <w:b/>
          <w:i/>
          <w:szCs w:val="24"/>
        </w:rPr>
        <w:t xml:space="preserve"> </w:t>
      </w:r>
      <w:r w:rsidRPr="007A0288">
        <w:rPr>
          <w:rFonts w:cs="Times New Roman"/>
          <w:szCs w:val="24"/>
          <w:u w:val="single"/>
        </w:rPr>
        <w:t>Правовая основа</w:t>
      </w:r>
      <w:r>
        <w:rPr>
          <w:rFonts w:cs="Times New Roman"/>
          <w:szCs w:val="24"/>
          <w:u w:val="single"/>
        </w:rPr>
        <w:t xml:space="preserve"> формы взаимодействия.</w:t>
      </w:r>
    </w:p>
    <w:p w14:paraId="2B74A64D" w14:textId="1727EE1A" w:rsidR="007E6AB7" w:rsidRDefault="007E6AB7" w:rsidP="00E62D3D">
      <w:r>
        <w:t xml:space="preserve">В основном </w:t>
      </w:r>
      <w:r w:rsidRPr="00CB2D9F">
        <w:t>СПИК</w:t>
      </w:r>
      <w:r>
        <w:t xml:space="preserve"> регулируется Федеральным законом от 31 декабря 2014 «О промышленной политике в Российской Федерации» № 488-ФЗ</w:t>
      </w:r>
      <w:r w:rsidR="00C665B3">
        <w:rPr>
          <w:rStyle w:val="afa"/>
        </w:rPr>
        <w:footnoteReference w:id="31"/>
      </w:r>
      <w:r>
        <w:t xml:space="preserve"> (СПИК 1.0). П</w:t>
      </w:r>
      <w:r w:rsidRPr="00740E2B">
        <w:t>равила заключения СПИК закреплены в постановлении Правительства Российской Фед</w:t>
      </w:r>
      <w:r>
        <w:t>ерации от 16 июля 2015 г. № 708 «О специальных инвестиционных контрактах для отде</w:t>
      </w:r>
      <w:r w:rsidR="00CA1A8C">
        <w:t>льных отраслей промышленности»</w:t>
      </w:r>
      <w:r w:rsidR="00CA1A8C">
        <w:rPr>
          <w:rStyle w:val="afa"/>
        </w:rPr>
        <w:footnoteReference w:id="32"/>
      </w:r>
      <w:r w:rsidR="00E62D3D">
        <w:t xml:space="preserve">. </w:t>
      </w:r>
      <w:r w:rsidRPr="00D81EE9">
        <w:t>О</w:t>
      </w:r>
      <w:r>
        <w:t xml:space="preserve">днако, в связи с вступлением в силу нового Федерального закона от </w:t>
      </w:r>
      <w:r w:rsidRPr="00D81EE9">
        <w:t xml:space="preserve">13 августа 2019 года </w:t>
      </w:r>
      <w:r>
        <w:t>«</w:t>
      </w:r>
      <w:r w:rsidRPr="00D81EE9">
        <w:t>О внесении из</w:t>
      </w:r>
      <w:r>
        <w:t>менений в Федеральный закон «</w:t>
      </w:r>
      <w:r w:rsidRPr="00D81EE9">
        <w:t xml:space="preserve">О промышленной </w:t>
      </w:r>
      <w:r>
        <w:t>политике в Российской Федерации»</w:t>
      </w:r>
      <w:r w:rsidRPr="00D81EE9">
        <w:t xml:space="preserve"> в части регулирования специальных инвестиционных контрактов</w:t>
      </w:r>
      <w:r>
        <w:t xml:space="preserve">» </w:t>
      </w:r>
      <w:r w:rsidRPr="00D81EE9">
        <w:t>290-ФЗ</w:t>
      </w:r>
      <w:r w:rsidR="00C665B3">
        <w:rPr>
          <w:rStyle w:val="afa"/>
        </w:rPr>
        <w:footnoteReference w:id="33"/>
      </w:r>
      <w:r w:rsidRPr="00D81EE9">
        <w:t>, который вносит существенные изменения в порядок регулирования специа</w:t>
      </w:r>
      <w:r>
        <w:t>льных инвестиционных контрактов, далее будет рассмотрен, так называемый СПИК 2.0</w:t>
      </w:r>
      <w:r w:rsidRPr="00D81EE9">
        <w:t>.</w:t>
      </w:r>
      <w:r>
        <w:t xml:space="preserve"> Контракт, на условиях, установленных 290-ФЗ, можно</w:t>
      </w:r>
      <w:r w:rsidRPr="00EA1522">
        <w:t xml:space="preserve"> будет подписать до 31.12.2030.</w:t>
      </w:r>
    </w:p>
    <w:p w14:paraId="351C95DE" w14:textId="77777777" w:rsidR="007E6AB7" w:rsidRDefault="007E6AB7" w:rsidP="00486867">
      <w:pPr>
        <w:pStyle w:val="af5"/>
        <w:numPr>
          <w:ilvl w:val="0"/>
          <w:numId w:val="14"/>
        </w:numPr>
        <w:rPr>
          <w:rFonts w:cs="Times New Roman"/>
          <w:szCs w:val="24"/>
          <w:u w:val="single"/>
        </w:rPr>
      </w:pPr>
      <w:r w:rsidRPr="007A0288">
        <w:rPr>
          <w:rFonts w:cs="Times New Roman"/>
          <w:szCs w:val="24"/>
          <w:u w:val="single"/>
        </w:rPr>
        <w:t>Субъектный и объектн</w:t>
      </w:r>
      <w:r>
        <w:rPr>
          <w:rFonts w:cs="Times New Roman"/>
          <w:szCs w:val="24"/>
          <w:u w:val="single"/>
        </w:rPr>
        <w:t>ый состав формы взаимодействия.</w:t>
      </w:r>
    </w:p>
    <w:p w14:paraId="24AE25FA" w14:textId="77777777" w:rsidR="007E6AB7" w:rsidRDefault="007E6AB7" w:rsidP="007E6AB7">
      <w:r>
        <w:t xml:space="preserve">Частная сторона (инвестор) – </w:t>
      </w:r>
      <w:r w:rsidRPr="004524D1">
        <w:t>российские либо иностранные юридические лица или индивидуальные предприниматели.</w:t>
      </w:r>
    </w:p>
    <w:p w14:paraId="47F3AC1E" w14:textId="377BF336" w:rsidR="007E6AB7" w:rsidRDefault="007E6AB7" w:rsidP="007E6AB7">
      <w:r>
        <w:t>Публичная сторона –</w:t>
      </w:r>
      <w:r w:rsidR="00764468">
        <w:t xml:space="preserve"> </w:t>
      </w:r>
      <w:r w:rsidR="00170E99">
        <w:t>ее в обязательном порядке должны представлять одновременно публично-правовые образования всех уровней власти</w:t>
      </w:r>
      <w:r>
        <w:t xml:space="preserve">: федерального, </w:t>
      </w:r>
      <w:r w:rsidR="00764468">
        <w:t>регионального и муниципального. В большинстве случае участником является Министерство промышленности и торговли.</w:t>
      </w:r>
    </w:p>
    <w:p w14:paraId="6A1ED73F" w14:textId="77777777" w:rsidR="007E6AB7" w:rsidRPr="009C733F" w:rsidRDefault="007E6AB7" w:rsidP="007E6AB7">
      <w:r>
        <w:t xml:space="preserve">Объект контракта – </w:t>
      </w:r>
      <w:r w:rsidRPr="004524D1">
        <w:t>инвестиционный проект по внедрению или разработке и внедрению технологии</w:t>
      </w:r>
      <w:r>
        <w:t>, указанных в частях 2,3 ст. 18 Федерального закона 448-ФЗ,</w:t>
      </w:r>
      <w:r w:rsidRPr="004524D1">
        <w:t xml:space="preserve"> в целях </w:t>
      </w:r>
      <w:r w:rsidRPr="004524D1">
        <w:lastRenderedPageBreak/>
        <w:t>освоения серийного производства промышленной продукции на основе указанной технологии</w:t>
      </w:r>
      <w:r>
        <w:t>.</w:t>
      </w:r>
    </w:p>
    <w:p w14:paraId="1861BF08" w14:textId="77777777" w:rsidR="007E6AB7" w:rsidRDefault="007E6AB7" w:rsidP="00486867">
      <w:pPr>
        <w:pStyle w:val="af5"/>
        <w:numPr>
          <w:ilvl w:val="0"/>
          <w:numId w:val="14"/>
        </w:numPr>
        <w:rPr>
          <w:rFonts w:cs="Times New Roman"/>
          <w:szCs w:val="24"/>
          <w:u w:val="single"/>
        </w:rPr>
      </w:pPr>
      <w:r>
        <w:rPr>
          <w:rFonts w:cs="Times New Roman"/>
          <w:szCs w:val="24"/>
          <w:u w:val="single"/>
        </w:rPr>
        <w:t>Цель взаимодействия для сторон.</w:t>
      </w:r>
    </w:p>
    <w:p w14:paraId="78EA5EF5" w14:textId="77777777" w:rsidR="007E6AB7" w:rsidRPr="004B4FB5" w:rsidRDefault="007E6AB7" w:rsidP="007E6AB7">
      <w:r w:rsidRPr="004B4FB5">
        <w:t>Цель для частного партнера: стабильность н</w:t>
      </w:r>
      <w:r>
        <w:t>алоговых и регуляторных условий; возможность получения определенных мер государственной поддержки в упрощенном порядке.</w:t>
      </w:r>
    </w:p>
    <w:p w14:paraId="5249E107" w14:textId="77777777" w:rsidR="007E6AB7" w:rsidRPr="00601745" w:rsidRDefault="007E6AB7" w:rsidP="007E6AB7">
      <w:r w:rsidRPr="00601745">
        <w:t>Цель для публичного партнера:</w:t>
      </w:r>
      <w:r>
        <w:t xml:space="preserve"> привлечение долгосрочных негосударственных</w:t>
      </w:r>
      <w:r w:rsidRPr="00601745">
        <w:t xml:space="preserve"> инве</w:t>
      </w:r>
      <w:r>
        <w:t>стиций</w:t>
      </w:r>
      <w:r w:rsidRPr="00601745">
        <w:t xml:space="preserve"> в высокотехнологичные проекты.</w:t>
      </w:r>
      <w:r>
        <w:t xml:space="preserve"> То есть в конечном этого, экономический эффект от использования данной формы взаимодействия заключается в создании добавочного продукта, новых рабочих мест на территории страны, налоговых поступлений в бюджет от новых инвесторов.</w:t>
      </w:r>
      <w:r>
        <w:rPr>
          <w:rStyle w:val="afa"/>
        </w:rPr>
        <w:footnoteReference w:id="34"/>
      </w:r>
    </w:p>
    <w:p w14:paraId="774AA57A" w14:textId="77777777" w:rsidR="007E6AB7" w:rsidRDefault="007E6AB7" w:rsidP="00486867">
      <w:pPr>
        <w:pStyle w:val="af5"/>
        <w:numPr>
          <w:ilvl w:val="0"/>
          <w:numId w:val="14"/>
        </w:numPr>
        <w:rPr>
          <w:rFonts w:cs="Times New Roman"/>
          <w:szCs w:val="24"/>
          <w:u w:val="single"/>
        </w:rPr>
      </w:pPr>
      <w:r w:rsidRPr="007A0288">
        <w:rPr>
          <w:rFonts w:cs="Times New Roman"/>
          <w:szCs w:val="24"/>
          <w:u w:val="single"/>
        </w:rPr>
        <w:t>П</w:t>
      </w:r>
      <w:r>
        <w:rPr>
          <w:rFonts w:cs="Times New Roman"/>
          <w:szCs w:val="24"/>
          <w:u w:val="single"/>
        </w:rPr>
        <w:t>родолжительность взаимодействия.</w:t>
      </w:r>
    </w:p>
    <w:p w14:paraId="05BB34A8" w14:textId="77777777" w:rsidR="007E6AB7" w:rsidRPr="00740E2B" w:rsidRDefault="007E6AB7" w:rsidP="007E6AB7">
      <w:r w:rsidRPr="00EA1522">
        <w:t>СПИК 2.0 можно заключать на срок не более чем 15 лет для реализации проектов, объем инвестиций, по которым не более 50 млрд руб. (без учета НДС), или не более чем 20 лет для реализации проектов, объем инвестиций, по которым превышает 50 млрд руб. (без учета НДС). При этом требования к минимальному размеру инвестиций отменили.</w:t>
      </w:r>
    </w:p>
    <w:p w14:paraId="6B1D57F1" w14:textId="77777777" w:rsidR="007E6AB7" w:rsidRDefault="007E6AB7" w:rsidP="00486867">
      <w:pPr>
        <w:pStyle w:val="af5"/>
        <w:numPr>
          <w:ilvl w:val="0"/>
          <w:numId w:val="14"/>
        </w:numPr>
        <w:rPr>
          <w:rFonts w:cs="Times New Roman"/>
          <w:szCs w:val="24"/>
          <w:u w:val="single"/>
        </w:rPr>
      </w:pPr>
      <w:r w:rsidRPr="007A0288">
        <w:rPr>
          <w:rFonts w:cs="Times New Roman"/>
          <w:szCs w:val="24"/>
          <w:u w:val="single"/>
        </w:rPr>
        <w:t xml:space="preserve">Сторона(-ы) осуществляющие финансирование </w:t>
      </w:r>
      <w:r>
        <w:rPr>
          <w:rFonts w:cs="Times New Roman"/>
          <w:szCs w:val="24"/>
          <w:u w:val="single"/>
        </w:rPr>
        <w:t>и возможные виды финансирования.</w:t>
      </w:r>
    </w:p>
    <w:p w14:paraId="5FC3B8D4" w14:textId="77777777" w:rsidR="007E6AB7" w:rsidRDefault="007E6AB7" w:rsidP="007E6AB7">
      <w:r w:rsidRPr="004524D1">
        <w:t xml:space="preserve">Инвестор </w:t>
      </w:r>
      <w:r>
        <w:t xml:space="preserve">использует </w:t>
      </w:r>
      <w:r w:rsidRPr="004524D1">
        <w:t>собственные и (или) привлеченные средства</w:t>
      </w:r>
      <w:r>
        <w:t xml:space="preserve"> в целях реализации обязательств по контракту.</w:t>
      </w:r>
    </w:p>
    <w:p w14:paraId="729675A7" w14:textId="77777777" w:rsidR="007E6AB7" w:rsidRPr="004524D1" w:rsidRDefault="007E6AB7" w:rsidP="007E6AB7">
      <w:r>
        <w:t>При этом предусмотрена финансовая поддержка проекта: предоставление бюджетных субсидий на долгосрочной основе (более чем на один бюджетный период).</w:t>
      </w:r>
    </w:p>
    <w:p w14:paraId="112C834E" w14:textId="77777777" w:rsidR="007E6AB7" w:rsidRDefault="007E6AB7" w:rsidP="00486867">
      <w:pPr>
        <w:pStyle w:val="af5"/>
        <w:numPr>
          <w:ilvl w:val="0"/>
          <w:numId w:val="14"/>
        </w:numPr>
        <w:rPr>
          <w:rFonts w:cs="Times New Roman"/>
          <w:szCs w:val="24"/>
          <w:u w:val="single"/>
        </w:rPr>
      </w:pPr>
      <w:r w:rsidRPr="007A0288">
        <w:rPr>
          <w:rFonts w:cs="Times New Roman"/>
          <w:szCs w:val="24"/>
          <w:u w:val="single"/>
        </w:rPr>
        <w:t>Наличие оценк</w:t>
      </w:r>
      <w:r>
        <w:rPr>
          <w:rFonts w:cs="Times New Roman"/>
          <w:szCs w:val="24"/>
          <w:u w:val="single"/>
        </w:rPr>
        <w:t>и эффективности взаимодействия.</w:t>
      </w:r>
    </w:p>
    <w:p w14:paraId="73B5EFB8" w14:textId="77777777" w:rsidR="007E6AB7" w:rsidRPr="00354B80" w:rsidRDefault="007E6AB7" w:rsidP="007E6AB7">
      <w:r>
        <w:t>Предложенные инвестором условия по СПИК рассматривает Межведомственная комиссия, которая впоследствии готовит заключение о возможности (невозможности) заключения данного контракта. Комиссия сопоставляет предложенные условия с экономической целесообразностью, объемами капиталовложений и сроками осуществления таких капиталовложений, что также должно быть отражено инвестором в бизнес плане.</w:t>
      </w:r>
    </w:p>
    <w:p w14:paraId="2440F238" w14:textId="77777777" w:rsidR="007E6AB7" w:rsidRDefault="007E6AB7" w:rsidP="00486867">
      <w:pPr>
        <w:pStyle w:val="af5"/>
        <w:numPr>
          <w:ilvl w:val="0"/>
          <w:numId w:val="14"/>
        </w:numPr>
        <w:rPr>
          <w:rFonts w:cs="Times New Roman"/>
          <w:szCs w:val="24"/>
          <w:u w:val="single"/>
        </w:rPr>
      </w:pPr>
      <w:r w:rsidRPr="007A0288">
        <w:rPr>
          <w:rFonts w:cs="Times New Roman"/>
          <w:szCs w:val="24"/>
          <w:u w:val="single"/>
        </w:rPr>
        <w:t>Наличие условия и порядка возникновения права частной собственности на объект, если пред</w:t>
      </w:r>
      <w:r>
        <w:rPr>
          <w:rFonts w:cs="Times New Roman"/>
          <w:szCs w:val="24"/>
          <w:u w:val="single"/>
        </w:rPr>
        <w:t>усмотрено формой взаимодействия.</w:t>
      </w:r>
    </w:p>
    <w:p w14:paraId="6A991E11" w14:textId="77777777" w:rsidR="007E6AB7" w:rsidRPr="005A395F" w:rsidRDefault="007E6AB7" w:rsidP="007E6AB7">
      <w:r w:rsidRPr="005A395F">
        <w:t>Право собственности на объект не возникает у инвестора</w:t>
      </w:r>
      <w:r>
        <w:t xml:space="preserve">. Объекты капитального строительства уже существующие или создаваемые в ходе инвестиционного проекта являются объектами, на которые у инвестора есть право собственности. Если </w:t>
      </w:r>
      <w:r w:rsidRPr="005A395F">
        <w:t>инвестор</w:t>
      </w:r>
      <w:r>
        <w:t>у</w:t>
      </w:r>
      <w:r w:rsidRPr="005A395F">
        <w:t xml:space="preserve"> </w:t>
      </w:r>
      <w:r>
        <w:lastRenderedPageBreak/>
        <w:t xml:space="preserve">необходимо использовать </w:t>
      </w:r>
      <w:r w:rsidRPr="005A395F">
        <w:t>для реализации проекта</w:t>
      </w:r>
      <w:r>
        <w:t xml:space="preserve"> какую-либо </w:t>
      </w:r>
      <w:r w:rsidRPr="005A395F">
        <w:t>капитальную инфраструктуру</w:t>
      </w:r>
      <w:r>
        <w:t xml:space="preserve">, которая не находится в собственности инвестора или не планируется к возведению в рамках проекта, инвестор может ее получить </w:t>
      </w:r>
      <w:r w:rsidRPr="005A395F">
        <w:t>посредством заключения договора аренды.</w:t>
      </w:r>
      <w:r>
        <w:t xml:space="preserve"> </w:t>
      </w:r>
    </w:p>
    <w:p w14:paraId="0F235635" w14:textId="77777777" w:rsidR="007E6AB7" w:rsidRDefault="007E6AB7" w:rsidP="00486867">
      <w:pPr>
        <w:pStyle w:val="af5"/>
        <w:numPr>
          <w:ilvl w:val="0"/>
          <w:numId w:val="14"/>
        </w:numPr>
        <w:rPr>
          <w:rFonts w:cs="Times New Roman"/>
          <w:szCs w:val="24"/>
          <w:u w:val="single"/>
        </w:rPr>
      </w:pPr>
      <w:r w:rsidRPr="007A0288">
        <w:rPr>
          <w:rFonts w:cs="Times New Roman"/>
          <w:szCs w:val="24"/>
          <w:u w:val="single"/>
        </w:rPr>
        <w:t>Н</w:t>
      </w:r>
      <w:r>
        <w:rPr>
          <w:rFonts w:cs="Times New Roman"/>
          <w:szCs w:val="24"/>
          <w:u w:val="single"/>
        </w:rPr>
        <w:t>аличие государственных гарантий.</w:t>
      </w:r>
    </w:p>
    <w:p w14:paraId="59AEF589" w14:textId="77777777" w:rsidR="007E6AB7" w:rsidRDefault="007E6AB7" w:rsidP="007E6AB7">
      <w:r w:rsidRPr="00740E2B">
        <w:t>Для инвестора, являющегося стороной специального инвестиционного контракта, и (или) иных указанных в специальном инвестиционном контракте лиц стабильность предусмотренных совокупной налоговой нагрузки, режима, обязательных требований гарантируется на весь срок действия специального инвестиционного контракта.</w:t>
      </w:r>
    </w:p>
    <w:p w14:paraId="280E7125" w14:textId="77777777" w:rsidR="007E6AB7" w:rsidRPr="00740E2B" w:rsidRDefault="007E6AB7" w:rsidP="007E6AB7">
      <w:r>
        <w:t>В обязанности органов публичной власти входит установление режима запретов и ограничений в отношении выполнения инвестиционного контракта, то есть условия, предложенные законодателем не должны ухудшить положение инвестора.</w:t>
      </w:r>
    </w:p>
    <w:p w14:paraId="4D177341" w14:textId="77777777" w:rsidR="007E6AB7" w:rsidRDefault="007E6AB7" w:rsidP="00486867">
      <w:pPr>
        <w:pStyle w:val="af5"/>
        <w:numPr>
          <w:ilvl w:val="0"/>
          <w:numId w:val="14"/>
        </w:numPr>
        <w:rPr>
          <w:rFonts w:cs="Times New Roman"/>
          <w:szCs w:val="24"/>
          <w:u w:val="single"/>
        </w:rPr>
      </w:pPr>
      <w:r w:rsidRPr="007A0288">
        <w:rPr>
          <w:rFonts w:cs="Times New Roman"/>
          <w:szCs w:val="24"/>
          <w:u w:val="single"/>
        </w:rPr>
        <w:t xml:space="preserve">Формы </w:t>
      </w:r>
      <w:r>
        <w:rPr>
          <w:rFonts w:cs="Times New Roman"/>
          <w:szCs w:val="24"/>
          <w:u w:val="single"/>
        </w:rPr>
        <w:t>и методы вознаграждение бизнеса.</w:t>
      </w:r>
    </w:p>
    <w:p w14:paraId="17AD6426" w14:textId="77777777" w:rsidR="007E6AB7" w:rsidRDefault="007E6AB7" w:rsidP="007E6AB7">
      <w:r w:rsidRPr="00EA1522">
        <w:t>Участники специальных инвестиционных контрактов получат льготы по налогу на прибыль на весь срок реализации проекта.</w:t>
      </w:r>
    </w:p>
    <w:p w14:paraId="71E7CFFB" w14:textId="77777777" w:rsidR="007E6AB7" w:rsidRDefault="007E6AB7" w:rsidP="007E6AB7">
      <w:r w:rsidRPr="00601745">
        <w:t>Предоставление мер стимулирования будет прекращено, если объем расходов бюджетов всех уровней в отношении проекта превысит 50% объема капитальных вложений в инвестиционный проект, размер которых предусмотрен специальным инвестиционным контрактом.</w:t>
      </w:r>
    </w:p>
    <w:p w14:paraId="6522C9A4" w14:textId="77777777" w:rsidR="007E6AB7" w:rsidRDefault="007E6AB7" w:rsidP="007E6AB7">
      <w:r w:rsidRPr="00EA1522">
        <w:t>СПИК 2.0 не предусматривает каких-либо дополнительных мер поддержки ил</w:t>
      </w:r>
      <w:r>
        <w:t xml:space="preserve">и стимулирования для инвесторов </w:t>
      </w:r>
      <w:r w:rsidRPr="00EA1522">
        <w:t xml:space="preserve">по сравнению со СПИК 1.0. </w:t>
      </w:r>
    </w:p>
    <w:p w14:paraId="029E835B" w14:textId="77777777" w:rsidR="007E6AB7" w:rsidRPr="005A395F" w:rsidRDefault="007E6AB7" w:rsidP="00486867">
      <w:pPr>
        <w:pStyle w:val="af5"/>
        <w:numPr>
          <w:ilvl w:val="0"/>
          <w:numId w:val="14"/>
        </w:numPr>
        <w:rPr>
          <w:rFonts w:cs="Times New Roman"/>
          <w:szCs w:val="24"/>
          <w:u w:val="single"/>
        </w:rPr>
      </w:pPr>
      <w:r w:rsidRPr="007A0288">
        <w:rPr>
          <w:rFonts w:cs="Times New Roman"/>
          <w:szCs w:val="24"/>
          <w:u w:val="single"/>
        </w:rPr>
        <w:t>Сторона(-ы) осуществляющая(-</w:t>
      </w:r>
      <w:proofErr w:type="spellStart"/>
      <w:r w:rsidRPr="007A0288">
        <w:rPr>
          <w:rFonts w:cs="Times New Roman"/>
          <w:szCs w:val="24"/>
          <w:u w:val="single"/>
        </w:rPr>
        <w:t>ие</w:t>
      </w:r>
      <w:proofErr w:type="spellEnd"/>
      <w:r w:rsidRPr="007A0288">
        <w:rPr>
          <w:rFonts w:cs="Times New Roman"/>
          <w:szCs w:val="24"/>
          <w:u w:val="single"/>
        </w:rPr>
        <w:t>) со</w:t>
      </w:r>
      <w:r>
        <w:rPr>
          <w:rFonts w:cs="Times New Roman"/>
          <w:szCs w:val="24"/>
          <w:u w:val="single"/>
        </w:rPr>
        <w:t>держание и эксплуатацию объекта.</w:t>
      </w:r>
    </w:p>
    <w:p w14:paraId="1621E751" w14:textId="77777777" w:rsidR="007E6AB7" w:rsidRPr="005A395F" w:rsidRDefault="007E6AB7" w:rsidP="007E6AB7">
      <w:r w:rsidRPr="005A395F">
        <w:t xml:space="preserve">На время и после заключения </w:t>
      </w:r>
      <w:r>
        <w:t>СПИК – инвестор содержит и эксплуатирует объект контракта.</w:t>
      </w:r>
    </w:p>
    <w:p w14:paraId="3E84835A" w14:textId="77777777" w:rsidR="007E6AB7" w:rsidRPr="007A0288" w:rsidRDefault="007E6AB7" w:rsidP="00486867">
      <w:pPr>
        <w:pStyle w:val="af5"/>
        <w:numPr>
          <w:ilvl w:val="0"/>
          <w:numId w:val="14"/>
        </w:numPr>
        <w:rPr>
          <w:rFonts w:cs="Times New Roman"/>
          <w:szCs w:val="24"/>
          <w:u w:val="single"/>
        </w:rPr>
      </w:pPr>
      <w:r w:rsidRPr="007A0288">
        <w:rPr>
          <w:rFonts w:cs="Times New Roman"/>
          <w:szCs w:val="24"/>
          <w:u w:val="single"/>
        </w:rPr>
        <w:t>Ключевые сферы применения взаимодействия.</w:t>
      </w:r>
    </w:p>
    <w:p w14:paraId="7CAFF5EC" w14:textId="4C10A827" w:rsidR="007E6AB7" w:rsidRDefault="007E6AB7" w:rsidP="007E6AB7">
      <w:r>
        <w:t>Б</w:t>
      </w:r>
      <w:r w:rsidRPr="00EA1522">
        <w:t>ольшинство</w:t>
      </w:r>
      <w:r>
        <w:t xml:space="preserve"> СПИК заключено в </w:t>
      </w:r>
      <w:r w:rsidRPr="00EA1522">
        <w:t>химической промышленности и</w:t>
      </w:r>
      <w:r>
        <w:t xml:space="preserve"> в автомобильной промышленности</w:t>
      </w:r>
      <w:r w:rsidRPr="00EA1522">
        <w:t>.</w:t>
      </w:r>
      <w:r w:rsidR="00F1446F">
        <w:t xml:space="preserve"> </w:t>
      </w:r>
      <w:r>
        <w:t>Также популярны проекты в электроэнергетике, транспортной сфере.</w:t>
      </w:r>
    </w:p>
    <w:p w14:paraId="568333AB" w14:textId="4DEAB72D" w:rsidR="00332836" w:rsidRDefault="007E6AB7" w:rsidP="007A2EAC">
      <w:pPr>
        <w:ind w:firstLine="0"/>
        <w:rPr>
          <w:b/>
          <w:i/>
          <w:color w:val="000000" w:themeColor="text1"/>
        </w:rPr>
      </w:pPr>
      <w:r w:rsidRPr="004B4FB5">
        <w:rPr>
          <w:b/>
          <w:i/>
          <w:color w:val="000000" w:themeColor="text1"/>
        </w:rPr>
        <w:t>Соглашение о социально-экономиче</w:t>
      </w:r>
      <w:r>
        <w:rPr>
          <w:b/>
          <w:i/>
          <w:color w:val="000000" w:themeColor="text1"/>
        </w:rPr>
        <w:t>ском сотрудничестве</w:t>
      </w:r>
    </w:p>
    <w:p w14:paraId="5C83BDBA" w14:textId="493564DE" w:rsidR="007E6AB7" w:rsidRDefault="007E6AB7" w:rsidP="00486867">
      <w:pPr>
        <w:pStyle w:val="af5"/>
        <w:numPr>
          <w:ilvl w:val="0"/>
          <w:numId w:val="15"/>
        </w:numPr>
        <w:rPr>
          <w:rFonts w:cs="Times New Roman"/>
          <w:szCs w:val="24"/>
          <w:u w:val="single"/>
        </w:rPr>
      </w:pPr>
      <w:r w:rsidRPr="004B4FB5">
        <w:rPr>
          <w:rFonts w:cs="Times New Roman"/>
          <w:szCs w:val="24"/>
          <w:u w:val="single"/>
        </w:rPr>
        <w:t>Правовая основа</w:t>
      </w:r>
      <w:r>
        <w:rPr>
          <w:rFonts w:cs="Times New Roman"/>
          <w:szCs w:val="24"/>
          <w:u w:val="single"/>
        </w:rPr>
        <w:t xml:space="preserve"> формы взаимодействия.</w:t>
      </w:r>
    </w:p>
    <w:p w14:paraId="206B678D" w14:textId="11D87721" w:rsidR="007A2EAC" w:rsidRPr="001F12F3" w:rsidRDefault="007A2EAC" w:rsidP="001F12F3">
      <w:r w:rsidRPr="001F12F3">
        <w:t>Данная форма взаимодействия вводится на региональном уровне</w:t>
      </w:r>
      <w:r w:rsidR="000E27C8" w:rsidRPr="001F12F3">
        <w:t xml:space="preserve"> каждым субъектом</w:t>
      </w:r>
      <w:r w:rsidR="001F12F3">
        <w:t xml:space="preserve"> РФ</w:t>
      </w:r>
      <w:r w:rsidR="000E27C8" w:rsidRPr="001F12F3">
        <w:t xml:space="preserve"> и муниципальным самоуправлением самостоятельно. Как правило форма вводится посредством</w:t>
      </w:r>
      <w:r w:rsidRPr="001F12F3">
        <w:t xml:space="preserve"> </w:t>
      </w:r>
      <w:r w:rsidR="000E27C8" w:rsidRPr="001F12F3">
        <w:t xml:space="preserve">Постановлений глав администраций. Данный нормативный правовой акт обычно носит название «Об утверждении типового соглашения о социально-экономическом </w:t>
      </w:r>
      <w:r w:rsidR="001F12F3" w:rsidRPr="001F12F3">
        <w:t>сотрудничестве между …».</w:t>
      </w:r>
      <w:r w:rsidRPr="001F12F3">
        <w:t xml:space="preserve"> </w:t>
      </w:r>
    </w:p>
    <w:p w14:paraId="02DEBC04" w14:textId="77777777" w:rsidR="001F12F3" w:rsidRDefault="007E6AB7" w:rsidP="00486867">
      <w:pPr>
        <w:pStyle w:val="af5"/>
        <w:numPr>
          <w:ilvl w:val="0"/>
          <w:numId w:val="15"/>
        </w:numPr>
        <w:rPr>
          <w:rFonts w:cs="Times New Roman"/>
          <w:szCs w:val="24"/>
          <w:u w:val="single"/>
        </w:rPr>
      </w:pPr>
      <w:r w:rsidRPr="004B4FB5">
        <w:rPr>
          <w:rFonts w:cs="Times New Roman"/>
          <w:szCs w:val="24"/>
          <w:u w:val="single"/>
        </w:rPr>
        <w:t>Субъектный и объект</w:t>
      </w:r>
      <w:r w:rsidR="001F12F3">
        <w:rPr>
          <w:rFonts w:cs="Times New Roman"/>
          <w:szCs w:val="24"/>
          <w:u w:val="single"/>
        </w:rPr>
        <w:t>ный состав формы взаимодействия.</w:t>
      </w:r>
    </w:p>
    <w:p w14:paraId="45E48280" w14:textId="6873EA7D" w:rsidR="001F12F3" w:rsidRDefault="001F12F3" w:rsidP="001F12F3">
      <w:r w:rsidRPr="001F12F3">
        <w:lastRenderedPageBreak/>
        <w:t>Со стороны государства</w:t>
      </w:r>
      <w:r>
        <w:t>, как правило,</w:t>
      </w:r>
      <w:r w:rsidRPr="001F12F3">
        <w:t xml:space="preserve"> выступает</w:t>
      </w:r>
      <w:r>
        <w:t xml:space="preserve"> орган(-ы) исполнительной власти субъекта РФ или муниципального самоуправления.</w:t>
      </w:r>
    </w:p>
    <w:p w14:paraId="79272EBA" w14:textId="779CE404" w:rsidR="00E4111F" w:rsidRDefault="001F12F3" w:rsidP="00E4111F">
      <w:r>
        <w:t xml:space="preserve">Со стороны бизнеса – частные </w:t>
      </w:r>
      <w:r w:rsidR="00E4111F">
        <w:t>компании и компании с государственным участием.</w:t>
      </w:r>
    </w:p>
    <w:p w14:paraId="44834AA9" w14:textId="3C7AEB9B" w:rsidR="007E6AB7" w:rsidRDefault="007E6AB7" w:rsidP="00486867">
      <w:pPr>
        <w:pStyle w:val="af5"/>
        <w:numPr>
          <w:ilvl w:val="0"/>
          <w:numId w:val="15"/>
        </w:numPr>
        <w:rPr>
          <w:rFonts w:cs="Times New Roman"/>
          <w:szCs w:val="24"/>
          <w:u w:val="single"/>
        </w:rPr>
      </w:pPr>
      <w:r w:rsidRPr="004B4FB5">
        <w:rPr>
          <w:rFonts w:cs="Times New Roman"/>
          <w:szCs w:val="24"/>
          <w:u w:val="single"/>
        </w:rPr>
        <w:t>Ц</w:t>
      </w:r>
      <w:r w:rsidR="00E4111F">
        <w:rPr>
          <w:rFonts w:cs="Times New Roman"/>
          <w:szCs w:val="24"/>
          <w:u w:val="single"/>
        </w:rPr>
        <w:t>ель взаимодействия для сторон.</w:t>
      </w:r>
    </w:p>
    <w:p w14:paraId="4D209062" w14:textId="12A78AA6" w:rsidR="00E4111F" w:rsidRDefault="00E4111F" w:rsidP="00E4111F">
      <w:r w:rsidRPr="00E4111F">
        <w:t>Для публичной стороны:</w:t>
      </w:r>
      <w:r>
        <w:t xml:space="preserve"> повышение инвестиционной активности, формирование</w:t>
      </w:r>
      <w:r w:rsidRPr="00E4111F">
        <w:t xml:space="preserve"> промышленной и соц</w:t>
      </w:r>
      <w:r>
        <w:t xml:space="preserve">иальной инфраструктуры, создание и предоставление новых рабочих мест. </w:t>
      </w:r>
    </w:p>
    <w:p w14:paraId="407EB362" w14:textId="2A09BF4E" w:rsidR="00E4111F" w:rsidRDefault="00E4111F" w:rsidP="00A752EE">
      <w:r>
        <w:t xml:space="preserve">Для частной стороны: </w:t>
      </w:r>
      <w:r w:rsidR="00A752EE">
        <w:t xml:space="preserve">стремление получить </w:t>
      </w:r>
      <w:r w:rsidR="004912A7">
        <w:t xml:space="preserve">дивиденды </w:t>
      </w:r>
      <w:proofErr w:type="spellStart"/>
      <w:r w:rsidR="004912A7">
        <w:t>имиджевого</w:t>
      </w:r>
      <w:proofErr w:type="spellEnd"/>
      <w:r w:rsidR="004912A7">
        <w:t xml:space="preserve"> порядка, что в конечном итоге оказывает положительный эффект на стоимость продукции/услуг компании.</w:t>
      </w:r>
    </w:p>
    <w:p w14:paraId="1640E1B5" w14:textId="3DB03E97" w:rsidR="007E6AB7" w:rsidRDefault="007E6AB7" w:rsidP="00486867">
      <w:pPr>
        <w:pStyle w:val="af5"/>
        <w:numPr>
          <w:ilvl w:val="0"/>
          <w:numId w:val="15"/>
        </w:numPr>
        <w:rPr>
          <w:rFonts w:cs="Times New Roman"/>
          <w:szCs w:val="24"/>
          <w:u w:val="single"/>
        </w:rPr>
      </w:pPr>
      <w:r w:rsidRPr="004B4FB5">
        <w:rPr>
          <w:rFonts w:cs="Times New Roman"/>
          <w:szCs w:val="24"/>
          <w:u w:val="single"/>
        </w:rPr>
        <w:t xml:space="preserve">Сторона(-ы) осуществляющие финансирование </w:t>
      </w:r>
      <w:r w:rsidR="0087003B">
        <w:rPr>
          <w:rFonts w:cs="Times New Roman"/>
          <w:szCs w:val="24"/>
          <w:u w:val="single"/>
        </w:rPr>
        <w:t>и возможные виды финансирования.</w:t>
      </w:r>
    </w:p>
    <w:p w14:paraId="2BDB3736" w14:textId="170CEC86" w:rsidR="00A33AE7" w:rsidRDefault="00A33AE7" w:rsidP="00A33AE7">
      <w:r>
        <w:t xml:space="preserve">Как правило, </w:t>
      </w:r>
      <w:r w:rsidR="004F24BF">
        <w:t xml:space="preserve">хозяйствующий субъект </w:t>
      </w:r>
      <w:r w:rsidR="0087003B">
        <w:t xml:space="preserve">обязуется в рамках Соглашения </w:t>
      </w:r>
      <w:r>
        <w:t xml:space="preserve">осуществлять инвестиции в развитие собственного производства, финансировать мероприятия по обеспечению безопасных условий труда, обеспечивать рост заработной платы работников, участвовать в финансировании </w:t>
      </w:r>
      <w:r w:rsidR="004F24BF">
        <w:t xml:space="preserve">государственных, региональных и муниципальных </w:t>
      </w:r>
      <w:r>
        <w:t xml:space="preserve">социальных программ </w:t>
      </w:r>
      <w:r w:rsidR="004F24BF">
        <w:t>на территории публичной стороны.</w:t>
      </w:r>
    </w:p>
    <w:p w14:paraId="79C3AE76" w14:textId="188DF147" w:rsidR="00332836" w:rsidRDefault="007E6AB7" w:rsidP="00486867">
      <w:pPr>
        <w:pStyle w:val="af5"/>
        <w:numPr>
          <w:ilvl w:val="0"/>
          <w:numId w:val="15"/>
        </w:numPr>
        <w:rPr>
          <w:rFonts w:cs="Times New Roman"/>
          <w:szCs w:val="24"/>
          <w:u w:val="single"/>
        </w:rPr>
      </w:pPr>
      <w:r w:rsidRPr="004B4FB5">
        <w:rPr>
          <w:rFonts w:cs="Times New Roman"/>
          <w:szCs w:val="24"/>
          <w:u w:val="single"/>
        </w:rPr>
        <w:t>Н</w:t>
      </w:r>
      <w:r w:rsidR="0087003B">
        <w:rPr>
          <w:rFonts w:cs="Times New Roman"/>
          <w:szCs w:val="24"/>
          <w:u w:val="single"/>
        </w:rPr>
        <w:t>аличие государственных гарантий.</w:t>
      </w:r>
    </w:p>
    <w:p w14:paraId="005D936A" w14:textId="4AE86F6D" w:rsidR="00BB3624" w:rsidRDefault="00BB3624" w:rsidP="00BB3624">
      <w:r>
        <w:t>Публичная сторона должна в пределах своих полномочий:</w:t>
      </w:r>
    </w:p>
    <w:p w14:paraId="4245FB19" w14:textId="0B106F9F" w:rsidR="00BB3624" w:rsidRDefault="00BB3624" w:rsidP="00486867">
      <w:pPr>
        <w:pStyle w:val="af5"/>
        <w:numPr>
          <w:ilvl w:val="0"/>
          <w:numId w:val="22"/>
        </w:numPr>
      </w:pPr>
      <w:r>
        <w:t>принимать меры по обеспечению стабильно благоприятных условий для деятельности хозяйствующего субъекта;</w:t>
      </w:r>
    </w:p>
    <w:p w14:paraId="41EE5D9E" w14:textId="77777777" w:rsidR="00BB3624" w:rsidRDefault="00BB3624" w:rsidP="00486867">
      <w:pPr>
        <w:pStyle w:val="af5"/>
        <w:numPr>
          <w:ilvl w:val="0"/>
          <w:numId w:val="22"/>
        </w:numPr>
      </w:pPr>
      <w:r>
        <w:t>содействовать развитию производственных мощностей и социальной инфраструктуры на территории района;</w:t>
      </w:r>
    </w:p>
    <w:p w14:paraId="366AD4F1" w14:textId="0027E416" w:rsidR="00BB3624" w:rsidRDefault="00BB3624" w:rsidP="00486867">
      <w:pPr>
        <w:pStyle w:val="af5"/>
        <w:numPr>
          <w:ilvl w:val="0"/>
          <w:numId w:val="22"/>
        </w:numPr>
      </w:pPr>
      <w:r>
        <w:t>содействовать развитию межотраслевых хозяйственных связей между частной стороной Соглашения и другими хозяйствующими субъектами, в том числе путем организации информационного обмена (участия в торговых ярмарках, выставках, конференциях и т.д.);</w:t>
      </w:r>
    </w:p>
    <w:p w14:paraId="1B2124D5" w14:textId="2AED344B" w:rsidR="001B3F6D" w:rsidRDefault="00BB3624" w:rsidP="00486867">
      <w:pPr>
        <w:pStyle w:val="af5"/>
        <w:numPr>
          <w:ilvl w:val="0"/>
          <w:numId w:val="22"/>
        </w:numPr>
      </w:pPr>
      <w:r>
        <w:t>оказывать содействие хозяйствующего субъекту в получении прав пользования недрами и оформлении прав собственности на земельные участки, в выделении свободных земельных участков для производственных и хозяйственных нужд, в проведении всех необходимых согласований с заинтересованными о</w:t>
      </w:r>
      <w:r w:rsidR="002260F0">
        <w:t xml:space="preserve">рганами для размещения объектов. </w:t>
      </w:r>
    </w:p>
    <w:p w14:paraId="1234ADF1" w14:textId="114A72A5" w:rsidR="00AB521B" w:rsidRDefault="00077881" w:rsidP="00AB521B">
      <w:pPr>
        <w:ind w:firstLine="567"/>
      </w:pPr>
      <w:r>
        <w:t>Сформулируем основные выводы на основе проанализированн</w:t>
      </w:r>
      <w:r w:rsidR="00A90512">
        <w:t xml:space="preserve">ых нормативных правовых актов. </w:t>
      </w:r>
      <w:r w:rsidR="00B150A4">
        <w:t>М</w:t>
      </w:r>
      <w:r w:rsidR="00A90512">
        <w:t xml:space="preserve">ожно выделить 3 контрактные формы, которые достаточно близки по своей сути, это: соглашение о государственно-частном партнерстве, концессионное соглашение и контракт жизненного цикла. Их можно использовать для создания объектов </w:t>
      </w:r>
      <w:r w:rsidR="00A90512">
        <w:lastRenderedPageBreak/>
        <w:t xml:space="preserve">инфраструктуры, при этом, обеспечив его эксплуатацию частной стороной на протяжении всего жизненного цикла, т.е. в среднем от 15 до 30 лет. Также большинство объектов, в отношении которых данные формы могут применяться, являются одинаковыми для этих форм. </w:t>
      </w:r>
      <w:r w:rsidR="00457A9D">
        <w:t xml:space="preserve">Однако, безусловно КЖЦ имеет ряд особенностей, поскольку данная форма является одним из вариантов государственной закупки. По этой причине КЖЦ всегда предусмотрена закупка товара, работы или услуги, последующее обслуживание, ремонт, тогда как работы по проектированию, созданию и эксплуатации товара или объекта не являются обязательными элементами данной формы. Также существенным ограничением КЖЦ является то, что платежи за сервис, которые должен осуществлять заказчик по контракту, могут привязаны только к качеству объекта, его операционная эффективность не входит в условия по контракту. В СГЧП </w:t>
      </w:r>
      <w:r w:rsidR="00413496">
        <w:t xml:space="preserve">и концессионном соглашении </w:t>
      </w:r>
      <w:r w:rsidR="00457A9D">
        <w:t xml:space="preserve">возможно учесть и то, и другое, что должно при должном контроле со стороны публичного партнера и добросовестного поведения частного партнера, может повысить ценность совместного проекта для общества. </w:t>
      </w:r>
      <w:r w:rsidR="00904CC4">
        <w:t>Кроме этого, возможность передачи объекта соглашения в собственность частного партнера после завершения срока соглашения, делает форму СГЧП уникальной среди проанализированных форм</w:t>
      </w:r>
      <w:r w:rsidR="00413496">
        <w:t>.</w:t>
      </w:r>
    </w:p>
    <w:p w14:paraId="52AAAAB9" w14:textId="41568A7A" w:rsidR="00BB2FFB" w:rsidRDefault="00BB2FFB" w:rsidP="00AB521B">
      <w:pPr>
        <w:ind w:firstLine="567"/>
      </w:pPr>
      <w:r>
        <w:t>Удалось выяснить, что помимо формы традиционных государственных закупок, для поставки товаров могут применяться КЖЦ и финансовая аренда</w:t>
      </w:r>
      <w:r w:rsidR="00112AB5">
        <w:t xml:space="preserve"> (лизинг)</w:t>
      </w:r>
      <w:r>
        <w:t>. При этом две последние формы имеют явное отличие от формы традиционных закупок, так как предп</w:t>
      </w:r>
      <w:r w:rsidR="00287E3D">
        <w:t xml:space="preserve">олагают растянутую по времени </w:t>
      </w:r>
      <w:r>
        <w:t>плату по сделке за объект контракта/договора</w:t>
      </w:r>
      <w:r w:rsidR="00E13DED">
        <w:t xml:space="preserve"> со стороны заказчика</w:t>
      </w:r>
      <w:r>
        <w:t xml:space="preserve">. </w:t>
      </w:r>
    </w:p>
    <w:p w14:paraId="635C4F5C" w14:textId="2C2D5AD8" w:rsidR="00DD5A2C" w:rsidRDefault="00DD5A2C" w:rsidP="0089458A">
      <w:pPr>
        <w:ind w:firstLine="567"/>
      </w:pPr>
      <w:r>
        <w:t>Ф</w:t>
      </w:r>
      <w:r w:rsidR="0089458A">
        <w:t xml:space="preserve">орму </w:t>
      </w:r>
      <w:r>
        <w:t xml:space="preserve">СПИК </w:t>
      </w:r>
      <w:r w:rsidR="0089458A">
        <w:t>нельзя сопоставить с какой-либо формой из проанализированных</w:t>
      </w:r>
      <w:r w:rsidR="0089458A" w:rsidRPr="0089458A">
        <w:t>, так как задачу, которую решает данная форма</w:t>
      </w:r>
      <w:r w:rsidR="0089458A">
        <w:t xml:space="preserve"> не является общей для них.</w:t>
      </w:r>
      <w:r w:rsidR="0089458A" w:rsidRPr="0089458A">
        <w:t xml:space="preserve"> </w:t>
      </w:r>
      <w:r w:rsidR="0089458A">
        <w:t xml:space="preserve">Основной вклад этой формы ожидается в плане </w:t>
      </w:r>
      <w:r w:rsidR="0089458A" w:rsidRPr="0089458A">
        <w:t>инновационной</w:t>
      </w:r>
      <w:r w:rsidR="00114683">
        <w:t xml:space="preserve"> промышленной</w:t>
      </w:r>
      <w:r w:rsidR="0089458A" w:rsidRPr="0089458A">
        <w:t xml:space="preserve"> модернизации экономики</w:t>
      </w:r>
      <w:r w:rsidR="00114683">
        <w:t xml:space="preserve"> субъектов РФ</w:t>
      </w:r>
      <w:r w:rsidR="0089458A" w:rsidRPr="0089458A">
        <w:t>.</w:t>
      </w:r>
      <w:r w:rsidR="00B366F3">
        <w:t xml:space="preserve"> Публичная сторона может предложить частной стороне ряд преференций, субсидий и оказывать любую другую помощь и поддержку в обмен на конкретные мероприятия и проекты, которые должны совершенствовать производственные мощности, производственный процесс.</w:t>
      </w:r>
    </w:p>
    <w:p w14:paraId="6302D806" w14:textId="5073020D" w:rsidR="00B366F3" w:rsidRDefault="00A47C4A" w:rsidP="0089458A">
      <w:pPr>
        <w:ind w:firstLine="567"/>
      </w:pPr>
      <w:r>
        <w:t>Анализ нормативных правовых актов показал, что такая форма взаимодействия власти и бизнеса, как СРП имеет жесткий лимит по сферам применения. Соответственно, стало понятно, что данная форма не может быть использована для решения социально-экономических задач ни в одной сфере, кроме добывающих отраслей.</w:t>
      </w:r>
    </w:p>
    <w:p w14:paraId="50578564" w14:textId="6ACDB2E0" w:rsidR="00D84BED" w:rsidRDefault="00D84BED" w:rsidP="00AB521B">
      <w:pPr>
        <w:ind w:firstLine="567"/>
      </w:pPr>
      <w:r>
        <w:t>Также</w:t>
      </w:r>
      <w:r w:rsidR="00CA1A8C">
        <w:t xml:space="preserve"> было выявлено,</w:t>
      </w:r>
      <w:r>
        <w:t xml:space="preserve"> что форма аренды государственного имущества, несмотря на то, что теоретически имущество может быть использовано для повышения доступности определенных общественных услуг для населения, не </w:t>
      </w:r>
      <w:r w:rsidR="003B57B7">
        <w:t xml:space="preserve">может гарантировать реализацию </w:t>
      </w:r>
      <w:r w:rsidR="003B57B7">
        <w:lastRenderedPageBreak/>
        <w:t xml:space="preserve">данной задачи, соответственно, форма </w:t>
      </w:r>
      <w:r w:rsidR="00CA1A8C">
        <w:t xml:space="preserve">реально </w:t>
      </w:r>
      <w:r w:rsidR="003B57B7">
        <w:t>ис</w:t>
      </w:r>
      <w:r w:rsidR="00CA1A8C">
        <w:t>пользуется</w:t>
      </w:r>
      <w:r w:rsidR="003B57B7">
        <w:t xml:space="preserve"> </w:t>
      </w:r>
      <w:r w:rsidR="000F464A">
        <w:t>государством</w:t>
      </w:r>
      <w:r w:rsidR="00CA1A8C">
        <w:t xml:space="preserve"> как мера поддержки малого и среднего бизнеса, а также для</w:t>
      </w:r>
      <w:r w:rsidR="003B57B7">
        <w:t xml:space="preserve"> сокращения бюджетных расходов на обслуживание данного имущества. </w:t>
      </w:r>
    </w:p>
    <w:p w14:paraId="49B0DC6D" w14:textId="1CEFCC66" w:rsidR="00AD052B" w:rsidRDefault="00EA029D" w:rsidP="00AD052B">
      <w:pPr>
        <w:ind w:firstLine="567"/>
      </w:pPr>
      <w:r w:rsidRPr="000F464A">
        <w:t xml:space="preserve">Соглашение о социально-экономическом сотрудничестве </w:t>
      </w:r>
      <w:r w:rsidR="00B150A4" w:rsidRPr="000F464A">
        <w:t>не может стать самостоятельным контрактом/договором о реализации какого-либо совместного проекта</w:t>
      </w:r>
      <w:r w:rsidRPr="000F464A">
        <w:t xml:space="preserve"> бизнеса с гос</w:t>
      </w:r>
      <w:r w:rsidR="000F464A">
        <w:t>ударством, так как это форма лишь фиксирует намерение сторон о совместном достижен</w:t>
      </w:r>
      <w:r w:rsidR="00AD052B">
        <w:t>ии, реализации задач, проектов, поэтому данная форма не будет рассматриваться в далее в исследовании, как и СРП.</w:t>
      </w:r>
    </w:p>
    <w:p w14:paraId="368122B9" w14:textId="01014C7C" w:rsidR="00AD052B" w:rsidRPr="00857A43" w:rsidRDefault="00AD052B" w:rsidP="00AD052B">
      <w:pPr>
        <w:ind w:firstLine="567"/>
      </w:pPr>
      <w:r>
        <w:t>Подведем итог: на основе контент-анализа нормативных правовых актов и научной литературы были идентифицированы основные формы взаимодействия государства и бизнеса, определены их особенности и характеристики с помощью критериев. Также были исключены две формы из выявленных, в связи с их несоответствием целям и задачам исследования. Далее рассмотренные формы будут анализироваться на применимость в решении целей и задач социально-экономического развития в сфере здравоохранения в Санкт-Петербурге.</w:t>
      </w:r>
    </w:p>
    <w:p w14:paraId="25BAF77D" w14:textId="71D2E297" w:rsidR="003A2BAA" w:rsidRPr="000558BE" w:rsidRDefault="003A2BAA" w:rsidP="007A1FC9">
      <w:pPr>
        <w:pStyle w:val="1"/>
      </w:pPr>
      <w:bookmarkStart w:id="23" w:name="_Toc41427828"/>
      <w:r>
        <w:lastRenderedPageBreak/>
        <w:t>Глава 2. Взаимодей</w:t>
      </w:r>
      <w:r w:rsidR="00A83D4E">
        <w:t>ствие</w:t>
      </w:r>
      <w:r>
        <w:t xml:space="preserve"> государства и бизнеса </w:t>
      </w:r>
      <w:r w:rsidR="00797F32">
        <w:t>в сфере</w:t>
      </w:r>
      <w:r>
        <w:t xml:space="preserve"> зд</w:t>
      </w:r>
      <w:r w:rsidR="00A83D4E">
        <w:t>равоохранения в Санкт-Петербурге: формы и текущее</w:t>
      </w:r>
      <w:r w:rsidR="00797F32">
        <w:t xml:space="preserve"> состояни</w:t>
      </w:r>
      <w:r w:rsidR="00A83D4E">
        <w:t>е</w:t>
      </w:r>
      <w:bookmarkEnd w:id="23"/>
    </w:p>
    <w:p w14:paraId="10B535CD" w14:textId="77777777" w:rsidR="003A2BAA" w:rsidRPr="000558BE" w:rsidRDefault="003A2BAA" w:rsidP="007A1FC9">
      <w:pPr>
        <w:pStyle w:val="2"/>
        <w:spacing w:after="120"/>
      </w:pPr>
      <w:bookmarkStart w:id="24" w:name="_Toc41427829"/>
      <w:r w:rsidRPr="000558BE">
        <w:t xml:space="preserve">2.1 </w:t>
      </w:r>
      <w:r>
        <w:t>Место и роль взаимодействия власти и бизнеса в развитии сферы здравоохранения в Санкт-Петербурге в соответствии с документами стратегического планирования</w:t>
      </w:r>
      <w:bookmarkEnd w:id="24"/>
    </w:p>
    <w:p w14:paraId="12DDC694" w14:textId="77777777" w:rsidR="003A2BAA" w:rsidRDefault="003A2BAA" w:rsidP="007A1FC9">
      <w:pPr>
        <w:rPr>
          <w:rFonts w:cs="Times New Roman"/>
          <w:szCs w:val="24"/>
        </w:rPr>
      </w:pPr>
      <w:r>
        <w:rPr>
          <w:rFonts w:cs="Times New Roman"/>
          <w:szCs w:val="24"/>
        </w:rPr>
        <w:t xml:space="preserve">Направления взаимодействия между государством и бизнесом определяются в </w:t>
      </w:r>
      <w:r w:rsidRPr="0072748D">
        <w:rPr>
          <w:rFonts w:cs="Times New Roman"/>
          <w:szCs w:val="24"/>
        </w:rPr>
        <w:t>соответствии с отраслевыми и региональными стратегиями развития</w:t>
      </w:r>
      <w:r>
        <w:rPr>
          <w:rFonts w:cs="Times New Roman"/>
          <w:szCs w:val="24"/>
        </w:rPr>
        <w:t xml:space="preserve"> субъекта РФ. В связи с этим, необходимо рассмотреть документы стратегического планирования Санкт-Петербурга, в частности, отраслевую стратегию, посвященную развитию здравоохранения. С их помощью планируется определить в решении каких целей и задач в контексте развития здравоохранения может принять участие бизнес во взаимодействие с государством, а также сделать вывод о том, в каких формах это участие может быть реализовано.</w:t>
      </w:r>
    </w:p>
    <w:p w14:paraId="6117CBB8" w14:textId="77777777" w:rsidR="003A2BAA" w:rsidRDefault="003A2BAA" w:rsidP="007A1FC9">
      <w:pPr>
        <w:rPr>
          <w:rFonts w:cs="Times New Roman"/>
          <w:szCs w:val="24"/>
        </w:rPr>
      </w:pPr>
      <w:r>
        <w:rPr>
          <w:rFonts w:cs="Times New Roman"/>
          <w:szCs w:val="24"/>
        </w:rPr>
        <w:t>Далее будут рассмотрены следующие документы стратегического планирования:</w:t>
      </w:r>
    </w:p>
    <w:p w14:paraId="68EF3545" w14:textId="77777777" w:rsidR="003A2BAA" w:rsidRDefault="003A2BAA" w:rsidP="00486867">
      <w:pPr>
        <w:pStyle w:val="af5"/>
        <w:numPr>
          <w:ilvl w:val="0"/>
          <w:numId w:val="24"/>
        </w:numPr>
        <w:rPr>
          <w:rFonts w:cs="Times New Roman"/>
          <w:szCs w:val="24"/>
        </w:rPr>
      </w:pPr>
      <w:r>
        <w:rPr>
          <w:rFonts w:cs="Times New Roman"/>
          <w:szCs w:val="24"/>
        </w:rPr>
        <w:t>Стратегия социально-экономического развития Санкт-Петербурга на период до 2035 года (далее – Стратегия)</w:t>
      </w:r>
      <w:r>
        <w:rPr>
          <w:rStyle w:val="afa"/>
          <w:rFonts w:cs="Times New Roman"/>
          <w:szCs w:val="24"/>
        </w:rPr>
        <w:footnoteReference w:id="35"/>
      </w:r>
      <w:r>
        <w:rPr>
          <w:rFonts w:cs="Times New Roman"/>
          <w:szCs w:val="24"/>
        </w:rPr>
        <w:t>;</w:t>
      </w:r>
    </w:p>
    <w:p w14:paraId="3BDB99B1" w14:textId="77777777" w:rsidR="003A2BAA" w:rsidRPr="001E0E08" w:rsidRDefault="003A2BAA" w:rsidP="00486867">
      <w:pPr>
        <w:pStyle w:val="af5"/>
        <w:numPr>
          <w:ilvl w:val="0"/>
          <w:numId w:val="24"/>
        </w:numPr>
        <w:rPr>
          <w:rFonts w:cs="Times New Roman"/>
          <w:szCs w:val="24"/>
        </w:rPr>
      </w:pPr>
      <w:r>
        <w:rPr>
          <w:rFonts w:cs="Times New Roman"/>
          <w:szCs w:val="24"/>
        </w:rPr>
        <w:t>Стратегии инвестиционного развития Санкт-Петербурга до 2030 года</w:t>
      </w:r>
      <w:r>
        <w:rPr>
          <w:rStyle w:val="afa"/>
          <w:rFonts w:cs="Times New Roman"/>
          <w:szCs w:val="24"/>
        </w:rPr>
        <w:footnoteReference w:id="36"/>
      </w:r>
      <w:r>
        <w:rPr>
          <w:rFonts w:cs="Times New Roman"/>
          <w:szCs w:val="24"/>
        </w:rPr>
        <w:t>;</w:t>
      </w:r>
    </w:p>
    <w:p w14:paraId="72A3FE47" w14:textId="77777777" w:rsidR="003A2BAA" w:rsidRDefault="003A2BAA" w:rsidP="00486867">
      <w:pPr>
        <w:pStyle w:val="af5"/>
        <w:numPr>
          <w:ilvl w:val="0"/>
          <w:numId w:val="24"/>
        </w:numPr>
        <w:rPr>
          <w:rFonts w:cs="Times New Roman"/>
          <w:szCs w:val="24"/>
        </w:rPr>
      </w:pPr>
      <w:r>
        <w:rPr>
          <w:rFonts w:cs="Times New Roman"/>
          <w:szCs w:val="24"/>
        </w:rPr>
        <w:t>Государственная программа «Развитие здравоохранения в Санкт-Петербурге»</w:t>
      </w:r>
      <w:r>
        <w:rPr>
          <w:rStyle w:val="afa"/>
          <w:rFonts w:cs="Times New Roman"/>
          <w:szCs w:val="24"/>
        </w:rPr>
        <w:footnoteReference w:id="37"/>
      </w:r>
      <w:r>
        <w:rPr>
          <w:rFonts w:cs="Times New Roman"/>
          <w:szCs w:val="24"/>
        </w:rPr>
        <w:t>.</w:t>
      </w:r>
    </w:p>
    <w:p w14:paraId="185EE7FA" w14:textId="77777777" w:rsidR="003A2BAA" w:rsidRPr="00022E8C" w:rsidRDefault="003A2BAA" w:rsidP="007A1FC9">
      <w:pPr>
        <w:rPr>
          <w:rFonts w:cs="Times New Roman"/>
          <w:szCs w:val="24"/>
        </w:rPr>
      </w:pPr>
      <w:r>
        <w:rPr>
          <w:rFonts w:cs="Times New Roman"/>
          <w:szCs w:val="24"/>
        </w:rPr>
        <w:t xml:space="preserve">Стратегия инвестиционного развития включена в анализ, поскольку ожидается, что посредством данного документа могут быть идентифицированы формы взаимодействия власти и бизнеса, которые не были выявлены при рассмотрении научной литературы. </w:t>
      </w:r>
    </w:p>
    <w:p w14:paraId="0BF610CE" w14:textId="77777777" w:rsidR="003A2BAA" w:rsidRDefault="003A2BAA" w:rsidP="007A1FC9">
      <w:pPr>
        <w:rPr>
          <w:rFonts w:cs="Times New Roman"/>
          <w:szCs w:val="24"/>
        </w:rPr>
      </w:pPr>
      <w:r>
        <w:rPr>
          <w:rFonts w:cs="Times New Roman"/>
          <w:szCs w:val="24"/>
        </w:rPr>
        <w:t xml:space="preserve">Обратимся к первому документу – Стратегии социально-экономического развития Санкт-Петербурга до 2035 года.  В Стратегии указано, что </w:t>
      </w:r>
      <w:r w:rsidRPr="00586668">
        <w:rPr>
          <w:rFonts w:cs="Times New Roman"/>
          <w:szCs w:val="24"/>
        </w:rPr>
        <w:t>частные инвестиции</w:t>
      </w:r>
      <w:r>
        <w:rPr>
          <w:rFonts w:cs="Times New Roman"/>
          <w:i/>
          <w:szCs w:val="24"/>
        </w:rPr>
        <w:t xml:space="preserve"> – </w:t>
      </w:r>
      <w:r>
        <w:rPr>
          <w:rFonts w:cs="Times New Roman"/>
          <w:szCs w:val="24"/>
        </w:rPr>
        <w:t xml:space="preserve">это необходимый элемент для </w:t>
      </w:r>
      <w:r w:rsidRPr="009A4BD3">
        <w:rPr>
          <w:rFonts w:cs="Times New Roman"/>
          <w:szCs w:val="24"/>
        </w:rPr>
        <w:t>развития и модернизации мощностей государс</w:t>
      </w:r>
      <w:r>
        <w:rPr>
          <w:rFonts w:cs="Times New Roman"/>
          <w:szCs w:val="24"/>
        </w:rPr>
        <w:t xml:space="preserve">твенной системы здравоохранения, в том числе за счёт реализации совместных инвестиционных проектов с бизнесом. Итак, перейдем конкретно к рассмотрению проблем и задач, направленных на их </w:t>
      </w:r>
      <w:r>
        <w:rPr>
          <w:rFonts w:cs="Times New Roman"/>
          <w:szCs w:val="24"/>
        </w:rPr>
        <w:lastRenderedPageBreak/>
        <w:t>преодоление, в сфере здравоохранения в Санкт-Петербурге для того, чтобы достичь поставленной цели в настоящей главе.</w:t>
      </w:r>
    </w:p>
    <w:p w14:paraId="79EF5E0A" w14:textId="7FBBA47E" w:rsidR="003A2BAA" w:rsidRDefault="003A2BAA" w:rsidP="007A1FC9">
      <w:pPr>
        <w:rPr>
          <w:rFonts w:eastAsia="Times New Roman" w:cs="Times New Roman"/>
          <w:szCs w:val="24"/>
          <w:lang w:eastAsia="ru-RU"/>
        </w:rPr>
      </w:pPr>
      <w:r>
        <w:rPr>
          <w:rFonts w:cs="Times New Roman"/>
          <w:szCs w:val="24"/>
        </w:rPr>
        <w:t xml:space="preserve">Первая проблема, которая была выявлена в документе – это необходимость в </w:t>
      </w:r>
      <w:r w:rsidRPr="00586668">
        <w:rPr>
          <w:rFonts w:cs="Times New Roman"/>
          <w:szCs w:val="24"/>
        </w:rPr>
        <w:t>строительстве объектов здравоохранения</w:t>
      </w:r>
      <w:r>
        <w:rPr>
          <w:rFonts w:cs="Times New Roman"/>
          <w:szCs w:val="24"/>
        </w:rPr>
        <w:t xml:space="preserve">, в частности, </w:t>
      </w:r>
      <w:r w:rsidRPr="009A4BD3">
        <w:rPr>
          <w:rFonts w:cs="Times New Roman"/>
          <w:szCs w:val="24"/>
        </w:rPr>
        <w:t>амбулаторно-поликлинических организаций</w:t>
      </w:r>
      <w:r>
        <w:rPr>
          <w:rFonts w:cs="Times New Roman"/>
          <w:szCs w:val="24"/>
        </w:rPr>
        <w:t xml:space="preserve"> </w:t>
      </w:r>
      <w:r w:rsidRPr="009A4BD3">
        <w:rPr>
          <w:rFonts w:cs="Times New Roman"/>
          <w:szCs w:val="24"/>
        </w:rPr>
        <w:t>в районах новой жилой застройки.</w:t>
      </w:r>
      <w:r>
        <w:rPr>
          <w:rFonts w:cs="Times New Roman"/>
          <w:szCs w:val="24"/>
        </w:rPr>
        <w:t xml:space="preserve"> В связи с чем, перед городом стоит </w:t>
      </w:r>
      <w:r w:rsidRPr="00586668">
        <w:rPr>
          <w:rFonts w:cs="Times New Roman"/>
          <w:i/>
          <w:szCs w:val="24"/>
        </w:rPr>
        <w:t xml:space="preserve">задача по устранению </w:t>
      </w:r>
      <w:r w:rsidRPr="00586668">
        <w:rPr>
          <w:rFonts w:eastAsia="Times New Roman" w:cs="Times New Roman"/>
          <w:i/>
          <w:szCs w:val="24"/>
          <w:lang w:eastAsia="ru-RU"/>
        </w:rPr>
        <w:t>дефицита социальных объектов, в том числе объектов здравоохранения</w:t>
      </w:r>
      <w:r>
        <w:rPr>
          <w:rFonts w:eastAsia="Times New Roman" w:cs="Times New Roman"/>
          <w:i/>
          <w:szCs w:val="24"/>
          <w:lang w:eastAsia="ru-RU"/>
        </w:rPr>
        <w:t>,</w:t>
      </w:r>
      <w:r w:rsidRPr="00586668">
        <w:rPr>
          <w:rFonts w:eastAsia="Times New Roman" w:cs="Times New Roman"/>
          <w:i/>
          <w:szCs w:val="24"/>
          <w:lang w:eastAsia="ru-RU"/>
        </w:rPr>
        <w:t xml:space="preserve"> и обеспечения синхронизации возведения объектов социальной инфраструктуры со строительством новых жилых домов</w:t>
      </w:r>
      <w:r w:rsidRPr="004315DE">
        <w:rPr>
          <w:rFonts w:eastAsia="Times New Roman" w:cs="Times New Roman"/>
          <w:szCs w:val="24"/>
          <w:lang w:eastAsia="ru-RU"/>
        </w:rPr>
        <w:t>.</w:t>
      </w:r>
      <w:r>
        <w:rPr>
          <w:rFonts w:eastAsia="Times New Roman" w:cs="Times New Roman"/>
          <w:szCs w:val="24"/>
          <w:lang w:eastAsia="ru-RU"/>
        </w:rPr>
        <w:t xml:space="preserve"> В том числе решение данной проблемы заявлено в рамках </w:t>
      </w:r>
      <w:r w:rsidRPr="00380C06">
        <w:rPr>
          <w:rFonts w:eastAsia="Times New Roman" w:cs="Times New Roman"/>
          <w:i/>
          <w:szCs w:val="24"/>
          <w:lang w:eastAsia="ru-RU"/>
        </w:rPr>
        <w:t>задачи по развитию первичной медико-санитарной помощи</w:t>
      </w:r>
      <w:r>
        <w:rPr>
          <w:rFonts w:eastAsia="Times New Roman" w:cs="Times New Roman"/>
          <w:i/>
          <w:szCs w:val="24"/>
          <w:lang w:eastAsia="ru-RU"/>
        </w:rPr>
        <w:t xml:space="preserve">, </w:t>
      </w:r>
      <w:r>
        <w:rPr>
          <w:rFonts w:eastAsia="Times New Roman" w:cs="Times New Roman"/>
          <w:szCs w:val="24"/>
          <w:lang w:eastAsia="ru-RU"/>
        </w:rPr>
        <w:t>в рамках которой предполагается</w:t>
      </w:r>
      <w:r>
        <w:rPr>
          <w:rFonts w:eastAsia="Times New Roman" w:cs="Times New Roman"/>
          <w:i/>
          <w:szCs w:val="24"/>
          <w:lang w:eastAsia="ru-RU"/>
        </w:rPr>
        <w:t xml:space="preserve"> </w:t>
      </w:r>
      <w:r>
        <w:rPr>
          <w:rFonts w:eastAsia="Times New Roman" w:cs="Times New Roman"/>
          <w:szCs w:val="24"/>
          <w:lang w:eastAsia="ru-RU"/>
        </w:rPr>
        <w:t xml:space="preserve">открытие новых </w:t>
      </w:r>
      <w:r w:rsidRPr="00380C06">
        <w:rPr>
          <w:rFonts w:eastAsia="Times New Roman" w:cs="Times New Roman"/>
          <w:szCs w:val="24"/>
          <w:lang w:eastAsia="ru-RU"/>
        </w:rPr>
        <w:t>поликлиник и центров общей врачебной практики</w:t>
      </w:r>
      <w:r>
        <w:rPr>
          <w:rFonts w:eastAsia="Times New Roman" w:cs="Times New Roman"/>
          <w:szCs w:val="24"/>
          <w:lang w:eastAsia="ru-RU"/>
        </w:rPr>
        <w:t>.</w:t>
      </w:r>
    </w:p>
    <w:p w14:paraId="6EF7901A" w14:textId="77777777" w:rsidR="003A2BAA" w:rsidRPr="00A81A04" w:rsidRDefault="003A2BAA" w:rsidP="007A1FC9">
      <w:pPr>
        <w:rPr>
          <w:rFonts w:cs="Times New Roman"/>
          <w:color w:val="FF0000"/>
          <w:szCs w:val="24"/>
        </w:rPr>
      </w:pPr>
      <w:r w:rsidRPr="00C14D41">
        <w:rPr>
          <w:rFonts w:cs="Times New Roman"/>
          <w:szCs w:val="24"/>
        </w:rPr>
        <w:t xml:space="preserve">Помимо проблемы с количественной нехваткой объектов здравоохранения, </w:t>
      </w:r>
      <w:r>
        <w:rPr>
          <w:rFonts w:cs="Times New Roman"/>
          <w:szCs w:val="24"/>
        </w:rPr>
        <w:t xml:space="preserve">существуют проблемы, связанные с </w:t>
      </w:r>
      <w:r w:rsidRPr="00586668">
        <w:rPr>
          <w:rFonts w:cs="Times New Roman"/>
          <w:szCs w:val="24"/>
        </w:rPr>
        <w:t>качество</w:t>
      </w:r>
      <w:r>
        <w:rPr>
          <w:rFonts w:cs="Times New Roman"/>
          <w:szCs w:val="24"/>
        </w:rPr>
        <w:t>м</w:t>
      </w:r>
      <w:r w:rsidRPr="00586668">
        <w:rPr>
          <w:rFonts w:cs="Times New Roman"/>
          <w:szCs w:val="24"/>
        </w:rPr>
        <w:t xml:space="preserve"> и доступность</w:t>
      </w:r>
      <w:r>
        <w:rPr>
          <w:rFonts w:cs="Times New Roman"/>
          <w:szCs w:val="24"/>
        </w:rPr>
        <w:t>ю предоставления</w:t>
      </w:r>
      <w:r w:rsidRPr="00586668">
        <w:rPr>
          <w:rFonts w:cs="Times New Roman"/>
          <w:szCs w:val="24"/>
        </w:rPr>
        <w:t xml:space="preserve"> медицинского обслуживания. </w:t>
      </w:r>
      <w:r>
        <w:rPr>
          <w:rFonts w:cs="Times New Roman"/>
          <w:szCs w:val="24"/>
        </w:rPr>
        <w:t xml:space="preserve">В рамках решения этих проблем сформулированы 3 задачи. Одна из них – </w:t>
      </w:r>
      <w:r>
        <w:rPr>
          <w:rFonts w:cs="Times New Roman"/>
          <w:i/>
          <w:szCs w:val="24"/>
        </w:rPr>
        <w:t xml:space="preserve">повышение </w:t>
      </w:r>
      <w:r w:rsidRPr="00F462D5">
        <w:rPr>
          <w:rFonts w:cs="Times New Roman"/>
          <w:i/>
          <w:szCs w:val="24"/>
        </w:rPr>
        <w:t>уровня информатизации с</w:t>
      </w:r>
      <w:r>
        <w:rPr>
          <w:rFonts w:cs="Times New Roman"/>
          <w:i/>
          <w:szCs w:val="24"/>
        </w:rPr>
        <w:t>истемы здравоохранения, развитию</w:t>
      </w:r>
      <w:r w:rsidRPr="00F462D5">
        <w:rPr>
          <w:rFonts w:cs="Times New Roman"/>
          <w:i/>
          <w:szCs w:val="24"/>
        </w:rPr>
        <w:t xml:space="preserve"> электронного здравоохранения и телемедицины</w:t>
      </w:r>
      <w:r>
        <w:rPr>
          <w:rFonts w:cs="Times New Roman"/>
          <w:i/>
          <w:szCs w:val="24"/>
        </w:rPr>
        <w:t>.</w:t>
      </w:r>
      <w:r>
        <w:rPr>
          <w:rFonts w:cs="Times New Roman"/>
          <w:szCs w:val="24"/>
        </w:rPr>
        <w:t xml:space="preserve"> Вторая задача состоит в </w:t>
      </w:r>
      <w:r w:rsidRPr="00F462D5">
        <w:rPr>
          <w:rFonts w:cs="Times New Roman"/>
          <w:i/>
          <w:szCs w:val="24"/>
        </w:rPr>
        <w:t>повышении эффективности системы оказания медицинской помощи</w:t>
      </w:r>
      <w:r>
        <w:rPr>
          <w:rFonts w:cs="Times New Roman"/>
          <w:i/>
          <w:szCs w:val="24"/>
        </w:rPr>
        <w:t xml:space="preserve">. </w:t>
      </w:r>
      <w:r>
        <w:rPr>
          <w:rFonts w:cs="Times New Roman"/>
          <w:szCs w:val="24"/>
        </w:rPr>
        <w:t>Здесь предполагаются мероприятия по улучшению</w:t>
      </w:r>
      <w:r w:rsidRPr="0061749E">
        <w:rPr>
          <w:rFonts w:cs="Times New Roman"/>
          <w:szCs w:val="24"/>
        </w:rPr>
        <w:t xml:space="preserve"> материально-технического оснащения</w:t>
      </w:r>
      <w:r>
        <w:rPr>
          <w:rFonts w:cs="Times New Roman"/>
          <w:szCs w:val="24"/>
        </w:rPr>
        <w:t xml:space="preserve"> медицинских учреждений</w:t>
      </w:r>
      <w:r w:rsidRPr="0061749E">
        <w:rPr>
          <w:rFonts w:cs="Times New Roman"/>
          <w:szCs w:val="24"/>
        </w:rPr>
        <w:t>,</w:t>
      </w:r>
      <w:r w:rsidRPr="00C14D41">
        <w:rPr>
          <w:rFonts w:cs="Times New Roman"/>
          <w:szCs w:val="24"/>
        </w:rPr>
        <w:t xml:space="preserve"> </w:t>
      </w:r>
      <w:r>
        <w:rPr>
          <w:rFonts w:cs="Times New Roman"/>
          <w:szCs w:val="24"/>
        </w:rPr>
        <w:t>внедрение инновационных</w:t>
      </w:r>
      <w:r w:rsidRPr="00C14D41">
        <w:rPr>
          <w:rFonts w:cs="Times New Roman"/>
          <w:szCs w:val="24"/>
        </w:rPr>
        <w:t xml:space="preserve"> </w:t>
      </w:r>
      <w:r>
        <w:rPr>
          <w:rFonts w:cs="Times New Roman"/>
          <w:szCs w:val="24"/>
        </w:rPr>
        <w:t xml:space="preserve">методов и способов </w:t>
      </w:r>
      <w:r w:rsidRPr="00C14D41">
        <w:rPr>
          <w:rFonts w:cs="Times New Roman"/>
          <w:szCs w:val="24"/>
        </w:rPr>
        <w:t>профилактики, диагностики и лечения заболевани</w:t>
      </w:r>
      <w:r>
        <w:rPr>
          <w:rFonts w:cs="Times New Roman"/>
          <w:szCs w:val="24"/>
        </w:rPr>
        <w:t>й,</w:t>
      </w:r>
      <w:r w:rsidRPr="00F462D5">
        <w:rPr>
          <w:rFonts w:cs="Times New Roman"/>
          <w:color w:val="FF0000"/>
          <w:szCs w:val="24"/>
        </w:rPr>
        <w:t xml:space="preserve"> </w:t>
      </w:r>
      <w:r w:rsidRPr="0030155A">
        <w:rPr>
          <w:rFonts w:cs="Times New Roman"/>
          <w:szCs w:val="24"/>
        </w:rPr>
        <w:t xml:space="preserve">сокращение неэффективных расходов, внедрение стандартов медицинской помощи, постепенная концентрация ресурсов на наиболее эффективных инновационных и </w:t>
      </w:r>
      <w:proofErr w:type="spellStart"/>
      <w:r w:rsidRPr="0030155A">
        <w:rPr>
          <w:rFonts w:cs="Times New Roman"/>
          <w:szCs w:val="24"/>
        </w:rPr>
        <w:t>здоровьесберегающих</w:t>
      </w:r>
      <w:proofErr w:type="spellEnd"/>
      <w:r w:rsidRPr="0030155A">
        <w:rPr>
          <w:rFonts w:cs="Times New Roman"/>
          <w:szCs w:val="24"/>
        </w:rPr>
        <w:t xml:space="preserve"> технологиях и методах лечения.</w:t>
      </w:r>
      <w:r>
        <w:rPr>
          <w:rFonts w:cs="Times New Roman"/>
          <w:szCs w:val="24"/>
        </w:rPr>
        <w:t xml:space="preserve"> В документе стратегического планирования государственные закупки рассматриваются как один из инструментов для достижения эффективности оказания медицинской помощи. Третья задача – </w:t>
      </w:r>
      <w:r w:rsidRPr="00EA503D">
        <w:rPr>
          <w:rFonts w:cs="Times New Roman"/>
          <w:i/>
          <w:szCs w:val="24"/>
        </w:rPr>
        <w:t>совершенствование условий для охраны здоровья матери и ребенка, а также сохранение репродуктивного здоровья женщин</w:t>
      </w:r>
      <w:r>
        <w:rPr>
          <w:rFonts w:cs="Times New Roman"/>
          <w:i/>
          <w:szCs w:val="24"/>
        </w:rPr>
        <w:t xml:space="preserve"> </w:t>
      </w:r>
      <w:r w:rsidRPr="00EA503D">
        <w:rPr>
          <w:rFonts w:cs="Times New Roman"/>
          <w:szCs w:val="24"/>
        </w:rPr>
        <w:t xml:space="preserve">– </w:t>
      </w:r>
      <w:r>
        <w:rPr>
          <w:rFonts w:cs="Times New Roman"/>
          <w:szCs w:val="24"/>
        </w:rPr>
        <w:t xml:space="preserve">направлена на снижение </w:t>
      </w:r>
      <w:r w:rsidRPr="00EA503D">
        <w:rPr>
          <w:rFonts w:cs="Times New Roman"/>
          <w:szCs w:val="24"/>
        </w:rPr>
        <w:t xml:space="preserve">материнской, детской и младенческой смертности, а также уровня </w:t>
      </w:r>
      <w:proofErr w:type="spellStart"/>
      <w:r w:rsidRPr="00EA503D">
        <w:rPr>
          <w:rFonts w:cs="Times New Roman"/>
          <w:szCs w:val="24"/>
        </w:rPr>
        <w:t>инвалидизации</w:t>
      </w:r>
      <w:proofErr w:type="spellEnd"/>
      <w:r w:rsidRPr="00EA503D">
        <w:rPr>
          <w:rFonts w:cs="Times New Roman"/>
          <w:szCs w:val="24"/>
        </w:rPr>
        <w:t xml:space="preserve"> детей</w:t>
      </w:r>
      <w:r>
        <w:rPr>
          <w:rFonts w:cs="Times New Roman"/>
          <w:szCs w:val="24"/>
        </w:rPr>
        <w:t>. Мерами по ее решению должны стать: модернизация</w:t>
      </w:r>
      <w:r w:rsidRPr="00EA503D">
        <w:rPr>
          <w:rFonts w:cs="Times New Roman"/>
          <w:szCs w:val="24"/>
        </w:rPr>
        <w:t xml:space="preserve"> государственных учреждений здравоохранения Санкт-Петербурга (родильных домов и детских стационаров), а также внедрение в практику современных технологий выхаживания и медицинской реабилитации недоношенных детей.</w:t>
      </w:r>
      <w:r>
        <w:rPr>
          <w:rFonts w:cs="Times New Roman"/>
          <w:szCs w:val="24"/>
        </w:rPr>
        <w:t xml:space="preserve"> </w:t>
      </w:r>
    </w:p>
    <w:p w14:paraId="2A6039FF" w14:textId="77777777" w:rsidR="003A2BAA" w:rsidRPr="00950AAA" w:rsidRDefault="003A2BAA" w:rsidP="007A1FC9">
      <w:pPr>
        <w:rPr>
          <w:rFonts w:cs="Times New Roman"/>
          <w:szCs w:val="24"/>
        </w:rPr>
      </w:pPr>
      <w:r>
        <w:rPr>
          <w:rFonts w:cs="Times New Roman"/>
          <w:szCs w:val="24"/>
        </w:rPr>
        <w:t xml:space="preserve">Присутствует проблема, связанная с недостаточным количеством </w:t>
      </w:r>
      <w:r w:rsidRPr="00950AAA">
        <w:rPr>
          <w:rFonts w:cs="Times New Roman"/>
          <w:szCs w:val="24"/>
        </w:rPr>
        <w:t>реабилитационных центров, в том числе центров детской реабилитации, гериатрических центров и отделений, отделений паллиативной медицинской помощи и сестринского ухода</w:t>
      </w:r>
      <w:r>
        <w:rPr>
          <w:rFonts w:cs="Times New Roman"/>
          <w:szCs w:val="24"/>
        </w:rPr>
        <w:t xml:space="preserve">, </w:t>
      </w:r>
      <w:r w:rsidRPr="006C7847">
        <w:rPr>
          <w:rFonts w:cs="Times New Roman"/>
          <w:szCs w:val="24"/>
        </w:rPr>
        <w:t>объектов санаторно-курортного назначения</w:t>
      </w:r>
      <w:r>
        <w:rPr>
          <w:rFonts w:cs="Times New Roman"/>
          <w:szCs w:val="24"/>
        </w:rPr>
        <w:t xml:space="preserve">. Эта проблема должна быть решена в рамках </w:t>
      </w:r>
      <w:r>
        <w:rPr>
          <w:rFonts w:cs="Times New Roman"/>
          <w:i/>
          <w:szCs w:val="24"/>
        </w:rPr>
        <w:t xml:space="preserve">задачи </w:t>
      </w:r>
      <w:r w:rsidRPr="00380C06">
        <w:rPr>
          <w:rFonts w:cs="Times New Roman"/>
          <w:i/>
          <w:szCs w:val="24"/>
        </w:rPr>
        <w:t>по</w:t>
      </w:r>
      <w:r>
        <w:rPr>
          <w:rFonts w:cs="Times New Roman"/>
          <w:i/>
          <w:szCs w:val="24"/>
        </w:rPr>
        <w:t xml:space="preserve"> совершенствованию</w:t>
      </w:r>
      <w:r w:rsidRPr="00380C06">
        <w:rPr>
          <w:rFonts w:cs="Times New Roman"/>
          <w:i/>
          <w:szCs w:val="24"/>
        </w:rPr>
        <w:t xml:space="preserve"> реабилитационной медицинской помощи</w:t>
      </w:r>
      <w:r w:rsidRPr="00FD5D4C">
        <w:rPr>
          <w:rFonts w:cs="Times New Roman"/>
          <w:szCs w:val="24"/>
        </w:rPr>
        <w:t>.</w:t>
      </w:r>
      <w:r>
        <w:rPr>
          <w:rFonts w:cs="Times New Roman"/>
          <w:szCs w:val="24"/>
        </w:rPr>
        <w:t xml:space="preserve"> Основной мерой</w:t>
      </w:r>
      <w:r>
        <w:rPr>
          <w:rFonts w:cs="Times New Roman"/>
          <w:i/>
          <w:szCs w:val="24"/>
        </w:rPr>
        <w:t xml:space="preserve"> </w:t>
      </w:r>
      <w:r>
        <w:rPr>
          <w:rFonts w:cs="Times New Roman"/>
          <w:szCs w:val="24"/>
        </w:rPr>
        <w:lastRenderedPageBreak/>
        <w:t>по ее реализации должно</w:t>
      </w:r>
      <w:r w:rsidRPr="00FD5D4C">
        <w:rPr>
          <w:rFonts w:cs="Times New Roman"/>
          <w:szCs w:val="24"/>
        </w:rPr>
        <w:t xml:space="preserve"> стать </w:t>
      </w:r>
      <w:r>
        <w:rPr>
          <w:rFonts w:cs="Times New Roman"/>
          <w:szCs w:val="24"/>
        </w:rPr>
        <w:t>развитие сети профильных реабилитационных центов, а также других учреждений, оказывающих реабилитационную помощь.</w:t>
      </w:r>
    </w:p>
    <w:p w14:paraId="489DAB8D" w14:textId="77777777" w:rsidR="003A2BAA" w:rsidRDefault="003A2BAA" w:rsidP="007A1FC9">
      <w:pPr>
        <w:rPr>
          <w:rFonts w:cs="Times New Roman"/>
          <w:szCs w:val="24"/>
        </w:rPr>
      </w:pPr>
      <w:r>
        <w:rPr>
          <w:rFonts w:cs="Times New Roman"/>
          <w:szCs w:val="24"/>
        </w:rPr>
        <w:t>Низкий уровень оснащённости высокотехнологичным медицинским</w:t>
      </w:r>
      <w:r w:rsidRPr="00060667">
        <w:rPr>
          <w:rFonts w:cs="Times New Roman"/>
          <w:szCs w:val="24"/>
        </w:rPr>
        <w:t xml:space="preserve"> </w:t>
      </w:r>
      <w:r>
        <w:rPr>
          <w:rFonts w:cs="Times New Roman"/>
          <w:szCs w:val="24"/>
        </w:rPr>
        <w:t xml:space="preserve">оборудованием медицинских учреждений является одной из указанных проблем в Стратегии. Она должна быть решена посредством </w:t>
      </w:r>
      <w:r w:rsidRPr="00380C06">
        <w:rPr>
          <w:rFonts w:cs="Times New Roman"/>
          <w:i/>
          <w:szCs w:val="24"/>
        </w:rPr>
        <w:t>задачи по совершенствованию оказания специализированной, в том числе высокотехнологичной медицинской помощи.</w:t>
      </w:r>
      <w:r>
        <w:rPr>
          <w:rFonts w:cs="Times New Roman"/>
          <w:i/>
          <w:szCs w:val="24"/>
        </w:rPr>
        <w:t xml:space="preserve"> </w:t>
      </w:r>
      <w:r>
        <w:rPr>
          <w:rFonts w:cs="Times New Roman"/>
          <w:szCs w:val="24"/>
        </w:rPr>
        <w:t>В рамках этой же задачи планируется развитие медицинского туризма в Санкт-Петербурге, развитие и модернизация</w:t>
      </w:r>
      <w:r w:rsidRPr="00060667">
        <w:rPr>
          <w:rFonts w:cs="Times New Roman"/>
          <w:szCs w:val="24"/>
        </w:rPr>
        <w:t xml:space="preserve"> сети многопрофильных и специализированных (психиатрических, наркологических, противотуберкулезных) медицинских организаций</w:t>
      </w:r>
      <w:r>
        <w:rPr>
          <w:rFonts w:cs="Times New Roman"/>
          <w:szCs w:val="24"/>
        </w:rPr>
        <w:t xml:space="preserve">, а также других медицинских учреждений системы здравоохранения. </w:t>
      </w:r>
    </w:p>
    <w:p w14:paraId="63CB17BD" w14:textId="77777777" w:rsidR="003A2BAA" w:rsidRDefault="003A2BAA" w:rsidP="007A1FC9">
      <w:pPr>
        <w:rPr>
          <w:rFonts w:cs="Times New Roman"/>
          <w:szCs w:val="24"/>
        </w:rPr>
      </w:pPr>
      <w:r w:rsidRPr="0055733C">
        <w:rPr>
          <w:rFonts w:cs="Times New Roman"/>
          <w:szCs w:val="24"/>
        </w:rPr>
        <w:t>Мерой по повышению результативности, качества и доступности</w:t>
      </w:r>
      <w:r>
        <w:rPr>
          <w:rFonts w:cs="Times New Roman"/>
          <w:szCs w:val="24"/>
        </w:rPr>
        <w:t xml:space="preserve"> оказания медицинской помощи является также привлечение </w:t>
      </w:r>
      <w:r w:rsidRPr="0055733C">
        <w:rPr>
          <w:rFonts w:cs="Times New Roman"/>
          <w:szCs w:val="24"/>
        </w:rPr>
        <w:t xml:space="preserve">высококвалифицированных специалистов в систему здравоохранения города. </w:t>
      </w:r>
      <w:r>
        <w:rPr>
          <w:rFonts w:cs="Times New Roman"/>
          <w:szCs w:val="24"/>
        </w:rPr>
        <w:t xml:space="preserve">Данная мера должна способствовать решению </w:t>
      </w:r>
      <w:r w:rsidRPr="0055733C">
        <w:rPr>
          <w:rFonts w:cs="Times New Roman"/>
          <w:i/>
          <w:szCs w:val="24"/>
        </w:rPr>
        <w:t>задачи по созданию условий для обеспечения системы здравоохранения высококвалифицированными специалистами</w:t>
      </w:r>
      <w:r w:rsidRPr="0055733C">
        <w:rPr>
          <w:rFonts w:cs="Times New Roman"/>
          <w:szCs w:val="24"/>
        </w:rPr>
        <w:t>.</w:t>
      </w:r>
    </w:p>
    <w:p w14:paraId="015A8D7F" w14:textId="77777777" w:rsidR="003A2BAA" w:rsidRDefault="003A2BAA" w:rsidP="007A1FC9">
      <w:pPr>
        <w:rPr>
          <w:rFonts w:cs="Times New Roman"/>
          <w:szCs w:val="24"/>
        </w:rPr>
      </w:pPr>
      <w:r w:rsidRPr="005509D9">
        <w:rPr>
          <w:rFonts w:cs="Times New Roman"/>
          <w:szCs w:val="24"/>
        </w:rPr>
        <w:t xml:space="preserve">Санкт-Петербург </w:t>
      </w:r>
      <w:r>
        <w:rPr>
          <w:rFonts w:cs="Times New Roman"/>
          <w:szCs w:val="24"/>
        </w:rPr>
        <w:t xml:space="preserve">является одним из лидеров </w:t>
      </w:r>
      <w:r w:rsidRPr="005509D9">
        <w:rPr>
          <w:rFonts w:cs="Times New Roman"/>
          <w:szCs w:val="24"/>
        </w:rPr>
        <w:t>по производству лекарственных сред</w:t>
      </w:r>
      <w:r>
        <w:rPr>
          <w:rFonts w:cs="Times New Roman"/>
          <w:szCs w:val="24"/>
        </w:rPr>
        <w:t xml:space="preserve">ств и медицинского оборудования, в связи с чем, перед городом стоит </w:t>
      </w:r>
      <w:r w:rsidRPr="009119D8">
        <w:rPr>
          <w:rFonts w:cs="Times New Roman"/>
          <w:i/>
          <w:szCs w:val="24"/>
        </w:rPr>
        <w:t>задача по становлению абсолютным лидером среди субъектов РФ в сфере разработки и производства инновационных лекарственных средств и производства высокотехнологичной медицинской техники и медицинских изделий</w:t>
      </w:r>
      <w:r>
        <w:rPr>
          <w:rFonts w:cs="Times New Roman"/>
          <w:szCs w:val="24"/>
        </w:rPr>
        <w:t xml:space="preserve">. </w:t>
      </w:r>
      <w:r w:rsidRPr="009119D8">
        <w:rPr>
          <w:rFonts w:cs="Times New Roman"/>
          <w:szCs w:val="24"/>
        </w:rPr>
        <w:t>В Стратегии данная задача рассматривается в контексте развития промышленности города, однако для сферы здравоохранения она имеет стратегическую значимость, ввиду того, что фармацевтические компании посредством своей деятельности снабжают население важными и жизненно необходимыми лекарственными средствами</w:t>
      </w:r>
      <w:r>
        <w:rPr>
          <w:rFonts w:cs="Times New Roman"/>
          <w:szCs w:val="24"/>
        </w:rPr>
        <w:t xml:space="preserve">. Основное препятствие для решения этой задачи – </w:t>
      </w:r>
      <w:r w:rsidRPr="005509D9">
        <w:rPr>
          <w:rFonts w:cs="Times New Roman"/>
          <w:szCs w:val="24"/>
        </w:rPr>
        <w:t>недостаточный уровень инвестиционной и инновационной активности, в том числе из-за высокой стоимости привлечения заемных средств для модернизации производства</w:t>
      </w:r>
      <w:r>
        <w:rPr>
          <w:rFonts w:cs="Times New Roman"/>
          <w:szCs w:val="24"/>
        </w:rPr>
        <w:t xml:space="preserve">, в соответствии с содержанием Стратегии. </w:t>
      </w:r>
    </w:p>
    <w:p w14:paraId="09F300D4" w14:textId="77777777" w:rsidR="003A2BAA" w:rsidRDefault="003A2BAA" w:rsidP="007A1FC9">
      <w:pPr>
        <w:rPr>
          <w:rFonts w:cs="Times New Roman"/>
          <w:szCs w:val="24"/>
        </w:rPr>
      </w:pPr>
      <w:r>
        <w:rPr>
          <w:rFonts w:cs="Times New Roman"/>
          <w:szCs w:val="24"/>
        </w:rPr>
        <w:t xml:space="preserve">Итак, на основе содержания Стратегии социально-экономического развития Санкт-Петербурга до 2035 года, можно утверждать, что бизнес занимает особое положение в развитии отрасли здравоохранения, так как, во-первых, необходимо привлечение частных инвестиций в создании новой и/или модернизации уже существующей инфраструктуры здравоохранения, во-вторых, необходимы компетенции и опыт частного сектора для оказания медицинских услуг с помощью инновационных технологий и методов, в-третьих, необходимы навыки в сфере маркетинга и доступ к специализированным ресурсам (консалтинговая помощь, профессиональные связи) для продвижения медицинских услуг, </w:t>
      </w:r>
      <w:r>
        <w:rPr>
          <w:rFonts w:cs="Times New Roman"/>
          <w:szCs w:val="24"/>
        </w:rPr>
        <w:lastRenderedPageBreak/>
        <w:t>оказываемых на территории Санкт-Петербурга, иногородним и иностранным пациентам, что требует привлечение менеджмента из частных медицинских организаций.</w:t>
      </w:r>
    </w:p>
    <w:p w14:paraId="4A7387A1" w14:textId="77777777" w:rsidR="003A2BAA" w:rsidRDefault="003A2BAA" w:rsidP="007A1FC9">
      <w:pPr>
        <w:rPr>
          <w:rFonts w:cs="Times New Roman"/>
          <w:szCs w:val="24"/>
        </w:rPr>
      </w:pPr>
      <w:r>
        <w:rPr>
          <w:rFonts w:cs="Times New Roman"/>
          <w:szCs w:val="24"/>
        </w:rPr>
        <w:t>Далее рассмотрим второй документ – государственную программу</w:t>
      </w:r>
      <w:r w:rsidRPr="00A11EBB">
        <w:rPr>
          <w:rFonts w:cs="Times New Roman"/>
          <w:szCs w:val="24"/>
        </w:rPr>
        <w:t xml:space="preserve"> «Развитие здравоохранения в Санкт-Петербурге».</w:t>
      </w:r>
      <w:r>
        <w:rPr>
          <w:rFonts w:cs="Times New Roman"/>
          <w:szCs w:val="24"/>
        </w:rPr>
        <w:t xml:space="preserve"> Бизнес может принять участие в большей части </w:t>
      </w:r>
      <w:r w:rsidRPr="0055733C">
        <w:rPr>
          <w:rFonts w:cs="Times New Roman"/>
          <w:i/>
          <w:szCs w:val="24"/>
        </w:rPr>
        <w:t>задач, определенных в рамках государственной программы</w:t>
      </w:r>
      <w:r>
        <w:rPr>
          <w:rFonts w:cs="Times New Roman"/>
          <w:szCs w:val="24"/>
        </w:rPr>
        <w:t xml:space="preserve">: обеспечение приоритета </w:t>
      </w:r>
      <w:r w:rsidRPr="009827E5">
        <w:rPr>
          <w:rFonts w:cs="Times New Roman"/>
          <w:szCs w:val="24"/>
        </w:rPr>
        <w:t>развития первичной медико-санитарной помощи;</w:t>
      </w:r>
      <w:r>
        <w:rPr>
          <w:rFonts w:cs="Times New Roman"/>
          <w:szCs w:val="24"/>
        </w:rPr>
        <w:t xml:space="preserve"> </w:t>
      </w:r>
      <w:r w:rsidRPr="009827E5">
        <w:rPr>
          <w:rFonts w:cs="Times New Roman"/>
          <w:szCs w:val="24"/>
        </w:rPr>
        <w:t>повышение эффективности оказания специализированной, включая высокотех</w:t>
      </w:r>
      <w:r>
        <w:rPr>
          <w:rFonts w:cs="Times New Roman"/>
          <w:szCs w:val="24"/>
        </w:rPr>
        <w:t xml:space="preserve">нологичную, медицинской помощи </w:t>
      </w:r>
      <w:r w:rsidRPr="009827E5">
        <w:rPr>
          <w:rFonts w:cs="Times New Roman"/>
          <w:szCs w:val="24"/>
        </w:rPr>
        <w:t>и паллиативной медицинской помощи;</w:t>
      </w:r>
      <w:r>
        <w:rPr>
          <w:rFonts w:cs="Times New Roman"/>
          <w:szCs w:val="24"/>
        </w:rPr>
        <w:t xml:space="preserve"> </w:t>
      </w:r>
      <w:r w:rsidRPr="009827E5">
        <w:rPr>
          <w:rFonts w:cs="Times New Roman"/>
          <w:szCs w:val="24"/>
        </w:rPr>
        <w:t>развитие и внедрение инновационных методов диагностики, профилактики и лечения;</w:t>
      </w:r>
      <w:r>
        <w:rPr>
          <w:rFonts w:cs="Times New Roman"/>
          <w:szCs w:val="24"/>
        </w:rPr>
        <w:t xml:space="preserve"> </w:t>
      </w:r>
      <w:r w:rsidRPr="009827E5">
        <w:rPr>
          <w:rFonts w:cs="Times New Roman"/>
          <w:szCs w:val="24"/>
        </w:rPr>
        <w:t>повышение эффективности службы родовспоможения и детства;</w:t>
      </w:r>
      <w:r>
        <w:rPr>
          <w:rFonts w:cs="Times New Roman"/>
          <w:szCs w:val="24"/>
        </w:rPr>
        <w:t xml:space="preserve"> </w:t>
      </w:r>
      <w:r w:rsidRPr="009827E5">
        <w:rPr>
          <w:rFonts w:cs="Times New Roman"/>
          <w:szCs w:val="24"/>
        </w:rPr>
        <w:t>развитие медицинской реабилитации населения и совершенствование системы санаторно-курортного лечения, в том числе детей;</w:t>
      </w:r>
      <w:r>
        <w:rPr>
          <w:rFonts w:cs="Times New Roman"/>
          <w:szCs w:val="24"/>
        </w:rPr>
        <w:t xml:space="preserve"> </w:t>
      </w:r>
      <w:r w:rsidRPr="009827E5">
        <w:rPr>
          <w:rFonts w:cs="Times New Roman"/>
          <w:szCs w:val="24"/>
        </w:rPr>
        <w:t>обеспечение медицинской помощью неизлечимых больных, в том числе детей;</w:t>
      </w:r>
      <w:r>
        <w:rPr>
          <w:rFonts w:cs="Times New Roman"/>
          <w:szCs w:val="24"/>
        </w:rPr>
        <w:t xml:space="preserve">  </w:t>
      </w:r>
      <w:r w:rsidRPr="009827E5">
        <w:rPr>
          <w:rFonts w:cs="Times New Roman"/>
          <w:szCs w:val="24"/>
        </w:rPr>
        <w:t>повышение качества медицинского обслуживания населения Санкт-Петербурга.</w:t>
      </w:r>
    </w:p>
    <w:p w14:paraId="4D26FCD3" w14:textId="77777777" w:rsidR="003A2BAA" w:rsidRDefault="003A2BAA" w:rsidP="007A1FC9">
      <w:pPr>
        <w:rPr>
          <w:rFonts w:cs="Times New Roman"/>
          <w:szCs w:val="24"/>
        </w:rPr>
      </w:pPr>
      <w:r w:rsidRPr="004F0C0C">
        <w:rPr>
          <w:rFonts w:cs="Times New Roman"/>
          <w:szCs w:val="24"/>
        </w:rPr>
        <w:t>Основные мероприятия, которые должны быть реализованы в рамках вышеперечисленных задач это:</w:t>
      </w:r>
      <w:r>
        <w:rPr>
          <w:rFonts w:cs="Times New Roman"/>
          <w:szCs w:val="24"/>
        </w:rPr>
        <w:t xml:space="preserve"> т</w:t>
      </w:r>
      <w:r w:rsidRPr="004F0C0C">
        <w:rPr>
          <w:rFonts w:cs="Times New Roman"/>
          <w:szCs w:val="24"/>
        </w:rPr>
        <w:t xml:space="preserve">ехническое переоснащение объектов </w:t>
      </w:r>
      <w:r>
        <w:rPr>
          <w:rFonts w:cs="Times New Roman"/>
          <w:szCs w:val="24"/>
        </w:rPr>
        <w:t>здравоохранения, так как большая часть оборудования «</w:t>
      </w:r>
      <w:r w:rsidRPr="004E5DDF">
        <w:rPr>
          <w:rFonts w:cs="Times New Roman"/>
          <w:szCs w:val="24"/>
        </w:rPr>
        <w:t>технически и морально устарела</w:t>
      </w:r>
      <w:r>
        <w:rPr>
          <w:rFonts w:cs="Times New Roman"/>
          <w:szCs w:val="24"/>
        </w:rPr>
        <w:t>»; с</w:t>
      </w:r>
      <w:r w:rsidRPr="004E5DDF">
        <w:rPr>
          <w:rFonts w:cs="Times New Roman"/>
          <w:szCs w:val="24"/>
        </w:rPr>
        <w:t>троительство новых объектов здравоохранения</w:t>
      </w:r>
      <w:r>
        <w:rPr>
          <w:rFonts w:cs="Times New Roman"/>
          <w:szCs w:val="24"/>
        </w:rPr>
        <w:t xml:space="preserve"> и реконструкция существующих, а именно стационаров, </w:t>
      </w:r>
      <w:r w:rsidRPr="006F77C1">
        <w:rPr>
          <w:rFonts w:cs="Times New Roman"/>
          <w:szCs w:val="24"/>
        </w:rPr>
        <w:t>диагностических центров</w:t>
      </w:r>
      <w:r>
        <w:rPr>
          <w:rFonts w:cs="Times New Roman"/>
          <w:szCs w:val="24"/>
        </w:rPr>
        <w:t>, амбулаторий; повышения доступности и качества оказания медицинской помощи, особенно</w:t>
      </w:r>
      <w:r w:rsidRPr="006F77C1">
        <w:rPr>
          <w:rFonts w:cs="Times New Roman"/>
          <w:szCs w:val="24"/>
        </w:rPr>
        <w:t xml:space="preserve"> </w:t>
      </w:r>
      <w:r>
        <w:rPr>
          <w:rFonts w:cs="Times New Roman"/>
          <w:szCs w:val="24"/>
        </w:rPr>
        <w:t>в рамках системы охраны здоровья матери и ребенка (острая нехватка перинатальных центров); п</w:t>
      </w:r>
      <w:r w:rsidRPr="004E5DDF">
        <w:rPr>
          <w:rFonts w:cs="Times New Roman"/>
          <w:szCs w:val="24"/>
        </w:rPr>
        <w:t>роведение капитального ремонта зданий</w:t>
      </w:r>
      <w:r>
        <w:rPr>
          <w:rFonts w:cs="Times New Roman"/>
          <w:szCs w:val="24"/>
        </w:rPr>
        <w:t xml:space="preserve"> (около четверти объектов здравоохранения Санкт-Петербурга находится в аварийном состоянии).</w:t>
      </w:r>
    </w:p>
    <w:p w14:paraId="6BBDF7D3" w14:textId="77777777" w:rsidR="003A2BAA" w:rsidRDefault="003A2BAA" w:rsidP="007A1FC9">
      <w:pPr>
        <w:rPr>
          <w:rFonts w:cs="Times New Roman"/>
          <w:szCs w:val="24"/>
        </w:rPr>
      </w:pPr>
      <w:r w:rsidRPr="004E5DDF">
        <w:rPr>
          <w:rFonts w:cs="Times New Roman"/>
          <w:szCs w:val="24"/>
        </w:rPr>
        <w:t>Кроме этого</w:t>
      </w:r>
      <w:r>
        <w:rPr>
          <w:rFonts w:cs="Times New Roman"/>
          <w:szCs w:val="24"/>
        </w:rPr>
        <w:t>, особое внимание обращается на высокую потребность в развитии</w:t>
      </w:r>
      <w:r w:rsidRPr="004E5DDF">
        <w:rPr>
          <w:rFonts w:cs="Times New Roman"/>
          <w:szCs w:val="24"/>
        </w:rPr>
        <w:t xml:space="preserve"> системы санаторно-курортного леч</w:t>
      </w:r>
      <w:r>
        <w:rPr>
          <w:rFonts w:cs="Times New Roman"/>
          <w:szCs w:val="24"/>
        </w:rPr>
        <w:t xml:space="preserve">ения и медицинской реабилитации, в использовании </w:t>
      </w:r>
      <w:r w:rsidRPr="004E5DDF">
        <w:rPr>
          <w:rFonts w:cs="Times New Roman"/>
          <w:szCs w:val="24"/>
        </w:rPr>
        <w:t>современных ин</w:t>
      </w:r>
      <w:r>
        <w:rPr>
          <w:rFonts w:cs="Times New Roman"/>
          <w:szCs w:val="24"/>
        </w:rPr>
        <w:t xml:space="preserve">формационно-телекоммуникационных технологий, в частности телемедицины, в увлечении </w:t>
      </w:r>
      <w:r w:rsidRPr="008E4B62">
        <w:rPr>
          <w:rFonts w:cs="Times New Roman"/>
          <w:szCs w:val="24"/>
        </w:rPr>
        <w:t>коли</w:t>
      </w:r>
      <w:r>
        <w:rPr>
          <w:rFonts w:cs="Times New Roman"/>
          <w:szCs w:val="24"/>
        </w:rPr>
        <w:t>чества</w:t>
      </w:r>
      <w:r w:rsidRPr="008E4B62">
        <w:rPr>
          <w:rFonts w:cs="Times New Roman"/>
          <w:szCs w:val="24"/>
        </w:rPr>
        <w:t xml:space="preserve"> медицинских учреждений, оказывающих паллиативную медицинскую помощь</w:t>
      </w:r>
      <w:r>
        <w:rPr>
          <w:rFonts w:cs="Times New Roman"/>
          <w:szCs w:val="24"/>
        </w:rPr>
        <w:t>.</w:t>
      </w:r>
    </w:p>
    <w:p w14:paraId="71D95D4C" w14:textId="77777777" w:rsidR="003A2BAA" w:rsidRPr="005D1511" w:rsidRDefault="003A2BAA" w:rsidP="007A1FC9">
      <w:pPr>
        <w:rPr>
          <w:rFonts w:cs="Times New Roman"/>
          <w:szCs w:val="24"/>
        </w:rPr>
      </w:pPr>
      <w:r>
        <w:rPr>
          <w:rFonts w:cs="Times New Roman"/>
          <w:szCs w:val="24"/>
        </w:rPr>
        <w:t>Критической проблемой здравоохранения названо отсутствие возможности у</w:t>
      </w:r>
      <w:r w:rsidRPr="00C17142">
        <w:rPr>
          <w:rFonts w:cs="Times New Roman"/>
          <w:szCs w:val="24"/>
        </w:rPr>
        <w:t>довлетворения потребности отдельных категорий граждан в необходимых лекарственных препаратах и медицинских изделиях</w:t>
      </w:r>
      <w:r>
        <w:rPr>
          <w:rFonts w:cs="Times New Roman"/>
          <w:szCs w:val="24"/>
        </w:rPr>
        <w:t>. Проблема объясняется нехваткой бюджетных средств регионального уровня на закупку необходимого количества препаратов.</w:t>
      </w:r>
      <w:r w:rsidRPr="004D5441">
        <w:rPr>
          <w:rFonts w:cs="Times New Roman"/>
          <w:szCs w:val="24"/>
        </w:rPr>
        <w:t xml:space="preserve"> </w:t>
      </w:r>
      <w:r>
        <w:rPr>
          <w:rFonts w:cs="Times New Roman"/>
          <w:szCs w:val="24"/>
        </w:rPr>
        <w:t>Другими словами, город не имеет средств для исполнения своих обязательств перед населением. Очевидно, что для решения данной проблемы, Санкт-Петербургу необходимо найти способы по сокращению расходов на другие направления своей деятельности в сфере здравоохранения, например, на создание, содержание и управление объектами здравоохранения.</w:t>
      </w:r>
    </w:p>
    <w:p w14:paraId="3ADD325B" w14:textId="77777777" w:rsidR="003A2BAA" w:rsidRDefault="003A2BAA" w:rsidP="007A1FC9">
      <w:pPr>
        <w:rPr>
          <w:rFonts w:cs="Times New Roman"/>
          <w:szCs w:val="24"/>
        </w:rPr>
      </w:pPr>
      <w:r>
        <w:rPr>
          <w:rFonts w:cs="Times New Roman"/>
          <w:szCs w:val="24"/>
        </w:rPr>
        <w:lastRenderedPageBreak/>
        <w:t xml:space="preserve">Отдельно стоит обратить внимание на одну из задач, которая напрямую связана с развитием государственно-частного взаимодействия. В соответствии с содержанием государственной программы «Развитие здравоохранения в Санкт-Петербурге», государственные построенные и строящиеся лечебные учреждения должны быть переданы </w:t>
      </w:r>
      <w:r w:rsidRPr="00600257">
        <w:rPr>
          <w:rFonts w:cs="Times New Roman"/>
          <w:szCs w:val="24"/>
        </w:rPr>
        <w:t xml:space="preserve">в </w:t>
      </w:r>
      <w:r>
        <w:rPr>
          <w:rFonts w:cs="Times New Roman"/>
          <w:szCs w:val="24"/>
        </w:rPr>
        <w:t xml:space="preserve">доверительное </w:t>
      </w:r>
      <w:r w:rsidRPr="00600257">
        <w:rPr>
          <w:rFonts w:cs="Times New Roman"/>
          <w:szCs w:val="24"/>
        </w:rPr>
        <w:t>управление частным медицинским компаниям (</w:t>
      </w:r>
      <w:r>
        <w:rPr>
          <w:rFonts w:cs="Times New Roman"/>
          <w:szCs w:val="24"/>
        </w:rPr>
        <w:t>амбулаторно-поликлинические учреждения –</w:t>
      </w:r>
      <w:r w:rsidRPr="00600257">
        <w:rPr>
          <w:rFonts w:cs="Times New Roman"/>
          <w:szCs w:val="24"/>
        </w:rPr>
        <w:t xml:space="preserve"> до</w:t>
      </w:r>
      <w:r>
        <w:rPr>
          <w:rFonts w:cs="Times New Roman"/>
          <w:szCs w:val="24"/>
        </w:rPr>
        <w:t xml:space="preserve"> 50%, стационарные учреждения</w:t>
      </w:r>
      <w:r w:rsidRPr="00600257">
        <w:rPr>
          <w:rFonts w:cs="Times New Roman"/>
          <w:szCs w:val="24"/>
        </w:rPr>
        <w:t xml:space="preserve"> </w:t>
      </w:r>
      <w:r>
        <w:rPr>
          <w:rFonts w:cs="Times New Roman"/>
          <w:szCs w:val="24"/>
        </w:rPr>
        <w:t>–</w:t>
      </w:r>
      <w:r w:rsidRPr="00600257">
        <w:rPr>
          <w:rFonts w:cs="Times New Roman"/>
          <w:szCs w:val="24"/>
        </w:rPr>
        <w:t xml:space="preserve"> до 70%).</w:t>
      </w:r>
      <w:r>
        <w:rPr>
          <w:rFonts w:cs="Times New Roman"/>
          <w:szCs w:val="24"/>
        </w:rPr>
        <w:t xml:space="preserve"> То есть была выявлена еще одна форма взаимодействия власти и бизнеса, которая не была идентифицирована ранее в настоящем исследовании. До</w:t>
      </w:r>
      <w:r w:rsidRPr="005026E6">
        <w:rPr>
          <w:rFonts w:cs="Times New Roman"/>
          <w:szCs w:val="24"/>
        </w:rPr>
        <w:t>верительное управление — это</w:t>
      </w:r>
      <w:r>
        <w:rPr>
          <w:rFonts w:cs="Times New Roman"/>
          <w:szCs w:val="24"/>
        </w:rPr>
        <w:t xml:space="preserve"> форма, при которой</w:t>
      </w:r>
      <w:r w:rsidRPr="005026E6">
        <w:rPr>
          <w:rFonts w:cs="Times New Roman"/>
          <w:szCs w:val="24"/>
        </w:rPr>
        <w:t xml:space="preserve"> </w:t>
      </w:r>
      <w:r>
        <w:rPr>
          <w:rFonts w:cs="Times New Roman"/>
          <w:szCs w:val="24"/>
        </w:rPr>
        <w:t xml:space="preserve">одна сторона (учредитель управления) передает другой стороне (доверительному управляющему) на определённый срок (до 5 лет) имущество в доверительное управление, а другая сторона обязуется за определенное вознаграждение осуществлять управление этим имуществом в интересах учредителя управления. Передача имущества в доверительное управление не влечет перехода права собственности на него к доверительному управляющему. Данная форма взаимодействия бизнеса и власти привлекательна для последней по той причине, что «доверительный управляющий, не проявившей </w:t>
      </w:r>
      <w:r w:rsidRPr="00817833">
        <w:rPr>
          <w:rFonts w:cs="Times New Roman"/>
          <w:szCs w:val="24"/>
        </w:rPr>
        <w:t>при доверительном управлении имуществом должной заботливости об интересах у</w:t>
      </w:r>
      <w:r>
        <w:rPr>
          <w:rFonts w:cs="Times New Roman"/>
          <w:szCs w:val="24"/>
        </w:rPr>
        <w:t xml:space="preserve">чредителя управления, возмещает </w:t>
      </w:r>
      <w:r w:rsidRPr="00817833">
        <w:rPr>
          <w:rFonts w:cs="Times New Roman"/>
          <w:szCs w:val="24"/>
        </w:rPr>
        <w:t>учредителю управления убытки, причиненные утратой или повреждением имущества, с учетом его естественного износа, а также упущенную выгоду</w:t>
      </w:r>
      <w:r>
        <w:rPr>
          <w:rFonts w:cs="Times New Roman"/>
          <w:szCs w:val="24"/>
        </w:rPr>
        <w:t xml:space="preserve">», в соответствии с ст. 1022 ГК РФ. Из преимуществ данной формы эксперты называют </w:t>
      </w:r>
      <w:r w:rsidRPr="00DA5919">
        <w:rPr>
          <w:rFonts w:cs="Times New Roman"/>
          <w:szCs w:val="24"/>
        </w:rPr>
        <w:t xml:space="preserve">повышение </w:t>
      </w:r>
      <w:r>
        <w:rPr>
          <w:rFonts w:cs="Times New Roman"/>
          <w:szCs w:val="24"/>
        </w:rPr>
        <w:t>эффективности управления</w:t>
      </w:r>
      <w:r w:rsidRPr="00DA5919">
        <w:rPr>
          <w:rFonts w:cs="Times New Roman"/>
          <w:szCs w:val="24"/>
        </w:rPr>
        <w:t xml:space="preserve"> материальными и </w:t>
      </w:r>
      <w:r>
        <w:rPr>
          <w:rFonts w:cs="Times New Roman"/>
          <w:szCs w:val="24"/>
        </w:rPr>
        <w:t xml:space="preserve">человеческими </w:t>
      </w:r>
      <w:r w:rsidRPr="00DA5919">
        <w:rPr>
          <w:rFonts w:cs="Times New Roman"/>
          <w:szCs w:val="24"/>
        </w:rPr>
        <w:t>ресурсами</w:t>
      </w:r>
      <w:r>
        <w:rPr>
          <w:rFonts w:cs="Times New Roman"/>
          <w:szCs w:val="24"/>
        </w:rPr>
        <w:t>. Также следует заметить, что форма доверительного управления может быть с правом выкупа и без такого права. Нет оснований полагать, что Санкт-Петербург намерен заключать договоры доверительного управления с правом выкупа, поскольку это будет означать приватизацию объектов здравоохранения, тогда как, количество медицинских учреждений, который должны быть переданы в доверительное управление, в соответствии с содержанием государственной программы около половины от общего числа АПУ и до 70% от общего числа стационаров. Кроме того, с учетом текущего финансового положения</w:t>
      </w:r>
      <w:r w:rsidRPr="007112AA">
        <w:rPr>
          <w:rFonts w:cs="Times New Roman"/>
          <w:szCs w:val="24"/>
        </w:rPr>
        <w:t xml:space="preserve"> б</w:t>
      </w:r>
      <w:r>
        <w:rPr>
          <w:rFonts w:cs="Times New Roman"/>
          <w:szCs w:val="24"/>
        </w:rPr>
        <w:t xml:space="preserve">ольшей части </w:t>
      </w:r>
      <w:r w:rsidRPr="007112AA">
        <w:rPr>
          <w:rFonts w:cs="Times New Roman"/>
          <w:szCs w:val="24"/>
        </w:rPr>
        <w:t>населения</w:t>
      </w:r>
      <w:r>
        <w:rPr>
          <w:rFonts w:cs="Times New Roman"/>
          <w:szCs w:val="24"/>
        </w:rPr>
        <w:t xml:space="preserve"> Санкт-Петербурга,</w:t>
      </w:r>
      <w:r w:rsidRPr="007112AA">
        <w:rPr>
          <w:rFonts w:cs="Times New Roman"/>
          <w:szCs w:val="24"/>
        </w:rPr>
        <w:t xml:space="preserve"> глобальная коммерциализация </w:t>
      </w:r>
      <w:r>
        <w:rPr>
          <w:rFonts w:cs="Times New Roman"/>
          <w:szCs w:val="24"/>
        </w:rPr>
        <w:t xml:space="preserve">сферы </w:t>
      </w:r>
      <w:r w:rsidRPr="007112AA">
        <w:rPr>
          <w:rFonts w:cs="Times New Roman"/>
          <w:szCs w:val="24"/>
        </w:rPr>
        <w:t>здр</w:t>
      </w:r>
      <w:r>
        <w:rPr>
          <w:rFonts w:cs="Times New Roman"/>
          <w:szCs w:val="24"/>
        </w:rPr>
        <w:t>авоохранения неприемлема</w:t>
      </w:r>
      <w:r w:rsidRPr="007112AA">
        <w:rPr>
          <w:rFonts w:cs="Times New Roman"/>
          <w:szCs w:val="24"/>
        </w:rPr>
        <w:t>.</w:t>
      </w:r>
      <w:r>
        <w:rPr>
          <w:rFonts w:cs="Times New Roman"/>
          <w:szCs w:val="24"/>
        </w:rPr>
        <w:t xml:space="preserve"> То есть, можно утверждать, что договоры по данной форме будут заключены без права выкупа. </w:t>
      </w:r>
    </w:p>
    <w:p w14:paraId="52E1AFBD" w14:textId="77777777" w:rsidR="003A2BAA" w:rsidRDefault="003A2BAA" w:rsidP="007A1FC9">
      <w:pPr>
        <w:rPr>
          <w:rFonts w:cs="Times New Roman"/>
          <w:szCs w:val="24"/>
        </w:rPr>
      </w:pPr>
      <w:r>
        <w:rPr>
          <w:rFonts w:cs="Times New Roman"/>
          <w:szCs w:val="24"/>
        </w:rPr>
        <w:t>Однако, на основе того, что форма была указана в государственной программе, можно сделать вывод о готовности города отойти, снизить объём</w:t>
      </w:r>
      <w:r w:rsidRPr="00FE3FED">
        <w:rPr>
          <w:rFonts w:cs="Times New Roman"/>
          <w:szCs w:val="24"/>
        </w:rPr>
        <w:t xml:space="preserve"> непосредственного </w:t>
      </w:r>
      <w:r>
        <w:rPr>
          <w:rFonts w:cs="Times New Roman"/>
          <w:szCs w:val="24"/>
        </w:rPr>
        <w:t>руководства хозяйственной деятельностью объектов здравоохранения</w:t>
      </w:r>
      <w:r w:rsidRPr="00FE3FED">
        <w:rPr>
          <w:rFonts w:cs="Times New Roman"/>
          <w:szCs w:val="24"/>
        </w:rPr>
        <w:t xml:space="preserve">, </w:t>
      </w:r>
      <w:r>
        <w:rPr>
          <w:rFonts w:cs="Times New Roman"/>
          <w:szCs w:val="24"/>
        </w:rPr>
        <w:t>предоставив</w:t>
      </w:r>
      <w:r w:rsidRPr="00FE3FED">
        <w:rPr>
          <w:rFonts w:cs="Times New Roman"/>
          <w:szCs w:val="24"/>
        </w:rPr>
        <w:t xml:space="preserve"> </w:t>
      </w:r>
      <w:r>
        <w:rPr>
          <w:rFonts w:cs="Times New Roman"/>
          <w:szCs w:val="24"/>
        </w:rPr>
        <w:t xml:space="preserve">управление ими </w:t>
      </w:r>
      <w:r w:rsidRPr="00FE3FED">
        <w:rPr>
          <w:rFonts w:cs="Times New Roman"/>
          <w:szCs w:val="24"/>
        </w:rPr>
        <w:t xml:space="preserve">частному бизнесу, </w:t>
      </w:r>
      <w:r>
        <w:rPr>
          <w:rFonts w:cs="Times New Roman"/>
          <w:szCs w:val="24"/>
        </w:rPr>
        <w:t xml:space="preserve">при этом сохранив </w:t>
      </w:r>
      <w:r w:rsidRPr="00FE3FED">
        <w:rPr>
          <w:rFonts w:cs="Times New Roman"/>
          <w:szCs w:val="24"/>
        </w:rPr>
        <w:t>контрольны</w:t>
      </w:r>
      <w:r>
        <w:rPr>
          <w:rFonts w:cs="Times New Roman"/>
          <w:szCs w:val="24"/>
        </w:rPr>
        <w:t xml:space="preserve">е рычаги за деятельностью частной стороны. Другими словами, </w:t>
      </w:r>
      <w:r w:rsidRPr="00FE3FED">
        <w:rPr>
          <w:rFonts w:cs="Times New Roman"/>
          <w:szCs w:val="24"/>
        </w:rPr>
        <w:t xml:space="preserve">государство, благодаря использованию </w:t>
      </w:r>
      <w:r w:rsidRPr="00FE3FED">
        <w:rPr>
          <w:rFonts w:cs="Times New Roman"/>
          <w:szCs w:val="24"/>
        </w:rPr>
        <w:lastRenderedPageBreak/>
        <w:t>различных форм взаимодействия власти и бизнеса, получит более благоприятную возможность заняться исполнением своих основных функций – контролем, регулированием, соблюдением обществен</w:t>
      </w:r>
      <w:r>
        <w:rPr>
          <w:rFonts w:cs="Times New Roman"/>
          <w:szCs w:val="24"/>
        </w:rPr>
        <w:t>ных интересов, сместив</w:t>
      </w:r>
      <w:r w:rsidRPr="00FE3FED">
        <w:rPr>
          <w:rFonts w:cs="Times New Roman"/>
          <w:szCs w:val="24"/>
        </w:rPr>
        <w:t xml:space="preserve"> акценты своей деятельности с конкретных проблем строительства и эксплуатации объектов на административно-контрольные функции. И немаловажно в связи с этим то, что неизбежные предпринимательские риски перера</w:t>
      </w:r>
      <w:r>
        <w:rPr>
          <w:rFonts w:cs="Times New Roman"/>
          <w:szCs w:val="24"/>
        </w:rPr>
        <w:t>спределяются в сторону бизнеса.</w:t>
      </w:r>
      <w:r>
        <w:rPr>
          <w:rStyle w:val="afa"/>
          <w:rFonts w:cs="Times New Roman"/>
          <w:szCs w:val="24"/>
        </w:rPr>
        <w:footnoteReference w:id="38"/>
      </w:r>
    </w:p>
    <w:p w14:paraId="371FC7F8" w14:textId="77777777" w:rsidR="003A2BAA" w:rsidRPr="004315DE" w:rsidRDefault="003A2BAA" w:rsidP="007A1FC9">
      <w:pPr>
        <w:rPr>
          <w:rFonts w:eastAsia="Times New Roman" w:cs="Times New Roman"/>
          <w:szCs w:val="24"/>
          <w:lang w:eastAsia="ru-RU"/>
        </w:rPr>
      </w:pPr>
      <w:r>
        <w:rPr>
          <w:rFonts w:eastAsia="Times New Roman" w:cs="Times New Roman"/>
          <w:szCs w:val="24"/>
          <w:lang w:eastAsia="ru-RU"/>
        </w:rPr>
        <w:t xml:space="preserve">Далее перейдем к анализу </w:t>
      </w:r>
      <w:r w:rsidRPr="004315DE">
        <w:rPr>
          <w:rFonts w:eastAsia="Times New Roman" w:cs="Times New Roman"/>
          <w:szCs w:val="24"/>
          <w:lang w:eastAsia="ru-RU"/>
        </w:rPr>
        <w:t>Стратегии инвестиционного развития</w:t>
      </w:r>
      <w:r>
        <w:rPr>
          <w:rFonts w:eastAsia="Times New Roman" w:cs="Times New Roman"/>
          <w:szCs w:val="24"/>
          <w:lang w:eastAsia="ru-RU"/>
        </w:rPr>
        <w:t>. В ней</w:t>
      </w:r>
      <w:r w:rsidRPr="004315DE">
        <w:rPr>
          <w:rFonts w:eastAsia="Times New Roman" w:cs="Times New Roman"/>
          <w:szCs w:val="24"/>
          <w:lang w:eastAsia="ru-RU"/>
        </w:rPr>
        <w:t xml:space="preserve"> указано, что здравоохранение относится к отраслям с неинтенсивным предложением инвестиционных проектов. Соответственно, необходимо создание особых условий для привлечения частных инвестиций в данную сферу. Также в Стратегии </w:t>
      </w:r>
      <w:r>
        <w:rPr>
          <w:rFonts w:eastAsia="Times New Roman" w:cs="Times New Roman"/>
          <w:szCs w:val="24"/>
          <w:lang w:eastAsia="ru-RU"/>
        </w:rPr>
        <w:t xml:space="preserve">подчеркивается, что </w:t>
      </w:r>
      <w:r w:rsidRPr="002F19A7">
        <w:rPr>
          <w:rFonts w:eastAsia="Times New Roman" w:cs="Times New Roman"/>
          <w:i/>
          <w:szCs w:val="24"/>
          <w:lang w:eastAsia="ru-RU"/>
        </w:rPr>
        <w:t xml:space="preserve">многие инвестиционные проекты в рамках медицинского кластера инициируются уже существующими учреждениями здравоохранения и медицинской промышленности. </w:t>
      </w:r>
      <w:r>
        <w:rPr>
          <w:rFonts w:eastAsia="Times New Roman" w:cs="Times New Roman"/>
          <w:szCs w:val="24"/>
          <w:lang w:eastAsia="ru-RU"/>
        </w:rPr>
        <w:t>Кроме того, участники таких проектов с частной стороны – представители крупного бизнеса. Однако, этот факт лишь подчеркивает, что для развития здравоохранения в Санкт-Петербурге зачастую необходимо реализовывать именно крупные инфраструктурные проекты, в которых, очевидно, может принять участие только крупный бизнес. Помимо материально-технического несоответствия существующих объектов здравоохранения, которым требуется серьезная финансовая поддержка для модернизации. То есть в Стратегии инвестиционного развития частные инвестиции в большей мере рассматриваются, как инструмент для создания необходимого количества медицинских учреждений для обеспечения доступа к медицинскому обслуживанию всего населения Санкт-Петербурга.</w:t>
      </w:r>
    </w:p>
    <w:p w14:paraId="5947348F" w14:textId="77777777" w:rsidR="003A2BAA" w:rsidRDefault="003A2BAA" w:rsidP="007A1FC9">
      <w:pPr>
        <w:rPr>
          <w:rFonts w:eastAsia="Times New Roman" w:cs="Times New Roman"/>
          <w:szCs w:val="24"/>
          <w:lang w:eastAsia="ru-RU"/>
        </w:rPr>
      </w:pPr>
      <w:r>
        <w:rPr>
          <w:rFonts w:eastAsia="Times New Roman" w:cs="Times New Roman"/>
          <w:szCs w:val="24"/>
          <w:lang w:eastAsia="ru-RU"/>
        </w:rPr>
        <w:t>Также с помощью анализа Стратегии инвестиционного развития было выявлены формы взаимодействия государства и бизнеса, которые не были идентифицированы ранее в настоящей работе:</w:t>
      </w:r>
    </w:p>
    <w:p w14:paraId="1BB82605" w14:textId="77777777" w:rsidR="003A2BAA" w:rsidRPr="00C42BD1" w:rsidRDefault="003A2BAA" w:rsidP="00486867">
      <w:pPr>
        <w:pStyle w:val="af5"/>
        <w:numPr>
          <w:ilvl w:val="0"/>
          <w:numId w:val="25"/>
        </w:numPr>
        <w:jc w:val="left"/>
        <w:rPr>
          <w:rFonts w:eastAsia="Times New Roman" w:cs="Times New Roman"/>
          <w:szCs w:val="24"/>
          <w:lang w:eastAsia="ru-RU"/>
        </w:rPr>
      </w:pPr>
      <w:r>
        <w:rPr>
          <w:rFonts w:eastAsia="Times New Roman" w:cs="Times New Roman"/>
          <w:szCs w:val="24"/>
          <w:lang w:eastAsia="ru-RU"/>
        </w:rPr>
        <w:t>инвестиционный</w:t>
      </w:r>
      <w:r w:rsidRPr="00C42BD1">
        <w:rPr>
          <w:rFonts w:eastAsia="Times New Roman" w:cs="Times New Roman"/>
          <w:szCs w:val="24"/>
          <w:lang w:eastAsia="ru-RU"/>
        </w:rPr>
        <w:t xml:space="preserve"> договор;</w:t>
      </w:r>
    </w:p>
    <w:p w14:paraId="02976004" w14:textId="77777777" w:rsidR="003A2BAA" w:rsidRPr="00C42BD1" w:rsidRDefault="003A2BAA" w:rsidP="00486867">
      <w:pPr>
        <w:pStyle w:val="af5"/>
        <w:numPr>
          <w:ilvl w:val="0"/>
          <w:numId w:val="25"/>
        </w:numPr>
        <w:jc w:val="left"/>
        <w:rPr>
          <w:rFonts w:eastAsia="Times New Roman" w:cs="Times New Roman"/>
          <w:szCs w:val="24"/>
          <w:lang w:eastAsia="ru-RU"/>
        </w:rPr>
      </w:pPr>
      <w:r>
        <w:rPr>
          <w:rFonts w:eastAsia="Times New Roman" w:cs="Times New Roman"/>
          <w:szCs w:val="24"/>
          <w:lang w:eastAsia="ru-RU"/>
        </w:rPr>
        <w:t xml:space="preserve">договор </w:t>
      </w:r>
      <w:r w:rsidRPr="00C42BD1">
        <w:rPr>
          <w:rFonts w:eastAsia="Times New Roman" w:cs="Times New Roman"/>
          <w:szCs w:val="24"/>
          <w:lang w:eastAsia="ru-RU"/>
        </w:rPr>
        <w:t>аренды земельного участка на инвестиционных условиях;</w:t>
      </w:r>
    </w:p>
    <w:p w14:paraId="044B36E6" w14:textId="77777777" w:rsidR="003A2BAA" w:rsidRPr="00C42BD1" w:rsidRDefault="003A2BAA" w:rsidP="00486867">
      <w:pPr>
        <w:pStyle w:val="af5"/>
        <w:numPr>
          <w:ilvl w:val="0"/>
          <w:numId w:val="25"/>
        </w:numPr>
        <w:jc w:val="left"/>
        <w:rPr>
          <w:rFonts w:eastAsia="Times New Roman" w:cs="Times New Roman"/>
          <w:szCs w:val="24"/>
          <w:lang w:eastAsia="ru-RU"/>
        </w:rPr>
      </w:pPr>
      <w:r w:rsidRPr="00C42BD1">
        <w:rPr>
          <w:rFonts w:eastAsia="Times New Roman" w:cs="Times New Roman"/>
          <w:szCs w:val="24"/>
          <w:lang w:eastAsia="ru-RU"/>
        </w:rPr>
        <w:t>договор купли-продажи земельного участка на инвестиционных условиях.</w:t>
      </w:r>
    </w:p>
    <w:p w14:paraId="5485C6EF" w14:textId="77777777" w:rsidR="003A2BAA" w:rsidRPr="00781E20" w:rsidRDefault="003A2BAA" w:rsidP="007A1FC9">
      <w:pPr>
        <w:rPr>
          <w:rFonts w:eastAsia="Times New Roman" w:cs="Times New Roman"/>
          <w:szCs w:val="24"/>
          <w:lang w:eastAsia="ru-RU"/>
        </w:rPr>
      </w:pPr>
      <w:r>
        <w:rPr>
          <w:rFonts w:eastAsia="Times New Roman" w:cs="Times New Roman"/>
          <w:szCs w:val="24"/>
          <w:lang w:eastAsia="ru-RU"/>
        </w:rPr>
        <w:t>Эти формы определяются в документе стратегического планирования как меры государственной поддержки для развития предпринимательства и повышения инвестиционной активности. Все три договора представляют собой смешанные</w:t>
      </w:r>
      <w:r w:rsidRPr="00371635">
        <w:rPr>
          <w:rFonts w:eastAsia="Times New Roman" w:cs="Times New Roman"/>
          <w:szCs w:val="24"/>
          <w:lang w:eastAsia="ru-RU"/>
        </w:rPr>
        <w:t xml:space="preserve"> договор</w:t>
      </w:r>
      <w:r>
        <w:rPr>
          <w:rFonts w:eastAsia="Times New Roman" w:cs="Times New Roman"/>
          <w:szCs w:val="24"/>
          <w:lang w:eastAsia="ru-RU"/>
        </w:rPr>
        <w:t>ы, направленные</w:t>
      </w:r>
      <w:r w:rsidRPr="00371635">
        <w:rPr>
          <w:rFonts w:eastAsia="Times New Roman" w:cs="Times New Roman"/>
          <w:szCs w:val="24"/>
          <w:lang w:eastAsia="ru-RU"/>
        </w:rPr>
        <w:t xml:space="preserve"> на осуществление инвестиционной деятельности</w:t>
      </w:r>
      <w:r>
        <w:rPr>
          <w:rFonts w:eastAsia="Times New Roman" w:cs="Times New Roman"/>
          <w:szCs w:val="24"/>
          <w:lang w:eastAsia="ru-RU"/>
        </w:rPr>
        <w:t xml:space="preserve"> </w:t>
      </w:r>
      <w:r w:rsidRPr="00371635">
        <w:rPr>
          <w:rFonts w:eastAsia="Times New Roman" w:cs="Times New Roman"/>
          <w:szCs w:val="24"/>
          <w:lang w:eastAsia="ru-RU"/>
        </w:rPr>
        <w:t xml:space="preserve">в отношении земельного </w:t>
      </w:r>
      <w:r w:rsidRPr="00371635">
        <w:rPr>
          <w:rFonts w:eastAsia="Times New Roman" w:cs="Times New Roman"/>
          <w:szCs w:val="24"/>
          <w:lang w:eastAsia="ru-RU"/>
        </w:rPr>
        <w:lastRenderedPageBreak/>
        <w:t>участка</w:t>
      </w:r>
      <w:r>
        <w:rPr>
          <w:rFonts w:eastAsia="Times New Roman" w:cs="Times New Roman"/>
          <w:szCs w:val="24"/>
          <w:lang w:eastAsia="ru-RU"/>
        </w:rPr>
        <w:t>. Ключевое отличие заключается в правовой форме предоставления объекта недвижимости и результата инвестирования. Земельный участок может представляться с правом его застройки, в аренду (договор аренды), в собственность (договор купли-продажи), в постоянное (бессрочное) пользование, безвозмездное срочное пользование, на праве ограниченного пользования (сервитута) и с возникновением права собственности (хозяйственного ведения, оперативного управления) инвестора на результат инвестирования.  Помимо земельного участка, могут предоставляться также здания, строения, сооружения, подлежащие реконструкции или требующие завершения строительства, для осуществления инвестиционной детальности в целях создания нового объекта недвижимого имущества с возникновение права собственности инвестора на результат инвестирования. Далее форма взаимодействия власти и бизнеса, основанная на этих договорах, будет именоваться – «инвестиционный договор». Эти форма</w:t>
      </w:r>
      <w:r w:rsidRPr="00EA4B0D">
        <w:rPr>
          <w:rFonts w:eastAsia="Times New Roman" w:cs="Times New Roman"/>
          <w:szCs w:val="24"/>
          <w:lang w:eastAsia="ru-RU"/>
        </w:rPr>
        <w:t xml:space="preserve"> </w:t>
      </w:r>
      <w:r>
        <w:rPr>
          <w:rFonts w:eastAsia="Times New Roman" w:cs="Times New Roman"/>
          <w:szCs w:val="24"/>
          <w:lang w:eastAsia="ru-RU"/>
        </w:rPr>
        <w:t xml:space="preserve">в соответствии с Стратегии инвестиционного развития должна использоваться </w:t>
      </w:r>
      <w:r w:rsidRPr="00EA4B0D">
        <w:rPr>
          <w:rFonts w:eastAsia="Times New Roman" w:cs="Times New Roman"/>
          <w:szCs w:val="24"/>
          <w:lang w:eastAsia="ru-RU"/>
        </w:rPr>
        <w:t>в целях размещения объектов социально-культурного назначения</w:t>
      </w:r>
      <w:r>
        <w:rPr>
          <w:rFonts w:eastAsia="Times New Roman" w:cs="Times New Roman"/>
          <w:szCs w:val="24"/>
          <w:lang w:eastAsia="ru-RU"/>
        </w:rPr>
        <w:t>, к которым, в том числе, относятся объекты здравоохранения.</w:t>
      </w:r>
    </w:p>
    <w:p w14:paraId="2B2DA432" w14:textId="0E9F184A" w:rsidR="003A2BAA" w:rsidRDefault="003A2BAA" w:rsidP="007A1FC9">
      <w:pPr>
        <w:rPr>
          <w:rFonts w:cs="Times New Roman"/>
          <w:szCs w:val="24"/>
        </w:rPr>
      </w:pPr>
      <w:r>
        <w:rPr>
          <w:rFonts w:cs="Times New Roman"/>
          <w:szCs w:val="24"/>
        </w:rPr>
        <w:t>Итак, для решения задач социально-экономического развития в сфере здравоохранения могут применяться следующие формы:</w:t>
      </w:r>
    </w:p>
    <w:p w14:paraId="08737A1F" w14:textId="19BB08F2" w:rsidR="004A2217" w:rsidRPr="00153D8A" w:rsidRDefault="004A2217" w:rsidP="004A2217">
      <w:pPr>
        <w:pStyle w:val="a0"/>
      </w:pPr>
      <w:r>
        <w:t xml:space="preserve"> Сопоставление форм взаимодействия власти и бизнеса с целями и задачами СЭР и ГП</w:t>
      </w:r>
    </w:p>
    <w:tbl>
      <w:tblPr>
        <w:tblStyle w:val="af6"/>
        <w:tblW w:w="11057" w:type="dxa"/>
        <w:tblInd w:w="-1281" w:type="dxa"/>
        <w:tblLayout w:type="fixed"/>
        <w:tblLook w:val="04A0" w:firstRow="1" w:lastRow="0" w:firstColumn="1" w:lastColumn="0" w:noHBand="0" w:noVBand="1"/>
      </w:tblPr>
      <w:tblGrid>
        <w:gridCol w:w="1702"/>
        <w:gridCol w:w="1842"/>
        <w:gridCol w:w="993"/>
        <w:gridCol w:w="850"/>
        <w:gridCol w:w="709"/>
        <w:gridCol w:w="850"/>
        <w:gridCol w:w="709"/>
        <w:gridCol w:w="567"/>
        <w:gridCol w:w="1559"/>
        <w:gridCol w:w="1276"/>
      </w:tblGrid>
      <w:tr w:rsidR="003A2BAA" w14:paraId="3DEB2D51" w14:textId="77777777" w:rsidTr="00ED2B7B">
        <w:trPr>
          <w:tblHeader/>
        </w:trPr>
        <w:tc>
          <w:tcPr>
            <w:tcW w:w="1702" w:type="dxa"/>
            <w:vMerge w:val="restart"/>
            <w:vAlign w:val="center"/>
          </w:tcPr>
          <w:p w14:paraId="1100D381" w14:textId="77777777" w:rsidR="003A2BAA" w:rsidRPr="003A2BAA" w:rsidRDefault="003A2BAA" w:rsidP="003A2BAA">
            <w:pPr>
              <w:spacing w:line="240" w:lineRule="auto"/>
              <w:ind w:firstLine="0"/>
              <w:jc w:val="left"/>
              <w:rPr>
                <w:rFonts w:cs="Times New Roman"/>
                <w:b/>
                <w:sz w:val="20"/>
                <w:szCs w:val="20"/>
              </w:rPr>
            </w:pPr>
            <w:r w:rsidRPr="003A2BAA">
              <w:rPr>
                <w:rFonts w:cs="Times New Roman"/>
                <w:b/>
                <w:sz w:val="20"/>
                <w:szCs w:val="20"/>
              </w:rPr>
              <w:t>Цели и задачи Стратегии СЭР СПб, ГП</w:t>
            </w:r>
          </w:p>
        </w:tc>
        <w:tc>
          <w:tcPr>
            <w:tcW w:w="1842" w:type="dxa"/>
            <w:vMerge w:val="restart"/>
            <w:vAlign w:val="center"/>
          </w:tcPr>
          <w:p w14:paraId="67BEBE53" w14:textId="77777777" w:rsidR="003A2BAA" w:rsidRPr="003A2BAA" w:rsidRDefault="003A2BAA" w:rsidP="003A2BAA">
            <w:pPr>
              <w:spacing w:line="240" w:lineRule="auto"/>
              <w:ind w:firstLine="0"/>
              <w:jc w:val="left"/>
              <w:rPr>
                <w:rFonts w:cs="Times New Roman"/>
                <w:b/>
                <w:sz w:val="20"/>
                <w:szCs w:val="20"/>
              </w:rPr>
            </w:pPr>
            <w:r w:rsidRPr="003A2BAA">
              <w:rPr>
                <w:rFonts w:cs="Times New Roman"/>
                <w:b/>
                <w:sz w:val="20"/>
                <w:szCs w:val="20"/>
              </w:rPr>
              <w:t xml:space="preserve">Ключевые мероприятия </w:t>
            </w:r>
          </w:p>
        </w:tc>
        <w:tc>
          <w:tcPr>
            <w:tcW w:w="7513" w:type="dxa"/>
            <w:gridSpan w:val="8"/>
            <w:vAlign w:val="center"/>
          </w:tcPr>
          <w:p w14:paraId="1B98546A" w14:textId="77777777" w:rsidR="003A2BAA" w:rsidRPr="003A2BAA" w:rsidRDefault="003A2BAA" w:rsidP="003A2BAA">
            <w:pPr>
              <w:spacing w:line="240" w:lineRule="auto"/>
              <w:jc w:val="center"/>
              <w:rPr>
                <w:rFonts w:cs="Times New Roman"/>
                <w:b/>
                <w:sz w:val="20"/>
                <w:szCs w:val="20"/>
              </w:rPr>
            </w:pPr>
            <w:r w:rsidRPr="003A2BAA">
              <w:rPr>
                <w:rFonts w:cs="Times New Roman"/>
                <w:b/>
                <w:sz w:val="20"/>
                <w:szCs w:val="20"/>
              </w:rPr>
              <w:t>Формы взаимодействия государства и бизнеса</w:t>
            </w:r>
          </w:p>
        </w:tc>
      </w:tr>
      <w:tr w:rsidR="003A2BAA" w14:paraId="3776D86F" w14:textId="77777777" w:rsidTr="00ED2B7B">
        <w:trPr>
          <w:tblHeader/>
        </w:trPr>
        <w:tc>
          <w:tcPr>
            <w:tcW w:w="1702" w:type="dxa"/>
            <w:vMerge/>
          </w:tcPr>
          <w:p w14:paraId="023648DB" w14:textId="77777777" w:rsidR="003A2BAA" w:rsidRPr="000E4375" w:rsidRDefault="003A2BAA" w:rsidP="003A2BAA">
            <w:pPr>
              <w:spacing w:line="240" w:lineRule="auto"/>
              <w:ind w:firstLine="0"/>
              <w:jc w:val="left"/>
              <w:rPr>
                <w:rFonts w:cs="Times New Roman"/>
                <w:sz w:val="20"/>
                <w:szCs w:val="20"/>
              </w:rPr>
            </w:pPr>
          </w:p>
        </w:tc>
        <w:tc>
          <w:tcPr>
            <w:tcW w:w="1842" w:type="dxa"/>
            <w:vMerge/>
            <w:vAlign w:val="center"/>
          </w:tcPr>
          <w:p w14:paraId="7795B785" w14:textId="77777777" w:rsidR="003A2BAA" w:rsidRPr="000E4375" w:rsidRDefault="003A2BAA" w:rsidP="003A2BAA">
            <w:pPr>
              <w:spacing w:line="240" w:lineRule="auto"/>
              <w:ind w:firstLine="0"/>
              <w:jc w:val="left"/>
              <w:rPr>
                <w:rFonts w:cs="Times New Roman"/>
                <w:sz w:val="20"/>
                <w:szCs w:val="20"/>
              </w:rPr>
            </w:pPr>
          </w:p>
        </w:tc>
        <w:tc>
          <w:tcPr>
            <w:tcW w:w="993" w:type="dxa"/>
            <w:vAlign w:val="center"/>
          </w:tcPr>
          <w:p w14:paraId="45AE71D7" w14:textId="77777777" w:rsidR="003A2BAA" w:rsidRPr="003A2BAA" w:rsidRDefault="003A2BAA" w:rsidP="003A2BAA">
            <w:pPr>
              <w:pStyle w:val="ae"/>
              <w:spacing w:line="240" w:lineRule="auto"/>
              <w:jc w:val="center"/>
              <w:rPr>
                <w:rFonts w:cs="Times New Roman"/>
                <w:sz w:val="20"/>
                <w:szCs w:val="20"/>
              </w:rPr>
            </w:pPr>
            <w:r w:rsidRPr="003A2BAA">
              <w:rPr>
                <w:rFonts w:cs="Times New Roman"/>
                <w:sz w:val="20"/>
                <w:szCs w:val="20"/>
              </w:rPr>
              <w:t>Гос. закупки</w:t>
            </w:r>
          </w:p>
        </w:tc>
        <w:tc>
          <w:tcPr>
            <w:tcW w:w="850" w:type="dxa"/>
            <w:vAlign w:val="center"/>
          </w:tcPr>
          <w:p w14:paraId="50520DB6" w14:textId="77777777" w:rsidR="003A2BAA" w:rsidRPr="003A2BAA" w:rsidRDefault="003A2BAA" w:rsidP="003A2BAA">
            <w:pPr>
              <w:pStyle w:val="ae"/>
              <w:spacing w:line="240" w:lineRule="auto"/>
              <w:jc w:val="center"/>
              <w:rPr>
                <w:rFonts w:cs="Times New Roman"/>
                <w:sz w:val="20"/>
                <w:szCs w:val="20"/>
              </w:rPr>
            </w:pPr>
            <w:r w:rsidRPr="003A2BAA">
              <w:rPr>
                <w:rFonts w:cs="Times New Roman"/>
                <w:sz w:val="20"/>
                <w:szCs w:val="20"/>
              </w:rPr>
              <w:t>Лизинг</w:t>
            </w:r>
          </w:p>
        </w:tc>
        <w:tc>
          <w:tcPr>
            <w:tcW w:w="709" w:type="dxa"/>
            <w:vAlign w:val="center"/>
          </w:tcPr>
          <w:p w14:paraId="76E4D954" w14:textId="77777777" w:rsidR="003A2BAA" w:rsidRPr="003A2BAA" w:rsidRDefault="003A2BAA" w:rsidP="003A2BAA">
            <w:pPr>
              <w:pStyle w:val="ae"/>
              <w:spacing w:line="240" w:lineRule="auto"/>
              <w:jc w:val="center"/>
              <w:rPr>
                <w:rFonts w:cs="Times New Roman"/>
                <w:sz w:val="20"/>
                <w:szCs w:val="20"/>
              </w:rPr>
            </w:pPr>
            <w:r w:rsidRPr="003A2BAA">
              <w:rPr>
                <w:rFonts w:cs="Times New Roman"/>
                <w:sz w:val="20"/>
                <w:szCs w:val="20"/>
              </w:rPr>
              <w:t>КЖЦ</w:t>
            </w:r>
          </w:p>
        </w:tc>
        <w:tc>
          <w:tcPr>
            <w:tcW w:w="850" w:type="dxa"/>
            <w:vAlign w:val="center"/>
          </w:tcPr>
          <w:p w14:paraId="44726007" w14:textId="77777777" w:rsidR="003A2BAA" w:rsidRPr="003A2BAA" w:rsidRDefault="003A2BAA" w:rsidP="003A2BAA">
            <w:pPr>
              <w:pStyle w:val="ae"/>
              <w:spacing w:line="240" w:lineRule="auto"/>
              <w:jc w:val="center"/>
              <w:rPr>
                <w:rFonts w:cs="Times New Roman"/>
                <w:sz w:val="20"/>
                <w:szCs w:val="20"/>
              </w:rPr>
            </w:pPr>
            <w:r w:rsidRPr="003A2BAA">
              <w:rPr>
                <w:rFonts w:cs="Times New Roman"/>
                <w:sz w:val="20"/>
                <w:szCs w:val="20"/>
              </w:rPr>
              <w:t>СПИК</w:t>
            </w:r>
          </w:p>
        </w:tc>
        <w:tc>
          <w:tcPr>
            <w:tcW w:w="709" w:type="dxa"/>
            <w:vAlign w:val="center"/>
          </w:tcPr>
          <w:p w14:paraId="72DAD7C3" w14:textId="77777777" w:rsidR="003A2BAA" w:rsidRPr="003A2BAA" w:rsidRDefault="003A2BAA" w:rsidP="003A2BAA">
            <w:pPr>
              <w:pStyle w:val="ae"/>
              <w:spacing w:line="240" w:lineRule="auto"/>
              <w:jc w:val="center"/>
              <w:rPr>
                <w:rFonts w:cs="Times New Roman"/>
                <w:sz w:val="20"/>
                <w:szCs w:val="20"/>
              </w:rPr>
            </w:pPr>
            <w:r w:rsidRPr="003A2BAA">
              <w:rPr>
                <w:rFonts w:cs="Times New Roman"/>
                <w:sz w:val="20"/>
                <w:szCs w:val="20"/>
              </w:rPr>
              <w:t>ГЧП</w:t>
            </w:r>
          </w:p>
        </w:tc>
        <w:tc>
          <w:tcPr>
            <w:tcW w:w="567" w:type="dxa"/>
            <w:vAlign w:val="center"/>
          </w:tcPr>
          <w:p w14:paraId="50945145" w14:textId="77777777" w:rsidR="003A2BAA" w:rsidRPr="003A2BAA" w:rsidRDefault="003A2BAA" w:rsidP="003A2BAA">
            <w:pPr>
              <w:pStyle w:val="ae"/>
              <w:spacing w:line="240" w:lineRule="auto"/>
              <w:jc w:val="center"/>
              <w:rPr>
                <w:rFonts w:cs="Times New Roman"/>
                <w:sz w:val="20"/>
                <w:szCs w:val="20"/>
              </w:rPr>
            </w:pPr>
            <w:r w:rsidRPr="003A2BAA">
              <w:rPr>
                <w:rFonts w:cs="Times New Roman"/>
                <w:sz w:val="20"/>
                <w:szCs w:val="20"/>
              </w:rPr>
              <w:t>КС</w:t>
            </w:r>
          </w:p>
        </w:tc>
        <w:tc>
          <w:tcPr>
            <w:tcW w:w="1559" w:type="dxa"/>
            <w:vAlign w:val="center"/>
          </w:tcPr>
          <w:p w14:paraId="64FEA09A" w14:textId="77777777" w:rsidR="003A2BAA" w:rsidRPr="003A2BAA" w:rsidRDefault="003A2BAA" w:rsidP="003A2BAA">
            <w:pPr>
              <w:pStyle w:val="ae"/>
              <w:spacing w:line="240" w:lineRule="auto"/>
              <w:jc w:val="center"/>
              <w:rPr>
                <w:rFonts w:cs="Times New Roman"/>
                <w:sz w:val="20"/>
                <w:szCs w:val="20"/>
              </w:rPr>
            </w:pPr>
            <w:r w:rsidRPr="003A2BAA">
              <w:rPr>
                <w:rFonts w:cs="Times New Roman"/>
                <w:sz w:val="20"/>
                <w:szCs w:val="20"/>
              </w:rPr>
              <w:t>Доверительное</w:t>
            </w:r>
          </w:p>
          <w:p w14:paraId="17641A4D" w14:textId="77777777" w:rsidR="003A2BAA" w:rsidRPr="003A2BAA" w:rsidRDefault="003A2BAA" w:rsidP="003A2BAA">
            <w:pPr>
              <w:pStyle w:val="ae"/>
              <w:spacing w:line="240" w:lineRule="auto"/>
              <w:jc w:val="center"/>
              <w:rPr>
                <w:rFonts w:cs="Times New Roman"/>
                <w:sz w:val="20"/>
                <w:szCs w:val="20"/>
              </w:rPr>
            </w:pPr>
            <w:r w:rsidRPr="003A2BAA">
              <w:rPr>
                <w:rFonts w:cs="Times New Roman"/>
                <w:sz w:val="20"/>
                <w:szCs w:val="20"/>
              </w:rPr>
              <w:t>управ-е</w:t>
            </w:r>
          </w:p>
        </w:tc>
        <w:tc>
          <w:tcPr>
            <w:tcW w:w="1276" w:type="dxa"/>
            <w:vAlign w:val="center"/>
          </w:tcPr>
          <w:p w14:paraId="7651B417" w14:textId="77777777" w:rsidR="003A2BAA" w:rsidRPr="003A2BAA" w:rsidRDefault="003A2BAA" w:rsidP="003A2BAA">
            <w:pPr>
              <w:pStyle w:val="ae"/>
              <w:spacing w:line="240" w:lineRule="auto"/>
              <w:jc w:val="center"/>
              <w:rPr>
                <w:rFonts w:cs="Times New Roman"/>
                <w:sz w:val="20"/>
                <w:szCs w:val="20"/>
              </w:rPr>
            </w:pPr>
            <w:r w:rsidRPr="003A2BAA">
              <w:rPr>
                <w:rFonts w:cs="Times New Roman"/>
                <w:sz w:val="20"/>
                <w:szCs w:val="20"/>
              </w:rPr>
              <w:t>Инвест-</w:t>
            </w:r>
            <w:proofErr w:type="spellStart"/>
            <w:r w:rsidRPr="003A2BAA">
              <w:rPr>
                <w:rFonts w:cs="Times New Roman"/>
                <w:sz w:val="20"/>
                <w:szCs w:val="20"/>
              </w:rPr>
              <w:t>ный</w:t>
            </w:r>
            <w:proofErr w:type="spellEnd"/>
            <w:r w:rsidRPr="003A2BAA">
              <w:rPr>
                <w:rFonts w:cs="Times New Roman"/>
                <w:sz w:val="20"/>
                <w:szCs w:val="20"/>
              </w:rPr>
              <w:t xml:space="preserve"> договор</w:t>
            </w:r>
          </w:p>
        </w:tc>
      </w:tr>
      <w:tr w:rsidR="003A2BAA" w14:paraId="558ADC4D" w14:textId="77777777" w:rsidTr="003A2BAA">
        <w:tc>
          <w:tcPr>
            <w:tcW w:w="1702" w:type="dxa"/>
          </w:tcPr>
          <w:p w14:paraId="6559DA63" w14:textId="77777777" w:rsidR="003A2BAA" w:rsidRPr="003A2BAA" w:rsidRDefault="003A2BAA" w:rsidP="003A2BAA">
            <w:pPr>
              <w:spacing w:line="240" w:lineRule="auto"/>
              <w:ind w:firstLine="0"/>
              <w:jc w:val="left"/>
              <w:rPr>
                <w:rFonts w:cs="Times New Roman"/>
                <w:sz w:val="20"/>
                <w:szCs w:val="20"/>
              </w:rPr>
            </w:pPr>
            <w:r w:rsidRPr="003A2BAA">
              <w:rPr>
                <w:rFonts w:cs="Times New Roman"/>
                <w:sz w:val="20"/>
                <w:szCs w:val="20"/>
              </w:rPr>
              <w:t>Задачи 1.4; 1.5; 1.6; 1.8; направление 6.1 Стратегии СЭР</w:t>
            </w:r>
          </w:p>
          <w:p w14:paraId="431BED6B" w14:textId="77777777" w:rsidR="003A2BAA" w:rsidRPr="003A2BAA" w:rsidRDefault="003A2BAA" w:rsidP="003A2BAA">
            <w:pPr>
              <w:spacing w:line="240" w:lineRule="auto"/>
              <w:ind w:firstLine="0"/>
              <w:jc w:val="left"/>
              <w:rPr>
                <w:rFonts w:cs="Times New Roman"/>
                <w:sz w:val="20"/>
                <w:szCs w:val="20"/>
              </w:rPr>
            </w:pPr>
            <w:r w:rsidRPr="003A2BAA">
              <w:rPr>
                <w:rFonts w:cs="Times New Roman"/>
                <w:sz w:val="20"/>
                <w:szCs w:val="20"/>
              </w:rPr>
              <w:t>Задача подпрограмм 4,5 ГП</w:t>
            </w:r>
          </w:p>
        </w:tc>
        <w:tc>
          <w:tcPr>
            <w:tcW w:w="1842" w:type="dxa"/>
          </w:tcPr>
          <w:p w14:paraId="216FF977" w14:textId="77777777" w:rsidR="003A2BAA" w:rsidRPr="003A2BAA" w:rsidRDefault="003A2BAA" w:rsidP="003A2BAA">
            <w:pPr>
              <w:spacing w:line="240" w:lineRule="auto"/>
              <w:ind w:firstLine="0"/>
              <w:jc w:val="left"/>
              <w:rPr>
                <w:rFonts w:cs="Times New Roman"/>
                <w:sz w:val="20"/>
                <w:szCs w:val="20"/>
              </w:rPr>
            </w:pPr>
            <w:r w:rsidRPr="003A2BAA">
              <w:rPr>
                <w:rFonts w:cs="Times New Roman"/>
                <w:sz w:val="20"/>
                <w:szCs w:val="20"/>
              </w:rPr>
              <w:t>Создание новой и реконструкция существующей инфраструктуры здравоохранения</w:t>
            </w:r>
          </w:p>
          <w:p w14:paraId="5FC20AAB" w14:textId="77777777" w:rsidR="003A2BAA" w:rsidRPr="003A2BAA" w:rsidRDefault="003A2BAA" w:rsidP="003A2BAA">
            <w:pPr>
              <w:spacing w:line="240" w:lineRule="auto"/>
              <w:ind w:firstLine="0"/>
              <w:jc w:val="left"/>
              <w:rPr>
                <w:rFonts w:cs="Times New Roman"/>
                <w:sz w:val="20"/>
                <w:szCs w:val="20"/>
              </w:rPr>
            </w:pPr>
          </w:p>
        </w:tc>
        <w:tc>
          <w:tcPr>
            <w:tcW w:w="993" w:type="dxa"/>
            <w:vAlign w:val="center"/>
          </w:tcPr>
          <w:p w14:paraId="3220240E"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c>
          <w:tcPr>
            <w:tcW w:w="850" w:type="dxa"/>
            <w:vAlign w:val="center"/>
          </w:tcPr>
          <w:p w14:paraId="1613F013"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sym w:font="Wingdings" w:char="F0FB"/>
            </w:r>
          </w:p>
        </w:tc>
        <w:tc>
          <w:tcPr>
            <w:tcW w:w="709" w:type="dxa"/>
            <w:vAlign w:val="center"/>
          </w:tcPr>
          <w:p w14:paraId="15EDCB37"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c>
          <w:tcPr>
            <w:tcW w:w="850" w:type="dxa"/>
            <w:vAlign w:val="center"/>
          </w:tcPr>
          <w:p w14:paraId="5E99CD4D"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c>
          <w:tcPr>
            <w:tcW w:w="709" w:type="dxa"/>
            <w:vAlign w:val="center"/>
          </w:tcPr>
          <w:p w14:paraId="4D65F863"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c>
          <w:tcPr>
            <w:tcW w:w="567" w:type="dxa"/>
            <w:vAlign w:val="center"/>
          </w:tcPr>
          <w:p w14:paraId="5BF6B9A4"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c>
          <w:tcPr>
            <w:tcW w:w="1559" w:type="dxa"/>
            <w:vAlign w:val="center"/>
          </w:tcPr>
          <w:p w14:paraId="233CB3F4"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sym w:font="Wingdings" w:char="F0FB"/>
            </w:r>
          </w:p>
        </w:tc>
        <w:tc>
          <w:tcPr>
            <w:tcW w:w="1276" w:type="dxa"/>
            <w:vAlign w:val="center"/>
          </w:tcPr>
          <w:p w14:paraId="6AD05647"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r>
      <w:tr w:rsidR="003A2BAA" w14:paraId="6B763194" w14:textId="77777777" w:rsidTr="003A2BAA">
        <w:tc>
          <w:tcPr>
            <w:tcW w:w="1702" w:type="dxa"/>
          </w:tcPr>
          <w:p w14:paraId="4B324F36" w14:textId="77777777" w:rsidR="003A2BAA" w:rsidRPr="003A2BAA" w:rsidRDefault="003A2BAA" w:rsidP="003A2BAA">
            <w:pPr>
              <w:spacing w:line="240" w:lineRule="auto"/>
              <w:ind w:firstLine="0"/>
              <w:jc w:val="left"/>
              <w:rPr>
                <w:rFonts w:cs="Times New Roman"/>
                <w:sz w:val="20"/>
                <w:szCs w:val="20"/>
              </w:rPr>
            </w:pPr>
            <w:r w:rsidRPr="003A2BAA">
              <w:rPr>
                <w:rFonts w:cs="Times New Roman"/>
                <w:sz w:val="20"/>
                <w:szCs w:val="20"/>
              </w:rPr>
              <w:t>На основе задачи 1.9 направление 6.1 Стратегии СЭР</w:t>
            </w:r>
          </w:p>
        </w:tc>
        <w:tc>
          <w:tcPr>
            <w:tcW w:w="1842" w:type="dxa"/>
          </w:tcPr>
          <w:p w14:paraId="6415B144" w14:textId="77777777" w:rsidR="003A2BAA" w:rsidRPr="003A2BAA" w:rsidRDefault="003A2BAA" w:rsidP="003A2BAA">
            <w:pPr>
              <w:spacing w:line="240" w:lineRule="auto"/>
              <w:ind w:firstLine="0"/>
              <w:jc w:val="left"/>
              <w:rPr>
                <w:rFonts w:cs="Times New Roman"/>
                <w:sz w:val="20"/>
                <w:szCs w:val="20"/>
              </w:rPr>
            </w:pPr>
            <w:r w:rsidRPr="003A2BAA">
              <w:rPr>
                <w:rFonts w:cs="Times New Roman"/>
                <w:sz w:val="20"/>
                <w:szCs w:val="20"/>
              </w:rPr>
              <w:t>Частная эксплуатация и/или обслуживание объекта (здание/</w:t>
            </w:r>
          </w:p>
          <w:p w14:paraId="2F3E7810" w14:textId="77777777" w:rsidR="003A2BAA" w:rsidRPr="003A2BAA" w:rsidRDefault="003A2BAA" w:rsidP="003A2BAA">
            <w:pPr>
              <w:spacing w:line="240" w:lineRule="auto"/>
              <w:ind w:firstLine="0"/>
              <w:jc w:val="left"/>
              <w:rPr>
                <w:rFonts w:cs="Times New Roman"/>
                <w:sz w:val="20"/>
                <w:szCs w:val="20"/>
              </w:rPr>
            </w:pPr>
            <w:r w:rsidRPr="003A2BAA">
              <w:rPr>
                <w:rFonts w:cs="Times New Roman"/>
                <w:sz w:val="20"/>
                <w:szCs w:val="20"/>
              </w:rPr>
              <w:t>оборудование) соглашения</w:t>
            </w:r>
          </w:p>
        </w:tc>
        <w:tc>
          <w:tcPr>
            <w:tcW w:w="993" w:type="dxa"/>
            <w:vAlign w:val="center"/>
          </w:tcPr>
          <w:p w14:paraId="0A90C90B"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sym w:font="Wingdings" w:char="F0FB"/>
            </w:r>
          </w:p>
        </w:tc>
        <w:tc>
          <w:tcPr>
            <w:tcW w:w="850" w:type="dxa"/>
            <w:vAlign w:val="center"/>
          </w:tcPr>
          <w:p w14:paraId="6F7D6C8E"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c>
          <w:tcPr>
            <w:tcW w:w="709" w:type="dxa"/>
            <w:vAlign w:val="center"/>
          </w:tcPr>
          <w:p w14:paraId="39BA8151"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c>
          <w:tcPr>
            <w:tcW w:w="850" w:type="dxa"/>
            <w:vAlign w:val="center"/>
          </w:tcPr>
          <w:p w14:paraId="42FFD279"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c>
          <w:tcPr>
            <w:tcW w:w="709" w:type="dxa"/>
            <w:vAlign w:val="center"/>
          </w:tcPr>
          <w:p w14:paraId="6B3A41D3"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c>
          <w:tcPr>
            <w:tcW w:w="567" w:type="dxa"/>
            <w:vAlign w:val="center"/>
          </w:tcPr>
          <w:p w14:paraId="34FC1BA3"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c>
          <w:tcPr>
            <w:tcW w:w="1559" w:type="dxa"/>
            <w:vAlign w:val="center"/>
          </w:tcPr>
          <w:p w14:paraId="46BD09EA"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sym w:font="Wingdings" w:char="F0FB"/>
            </w:r>
          </w:p>
        </w:tc>
        <w:tc>
          <w:tcPr>
            <w:tcW w:w="1276" w:type="dxa"/>
            <w:vAlign w:val="center"/>
          </w:tcPr>
          <w:p w14:paraId="5D323DB5"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r>
      <w:tr w:rsidR="003A2BAA" w14:paraId="23BD12C7" w14:textId="77777777" w:rsidTr="003A2BAA">
        <w:tc>
          <w:tcPr>
            <w:tcW w:w="1702" w:type="dxa"/>
          </w:tcPr>
          <w:p w14:paraId="3058D907" w14:textId="7F68F9F7" w:rsidR="003A2BAA" w:rsidRPr="003A2BAA" w:rsidRDefault="003A2BAA" w:rsidP="003A2BAA">
            <w:pPr>
              <w:spacing w:line="240" w:lineRule="auto"/>
              <w:ind w:firstLine="0"/>
              <w:jc w:val="left"/>
              <w:rPr>
                <w:rFonts w:cs="Times New Roman"/>
                <w:sz w:val="20"/>
                <w:szCs w:val="20"/>
              </w:rPr>
            </w:pPr>
            <w:r>
              <w:rPr>
                <w:rFonts w:cs="Times New Roman"/>
                <w:sz w:val="20"/>
                <w:szCs w:val="20"/>
              </w:rPr>
              <w:t>Задачи 1.4; 1.5; 1.6;</w:t>
            </w:r>
            <w:r w:rsidRPr="003A2BAA">
              <w:rPr>
                <w:rFonts w:cs="Times New Roman"/>
                <w:sz w:val="20"/>
                <w:szCs w:val="20"/>
              </w:rPr>
              <w:t>1.8 направление 6.1 Стратегии СЭР</w:t>
            </w:r>
          </w:p>
          <w:p w14:paraId="5B8AA880" w14:textId="77777777" w:rsidR="003A2BAA" w:rsidRPr="003A2BAA" w:rsidRDefault="003A2BAA" w:rsidP="003A2BAA">
            <w:pPr>
              <w:spacing w:line="240" w:lineRule="auto"/>
              <w:ind w:firstLine="0"/>
              <w:jc w:val="left"/>
              <w:rPr>
                <w:rFonts w:cs="Times New Roman"/>
                <w:sz w:val="20"/>
                <w:szCs w:val="20"/>
              </w:rPr>
            </w:pPr>
            <w:r w:rsidRPr="003A2BAA">
              <w:rPr>
                <w:rFonts w:cs="Times New Roman"/>
                <w:sz w:val="20"/>
                <w:szCs w:val="20"/>
              </w:rPr>
              <w:t>Приоритет 2.3 ГП</w:t>
            </w:r>
          </w:p>
        </w:tc>
        <w:tc>
          <w:tcPr>
            <w:tcW w:w="1842" w:type="dxa"/>
          </w:tcPr>
          <w:p w14:paraId="716F10DC" w14:textId="77777777" w:rsidR="003A2BAA" w:rsidRPr="003A2BAA" w:rsidRDefault="003A2BAA" w:rsidP="003A2BAA">
            <w:pPr>
              <w:spacing w:line="240" w:lineRule="auto"/>
              <w:ind w:firstLine="0"/>
              <w:jc w:val="left"/>
              <w:rPr>
                <w:rFonts w:cs="Times New Roman"/>
                <w:sz w:val="20"/>
                <w:szCs w:val="20"/>
              </w:rPr>
            </w:pPr>
            <w:r w:rsidRPr="003A2BAA">
              <w:rPr>
                <w:rFonts w:cs="Times New Roman"/>
                <w:sz w:val="20"/>
                <w:szCs w:val="20"/>
              </w:rPr>
              <w:t>Обновление материально-технической базы объекта инфраструктуры здравоохранения</w:t>
            </w:r>
          </w:p>
        </w:tc>
        <w:tc>
          <w:tcPr>
            <w:tcW w:w="993" w:type="dxa"/>
            <w:vAlign w:val="center"/>
          </w:tcPr>
          <w:p w14:paraId="4CE6CA5F"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c>
          <w:tcPr>
            <w:tcW w:w="850" w:type="dxa"/>
            <w:vAlign w:val="center"/>
          </w:tcPr>
          <w:p w14:paraId="4CEE817E"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c>
          <w:tcPr>
            <w:tcW w:w="709" w:type="dxa"/>
            <w:vAlign w:val="center"/>
          </w:tcPr>
          <w:p w14:paraId="74EA9696"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c>
          <w:tcPr>
            <w:tcW w:w="850" w:type="dxa"/>
            <w:vAlign w:val="center"/>
          </w:tcPr>
          <w:p w14:paraId="669FF432"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c>
          <w:tcPr>
            <w:tcW w:w="709" w:type="dxa"/>
            <w:vAlign w:val="center"/>
          </w:tcPr>
          <w:p w14:paraId="21681E2C"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c>
          <w:tcPr>
            <w:tcW w:w="567" w:type="dxa"/>
            <w:vAlign w:val="center"/>
          </w:tcPr>
          <w:p w14:paraId="325A4910"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c>
          <w:tcPr>
            <w:tcW w:w="1559" w:type="dxa"/>
            <w:vAlign w:val="center"/>
          </w:tcPr>
          <w:p w14:paraId="4CB1C4CD"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c>
          <w:tcPr>
            <w:tcW w:w="1276" w:type="dxa"/>
            <w:vAlign w:val="center"/>
          </w:tcPr>
          <w:p w14:paraId="5AD7CC14"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r>
      <w:tr w:rsidR="003A2BAA" w14:paraId="362C71E5" w14:textId="77777777" w:rsidTr="003A2BAA">
        <w:tc>
          <w:tcPr>
            <w:tcW w:w="1702" w:type="dxa"/>
          </w:tcPr>
          <w:p w14:paraId="27862B45" w14:textId="77777777" w:rsidR="003A2BAA" w:rsidRPr="003A2BAA" w:rsidRDefault="003A2BAA" w:rsidP="003A2BAA">
            <w:pPr>
              <w:spacing w:line="240" w:lineRule="auto"/>
              <w:ind w:firstLine="0"/>
              <w:jc w:val="left"/>
              <w:rPr>
                <w:rFonts w:cs="Times New Roman"/>
                <w:sz w:val="20"/>
                <w:szCs w:val="20"/>
              </w:rPr>
            </w:pPr>
            <w:r w:rsidRPr="003A2BAA">
              <w:rPr>
                <w:rFonts w:cs="Times New Roman"/>
                <w:sz w:val="20"/>
                <w:szCs w:val="20"/>
              </w:rPr>
              <w:t>На основе задачи 1.9 направление 6.1 Стратегии СЭР</w:t>
            </w:r>
          </w:p>
        </w:tc>
        <w:tc>
          <w:tcPr>
            <w:tcW w:w="1842" w:type="dxa"/>
          </w:tcPr>
          <w:p w14:paraId="6136BAC6" w14:textId="77777777" w:rsidR="003A2BAA" w:rsidRPr="003A2BAA" w:rsidRDefault="003A2BAA" w:rsidP="003A2BAA">
            <w:pPr>
              <w:spacing w:line="240" w:lineRule="auto"/>
              <w:ind w:firstLine="0"/>
              <w:jc w:val="left"/>
              <w:rPr>
                <w:rFonts w:cs="Times New Roman"/>
                <w:sz w:val="20"/>
                <w:szCs w:val="20"/>
              </w:rPr>
            </w:pPr>
            <w:r w:rsidRPr="003A2BAA">
              <w:rPr>
                <w:rFonts w:cs="Times New Roman"/>
                <w:sz w:val="20"/>
                <w:szCs w:val="20"/>
              </w:rPr>
              <w:t xml:space="preserve">Возможность передачи в частную собственность объект </w:t>
            </w:r>
            <w:r w:rsidRPr="003A2BAA">
              <w:rPr>
                <w:rFonts w:cs="Times New Roman"/>
                <w:sz w:val="20"/>
                <w:szCs w:val="20"/>
              </w:rPr>
              <w:lastRenderedPageBreak/>
              <w:t>инфраструктуры здравоохранения</w:t>
            </w:r>
          </w:p>
        </w:tc>
        <w:tc>
          <w:tcPr>
            <w:tcW w:w="993" w:type="dxa"/>
            <w:vAlign w:val="center"/>
          </w:tcPr>
          <w:p w14:paraId="0BA82D6D"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lastRenderedPageBreak/>
              <w:sym w:font="Wingdings" w:char="F0FB"/>
            </w:r>
          </w:p>
        </w:tc>
        <w:tc>
          <w:tcPr>
            <w:tcW w:w="850" w:type="dxa"/>
            <w:vAlign w:val="center"/>
          </w:tcPr>
          <w:p w14:paraId="4DE36CDD"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sym w:font="Wingdings" w:char="F0FB"/>
            </w:r>
          </w:p>
        </w:tc>
        <w:tc>
          <w:tcPr>
            <w:tcW w:w="709" w:type="dxa"/>
            <w:vAlign w:val="center"/>
          </w:tcPr>
          <w:p w14:paraId="28D431F4"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sym w:font="Wingdings" w:char="F0FB"/>
            </w:r>
          </w:p>
        </w:tc>
        <w:tc>
          <w:tcPr>
            <w:tcW w:w="850" w:type="dxa"/>
            <w:vAlign w:val="center"/>
          </w:tcPr>
          <w:p w14:paraId="6F8D250B"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c>
          <w:tcPr>
            <w:tcW w:w="709" w:type="dxa"/>
            <w:vAlign w:val="center"/>
          </w:tcPr>
          <w:p w14:paraId="14D31B2C"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c>
          <w:tcPr>
            <w:tcW w:w="567" w:type="dxa"/>
            <w:vAlign w:val="center"/>
          </w:tcPr>
          <w:p w14:paraId="01C62A59"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c>
          <w:tcPr>
            <w:tcW w:w="1559" w:type="dxa"/>
            <w:vAlign w:val="center"/>
          </w:tcPr>
          <w:p w14:paraId="2A535720"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sym w:font="Wingdings" w:char="F0FB"/>
            </w:r>
          </w:p>
        </w:tc>
        <w:tc>
          <w:tcPr>
            <w:tcW w:w="1276" w:type="dxa"/>
            <w:vAlign w:val="center"/>
          </w:tcPr>
          <w:p w14:paraId="5A422258"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r>
      <w:tr w:rsidR="003A2BAA" w14:paraId="73FCF5F5" w14:textId="77777777" w:rsidTr="003A2BAA">
        <w:tc>
          <w:tcPr>
            <w:tcW w:w="1702" w:type="dxa"/>
          </w:tcPr>
          <w:p w14:paraId="621A358E" w14:textId="77777777" w:rsidR="003A2BAA" w:rsidRPr="003A2BAA" w:rsidRDefault="003A2BAA" w:rsidP="003A2BAA">
            <w:pPr>
              <w:spacing w:line="240" w:lineRule="auto"/>
              <w:ind w:firstLine="0"/>
              <w:jc w:val="left"/>
              <w:rPr>
                <w:rFonts w:cs="Times New Roman"/>
                <w:sz w:val="20"/>
                <w:szCs w:val="20"/>
              </w:rPr>
            </w:pPr>
            <w:r w:rsidRPr="003A2BAA">
              <w:rPr>
                <w:rFonts w:cs="Times New Roman"/>
                <w:sz w:val="20"/>
                <w:szCs w:val="20"/>
              </w:rPr>
              <w:lastRenderedPageBreak/>
              <w:t>Задачи 1.4;1.5;1.6; 1.9; 1.13 направление 6.1 Стратегии СЭР</w:t>
            </w:r>
          </w:p>
          <w:p w14:paraId="228580D9" w14:textId="77777777" w:rsidR="003A2BAA" w:rsidRPr="003A2BAA" w:rsidRDefault="003A2BAA" w:rsidP="003A2BAA">
            <w:pPr>
              <w:spacing w:line="240" w:lineRule="auto"/>
              <w:ind w:firstLine="0"/>
              <w:jc w:val="left"/>
              <w:rPr>
                <w:rFonts w:cs="Times New Roman"/>
                <w:sz w:val="20"/>
                <w:szCs w:val="20"/>
              </w:rPr>
            </w:pPr>
            <w:r w:rsidRPr="003A2BAA">
              <w:rPr>
                <w:rFonts w:cs="Times New Roman"/>
                <w:sz w:val="20"/>
                <w:szCs w:val="20"/>
              </w:rPr>
              <w:t>Цель подпрограммы 6 ГП</w:t>
            </w:r>
          </w:p>
        </w:tc>
        <w:tc>
          <w:tcPr>
            <w:tcW w:w="1842" w:type="dxa"/>
          </w:tcPr>
          <w:p w14:paraId="76ACCCC3" w14:textId="77777777" w:rsidR="003A2BAA" w:rsidRPr="003A2BAA" w:rsidRDefault="003A2BAA" w:rsidP="003A2BAA">
            <w:pPr>
              <w:spacing w:line="240" w:lineRule="auto"/>
              <w:ind w:firstLine="0"/>
              <w:jc w:val="left"/>
              <w:rPr>
                <w:rFonts w:cs="Times New Roman"/>
                <w:sz w:val="20"/>
                <w:szCs w:val="20"/>
              </w:rPr>
            </w:pPr>
            <w:r w:rsidRPr="003A2BAA">
              <w:rPr>
                <w:rFonts w:cs="Times New Roman"/>
                <w:sz w:val="20"/>
                <w:szCs w:val="20"/>
              </w:rPr>
              <w:t>Повышение качества и доступности оказания медицинского обслуживания</w:t>
            </w:r>
          </w:p>
        </w:tc>
        <w:tc>
          <w:tcPr>
            <w:tcW w:w="993" w:type="dxa"/>
            <w:vAlign w:val="center"/>
          </w:tcPr>
          <w:p w14:paraId="5E383D10"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c>
          <w:tcPr>
            <w:tcW w:w="850" w:type="dxa"/>
            <w:vAlign w:val="center"/>
          </w:tcPr>
          <w:p w14:paraId="2E8B8221"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c>
          <w:tcPr>
            <w:tcW w:w="709" w:type="dxa"/>
            <w:vAlign w:val="center"/>
          </w:tcPr>
          <w:p w14:paraId="390BF45F"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c>
          <w:tcPr>
            <w:tcW w:w="850" w:type="dxa"/>
            <w:vAlign w:val="center"/>
          </w:tcPr>
          <w:p w14:paraId="1AAAA5D3"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c>
          <w:tcPr>
            <w:tcW w:w="709" w:type="dxa"/>
            <w:vAlign w:val="center"/>
          </w:tcPr>
          <w:p w14:paraId="1FA843CE"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c>
          <w:tcPr>
            <w:tcW w:w="567" w:type="dxa"/>
            <w:vAlign w:val="center"/>
          </w:tcPr>
          <w:p w14:paraId="153DF980"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c>
          <w:tcPr>
            <w:tcW w:w="1559" w:type="dxa"/>
            <w:vAlign w:val="center"/>
          </w:tcPr>
          <w:p w14:paraId="059957CE"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c>
          <w:tcPr>
            <w:tcW w:w="1276" w:type="dxa"/>
            <w:vAlign w:val="center"/>
          </w:tcPr>
          <w:p w14:paraId="66CA2511"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r>
      <w:tr w:rsidR="003A2BAA" w14:paraId="5CD478FC" w14:textId="77777777" w:rsidTr="003A2BAA">
        <w:tc>
          <w:tcPr>
            <w:tcW w:w="1702" w:type="dxa"/>
          </w:tcPr>
          <w:p w14:paraId="4A74B0B7" w14:textId="77777777" w:rsidR="003A2BAA" w:rsidRPr="003A2BAA" w:rsidRDefault="003A2BAA" w:rsidP="003A2BAA">
            <w:pPr>
              <w:spacing w:line="240" w:lineRule="auto"/>
              <w:ind w:firstLine="0"/>
              <w:jc w:val="left"/>
              <w:rPr>
                <w:rFonts w:cs="Times New Roman"/>
                <w:sz w:val="20"/>
                <w:szCs w:val="20"/>
              </w:rPr>
            </w:pPr>
            <w:r w:rsidRPr="003A2BAA">
              <w:rPr>
                <w:rFonts w:cs="Times New Roman"/>
                <w:sz w:val="20"/>
                <w:szCs w:val="20"/>
              </w:rPr>
              <w:t>На основе задачи 1.10 направления 6.3 Стратегии СЭР</w:t>
            </w:r>
          </w:p>
        </w:tc>
        <w:tc>
          <w:tcPr>
            <w:tcW w:w="1842" w:type="dxa"/>
          </w:tcPr>
          <w:p w14:paraId="79AC27EE" w14:textId="77777777" w:rsidR="003A2BAA" w:rsidRPr="003A2BAA" w:rsidRDefault="003A2BAA" w:rsidP="003A2BAA">
            <w:pPr>
              <w:spacing w:line="240" w:lineRule="auto"/>
              <w:ind w:firstLine="0"/>
              <w:jc w:val="left"/>
              <w:rPr>
                <w:rFonts w:cs="Times New Roman"/>
                <w:sz w:val="20"/>
                <w:szCs w:val="20"/>
              </w:rPr>
            </w:pPr>
            <w:r w:rsidRPr="003A2BAA">
              <w:rPr>
                <w:rFonts w:cs="Times New Roman"/>
                <w:sz w:val="20"/>
                <w:szCs w:val="20"/>
              </w:rPr>
              <w:t>Привлечение менеджмента из частного сектора для управления объектом</w:t>
            </w:r>
          </w:p>
        </w:tc>
        <w:tc>
          <w:tcPr>
            <w:tcW w:w="993" w:type="dxa"/>
            <w:vAlign w:val="center"/>
          </w:tcPr>
          <w:p w14:paraId="5C84D24A"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sym w:font="Wingdings" w:char="F0FB"/>
            </w:r>
          </w:p>
        </w:tc>
        <w:tc>
          <w:tcPr>
            <w:tcW w:w="850" w:type="dxa"/>
            <w:vAlign w:val="center"/>
          </w:tcPr>
          <w:p w14:paraId="6E845266"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sym w:font="Wingdings" w:char="F0FB"/>
            </w:r>
          </w:p>
        </w:tc>
        <w:tc>
          <w:tcPr>
            <w:tcW w:w="709" w:type="dxa"/>
            <w:vAlign w:val="center"/>
          </w:tcPr>
          <w:p w14:paraId="6559F403"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c>
          <w:tcPr>
            <w:tcW w:w="850" w:type="dxa"/>
            <w:vAlign w:val="center"/>
          </w:tcPr>
          <w:p w14:paraId="46F2F2BA"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c>
          <w:tcPr>
            <w:tcW w:w="709" w:type="dxa"/>
            <w:vAlign w:val="center"/>
          </w:tcPr>
          <w:p w14:paraId="7156A907"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c>
          <w:tcPr>
            <w:tcW w:w="567" w:type="dxa"/>
            <w:vAlign w:val="center"/>
          </w:tcPr>
          <w:p w14:paraId="249F5B1E"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c>
          <w:tcPr>
            <w:tcW w:w="1559" w:type="dxa"/>
            <w:vAlign w:val="center"/>
          </w:tcPr>
          <w:p w14:paraId="10776531"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c>
          <w:tcPr>
            <w:tcW w:w="1276" w:type="dxa"/>
            <w:vAlign w:val="center"/>
          </w:tcPr>
          <w:p w14:paraId="4F71D3BA"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r>
      <w:tr w:rsidR="003A2BAA" w14:paraId="69D5F451" w14:textId="77777777" w:rsidTr="003A2BAA">
        <w:tc>
          <w:tcPr>
            <w:tcW w:w="1702" w:type="dxa"/>
          </w:tcPr>
          <w:p w14:paraId="5E324365" w14:textId="77777777" w:rsidR="003A2BAA" w:rsidRPr="003A2BAA" w:rsidRDefault="003A2BAA" w:rsidP="003A2BAA">
            <w:pPr>
              <w:spacing w:line="240" w:lineRule="auto"/>
              <w:ind w:firstLine="0"/>
              <w:jc w:val="left"/>
              <w:rPr>
                <w:rFonts w:cs="Times New Roman"/>
                <w:sz w:val="20"/>
                <w:szCs w:val="20"/>
              </w:rPr>
            </w:pPr>
            <w:r w:rsidRPr="003A2BAA">
              <w:rPr>
                <w:rFonts w:cs="Times New Roman"/>
                <w:sz w:val="20"/>
                <w:szCs w:val="20"/>
              </w:rPr>
              <w:t>Задачи 1.10; 1.13 цель №1 направление 6.1 Стратегии СЭР</w:t>
            </w:r>
          </w:p>
          <w:p w14:paraId="49507074" w14:textId="77777777" w:rsidR="003A2BAA" w:rsidRPr="003A2BAA" w:rsidRDefault="003A2BAA" w:rsidP="003A2BAA">
            <w:pPr>
              <w:spacing w:line="240" w:lineRule="auto"/>
              <w:ind w:firstLine="0"/>
              <w:jc w:val="left"/>
              <w:rPr>
                <w:rFonts w:cs="Times New Roman"/>
                <w:sz w:val="20"/>
                <w:szCs w:val="20"/>
              </w:rPr>
            </w:pPr>
          </w:p>
          <w:p w14:paraId="2DF6E829" w14:textId="77777777" w:rsidR="003A2BAA" w:rsidRPr="003A2BAA" w:rsidRDefault="003A2BAA" w:rsidP="003A2BAA">
            <w:pPr>
              <w:spacing w:line="240" w:lineRule="auto"/>
              <w:ind w:firstLine="0"/>
              <w:jc w:val="left"/>
              <w:rPr>
                <w:rFonts w:cs="Times New Roman"/>
                <w:sz w:val="20"/>
                <w:szCs w:val="20"/>
              </w:rPr>
            </w:pPr>
            <w:r w:rsidRPr="003A2BAA">
              <w:rPr>
                <w:rFonts w:cs="Times New Roman"/>
                <w:sz w:val="20"/>
                <w:szCs w:val="20"/>
              </w:rPr>
              <w:t>Приоритет 2.11 ГП</w:t>
            </w:r>
          </w:p>
        </w:tc>
        <w:tc>
          <w:tcPr>
            <w:tcW w:w="1842" w:type="dxa"/>
          </w:tcPr>
          <w:p w14:paraId="74353473" w14:textId="77777777" w:rsidR="003A2BAA" w:rsidRPr="003A2BAA" w:rsidRDefault="003A2BAA" w:rsidP="003A2BAA">
            <w:pPr>
              <w:spacing w:line="240" w:lineRule="auto"/>
              <w:ind w:firstLine="0"/>
              <w:jc w:val="left"/>
              <w:rPr>
                <w:rFonts w:cs="Times New Roman"/>
                <w:sz w:val="20"/>
                <w:szCs w:val="20"/>
              </w:rPr>
            </w:pPr>
            <w:r w:rsidRPr="003A2BAA">
              <w:rPr>
                <w:rFonts w:cs="Times New Roman"/>
                <w:sz w:val="20"/>
                <w:szCs w:val="20"/>
              </w:rPr>
              <w:t xml:space="preserve">Внедрение инновационных технологий оказания медицинской помощи и методов осуществления административной деятельности </w:t>
            </w:r>
          </w:p>
        </w:tc>
        <w:tc>
          <w:tcPr>
            <w:tcW w:w="993" w:type="dxa"/>
            <w:vAlign w:val="center"/>
          </w:tcPr>
          <w:p w14:paraId="382A0B86"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c>
          <w:tcPr>
            <w:tcW w:w="850" w:type="dxa"/>
            <w:vAlign w:val="center"/>
          </w:tcPr>
          <w:p w14:paraId="4008F550"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c>
          <w:tcPr>
            <w:tcW w:w="709" w:type="dxa"/>
            <w:vAlign w:val="center"/>
          </w:tcPr>
          <w:p w14:paraId="32B7CB8A"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c>
          <w:tcPr>
            <w:tcW w:w="850" w:type="dxa"/>
            <w:vAlign w:val="center"/>
          </w:tcPr>
          <w:p w14:paraId="50083FEE"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c>
          <w:tcPr>
            <w:tcW w:w="709" w:type="dxa"/>
            <w:vAlign w:val="center"/>
          </w:tcPr>
          <w:p w14:paraId="67895C49"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c>
          <w:tcPr>
            <w:tcW w:w="567" w:type="dxa"/>
            <w:vAlign w:val="center"/>
          </w:tcPr>
          <w:p w14:paraId="1BA639A8"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c>
          <w:tcPr>
            <w:tcW w:w="1559" w:type="dxa"/>
            <w:vAlign w:val="center"/>
          </w:tcPr>
          <w:p w14:paraId="52FEB367"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c>
          <w:tcPr>
            <w:tcW w:w="1276" w:type="dxa"/>
            <w:vAlign w:val="center"/>
          </w:tcPr>
          <w:p w14:paraId="10355A4D"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r>
      <w:tr w:rsidR="003A2BAA" w14:paraId="31523E5F" w14:textId="77777777" w:rsidTr="003A2BAA">
        <w:tc>
          <w:tcPr>
            <w:tcW w:w="1702" w:type="dxa"/>
          </w:tcPr>
          <w:p w14:paraId="500AB80B" w14:textId="77777777" w:rsidR="003A2BAA" w:rsidRPr="003A2BAA" w:rsidRDefault="003A2BAA" w:rsidP="003A2BAA">
            <w:pPr>
              <w:spacing w:line="240" w:lineRule="auto"/>
              <w:ind w:firstLine="0"/>
              <w:jc w:val="left"/>
              <w:rPr>
                <w:rFonts w:cs="Times New Roman"/>
                <w:sz w:val="20"/>
                <w:szCs w:val="20"/>
              </w:rPr>
            </w:pPr>
            <w:r w:rsidRPr="003A2BAA">
              <w:rPr>
                <w:rFonts w:cs="Times New Roman"/>
                <w:sz w:val="20"/>
                <w:szCs w:val="20"/>
              </w:rPr>
              <w:t xml:space="preserve">Пункт 3 ГП </w:t>
            </w:r>
          </w:p>
          <w:p w14:paraId="4643580F" w14:textId="77777777" w:rsidR="003A2BAA" w:rsidRPr="003A2BAA" w:rsidRDefault="003A2BAA" w:rsidP="003A2BAA">
            <w:pPr>
              <w:spacing w:line="240" w:lineRule="auto"/>
              <w:ind w:firstLine="0"/>
              <w:jc w:val="left"/>
              <w:rPr>
                <w:rFonts w:cs="Times New Roman"/>
                <w:sz w:val="20"/>
                <w:szCs w:val="20"/>
              </w:rPr>
            </w:pPr>
            <w:r w:rsidRPr="003A2BAA">
              <w:rPr>
                <w:rFonts w:cs="Times New Roman"/>
                <w:sz w:val="20"/>
                <w:szCs w:val="20"/>
              </w:rPr>
              <w:t>Задача 1.1; 1.12 направления 6.3 Стратегии СЭР</w:t>
            </w:r>
          </w:p>
        </w:tc>
        <w:tc>
          <w:tcPr>
            <w:tcW w:w="1842" w:type="dxa"/>
          </w:tcPr>
          <w:p w14:paraId="20961E07" w14:textId="77777777" w:rsidR="003A2BAA" w:rsidRPr="003A2BAA" w:rsidRDefault="003A2BAA" w:rsidP="003A2BAA">
            <w:pPr>
              <w:spacing w:line="240" w:lineRule="auto"/>
              <w:ind w:firstLine="0"/>
              <w:jc w:val="left"/>
              <w:rPr>
                <w:rFonts w:cs="Times New Roman"/>
                <w:sz w:val="20"/>
                <w:szCs w:val="20"/>
              </w:rPr>
            </w:pPr>
            <w:r w:rsidRPr="003A2BAA">
              <w:rPr>
                <w:rFonts w:cs="Times New Roman"/>
                <w:sz w:val="20"/>
                <w:szCs w:val="20"/>
              </w:rPr>
              <w:t>Привлечение специалистов высокой квалификации в сферу здравоохранения</w:t>
            </w:r>
          </w:p>
        </w:tc>
        <w:tc>
          <w:tcPr>
            <w:tcW w:w="993" w:type="dxa"/>
            <w:vAlign w:val="center"/>
          </w:tcPr>
          <w:p w14:paraId="3A0ABF92"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sym w:font="Wingdings" w:char="F0FB"/>
            </w:r>
          </w:p>
        </w:tc>
        <w:tc>
          <w:tcPr>
            <w:tcW w:w="850" w:type="dxa"/>
            <w:vAlign w:val="center"/>
          </w:tcPr>
          <w:p w14:paraId="49641363"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c>
          <w:tcPr>
            <w:tcW w:w="709" w:type="dxa"/>
            <w:vAlign w:val="center"/>
          </w:tcPr>
          <w:p w14:paraId="1F48A485"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c>
          <w:tcPr>
            <w:tcW w:w="850" w:type="dxa"/>
            <w:vAlign w:val="center"/>
          </w:tcPr>
          <w:p w14:paraId="40DC36D7"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c>
          <w:tcPr>
            <w:tcW w:w="709" w:type="dxa"/>
            <w:vAlign w:val="center"/>
          </w:tcPr>
          <w:p w14:paraId="5B30BC9B"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c>
          <w:tcPr>
            <w:tcW w:w="567" w:type="dxa"/>
            <w:vAlign w:val="center"/>
          </w:tcPr>
          <w:p w14:paraId="77C072BA"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c>
          <w:tcPr>
            <w:tcW w:w="1559" w:type="dxa"/>
            <w:vAlign w:val="center"/>
          </w:tcPr>
          <w:p w14:paraId="2CFE4368"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sym w:font="Wingdings" w:char="F0FB"/>
            </w:r>
          </w:p>
        </w:tc>
        <w:tc>
          <w:tcPr>
            <w:tcW w:w="1276" w:type="dxa"/>
            <w:vAlign w:val="center"/>
          </w:tcPr>
          <w:p w14:paraId="316CADBF"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r>
      <w:tr w:rsidR="003A2BAA" w14:paraId="7FE07962" w14:textId="77777777" w:rsidTr="003A2BAA">
        <w:tc>
          <w:tcPr>
            <w:tcW w:w="1702" w:type="dxa"/>
          </w:tcPr>
          <w:p w14:paraId="3B2F8F04" w14:textId="77777777" w:rsidR="003A2BAA" w:rsidRPr="003A2BAA" w:rsidRDefault="003A2BAA" w:rsidP="003A2BAA">
            <w:pPr>
              <w:spacing w:line="240" w:lineRule="auto"/>
              <w:ind w:firstLine="0"/>
              <w:jc w:val="left"/>
              <w:rPr>
                <w:rFonts w:cs="Times New Roman"/>
                <w:sz w:val="20"/>
                <w:szCs w:val="20"/>
              </w:rPr>
            </w:pPr>
            <w:r w:rsidRPr="003A2BAA">
              <w:rPr>
                <w:rFonts w:cs="Times New Roman"/>
                <w:sz w:val="20"/>
                <w:szCs w:val="20"/>
              </w:rPr>
              <w:t>Задача 1.1 направление 6.3 Стратегии СЭР</w:t>
            </w:r>
          </w:p>
          <w:p w14:paraId="2A8E5164" w14:textId="77777777" w:rsidR="003A2BAA" w:rsidRPr="003A2BAA" w:rsidRDefault="003A2BAA" w:rsidP="003A2BAA">
            <w:pPr>
              <w:spacing w:line="240" w:lineRule="auto"/>
              <w:ind w:firstLine="0"/>
              <w:jc w:val="left"/>
              <w:rPr>
                <w:rFonts w:cs="Times New Roman"/>
                <w:sz w:val="20"/>
                <w:szCs w:val="20"/>
              </w:rPr>
            </w:pPr>
          </w:p>
        </w:tc>
        <w:tc>
          <w:tcPr>
            <w:tcW w:w="1842" w:type="dxa"/>
          </w:tcPr>
          <w:p w14:paraId="30D52100" w14:textId="77777777" w:rsidR="003A2BAA" w:rsidRPr="003A2BAA" w:rsidRDefault="003A2BAA" w:rsidP="003A2BAA">
            <w:pPr>
              <w:spacing w:line="240" w:lineRule="auto"/>
              <w:ind w:firstLine="0"/>
              <w:jc w:val="left"/>
              <w:rPr>
                <w:rFonts w:cs="Times New Roman"/>
                <w:sz w:val="20"/>
                <w:szCs w:val="20"/>
              </w:rPr>
            </w:pPr>
            <w:r w:rsidRPr="003A2BAA">
              <w:rPr>
                <w:rFonts w:cs="Times New Roman"/>
                <w:sz w:val="20"/>
                <w:szCs w:val="20"/>
              </w:rPr>
              <w:t>Производство инновационных лекарств, оборудования и др. мед. изделий</w:t>
            </w:r>
          </w:p>
        </w:tc>
        <w:tc>
          <w:tcPr>
            <w:tcW w:w="993" w:type="dxa"/>
            <w:vAlign w:val="center"/>
          </w:tcPr>
          <w:p w14:paraId="7B5FD543"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c>
          <w:tcPr>
            <w:tcW w:w="850" w:type="dxa"/>
            <w:vAlign w:val="center"/>
          </w:tcPr>
          <w:p w14:paraId="26856A7F"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c>
          <w:tcPr>
            <w:tcW w:w="709" w:type="dxa"/>
            <w:vAlign w:val="center"/>
          </w:tcPr>
          <w:p w14:paraId="6753470D"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c>
          <w:tcPr>
            <w:tcW w:w="850" w:type="dxa"/>
            <w:vAlign w:val="center"/>
          </w:tcPr>
          <w:p w14:paraId="00D9B16B"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c>
          <w:tcPr>
            <w:tcW w:w="709" w:type="dxa"/>
            <w:vAlign w:val="center"/>
          </w:tcPr>
          <w:p w14:paraId="3A77F45E"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c>
          <w:tcPr>
            <w:tcW w:w="567" w:type="dxa"/>
            <w:vAlign w:val="center"/>
          </w:tcPr>
          <w:p w14:paraId="26E69138"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c>
          <w:tcPr>
            <w:tcW w:w="1559" w:type="dxa"/>
            <w:vAlign w:val="center"/>
          </w:tcPr>
          <w:p w14:paraId="765DD2D4"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c>
          <w:tcPr>
            <w:tcW w:w="1276" w:type="dxa"/>
            <w:vAlign w:val="center"/>
          </w:tcPr>
          <w:p w14:paraId="086E05C8" w14:textId="77777777" w:rsidR="003A2BAA" w:rsidRPr="003A2BAA" w:rsidRDefault="003A2BAA" w:rsidP="003A2BAA">
            <w:pPr>
              <w:spacing w:line="240" w:lineRule="auto"/>
              <w:ind w:firstLine="0"/>
              <w:jc w:val="center"/>
              <w:rPr>
                <w:rFonts w:cs="Times New Roman"/>
                <w:sz w:val="20"/>
                <w:szCs w:val="20"/>
              </w:rPr>
            </w:pPr>
            <w:r w:rsidRPr="003A2BAA">
              <w:rPr>
                <w:rFonts w:cs="Times New Roman"/>
                <w:sz w:val="20"/>
                <w:szCs w:val="20"/>
              </w:rPr>
              <w:t>***</w:t>
            </w:r>
          </w:p>
        </w:tc>
      </w:tr>
    </w:tbl>
    <w:p w14:paraId="619D997D" w14:textId="77777777" w:rsidR="003A2BAA" w:rsidRPr="00D04C3B" w:rsidRDefault="003A2BAA" w:rsidP="007A1FC9">
      <w:pPr>
        <w:jc w:val="right"/>
        <w:rPr>
          <w:rFonts w:cs="Times New Roman"/>
          <w:i/>
          <w:color w:val="000000" w:themeColor="text1"/>
        </w:rPr>
      </w:pPr>
      <w:r>
        <w:rPr>
          <w:rFonts w:cs="Times New Roman"/>
          <w:i/>
          <w:color w:val="000000" w:themeColor="text1"/>
        </w:rPr>
        <w:t xml:space="preserve">Источник: </w:t>
      </w:r>
      <w:r w:rsidRPr="000E4375">
        <w:rPr>
          <w:rFonts w:cs="Times New Roman"/>
          <w:i/>
          <w:color w:val="000000" w:themeColor="text1"/>
        </w:rPr>
        <w:t>составлено автором</w:t>
      </w:r>
    </w:p>
    <w:p w14:paraId="76163808" w14:textId="77777777" w:rsidR="003A2BAA" w:rsidRPr="001A0878" w:rsidRDefault="003A2BAA" w:rsidP="007A1FC9">
      <w:pPr>
        <w:ind w:firstLine="567"/>
        <w:rPr>
          <w:rFonts w:cs="Times New Roman"/>
          <w:color w:val="000000" w:themeColor="text1"/>
          <w:szCs w:val="24"/>
        </w:rPr>
      </w:pPr>
      <w:r w:rsidRPr="001A0878">
        <w:rPr>
          <w:rFonts w:cs="Times New Roman"/>
          <w:color w:val="000000" w:themeColor="text1"/>
          <w:szCs w:val="24"/>
        </w:rPr>
        <w:t xml:space="preserve">Обозначения: </w:t>
      </w:r>
    </w:p>
    <w:p w14:paraId="4D709320" w14:textId="77777777" w:rsidR="003A2BAA" w:rsidRPr="001A0878" w:rsidRDefault="003A2BAA" w:rsidP="007A1FC9">
      <w:pPr>
        <w:ind w:firstLine="567"/>
        <w:rPr>
          <w:rFonts w:cs="Times New Roman"/>
          <w:color w:val="000000" w:themeColor="text1"/>
          <w:szCs w:val="24"/>
        </w:rPr>
      </w:pPr>
      <w:r>
        <w:rPr>
          <w:rFonts w:cs="Times New Roman"/>
          <w:color w:val="000000" w:themeColor="text1"/>
          <w:szCs w:val="24"/>
        </w:rPr>
        <w:t xml:space="preserve">*** </w:t>
      </w:r>
      <w:r>
        <w:rPr>
          <w:rFonts w:cs="Times New Roman"/>
          <w:i/>
          <w:szCs w:val="24"/>
        </w:rPr>
        <w:t>–</w:t>
      </w:r>
      <w:r w:rsidRPr="001A0878">
        <w:rPr>
          <w:rFonts w:cs="Times New Roman"/>
          <w:color w:val="000000" w:themeColor="text1"/>
          <w:szCs w:val="24"/>
        </w:rPr>
        <w:t xml:space="preserve"> форма полностью подходит для решения </w:t>
      </w:r>
      <w:r>
        <w:rPr>
          <w:rFonts w:cs="Times New Roman"/>
          <w:color w:val="000000" w:themeColor="text1"/>
          <w:szCs w:val="24"/>
        </w:rPr>
        <w:t xml:space="preserve">задач </w:t>
      </w:r>
      <w:r w:rsidRPr="001A0878">
        <w:rPr>
          <w:rFonts w:cs="Times New Roman"/>
          <w:color w:val="000000" w:themeColor="text1"/>
          <w:szCs w:val="24"/>
        </w:rPr>
        <w:t>социально-экономического развития в сфере здравоохранения;</w:t>
      </w:r>
    </w:p>
    <w:p w14:paraId="72C91527" w14:textId="77777777" w:rsidR="003A2BAA" w:rsidRPr="001A0878" w:rsidRDefault="003A2BAA" w:rsidP="007A1FC9">
      <w:pPr>
        <w:ind w:firstLine="567"/>
        <w:rPr>
          <w:rFonts w:cs="Times New Roman"/>
          <w:color w:val="000000" w:themeColor="text1"/>
          <w:szCs w:val="24"/>
        </w:rPr>
      </w:pPr>
      <w:r>
        <w:rPr>
          <w:rFonts w:cs="Times New Roman"/>
          <w:color w:val="000000" w:themeColor="text1"/>
          <w:szCs w:val="24"/>
        </w:rPr>
        <w:t xml:space="preserve">** </w:t>
      </w:r>
      <w:r>
        <w:rPr>
          <w:rFonts w:cs="Times New Roman"/>
          <w:i/>
          <w:szCs w:val="24"/>
        </w:rPr>
        <w:t>–</w:t>
      </w:r>
      <w:r w:rsidRPr="001A0878">
        <w:rPr>
          <w:rFonts w:cs="Times New Roman"/>
          <w:color w:val="000000" w:themeColor="text1"/>
          <w:szCs w:val="24"/>
        </w:rPr>
        <w:t xml:space="preserve"> форма в большей мере может способствовать решению </w:t>
      </w:r>
      <w:r>
        <w:rPr>
          <w:rFonts w:cs="Times New Roman"/>
          <w:color w:val="000000" w:themeColor="text1"/>
          <w:szCs w:val="24"/>
        </w:rPr>
        <w:t xml:space="preserve">задач </w:t>
      </w:r>
      <w:r w:rsidRPr="001A0878">
        <w:rPr>
          <w:rFonts w:cs="Times New Roman"/>
          <w:color w:val="000000" w:themeColor="text1"/>
          <w:szCs w:val="24"/>
        </w:rPr>
        <w:t>социально-экономического развития в сфере здравоохранения;</w:t>
      </w:r>
    </w:p>
    <w:p w14:paraId="273D73E7" w14:textId="77777777" w:rsidR="003A2BAA" w:rsidRPr="001A0878" w:rsidRDefault="003A2BAA" w:rsidP="007A1FC9">
      <w:pPr>
        <w:ind w:firstLine="567"/>
        <w:rPr>
          <w:rFonts w:cs="Times New Roman"/>
          <w:color w:val="000000" w:themeColor="text1"/>
          <w:szCs w:val="24"/>
        </w:rPr>
      </w:pPr>
      <w:r w:rsidRPr="001A0878">
        <w:rPr>
          <w:rFonts w:cs="Times New Roman"/>
          <w:color w:val="000000" w:themeColor="text1"/>
          <w:szCs w:val="24"/>
        </w:rPr>
        <w:t xml:space="preserve">* </w:t>
      </w:r>
      <w:r>
        <w:rPr>
          <w:rFonts w:cs="Times New Roman"/>
          <w:i/>
          <w:szCs w:val="24"/>
        </w:rPr>
        <w:t>–</w:t>
      </w:r>
      <w:r w:rsidRPr="001A0878">
        <w:rPr>
          <w:rFonts w:cs="Times New Roman"/>
          <w:color w:val="000000" w:themeColor="text1"/>
          <w:szCs w:val="24"/>
        </w:rPr>
        <w:t xml:space="preserve"> </w:t>
      </w:r>
      <w:r w:rsidRPr="002419C7">
        <w:rPr>
          <w:rFonts w:cs="Times New Roman"/>
          <w:color w:val="000000" w:themeColor="text1"/>
          <w:szCs w:val="24"/>
        </w:rPr>
        <w:t>форма может быть использована для решения задач социально-экономического развития в сфере здр</w:t>
      </w:r>
      <w:r>
        <w:rPr>
          <w:rFonts w:cs="Times New Roman"/>
          <w:color w:val="000000" w:themeColor="text1"/>
          <w:szCs w:val="24"/>
        </w:rPr>
        <w:t>авоохранения, однако не является эффективным инструментом для их</w:t>
      </w:r>
      <w:r w:rsidRPr="002419C7">
        <w:rPr>
          <w:rFonts w:cs="Times New Roman"/>
          <w:color w:val="000000" w:themeColor="text1"/>
          <w:szCs w:val="24"/>
        </w:rPr>
        <w:t xml:space="preserve"> достижения</w:t>
      </w:r>
      <w:r>
        <w:rPr>
          <w:rFonts w:cs="Times New Roman"/>
          <w:color w:val="000000" w:themeColor="text1"/>
          <w:szCs w:val="24"/>
        </w:rPr>
        <w:t xml:space="preserve">, ввиду особенностей </w:t>
      </w:r>
      <w:r w:rsidRPr="002419C7">
        <w:rPr>
          <w:rFonts w:cs="Times New Roman"/>
          <w:color w:val="000000" w:themeColor="text1"/>
          <w:szCs w:val="24"/>
        </w:rPr>
        <w:t>данной формы;</w:t>
      </w:r>
    </w:p>
    <w:p w14:paraId="7B942CC5" w14:textId="77777777" w:rsidR="003A2BAA" w:rsidRPr="004273E8" w:rsidRDefault="003A2BAA" w:rsidP="007A1FC9">
      <w:pPr>
        <w:ind w:firstLine="567"/>
        <w:rPr>
          <w:rFonts w:cs="Times New Roman"/>
          <w:color w:val="000000" w:themeColor="text1"/>
          <w:szCs w:val="24"/>
        </w:rPr>
      </w:pPr>
      <w:r w:rsidRPr="001A0878">
        <w:rPr>
          <w:rFonts w:cs="Times New Roman"/>
          <w:szCs w:val="24"/>
        </w:rPr>
        <w:sym w:font="Wingdings" w:char="F0FB"/>
      </w:r>
      <w:r>
        <w:rPr>
          <w:rFonts w:cs="Times New Roman"/>
          <w:szCs w:val="24"/>
        </w:rPr>
        <w:t xml:space="preserve"> </w:t>
      </w:r>
      <w:r>
        <w:rPr>
          <w:rFonts w:cs="Times New Roman"/>
          <w:i/>
          <w:szCs w:val="24"/>
        </w:rPr>
        <w:t>–</w:t>
      </w:r>
      <w:r w:rsidRPr="001A0878">
        <w:rPr>
          <w:rFonts w:cs="Times New Roman"/>
          <w:szCs w:val="24"/>
        </w:rPr>
        <w:t xml:space="preserve"> </w:t>
      </w:r>
      <w:r w:rsidRPr="001A0878">
        <w:rPr>
          <w:rFonts w:cs="Times New Roman"/>
          <w:color w:val="000000" w:themeColor="text1"/>
          <w:szCs w:val="24"/>
        </w:rPr>
        <w:t>форма не может быть использована для решения цели социально-экономического развития в сфере здравоохранения, так как это не предполагают её характеристики</w:t>
      </w:r>
      <w:r>
        <w:rPr>
          <w:rFonts w:cs="Times New Roman"/>
          <w:color w:val="000000" w:themeColor="text1"/>
          <w:szCs w:val="24"/>
        </w:rPr>
        <w:t>, в т. ч. из-за законодательного ограничения на использование формы в определенных случаях</w:t>
      </w:r>
      <w:r w:rsidRPr="001A0878">
        <w:rPr>
          <w:rFonts w:cs="Times New Roman"/>
          <w:color w:val="000000" w:themeColor="text1"/>
          <w:szCs w:val="24"/>
        </w:rPr>
        <w:t>.</w:t>
      </w:r>
    </w:p>
    <w:p w14:paraId="7E86892F" w14:textId="77777777" w:rsidR="003A2BAA" w:rsidRDefault="003A2BAA" w:rsidP="007A1FC9">
      <w:pPr>
        <w:rPr>
          <w:rFonts w:cs="Times New Roman"/>
          <w:szCs w:val="24"/>
        </w:rPr>
      </w:pPr>
      <w:r>
        <w:rPr>
          <w:rFonts w:cs="Times New Roman"/>
          <w:szCs w:val="24"/>
        </w:rPr>
        <w:t xml:space="preserve">Знак «–» означает, что данный критерий </w:t>
      </w:r>
      <w:proofErr w:type="spellStart"/>
      <w:r>
        <w:rPr>
          <w:rFonts w:cs="Times New Roman"/>
          <w:szCs w:val="24"/>
        </w:rPr>
        <w:t>нерелевантен</w:t>
      </w:r>
      <w:proofErr w:type="spellEnd"/>
      <w:r>
        <w:rPr>
          <w:rFonts w:cs="Times New Roman"/>
          <w:szCs w:val="24"/>
        </w:rPr>
        <w:t xml:space="preserve"> для данной формы.</w:t>
      </w:r>
    </w:p>
    <w:p w14:paraId="0A49C797" w14:textId="106E9012" w:rsidR="003A2BAA" w:rsidRDefault="003A2BAA" w:rsidP="007A1FC9">
      <w:pPr>
        <w:rPr>
          <w:rFonts w:cs="Times New Roman"/>
          <w:szCs w:val="24"/>
        </w:rPr>
      </w:pPr>
      <w:r>
        <w:rPr>
          <w:rFonts w:cs="Times New Roman"/>
          <w:szCs w:val="24"/>
        </w:rPr>
        <w:lastRenderedPageBreak/>
        <w:t>На основе приве</w:t>
      </w:r>
      <w:r w:rsidR="007A1FC9">
        <w:rPr>
          <w:rFonts w:cs="Times New Roman"/>
          <w:szCs w:val="24"/>
        </w:rPr>
        <w:t>денной выше Т</w:t>
      </w:r>
      <w:r>
        <w:rPr>
          <w:rFonts w:cs="Times New Roman"/>
          <w:szCs w:val="24"/>
        </w:rPr>
        <w:t>аблице</w:t>
      </w:r>
      <w:r w:rsidR="004A2217">
        <w:rPr>
          <w:rFonts w:cs="Times New Roman"/>
          <w:szCs w:val="24"/>
        </w:rPr>
        <w:t xml:space="preserve"> № 3</w:t>
      </w:r>
      <w:r>
        <w:rPr>
          <w:rFonts w:cs="Times New Roman"/>
          <w:szCs w:val="24"/>
        </w:rPr>
        <w:t xml:space="preserve">, можно сформулировать следующие выводы. Во-первых, только на основе форм соглашения о ГЧП, концессионном соглашении и инвестиционном договоре </w:t>
      </w:r>
      <w:r w:rsidR="007A1FC9">
        <w:rPr>
          <w:rFonts w:cs="Times New Roman"/>
          <w:szCs w:val="24"/>
        </w:rPr>
        <w:t>в</w:t>
      </w:r>
      <w:r w:rsidR="00786A4E">
        <w:rPr>
          <w:rFonts w:cs="Times New Roman"/>
          <w:szCs w:val="24"/>
        </w:rPr>
        <w:t xml:space="preserve"> рамках одного проекта</w:t>
      </w:r>
      <w:r w:rsidR="007A1FC9">
        <w:rPr>
          <w:rFonts w:cs="Times New Roman"/>
          <w:szCs w:val="24"/>
        </w:rPr>
        <w:t xml:space="preserve"> </w:t>
      </w:r>
      <w:r>
        <w:rPr>
          <w:rFonts w:cs="Times New Roman"/>
          <w:szCs w:val="24"/>
        </w:rPr>
        <w:t xml:space="preserve">возможно решение всех </w:t>
      </w:r>
      <w:r w:rsidR="007A1FC9">
        <w:rPr>
          <w:rFonts w:cs="Times New Roman"/>
          <w:szCs w:val="24"/>
        </w:rPr>
        <w:t xml:space="preserve">или большинства </w:t>
      </w:r>
      <w:r>
        <w:rPr>
          <w:rFonts w:cs="Times New Roman"/>
          <w:szCs w:val="24"/>
        </w:rPr>
        <w:t xml:space="preserve">задач, которые были установление в Стратегии СЭР Санкт-Петербурга и ГП «Развитие здравоохранения в Санкт-Петербурге». Однако, нужно помнить, что для использования этих форм, нужно учесть обязательное требование – строительство новой инфраструктуры или реконструкция уже существующей. Соответственно, если </w:t>
      </w:r>
      <w:r w:rsidR="007A1FC9">
        <w:rPr>
          <w:rFonts w:cs="Times New Roman"/>
          <w:szCs w:val="24"/>
        </w:rPr>
        <w:t xml:space="preserve">потребность Санкт-Петербурга </w:t>
      </w:r>
      <w:r>
        <w:rPr>
          <w:rFonts w:cs="Times New Roman"/>
          <w:szCs w:val="24"/>
        </w:rPr>
        <w:t xml:space="preserve">не </w:t>
      </w:r>
      <w:r w:rsidR="007A1FC9">
        <w:rPr>
          <w:rFonts w:cs="Times New Roman"/>
          <w:szCs w:val="24"/>
        </w:rPr>
        <w:t xml:space="preserve">связана с необходимостью строительства (реконструкции) конкретных объектов здравоохранения, а предполагает лишь эксплуатационную, операторскую, управленческую деятельность в отношении него или предоставление медицинской помощи и связанных с ней деятельности, </w:t>
      </w:r>
      <w:r>
        <w:rPr>
          <w:rFonts w:cs="Times New Roman"/>
          <w:szCs w:val="24"/>
        </w:rPr>
        <w:t>то он не может быть реализован посредством этих форм. С другой стороны, эти формы могут стать комплексным инструментом для реализации большей части указанных задач в документах стратегического планирования.</w:t>
      </w:r>
    </w:p>
    <w:p w14:paraId="4B7A948B" w14:textId="77777777" w:rsidR="003A2BAA" w:rsidRDefault="003A2BAA" w:rsidP="007A1FC9">
      <w:pPr>
        <w:rPr>
          <w:rFonts w:cs="Times New Roman"/>
          <w:szCs w:val="24"/>
        </w:rPr>
      </w:pPr>
      <w:r>
        <w:rPr>
          <w:rFonts w:cs="Times New Roman"/>
          <w:szCs w:val="24"/>
        </w:rPr>
        <w:t xml:space="preserve">Если рассматривать другие формы в контексте создания или модернизации инфраструктуры, то теоретически можно также использовать контракт жизненного цикла и государственные закупки, последние являются менее эффективным инструментом, так как предполагают реализацию проектов исключительно за счет бюджетных средств. </w:t>
      </w:r>
    </w:p>
    <w:p w14:paraId="38A1642D" w14:textId="77777777" w:rsidR="003A2BAA" w:rsidRDefault="003A2BAA" w:rsidP="007A1FC9">
      <w:pPr>
        <w:rPr>
          <w:rFonts w:cs="Times New Roman"/>
          <w:szCs w:val="24"/>
        </w:rPr>
      </w:pPr>
      <w:r>
        <w:rPr>
          <w:rFonts w:cs="Times New Roman"/>
          <w:szCs w:val="24"/>
        </w:rPr>
        <w:t xml:space="preserve">Если рассматривать проекты, касающиеся только материально-технического переоснащения инфраструктурных объектов, то наиболее подходящими являются формы: государственные закупки, лизинг и КЖЦ. Однако, КЖЦ можно применять только в том случае, если предполагается последующее обслуживание объекта контракта, а лизинг имеет смысл использовать в том случае, если необходимое оборудование имеет высокую стоимость и учреждению требуется распределение платежей по нему. </w:t>
      </w:r>
    </w:p>
    <w:p w14:paraId="228CD75C" w14:textId="5253AFA7" w:rsidR="003A2BAA" w:rsidRDefault="003A2BAA" w:rsidP="007A1FC9">
      <w:pPr>
        <w:rPr>
          <w:rFonts w:cs="Times New Roman"/>
          <w:szCs w:val="24"/>
        </w:rPr>
      </w:pPr>
      <w:r>
        <w:rPr>
          <w:rFonts w:cs="Times New Roman"/>
          <w:szCs w:val="24"/>
        </w:rPr>
        <w:t>В случае, если проект предполагает передачу объекта в частную собственность, то выбор формы огр</w:t>
      </w:r>
      <w:r w:rsidR="007A1FC9">
        <w:rPr>
          <w:rFonts w:cs="Times New Roman"/>
          <w:szCs w:val="24"/>
        </w:rPr>
        <w:t xml:space="preserve">аничивается: соглашением о ГЧП </w:t>
      </w:r>
      <w:r>
        <w:rPr>
          <w:rFonts w:cs="Times New Roman"/>
          <w:szCs w:val="24"/>
        </w:rPr>
        <w:t xml:space="preserve">и инвестиционным соглашением. </w:t>
      </w:r>
    </w:p>
    <w:p w14:paraId="102EA311" w14:textId="0F9F3AD0" w:rsidR="003A2BAA" w:rsidRDefault="00AB4F9A" w:rsidP="007A1FC9">
      <w:pPr>
        <w:rPr>
          <w:rFonts w:cs="Times New Roman"/>
          <w:szCs w:val="24"/>
        </w:rPr>
      </w:pPr>
      <w:r>
        <w:rPr>
          <w:rFonts w:cs="Times New Roman"/>
          <w:szCs w:val="24"/>
        </w:rPr>
        <w:t>Повышению</w:t>
      </w:r>
      <w:r w:rsidR="007A1FC9">
        <w:rPr>
          <w:rFonts w:cs="Times New Roman"/>
          <w:szCs w:val="24"/>
        </w:rPr>
        <w:t xml:space="preserve"> качества и доступности</w:t>
      </w:r>
      <w:r w:rsidR="003A2BAA">
        <w:rPr>
          <w:rFonts w:cs="Times New Roman"/>
          <w:szCs w:val="24"/>
        </w:rPr>
        <w:t xml:space="preserve"> медицинского обслуживания в медицинских учреждениях </w:t>
      </w:r>
      <w:r>
        <w:rPr>
          <w:rFonts w:cs="Times New Roman"/>
          <w:szCs w:val="24"/>
        </w:rPr>
        <w:t xml:space="preserve">могут способствовать </w:t>
      </w:r>
      <w:r w:rsidR="003A2BAA">
        <w:rPr>
          <w:rFonts w:cs="Times New Roman"/>
          <w:szCs w:val="24"/>
        </w:rPr>
        <w:t xml:space="preserve">все формы взаимодействия государства и бизнеса, за исключением СПИК, так как эта форма не оказывает </w:t>
      </w:r>
      <w:r>
        <w:rPr>
          <w:rFonts w:cs="Times New Roman"/>
          <w:szCs w:val="24"/>
        </w:rPr>
        <w:t xml:space="preserve">непосредственного </w:t>
      </w:r>
      <w:r w:rsidR="003A2BAA">
        <w:rPr>
          <w:rFonts w:cs="Times New Roman"/>
          <w:szCs w:val="24"/>
        </w:rPr>
        <w:t xml:space="preserve">воздействия на качество и доступность деятельности медицинских организации. Так как они связаны или с приобретением нового оборудования, или с реконструкцией, модернизацией, строительством объектов инфраструктуры, или с привлечением специалистов и так далее. Однако, доступность в контексте Стратегии СЭР Санкт-Петербурга и государственной программы понимается, в первую очередь, как создание необходимого количества инфраструктурных объектов в сфере здравоохранения. Поэтому здесь, наиболее </w:t>
      </w:r>
      <w:r w:rsidR="003A2BAA">
        <w:rPr>
          <w:rFonts w:cs="Times New Roman"/>
          <w:szCs w:val="24"/>
        </w:rPr>
        <w:lastRenderedPageBreak/>
        <w:t xml:space="preserve">подходящими формами являются те, которые предполагают строительство и реконструкцию медицинских учреждений: государственные закупки, соглашение о ГЧП, концессионное соглашение, КЖЦ, инвестиционный договор. </w:t>
      </w:r>
    </w:p>
    <w:p w14:paraId="683270F4" w14:textId="77777777" w:rsidR="003A2BAA" w:rsidRDefault="003A2BAA" w:rsidP="007A1FC9">
      <w:pPr>
        <w:rPr>
          <w:rFonts w:cs="Times New Roman"/>
          <w:szCs w:val="24"/>
        </w:rPr>
      </w:pPr>
      <w:r>
        <w:rPr>
          <w:rFonts w:cs="Times New Roman"/>
          <w:szCs w:val="24"/>
        </w:rPr>
        <w:t>Говоря о частном управлении, здесь наиболее подходящей является форма договора доверительного управления, так как именно она призвана решить данную задачу в соответствии с ГП «Развитие здравоохранения в Санкт-Петербурге». Однако, она не является подходящей для подавляющего числа остальных задач. Более того, данная форма имеет ряд серьезных недостатков: во-первых, специалисты отмечают высокий риск возникновения проблемы принципал-агента, во-вторых, данная форма не предполагает модернизации</w:t>
      </w:r>
      <w:r w:rsidRPr="005E4EDE">
        <w:rPr>
          <w:rFonts w:cs="Times New Roman"/>
          <w:szCs w:val="24"/>
        </w:rPr>
        <w:t xml:space="preserve"> имущественной основы</w:t>
      </w:r>
      <w:r>
        <w:rPr>
          <w:rFonts w:cs="Times New Roman"/>
          <w:szCs w:val="24"/>
        </w:rPr>
        <w:t xml:space="preserve"> объекта здравоохранения, то есть вопрос с низким качеством и доступностью материально-технической базы медицинских учреждений не будет решен.</w:t>
      </w:r>
    </w:p>
    <w:p w14:paraId="7224402A" w14:textId="20212474" w:rsidR="003A2BAA" w:rsidRDefault="003A2BAA" w:rsidP="007A1FC9">
      <w:pPr>
        <w:rPr>
          <w:rFonts w:cs="Times New Roman"/>
          <w:szCs w:val="24"/>
        </w:rPr>
      </w:pPr>
      <w:r>
        <w:rPr>
          <w:rFonts w:cs="Times New Roman"/>
          <w:szCs w:val="24"/>
        </w:rPr>
        <w:t xml:space="preserve">Из идентифицированных форм взаимодействия государства и бизнеса, такие формы, как </w:t>
      </w:r>
      <w:r w:rsidR="00AB4F9A">
        <w:rPr>
          <w:rFonts w:cs="Times New Roman"/>
          <w:szCs w:val="24"/>
        </w:rPr>
        <w:t xml:space="preserve">СПИК </w:t>
      </w:r>
      <w:r>
        <w:rPr>
          <w:rFonts w:cs="Times New Roman"/>
          <w:szCs w:val="24"/>
        </w:rPr>
        <w:t xml:space="preserve">и инвестиционный договор имеют необходимые характеристики и специфику для достижения задачи по наращиванию и модернизации производства </w:t>
      </w:r>
      <w:r w:rsidRPr="005509D9">
        <w:rPr>
          <w:rFonts w:cs="Times New Roman"/>
          <w:szCs w:val="24"/>
        </w:rPr>
        <w:t>иннова</w:t>
      </w:r>
      <w:r>
        <w:rPr>
          <w:rFonts w:cs="Times New Roman"/>
          <w:szCs w:val="24"/>
        </w:rPr>
        <w:t xml:space="preserve">ционных лекарственных средств, </w:t>
      </w:r>
      <w:r w:rsidRPr="005509D9">
        <w:rPr>
          <w:rFonts w:cs="Times New Roman"/>
          <w:szCs w:val="24"/>
        </w:rPr>
        <w:t>высокотехнологичной медицинской техники и медицинских изделий</w:t>
      </w:r>
      <w:r>
        <w:rPr>
          <w:rFonts w:cs="Times New Roman"/>
          <w:szCs w:val="24"/>
        </w:rPr>
        <w:t xml:space="preserve">. </w:t>
      </w:r>
    </w:p>
    <w:p w14:paraId="73BE914D" w14:textId="77777777" w:rsidR="003A2BAA" w:rsidRDefault="003A2BAA" w:rsidP="007A1FC9">
      <w:pPr>
        <w:rPr>
          <w:rFonts w:cs="Times New Roman"/>
          <w:szCs w:val="24"/>
        </w:rPr>
      </w:pPr>
      <w:r>
        <w:rPr>
          <w:rFonts w:cs="Times New Roman"/>
          <w:szCs w:val="24"/>
        </w:rPr>
        <w:t xml:space="preserve">Задача по внедрению инновационных </w:t>
      </w:r>
      <w:r w:rsidRPr="002515F2">
        <w:rPr>
          <w:rFonts w:cs="Times New Roman"/>
          <w:szCs w:val="24"/>
        </w:rPr>
        <w:t>технологий оказания медицинской помощи и методов осуществления административной деятельности</w:t>
      </w:r>
      <w:r>
        <w:rPr>
          <w:rFonts w:cs="Times New Roman"/>
          <w:szCs w:val="24"/>
        </w:rPr>
        <w:t xml:space="preserve">, в том числе за счет информатизации медицинских учреждений может быть решена с помощью практически всех выявленных форм. Наиболее подходящими формами являются те, которые предполагают постоянное частное обслуживание, эксплуатацию или управление объектами соглашений между государством и бизнесом, так как предполагается, что именно бизнес обладает способностью создания и оперативного внедрения инноваций. </w:t>
      </w:r>
    </w:p>
    <w:p w14:paraId="70D93586" w14:textId="77777777" w:rsidR="003A2BAA" w:rsidRDefault="003A2BAA" w:rsidP="007A1FC9">
      <w:pPr>
        <w:rPr>
          <w:rFonts w:cs="Times New Roman"/>
          <w:szCs w:val="24"/>
        </w:rPr>
      </w:pPr>
      <w:r>
        <w:rPr>
          <w:rFonts w:cs="Times New Roman"/>
          <w:szCs w:val="24"/>
        </w:rPr>
        <w:t>Также стало понятно, что для решения, поставленных задач в документах стратегического планирования не может быть использована форма традиционного договора аренды. В то же время, внедрение формы доверительного управления государственным имуществом, которая была идентифицирована в ГП «Развития здравоохранения в Санкт-Петербурге», однозначно не является достаточным для решения целей и задач развития сферы здравоохранения в Санкт-Петербурге, так как такая форма не позволяет решить ключевые проблемы современной системы здравоохранения.</w:t>
      </w:r>
    </w:p>
    <w:p w14:paraId="08859AC2" w14:textId="33E29FE3" w:rsidR="007A1FC9" w:rsidRDefault="003A2BAA" w:rsidP="007A1FC9">
      <w:pPr>
        <w:rPr>
          <w:rFonts w:cs="Times New Roman"/>
          <w:szCs w:val="24"/>
        </w:rPr>
      </w:pPr>
      <w:r>
        <w:rPr>
          <w:rFonts w:cs="Times New Roman"/>
          <w:szCs w:val="24"/>
        </w:rPr>
        <w:t>Далее будет рассмотрена текущая ситуация в сфере здравоохранения в контексте взаимодействия государства и бизнеса в г. Санкт-Петербург.</w:t>
      </w:r>
    </w:p>
    <w:p w14:paraId="181C85F5" w14:textId="60E38AE0" w:rsidR="007A1FC9" w:rsidRDefault="007A1FC9" w:rsidP="007A1FC9">
      <w:pPr>
        <w:rPr>
          <w:rFonts w:cs="Times New Roman"/>
          <w:szCs w:val="24"/>
        </w:rPr>
      </w:pPr>
    </w:p>
    <w:p w14:paraId="63D8949E" w14:textId="09392D6C" w:rsidR="007A1FC9" w:rsidRPr="007A1FC9" w:rsidRDefault="007A1FC9" w:rsidP="007A1FC9">
      <w:pPr>
        <w:ind w:firstLine="0"/>
        <w:rPr>
          <w:rFonts w:cs="Times New Roman"/>
          <w:szCs w:val="24"/>
        </w:rPr>
      </w:pPr>
    </w:p>
    <w:p w14:paraId="19B27D5F" w14:textId="0EC3CC69" w:rsidR="003A2BAA" w:rsidRDefault="003A2BAA" w:rsidP="007A1FC9">
      <w:pPr>
        <w:pStyle w:val="2"/>
        <w:spacing w:after="120"/>
      </w:pPr>
      <w:bookmarkStart w:id="25" w:name="_Toc41427830"/>
      <w:r w:rsidRPr="0034644F">
        <w:lastRenderedPageBreak/>
        <w:t xml:space="preserve">2.2 </w:t>
      </w:r>
      <w:r>
        <w:t>Состояние взаимодействия государства и бизнеса в сфере здравоохранение в Санкт-Петербурге</w:t>
      </w:r>
      <w:bookmarkEnd w:id="25"/>
    </w:p>
    <w:p w14:paraId="6F807263" w14:textId="10FF1EFA" w:rsidR="003A2BAA" w:rsidRPr="00022E8C" w:rsidRDefault="003A2BAA" w:rsidP="007A1FC9">
      <w:pPr>
        <w:rPr>
          <w:rFonts w:eastAsia="Times New Roman" w:cs="Times New Roman"/>
          <w:i/>
          <w:color w:val="FF0000"/>
          <w:szCs w:val="24"/>
          <w:lang w:eastAsia="ru-RU"/>
        </w:rPr>
      </w:pPr>
      <w:r w:rsidRPr="00510017">
        <w:rPr>
          <w:rFonts w:cs="Times New Roman"/>
          <w:color w:val="000000" w:themeColor="text1"/>
          <w:szCs w:val="24"/>
        </w:rPr>
        <w:t>Проанализировать текущее состояние взаимодействия власти и бизнеса можно на основе Бюджета Санкт-Петербурга на 2020 год</w:t>
      </w:r>
      <w:r w:rsidRPr="00510017">
        <w:rPr>
          <w:rStyle w:val="afa"/>
          <w:rFonts w:cs="Times New Roman"/>
          <w:color w:val="000000" w:themeColor="text1"/>
          <w:szCs w:val="24"/>
        </w:rPr>
        <w:footnoteReference w:id="39"/>
      </w:r>
      <w:r w:rsidRPr="00510017">
        <w:rPr>
          <w:rFonts w:cs="Times New Roman"/>
          <w:color w:val="000000" w:themeColor="text1"/>
          <w:szCs w:val="24"/>
        </w:rPr>
        <w:t xml:space="preserve">, в частности, </w:t>
      </w:r>
      <w:r w:rsidRPr="00510017">
        <w:rPr>
          <w:rFonts w:eastAsia="Times New Roman" w:cs="Times New Roman"/>
          <w:color w:val="000000" w:themeColor="text1"/>
          <w:szCs w:val="24"/>
          <w:lang w:eastAsia="ru-RU"/>
        </w:rPr>
        <w:t>Адресной инвестиционной п</w:t>
      </w:r>
      <w:r w:rsidR="00510017" w:rsidRPr="00510017">
        <w:rPr>
          <w:rFonts w:eastAsia="Times New Roman" w:cs="Times New Roman"/>
          <w:color w:val="000000" w:themeColor="text1"/>
          <w:szCs w:val="24"/>
          <w:lang w:eastAsia="ru-RU"/>
        </w:rPr>
        <w:t>рограмме (АИП) Санкт-Петербурга,</w:t>
      </w:r>
      <w:r w:rsidR="00510017">
        <w:rPr>
          <w:rFonts w:eastAsia="Times New Roman" w:cs="Times New Roman"/>
          <w:color w:val="000000" w:themeColor="text1"/>
          <w:szCs w:val="24"/>
          <w:lang w:eastAsia="ru-RU"/>
        </w:rPr>
        <w:t xml:space="preserve"> Государственной программы «Развитие здравоохранения в Санкт-Петербурге»,</w:t>
      </w:r>
      <w:r w:rsidR="00601A09">
        <w:rPr>
          <w:rFonts w:eastAsia="Times New Roman" w:cs="Times New Roman"/>
          <w:szCs w:val="24"/>
          <w:lang w:eastAsia="ru-RU"/>
        </w:rPr>
        <w:t xml:space="preserve"> а также информации, размещенной на Инвестиционном портале и на сайте Комитета по инвестициям Санкт-Петербурга.  </w:t>
      </w:r>
      <w:r w:rsidRPr="00510017">
        <w:rPr>
          <w:rFonts w:eastAsia="Times New Roman" w:cs="Times New Roman"/>
          <w:szCs w:val="24"/>
          <w:lang w:eastAsia="ru-RU"/>
        </w:rPr>
        <w:t xml:space="preserve"> </w:t>
      </w:r>
      <w:r w:rsidRPr="00022E8C">
        <w:rPr>
          <w:rFonts w:eastAsia="Times New Roman" w:cs="Times New Roman"/>
          <w:szCs w:val="24"/>
          <w:lang w:eastAsia="ru-RU"/>
        </w:rPr>
        <w:t>На основе информации, содержащейся в АИП, можно определить количество инфраструктурных проектов в сфере здравоохранения, реализующихся в форме государственных закупок, а также выяснить объем бюджетного финансирования данных проектов.</w:t>
      </w:r>
      <w:r>
        <w:rPr>
          <w:rFonts w:eastAsia="Times New Roman" w:cs="Times New Roman"/>
          <w:i/>
          <w:color w:val="FF0000"/>
          <w:szCs w:val="24"/>
          <w:lang w:eastAsia="ru-RU"/>
        </w:rPr>
        <w:t xml:space="preserve"> </w:t>
      </w:r>
    </w:p>
    <w:p w14:paraId="2DB127BE" w14:textId="77777777" w:rsidR="003A2BAA" w:rsidRDefault="003A2BAA" w:rsidP="007A1FC9">
      <w:pPr>
        <w:rPr>
          <w:rFonts w:cs="Times New Roman"/>
          <w:szCs w:val="24"/>
        </w:rPr>
      </w:pPr>
      <w:r>
        <w:rPr>
          <w:rFonts w:cs="Times New Roman"/>
          <w:szCs w:val="24"/>
        </w:rPr>
        <w:t xml:space="preserve">Рассмотрим расходы бюджета Санкт-Петербурга по разделу </w:t>
      </w:r>
      <w:r w:rsidRPr="00501042">
        <w:rPr>
          <w:rFonts w:cs="Times New Roman"/>
          <w:szCs w:val="24"/>
        </w:rPr>
        <w:t>«Здравоохранение»</w:t>
      </w:r>
      <w:r>
        <w:rPr>
          <w:rFonts w:cs="Times New Roman"/>
          <w:szCs w:val="24"/>
        </w:rPr>
        <w:t>, которые</w:t>
      </w:r>
      <w:r w:rsidRPr="00501042">
        <w:rPr>
          <w:rFonts w:cs="Times New Roman"/>
          <w:szCs w:val="24"/>
        </w:rPr>
        <w:t xml:space="preserve"> </w:t>
      </w:r>
      <w:r>
        <w:rPr>
          <w:rFonts w:cs="Times New Roman"/>
          <w:szCs w:val="24"/>
        </w:rPr>
        <w:t xml:space="preserve">за 2020 год должны составить 12,4% (почти 87 млрд. руб.), для сравнения в 2019 году – 12,2%. При этом в рамках </w:t>
      </w:r>
      <w:r w:rsidRPr="00501042">
        <w:rPr>
          <w:rFonts w:cs="Times New Roman"/>
          <w:szCs w:val="24"/>
        </w:rPr>
        <w:t>программной части бюджета Санкт-Петербурга в 2020 году</w:t>
      </w:r>
      <w:r>
        <w:rPr>
          <w:rFonts w:cs="Times New Roman"/>
          <w:szCs w:val="24"/>
        </w:rPr>
        <w:t xml:space="preserve">, то есть, в частности, государственной программы «Развитие здравоохранения», предусмотрены расходы в размере 120 млрд. рублей. Рассмотрим проекты, указанные в ГП с 2019 года: </w:t>
      </w:r>
      <w:r w:rsidRPr="00FE622E">
        <w:rPr>
          <w:rFonts w:cs="Times New Roman"/>
          <w:szCs w:val="24"/>
        </w:rPr>
        <w:t>строительство зданий и корпусов 8 поликлиник, 3 больниц</w:t>
      </w:r>
      <w:r>
        <w:rPr>
          <w:rFonts w:cs="Times New Roman"/>
          <w:szCs w:val="24"/>
        </w:rPr>
        <w:t xml:space="preserve"> (</w:t>
      </w:r>
      <w:r>
        <w:rPr>
          <w:rFonts w:eastAsia="Times New Roman" w:cs="Times New Roman"/>
          <w:szCs w:val="24"/>
          <w:lang w:eastAsia="ru-RU"/>
        </w:rPr>
        <w:t>строительство здания ГБУЗ «Детская городская больница № 1»</w:t>
      </w:r>
      <w:r>
        <w:rPr>
          <w:rFonts w:cs="Times New Roman"/>
          <w:szCs w:val="24"/>
        </w:rPr>
        <w:t xml:space="preserve"> - 1,8 млрд. руб.), а также</w:t>
      </w:r>
    </w:p>
    <w:p w14:paraId="004E6D88" w14:textId="77777777" w:rsidR="003A2BAA" w:rsidRPr="005B3D53" w:rsidRDefault="003A2BAA" w:rsidP="00486867">
      <w:pPr>
        <w:pStyle w:val="af5"/>
        <w:numPr>
          <w:ilvl w:val="0"/>
          <w:numId w:val="26"/>
        </w:numPr>
        <w:jc w:val="left"/>
        <w:rPr>
          <w:rFonts w:cs="Times New Roman"/>
          <w:szCs w:val="24"/>
        </w:rPr>
      </w:pPr>
      <w:r w:rsidRPr="00A066BE">
        <w:rPr>
          <w:rFonts w:cs="Times New Roman"/>
          <w:szCs w:val="24"/>
        </w:rPr>
        <w:t>строительство зданий детского туберкулезного санатория на 300 мест на базе СПб ГУЗ «Детский туберкулезный санаторий «Жемчужина»</w:t>
      </w:r>
      <w:r>
        <w:rPr>
          <w:rFonts w:cs="Times New Roman"/>
          <w:szCs w:val="24"/>
        </w:rPr>
        <w:t xml:space="preserve"> (1,8 млрд. руб. – проект до 2023 г.);</w:t>
      </w:r>
    </w:p>
    <w:p w14:paraId="5BCCB526" w14:textId="77777777" w:rsidR="003A2BAA" w:rsidRDefault="003A2BAA" w:rsidP="00486867">
      <w:pPr>
        <w:pStyle w:val="af5"/>
        <w:numPr>
          <w:ilvl w:val="0"/>
          <w:numId w:val="26"/>
        </w:numPr>
        <w:jc w:val="left"/>
        <w:rPr>
          <w:rFonts w:cs="Times New Roman"/>
          <w:szCs w:val="24"/>
        </w:rPr>
      </w:pPr>
      <w:r w:rsidRPr="005B3D53">
        <w:rPr>
          <w:rFonts w:cs="Times New Roman"/>
          <w:szCs w:val="24"/>
        </w:rPr>
        <w:t>строительство нового лечебно</w:t>
      </w:r>
      <w:r>
        <w:rPr>
          <w:rFonts w:cs="Times New Roman"/>
          <w:szCs w:val="24"/>
        </w:rPr>
        <w:t>-</w:t>
      </w:r>
      <w:r w:rsidRPr="005B3D53">
        <w:rPr>
          <w:rFonts w:cs="Times New Roman"/>
          <w:szCs w:val="24"/>
        </w:rPr>
        <w:t>диагностического (хирургического профиля) к</w:t>
      </w:r>
      <w:r>
        <w:rPr>
          <w:rFonts w:cs="Times New Roman"/>
          <w:szCs w:val="24"/>
        </w:rPr>
        <w:t xml:space="preserve">орпуса ГУЗ «Городская больница № 33» (2,2 млрд. руб.); </w:t>
      </w:r>
    </w:p>
    <w:p w14:paraId="574E5C3B" w14:textId="77777777" w:rsidR="003A2BAA" w:rsidRDefault="003A2BAA" w:rsidP="00486867">
      <w:pPr>
        <w:pStyle w:val="af5"/>
        <w:numPr>
          <w:ilvl w:val="0"/>
          <w:numId w:val="26"/>
        </w:numPr>
        <w:jc w:val="left"/>
        <w:rPr>
          <w:rFonts w:cs="Times New Roman"/>
          <w:szCs w:val="24"/>
        </w:rPr>
      </w:pPr>
      <w:r w:rsidRPr="00FE622E">
        <w:rPr>
          <w:rFonts w:cs="Times New Roman"/>
          <w:szCs w:val="24"/>
        </w:rPr>
        <w:t>строительство здания государственного бюджетного у</w:t>
      </w:r>
      <w:r>
        <w:rPr>
          <w:rFonts w:cs="Times New Roman"/>
          <w:szCs w:val="24"/>
        </w:rPr>
        <w:t>чреждения «</w:t>
      </w:r>
      <w:r w:rsidRPr="00FE622E">
        <w:rPr>
          <w:rFonts w:cs="Times New Roman"/>
          <w:szCs w:val="24"/>
        </w:rPr>
        <w:t xml:space="preserve">Санкт-Петербургский научно-исследовательский институт скорой помощи им. И. И. </w:t>
      </w:r>
      <w:proofErr w:type="spellStart"/>
      <w:r w:rsidRPr="00FE622E">
        <w:rPr>
          <w:rFonts w:cs="Times New Roman"/>
          <w:szCs w:val="24"/>
        </w:rPr>
        <w:t>Джанелидзе</w:t>
      </w:r>
      <w:proofErr w:type="spellEnd"/>
      <w:r w:rsidRPr="00FE622E">
        <w:rPr>
          <w:rFonts w:cs="Times New Roman"/>
          <w:szCs w:val="24"/>
        </w:rPr>
        <w:t>»</w:t>
      </w:r>
      <w:r>
        <w:rPr>
          <w:rFonts w:cs="Times New Roman"/>
          <w:szCs w:val="24"/>
        </w:rPr>
        <w:t xml:space="preserve"> (около 4 млрд. руб.);</w:t>
      </w:r>
    </w:p>
    <w:p w14:paraId="74351B19" w14:textId="77777777" w:rsidR="003A2BAA" w:rsidRDefault="003A2BAA" w:rsidP="00486867">
      <w:pPr>
        <w:pStyle w:val="af5"/>
        <w:numPr>
          <w:ilvl w:val="0"/>
          <w:numId w:val="26"/>
        </w:numPr>
        <w:jc w:val="left"/>
        <w:rPr>
          <w:rFonts w:cs="Times New Roman"/>
          <w:szCs w:val="24"/>
        </w:rPr>
      </w:pPr>
      <w:r w:rsidRPr="00FE622E">
        <w:rPr>
          <w:rFonts w:cs="Times New Roman"/>
          <w:szCs w:val="24"/>
        </w:rPr>
        <w:t>строительство здания амбулаторно</w:t>
      </w:r>
      <w:r>
        <w:rPr>
          <w:rFonts w:cs="Times New Roman"/>
          <w:szCs w:val="24"/>
        </w:rPr>
        <w:t>-</w:t>
      </w:r>
      <w:r w:rsidRPr="00FE622E">
        <w:rPr>
          <w:rFonts w:cs="Times New Roman"/>
          <w:szCs w:val="24"/>
        </w:rPr>
        <w:t>поликлинического корпуса ГБУЗ «Санкт</w:t>
      </w:r>
      <w:r>
        <w:rPr>
          <w:rFonts w:cs="Times New Roman"/>
          <w:szCs w:val="24"/>
        </w:rPr>
        <w:t>-</w:t>
      </w:r>
      <w:r w:rsidRPr="00FE622E">
        <w:rPr>
          <w:rFonts w:cs="Times New Roman"/>
          <w:szCs w:val="24"/>
        </w:rPr>
        <w:t>Петербургский клинический научно</w:t>
      </w:r>
      <w:r>
        <w:rPr>
          <w:rFonts w:cs="Times New Roman"/>
          <w:szCs w:val="24"/>
        </w:rPr>
        <w:t>-</w:t>
      </w:r>
      <w:r w:rsidRPr="00FE622E">
        <w:rPr>
          <w:rFonts w:cs="Times New Roman"/>
          <w:szCs w:val="24"/>
        </w:rPr>
        <w:t>практический центр специализированных видов медицинской помощи (онкологический)»</w:t>
      </w:r>
      <w:r>
        <w:rPr>
          <w:rFonts w:cs="Times New Roman"/>
          <w:szCs w:val="24"/>
        </w:rPr>
        <w:t xml:space="preserve"> (1,2 млрд. руб.);</w:t>
      </w:r>
    </w:p>
    <w:p w14:paraId="345D7BDA" w14:textId="77777777" w:rsidR="003A2BAA" w:rsidRDefault="003A2BAA" w:rsidP="00486867">
      <w:pPr>
        <w:pStyle w:val="af5"/>
        <w:numPr>
          <w:ilvl w:val="0"/>
          <w:numId w:val="26"/>
        </w:numPr>
        <w:jc w:val="left"/>
        <w:rPr>
          <w:rFonts w:cs="Times New Roman"/>
          <w:szCs w:val="24"/>
        </w:rPr>
      </w:pPr>
      <w:r w:rsidRPr="00552D79">
        <w:rPr>
          <w:rFonts w:cs="Times New Roman"/>
          <w:szCs w:val="24"/>
        </w:rPr>
        <w:t xml:space="preserve">реконструкции корпусов литер Б, П, Д, Ж, СПБ ГБУЗ «Городская больница № 40 Курортного района» </w:t>
      </w:r>
      <w:r>
        <w:rPr>
          <w:rFonts w:cs="Times New Roman"/>
          <w:szCs w:val="24"/>
        </w:rPr>
        <w:t>(</w:t>
      </w:r>
      <w:r w:rsidRPr="00552D79">
        <w:rPr>
          <w:rFonts w:cs="Times New Roman"/>
          <w:szCs w:val="24"/>
        </w:rPr>
        <w:t>1</w:t>
      </w:r>
      <w:r>
        <w:rPr>
          <w:rFonts w:cs="Times New Roman"/>
          <w:szCs w:val="24"/>
        </w:rPr>
        <w:t xml:space="preserve"> млрд. руб.) – не было подано ни одной заявки</w:t>
      </w:r>
      <w:r w:rsidRPr="00552D79">
        <w:rPr>
          <w:rFonts w:cs="Times New Roman"/>
          <w:szCs w:val="24"/>
        </w:rPr>
        <w:t xml:space="preserve">; </w:t>
      </w:r>
    </w:p>
    <w:p w14:paraId="01653816" w14:textId="77777777" w:rsidR="003A2BAA" w:rsidRDefault="003A2BAA" w:rsidP="00486867">
      <w:pPr>
        <w:pStyle w:val="af5"/>
        <w:numPr>
          <w:ilvl w:val="0"/>
          <w:numId w:val="26"/>
        </w:numPr>
        <w:jc w:val="left"/>
        <w:rPr>
          <w:rFonts w:cs="Times New Roman"/>
          <w:szCs w:val="24"/>
        </w:rPr>
      </w:pPr>
      <w:r>
        <w:rPr>
          <w:rFonts w:cs="Times New Roman"/>
          <w:szCs w:val="24"/>
        </w:rPr>
        <w:lastRenderedPageBreak/>
        <w:t>проектирование</w:t>
      </w:r>
      <w:r w:rsidRPr="00552D79">
        <w:rPr>
          <w:rFonts w:cs="Times New Roman"/>
          <w:szCs w:val="24"/>
        </w:rPr>
        <w:t xml:space="preserve"> строительства зданий 3 поликлиник, зданий поликлинического корпуса и корпуса под лучевой блок ГБУЗ «Городской клинический онкологический диспансер», амбулаторно-поликлинического учреждения со станцией скорой помощи</w:t>
      </w:r>
      <w:r>
        <w:rPr>
          <w:rFonts w:cs="Times New Roman"/>
          <w:szCs w:val="24"/>
        </w:rPr>
        <w:t xml:space="preserve">; </w:t>
      </w:r>
      <w:r w:rsidRPr="00552D79">
        <w:rPr>
          <w:rFonts w:cs="Times New Roman"/>
          <w:szCs w:val="24"/>
        </w:rPr>
        <w:t>нового здания лечебного корпуса для СПб ГБУЗ «Психиатрическая</w:t>
      </w:r>
      <w:r>
        <w:rPr>
          <w:rFonts w:cs="Times New Roman"/>
          <w:szCs w:val="24"/>
        </w:rPr>
        <w:t xml:space="preserve"> больница № 1 им. П.П. Кащенко»;</w:t>
      </w:r>
      <w:r w:rsidRPr="00552D79">
        <w:rPr>
          <w:rFonts w:cs="Times New Roman"/>
          <w:szCs w:val="24"/>
        </w:rPr>
        <w:t xml:space="preserve"> зданий детского туберкулезного санатория на базе СПб ГУЗ «Детский тубер</w:t>
      </w:r>
      <w:r>
        <w:rPr>
          <w:rFonts w:cs="Times New Roman"/>
          <w:szCs w:val="24"/>
        </w:rPr>
        <w:t xml:space="preserve">кулезный санаторий «Жемчужина»; </w:t>
      </w:r>
    </w:p>
    <w:p w14:paraId="232547F6" w14:textId="77777777" w:rsidR="003A2BAA" w:rsidRPr="00552D79" w:rsidRDefault="003A2BAA" w:rsidP="00486867">
      <w:pPr>
        <w:pStyle w:val="af5"/>
        <w:numPr>
          <w:ilvl w:val="0"/>
          <w:numId w:val="26"/>
        </w:numPr>
        <w:jc w:val="left"/>
        <w:rPr>
          <w:rFonts w:cs="Times New Roman"/>
          <w:szCs w:val="24"/>
        </w:rPr>
      </w:pPr>
      <w:r w:rsidRPr="00552D79">
        <w:rPr>
          <w:rFonts w:cs="Times New Roman"/>
          <w:szCs w:val="24"/>
        </w:rPr>
        <w:t>проектирование реконструкции здания для размещения амбулаторно</w:t>
      </w:r>
      <w:r>
        <w:rPr>
          <w:rFonts w:cs="Times New Roman"/>
          <w:szCs w:val="24"/>
        </w:rPr>
        <w:t>-</w:t>
      </w:r>
      <w:r w:rsidRPr="00552D79">
        <w:rPr>
          <w:rFonts w:cs="Times New Roman"/>
          <w:szCs w:val="24"/>
        </w:rPr>
        <w:t>поликлинического учреждения с дневным стационаром на 120 коек.</w:t>
      </w:r>
    </w:p>
    <w:p w14:paraId="68466309" w14:textId="77777777" w:rsidR="003A2BAA" w:rsidRDefault="003A2BAA" w:rsidP="007A1FC9">
      <w:pPr>
        <w:rPr>
          <w:rFonts w:cs="Times New Roman"/>
          <w:szCs w:val="24"/>
        </w:rPr>
      </w:pPr>
      <w:r>
        <w:rPr>
          <w:rFonts w:cs="Times New Roman"/>
          <w:szCs w:val="24"/>
        </w:rPr>
        <w:t>То есть объем расходов по текущим проектам составит чуть более 10 млрд. руб. Расходы по содержанию</w:t>
      </w:r>
      <w:r w:rsidRPr="00273BC8">
        <w:rPr>
          <w:rFonts w:cs="Times New Roman"/>
          <w:szCs w:val="24"/>
        </w:rPr>
        <w:t xml:space="preserve"> учреждений здравоохранения</w:t>
      </w:r>
      <w:r>
        <w:rPr>
          <w:rFonts w:cs="Times New Roman"/>
          <w:szCs w:val="24"/>
        </w:rPr>
        <w:t xml:space="preserve"> только за 2020 год составят около 8,5 млрд. руб. Обеспечение капитального ремонта государственных учреждений здравоохранения составит 2,8 млрд. руб. </w:t>
      </w:r>
      <w:r>
        <w:rPr>
          <w:rFonts w:eastAsia="Times New Roman" w:cs="Times New Roman"/>
          <w:szCs w:val="24"/>
          <w:lang w:eastAsia="ru-RU"/>
        </w:rPr>
        <w:t>Объем з</w:t>
      </w:r>
      <w:r w:rsidRPr="00D638E8">
        <w:rPr>
          <w:rFonts w:eastAsia="Times New Roman" w:cs="Times New Roman"/>
          <w:szCs w:val="24"/>
          <w:lang w:eastAsia="ru-RU"/>
        </w:rPr>
        <w:t>акупки лекарственных средств и материалов, п</w:t>
      </w:r>
      <w:r>
        <w:rPr>
          <w:rFonts w:eastAsia="Times New Roman" w:cs="Times New Roman"/>
          <w:szCs w:val="24"/>
          <w:lang w:eastAsia="ru-RU"/>
        </w:rPr>
        <w:t xml:space="preserve">рименяемых в медицинских целях составляет порядка </w:t>
      </w:r>
      <w:r w:rsidRPr="00D638E8">
        <w:rPr>
          <w:rFonts w:eastAsia="Times New Roman" w:cs="Times New Roman"/>
          <w:szCs w:val="24"/>
          <w:lang w:eastAsia="ru-RU"/>
        </w:rPr>
        <w:t>15</w:t>
      </w:r>
      <w:r>
        <w:rPr>
          <w:rFonts w:eastAsia="Times New Roman" w:cs="Times New Roman"/>
          <w:szCs w:val="24"/>
          <w:lang w:eastAsia="ru-RU"/>
        </w:rPr>
        <w:t xml:space="preserve"> млрд. руб.</w:t>
      </w:r>
      <w:r w:rsidRPr="00D638E8">
        <w:rPr>
          <w:rFonts w:eastAsia="Times New Roman" w:cs="Times New Roman"/>
          <w:szCs w:val="24"/>
          <w:lang w:eastAsia="ru-RU"/>
        </w:rPr>
        <w:t>, медицинск</w:t>
      </w:r>
      <w:r>
        <w:rPr>
          <w:rFonts w:eastAsia="Times New Roman" w:cs="Times New Roman"/>
          <w:szCs w:val="24"/>
          <w:lang w:eastAsia="ru-RU"/>
        </w:rPr>
        <w:t>их инструментов и оборудования – 8,7 млрд. руб.</w:t>
      </w:r>
      <w:r w:rsidRPr="00D638E8">
        <w:rPr>
          <w:rFonts w:eastAsia="Times New Roman" w:cs="Times New Roman"/>
          <w:szCs w:val="24"/>
          <w:lang w:eastAsia="ru-RU"/>
        </w:rPr>
        <w:t>, оборудования для облучения, электрического диагностического и терапевтического, пр</w:t>
      </w:r>
      <w:r>
        <w:rPr>
          <w:rFonts w:eastAsia="Times New Roman" w:cs="Times New Roman"/>
          <w:szCs w:val="24"/>
          <w:lang w:eastAsia="ru-RU"/>
        </w:rPr>
        <w:t>именяемого в медицинских целях – почти 4 млрд. руб., что в сумме составляе</w:t>
      </w:r>
      <w:r w:rsidRPr="00D638E8">
        <w:rPr>
          <w:rFonts w:eastAsia="Times New Roman" w:cs="Times New Roman"/>
          <w:szCs w:val="24"/>
          <w:lang w:eastAsia="ru-RU"/>
        </w:rPr>
        <w:t xml:space="preserve">т </w:t>
      </w:r>
      <w:r>
        <w:rPr>
          <w:rFonts w:eastAsia="Times New Roman" w:cs="Times New Roman"/>
          <w:szCs w:val="24"/>
          <w:lang w:eastAsia="ru-RU"/>
        </w:rPr>
        <w:t>48% от общего объема закупок продукции обрабатывающего производства.</w:t>
      </w:r>
    </w:p>
    <w:p w14:paraId="6F523E39" w14:textId="3F869979" w:rsidR="003A2BAA" w:rsidRDefault="003A2BAA" w:rsidP="007A1FC9">
      <w:pPr>
        <w:rPr>
          <w:rFonts w:cs="Times New Roman"/>
          <w:szCs w:val="24"/>
        </w:rPr>
      </w:pPr>
      <w:r>
        <w:rPr>
          <w:rFonts w:cs="Times New Roman"/>
          <w:szCs w:val="24"/>
        </w:rPr>
        <w:t>Перейдем к анализу проектов в других формах взаимодей</w:t>
      </w:r>
      <w:r w:rsidR="00AB4F9A">
        <w:rPr>
          <w:rFonts w:cs="Times New Roman"/>
          <w:szCs w:val="24"/>
        </w:rPr>
        <w:t>ствия власти и бизнеса. Ниже в Т</w:t>
      </w:r>
      <w:r>
        <w:rPr>
          <w:rFonts w:cs="Times New Roman"/>
          <w:szCs w:val="24"/>
        </w:rPr>
        <w:t xml:space="preserve">аблице представлены проекты, которые должны быть реализованы или уже реализуются в форме инвестиционных договоров. </w:t>
      </w:r>
    </w:p>
    <w:p w14:paraId="133665D8" w14:textId="467D1E53" w:rsidR="00AB4F9A" w:rsidRDefault="00AB4F9A" w:rsidP="00AB4F9A">
      <w:pPr>
        <w:pStyle w:val="a0"/>
      </w:pPr>
      <w:r>
        <w:t xml:space="preserve"> </w:t>
      </w:r>
      <w:r w:rsidR="0082599E">
        <w:t>Проекты в форме инвестиционных договоров</w:t>
      </w:r>
    </w:p>
    <w:tbl>
      <w:tblPr>
        <w:tblStyle w:val="af6"/>
        <w:tblW w:w="9923" w:type="dxa"/>
        <w:tblInd w:w="-572" w:type="dxa"/>
        <w:tblLook w:val="04A0" w:firstRow="1" w:lastRow="0" w:firstColumn="1" w:lastColumn="0" w:noHBand="0" w:noVBand="1"/>
      </w:tblPr>
      <w:tblGrid>
        <w:gridCol w:w="4374"/>
        <w:gridCol w:w="1399"/>
        <w:gridCol w:w="1807"/>
        <w:gridCol w:w="2343"/>
      </w:tblGrid>
      <w:tr w:rsidR="00A13BC6" w14:paraId="1D12C37B" w14:textId="2B43CCEF" w:rsidTr="00BD7092">
        <w:tc>
          <w:tcPr>
            <w:tcW w:w="4374" w:type="dxa"/>
            <w:vAlign w:val="center"/>
          </w:tcPr>
          <w:p w14:paraId="412A1315" w14:textId="77777777" w:rsidR="00A13BC6" w:rsidRPr="00ED2B7B" w:rsidRDefault="00A13BC6" w:rsidP="00AB4F9A">
            <w:pPr>
              <w:spacing w:line="240" w:lineRule="auto"/>
              <w:ind w:firstLine="0"/>
              <w:jc w:val="center"/>
              <w:rPr>
                <w:rFonts w:cs="Times New Roman"/>
                <w:b/>
                <w:sz w:val="22"/>
              </w:rPr>
            </w:pPr>
            <w:r w:rsidRPr="00ED2B7B">
              <w:rPr>
                <w:rFonts w:cs="Times New Roman"/>
                <w:b/>
                <w:sz w:val="22"/>
              </w:rPr>
              <w:t>Наименование проекта</w:t>
            </w:r>
          </w:p>
        </w:tc>
        <w:tc>
          <w:tcPr>
            <w:tcW w:w="1399" w:type="dxa"/>
            <w:vAlign w:val="center"/>
          </w:tcPr>
          <w:p w14:paraId="3728D7A5" w14:textId="77777777" w:rsidR="00A13BC6" w:rsidRPr="00ED2B7B" w:rsidRDefault="00A13BC6" w:rsidP="00AB4F9A">
            <w:pPr>
              <w:spacing w:line="240" w:lineRule="auto"/>
              <w:ind w:firstLine="0"/>
              <w:jc w:val="center"/>
              <w:rPr>
                <w:rFonts w:cs="Times New Roman"/>
                <w:b/>
                <w:sz w:val="22"/>
              </w:rPr>
            </w:pPr>
            <w:r w:rsidRPr="00ED2B7B">
              <w:rPr>
                <w:rFonts w:cs="Times New Roman"/>
                <w:b/>
                <w:sz w:val="22"/>
              </w:rPr>
              <w:t>Объем инвестиций</w:t>
            </w:r>
          </w:p>
        </w:tc>
        <w:tc>
          <w:tcPr>
            <w:tcW w:w="1807" w:type="dxa"/>
            <w:vAlign w:val="center"/>
          </w:tcPr>
          <w:p w14:paraId="34E5AE08" w14:textId="77777777" w:rsidR="00A13BC6" w:rsidRPr="00ED2B7B" w:rsidRDefault="00A13BC6" w:rsidP="00AB4F9A">
            <w:pPr>
              <w:spacing w:line="240" w:lineRule="auto"/>
              <w:ind w:firstLine="0"/>
              <w:jc w:val="center"/>
              <w:rPr>
                <w:rFonts w:cs="Times New Roman"/>
                <w:b/>
                <w:sz w:val="22"/>
              </w:rPr>
            </w:pPr>
            <w:r w:rsidRPr="00ED2B7B">
              <w:rPr>
                <w:rFonts w:cs="Times New Roman"/>
                <w:b/>
                <w:sz w:val="22"/>
              </w:rPr>
              <w:t>Срок реализации проекта</w:t>
            </w:r>
          </w:p>
        </w:tc>
        <w:tc>
          <w:tcPr>
            <w:tcW w:w="2343" w:type="dxa"/>
            <w:vAlign w:val="center"/>
          </w:tcPr>
          <w:p w14:paraId="6A52419E" w14:textId="77777777" w:rsidR="00A13BC6" w:rsidRPr="00ED2B7B" w:rsidRDefault="00A13BC6" w:rsidP="00AB4F9A">
            <w:pPr>
              <w:spacing w:line="240" w:lineRule="auto"/>
              <w:ind w:firstLine="0"/>
              <w:jc w:val="center"/>
              <w:rPr>
                <w:rFonts w:cs="Times New Roman"/>
                <w:b/>
                <w:sz w:val="22"/>
              </w:rPr>
            </w:pPr>
            <w:r w:rsidRPr="00ED2B7B">
              <w:rPr>
                <w:rFonts w:cs="Times New Roman"/>
                <w:b/>
                <w:sz w:val="22"/>
              </w:rPr>
              <w:t>Частный инвестор</w:t>
            </w:r>
          </w:p>
        </w:tc>
      </w:tr>
      <w:tr w:rsidR="00A13BC6" w14:paraId="4DE987DA" w14:textId="6AAE6A0E" w:rsidTr="00BD7092">
        <w:tc>
          <w:tcPr>
            <w:tcW w:w="4374" w:type="dxa"/>
            <w:vAlign w:val="center"/>
          </w:tcPr>
          <w:p w14:paraId="73E20E70" w14:textId="77777777" w:rsidR="00A13BC6" w:rsidRPr="00ED2B7B" w:rsidRDefault="00A13BC6" w:rsidP="00AB4F9A">
            <w:pPr>
              <w:spacing w:line="240" w:lineRule="auto"/>
              <w:ind w:firstLine="0"/>
              <w:jc w:val="left"/>
              <w:rPr>
                <w:rFonts w:cs="Times New Roman"/>
                <w:sz w:val="22"/>
              </w:rPr>
            </w:pPr>
            <w:r w:rsidRPr="00ED2B7B">
              <w:rPr>
                <w:rFonts w:cs="Times New Roman"/>
                <w:sz w:val="22"/>
              </w:rPr>
              <w:t>Строительства второй очереди многофункционального медицинского центра «Мать и дитя» в Приморском районе</w:t>
            </w:r>
          </w:p>
        </w:tc>
        <w:tc>
          <w:tcPr>
            <w:tcW w:w="1399" w:type="dxa"/>
            <w:vAlign w:val="center"/>
          </w:tcPr>
          <w:p w14:paraId="2FE8EC2A" w14:textId="0BF69045" w:rsidR="00A13BC6" w:rsidRPr="00ED2B7B" w:rsidRDefault="00A13BC6" w:rsidP="00AB4F9A">
            <w:pPr>
              <w:spacing w:line="240" w:lineRule="auto"/>
              <w:ind w:firstLine="0"/>
              <w:jc w:val="left"/>
              <w:rPr>
                <w:rFonts w:cs="Times New Roman"/>
                <w:sz w:val="22"/>
              </w:rPr>
            </w:pPr>
            <w:r w:rsidRPr="00ED2B7B">
              <w:rPr>
                <w:rFonts w:cs="Times New Roman"/>
                <w:sz w:val="22"/>
              </w:rPr>
              <w:t>5 млрд. руб.</w:t>
            </w:r>
          </w:p>
        </w:tc>
        <w:tc>
          <w:tcPr>
            <w:tcW w:w="1807" w:type="dxa"/>
            <w:vAlign w:val="center"/>
          </w:tcPr>
          <w:p w14:paraId="2B15B32C" w14:textId="77777777" w:rsidR="00A13BC6" w:rsidRPr="00ED2B7B" w:rsidRDefault="00A13BC6" w:rsidP="00AB4F9A">
            <w:pPr>
              <w:spacing w:line="240" w:lineRule="auto"/>
              <w:ind w:firstLine="0"/>
              <w:jc w:val="left"/>
              <w:rPr>
                <w:rFonts w:cs="Times New Roman"/>
                <w:sz w:val="22"/>
              </w:rPr>
            </w:pPr>
            <w:r w:rsidRPr="00ED2B7B">
              <w:rPr>
                <w:rFonts w:cs="Times New Roman"/>
                <w:sz w:val="22"/>
              </w:rPr>
              <w:t>3 года</w:t>
            </w:r>
          </w:p>
          <w:p w14:paraId="15B8DABB" w14:textId="5577ECD6" w:rsidR="00A13BC6" w:rsidRPr="00ED2B7B" w:rsidRDefault="00A13BC6" w:rsidP="00AB4F9A">
            <w:pPr>
              <w:spacing w:line="240" w:lineRule="auto"/>
              <w:ind w:firstLine="0"/>
              <w:jc w:val="left"/>
              <w:rPr>
                <w:rFonts w:cs="Times New Roman"/>
                <w:sz w:val="22"/>
              </w:rPr>
            </w:pPr>
            <w:r w:rsidRPr="00ED2B7B">
              <w:rPr>
                <w:rFonts w:cs="Times New Roman"/>
                <w:sz w:val="22"/>
              </w:rPr>
              <w:t>(2018 – 2020 гг.)</w:t>
            </w:r>
          </w:p>
        </w:tc>
        <w:tc>
          <w:tcPr>
            <w:tcW w:w="2343" w:type="dxa"/>
            <w:vAlign w:val="center"/>
          </w:tcPr>
          <w:p w14:paraId="6FABF8BE" w14:textId="77777777" w:rsidR="00A13BC6" w:rsidRPr="00ED2B7B" w:rsidRDefault="00A13BC6" w:rsidP="00AB4F9A">
            <w:pPr>
              <w:spacing w:line="240" w:lineRule="auto"/>
              <w:ind w:firstLine="0"/>
              <w:jc w:val="left"/>
              <w:rPr>
                <w:rFonts w:cs="Times New Roman"/>
                <w:sz w:val="22"/>
              </w:rPr>
            </w:pPr>
            <w:r w:rsidRPr="00ED2B7B">
              <w:rPr>
                <w:rFonts w:cs="Times New Roman"/>
                <w:sz w:val="22"/>
              </w:rPr>
              <w:t>ООО «</w:t>
            </w:r>
            <w:proofErr w:type="spellStart"/>
            <w:r w:rsidRPr="00ED2B7B">
              <w:rPr>
                <w:rFonts w:cs="Times New Roman"/>
                <w:sz w:val="22"/>
              </w:rPr>
              <w:t>Хавен</w:t>
            </w:r>
            <w:proofErr w:type="spellEnd"/>
            <w:r w:rsidRPr="00ED2B7B">
              <w:rPr>
                <w:rFonts w:cs="Times New Roman"/>
                <w:sz w:val="22"/>
              </w:rPr>
              <w:t>» (Клинический Госпиталь «</w:t>
            </w:r>
            <w:proofErr w:type="spellStart"/>
            <w:r w:rsidRPr="00ED2B7B">
              <w:rPr>
                <w:rFonts w:cs="Times New Roman"/>
                <w:sz w:val="22"/>
              </w:rPr>
              <w:t>Лапино</w:t>
            </w:r>
            <w:proofErr w:type="spellEnd"/>
            <w:r w:rsidRPr="00ED2B7B">
              <w:rPr>
                <w:rFonts w:cs="Times New Roman"/>
                <w:sz w:val="22"/>
              </w:rPr>
              <w:t>»)</w:t>
            </w:r>
          </w:p>
        </w:tc>
      </w:tr>
      <w:tr w:rsidR="00A13BC6" w14:paraId="0C7E4D05" w14:textId="46EB20AE" w:rsidTr="00BD7092">
        <w:tc>
          <w:tcPr>
            <w:tcW w:w="4374" w:type="dxa"/>
            <w:vAlign w:val="center"/>
          </w:tcPr>
          <w:p w14:paraId="28678E48" w14:textId="1148EE54" w:rsidR="00A13BC6" w:rsidRPr="00ED2B7B" w:rsidRDefault="00A13BC6" w:rsidP="00A13BC6">
            <w:pPr>
              <w:spacing w:line="240" w:lineRule="auto"/>
              <w:ind w:firstLine="0"/>
              <w:jc w:val="left"/>
              <w:rPr>
                <w:rFonts w:cs="Times New Roman"/>
                <w:sz w:val="22"/>
              </w:rPr>
            </w:pPr>
            <w:r w:rsidRPr="00ED2B7B">
              <w:rPr>
                <w:rFonts w:cs="Times New Roman"/>
                <w:sz w:val="22"/>
              </w:rPr>
              <w:t>Строительство второй очереди многопрофильной клиники «Скандинавия» («Северная клиника»)</w:t>
            </w:r>
            <w:r w:rsidR="00BD7092">
              <w:rPr>
                <w:rFonts w:cs="Times New Roman"/>
                <w:sz w:val="22"/>
              </w:rPr>
              <w:t xml:space="preserve"> в Приморском районе</w:t>
            </w:r>
          </w:p>
        </w:tc>
        <w:tc>
          <w:tcPr>
            <w:tcW w:w="1399" w:type="dxa"/>
            <w:vAlign w:val="center"/>
          </w:tcPr>
          <w:p w14:paraId="1402FE9B" w14:textId="18C344CA" w:rsidR="00A13BC6" w:rsidRPr="00ED2B7B" w:rsidRDefault="00A13BC6" w:rsidP="00AB4F9A">
            <w:pPr>
              <w:spacing w:line="240" w:lineRule="auto"/>
              <w:ind w:firstLine="0"/>
              <w:jc w:val="left"/>
              <w:rPr>
                <w:rFonts w:cs="Times New Roman"/>
                <w:sz w:val="22"/>
              </w:rPr>
            </w:pPr>
            <w:r w:rsidRPr="00ED2B7B">
              <w:rPr>
                <w:rFonts w:cs="Times New Roman"/>
                <w:sz w:val="22"/>
              </w:rPr>
              <w:t>1,6 млрд. руб.</w:t>
            </w:r>
          </w:p>
        </w:tc>
        <w:tc>
          <w:tcPr>
            <w:tcW w:w="1807" w:type="dxa"/>
            <w:vAlign w:val="center"/>
          </w:tcPr>
          <w:p w14:paraId="1A600199" w14:textId="790F6811" w:rsidR="00A13BC6" w:rsidRPr="00ED2B7B" w:rsidRDefault="00A13BC6" w:rsidP="00AB4F9A">
            <w:pPr>
              <w:spacing w:line="240" w:lineRule="auto"/>
              <w:ind w:firstLine="0"/>
              <w:jc w:val="left"/>
              <w:rPr>
                <w:rFonts w:cs="Times New Roman"/>
                <w:sz w:val="22"/>
              </w:rPr>
            </w:pPr>
            <w:r w:rsidRPr="00ED2B7B">
              <w:rPr>
                <w:rFonts w:cs="Times New Roman"/>
                <w:sz w:val="22"/>
              </w:rPr>
              <w:t>2 года</w:t>
            </w:r>
          </w:p>
          <w:p w14:paraId="5F1857D3" w14:textId="4414A0D4" w:rsidR="00A13BC6" w:rsidRPr="00ED2B7B" w:rsidRDefault="00A13BC6" w:rsidP="00AB4F9A">
            <w:pPr>
              <w:spacing w:line="240" w:lineRule="auto"/>
              <w:ind w:firstLine="0"/>
              <w:jc w:val="left"/>
              <w:rPr>
                <w:rFonts w:cs="Times New Roman"/>
                <w:sz w:val="22"/>
              </w:rPr>
            </w:pPr>
            <w:r w:rsidRPr="00ED2B7B">
              <w:rPr>
                <w:rFonts w:cs="Times New Roman"/>
                <w:sz w:val="22"/>
              </w:rPr>
              <w:t>(2017 – 2018 гг.)</w:t>
            </w:r>
          </w:p>
          <w:p w14:paraId="51EE362E" w14:textId="56E4961F" w:rsidR="00A13BC6" w:rsidRPr="00ED2B7B" w:rsidRDefault="00A13BC6" w:rsidP="00AB4F9A">
            <w:pPr>
              <w:spacing w:line="240" w:lineRule="auto"/>
              <w:ind w:firstLine="0"/>
              <w:jc w:val="left"/>
              <w:rPr>
                <w:rFonts w:cs="Times New Roman"/>
                <w:sz w:val="22"/>
              </w:rPr>
            </w:pPr>
          </w:p>
        </w:tc>
        <w:tc>
          <w:tcPr>
            <w:tcW w:w="2343" w:type="dxa"/>
            <w:vAlign w:val="center"/>
          </w:tcPr>
          <w:p w14:paraId="3AA1738E" w14:textId="435297C6" w:rsidR="00A13BC6" w:rsidRPr="00ED2B7B" w:rsidRDefault="00A13BC6" w:rsidP="00AB4F9A">
            <w:pPr>
              <w:spacing w:line="240" w:lineRule="auto"/>
              <w:ind w:firstLine="0"/>
              <w:jc w:val="left"/>
              <w:rPr>
                <w:rFonts w:cs="Times New Roman"/>
                <w:sz w:val="22"/>
              </w:rPr>
            </w:pPr>
            <w:r w:rsidRPr="00ED2B7B">
              <w:rPr>
                <w:rFonts w:cs="Times New Roman"/>
                <w:sz w:val="22"/>
              </w:rPr>
              <w:t>ООО «Ава-Петер»</w:t>
            </w:r>
          </w:p>
        </w:tc>
      </w:tr>
      <w:tr w:rsidR="00A13BC6" w14:paraId="735D75FD" w14:textId="65777390" w:rsidTr="00BD7092">
        <w:tc>
          <w:tcPr>
            <w:tcW w:w="4374" w:type="dxa"/>
            <w:vAlign w:val="center"/>
          </w:tcPr>
          <w:p w14:paraId="3018636E" w14:textId="77777777" w:rsidR="00A13BC6" w:rsidRPr="00ED2B7B" w:rsidRDefault="00A13BC6" w:rsidP="00AB4F9A">
            <w:pPr>
              <w:spacing w:line="240" w:lineRule="auto"/>
              <w:ind w:firstLine="0"/>
              <w:jc w:val="left"/>
              <w:rPr>
                <w:rFonts w:cs="Times New Roman"/>
                <w:sz w:val="22"/>
              </w:rPr>
            </w:pPr>
            <w:r w:rsidRPr="00ED2B7B">
              <w:rPr>
                <w:rFonts w:cs="Times New Roman"/>
                <w:sz w:val="22"/>
              </w:rPr>
              <w:t>Строительство предприятия по производству фармацевтической продукции в г. Пушкин</w:t>
            </w:r>
          </w:p>
        </w:tc>
        <w:tc>
          <w:tcPr>
            <w:tcW w:w="1399" w:type="dxa"/>
            <w:vAlign w:val="center"/>
          </w:tcPr>
          <w:p w14:paraId="70BF655E" w14:textId="77777777" w:rsidR="00A13BC6" w:rsidRPr="00ED2B7B" w:rsidRDefault="00A13BC6" w:rsidP="00AB4F9A">
            <w:pPr>
              <w:spacing w:line="240" w:lineRule="auto"/>
              <w:ind w:firstLine="0"/>
              <w:jc w:val="left"/>
              <w:rPr>
                <w:rFonts w:cs="Times New Roman"/>
                <w:sz w:val="22"/>
              </w:rPr>
            </w:pPr>
            <w:r w:rsidRPr="00ED2B7B">
              <w:rPr>
                <w:rFonts w:cs="Times New Roman"/>
                <w:sz w:val="22"/>
              </w:rPr>
              <w:t>5 млрд. руб.</w:t>
            </w:r>
          </w:p>
        </w:tc>
        <w:tc>
          <w:tcPr>
            <w:tcW w:w="1807" w:type="dxa"/>
            <w:vAlign w:val="center"/>
          </w:tcPr>
          <w:p w14:paraId="2A6E0909" w14:textId="7FBB5259" w:rsidR="00A13BC6" w:rsidRPr="00ED2B7B" w:rsidRDefault="00A13BC6" w:rsidP="00AB4F9A">
            <w:pPr>
              <w:spacing w:line="240" w:lineRule="auto"/>
              <w:ind w:firstLine="0"/>
              <w:jc w:val="left"/>
              <w:rPr>
                <w:rFonts w:cs="Times New Roman"/>
                <w:sz w:val="22"/>
              </w:rPr>
            </w:pPr>
            <w:r w:rsidRPr="00ED2B7B">
              <w:rPr>
                <w:rFonts w:cs="Times New Roman"/>
                <w:sz w:val="22"/>
              </w:rPr>
              <w:t>3 года</w:t>
            </w:r>
          </w:p>
          <w:p w14:paraId="79A0AE2C" w14:textId="2FD345BF" w:rsidR="00A13BC6" w:rsidRPr="00ED2B7B" w:rsidRDefault="00A13BC6" w:rsidP="00AB4F9A">
            <w:pPr>
              <w:spacing w:line="240" w:lineRule="auto"/>
              <w:ind w:firstLine="0"/>
              <w:jc w:val="left"/>
              <w:rPr>
                <w:rFonts w:cs="Times New Roman"/>
                <w:sz w:val="22"/>
              </w:rPr>
            </w:pPr>
            <w:r w:rsidRPr="00ED2B7B">
              <w:rPr>
                <w:rFonts w:cs="Times New Roman"/>
                <w:sz w:val="22"/>
              </w:rPr>
              <w:t>(2016 – 2019 гг.)</w:t>
            </w:r>
          </w:p>
        </w:tc>
        <w:tc>
          <w:tcPr>
            <w:tcW w:w="2343" w:type="dxa"/>
            <w:vAlign w:val="center"/>
          </w:tcPr>
          <w:p w14:paraId="2446C4E6" w14:textId="77777777" w:rsidR="00A13BC6" w:rsidRPr="00ED2B7B" w:rsidRDefault="00A13BC6" w:rsidP="00AB4F9A">
            <w:pPr>
              <w:spacing w:line="240" w:lineRule="auto"/>
              <w:ind w:firstLine="0"/>
              <w:jc w:val="left"/>
              <w:rPr>
                <w:rFonts w:cs="Times New Roman"/>
                <w:sz w:val="22"/>
              </w:rPr>
            </w:pPr>
            <w:r w:rsidRPr="00ED2B7B">
              <w:rPr>
                <w:rFonts w:cs="Times New Roman"/>
                <w:sz w:val="22"/>
              </w:rPr>
              <w:t>ООО «Самсон-Мед»</w:t>
            </w:r>
          </w:p>
        </w:tc>
      </w:tr>
      <w:tr w:rsidR="00A13BC6" w14:paraId="21799FDE" w14:textId="3F55F444" w:rsidTr="00BD7092">
        <w:tc>
          <w:tcPr>
            <w:tcW w:w="4374" w:type="dxa"/>
            <w:vAlign w:val="center"/>
          </w:tcPr>
          <w:p w14:paraId="63845349" w14:textId="47E6700B" w:rsidR="00A13BC6" w:rsidRPr="00ED2B7B" w:rsidRDefault="00A13BC6" w:rsidP="00AB4F9A">
            <w:pPr>
              <w:spacing w:line="240" w:lineRule="auto"/>
              <w:ind w:firstLine="0"/>
              <w:jc w:val="left"/>
              <w:rPr>
                <w:rFonts w:cs="Times New Roman"/>
                <w:sz w:val="22"/>
              </w:rPr>
            </w:pPr>
            <w:r w:rsidRPr="00ED2B7B">
              <w:rPr>
                <w:rFonts w:cs="Times New Roman"/>
                <w:sz w:val="22"/>
              </w:rPr>
              <w:t>Строительство научно-технологического центра (НТЦ)</w:t>
            </w:r>
          </w:p>
        </w:tc>
        <w:tc>
          <w:tcPr>
            <w:tcW w:w="1399" w:type="dxa"/>
            <w:vAlign w:val="center"/>
          </w:tcPr>
          <w:p w14:paraId="3C0F6649" w14:textId="77777777" w:rsidR="00A13BC6" w:rsidRPr="00ED2B7B" w:rsidRDefault="00A13BC6" w:rsidP="00AB4F9A">
            <w:pPr>
              <w:spacing w:line="240" w:lineRule="auto"/>
              <w:ind w:firstLine="0"/>
              <w:jc w:val="left"/>
              <w:rPr>
                <w:rFonts w:cs="Times New Roman"/>
                <w:sz w:val="22"/>
              </w:rPr>
            </w:pPr>
            <w:r w:rsidRPr="00ED2B7B">
              <w:rPr>
                <w:rFonts w:cs="Times New Roman"/>
                <w:sz w:val="22"/>
              </w:rPr>
              <w:t>Более 4,5 млрд. руб.</w:t>
            </w:r>
          </w:p>
        </w:tc>
        <w:tc>
          <w:tcPr>
            <w:tcW w:w="1807" w:type="dxa"/>
            <w:vAlign w:val="center"/>
          </w:tcPr>
          <w:p w14:paraId="6A4D0F09" w14:textId="77777777" w:rsidR="00A13BC6" w:rsidRPr="00ED2B7B" w:rsidRDefault="00A13BC6" w:rsidP="00AB4F9A">
            <w:pPr>
              <w:spacing w:line="240" w:lineRule="auto"/>
              <w:ind w:firstLine="0"/>
              <w:jc w:val="left"/>
              <w:rPr>
                <w:rFonts w:cs="Times New Roman"/>
                <w:sz w:val="22"/>
              </w:rPr>
            </w:pPr>
            <w:r w:rsidRPr="00ED2B7B">
              <w:rPr>
                <w:rFonts w:cs="Times New Roman"/>
                <w:sz w:val="22"/>
              </w:rPr>
              <w:t>2 года</w:t>
            </w:r>
          </w:p>
          <w:p w14:paraId="35D3C494" w14:textId="2406ADC3" w:rsidR="00A13BC6" w:rsidRPr="00ED2B7B" w:rsidRDefault="00A13BC6" w:rsidP="00AB4F9A">
            <w:pPr>
              <w:spacing w:line="240" w:lineRule="auto"/>
              <w:ind w:firstLine="0"/>
              <w:jc w:val="left"/>
              <w:rPr>
                <w:rFonts w:cs="Times New Roman"/>
                <w:sz w:val="22"/>
              </w:rPr>
            </w:pPr>
            <w:r w:rsidRPr="00ED2B7B">
              <w:rPr>
                <w:rFonts w:cs="Times New Roman"/>
                <w:sz w:val="22"/>
              </w:rPr>
              <w:t>(2017 – 2019 гг.)</w:t>
            </w:r>
          </w:p>
        </w:tc>
        <w:tc>
          <w:tcPr>
            <w:tcW w:w="2343" w:type="dxa"/>
            <w:vAlign w:val="center"/>
          </w:tcPr>
          <w:p w14:paraId="1829353D" w14:textId="77777777" w:rsidR="00A13BC6" w:rsidRPr="00ED2B7B" w:rsidRDefault="00A13BC6" w:rsidP="00AB4F9A">
            <w:pPr>
              <w:spacing w:line="240" w:lineRule="auto"/>
              <w:ind w:firstLine="0"/>
              <w:jc w:val="left"/>
              <w:rPr>
                <w:rFonts w:cs="Times New Roman"/>
                <w:sz w:val="22"/>
              </w:rPr>
            </w:pPr>
            <w:r w:rsidRPr="00ED2B7B">
              <w:rPr>
                <w:rFonts w:cs="Times New Roman"/>
                <w:sz w:val="22"/>
              </w:rPr>
              <w:t>ООО «НТФФ «ПОЛИСАН»</w:t>
            </w:r>
          </w:p>
        </w:tc>
      </w:tr>
      <w:tr w:rsidR="00A13BC6" w14:paraId="549292F3" w14:textId="17A2F2EF" w:rsidTr="00BD7092">
        <w:tc>
          <w:tcPr>
            <w:tcW w:w="4374" w:type="dxa"/>
            <w:vAlign w:val="center"/>
          </w:tcPr>
          <w:p w14:paraId="51F6DC64" w14:textId="77777777" w:rsidR="00A13BC6" w:rsidRPr="00ED2B7B" w:rsidRDefault="00A13BC6" w:rsidP="00AB4F9A">
            <w:pPr>
              <w:spacing w:line="240" w:lineRule="auto"/>
              <w:ind w:firstLine="0"/>
              <w:jc w:val="left"/>
              <w:rPr>
                <w:rFonts w:cs="Times New Roman"/>
                <w:sz w:val="22"/>
              </w:rPr>
            </w:pPr>
            <w:r w:rsidRPr="00ED2B7B">
              <w:rPr>
                <w:rFonts w:cs="Times New Roman"/>
                <w:sz w:val="22"/>
              </w:rPr>
              <w:t>Строительство завода «</w:t>
            </w:r>
            <w:proofErr w:type="spellStart"/>
            <w:r w:rsidRPr="00ED2B7B">
              <w:rPr>
                <w:rFonts w:cs="Times New Roman"/>
                <w:sz w:val="22"/>
              </w:rPr>
              <w:t>Солофарм</w:t>
            </w:r>
            <w:proofErr w:type="spellEnd"/>
            <w:r w:rsidRPr="00ED2B7B">
              <w:rPr>
                <w:rFonts w:cs="Times New Roman"/>
                <w:sz w:val="22"/>
              </w:rPr>
              <w:t>» по выпуску жидких лекарственных препаратов</w:t>
            </w:r>
          </w:p>
        </w:tc>
        <w:tc>
          <w:tcPr>
            <w:tcW w:w="1399" w:type="dxa"/>
            <w:vAlign w:val="center"/>
          </w:tcPr>
          <w:p w14:paraId="57B3C074" w14:textId="77777777" w:rsidR="00A13BC6" w:rsidRPr="00ED2B7B" w:rsidRDefault="00A13BC6" w:rsidP="00AB4F9A">
            <w:pPr>
              <w:spacing w:line="240" w:lineRule="auto"/>
              <w:ind w:firstLine="0"/>
              <w:jc w:val="left"/>
              <w:rPr>
                <w:rFonts w:cs="Times New Roman"/>
                <w:sz w:val="22"/>
              </w:rPr>
            </w:pPr>
            <w:r w:rsidRPr="00ED2B7B">
              <w:rPr>
                <w:rFonts w:cs="Times New Roman"/>
                <w:sz w:val="22"/>
              </w:rPr>
              <w:t>Около 16 млрд. руб.</w:t>
            </w:r>
          </w:p>
        </w:tc>
        <w:tc>
          <w:tcPr>
            <w:tcW w:w="1807" w:type="dxa"/>
            <w:vAlign w:val="center"/>
          </w:tcPr>
          <w:p w14:paraId="5B965E80" w14:textId="77777777" w:rsidR="00A13BC6" w:rsidRPr="00ED2B7B" w:rsidRDefault="00A13BC6" w:rsidP="00AB4F9A">
            <w:pPr>
              <w:spacing w:line="240" w:lineRule="auto"/>
              <w:ind w:firstLine="0"/>
              <w:jc w:val="left"/>
              <w:rPr>
                <w:rFonts w:cs="Times New Roman"/>
                <w:sz w:val="22"/>
              </w:rPr>
            </w:pPr>
            <w:r w:rsidRPr="00ED2B7B">
              <w:rPr>
                <w:rFonts w:cs="Times New Roman"/>
                <w:sz w:val="22"/>
              </w:rPr>
              <w:t>5 лет</w:t>
            </w:r>
          </w:p>
          <w:p w14:paraId="25EAFD41" w14:textId="58D288D3" w:rsidR="00A13BC6" w:rsidRPr="00ED2B7B" w:rsidRDefault="009B34C9" w:rsidP="00AB4F9A">
            <w:pPr>
              <w:spacing w:line="240" w:lineRule="auto"/>
              <w:ind w:firstLine="0"/>
              <w:jc w:val="left"/>
              <w:rPr>
                <w:rFonts w:cs="Times New Roman"/>
                <w:sz w:val="22"/>
              </w:rPr>
            </w:pPr>
            <w:r w:rsidRPr="00ED2B7B">
              <w:rPr>
                <w:rFonts w:cs="Times New Roman"/>
                <w:sz w:val="22"/>
              </w:rPr>
              <w:t>(2016 – 2021 гг.)</w:t>
            </w:r>
          </w:p>
        </w:tc>
        <w:tc>
          <w:tcPr>
            <w:tcW w:w="2343" w:type="dxa"/>
            <w:vAlign w:val="center"/>
          </w:tcPr>
          <w:p w14:paraId="43027BA8" w14:textId="77777777" w:rsidR="00A13BC6" w:rsidRPr="00ED2B7B" w:rsidRDefault="00A13BC6" w:rsidP="00AB4F9A">
            <w:pPr>
              <w:spacing w:line="240" w:lineRule="auto"/>
              <w:ind w:firstLine="0"/>
              <w:jc w:val="left"/>
              <w:rPr>
                <w:rFonts w:cs="Times New Roman"/>
                <w:sz w:val="22"/>
              </w:rPr>
            </w:pPr>
            <w:r w:rsidRPr="00ED2B7B">
              <w:rPr>
                <w:rFonts w:cs="Times New Roman"/>
                <w:sz w:val="22"/>
              </w:rPr>
              <w:t>ООО «</w:t>
            </w:r>
            <w:proofErr w:type="spellStart"/>
            <w:r w:rsidRPr="00ED2B7B">
              <w:rPr>
                <w:rFonts w:cs="Times New Roman"/>
                <w:sz w:val="22"/>
              </w:rPr>
              <w:t>Гротекс</w:t>
            </w:r>
            <w:proofErr w:type="spellEnd"/>
            <w:r w:rsidRPr="00ED2B7B">
              <w:rPr>
                <w:rFonts w:cs="Times New Roman"/>
                <w:sz w:val="22"/>
              </w:rPr>
              <w:t>»</w:t>
            </w:r>
          </w:p>
        </w:tc>
      </w:tr>
    </w:tbl>
    <w:p w14:paraId="161C50E4" w14:textId="77777777" w:rsidR="003A2BAA" w:rsidRPr="00CE404B" w:rsidRDefault="003A2BAA" w:rsidP="007A1FC9">
      <w:pPr>
        <w:jc w:val="right"/>
        <w:rPr>
          <w:rFonts w:cs="Times New Roman"/>
          <w:i/>
        </w:rPr>
      </w:pPr>
      <w:r w:rsidRPr="00ED41B1">
        <w:rPr>
          <w:rFonts w:cs="Times New Roman"/>
          <w:i/>
        </w:rPr>
        <w:t>Источник: составлено автором</w:t>
      </w:r>
    </w:p>
    <w:p w14:paraId="2CD1C776" w14:textId="77777777" w:rsidR="00737558" w:rsidRDefault="003E1C58" w:rsidP="00A13BC6">
      <w:pPr>
        <w:rPr>
          <w:rFonts w:eastAsia="Times New Roman" w:cs="Times New Roman"/>
          <w:szCs w:val="24"/>
          <w:lang w:eastAsia="ru-RU"/>
        </w:rPr>
      </w:pPr>
      <w:r>
        <w:rPr>
          <w:rFonts w:eastAsia="Times New Roman" w:cs="Times New Roman"/>
          <w:szCs w:val="24"/>
          <w:lang w:eastAsia="ru-RU"/>
        </w:rPr>
        <w:lastRenderedPageBreak/>
        <w:t>Общий объем инвестиций по данным проектам составляет около 30 млрд. руб. Все проекты, за исключением проек</w:t>
      </w:r>
      <w:r w:rsidR="00A13BC6">
        <w:rPr>
          <w:rFonts w:eastAsia="Times New Roman" w:cs="Times New Roman"/>
          <w:szCs w:val="24"/>
          <w:lang w:eastAsia="ru-RU"/>
        </w:rPr>
        <w:t>тов</w:t>
      </w:r>
      <w:r>
        <w:rPr>
          <w:rFonts w:eastAsia="Times New Roman" w:cs="Times New Roman"/>
          <w:szCs w:val="24"/>
          <w:lang w:eastAsia="ru-RU"/>
        </w:rPr>
        <w:t xml:space="preserve"> по строительству перинатального центра «Мать и дитя»</w:t>
      </w:r>
      <w:r w:rsidR="00A13BC6">
        <w:rPr>
          <w:rFonts w:eastAsia="Times New Roman" w:cs="Times New Roman"/>
          <w:szCs w:val="24"/>
          <w:lang w:eastAsia="ru-RU"/>
        </w:rPr>
        <w:t xml:space="preserve"> и многопрофильной клиники «Скандинавия»</w:t>
      </w:r>
      <w:r>
        <w:rPr>
          <w:rFonts w:eastAsia="Times New Roman" w:cs="Times New Roman"/>
          <w:szCs w:val="24"/>
          <w:lang w:eastAsia="ru-RU"/>
        </w:rPr>
        <w:t>, относятся к решению задачи Стратегии СЭР Санкт-Петербурга по разработке и производству</w:t>
      </w:r>
      <w:r w:rsidRPr="003E1C58">
        <w:rPr>
          <w:rFonts w:eastAsia="Times New Roman" w:cs="Times New Roman"/>
          <w:szCs w:val="24"/>
          <w:lang w:eastAsia="ru-RU"/>
        </w:rPr>
        <w:t xml:space="preserve"> инновационных лекарственных средств</w:t>
      </w:r>
      <w:r>
        <w:rPr>
          <w:rFonts w:eastAsia="Times New Roman" w:cs="Times New Roman"/>
          <w:szCs w:val="24"/>
          <w:lang w:eastAsia="ru-RU"/>
        </w:rPr>
        <w:t xml:space="preserve">. </w:t>
      </w:r>
      <w:r w:rsidR="00A13BC6">
        <w:rPr>
          <w:rFonts w:eastAsia="Times New Roman" w:cs="Times New Roman"/>
          <w:szCs w:val="24"/>
          <w:lang w:eastAsia="ru-RU"/>
        </w:rPr>
        <w:t xml:space="preserve">Два других проекта </w:t>
      </w:r>
      <w:r>
        <w:rPr>
          <w:rFonts w:eastAsia="Times New Roman" w:cs="Times New Roman"/>
          <w:szCs w:val="24"/>
          <w:lang w:eastAsia="ru-RU"/>
        </w:rPr>
        <w:t>долж</w:t>
      </w:r>
      <w:r w:rsidR="00A13BC6">
        <w:rPr>
          <w:rFonts w:eastAsia="Times New Roman" w:cs="Times New Roman"/>
          <w:szCs w:val="24"/>
          <w:lang w:eastAsia="ru-RU"/>
        </w:rPr>
        <w:t>ны</w:t>
      </w:r>
      <w:r>
        <w:rPr>
          <w:rFonts w:eastAsia="Times New Roman" w:cs="Times New Roman"/>
          <w:szCs w:val="24"/>
          <w:lang w:eastAsia="ru-RU"/>
        </w:rPr>
        <w:t xml:space="preserve"> способствовать решению задач Стратегии СЭР Санкт-Петербурга по совершенствованию</w:t>
      </w:r>
      <w:r w:rsidRPr="003E1C58">
        <w:rPr>
          <w:rFonts w:eastAsia="Times New Roman" w:cs="Times New Roman"/>
          <w:szCs w:val="24"/>
          <w:lang w:eastAsia="ru-RU"/>
        </w:rPr>
        <w:t xml:space="preserve"> условий для охраны здоровья мате</w:t>
      </w:r>
      <w:r>
        <w:rPr>
          <w:rFonts w:eastAsia="Times New Roman" w:cs="Times New Roman"/>
          <w:szCs w:val="24"/>
          <w:lang w:eastAsia="ru-RU"/>
        </w:rPr>
        <w:t>ри и ребенка, сохранению</w:t>
      </w:r>
      <w:r w:rsidRPr="003E1C58">
        <w:rPr>
          <w:rFonts w:eastAsia="Times New Roman" w:cs="Times New Roman"/>
          <w:szCs w:val="24"/>
          <w:lang w:eastAsia="ru-RU"/>
        </w:rPr>
        <w:t xml:space="preserve"> репродуктивного здоровья женщин</w:t>
      </w:r>
      <w:r>
        <w:rPr>
          <w:rFonts w:eastAsia="Times New Roman" w:cs="Times New Roman"/>
          <w:szCs w:val="24"/>
          <w:lang w:eastAsia="ru-RU"/>
        </w:rPr>
        <w:t xml:space="preserve">, </w:t>
      </w:r>
      <w:r w:rsidRPr="003E1C58">
        <w:rPr>
          <w:rFonts w:eastAsia="Times New Roman" w:cs="Times New Roman"/>
          <w:szCs w:val="24"/>
          <w:lang w:eastAsia="ru-RU"/>
        </w:rPr>
        <w:t>по совершенствованию оказания специализированной, в том числе высокот</w:t>
      </w:r>
      <w:r w:rsidR="00B53D26">
        <w:rPr>
          <w:rFonts w:eastAsia="Times New Roman" w:cs="Times New Roman"/>
          <w:szCs w:val="24"/>
          <w:lang w:eastAsia="ru-RU"/>
        </w:rPr>
        <w:t>ехнологичной медицинской помощи, а также по повышению</w:t>
      </w:r>
      <w:r w:rsidR="00B53D26" w:rsidRPr="00B53D26">
        <w:rPr>
          <w:rFonts w:eastAsia="Times New Roman" w:cs="Times New Roman"/>
          <w:szCs w:val="24"/>
          <w:lang w:eastAsia="ru-RU"/>
        </w:rPr>
        <w:t xml:space="preserve"> эффективности системы оказания медицинской помощи</w:t>
      </w:r>
      <w:r w:rsidR="00B53D26">
        <w:rPr>
          <w:rFonts w:eastAsia="Times New Roman" w:cs="Times New Roman"/>
          <w:szCs w:val="24"/>
          <w:lang w:eastAsia="ru-RU"/>
        </w:rPr>
        <w:t>.</w:t>
      </w:r>
      <w:r w:rsidR="00A13BC6">
        <w:rPr>
          <w:rFonts w:eastAsia="Times New Roman" w:cs="Times New Roman"/>
          <w:szCs w:val="24"/>
          <w:lang w:eastAsia="ru-RU"/>
        </w:rPr>
        <w:t xml:space="preserve"> «Северная клиника» после завершения строительства второй очереди сможет осуществлять </w:t>
      </w:r>
      <w:r w:rsidR="00A13BC6" w:rsidRPr="00A13BC6">
        <w:rPr>
          <w:rFonts w:eastAsia="Times New Roman" w:cs="Times New Roman"/>
          <w:szCs w:val="24"/>
          <w:lang w:eastAsia="ru-RU"/>
        </w:rPr>
        <w:t xml:space="preserve">до 9000 </w:t>
      </w:r>
      <w:r w:rsidR="00A13BC6">
        <w:rPr>
          <w:rFonts w:eastAsia="Times New Roman" w:cs="Times New Roman"/>
          <w:szCs w:val="24"/>
          <w:lang w:eastAsia="ru-RU"/>
        </w:rPr>
        <w:t xml:space="preserve">приемов </w:t>
      </w:r>
      <w:r w:rsidR="00A13BC6" w:rsidRPr="00A13BC6">
        <w:rPr>
          <w:rFonts w:eastAsia="Times New Roman" w:cs="Times New Roman"/>
          <w:szCs w:val="24"/>
          <w:lang w:eastAsia="ru-RU"/>
        </w:rPr>
        <w:t>в месяц.</w:t>
      </w:r>
      <w:r w:rsidR="00A13BC6">
        <w:rPr>
          <w:rFonts w:eastAsia="Times New Roman" w:cs="Times New Roman"/>
          <w:szCs w:val="24"/>
          <w:lang w:eastAsia="ru-RU"/>
        </w:rPr>
        <w:t xml:space="preserve"> Перинатальный центр «Мать и дитя» </w:t>
      </w:r>
      <w:r w:rsidR="00A13BC6" w:rsidRPr="00A13BC6">
        <w:rPr>
          <w:rFonts w:eastAsia="Times New Roman" w:cs="Times New Roman"/>
          <w:szCs w:val="24"/>
          <w:lang w:eastAsia="ru-RU"/>
        </w:rPr>
        <w:t xml:space="preserve">рассчитан на 350 000 амбулаторных посещений и более 12 000 операций в год. </w:t>
      </w:r>
    </w:p>
    <w:p w14:paraId="575801C9" w14:textId="42A7721E" w:rsidR="003A2BAA" w:rsidRDefault="003A2BAA" w:rsidP="00A13BC6">
      <w:pPr>
        <w:rPr>
          <w:rFonts w:eastAsia="Times New Roman" w:cs="Times New Roman"/>
          <w:szCs w:val="24"/>
          <w:lang w:eastAsia="ru-RU"/>
        </w:rPr>
      </w:pPr>
      <w:r>
        <w:rPr>
          <w:rFonts w:eastAsia="Times New Roman" w:cs="Times New Roman"/>
          <w:szCs w:val="24"/>
          <w:lang w:eastAsia="ru-RU"/>
        </w:rPr>
        <w:t>Все проекты и компании, которые их реализуют</w:t>
      </w:r>
      <w:r w:rsidR="003E1C58">
        <w:rPr>
          <w:rFonts w:eastAsia="Times New Roman" w:cs="Times New Roman"/>
          <w:szCs w:val="24"/>
          <w:lang w:eastAsia="ru-RU"/>
        </w:rPr>
        <w:t>,</w:t>
      </w:r>
      <w:r>
        <w:rPr>
          <w:rFonts w:eastAsia="Times New Roman" w:cs="Times New Roman"/>
          <w:szCs w:val="24"/>
          <w:lang w:eastAsia="ru-RU"/>
        </w:rPr>
        <w:t xml:space="preserve"> являются крупными. Также можно заметить, что форма инвестиционного договора используется на практике не только для создания объектов системы здравоохранения, оказывающих медицинское обслуживание, но и в целях расширения производственных мощностей компаний.</w:t>
      </w:r>
    </w:p>
    <w:p w14:paraId="66495662" w14:textId="500BF191" w:rsidR="003A2BAA" w:rsidRDefault="003A2BAA" w:rsidP="007A1FC9">
      <w:pPr>
        <w:rPr>
          <w:rFonts w:eastAsia="Times New Roman" w:cs="Times New Roman"/>
          <w:szCs w:val="24"/>
          <w:lang w:eastAsia="ru-RU"/>
        </w:rPr>
      </w:pPr>
      <w:r>
        <w:rPr>
          <w:rFonts w:eastAsia="Times New Roman" w:cs="Times New Roman"/>
          <w:szCs w:val="24"/>
          <w:lang w:eastAsia="ru-RU"/>
        </w:rPr>
        <w:t>Далее рассмотрим проекты в сфере здравоохранения в форме концессионного соглашения. На данный момент реализуются</w:t>
      </w:r>
      <w:r w:rsidR="00510017">
        <w:rPr>
          <w:rFonts w:eastAsia="Times New Roman" w:cs="Times New Roman"/>
          <w:szCs w:val="24"/>
          <w:lang w:eastAsia="ru-RU"/>
        </w:rPr>
        <w:t xml:space="preserve"> один</w:t>
      </w:r>
      <w:r>
        <w:rPr>
          <w:rFonts w:eastAsia="Times New Roman" w:cs="Times New Roman"/>
          <w:szCs w:val="24"/>
          <w:lang w:eastAsia="ru-RU"/>
        </w:rPr>
        <w:t xml:space="preserve"> </w:t>
      </w:r>
      <w:r w:rsidR="00510017">
        <w:rPr>
          <w:rFonts w:eastAsia="Times New Roman" w:cs="Times New Roman"/>
          <w:szCs w:val="24"/>
          <w:lang w:eastAsia="ru-RU"/>
        </w:rPr>
        <w:t>проект</w:t>
      </w:r>
      <w:r>
        <w:rPr>
          <w:rFonts w:eastAsia="Times New Roman" w:cs="Times New Roman"/>
          <w:szCs w:val="24"/>
          <w:lang w:eastAsia="ru-RU"/>
        </w:rPr>
        <w:t xml:space="preserve"> в такой форме. О</w:t>
      </w:r>
      <w:r w:rsidR="00510017">
        <w:rPr>
          <w:rFonts w:eastAsia="Times New Roman" w:cs="Times New Roman"/>
          <w:szCs w:val="24"/>
          <w:lang w:eastAsia="ru-RU"/>
        </w:rPr>
        <w:t>н</w:t>
      </w:r>
      <w:r>
        <w:rPr>
          <w:rFonts w:eastAsia="Times New Roman" w:cs="Times New Roman"/>
          <w:szCs w:val="24"/>
          <w:lang w:eastAsia="ru-RU"/>
        </w:rPr>
        <w:t xml:space="preserve"> предполагает с</w:t>
      </w:r>
      <w:r w:rsidRPr="00F30460">
        <w:rPr>
          <w:rFonts w:eastAsia="Times New Roman" w:cs="Times New Roman"/>
          <w:szCs w:val="24"/>
          <w:lang w:eastAsia="ru-RU"/>
        </w:rPr>
        <w:t>троительство и использование (эксп</w:t>
      </w:r>
      <w:r>
        <w:rPr>
          <w:rFonts w:eastAsia="Times New Roman" w:cs="Times New Roman"/>
          <w:szCs w:val="24"/>
          <w:lang w:eastAsia="ru-RU"/>
        </w:rPr>
        <w:t>луатацию</w:t>
      </w:r>
      <w:r w:rsidRPr="00F30460">
        <w:rPr>
          <w:rFonts w:eastAsia="Times New Roman" w:cs="Times New Roman"/>
          <w:szCs w:val="24"/>
          <w:lang w:eastAsia="ru-RU"/>
        </w:rPr>
        <w:t>) консультативно-диагностического центра амбулаторно-поликлинического типа на территории Пушкинского района Санкт-Петербурга</w:t>
      </w:r>
      <w:r>
        <w:rPr>
          <w:rFonts w:eastAsia="Times New Roman" w:cs="Times New Roman"/>
          <w:szCs w:val="24"/>
          <w:lang w:eastAsia="ru-RU"/>
        </w:rPr>
        <w:t xml:space="preserve">. Проект был сформирован на основе частной инициативы, </w:t>
      </w:r>
      <w:r w:rsidRPr="00595F5F">
        <w:rPr>
          <w:rFonts w:eastAsia="Times New Roman" w:cs="Times New Roman"/>
          <w:szCs w:val="24"/>
          <w:lang w:eastAsia="ru-RU"/>
        </w:rPr>
        <w:t>ООО «Русская Балтика»</w:t>
      </w:r>
      <w:r>
        <w:rPr>
          <w:rFonts w:eastAsia="Times New Roman" w:cs="Times New Roman"/>
          <w:szCs w:val="24"/>
          <w:lang w:eastAsia="ru-RU"/>
        </w:rPr>
        <w:t xml:space="preserve"> (входит в группу «</w:t>
      </w:r>
      <w:proofErr w:type="spellStart"/>
      <w:r>
        <w:rPr>
          <w:rFonts w:eastAsia="Times New Roman" w:cs="Times New Roman"/>
          <w:szCs w:val="24"/>
          <w:lang w:eastAsia="ru-RU"/>
        </w:rPr>
        <w:t>Евромед</w:t>
      </w:r>
      <w:proofErr w:type="spellEnd"/>
      <w:r>
        <w:rPr>
          <w:rFonts w:eastAsia="Times New Roman" w:cs="Times New Roman"/>
          <w:szCs w:val="24"/>
          <w:lang w:eastAsia="ru-RU"/>
        </w:rPr>
        <w:t xml:space="preserve">») в 2019 году направила проект концессионного соглашения в Комитет по инвестициям Санкт-Петербурга. Стоит заметить, что эта компания единственная подала заявку на реализацию проекта еще в 2016 году, однако тогда конкурс был признан несостоявшимся. В соответствии с проектом ООО «Русская Балтика», центр </w:t>
      </w:r>
      <w:r w:rsidRPr="00F30460">
        <w:rPr>
          <w:rFonts w:eastAsia="Times New Roman" w:cs="Times New Roman"/>
          <w:szCs w:val="24"/>
          <w:lang w:eastAsia="ru-RU"/>
        </w:rPr>
        <w:t>будет состоять из поликлиники для взрослых на 760 посещений в смену, детской поликлиники на 420 посещений в смену, женской консультации, стоматологического отделения, круглосуточного травматологического пункта и дневного стационара.</w:t>
      </w:r>
      <w:r>
        <w:rPr>
          <w:rFonts w:eastAsia="Times New Roman" w:cs="Times New Roman"/>
          <w:szCs w:val="24"/>
          <w:lang w:eastAsia="ru-RU"/>
        </w:rPr>
        <w:t xml:space="preserve"> Стоимость проекта – почти 2 млрд. рублей</w:t>
      </w:r>
      <w:r w:rsidR="00737558">
        <w:rPr>
          <w:rFonts w:eastAsia="Times New Roman" w:cs="Times New Roman"/>
          <w:szCs w:val="24"/>
          <w:lang w:eastAsia="ru-RU"/>
        </w:rPr>
        <w:t>.</w:t>
      </w:r>
      <w:r>
        <w:rPr>
          <w:rFonts w:eastAsia="Times New Roman" w:cs="Times New Roman"/>
          <w:szCs w:val="24"/>
          <w:lang w:eastAsia="ru-RU"/>
        </w:rPr>
        <w:t xml:space="preserve"> </w:t>
      </w:r>
      <w:r w:rsidRPr="003F2987">
        <w:rPr>
          <w:rFonts w:eastAsia="Times New Roman" w:cs="Times New Roman"/>
          <w:szCs w:val="24"/>
          <w:lang w:eastAsia="ru-RU"/>
        </w:rPr>
        <w:t>В течение срока действия соглашения Санкт-Петербург будет осуществлять выплаты инвестору в виде субсидий на возмещение инвестиционных затрат, а также расходов на страхование ответственности на этапе эксплуатации объекта и на оплату аренды земельного участка.</w:t>
      </w:r>
      <w:r w:rsidRPr="00AF7C7C">
        <w:rPr>
          <w:rFonts w:eastAsia="Times New Roman" w:cs="Times New Roman"/>
          <w:szCs w:val="24"/>
          <w:lang w:eastAsia="ru-RU"/>
        </w:rPr>
        <w:t> </w:t>
      </w:r>
      <w:r>
        <w:rPr>
          <w:rFonts w:eastAsia="Times New Roman" w:cs="Times New Roman"/>
          <w:szCs w:val="24"/>
          <w:lang w:eastAsia="ru-RU"/>
        </w:rPr>
        <w:t>Основным видом деятельности компании ООО «Русская Балтика» является деятельность больничных организаций.</w:t>
      </w:r>
      <w:r w:rsidR="00460C67">
        <w:rPr>
          <w:rFonts w:eastAsia="Times New Roman" w:cs="Times New Roman"/>
          <w:szCs w:val="24"/>
          <w:lang w:eastAsia="ru-RU"/>
        </w:rPr>
        <w:t xml:space="preserve"> Основная задача Стратегии СЭР Санкт-Петербурга, решению которой должен способствовать этот проект – развитие </w:t>
      </w:r>
      <w:r w:rsidR="00460C67" w:rsidRPr="00460C67">
        <w:rPr>
          <w:rFonts w:eastAsia="Times New Roman" w:cs="Times New Roman"/>
          <w:szCs w:val="24"/>
          <w:lang w:eastAsia="ru-RU"/>
        </w:rPr>
        <w:t>первичной медико-санитарной помощи</w:t>
      </w:r>
      <w:r w:rsidR="00460C67">
        <w:rPr>
          <w:rFonts w:eastAsia="Times New Roman" w:cs="Times New Roman"/>
          <w:szCs w:val="24"/>
          <w:lang w:eastAsia="ru-RU"/>
        </w:rPr>
        <w:t xml:space="preserve">. Центр </w:t>
      </w:r>
      <w:r w:rsidR="00460C67">
        <w:rPr>
          <w:rFonts w:eastAsia="Times New Roman" w:cs="Times New Roman"/>
          <w:szCs w:val="24"/>
          <w:lang w:eastAsia="ru-RU"/>
        </w:rPr>
        <w:lastRenderedPageBreak/>
        <w:t xml:space="preserve">может обеспечить </w:t>
      </w:r>
      <w:r w:rsidR="00460C67" w:rsidRPr="00460C67">
        <w:rPr>
          <w:rFonts w:eastAsia="Times New Roman" w:cs="Times New Roman"/>
          <w:szCs w:val="24"/>
          <w:lang w:eastAsia="ru-RU"/>
        </w:rPr>
        <w:t xml:space="preserve">не менее 760 </w:t>
      </w:r>
      <w:r w:rsidR="00460C67">
        <w:rPr>
          <w:rFonts w:eastAsia="Times New Roman" w:cs="Times New Roman"/>
          <w:szCs w:val="24"/>
          <w:lang w:eastAsia="ru-RU"/>
        </w:rPr>
        <w:t>приемов</w:t>
      </w:r>
      <w:r w:rsidR="00460C67" w:rsidRPr="00460C67">
        <w:rPr>
          <w:rFonts w:eastAsia="Times New Roman" w:cs="Times New Roman"/>
          <w:szCs w:val="24"/>
          <w:lang w:eastAsia="ru-RU"/>
        </w:rPr>
        <w:t xml:space="preserve"> в смену для взрослых и не менее 420 </w:t>
      </w:r>
      <w:r w:rsidR="00460C67">
        <w:rPr>
          <w:rFonts w:eastAsia="Times New Roman" w:cs="Times New Roman"/>
          <w:szCs w:val="24"/>
          <w:lang w:eastAsia="ru-RU"/>
        </w:rPr>
        <w:t xml:space="preserve">приемов </w:t>
      </w:r>
      <w:r w:rsidR="00460C67" w:rsidRPr="00460C67">
        <w:rPr>
          <w:rFonts w:eastAsia="Times New Roman" w:cs="Times New Roman"/>
          <w:szCs w:val="24"/>
          <w:lang w:eastAsia="ru-RU"/>
        </w:rPr>
        <w:t>в смену для детей.</w:t>
      </w:r>
    </w:p>
    <w:p w14:paraId="28DD47D8" w14:textId="4D3C66BA" w:rsidR="003A2BAA" w:rsidRDefault="00510017" w:rsidP="00480DFA">
      <w:pPr>
        <w:rPr>
          <w:rFonts w:eastAsia="Times New Roman" w:cs="Times New Roman"/>
          <w:szCs w:val="24"/>
          <w:lang w:eastAsia="ru-RU"/>
        </w:rPr>
      </w:pPr>
      <w:r>
        <w:rPr>
          <w:rFonts w:eastAsia="Times New Roman" w:cs="Times New Roman"/>
          <w:szCs w:val="24"/>
          <w:lang w:eastAsia="ru-RU"/>
        </w:rPr>
        <w:t>В</w:t>
      </w:r>
      <w:r w:rsidR="003A2BAA" w:rsidRPr="00380D6E">
        <w:rPr>
          <w:rFonts w:eastAsia="Times New Roman" w:cs="Times New Roman"/>
          <w:szCs w:val="24"/>
          <w:lang w:eastAsia="ru-RU"/>
        </w:rPr>
        <w:t xml:space="preserve"> рамках СГЧП </w:t>
      </w:r>
      <w:r w:rsidR="003A2BAA">
        <w:rPr>
          <w:rFonts w:eastAsia="Times New Roman" w:cs="Times New Roman"/>
          <w:szCs w:val="24"/>
          <w:lang w:eastAsia="ru-RU"/>
        </w:rPr>
        <w:t>п</w:t>
      </w:r>
      <w:r w:rsidR="003A2BAA" w:rsidRPr="00380D6E">
        <w:rPr>
          <w:rFonts w:eastAsia="Times New Roman" w:cs="Times New Roman"/>
          <w:szCs w:val="24"/>
          <w:lang w:eastAsia="ru-RU"/>
        </w:rPr>
        <w:t xml:space="preserve">ланируется к реализации с проект </w:t>
      </w:r>
      <w:r w:rsidR="003A2BAA">
        <w:rPr>
          <w:rFonts w:eastAsia="Times New Roman" w:cs="Times New Roman"/>
          <w:szCs w:val="24"/>
          <w:lang w:eastAsia="ru-RU"/>
        </w:rPr>
        <w:t>по строительству</w:t>
      </w:r>
      <w:r w:rsidR="003A2BAA" w:rsidRPr="001A74BC">
        <w:rPr>
          <w:rFonts w:eastAsia="Times New Roman" w:cs="Times New Roman"/>
          <w:szCs w:val="24"/>
          <w:lang w:eastAsia="ru-RU"/>
        </w:rPr>
        <w:t xml:space="preserve"> перинатального центра на ул. Вавиловых со стационарным отделением</w:t>
      </w:r>
      <w:r w:rsidR="003A2BAA">
        <w:rPr>
          <w:rFonts w:eastAsia="Times New Roman" w:cs="Times New Roman"/>
          <w:szCs w:val="24"/>
          <w:lang w:eastAsia="ru-RU"/>
        </w:rPr>
        <w:t>. О</w:t>
      </w:r>
      <w:r w:rsidR="003A2BAA" w:rsidRPr="001A74BC">
        <w:rPr>
          <w:rFonts w:eastAsia="Times New Roman" w:cs="Times New Roman"/>
          <w:szCs w:val="24"/>
          <w:lang w:eastAsia="ru-RU"/>
        </w:rPr>
        <w:t xml:space="preserve">бщий размер инвестиций по проекту </w:t>
      </w:r>
      <w:r w:rsidR="003A2BAA">
        <w:rPr>
          <w:rFonts w:eastAsia="Times New Roman" w:cs="Times New Roman"/>
          <w:szCs w:val="24"/>
          <w:lang w:eastAsia="ru-RU"/>
        </w:rPr>
        <w:t xml:space="preserve">должен составить </w:t>
      </w:r>
      <w:r w:rsidR="003A2BAA" w:rsidRPr="001A74BC">
        <w:rPr>
          <w:rFonts w:eastAsia="Times New Roman" w:cs="Times New Roman"/>
          <w:szCs w:val="24"/>
          <w:lang w:eastAsia="ru-RU"/>
        </w:rPr>
        <w:t>более 10 млрд</w:t>
      </w:r>
      <w:r w:rsidR="003A2BAA">
        <w:rPr>
          <w:rFonts w:eastAsia="Times New Roman" w:cs="Times New Roman"/>
          <w:szCs w:val="24"/>
          <w:lang w:eastAsia="ru-RU"/>
        </w:rPr>
        <w:t xml:space="preserve">. рублей, </w:t>
      </w:r>
      <w:r w:rsidR="003A2BAA" w:rsidRPr="001A74BC">
        <w:rPr>
          <w:rFonts w:eastAsia="Times New Roman" w:cs="Times New Roman"/>
          <w:szCs w:val="24"/>
          <w:lang w:eastAsia="ru-RU"/>
        </w:rPr>
        <w:t>с</w:t>
      </w:r>
      <w:r w:rsidR="003A2BAA">
        <w:rPr>
          <w:rFonts w:eastAsia="Times New Roman" w:cs="Times New Roman"/>
          <w:szCs w:val="24"/>
          <w:lang w:eastAsia="ru-RU"/>
        </w:rPr>
        <w:t xml:space="preserve">рок реализации соглашения — </w:t>
      </w:r>
      <w:r w:rsidR="003A2BAA" w:rsidRPr="001A74BC">
        <w:rPr>
          <w:rFonts w:eastAsia="Times New Roman" w:cs="Times New Roman"/>
          <w:szCs w:val="24"/>
          <w:lang w:eastAsia="ru-RU"/>
        </w:rPr>
        <w:t>34 года,</w:t>
      </w:r>
      <w:r w:rsidR="003A2BAA">
        <w:rPr>
          <w:rFonts w:eastAsia="Times New Roman" w:cs="Times New Roman"/>
          <w:szCs w:val="24"/>
          <w:lang w:eastAsia="ru-RU"/>
        </w:rPr>
        <w:t xml:space="preserve"> этап строительства должен занять не более 4-х лет. Данный проект был сформирован на основе частной инициативы </w:t>
      </w:r>
      <w:r w:rsidR="003A2BAA" w:rsidRPr="00380D6E">
        <w:rPr>
          <w:rFonts w:eastAsia="Times New Roman" w:cs="Times New Roman"/>
          <w:szCs w:val="24"/>
          <w:lang w:eastAsia="ru-RU"/>
        </w:rPr>
        <w:t>Г</w:t>
      </w:r>
      <w:r w:rsidR="003A2BAA">
        <w:rPr>
          <w:rFonts w:eastAsia="Times New Roman" w:cs="Times New Roman"/>
          <w:szCs w:val="24"/>
          <w:lang w:eastAsia="ru-RU"/>
        </w:rPr>
        <w:t>К</w:t>
      </w:r>
      <w:r w:rsidR="003A2BAA" w:rsidRPr="00380D6E">
        <w:rPr>
          <w:rFonts w:eastAsia="Times New Roman" w:cs="Times New Roman"/>
          <w:szCs w:val="24"/>
          <w:lang w:eastAsia="ru-RU"/>
        </w:rPr>
        <w:t xml:space="preserve"> «ЕКС», </w:t>
      </w:r>
      <w:r w:rsidR="003A2BAA">
        <w:rPr>
          <w:rFonts w:eastAsia="Times New Roman" w:cs="Times New Roman"/>
          <w:szCs w:val="24"/>
          <w:lang w:eastAsia="ru-RU"/>
        </w:rPr>
        <w:t xml:space="preserve">организация </w:t>
      </w:r>
      <w:r w:rsidR="003A2BAA" w:rsidRPr="00380D6E">
        <w:rPr>
          <w:rFonts w:eastAsia="Times New Roman" w:cs="Times New Roman"/>
          <w:szCs w:val="24"/>
          <w:lang w:eastAsia="ru-RU"/>
        </w:rPr>
        <w:t>направила в комитет по инвестициям правительства Санкт-Петербурга проект соглашения о ГЧП. Перинатальный центр планируется создать на базе недействующего родильного дома № 17</w:t>
      </w:r>
      <w:r w:rsidR="003A2BAA">
        <w:rPr>
          <w:rFonts w:eastAsia="Times New Roman" w:cs="Times New Roman"/>
          <w:szCs w:val="24"/>
          <w:lang w:eastAsia="ru-RU"/>
        </w:rPr>
        <w:t xml:space="preserve">. </w:t>
      </w:r>
      <w:r w:rsidR="003A2BAA" w:rsidRPr="00380D6E">
        <w:rPr>
          <w:rFonts w:eastAsia="Times New Roman" w:cs="Times New Roman"/>
          <w:szCs w:val="24"/>
          <w:lang w:eastAsia="ru-RU"/>
        </w:rPr>
        <w:t>В рамках соглашения ГК «ЕКС» будет заниматься техобслуживанием перинатального центра, а за оказание медицинских ус</w:t>
      </w:r>
      <w:r w:rsidR="003A2BAA">
        <w:rPr>
          <w:rFonts w:eastAsia="Times New Roman" w:cs="Times New Roman"/>
          <w:szCs w:val="24"/>
          <w:lang w:eastAsia="ru-RU"/>
        </w:rPr>
        <w:t>луг по ОМС будет отвечать ГБУЗ «Родильный дом № 17»</w:t>
      </w:r>
      <w:r w:rsidR="003A2BAA" w:rsidRPr="00380D6E">
        <w:rPr>
          <w:rFonts w:eastAsia="Times New Roman" w:cs="Times New Roman"/>
          <w:szCs w:val="24"/>
          <w:lang w:eastAsia="ru-RU"/>
        </w:rPr>
        <w:t>.</w:t>
      </w:r>
      <w:r w:rsidR="003A2BAA">
        <w:rPr>
          <w:rFonts w:eastAsia="Times New Roman" w:cs="Times New Roman"/>
          <w:szCs w:val="24"/>
          <w:lang w:eastAsia="ru-RU"/>
        </w:rPr>
        <w:t xml:space="preserve"> </w:t>
      </w:r>
      <w:r w:rsidR="00460C67">
        <w:rPr>
          <w:rFonts w:eastAsia="Times New Roman" w:cs="Times New Roman"/>
          <w:szCs w:val="24"/>
          <w:lang w:eastAsia="ru-RU"/>
        </w:rPr>
        <w:t>Проект направлен на решение задачи Стратегии СЭР Санкт-Петербурга по совершенствованию</w:t>
      </w:r>
      <w:r w:rsidR="00460C67" w:rsidRPr="00460C67">
        <w:rPr>
          <w:rFonts w:eastAsia="Times New Roman" w:cs="Times New Roman"/>
          <w:szCs w:val="24"/>
          <w:lang w:eastAsia="ru-RU"/>
        </w:rPr>
        <w:t xml:space="preserve"> условий для охраны здоровья матери и ребенка, а также сохранение репродуктивного здоровья женщин</w:t>
      </w:r>
      <w:r w:rsidR="00460C67">
        <w:rPr>
          <w:rFonts w:eastAsia="Times New Roman" w:cs="Times New Roman"/>
          <w:szCs w:val="24"/>
          <w:lang w:eastAsia="ru-RU"/>
        </w:rPr>
        <w:t xml:space="preserve">. </w:t>
      </w:r>
      <w:r w:rsidR="003A2BAA">
        <w:rPr>
          <w:rFonts w:eastAsia="Times New Roman" w:cs="Times New Roman"/>
          <w:szCs w:val="24"/>
          <w:lang w:eastAsia="ru-RU"/>
        </w:rPr>
        <w:t xml:space="preserve">Особое внимание нужно обратить на то, что ГК «ЕКС» не имеет никакого отношения к сфере здравоохранения, </w:t>
      </w:r>
      <w:r w:rsidR="00460C67">
        <w:rPr>
          <w:rFonts w:eastAsia="Times New Roman" w:cs="Times New Roman"/>
          <w:szCs w:val="24"/>
          <w:lang w:eastAsia="ru-RU"/>
        </w:rPr>
        <w:t>основные виды деятельности данной организации: добыча</w:t>
      </w:r>
      <w:r w:rsidR="003A2BAA">
        <w:rPr>
          <w:rFonts w:eastAsia="Times New Roman" w:cs="Times New Roman"/>
          <w:szCs w:val="24"/>
          <w:lang w:eastAsia="ru-RU"/>
        </w:rPr>
        <w:t xml:space="preserve"> сырой нефти, а также строительство</w:t>
      </w:r>
      <w:r w:rsidR="00460C67">
        <w:rPr>
          <w:rFonts w:eastAsia="Times New Roman" w:cs="Times New Roman"/>
          <w:szCs w:val="24"/>
          <w:lang w:eastAsia="ru-RU"/>
        </w:rPr>
        <w:t xml:space="preserve"> нежилых зданий и сооружений</w:t>
      </w:r>
      <w:r w:rsidR="003A2BAA">
        <w:rPr>
          <w:rFonts w:eastAsia="Times New Roman" w:cs="Times New Roman"/>
          <w:szCs w:val="24"/>
          <w:lang w:eastAsia="ru-RU"/>
        </w:rPr>
        <w:t>.</w:t>
      </w:r>
    </w:p>
    <w:p w14:paraId="687DB56E" w14:textId="11FF1B8B" w:rsidR="00510017" w:rsidRDefault="00510017" w:rsidP="00030A92">
      <w:pPr>
        <w:rPr>
          <w:rFonts w:eastAsia="Times New Roman" w:cs="Times New Roman"/>
          <w:szCs w:val="24"/>
          <w:lang w:eastAsia="ru-RU"/>
        </w:rPr>
      </w:pPr>
      <w:r>
        <w:rPr>
          <w:rFonts w:eastAsia="Times New Roman" w:cs="Times New Roman"/>
          <w:szCs w:val="24"/>
          <w:lang w:eastAsia="ru-RU"/>
        </w:rPr>
        <w:t>Второй проект направлен на создание</w:t>
      </w:r>
      <w:r w:rsidRPr="00AF7C7C">
        <w:rPr>
          <w:rFonts w:eastAsia="Times New Roman" w:cs="Times New Roman"/>
          <w:szCs w:val="24"/>
          <w:lang w:eastAsia="ru-RU"/>
        </w:rPr>
        <w:t xml:space="preserve"> в Сестрорецке нового лечебно-реабилитационного корпуса Санкт-Петербургского ГБУЗ «Городская больница № 40 Курортного района»</w:t>
      </w:r>
      <w:r>
        <w:rPr>
          <w:rFonts w:eastAsia="Times New Roman" w:cs="Times New Roman"/>
          <w:szCs w:val="24"/>
          <w:lang w:eastAsia="ru-RU"/>
        </w:rPr>
        <w:t>.</w:t>
      </w:r>
      <w:r w:rsidRPr="00AF7C7C">
        <w:rPr>
          <w:rFonts w:eastAsia="Times New Roman" w:cs="Times New Roman"/>
          <w:szCs w:val="24"/>
          <w:lang w:eastAsia="ru-RU"/>
        </w:rPr>
        <w:t xml:space="preserve"> </w:t>
      </w:r>
      <w:r w:rsidRPr="009A17AE">
        <w:rPr>
          <w:rFonts w:eastAsia="Times New Roman" w:cs="Times New Roman"/>
          <w:szCs w:val="24"/>
          <w:lang w:eastAsia="ru-RU"/>
        </w:rPr>
        <w:t xml:space="preserve">Срок реализации проекта составляет 10,5 лет, из которых этап строительства занимает не более 3,5 лет. Инвестиции в строительство должны составить около 6,9 млрд. рублей. </w:t>
      </w:r>
      <w:r w:rsidRPr="00AF7C7C">
        <w:rPr>
          <w:rFonts w:eastAsia="Times New Roman" w:cs="Times New Roman"/>
          <w:szCs w:val="24"/>
          <w:lang w:eastAsia="ru-RU"/>
        </w:rPr>
        <w:t>Частным партнером выступает ООО «Невская медицинская инфраструктура»</w:t>
      </w:r>
      <w:r>
        <w:rPr>
          <w:rFonts w:eastAsia="Times New Roman" w:cs="Times New Roman"/>
          <w:szCs w:val="24"/>
          <w:lang w:eastAsia="ru-RU"/>
        </w:rPr>
        <w:t>. Основным видом деятельности данной компании является строительство жилых и нежилых зданий, однако в ее дополнительные виды деятельности входит деятельность в области медицины, например, по управлению больничными, санаторно-курортными организациями.</w:t>
      </w:r>
      <w:r w:rsidR="00460C67">
        <w:rPr>
          <w:rFonts w:eastAsia="Times New Roman" w:cs="Times New Roman"/>
          <w:szCs w:val="24"/>
          <w:lang w:eastAsia="ru-RU"/>
        </w:rPr>
        <w:t xml:space="preserve"> </w:t>
      </w:r>
      <w:r w:rsidR="00460C67" w:rsidRPr="00030A92">
        <w:rPr>
          <w:rFonts w:eastAsia="Times New Roman" w:cs="Times New Roman"/>
          <w:szCs w:val="24"/>
          <w:lang w:eastAsia="ru-RU"/>
        </w:rPr>
        <w:t>Учреждение</w:t>
      </w:r>
      <w:r w:rsidR="00030A92">
        <w:rPr>
          <w:rFonts w:eastAsia="Times New Roman" w:cs="Times New Roman"/>
          <w:szCs w:val="24"/>
          <w:lang w:eastAsia="ru-RU"/>
        </w:rPr>
        <w:t xml:space="preserve"> будет вмещать</w:t>
      </w:r>
      <w:r w:rsidR="00460C67" w:rsidRPr="00030A92">
        <w:rPr>
          <w:rFonts w:eastAsia="Times New Roman" w:cs="Times New Roman"/>
          <w:szCs w:val="24"/>
          <w:lang w:eastAsia="ru-RU"/>
        </w:rPr>
        <w:t xml:space="preserve"> 480 коек для пациентов с нарушением функции периферической нервной системы и опорно-двигательного аппарата, функции центральной нервной системы, </w:t>
      </w:r>
      <w:r w:rsidR="00030A92">
        <w:rPr>
          <w:rFonts w:eastAsia="Times New Roman" w:cs="Times New Roman"/>
          <w:szCs w:val="24"/>
          <w:lang w:eastAsia="ru-RU"/>
        </w:rPr>
        <w:t>осуществлять лечение</w:t>
      </w:r>
      <w:r w:rsidR="00460C67" w:rsidRPr="00030A92">
        <w:rPr>
          <w:rFonts w:eastAsia="Times New Roman" w:cs="Times New Roman"/>
          <w:szCs w:val="24"/>
          <w:lang w:eastAsia="ru-RU"/>
        </w:rPr>
        <w:t xml:space="preserve"> пациентов отделений травматологии, общей урологии и офтальмологии.</w:t>
      </w:r>
      <w:r w:rsidR="00030A92">
        <w:rPr>
          <w:rFonts w:eastAsia="Times New Roman" w:cs="Times New Roman"/>
          <w:szCs w:val="24"/>
          <w:lang w:eastAsia="ru-RU"/>
        </w:rPr>
        <w:t xml:space="preserve"> Этот проект может способствовать решению задач Стратегии СЭР Санкт-Петербурга </w:t>
      </w:r>
      <w:r w:rsidR="00030A92" w:rsidRPr="00030A92">
        <w:rPr>
          <w:rFonts w:eastAsia="Times New Roman" w:cs="Times New Roman"/>
          <w:szCs w:val="24"/>
          <w:lang w:eastAsia="ru-RU"/>
        </w:rPr>
        <w:t>по совершенствованию оказания специализированной, в том числе высокот</w:t>
      </w:r>
      <w:r w:rsidR="00030A92">
        <w:rPr>
          <w:rFonts w:eastAsia="Times New Roman" w:cs="Times New Roman"/>
          <w:szCs w:val="24"/>
          <w:lang w:eastAsia="ru-RU"/>
        </w:rPr>
        <w:t xml:space="preserve">ехнологичной медицинской помощи, </w:t>
      </w:r>
      <w:r w:rsidR="00030A92" w:rsidRPr="00030A92">
        <w:rPr>
          <w:rFonts w:eastAsia="Times New Roman" w:cs="Times New Roman"/>
          <w:szCs w:val="24"/>
          <w:lang w:eastAsia="ru-RU"/>
        </w:rPr>
        <w:t>по развитию первичной медико-санитарной помощи.</w:t>
      </w:r>
    </w:p>
    <w:p w14:paraId="1BA4CEE5" w14:textId="75FE9392" w:rsidR="003A2BAA" w:rsidRPr="001F7D71" w:rsidRDefault="003A2BAA" w:rsidP="00030A92">
      <w:pPr>
        <w:rPr>
          <w:rFonts w:eastAsia="Times New Roman" w:cs="Times New Roman"/>
          <w:szCs w:val="24"/>
          <w:lang w:eastAsia="ru-RU"/>
        </w:rPr>
      </w:pPr>
      <w:r>
        <w:rPr>
          <w:rFonts w:eastAsia="Times New Roman" w:cs="Times New Roman"/>
          <w:szCs w:val="24"/>
          <w:lang w:eastAsia="ru-RU"/>
        </w:rPr>
        <w:t xml:space="preserve">Обращаясь к форме взаимодействия государства и бизнеса удалось выделить следующие проекты: </w:t>
      </w:r>
      <w:r w:rsidR="003E1C58">
        <w:rPr>
          <w:rFonts w:eastAsia="Times New Roman" w:cs="Times New Roman"/>
          <w:szCs w:val="24"/>
          <w:lang w:eastAsia="ru-RU"/>
        </w:rPr>
        <w:t xml:space="preserve">СПИК с ООО «ГЕРОФАРМ», </w:t>
      </w:r>
      <w:r w:rsidRPr="001F7D71">
        <w:rPr>
          <w:rFonts w:eastAsia="Times New Roman" w:cs="Times New Roman"/>
          <w:szCs w:val="24"/>
          <w:lang w:eastAsia="ru-RU"/>
        </w:rPr>
        <w:t xml:space="preserve">срок </w:t>
      </w:r>
      <w:r w:rsidR="003E1C58">
        <w:rPr>
          <w:rFonts w:eastAsia="Times New Roman" w:cs="Times New Roman"/>
          <w:szCs w:val="24"/>
          <w:lang w:eastAsia="ru-RU"/>
        </w:rPr>
        <w:t xml:space="preserve">действия по которому составляет с 2017 по 2024 гг. </w:t>
      </w:r>
      <w:r w:rsidRPr="001F7D71">
        <w:rPr>
          <w:rFonts w:eastAsia="Times New Roman" w:cs="Times New Roman"/>
          <w:szCs w:val="24"/>
          <w:lang w:eastAsia="ru-RU"/>
        </w:rPr>
        <w:t xml:space="preserve">Компания обязуется осуществить строительство завода по производству </w:t>
      </w:r>
      <w:r w:rsidRPr="001F7D71">
        <w:rPr>
          <w:rFonts w:eastAsia="Times New Roman" w:cs="Times New Roman"/>
          <w:szCs w:val="24"/>
          <w:lang w:eastAsia="ru-RU"/>
        </w:rPr>
        <w:lastRenderedPageBreak/>
        <w:t>инсулина и аналогов инсулина, а также фармацевтических субстанций и лекарственных препаратов на их основе. Общий объем инвестиций, согласно контракту, составляет 1,5 млрд. руб., планируемый объем произведенной и реализованной продукции – более 34,7 млрд. руб.</w:t>
      </w:r>
      <w:r>
        <w:rPr>
          <w:rFonts w:eastAsia="Times New Roman" w:cs="Times New Roman"/>
          <w:szCs w:val="24"/>
          <w:lang w:eastAsia="ru-RU"/>
        </w:rPr>
        <w:t xml:space="preserve"> </w:t>
      </w:r>
      <w:r w:rsidR="003E1C58">
        <w:rPr>
          <w:rFonts w:eastAsia="Times New Roman" w:cs="Times New Roman"/>
          <w:szCs w:val="24"/>
          <w:lang w:eastAsia="ru-RU"/>
        </w:rPr>
        <w:t xml:space="preserve">СПИК с ЗАО «БИОКАД», </w:t>
      </w:r>
      <w:r w:rsidRPr="001F7D71">
        <w:rPr>
          <w:rFonts w:eastAsia="Times New Roman" w:cs="Times New Roman"/>
          <w:szCs w:val="24"/>
          <w:lang w:eastAsia="ru-RU"/>
        </w:rPr>
        <w:t xml:space="preserve">срок действия </w:t>
      </w:r>
      <w:r w:rsidR="003E1C58">
        <w:rPr>
          <w:rFonts w:eastAsia="Times New Roman" w:cs="Times New Roman"/>
          <w:szCs w:val="24"/>
          <w:lang w:eastAsia="ru-RU"/>
        </w:rPr>
        <w:t>которого с 2017 по 2025 гг</w:t>
      </w:r>
      <w:r>
        <w:rPr>
          <w:rFonts w:eastAsia="Times New Roman" w:cs="Times New Roman"/>
          <w:szCs w:val="24"/>
          <w:lang w:eastAsia="ru-RU"/>
        </w:rPr>
        <w:t xml:space="preserve">. </w:t>
      </w:r>
      <w:r w:rsidRPr="001F7D71">
        <w:rPr>
          <w:rFonts w:eastAsia="Times New Roman" w:cs="Times New Roman"/>
          <w:szCs w:val="24"/>
          <w:lang w:eastAsia="ru-RU"/>
        </w:rPr>
        <w:t>Компания обязуется осуществить строительство фармацевтического завода на площадке ОЭЗ «</w:t>
      </w:r>
      <w:proofErr w:type="spellStart"/>
      <w:r w:rsidRPr="001F7D71">
        <w:rPr>
          <w:rFonts w:eastAsia="Times New Roman" w:cs="Times New Roman"/>
          <w:szCs w:val="24"/>
          <w:lang w:eastAsia="ru-RU"/>
        </w:rPr>
        <w:t>Нойдорф</w:t>
      </w:r>
      <w:proofErr w:type="spellEnd"/>
      <w:r w:rsidRPr="001F7D71">
        <w:rPr>
          <w:rFonts w:eastAsia="Times New Roman" w:cs="Times New Roman"/>
          <w:szCs w:val="24"/>
          <w:lang w:eastAsia="ru-RU"/>
        </w:rPr>
        <w:t>». Согласно заключенному СПИК предприятие обязуется вложить в инвестиционный проект более 3 млрд. рублей (фактически 3,5 млрд. руб.), планируемый объем произведенной и реализованной продукции до конца периода действия СПИК – более 86 млрд. рублей.</w:t>
      </w:r>
      <w:r w:rsidR="00030A92">
        <w:rPr>
          <w:rFonts w:eastAsia="Times New Roman" w:cs="Times New Roman"/>
          <w:szCs w:val="24"/>
          <w:lang w:eastAsia="ru-RU"/>
        </w:rPr>
        <w:t xml:space="preserve"> Эти проекты направлены на решение задачи Стратегии СЭР Санкт-Петербурга по разработке и </w:t>
      </w:r>
      <w:r w:rsidR="00030A92" w:rsidRPr="00030A92">
        <w:rPr>
          <w:rFonts w:eastAsia="Times New Roman" w:cs="Times New Roman"/>
          <w:szCs w:val="24"/>
          <w:lang w:eastAsia="ru-RU"/>
        </w:rPr>
        <w:t>производству инновационных лекарственных средств</w:t>
      </w:r>
      <w:r w:rsidR="00030A92">
        <w:rPr>
          <w:rFonts w:eastAsia="Times New Roman" w:cs="Times New Roman"/>
          <w:szCs w:val="24"/>
          <w:lang w:eastAsia="ru-RU"/>
        </w:rPr>
        <w:t>.</w:t>
      </w:r>
    </w:p>
    <w:p w14:paraId="1CA1D606" w14:textId="5C797580" w:rsidR="003A2BAA" w:rsidRDefault="003A2BAA" w:rsidP="007A1FC9">
      <w:pPr>
        <w:rPr>
          <w:rFonts w:eastAsia="Times New Roman" w:cs="Times New Roman"/>
          <w:szCs w:val="24"/>
          <w:lang w:eastAsia="ru-RU"/>
        </w:rPr>
      </w:pPr>
      <w:r>
        <w:rPr>
          <w:rFonts w:eastAsia="Times New Roman" w:cs="Times New Roman"/>
          <w:szCs w:val="24"/>
          <w:lang w:eastAsia="ru-RU"/>
        </w:rPr>
        <w:t>Также можно проанализировать соглашения о социально-экономическом сотрудничестве, заключенные между бизнесом и Санкт-Петербургом.</w:t>
      </w:r>
      <w:r w:rsidRPr="003D3616">
        <w:rPr>
          <w:rFonts w:eastAsia="Times New Roman" w:cs="Times New Roman"/>
          <w:szCs w:val="24"/>
          <w:lang w:eastAsia="ru-RU"/>
        </w:rPr>
        <w:t xml:space="preserve"> Например,</w:t>
      </w:r>
      <w:r>
        <w:rPr>
          <w:rFonts w:eastAsia="Times New Roman" w:cs="Times New Roman"/>
          <w:szCs w:val="24"/>
          <w:lang w:eastAsia="ru-RU"/>
        </w:rPr>
        <w:t xml:space="preserve"> в 2019 году</w:t>
      </w:r>
      <w:r w:rsidRPr="003D3616">
        <w:rPr>
          <w:rFonts w:eastAsia="Times New Roman" w:cs="Times New Roman"/>
          <w:szCs w:val="24"/>
          <w:lang w:eastAsia="ru-RU"/>
        </w:rPr>
        <w:t xml:space="preserve"> город</w:t>
      </w:r>
      <w:r>
        <w:rPr>
          <w:rFonts w:eastAsia="Times New Roman" w:cs="Times New Roman"/>
          <w:szCs w:val="24"/>
          <w:lang w:eastAsia="ru-RU"/>
        </w:rPr>
        <w:t>ом было подписано</w:t>
      </w:r>
      <w:r w:rsidRPr="003D3616">
        <w:rPr>
          <w:rFonts w:eastAsia="Times New Roman" w:cs="Times New Roman"/>
          <w:szCs w:val="24"/>
          <w:lang w:eastAsia="ru-RU"/>
        </w:rPr>
        <w:t xml:space="preserve"> соглашение о сотрудничестве с АО «Швабе». Соглашение подписано в целях реализации проектов по строительству, оснащению и эксплуатации поликлинического корпуса и лучевого блока клинического онкологического диспансера, а также созданию центра паллиативной медицинской помощи на территории Санкт-Петербурга. Планируемый общ</w:t>
      </w:r>
      <w:r w:rsidR="00B53D26">
        <w:rPr>
          <w:rFonts w:eastAsia="Times New Roman" w:cs="Times New Roman"/>
          <w:szCs w:val="24"/>
          <w:lang w:eastAsia="ru-RU"/>
        </w:rPr>
        <w:t>ий размер инвестиций по проекту</w:t>
      </w:r>
      <w:r w:rsidRPr="003D3616">
        <w:rPr>
          <w:rFonts w:eastAsia="Times New Roman" w:cs="Times New Roman"/>
          <w:szCs w:val="24"/>
          <w:lang w:eastAsia="ru-RU"/>
        </w:rPr>
        <w:t xml:space="preserve"> составит не менее 15 млрд</w:t>
      </w:r>
      <w:r>
        <w:rPr>
          <w:rFonts w:eastAsia="Times New Roman" w:cs="Times New Roman"/>
          <w:szCs w:val="24"/>
          <w:lang w:eastAsia="ru-RU"/>
        </w:rPr>
        <w:t>. рублей,</w:t>
      </w:r>
      <w:r w:rsidR="00B53D26">
        <w:rPr>
          <w:rFonts w:eastAsia="Times New Roman" w:cs="Times New Roman"/>
          <w:szCs w:val="24"/>
          <w:lang w:eastAsia="ru-RU"/>
        </w:rPr>
        <w:t xml:space="preserve"> </w:t>
      </w:r>
      <w:r>
        <w:rPr>
          <w:rFonts w:eastAsia="Times New Roman" w:cs="Times New Roman"/>
          <w:szCs w:val="24"/>
          <w:lang w:eastAsia="ru-RU"/>
        </w:rPr>
        <w:t>с</w:t>
      </w:r>
      <w:r w:rsidRPr="003D3616">
        <w:rPr>
          <w:rFonts w:eastAsia="Times New Roman" w:cs="Times New Roman"/>
          <w:szCs w:val="24"/>
          <w:lang w:eastAsia="ru-RU"/>
        </w:rPr>
        <w:t>рок ре</w:t>
      </w:r>
      <w:r>
        <w:rPr>
          <w:rFonts w:eastAsia="Times New Roman" w:cs="Times New Roman"/>
          <w:szCs w:val="24"/>
          <w:lang w:eastAsia="ru-RU"/>
        </w:rPr>
        <w:t>ализации инвестиционного проекта</w:t>
      </w:r>
      <w:r w:rsidRPr="003D3616">
        <w:rPr>
          <w:rFonts w:eastAsia="Times New Roman" w:cs="Times New Roman"/>
          <w:szCs w:val="24"/>
          <w:lang w:eastAsia="ru-RU"/>
        </w:rPr>
        <w:t xml:space="preserve"> — до 2023 года.</w:t>
      </w:r>
      <w:r w:rsidR="00B53D26">
        <w:rPr>
          <w:rFonts w:eastAsia="Times New Roman" w:cs="Times New Roman"/>
          <w:szCs w:val="24"/>
          <w:lang w:eastAsia="ru-RU"/>
        </w:rPr>
        <w:t xml:space="preserve"> Финансирование проекта компания</w:t>
      </w:r>
      <w:r w:rsidR="00B53D26" w:rsidRPr="00B53D26">
        <w:rPr>
          <w:rFonts w:eastAsia="Times New Roman" w:cs="Times New Roman"/>
          <w:szCs w:val="24"/>
          <w:lang w:eastAsia="ru-RU"/>
        </w:rPr>
        <w:t xml:space="preserve"> будет осуществлять за счет собственных и привлеченных средств.</w:t>
      </w:r>
      <w:r w:rsidR="00B53D26">
        <w:rPr>
          <w:rFonts w:eastAsia="Times New Roman" w:cs="Times New Roman"/>
          <w:szCs w:val="24"/>
          <w:lang w:eastAsia="ru-RU"/>
        </w:rPr>
        <w:t xml:space="preserve"> Данный проект должен способствовать решению целого ряда </w:t>
      </w:r>
      <w:r w:rsidR="00B53D26" w:rsidRPr="00B53D26">
        <w:rPr>
          <w:rFonts w:eastAsia="Times New Roman" w:cs="Times New Roman"/>
          <w:szCs w:val="24"/>
          <w:lang w:eastAsia="ru-RU"/>
        </w:rPr>
        <w:t>задач: совершенствовани</w:t>
      </w:r>
      <w:r w:rsidR="00B53D26">
        <w:rPr>
          <w:rFonts w:eastAsia="Times New Roman" w:cs="Times New Roman"/>
          <w:szCs w:val="24"/>
          <w:lang w:eastAsia="ru-RU"/>
        </w:rPr>
        <w:t>ю</w:t>
      </w:r>
      <w:r w:rsidR="00B53D26" w:rsidRPr="00B53D26">
        <w:rPr>
          <w:rFonts w:eastAsia="Times New Roman" w:cs="Times New Roman"/>
          <w:szCs w:val="24"/>
          <w:lang w:eastAsia="ru-RU"/>
        </w:rPr>
        <w:t xml:space="preserve"> оказания реабилитационной медицинской помощи, совершенствовани</w:t>
      </w:r>
      <w:r w:rsidR="00B53D26">
        <w:rPr>
          <w:rFonts w:eastAsia="Times New Roman" w:cs="Times New Roman"/>
          <w:szCs w:val="24"/>
          <w:lang w:eastAsia="ru-RU"/>
        </w:rPr>
        <w:t>ю</w:t>
      </w:r>
      <w:r w:rsidR="00B53D26" w:rsidRPr="00B53D26">
        <w:rPr>
          <w:rFonts w:eastAsia="Times New Roman" w:cs="Times New Roman"/>
          <w:szCs w:val="24"/>
          <w:lang w:eastAsia="ru-RU"/>
        </w:rPr>
        <w:t xml:space="preserve"> оказания специализированной, в том числе высокотехнологичной медицинской помощи, </w:t>
      </w:r>
      <w:r w:rsidR="00B53D26">
        <w:rPr>
          <w:rFonts w:eastAsia="Times New Roman" w:cs="Times New Roman"/>
          <w:szCs w:val="24"/>
          <w:lang w:eastAsia="ru-RU"/>
        </w:rPr>
        <w:t>повышению</w:t>
      </w:r>
      <w:r w:rsidR="00B53D26" w:rsidRPr="00B53D26">
        <w:rPr>
          <w:rFonts w:eastAsia="Times New Roman" w:cs="Times New Roman"/>
          <w:szCs w:val="24"/>
          <w:lang w:eastAsia="ru-RU"/>
        </w:rPr>
        <w:t xml:space="preserve"> эффективности системы оказания медицинской помощи.</w:t>
      </w:r>
    </w:p>
    <w:p w14:paraId="079C6BD1" w14:textId="37E3817A" w:rsidR="003A2BAA" w:rsidRPr="003D3616" w:rsidRDefault="003A2BAA" w:rsidP="007A1FC9">
      <w:pPr>
        <w:rPr>
          <w:rFonts w:eastAsia="Times New Roman" w:cs="Times New Roman"/>
          <w:szCs w:val="24"/>
          <w:lang w:eastAsia="ru-RU"/>
        </w:rPr>
      </w:pPr>
      <w:r>
        <w:rPr>
          <w:rFonts w:eastAsia="Times New Roman" w:cs="Times New Roman"/>
          <w:szCs w:val="24"/>
          <w:lang w:eastAsia="ru-RU"/>
        </w:rPr>
        <w:t>Кроме этого, подписаны аналогичные соглашения с ПАО «Сбербанк», ПАО «ВТБ</w:t>
      </w:r>
      <w:r w:rsidR="00911316">
        <w:rPr>
          <w:rFonts w:eastAsia="Times New Roman" w:cs="Times New Roman"/>
          <w:szCs w:val="24"/>
          <w:lang w:eastAsia="ru-RU"/>
        </w:rPr>
        <w:t>», ПАО «Банк «Санкт-Петербург», ПАО Банк «ФК Открытие»,</w:t>
      </w:r>
      <w:r>
        <w:rPr>
          <w:rFonts w:eastAsia="Times New Roman" w:cs="Times New Roman"/>
          <w:szCs w:val="24"/>
          <w:lang w:eastAsia="ru-RU"/>
        </w:rPr>
        <w:t xml:space="preserve"> АО «СПМ Банк» в 2020 году. </w:t>
      </w:r>
      <w:r w:rsidRPr="003D3616">
        <w:rPr>
          <w:rFonts w:eastAsia="Times New Roman" w:cs="Times New Roman"/>
          <w:szCs w:val="24"/>
          <w:lang w:eastAsia="ru-RU"/>
        </w:rPr>
        <w:t xml:space="preserve"> Банки </w:t>
      </w:r>
      <w:r>
        <w:rPr>
          <w:rFonts w:eastAsia="Times New Roman" w:cs="Times New Roman"/>
          <w:szCs w:val="24"/>
          <w:lang w:eastAsia="ru-RU"/>
        </w:rPr>
        <w:t>буду</w:t>
      </w:r>
      <w:r w:rsidRPr="003D3616">
        <w:rPr>
          <w:rFonts w:eastAsia="Times New Roman" w:cs="Times New Roman"/>
          <w:szCs w:val="24"/>
          <w:lang w:eastAsia="ru-RU"/>
        </w:rPr>
        <w:t>т участвовать в создании объектов социальной инфраструктуры в город</w:t>
      </w:r>
      <w:r>
        <w:rPr>
          <w:rFonts w:eastAsia="Times New Roman" w:cs="Times New Roman"/>
          <w:szCs w:val="24"/>
          <w:lang w:eastAsia="ru-RU"/>
        </w:rPr>
        <w:t>е, соглашения подписаны</w:t>
      </w:r>
      <w:r w:rsidRPr="003D3616">
        <w:rPr>
          <w:rFonts w:eastAsia="Times New Roman" w:cs="Times New Roman"/>
          <w:szCs w:val="24"/>
          <w:lang w:eastAsia="ru-RU"/>
        </w:rPr>
        <w:t xml:space="preserve"> в рамках работ по реализации плана мероприятий по развитию социа</w:t>
      </w:r>
      <w:r>
        <w:rPr>
          <w:rFonts w:eastAsia="Times New Roman" w:cs="Times New Roman"/>
          <w:szCs w:val="24"/>
          <w:lang w:eastAsia="ru-RU"/>
        </w:rPr>
        <w:t xml:space="preserve">льной инфраструктуры Петербурга, в том числе </w:t>
      </w:r>
      <w:r w:rsidR="00AC0524">
        <w:rPr>
          <w:rFonts w:eastAsia="Times New Roman" w:cs="Times New Roman"/>
          <w:szCs w:val="24"/>
          <w:lang w:eastAsia="ru-RU"/>
        </w:rPr>
        <w:t>в области здравоохранения.</w:t>
      </w:r>
    </w:p>
    <w:p w14:paraId="16E0D6EB" w14:textId="67DC60F5" w:rsidR="003A2BAA" w:rsidRDefault="003A2BAA" w:rsidP="007A1FC9">
      <w:pPr>
        <w:rPr>
          <w:rFonts w:cs="Times New Roman"/>
          <w:szCs w:val="24"/>
        </w:rPr>
      </w:pPr>
      <w:r>
        <w:rPr>
          <w:rFonts w:cs="Times New Roman"/>
          <w:szCs w:val="24"/>
        </w:rPr>
        <w:t>Итак, наибольшее количество инфраструктурных проектов до сих пор реализуются в форме государственных закупок, то есть реализуются только за счет бюджетных средств.</w:t>
      </w:r>
      <w:r w:rsidR="00AC0524">
        <w:rPr>
          <w:rFonts w:cs="Times New Roman"/>
          <w:szCs w:val="24"/>
        </w:rPr>
        <w:t xml:space="preserve"> То есть несмотря на то, что </w:t>
      </w:r>
      <w:r w:rsidR="002971DE">
        <w:rPr>
          <w:rFonts w:cs="Times New Roman"/>
          <w:szCs w:val="24"/>
        </w:rPr>
        <w:t xml:space="preserve">государственные закупки рассматриваются экспертами, как форма взаимодействия государства и бизнеса, посредством нее невозможно обеспечить первоочередное условие для развития здравоохранения в Санкт-Петербурге – привлечение частных инвестиций. </w:t>
      </w:r>
      <w:r>
        <w:rPr>
          <w:rFonts w:cs="Times New Roman"/>
          <w:szCs w:val="24"/>
        </w:rPr>
        <w:t xml:space="preserve">Второй по популярности формой взаимодействия государства и бизнеса являются инвестиционные договоры, посредством них, компании развивают </w:t>
      </w:r>
      <w:r>
        <w:rPr>
          <w:rFonts w:cs="Times New Roman"/>
          <w:szCs w:val="24"/>
        </w:rPr>
        <w:lastRenderedPageBreak/>
        <w:t>собственные п</w:t>
      </w:r>
      <w:r w:rsidR="00714170">
        <w:rPr>
          <w:rFonts w:cs="Times New Roman"/>
          <w:szCs w:val="24"/>
        </w:rPr>
        <w:t xml:space="preserve">роизводственные мощности и сети, но при этом также способствуют достижению целей и задач Стратегии СЭР Санкт-Петербурга в сфере здравоохранения. </w:t>
      </w:r>
      <w:r>
        <w:rPr>
          <w:rFonts w:cs="Times New Roman"/>
          <w:szCs w:val="24"/>
        </w:rPr>
        <w:t>В целом, это не противоречит информации, размещенной в законе о бюджете Санкт-Петербурга, в которой говорится о том, что при реализация государственной</w:t>
      </w:r>
      <w:r w:rsidRPr="00601744">
        <w:rPr>
          <w:rFonts w:cs="Times New Roman"/>
          <w:szCs w:val="24"/>
        </w:rPr>
        <w:t xml:space="preserve"> программ</w:t>
      </w:r>
      <w:r>
        <w:rPr>
          <w:rFonts w:cs="Times New Roman"/>
          <w:szCs w:val="24"/>
        </w:rPr>
        <w:t>ы</w:t>
      </w:r>
      <w:r w:rsidRPr="00601744">
        <w:rPr>
          <w:rFonts w:cs="Times New Roman"/>
          <w:szCs w:val="24"/>
        </w:rPr>
        <w:t xml:space="preserve"> </w:t>
      </w:r>
      <w:r>
        <w:rPr>
          <w:rFonts w:cs="Times New Roman"/>
          <w:szCs w:val="24"/>
        </w:rPr>
        <w:t>«Развитие здравоохранения в Санкт-Петербурге</w:t>
      </w:r>
      <w:r w:rsidRPr="00601744">
        <w:rPr>
          <w:rFonts w:cs="Times New Roman"/>
          <w:szCs w:val="24"/>
        </w:rPr>
        <w:t>»</w:t>
      </w:r>
      <w:r>
        <w:rPr>
          <w:rFonts w:cs="Times New Roman"/>
          <w:szCs w:val="24"/>
        </w:rPr>
        <w:t xml:space="preserve"> предполагае</w:t>
      </w:r>
      <w:r w:rsidRPr="00601744">
        <w:rPr>
          <w:rFonts w:cs="Times New Roman"/>
          <w:szCs w:val="24"/>
        </w:rPr>
        <w:t>т</w:t>
      </w:r>
      <w:r>
        <w:rPr>
          <w:rFonts w:cs="Times New Roman"/>
          <w:szCs w:val="24"/>
        </w:rPr>
        <w:t>ся</w:t>
      </w:r>
      <w:r w:rsidRPr="00601744">
        <w:rPr>
          <w:rFonts w:cs="Times New Roman"/>
          <w:szCs w:val="24"/>
        </w:rPr>
        <w:t xml:space="preserve"> использование инструментов ГЧП, как перспективного способа объединения усилий органов государственной власти и бизнеса с целью развития инфраструктуры учреждений, повышения доступности и качества платных услуг.</w:t>
      </w:r>
      <w:r>
        <w:rPr>
          <w:rFonts w:cs="Times New Roman"/>
          <w:szCs w:val="24"/>
        </w:rPr>
        <w:t xml:space="preserve"> Инвестиционные договоры, как форма взаимодействия власти и бизнеса, позволяет последнему создавать инфраструктурные объекты, а также оказывать медицинскую помощь, </w:t>
      </w:r>
      <w:r w:rsidR="00714170">
        <w:rPr>
          <w:rFonts w:cs="Times New Roman"/>
          <w:szCs w:val="24"/>
        </w:rPr>
        <w:t>как на платной основе, так и на бесплатной (по системе ОМС).</w:t>
      </w:r>
    </w:p>
    <w:p w14:paraId="4AA1AC5E" w14:textId="77777777" w:rsidR="003A2BAA" w:rsidRDefault="003A2BAA" w:rsidP="007A1FC9">
      <w:pPr>
        <w:rPr>
          <w:rFonts w:cs="Times New Roman"/>
          <w:szCs w:val="24"/>
        </w:rPr>
      </w:pPr>
      <w:r>
        <w:rPr>
          <w:rFonts w:cs="Times New Roman"/>
          <w:szCs w:val="24"/>
        </w:rPr>
        <w:t>Также стоит обратить внимание на то, что не удалось выявить проекты в форме КЖЦ, несмотря на то, что на основе анализа, проведенного в первой главе, посредством данной формы могут быть решены практически все задачи, установленные в рамках Стратегии СЭР Санкт-Петербурга, ГП «Развитие здравоохранения в Санкт-Петербурге».</w:t>
      </w:r>
    </w:p>
    <w:p w14:paraId="375E786D" w14:textId="77777777" w:rsidR="003A2BAA" w:rsidRDefault="003A2BAA" w:rsidP="007A1FC9">
      <w:pPr>
        <w:rPr>
          <w:rFonts w:cs="Times New Roman"/>
          <w:szCs w:val="24"/>
        </w:rPr>
      </w:pPr>
      <w:r>
        <w:rPr>
          <w:rFonts w:cs="Times New Roman"/>
          <w:szCs w:val="24"/>
        </w:rPr>
        <w:t xml:space="preserve">Было найдено подтверждение для гипотезы о том, что в инвестиционных проектах в сфере здравоохранения, как правило, может принять участие только крупный бизнес, ввиду масштаба инфраструктурных проектов. Если говорить о медицинских компаниях, реализующих инвестиционные проекты с целью расширения сетей, то это хорошо известные частные организации, оперирующие в дорогом или премиальном сегменте рынка медицинских услуг (ГК «Мать и дитя», Холдинг СМ-Клиника, </w:t>
      </w:r>
      <w:proofErr w:type="spellStart"/>
      <w:r>
        <w:rPr>
          <w:rFonts w:cs="Times New Roman"/>
          <w:szCs w:val="24"/>
          <w:lang w:val="en-US"/>
        </w:rPr>
        <w:t>Euromed</w:t>
      </w:r>
      <w:proofErr w:type="spellEnd"/>
      <w:r w:rsidRPr="001B10E4">
        <w:rPr>
          <w:rFonts w:cs="Times New Roman"/>
          <w:szCs w:val="24"/>
        </w:rPr>
        <w:t xml:space="preserve"> </w:t>
      </w:r>
      <w:r>
        <w:rPr>
          <w:rFonts w:cs="Times New Roman"/>
          <w:szCs w:val="24"/>
          <w:lang w:val="en-US"/>
        </w:rPr>
        <w:t>Group</w:t>
      </w:r>
      <w:r w:rsidRPr="001B10E4">
        <w:rPr>
          <w:rFonts w:cs="Times New Roman"/>
          <w:szCs w:val="24"/>
        </w:rPr>
        <w:t>)</w:t>
      </w:r>
      <w:r>
        <w:rPr>
          <w:rFonts w:cs="Times New Roman"/>
          <w:szCs w:val="24"/>
        </w:rPr>
        <w:t xml:space="preserve">, как в Санкт-Петербурге, так и в целом по России. Эти компании участвуют в инвестиционных проектах в многих городах страны, они имеют соответствующий опыт и готовность вступать в контрактные формы взаимодействия с государством. </w:t>
      </w:r>
      <w:r w:rsidRPr="002F19A7">
        <w:rPr>
          <w:rFonts w:cs="Times New Roman"/>
          <w:szCs w:val="24"/>
        </w:rPr>
        <w:t>Другими словами, сформулированные в Стратегии инвестиционного развития Санкт-Петербурга тезисы о текущем состоянии инвестиционной активности в сфере здравоохранения</w:t>
      </w:r>
      <w:r>
        <w:rPr>
          <w:rFonts w:cs="Times New Roman"/>
          <w:szCs w:val="24"/>
        </w:rPr>
        <w:t xml:space="preserve"> соответствуют найденным данным по проектам. </w:t>
      </w:r>
    </w:p>
    <w:p w14:paraId="3E3EC51D" w14:textId="3E20E476" w:rsidR="003A2BAA" w:rsidRDefault="003A2BAA" w:rsidP="007A1FC9">
      <w:pPr>
        <w:rPr>
          <w:rFonts w:cs="Times New Roman"/>
          <w:szCs w:val="24"/>
        </w:rPr>
      </w:pPr>
      <w:r>
        <w:rPr>
          <w:rFonts w:cs="Times New Roman"/>
          <w:szCs w:val="24"/>
        </w:rPr>
        <w:t xml:space="preserve">Несмотря на большое количество проектов, связанных с развитием производства, </w:t>
      </w:r>
      <w:proofErr w:type="spellStart"/>
      <w:r>
        <w:rPr>
          <w:rFonts w:cs="Times New Roman"/>
          <w:szCs w:val="24"/>
        </w:rPr>
        <w:t>СПИКи</w:t>
      </w:r>
      <w:proofErr w:type="spellEnd"/>
      <w:r>
        <w:rPr>
          <w:rFonts w:cs="Times New Roman"/>
          <w:szCs w:val="24"/>
        </w:rPr>
        <w:t xml:space="preserve"> заключили только 2 фармацевтические компании в Санкт-Петербурге, тогда как данная форма имеет специфику как раз связанную с строительством новых заводов, модернизацией существующих объектов. Причем, объем инвестиций по проектам в форме инвестиционного договора превышает объем инвестиций по контрактам в форме СПИК. То есть компании не рассматривают СПИК как лучшую альтернативу при выборе формы взаимодействия с властью. Таким образом можно предположить, что в принципе, условия по СПИК не удовлетворяют бизнес. С другой стороны, проекты в форме СПИК </w:t>
      </w:r>
      <w:r>
        <w:rPr>
          <w:rFonts w:cs="Times New Roman"/>
          <w:szCs w:val="24"/>
        </w:rPr>
        <w:lastRenderedPageBreak/>
        <w:t>существуют, поэтому нужно было понять причину привлекательности данной формы для отдельных компаний.</w:t>
      </w:r>
      <w:r w:rsidR="00714170">
        <w:rPr>
          <w:rFonts w:cs="Times New Roman"/>
          <w:szCs w:val="24"/>
        </w:rPr>
        <w:t xml:space="preserve"> Вероятно</w:t>
      </w:r>
      <w:r>
        <w:rPr>
          <w:rFonts w:cs="Times New Roman"/>
          <w:szCs w:val="24"/>
        </w:rPr>
        <w:t>, ключевое условие, которое мотивирует бизнес заключать СПИК – это получение статуса единственного поставщика</w:t>
      </w:r>
      <w:r w:rsidRPr="000921C5">
        <w:rPr>
          <w:rFonts w:cs="Times New Roman"/>
          <w:szCs w:val="24"/>
        </w:rPr>
        <w:t xml:space="preserve"> продукции, произведенной в рамках СПИК (участие в гос</w:t>
      </w:r>
      <w:r>
        <w:rPr>
          <w:rFonts w:cs="Times New Roman"/>
          <w:szCs w:val="24"/>
        </w:rPr>
        <w:t xml:space="preserve">ударственных </w:t>
      </w:r>
      <w:r w:rsidRPr="000921C5">
        <w:rPr>
          <w:rFonts w:cs="Times New Roman"/>
          <w:szCs w:val="24"/>
        </w:rPr>
        <w:t>закупках на внеконкурсной основе</w:t>
      </w:r>
      <w:r>
        <w:rPr>
          <w:rFonts w:cs="Times New Roman"/>
          <w:szCs w:val="24"/>
        </w:rPr>
        <w:t xml:space="preserve">), а следующее за ним условие – налоговые льготы. </w:t>
      </w:r>
    </w:p>
    <w:p w14:paraId="091CC95F" w14:textId="4B6BBF19" w:rsidR="003A2BAA" w:rsidRPr="00747191" w:rsidRDefault="003A2BAA" w:rsidP="007A1FC9">
      <w:pPr>
        <w:rPr>
          <w:rFonts w:eastAsia="Times New Roman" w:cs="Times New Roman"/>
          <w:szCs w:val="24"/>
          <w:lang w:eastAsia="ru-RU"/>
        </w:rPr>
      </w:pPr>
      <w:r>
        <w:rPr>
          <w:rFonts w:eastAsia="Times New Roman" w:cs="Times New Roman"/>
          <w:szCs w:val="24"/>
          <w:lang w:eastAsia="ru-RU"/>
        </w:rPr>
        <w:t xml:space="preserve">Была замечена еще одна особенность: все найденные инвестиционные проекты были инициированы частным бизнесом, за исключением концессионного соглашения по строительству нового </w:t>
      </w:r>
      <w:r w:rsidRPr="00AF7C7C">
        <w:rPr>
          <w:rFonts w:eastAsia="Times New Roman" w:cs="Times New Roman"/>
          <w:szCs w:val="24"/>
          <w:lang w:eastAsia="ru-RU"/>
        </w:rPr>
        <w:t>лечебно-реабилитационного корпуса Санкт-Петербургского ГБУЗ «Городская больница № 40 Курортного района»</w:t>
      </w:r>
      <w:r>
        <w:rPr>
          <w:rFonts w:eastAsia="Times New Roman" w:cs="Times New Roman"/>
          <w:szCs w:val="24"/>
          <w:lang w:eastAsia="ru-RU"/>
        </w:rPr>
        <w:t>. И именно с этим проектом возникло больше всего проблем. Реализация по проекту должна была начаться еще в 2015 году, однако соглашение между Санкт-Петербургом</w:t>
      </w:r>
      <w:r w:rsidR="00714170">
        <w:rPr>
          <w:rFonts w:eastAsia="Times New Roman" w:cs="Times New Roman"/>
          <w:szCs w:val="24"/>
          <w:lang w:eastAsia="ru-RU"/>
        </w:rPr>
        <w:t xml:space="preserve"> и ООО «</w:t>
      </w:r>
      <w:proofErr w:type="spellStart"/>
      <w:r w:rsidR="00714170">
        <w:rPr>
          <w:rFonts w:eastAsia="Times New Roman" w:cs="Times New Roman"/>
          <w:szCs w:val="24"/>
          <w:lang w:eastAsia="ru-RU"/>
        </w:rPr>
        <w:t>Петроком</w:t>
      </w:r>
      <w:proofErr w:type="spellEnd"/>
      <w:r w:rsidR="00714170">
        <w:rPr>
          <w:rFonts w:eastAsia="Times New Roman" w:cs="Times New Roman"/>
          <w:szCs w:val="24"/>
          <w:lang w:eastAsia="ru-RU"/>
        </w:rPr>
        <w:t>» было расторгнуто</w:t>
      </w:r>
      <w:r>
        <w:rPr>
          <w:rFonts w:eastAsia="Times New Roman" w:cs="Times New Roman"/>
          <w:szCs w:val="24"/>
          <w:lang w:eastAsia="ru-RU"/>
        </w:rPr>
        <w:t>. В 2016 году к строительству должен был</w:t>
      </w:r>
      <w:r w:rsidR="00714170">
        <w:rPr>
          <w:rFonts w:eastAsia="Times New Roman" w:cs="Times New Roman"/>
          <w:szCs w:val="24"/>
          <w:lang w:eastAsia="ru-RU"/>
        </w:rPr>
        <w:t xml:space="preserve"> другой концессионер </w:t>
      </w:r>
      <w:r>
        <w:rPr>
          <w:rFonts w:eastAsia="Times New Roman" w:cs="Times New Roman"/>
          <w:szCs w:val="24"/>
          <w:lang w:eastAsia="ru-RU"/>
        </w:rPr>
        <w:t xml:space="preserve">– ООО </w:t>
      </w:r>
      <w:r w:rsidRPr="002E6EF2">
        <w:rPr>
          <w:rFonts w:eastAsia="Times New Roman" w:cs="Times New Roman"/>
          <w:szCs w:val="24"/>
          <w:lang w:eastAsia="ru-RU"/>
        </w:rPr>
        <w:t>«Невская медицинская инфраструктура»</w:t>
      </w:r>
      <w:r>
        <w:rPr>
          <w:rFonts w:eastAsia="Times New Roman" w:cs="Times New Roman"/>
          <w:szCs w:val="24"/>
          <w:lang w:eastAsia="ru-RU"/>
        </w:rPr>
        <w:t>, однако и по этому соглашению начало проекта было отсрочено на 3 года.</w:t>
      </w:r>
    </w:p>
    <w:p w14:paraId="319C0B69" w14:textId="1D773D59" w:rsidR="00693945" w:rsidRDefault="003A2BAA" w:rsidP="006E2FF8">
      <w:pPr>
        <w:rPr>
          <w:rFonts w:eastAsia="Times New Roman" w:cs="Times New Roman"/>
          <w:szCs w:val="24"/>
          <w:lang w:eastAsia="ru-RU"/>
        </w:rPr>
      </w:pPr>
      <w:r>
        <w:rPr>
          <w:rFonts w:cs="Times New Roman"/>
          <w:szCs w:val="24"/>
        </w:rPr>
        <w:t xml:space="preserve">Следует обратить внимание на проект, который должен быть реализован в форме соглашения о ГЧП. Строительство </w:t>
      </w:r>
      <w:r>
        <w:rPr>
          <w:rFonts w:eastAsia="Times New Roman" w:cs="Times New Roman"/>
          <w:szCs w:val="24"/>
          <w:lang w:eastAsia="ru-RU"/>
        </w:rPr>
        <w:t>перинатального центра</w:t>
      </w:r>
      <w:r w:rsidRPr="001A74BC">
        <w:rPr>
          <w:rFonts w:eastAsia="Times New Roman" w:cs="Times New Roman"/>
          <w:szCs w:val="24"/>
          <w:lang w:eastAsia="ru-RU"/>
        </w:rPr>
        <w:t xml:space="preserve"> на ул. Вавиловых</w:t>
      </w:r>
      <w:r>
        <w:rPr>
          <w:rFonts w:eastAsia="Times New Roman" w:cs="Times New Roman"/>
          <w:szCs w:val="24"/>
          <w:lang w:eastAsia="ru-RU"/>
        </w:rPr>
        <w:t xml:space="preserve"> является самым дорогим инвестиционным проектом, связанным с созданием инфраструкт</w:t>
      </w:r>
      <w:r w:rsidR="00ED2B7B">
        <w:rPr>
          <w:rFonts w:eastAsia="Times New Roman" w:cs="Times New Roman"/>
          <w:szCs w:val="24"/>
          <w:lang w:eastAsia="ru-RU"/>
        </w:rPr>
        <w:t xml:space="preserve">урного объекта здравоохранения </w:t>
      </w:r>
      <w:r>
        <w:rPr>
          <w:rFonts w:eastAsia="Times New Roman" w:cs="Times New Roman"/>
          <w:szCs w:val="24"/>
          <w:lang w:eastAsia="ru-RU"/>
        </w:rPr>
        <w:t>из найденных. Возможно, именно стоимость прое</w:t>
      </w:r>
      <w:r w:rsidR="00714170">
        <w:rPr>
          <w:rFonts w:eastAsia="Times New Roman" w:cs="Times New Roman"/>
          <w:szCs w:val="24"/>
          <w:lang w:eastAsia="ru-RU"/>
        </w:rPr>
        <w:t>кта повлияла на то, что компания</w:t>
      </w:r>
      <w:r>
        <w:rPr>
          <w:rFonts w:eastAsia="Times New Roman" w:cs="Times New Roman"/>
          <w:szCs w:val="24"/>
          <w:lang w:eastAsia="ru-RU"/>
        </w:rPr>
        <w:t xml:space="preserve"> решила использовать эту форму, которая позволит разделить риски между частным и публичным партнером, сформировать оптимальные условия для обеих сторон.</w:t>
      </w:r>
    </w:p>
    <w:p w14:paraId="02794924" w14:textId="7BA63961" w:rsidR="006E2FF8" w:rsidRPr="006E2FF8" w:rsidRDefault="006E2FF8" w:rsidP="006E2FF8">
      <w:pPr>
        <w:rPr>
          <w:rFonts w:eastAsia="Times New Roman" w:cs="Times New Roman"/>
          <w:szCs w:val="24"/>
          <w:lang w:eastAsia="ru-RU"/>
        </w:rPr>
      </w:pPr>
      <w:r>
        <w:rPr>
          <w:rFonts w:eastAsia="Times New Roman" w:cs="Times New Roman"/>
          <w:szCs w:val="24"/>
          <w:lang w:eastAsia="ru-RU"/>
        </w:rPr>
        <w:t>После анализа документов стратегического планирования, а также обзора текущего состояния взаимодействия государства и бизнеса в сфере здравоохранения в Санкт-Петербурге, стало понятно, в активизации какой формы нуждается город. Это формы ГЧП, то есть соглашение о ГЧП и концессионное соглашение. Посредством них возможно не только решить все или практически все цели и задачи, поставленные в</w:t>
      </w:r>
      <w:r w:rsidR="00AD313A">
        <w:rPr>
          <w:rFonts w:eastAsia="Times New Roman" w:cs="Times New Roman"/>
          <w:szCs w:val="24"/>
          <w:lang w:eastAsia="ru-RU"/>
        </w:rPr>
        <w:t xml:space="preserve"> Стратегии социально-экономического развития Санкт-Петербурга, а также государственной программы «Развитие здравоохранения в Санкт-Петербурге» в рамках одного проекта, но и обеспечить сохранение подконтрольности операционной деятельности медицинских учреждений. Действительно, было выяснено, что инвестиционные договоры могут решить практически все задачи СЭР в сфере здравоохранения, как и формы ГЧП. Однако, </w:t>
      </w:r>
      <w:r w:rsidR="00C54E39">
        <w:rPr>
          <w:rFonts w:eastAsia="Times New Roman" w:cs="Times New Roman"/>
          <w:szCs w:val="24"/>
          <w:lang w:eastAsia="ru-RU"/>
        </w:rPr>
        <w:t>в отличие от инвестиционных договоров, которые на данный момент являются более популярной формой взаимодействия власти и бизнеса, форма ГЧП позволяе</w:t>
      </w:r>
      <w:r w:rsidR="00B86F57" w:rsidRPr="00B86F57">
        <w:rPr>
          <w:rFonts w:eastAsia="Times New Roman" w:cs="Times New Roman"/>
          <w:szCs w:val="24"/>
          <w:lang w:eastAsia="ru-RU"/>
        </w:rPr>
        <w:t>т интегрировать бизнес-модели в государственную сферу,</w:t>
      </w:r>
      <w:r w:rsidR="00C54E39">
        <w:rPr>
          <w:rFonts w:eastAsia="Times New Roman" w:cs="Times New Roman"/>
          <w:szCs w:val="24"/>
          <w:lang w:eastAsia="ru-RU"/>
        </w:rPr>
        <w:t xml:space="preserve"> при этом решая наиболее острые</w:t>
      </w:r>
      <w:r w:rsidR="00B86F57" w:rsidRPr="00B86F57">
        <w:rPr>
          <w:rFonts w:eastAsia="Times New Roman" w:cs="Times New Roman"/>
          <w:szCs w:val="24"/>
          <w:lang w:eastAsia="ru-RU"/>
        </w:rPr>
        <w:t xml:space="preserve"> проблем</w:t>
      </w:r>
      <w:r w:rsidR="00C54E39">
        <w:rPr>
          <w:rFonts w:eastAsia="Times New Roman" w:cs="Times New Roman"/>
          <w:szCs w:val="24"/>
          <w:lang w:eastAsia="ru-RU"/>
        </w:rPr>
        <w:t>ы</w:t>
      </w:r>
      <w:r w:rsidR="00B86F57" w:rsidRPr="00B86F57">
        <w:rPr>
          <w:rFonts w:eastAsia="Times New Roman" w:cs="Times New Roman"/>
          <w:szCs w:val="24"/>
          <w:lang w:eastAsia="ru-RU"/>
        </w:rPr>
        <w:t xml:space="preserve"> государственной политики</w:t>
      </w:r>
      <w:r w:rsidR="00C54E39">
        <w:rPr>
          <w:rFonts w:eastAsia="Times New Roman" w:cs="Times New Roman"/>
          <w:szCs w:val="24"/>
          <w:lang w:eastAsia="ru-RU"/>
        </w:rPr>
        <w:t xml:space="preserve"> с учетом потребностей большей части населения города.</w:t>
      </w:r>
    </w:p>
    <w:p w14:paraId="70CBF551" w14:textId="43613AC5" w:rsidR="00255CB8" w:rsidRDefault="00255CB8" w:rsidP="00480DFA">
      <w:pPr>
        <w:ind w:firstLine="0"/>
      </w:pPr>
    </w:p>
    <w:p w14:paraId="04186BDD" w14:textId="67E983A0" w:rsidR="00255CB8" w:rsidRDefault="00255CB8" w:rsidP="00480DFA">
      <w:pPr>
        <w:ind w:firstLine="0"/>
      </w:pPr>
    </w:p>
    <w:p w14:paraId="574822DF" w14:textId="5EE0469F" w:rsidR="00255CB8" w:rsidRDefault="00255CB8" w:rsidP="00255CB8">
      <w:pPr>
        <w:pStyle w:val="1"/>
      </w:pPr>
      <w:bookmarkStart w:id="26" w:name="_Toc41337646"/>
      <w:bookmarkStart w:id="27" w:name="_Toc41427831"/>
      <w:r>
        <w:lastRenderedPageBreak/>
        <w:t>Глава 3. Пути развития взаимодействия государства и бизнеса в форме ГЧП в сфере здравоохранения в санкт-пет</w:t>
      </w:r>
      <w:r w:rsidR="00A83D4E">
        <w:t>ер</w:t>
      </w:r>
      <w:r>
        <w:t>бург</w:t>
      </w:r>
      <w:bookmarkEnd w:id="26"/>
      <w:r w:rsidR="00A83D4E">
        <w:t>е</w:t>
      </w:r>
      <w:bookmarkEnd w:id="27"/>
    </w:p>
    <w:p w14:paraId="056E9903" w14:textId="77777777" w:rsidR="00255CB8" w:rsidRDefault="00255CB8" w:rsidP="00255CB8">
      <w:pPr>
        <w:pStyle w:val="2"/>
        <w:spacing w:after="120"/>
      </w:pPr>
      <w:bookmarkStart w:id="28" w:name="_Toc41337647"/>
      <w:bookmarkStart w:id="29" w:name="_Toc41427832"/>
      <w:r w:rsidRPr="004F6F30">
        <w:t>3</w:t>
      </w:r>
      <w:r>
        <w:t>.1</w:t>
      </w:r>
      <w:r w:rsidRPr="004F6F30">
        <w:t xml:space="preserve"> Факторы, влияющие на осуществление взаимодействия власти и</w:t>
      </w:r>
      <w:r>
        <w:t xml:space="preserve"> </w:t>
      </w:r>
      <w:r w:rsidRPr="004F6F30">
        <w:t>бизнеса</w:t>
      </w:r>
      <w:r>
        <w:t xml:space="preserve"> в форме ГЧП</w:t>
      </w:r>
      <w:r w:rsidRPr="004F6F30">
        <w:t xml:space="preserve"> в сфере здр</w:t>
      </w:r>
      <w:r>
        <w:t>авоохранения в Санкт-Петербурге</w:t>
      </w:r>
      <w:bookmarkEnd w:id="28"/>
      <w:bookmarkEnd w:id="29"/>
    </w:p>
    <w:p w14:paraId="7EF0ACF3" w14:textId="77777777" w:rsidR="00255CB8" w:rsidRPr="00255CB8" w:rsidRDefault="00255CB8" w:rsidP="00255CB8">
      <w:r w:rsidRPr="00255CB8">
        <w:t xml:space="preserve">Рассмотрим факторы, </w:t>
      </w:r>
      <w:r w:rsidRPr="00255CB8">
        <w:rPr>
          <w:b/>
          <w:i/>
        </w:rPr>
        <w:t>благоприятствующие активизации</w:t>
      </w:r>
      <w:r w:rsidRPr="00255CB8">
        <w:t xml:space="preserve"> взаимодействия власти и бизнеса в форме ГЧП в сфере здравоохранения в Санкт-Петербурге. </w:t>
      </w:r>
    </w:p>
    <w:p w14:paraId="7227F490" w14:textId="5C65B7D8" w:rsidR="00255CB8" w:rsidRDefault="00255CB8" w:rsidP="00255CB8">
      <w:r>
        <w:t xml:space="preserve">Одним из основных факторов, способствующих привлечение частного партнера (концессионера) является </w:t>
      </w:r>
      <w:r w:rsidRPr="004579DE">
        <w:rPr>
          <w:i/>
        </w:rPr>
        <w:t>развитая институциональная среда ГЧП</w:t>
      </w:r>
      <w:r>
        <w:t xml:space="preserve"> в Санкт-Петербурге, наличие опыта по реализации инвестиционных проектов в такой форме в социальной сфере, в том числе, в сфере здравоохранения, наличие высоко</w:t>
      </w:r>
      <w:r w:rsidRPr="004579DE">
        <w:t>квалифицированных специалистов в области ГЧП</w:t>
      </w:r>
      <w:r>
        <w:t>, работающих в уполномоченных органах государственной власти Санкт-Петербурга и реализующих сопровождение масштабных инвестиционных проектов. В настоящее время в Санкт-Петербурге, занимающем 13 место в Рейтинге субъектов Российской Федерации по уровню развития сферы ГЧП сформированы необходимые институциональные условия для создания проектов в форме ГЧП, а также присутствует поддержка региональных властей.</w:t>
      </w:r>
    </w:p>
    <w:p w14:paraId="454ABC60" w14:textId="090F9B3E" w:rsidR="00CC5B2A" w:rsidRPr="004F1366" w:rsidRDefault="00CC5B2A" w:rsidP="00CC5B2A">
      <w:r>
        <w:t xml:space="preserve">Фактором, стимулирующим развитие взаимодействия государства и бизнеса, является </w:t>
      </w:r>
      <w:r w:rsidRPr="009225AD">
        <w:rPr>
          <w:i/>
        </w:rPr>
        <w:t>увеличения износа основных фондов, низкого уровня материально-технического оснащения государственных медицинских учреждений</w:t>
      </w:r>
      <w:r>
        <w:t>, в связи с чем снижается качество и доступность оказания медицинской помощи населению города. Для создания, реконструкции и модернизации инфраструктурных объектов требуются крупные бюджетные средства, которыми город не располагает, соответственно, необходимо привлечение частных средств для реализации таких проектов. Однако, нужно понимать, что только за счет собственных и заемных средств бизнес скорее всего не будет участвовать в такого рода рисковых и низкодоходных проектах, поэтому применяется форма ГЧП. Так, в конечном итоге, должны быть сформированы такие условия и распределение рисков по проекту, чтобы и частный, и публичный партнер достигли своих ключевых целей участия в взаимодействии.</w:t>
      </w:r>
    </w:p>
    <w:p w14:paraId="01DE361F" w14:textId="445E3E53" w:rsidR="00255CB8" w:rsidRDefault="00255CB8" w:rsidP="00255CB8">
      <w:r>
        <w:t xml:space="preserve">Положительным фактором является </w:t>
      </w:r>
      <w:r w:rsidRPr="00CB62C7">
        <w:rPr>
          <w:i/>
        </w:rPr>
        <w:t xml:space="preserve">уровень </w:t>
      </w:r>
      <w:r>
        <w:rPr>
          <w:i/>
        </w:rPr>
        <w:t xml:space="preserve">и </w:t>
      </w:r>
      <w:r w:rsidRPr="00CB62C7">
        <w:rPr>
          <w:i/>
        </w:rPr>
        <w:t>платежеспособного спроса населения Санкт-Петербурга</w:t>
      </w:r>
      <w:r>
        <w:t xml:space="preserve">. Это можно подтвердить результатами исследования рынка коммерческой медицины в России за 2018-2019 гг., проведенного компанией </w:t>
      </w:r>
      <w:proofErr w:type="spellStart"/>
      <w:r w:rsidRPr="00FE6CA4">
        <w:t>Ernst</w:t>
      </w:r>
      <w:proofErr w:type="spellEnd"/>
      <w:r w:rsidRPr="00FE6CA4">
        <w:t xml:space="preserve"> &amp; </w:t>
      </w:r>
      <w:proofErr w:type="spellStart"/>
      <w:r w:rsidRPr="00FE6CA4">
        <w:t>Young</w:t>
      </w:r>
      <w:proofErr w:type="spellEnd"/>
      <w:r>
        <w:t xml:space="preserve">. Выручка частных медицинских учреждений за анализируемый период, работающих только </w:t>
      </w:r>
      <w:r>
        <w:lastRenderedPageBreak/>
        <w:t>на рынке Санкт-Петербурга, увеличилась в среднем на 22,2%, более того, было зафиксировано увеличении потока пациентов в частные клиники Санкт-Петербурга. При этом медицинские организации Москвы и Санкт-Петербурга отмечали, что в последнее время государство также идет по пути улучшения качества обслуживания пациентов в амбулаторном секторе (сокращение очередей, внедрение электронных сервисов записи и пр.), что может приводить к оттоку части пациентов в муниципальные ЛПУ. По мнению участников исследования, главными факторами, определяющими отличия в спросе на медицинские услуги в Москве и Санкт-Петербурге по сравнению с регионами, являются уровень платежеспособного спроса, компетенции медицинских работников и степень развития государственной медицины.</w:t>
      </w:r>
      <w:r>
        <w:rPr>
          <w:rStyle w:val="afa"/>
        </w:rPr>
        <w:footnoteReference w:id="40"/>
      </w:r>
      <w:r>
        <w:t xml:space="preserve"> Другими словами, есть предпосылки для предоставления частным партнером (концессионером) платных услуг на базе проекта ГЧП.</w:t>
      </w:r>
    </w:p>
    <w:p w14:paraId="44CEF5D7" w14:textId="5534166A" w:rsidR="00255CB8" w:rsidRDefault="00255CB8" w:rsidP="00255CB8">
      <w:r>
        <w:t xml:space="preserve">Фактором, способствующим формированию проектов ГЧП в сфере здравоохранения, является то, что </w:t>
      </w:r>
      <w:r w:rsidRPr="00956614">
        <w:rPr>
          <w:i/>
        </w:rPr>
        <w:t xml:space="preserve">в Санкт-Петербурге </w:t>
      </w:r>
      <w:r>
        <w:rPr>
          <w:i/>
        </w:rPr>
        <w:t xml:space="preserve">функционируют </w:t>
      </w:r>
      <w:r w:rsidRPr="00956614">
        <w:rPr>
          <w:i/>
        </w:rPr>
        <w:t>одни из крупнейших частных медицинских компаний</w:t>
      </w:r>
      <w:r>
        <w:t xml:space="preserve">, которые в случае появления проекта на выгодных для них условиях, будут способны его профинансировать. Это утверждение можно подтвердить тем, что </w:t>
      </w:r>
      <w:r w:rsidRPr="00AF7C7C">
        <w:rPr>
          <w:rFonts w:eastAsia="Times New Roman" w:cs="Times New Roman"/>
          <w:szCs w:val="24"/>
          <w:lang w:eastAsia="ru-RU"/>
        </w:rPr>
        <w:t>ООО «Невская медицинская инфраструктура»</w:t>
      </w:r>
      <w:r>
        <w:rPr>
          <w:rFonts w:eastAsia="Times New Roman" w:cs="Times New Roman"/>
          <w:szCs w:val="24"/>
          <w:lang w:eastAsia="ru-RU"/>
        </w:rPr>
        <w:t xml:space="preserve"> проявила инициативу по созданию Городской больницы № 40 в форме ГЧП; </w:t>
      </w:r>
      <w:r>
        <w:rPr>
          <w:rFonts w:cs="Times New Roman"/>
          <w:szCs w:val="24"/>
        </w:rPr>
        <w:t>ГК «</w:t>
      </w:r>
      <w:proofErr w:type="spellStart"/>
      <w:r>
        <w:rPr>
          <w:rFonts w:cs="Times New Roman"/>
          <w:szCs w:val="24"/>
        </w:rPr>
        <w:t>Евромед</w:t>
      </w:r>
      <w:proofErr w:type="spellEnd"/>
      <w:r>
        <w:rPr>
          <w:rFonts w:cs="Times New Roman"/>
          <w:szCs w:val="24"/>
        </w:rPr>
        <w:t xml:space="preserve">» реализует проект </w:t>
      </w:r>
      <w:r w:rsidRPr="0074006A">
        <w:rPr>
          <w:rFonts w:cs="Times New Roman"/>
          <w:szCs w:val="24"/>
        </w:rPr>
        <w:t>«Полис.</w:t>
      </w:r>
      <w:r>
        <w:rPr>
          <w:rFonts w:cs="Times New Roman"/>
          <w:szCs w:val="24"/>
        </w:rPr>
        <w:t xml:space="preserve"> </w:t>
      </w:r>
      <w:proofErr w:type="spellStart"/>
      <w:r w:rsidRPr="0074006A">
        <w:rPr>
          <w:rFonts w:cs="Times New Roman"/>
          <w:szCs w:val="24"/>
        </w:rPr>
        <w:t>Euromed</w:t>
      </w:r>
      <w:proofErr w:type="spellEnd"/>
      <w:r w:rsidRPr="0074006A">
        <w:rPr>
          <w:rFonts w:cs="Times New Roman"/>
          <w:szCs w:val="24"/>
        </w:rPr>
        <w:t xml:space="preserve"> </w:t>
      </w:r>
      <w:proofErr w:type="spellStart"/>
      <w:r w:rsidRPr="0074006A">
        <w:rPr>
          <w:rFonts w:cs="Times New Roman"/>
          <w:szCs w:val="24"/>
        </w:rPr>
        <w:t>Group</w:t>
      </w:r>
      <w:proofErr w:type="spellEnd"/>
      <w:r w:rsidRPr="0074006A">
        <w:rPr>
          <w:rFonts w:cs="Times New Roman"/>
          <w:szCs w:val="24"/>
        </w:rPr>
        <w:t>»</w:t>
      </w:r>
      <w:r>
        <w:rPr>
          <w:rFonts w:cs="Times New Roman"/>
          <w:szCs w:val="24"/>
        </w:rPr>
        <w:t xml:space="preserve"> в форме ГЧП, организовав проект по собственной инициативе</w:t>
      </w:r>
      <w:r>
        <w:t>, который</w:t>
      </w:r>
      <w:r>
        <w:rPr>
          <w:rFonts w:cs="Times New Roman"/>
          <w:szCs w:val="24"/>
        </w:rPr>
        <w:t xml:space="preserve"> заключается в создании</w:t>
      </w:r>
      <w:r w:rsidRPr="00EE4108">
        <w:rPr>
          <w:rFonts w:cs="Times New Roman"/>
          <w:szCs w:val="24"/>
        </w:rPr>
        <w:t xml:space="preserve"> новой инфраструктуры исключительно для оказания бес</w:t>
      </w:r>
      <w:r>
        <w:rPr>
          <w:rFonts w:cs="Times New Roman"/>
          <w:szCs w:val="24"/>
        </w:rPr>
        <w:t>платной помощи (в рамках ОМС). Также было выяснено, что СМ-Клиника, ООО «Ава-Петер» уже имеют опыт участия в других формах взаимодействия власти и бизнеса, что может служить предпосылкой для их участия в проектах ГЧП в будущем.</w:t>
      </w:r>
    </w:p>
    <w:p w14:paraId="52BA03E3" w14:textId="77D48830" w:rsidR="00255CB8" w:rsidRDefault="00255CB8" w:rsidP="00255CB8">
      <w:r>
        <w:t xml:space="preserve">Еще одним благоприятным фактором для привлечения бизнеса в проекты ГЧП в сфере здравоохранения в Санкт-Петербурге, является то, что городу удалось </w:t>
      </w:r>
      <w:r>
        <w:rPr>
          <w:i/>
        </w:rPr>
        <w:t xml:space="preserve">заключить </w:t>
      </w:r>
      <w:r w:rsidRPr="00D21582">
        <w:t>соглашения о социально-экономическом сотрудничестве</w:t>
      </w:r>
      <w:r w:rsidRPr="00D21582">
        <w:rPr>
          <w:i/>
        </w:rPr>
        <w:t xml:space="preserve"> </w:t>
      </w:r>
      <w:r>
        <w:rPr>
          <w:i/>
        </w:rPr>
        <w:t>с одними из крупнейших кредитных организаций</w:t>
      </w:r>
      <w:r w:rsidRPr="00D21582">
        <w:rPr>
          <w:i/>
        </w:rPr>
        <w:t xml:space="preserve"> страны</w:t>
      </w:r>
      <w:r>
        <w:rPr>
          <w:i/>
        </w:rPr>
        <w:t xml:space="preserve"> –</w:t>
      </w:r>
      <w:r>
        <w:t xml:space="preserve"> </w:t>
      </w:r>
      <w:r>
        <w:rPr>
          <w:rFonts w:eastAsia="Times New Roman" w:cs="Times New Roman"/>
          <w:szCs w:val="24"/>
          <w:lang w:eastAsia="ru-RU"/>
        </w:rPr>
        <w:t xml:space="preserve">ПАО «Сбербанк», ПАО «ВТБ», ПАО «Банк «Санкт-Петербург», ПАО Банк «ФК Открытие», АО «СПМ Банк» </w:t>
      </w:r>
      <w:r>
        <w:rPr>
          <w:i/>
        </w:rPr>
        <w:t>–</w:t>
      </w:r>
      <w:r>
        <w:rPr>
          <w:rFonts w:eastAsia="Times New Roman" w:cs="Times New Roman"/>
          <w:szCs w:val="24"/>
          <w:lang w:eastAsia="ru-RU"/>
        </w:rPr>
        <w:t xml:space="preserve"> </w:t>
      </w:r>
      <w:r>
        <w:t>для обеспечения их</w:t>
      </w:r>
      <w:r w:rsidRPr="00D21582">
        <w:t xml:space="preserve"> </w:t>
      </w:r>
      <w:r>
        <w:t>участия в  финансировании</w:t>
      </w:r>
      <w:r w:rsidRPr="00911316">
        <w:t xml:space="preserve"> строительства социальных объектов и реализации крупных инфраструктурных проектов, предусматривающих </w:t>
      </w:r>
      <w:r>
        <w:t>применение механизма государственно-частного партнерства</w:t>
      </w:r>
      <w:r w:rsidRPr="00911316">
        <w:t>, в том числе, в сфере здравоохранения. Другими словами, частный партнер</w:t>
      </w:r>
      <w:r>
        <w:t xml:space="preserve"> (концессионер) получит больше возможностей по привлечению заемных средств для реализации проекта ГЧП на более выгодных условиях.</w:t>
      </w:r>
    </w:p>
    <w:p w14:paraId="4533F095" w14:textId="77777777" w:rsidR="00255CB8" w:rsidRDefault="00255CB8" w:rsidP="00255CB8">
      <w:r>
        <w:lastRenderedPageBreak/>
        <w:t>Итак, факторы, способствующие организации взаимодействия власти и бизнеса в форме ГЧП в сфере ГЧП в Санкт-Петербурге, следующие:</w:t>
      </w:r>
    </w:p>
    <w:p w14:paraId="74A16B27" w14:textId="00FE66F9" w:rsidR="00255CB8" w:rsidRDefault="00255CB8" w:rsidP="00255CB8">
      <w:pPr>
        <w:pStyle w:val="af5"/>
        <w:numPr>
          <w:ilvl w:val="0"/>
          <w:numId w:val="28"/>
        </w:numPr>
      </w:pPr>
      <w:r>
        <w:t>Р</w:t>
      </w:r>
      <w:r w:rsidRPr="00B37652">
        <w:t>азвитая институциональная среда ГЧП</w:t>
      </w:r>
      <w:r>
        <w:t xml:space="preserve"> в Санкт-Петербурге;</w:t>
      </w:r>
    </w:p>
    <w:p w14:paraId="6F98AE00" w14:textId="77777777" w:rsidR="00255CB8" w:rsidRDefault="00255CB8" w:rsidP="00255CB8">
      <w:pPr>
        <w:pStyle w:val="af5"/>
        <w:numPr>
          <w:ilvl w:val="0"/>
          <w:numId w:val="28"/>
        </w:numPr>
      </w:pPr>
      <w:r w:rsidRPr="00B37652">
        <w:t>Высокий уровень платежеспособного спроса населения Санкт-Петербурга</w:t>
      </w:r>
      <w:r>
        <w:t>;</w:t>
      </w:r>
    </w:p>
    <w:p w14:paraId="4F583980" w14:textId="77777777" w:rsidR="00255CB8" w:rsidRDefault="00255CB8" w:rsidP="00255CB8">
      <w:pPr>
        <w:pStyle w:val="af5"/>
        <w:numPr>
          <w:ilvl w:val="0"/>
          <w:numId w:val="28"/>
        </w:numPr>
      </w:pPr>
      <w:r>
        <w:t xml:space="preserve">Наличие </w:t>
      </w:r>
      <w:r w:rsidRPr="00B37652">
        <w:t>крупнейших частных медицинских компаний</w:t>
      </w:r>
      <w:r>
        <w:t>, оперирующих на рынке Санкт-Петербурга;</w:t>
      </w:r>
    </w:p>
    <w:p w14:paraId="06A2B4F3" w14:textId="0B40AFC5" w:rsidR="00255CB8" w:rsidRDefault="00255CB8" w:rsidP="00255CB8">
      <w:pPr>
        <w:pStyle w:val="af5"/>
        <w:numPr>
          <w:ilvl w:val="0"/>
          <w:numId w:val="28"/>
        </w:numPr>
      </w:pPr>
      <w:r>
        <w:t>Готовность банковского сектора участвовать в предоставлении заемных средств для реализации инфраструктурных проектов в сфере здравоохранения в Санкт-Пет</w:t>
      </w:r>
      <w:r w:rsidR="00CC5B2A">
        <w:t>ербурге на специальных условиях;</w:t>
      </w:r>
    </w:p>
    <w:p w14:paraId="4BA3D795" w14:textId="41D43140" w:rsidR="00CC5B2A" w:rsidRDefault="00CC5B2A" w:rsidP="00CC5B2A">
      <w:pPr>
        <w:pStyle w:val="af5"/>
        <w:numPr>
          <w:ilvl w:val="0"/>
          <w:numId w:val="28"/>
        </w:numPr>
      </w:pPr>
      <w:r w:rsidRPr="00CC5B2A">
        <w:t>Увеличения износа основных фондов, низкого уровня материально-технического оснащения государственных медицинских учреждений</w:t>
      </w:r>
      <w:r w:rsidR="00551C32">
        <w:t>.</w:t>
      </w:r>
    </w:p>
    <w:p w14:paraId="2B0492C3" w14:textId="77777777" w:rsidR="00255CB8" w:rsidRPr="009056D0" w:rsidRDefault="00255CB8" w:rsidP="00255CB8">
      <w:r w:rsidRPr="009056D0">
        <w:t xml:space="preserve">Факторы, </w:t>
      </w:r>
      <w:r w:rsidRPr="009056D0">
        <w:rPr>
          <w:b/>
          <w:i/>
        </w:rPr>
        <w:t>препятствующие организации</w:t>
      </w:r>
      <w:r w:rsidRPr="009056D0">
        <w:t xml:space="preserve"> взаимодействия власти и бизнеса в форме ГЧП в сфере здравоохранения в Санкт-Петербурге.</w:t>
      </w:r>
    </w:p>
    <w:p w14:paraId="697F1D6D" w14:textId="1A354075" w:rsidR="00255CB8" w:rsidRDefault="00255CB8" w:rsidP="00255CB8">
      <w:r>
        <w:t xml:space="preserve">Сдерживающим фактором реализации инвестиционных проектов в форме ГЧП является отсутствие у Санкт-Петербурга возможности заинтересовать бизнес взаимовыгодными проектами из-за </w:t>
      </w:r>
      <w:r w:rsidRPr="00693945">
        <w:rPr>
          <w:i/>
        </w:rPr>
        <w:t>недостатка бюджетных средств</w:t>
      </w:r>
      <w:r>
        <w:t>. Тогда как бюджетное финансирования особенно в социальной сфере имеет критическое значения для реализации проекта. Нужно понимать, что проекты в сфере здравоохранения, как правило, не обладают высокой</w:t>
      </w:r>
      <w:r w:rsidR="009056D0">
        <w:t xml:space="preserve"> доходностью</w:t>
      </w:r>
      <w:r>
        <w:t>, скорее наоборот, характеризуются дл</w:t>
      </w:r>
      <w:r w:rsidR="009056D0">
        <w:t>ительным периодом окупаемости, низкой прибылью, ее</w:t>
      </w:r>
      <w:r>
        <w:t xml:space="preserve"> </w:t>
      </w:r>
      <w:r w:rsidR="009056D0">
        <w:t xml:space="preserve">отсутствием </w:t>
      </w:r>
      <w:r>
        <w:t xml:space="preserve">или </w:t>
      </w:r>
      <w:r w:rsidR="009056D0">
        <w:t xml:space="preserve">даже </w:t>
      </w:r>
      <w:r>
        <w:t xml:space="preserve">отрицательным денежным потоком. Именно поэтому готовность и способность города участвовать в финансировании проектов ГЧП являются базовыми предпосылками для организации взаимодействия власти и бизнеса в реализации совместных инвестиционных проектов. </w:t>
      </w:r>
    </w:p>
    <w:p w14:paraId="4C98CF97" w14:textId="77777777" w:rsidR="00255CB8" w:rsidRPr="00811D15" w:rsidRDefault="00255CB8" w:rsidP="00255CB8">
      <w:r>
        <w:t>Проблема возврата инвестиций частным партнером (концессионером) в проектах, реализуемых в форме ГЧП частично провоцируется фактором</w:t>
      </w:r>
      <w:r w:rsidRPr="00811D15">
        <w:rPr>
          <w:i/>
        </w:rPr>
        <w:t xml:space="preserve"> </w:t>
      </w:r>
      <w:r>
        <w:rPr>
          <w:i/>
        </w:rPr>
        <w:t>отсутствия</w:t>
      </w:r>
      <w:r w:rsidRPr="00CB62C7">
        <w:rPr>
          <w:i/>
        </w:rPr>
        <w:t xml:space="preserve"> инвестиционной составляющей в тарифе ОМС</w:t>
      </w:r>
      <w:r>
        <w:t xml:space="preserve">. То есть тариф ОМС не покрывает затраты на проектирование, строительство, приобретение нового оборудования и пр., а также затраты, связанные с привлечением заемного средств. Из-за этого фактора появляется потребность в возмещении инвестиционных затрат бизнеса с помощью бюджетных средств, например, посредством платы за доступность </w:t>
      </w:r>
      <w:r w:rsidRPr="00F24BD6">
        <w:rPr>
          <w:color w:val="000000" w:themeColor="text1"/>
        </w:rPr>
        <w:t xml:space="preserve">(платы </w:t>
      </w:r>
      <w:proofErr w:type="spellStart"/>
      <w:r w:rsidRPr="00F24BD6">
        <w:rPr>
          <w:color w:val="000000" w:themeColor="text1"/>
        </w:rPr>
        <w:t>концедента</w:t>
      </w:r>
      <w:proofErr w:type="spellEnd"/>
      <w:r w:rsidRPr="00F24BD6">
        <w:rPr>
          <w:color w:val="000000" w:themeColor="text1"/>
        </w:rPr>
        <w:t>)</w:t>
      </w:r>
      <w:r>
        <w:rPr>
          <w:color w:val="000000" w:themeColor="text1"/>
        </w:rPr>
        <w:t xml:space="preserve">, что в свою очередь, возвращает нас к первому фактору, препятствующему возникновению проектов ГЧП – ограниченности бюджетных средств. К тому же стоит заметить, что данный фактор особенно негативно влияет именно на создание проектов в форме концессионных соглашений, так как она предполагает обязательную целевую эксплуатацию концессионером, то есть оказание услуг населению в рамках программы государственных </w:t>
      </w:r>
      <w:r>
        <w:rPr>
          <w:color w:val="000000" w:themeColor="text1"/>
        </w:rPr>
        <w:lastRenderedPageBreak/>
        <w:t xml:space="preserve">гарантий бесплатного оказания медицинской помощи, вследствие чего компенсация стоимости таких услуг осуществляется кон цедентом в основном по тарифам ОМС, которые как уже было указано не могут обеспечить возврат инвестиций частной стороне. Соответственно проект в такой форме не обладает инвестиционной привлекательностью для бизнеса. В СГЧП частный партнер может привлечь медицинского оператора, например, государственное бюджетное учреждение здравоохранения, к оказанию услуг в рамках ОМС, как это планируется по </w:t>
      </w:r>
      <w:r w:rsidRPr="00380D6E">
        <w:rPr>
          <w:rFonts w:eastAsia="Times New Roman" w:cs="Times New Roman"/>
          <w:szCs w:val="24"/>
          <w:lang w:eastAsia="ru-RU"/>
        </w:rPr>
        <w:t>проект</w:t>
      </w:r>
      <w:r>
        <w:rPr>
          <w:rFonts w:eastAsia="Times New Roman" w:cs="Times New Roman"/>
          <w:szCs w:val="24"/>
          <w:lang w:eastAsia="ru-RU"/>
        </w:rPr>
        <w:t>у</w:t>
      </w:r>
      <w:r w:rsidRPr="00380D6E">
        <w:rPr>
          <w:rFonts w:eastAsia="Times New Roman" w:cs="Times New Roman"/>
          <w:szCs w:val="24"/>
          <w:lang w:eastAsia="ru-RU"/>
        </w:rPr>
        <w:t xml:space="preserve"> </w:t>
      </w:r>
      <w:r>
        <w:rPr>
          <w:rFonts w:eastAsia="Times New Roman" w:cs="Times New Roman"/>
          <w:szCs w:val="24"/>
          <w:lang w:eastAsia="ru-RU"/>
        </w:rPr>
        <w:t>строительства</w:t>
      </w:r>
      <w:r w:rsidRPr="001A74BC">
        <w:rPr>
          <w:rFonts w:eastAsia="Times New Roman" w:cs="Times New Roman"/>
          <w:szCs w:val="24"/>
          <w:lang w:eastAsia="ru-RU"/>
        </w:rPr>
        <w:t xml:space="preserve"> перинатального центра на ул. Вавиловых со стационарным отделением</w:t>
      </w:r>
      <w:r>
        <w:rPr>
          <w:rFonts w:eastAsia="Times New Roman" w:cs="Times New Roman"/>
          <w:szCs w:val="24"/>
          <w:lang w:eastAsia="ru-RU"/>
        </w:rPr>
        <w:t>, в котором за предоставление медицинских услуг по ОМС будет отвечать ГБУЗ «Родильный дом № 17», а не частный партнер – ГК «ЕКС». В этом случае обязательства частного партнера будут ограничены строительством и техническим обслуживанием объекта, предполагающего проведение ремонтных работ, обновление материально-технической базы объекта, а также организации питания. Другими словами, посредством заключения СГЧП этот фактор можно смягчить для бизнеса, однако для концессионных соглашений – это серьезнейший барьер.</w:t>
      </w:r>
    </w:p>
    <w:p w14:paraId="1D60AA66" w14:textId="77777777" w:rsidR="00255CB8" w:rsidRDefault="00255CB8" w:rsidP="00255CB8">
      <w:r>
        <w:t xml:space="preserve">Еще одним фактором, препятствующим привлечению частного бизнеса в социальную сферу – </w:t>
      </w:r>
      <w:r w:rsidRPr="003339A2">
        <w:rPr>
          <w:i/>
        </w:rPr>
        <w:t xml:space="preserve">отсутствие четкого </w:t>
      </w:r>
      <w:r>
        <w:rPr>
          <w:i/>
        </w:rPr>
        <w:t xml:space="preserve">законодательного </w:t>
      </w:r>
      <w:r w:rsidRPr="003339A2">
        <w:rPr>
          <w:i/>
        </w:rPr>
        <w:t>закрепления платежного механизма в виде минимального гарантированного дохода</w:t>
      </w:r>
      <w:r>
        <w:rPr>
          <w:i/>
        </w:rPr>
        <w:t xml:space="preserve"> (МГД). </w:t>
      </w:r>
      <w:r w:rsidRPr="003339A2">
        <w:t>Этот факто</w:t>
      </w:r>
      <w:r>
        <w:t xml:space="preserve">р является серьезным барьером для частного партнера (концессионера) для вступления в проект ГЧП, очевидно, ввиду долгосрочности проектов ГЧП, может сократиться объем </w:t>
      </w:r>
      <w:r w:rsidRPr="003339A2">
        <w:t>планового задания</w:t>
      </w:r>
      <w:r>
        <w:t xml:space="preserve">, снизиться размер тарифа и/или объем услуг по программе ОМС, что приведет к неполучению ожидаемого дохода по проекту частным партнером (концессионером). Эксперт ГЧП, А. А. Григорьев замечает, что стороны соглашения, ввиду отсутствия закрепления в законодательстве механизма МГД, в том или ином виде включали его в условия по соглашению, как часть платы </w:t>
      </w:r>
      <w:proofErr w:type="spellStart"/>
      <w:r>
        <w:t>концедента</w:t>
      </w:r>
      <w:proofErr w:type="spellEnd"/>
      <w:r>
        <w:t xml:space="preserve"> или эксплуатационного платежа.</w:t>
      </w:r>
      <w:r>
        <w:rPr>
          <w:rStyle w:val="afa"/>
        </w:rPr>
        <w:footnoteReference w:id="41"/>
      </w:r>
      <w:r>
        <w:t xml:space="preserve"> Это подчеркивает высокую значимость наличия такого механизма для обеспечения реализации проекта ГЧП и привлечения частного партнера (концессионера) к участию.</w:t>
      </w:r>
    </w:p>
    <w:p w14:paraId="2075DD07" w14:textId="77777777" w:rsidR="00255CB8" w:rsidRDefault="00255CB8" w:rsidP="00255CB8">
      <w:r>
        <w:t xml:space="preserve">Можно обратить внимание на еще один фактор, препятствующий организации взаимодействия власти и бизнеса для совместной реализации проектов ГЧП в сфере здравоохранения – </w:t>
      </w:r>
      <w:r w:rsidRPr="0063743D">
        <w:rPr>
          <w:i/>
        </w:rPr>
        <w:t>низкий уровень прозрачности и открытости информации о реализуемых или планируемых к реализации проектов</w:t>
      </w:r>
      <w:r>
        <w:rPr>
          <w:i/>
        </w:rPr>
        <w:t xml:space="preserve"> ГЧП в сфере здравоохранения</w:t>
      </w:r>
      <w:r>
        <w:t xml:space="preserve">. Безусловно, наиболее интересной информацией для бизнеса, является структура финансирования проекта: процентное соотношение собственных и заемных средств </w:t>
      </w:r>
      <w:r>
        <w:lastRenderedPageBreak/>
        <w:t>частного партнера с объемом государственного финансирования; качественные и количественные, финансовые показатели операционной деятельности; показатели рентабельности, окупаемости затрат и инвестиций частного партнера (концессионера).</w:t>
      </w:r>
    </w:p>
    <w:p w14:paraId="64AD2471" w14:textId="77777777" w:rsidR="00255CB8" w:rsidRDefault="00255CB8" w:rsidP="00255CB8">
      <w:r>
        <w:t xml:space="preserve">Также фактором, негативно влияющим на привлекательность проектов ГЧП для частного бизнеса, является </w:t>
      </w:r>
      <w:r w:rsidRPr="00406E7C">
        <w:rPr>
          <w:i/>
        </w:rPr>
        <w:t>сроки подготовки соглашений</w:t>
      </w:r>
      <w:r>
        <w:rPr>
          <w:i/>
        </w:rPr>
        <w:t xml:space="preserve"> и начала реализации</w:t>
      </w:r>
      <w:r>
        <w:t xml:space="preserve"> по ним. По проектам, которые были выявлены на основе анализа текущего состояния взаимодействия власти и бизнеса в Санкт-Петербурге, удалось выяснить, что в среднем подготовка занимает около двух лет, однако, в случае с проектом Городской больницы № 40 – затянулся примерно на 5 лет. Безусловно, для частного партнера (концессионера) – это не только транзакционные издержки, связанные с переговорным процессом с органами государственной власти, но и реальные издержки, так как под крупные проекты заранее резервируются финансовые средства, по сути компании теряют деньги из-за простоя проекта. </w:t>
      </w:r>
      <w:r w:rsidRPr="003E5136">
        <w:t xml:space="preserve">Например, Аркадий </w:t>
      </w:r>
      <w:proofErr w:type="spellStart"/>
      <w:r w:rsidRPr="003E5136">
        <w:t>Столпнер</w:t>
      </w:r>
      <w:proofErr w:type="spellEnd"/>
      <w:r>
        <w:t xml:space="preserve">, </w:t>
      </w:r>
      <w:r w:rsidRPr="003E5136">
        <w:t>председатель правления Медицинского института биологических систем (МИБС) им. Сергея Березина</w:t>
      </w:r>
      <w:r>
        <w:t xml:space="preserve">, заявил, что одной из причин по которой МИБС не использует </w:t>
      </w:r>
      <w:r w:rsidRPr="003E5136">
        <w:t xml:space="preserve">формат ГЧП – </w:t>
      </w:r>
      <w:r>
        <w:t xml:space="preserve">«потеря </w:t>
      </w:r>
      <w:r w:rsidRPr="003E5136">
        <w:t>врем</w:t>
      </w:r>
      <w:r>
        <w:t xml:space="preserve">ени». </w:t>
      </w:r>
    </w:p>
    <w:p w14:paraId="615BE727" w14:textId="77777777" w:rsidR="00255CB8" w:rsidRDefault="00255CB8" w:rsidP="00255CB8">
      <w:r>
        <w:t xml:space="preserve">Итак, факторы, препятствующие организации взаимодействия власти и бизнеса в форме ГЧП в сфере ГЧП в Санкт-Петербурге, следующие: </w:t>
      </w:r>
    </w:p>
    <w:p w14:paraId="1DBFB6C9" w14:textId="3BBAAE04" w:rsidR="00255CB8" w:rsidRDefault="00255CB8" w:rsidP="00255CB8">
      <w:pPr>
        <w:pStyle w:val="af5"/>
        <w:numPr>
          <w:ilvl w:val="0"/>
          <w:numId w:val="29"/>
        </w:numPr>
      </w:pPr>
      <w:r>
        <w:t>Ограниченность бюджетных средств для предложения взаимовыгодных проектов</w:t>
      </w:r>
      <w:r w:rsidR="00E15716">
        <w:t xml:space="preserve"> ГЧП</w:t>
      </w:r>
      <w:r>
        <w:t xml:space="preserve"> бизнесу</w:t>
      </w:r>
      <w:r w:rsidR="00247C0B">
        <w:t xml:space="preserve"> со стороны города</w:t>
      </w:r>
      <w:r>
        <w:t>;</w:t>
      </w:r>
    </w:p>
    <w:p w14:paraId="5ED3FAE9" w14:textId="77777777" w:rsidR="00255CB8" w:rsidRDefault="00255CB8" w:rsidP="00255CB8">
      <w:pPr>
        <w:pStyle w:val="af5"/>
        <w:numPr>
          <w:ilvl w:val="0"/>
          <w:numId w:val="29"/>
        </w:numPr>
      </w:pPr>
      <w:r>
        <w:t>Отсутствие законодательного закрепления механизма минимального гарантированного дохода в сфере здравоохранения;</w:t>
      </w:r>
    </w:p>
    <w:p w14:paraId="054D97D6" w14:textId="77777777" w:rsidR="00255CB8" w:rsidRDefault="00255CB8" w:rsidP="00255CB8">
      <w:pPr>
        <w:pStyle w:val="af5"/>
        <w:numPr>
          <w:ilvl w:val="0"/>
          <w:numId w:val="29"/>
        </w:numPr>
      </w:pPr>
      <w:r>
        <w:t>Отсутствие</w:t>
      </w:r>
      <w:r w:rsidRPr="00B812BA">
        <w:t xml:space="preserve"> инвестиционной составляющей в тарифе ОМС</w:t>
      </w:r>
      <w:r>
        <w:t>;</w:t>
      </w:r>
    </w:p>
    <w:p w14:paraId="0CC6A265" w14:textId="77777777" w:rsidR="00255CB8" w:rsidRDefault="00255CB8" w:rsidP="00255CB8">
      <w:pPr>
        <w:pStyle w:val="af5"/>
        <w:numPr>
          <w:ilvl w:val="0"/>
          <w:numId w:val="29"/>
        </w:numPr>
      </w:pPr>
      <w:r w:rsidRPr="00B812BA">
        <w:t>Низкий уровень прозрачности и открытости информации о реализуемых или планируемых к реализации проектов ГЧП в сфере здравоохранения</w:t>
      </w:r>
      <w:r>
        <w:t>;</w:t>
      </w:r>
    </w:p>
    <w:p w14:paraId="3B50B244" w14:textId="77777777" w:rsidR="00255CB8" w:rsidRDefault="00255CB8" w:rsidP="00255CB8">
      <w:pPr>
        <w:pStyle w:val="af5"/>
        <w:numPr>
          <w:ilvl w:val="0"/>
          <w:numId w:val="29"/>
        </w:numPr>
      </w:pPr>
      <w:r>
        <w:t>Д</w:t>
      </w:r>
      <w:r w:rsidRPr="00B812BA">
        <w:t>лительные сроки подготовки соглашений</w:t>
      </w:r>
      <w:r>
        <w:t xml:space="preserve"> и начала реализации</w:t>
      </w:r>
      <w:r w:rsidRPr="00B812BA">
        <w:t xml:space="preserve"> по проектам ГЧП.</w:t>
      </w:r>
    </w:p>
    <w:p w14:paraId="046B7B4D" w14:textId="59A389FA" w:rsidR="00255CB8" w:rsidRDefault="00255CB8" w:rsidP="00480DFA">
      <w:pPr>
        <w:ind w:firstLine="0"/>
      </w:pPr>
    </w:p>
    <w:p w14:paraId="71F127B7" w14:textId="2D570DBA" w:rsidR="00B63E1E" w:rsidRDefault="00B63E1E" w:rsidP="00480DFA">
      <w:pPr>
        <w:ind w:firstLine="0"/>
      </w:pPr>
    </w:p>
    <w:p w14:paraId="7FB65DA7" w14:textId="73800E75" w:rsidR="00B63E1E" w:rsidRDefault="00B63E1E" w:rsidP="00480DFA">
      <w:pPr>
        <w:ind w:firstLine="0"/>
      </w:pPr>
    </w:p>
    <w:p w14:paraId="12B7A23B" w14:textId="251EECE5" w:rsidR="00B63E1E" w:rsidRDefault="00B63E1E" w:rsidP="00480DFA">
      <w:pPr>
        <w:ind w:firstLine="0"/>
      </w:pPr>
    </w:p>
    <w:p w14:paraId="2E72D19A" w14:textId="6C9CB7E8" w:rsidR="005A02B8" w:rsidRDefault="005A02B8" w:rsidP="00480DFA">
      <w:pPr>
        <w:ind w:firstLine="0"/>
      </w:pPr>
    </w:p>
    <w:p w14:paraId="53483FA2" w14:textId="3F9327FC" w:rsidR="005A02B8" w:rsidRDefault="005A02B8" w:rsidP="00480DFA">
      <w:pPr>
        <w:ind w:firstLine="0"/>
      </w:pPr>
    </w:p>
    <w:p w14:paraId="0B71CCF1" w14:textId="3E757A29" w:rsidR="005A02B8" w:rsidRDefault="005A02B8" w:rsidP="00480DFA">
      <w:pPr>
        <w:ind w:firstLine="0"/>
      </w:pPr>
    </w:p>
    <w:p w14:paraId="3BDC46FE" w14:textId="6B76C936" w:rsidR="005A02B8" w:rsidRDefault="005A02B8" w:rsidP="00480DFA">
      <w:pPr>
        <w:ind w:firstLine="0"/>
      </w:pPr>
    </w:p>
    <w:p w14:paraId="47121687" w14:textId="26883992" w:rsidR="005A02B8" w:rsidRDefault="005A02B8" w:rsidP="00480DFA">
      <w:pPr>
        <w:ind w:firstLine="0"/>
      </w:pPr>
    </w:p>
    <w:p w14:paraId="40657088" w14:textId="1945F373" w:rsidR="00247C0B" w:rsidRDefault="005A02B8" w:rsidP="005A02B8">
      <w:pPr>
        <w:pStyle w:val="2"/>
        <w:spacing w:after="120"/>
      </w:pPr>
      <w:bookmarkStart w:id="30" w:name="_Toc41427833"/>
      <w:r>
        <w:lastRenderedPageBreak/>
        <w:t>3.2 Апробация рекомендаций: экспертное интервью</w:t>
      </w:r>
      <w:bookmarkEnd w:id="30"/>
      <w:r>
        <w:t xml:space="preserve"> </w:t>
      </w:r>
    </w:p>
    <w:p w14:paraId="44DFEFD8" w14:textId="1BFDED63" w:rsidR="00B01B98" w:rsidRPr="005A02B8" w:rsidRDefault="005A02B8" w:rsidP="00B01B98">
      <w:r>
        <w:t xml:space="preserve">В интервью приняли участие 5 экспертов: Представитель </w:t>
      </w:r>
      <w:r w:rsidRPr="005A02B8">
        <w:t>Комитета по экономической</w:t>
      </w:r>
      <w:r>
        <w:t xml:space="preserve"> политике и стратегическому планированию Санкт-Петербурга (начальник </w:t>
      </w:r>
      <w:r w:rsidRPr="005A02B8">
        <w:t>отдела экспертизы инвестиционных проектов)</w:t>
      </w:r>
      <w:r>
        <w:t>, представитель банка ПАО «ВТБ», представитель частной медицинской организации, инициирующей проект в форме ГЧП</w:t>
      </w:r>
      <w:r w:rsidR="003F722F">
        <w:t>,</w:t>
      </w:r>
      <w:r>
        <w:t xml:space="preserve"> представитель консалтинговой компании (юрист в сфере ГЧП)</w:t>
      </w:r>
      <w:r w:rsidR="003F722F">
        <w:t xml:space="preserve"> и представитель научной среды, специализирующийся на вопросах ГЧП.</w:t>
      </w:r>
    </w:p>
    <w:p w14:paraId="31623804" w14:textId="77777777" w:rsidR="00B01B98" w:rsidRDefault="00B01B98" w:rsidP="00B01B98">
      <w:pPr>
        <w:pStyle w:val="af5"/>
        <w:numPr>
          <w:ilvl w:val="0"/>
          <w:numId w:val="33"/>
        </w:numPr>
      </w:pPr>
      <w:r>
        <w:t xml:space="preserve">Считаете ли Вы, что к факторам, препятствующим организации взаимодействия власти и бизнеса в форме ГЧП, относятся: </w:t>
      </w:r>
    </w:p>
    <w:p w14:paraId="75109B6E" w14:textId="77777777" w:rsidR="00B01B98" w:rsidRDefault="00B01B98" w:rsidP="003F722F">
      <w:pPr>
        <w:pStyle w:val="af5"/>
        <w:numPr>
          <w:ilvl w:val="0"/>
          <w:numId w:val="42"/>
        </w:numPr>
      </w:pPr>
      <w:r>
        <w:t>Д</w:t>
      </w:r>
      <w:r w:rsidRPr="00B812BA">
        <w:t>лительные сроки подготовки соглашений</w:t>
      </w:r>
      <w:r>
        <w:t xml:space="preserve"> и начала реализации</w:t>
      </w:r>
      <w:r w:rsidRPr="00B812BA">
        <w:t xml:space="preserve"> по проектам ГЧП.</w:t>
      </w:r>
    </w:p>
    <w:p w14:paraId="1927AEB1" w14:textId="77777777" w:rsidR="00B01B98" w:rsidRDefault="00B01B98" w:rsidP="003F722F">
      <w:pPr>
        <w:pStyle w:val="af5"/>
        <w:numPr>
          <w:ilvl w:val="0"/>
          <w:numId w:val="42"/>
        </w:numPr>
      </w:pPr>
      <w:r w:rsidRPr="00B812BA">
        <w:t>Низкий уровень прозрачности и открытости информации о реализуемых или планируемых к реализации проектов ГЧП в сфере здравоохранения</w:t>
      </w:r>
      <w:r>
        <w:t>;</w:t>
      </w:r>
    </w:p>
    <w:p w14:paraId="22658D27" w14:textId="77777777" w:rsidR="00B01B98" w:rsidRDefault="00B01B98" w:rsidP="003F722F">
      <w:pPr>
        <w:pStyle w:val="af5"/>
        <w:numPr>
          <w:ilvl w:val="0"/>
          <w:numId w:val="42"/>
        </w:numPr>
      </w:pPr>
      <w:r>
        <w:t>Ограниченность бюджетных средств для предложения взаимовыгодных проектов ГЧП бизнесу со стороны города;</w:t>
      </w:r>
    </w:p>
    <w:p w14:paraId="6F14A3ED" w14:textId="77777777" w:rsidR="00B01B98" w:rsidRDefault="00B01B98" w:rsidP="003F722F">
      <w:pPr>
        <w:pStyle w:val="af5"/>
        <w:numPr>
          <w:ilvl w:val="0"/>
          <w:numId w:val="42"/>
        </w:numPr>
      </w:pPr>
      <w:r>
        <w:t>Отсутствие законодательного закрепления механизма минимального гарантированного дохода в сфере здравоохранения;</w:t>
      </w:r>
    </w:p>
    <w:p w14:paraId="5F4A6042" w14:textId="7B791481" w:rsidR="00B01B98" w:rsidRDefault="00B01B98" w:rsidP="003F722F">
      <w:pPr>
        <w:pStyle w:val="af5"/>
        <w:numPr>
          <w:ilvl w:val="0"/>
          <w:numId w:val="42"/>
        </w:numPr>
      </w:pPr>
      <w:r>
        <w:t>Отсутствие</w:t>
      </w:r>
      <w:r w:rsidRPr="00B812BA">
        <w:t xml:space="preserve"> инвестиционной составляющей в тарифе ОМС</w:t>
      </w:r>
      <w:r>
        <w:t>.</w:t>
      </w:r>
    </w:p>
    <w:p w14:paraId="0488F9A7" w14:textId="7A9D2FB5" w:rsidR="00B01B98" w:rsidRDefault="00B01B98" w:rsidP="00B01B98">
      <w:r>
        <w:t>Отвечая на этот вопрос, все эксперты согласились с предложенными факторами, заметив, они</w:t>
      </w:r>
      <w:r w:rsidR="003F722F">
        <w:t xml:space="preserve"> были выявлены в полном объеме. О</w:t>
      </w:r>
      <w:r>
        <w:t xml:space="preserve">дин из экспертов, представляющий </w:t>
      </w:r>
      <w:proofErr w:type="spellStart"/>
      <w:r>
        <w:t>КЭПиСП</w:t>
      </w:r>
      <w:proofErr w:type="spellEnd"/>
      <w:r w:rsidR="003F722F">
        <w:t xml:space="preserve"> предложил внести в перечень факторов – нехватку положительного опыта по реализации проектов ГЧП в сфере здравоохранения. Однако, остальные эксперты не согласились с данным мнением. </w:t>
      </w:r>
    </w:p>
    <w:p w14:paraId="30EB7862" w14:textId="2C7E8BF3" w:rsidR="00B01B98" w:rsidRDefault="00B01B98" w:rsidP="00B01B98">
      <w:pPr>
        <w:pStyle w:val="af5"/>
        <w:numPr>
          <w:ilvl w:val="0"/>
          <w:numId w:val="33"/>
        </w:numPr>
      </w:pPr>
      <w:r>
        <w:t xml:space="preserve"> </w:t>
      </w:r>
      <w:proofErr w:type="spellStart"/>
      <w:r>
        <w:t>Проранжируйте</w:t>
      </w:r>
      <w:proofErr w:type="spellEnd"/>
      <w:r>
        <w:t xml:space="preserve"> факторы по степени их силы влияния на организацию взаимодействия власти и бизнеса в форме ГЧП (1</w:t>
      </w:r>
      <w:r w:rsidR="003F722F">
        <w:t xml:space="preserve"> – </w:t>
      </w:r>
      <w:r>
        <w:t>слабое влияние, 5</w:t>
      </w:r>
      <w:r w:rsidR="003F722F">
        <w:t xml:space="preserve"> –</w:t>
      </w:r>
      <w:r>
        <w:t xml:space="preserve"> очень сильное). </w:t>
      </w:r>
    </w:p>
    <w:p w14:paraId="16601282" w14:textId="188F4B50" w:rsidR="00A45614" w:rsidRDefault="003F722F" w:rsidP="00A45614">
      <w:r>
        <w:t xml:space="preserve">2 эксперта, а именно: представитель </w:t>
      </w:r>
      <w:proofErr w:type="spellStart"/>
      <w:r>
        <w:t>КЭПиСП</w:t>
      </w:r>
      <w:proofErr w:type="spellEnd"/>
      <w:r>
        <w:t xml:space="preserve">, представитель консалтинговой компании </w:t>
      </w:r>
      <w:proofErr w:type="spellStart"/>
      <w:r>
        <w:t>проранжировали</w:t>
      </w:r>
      <w:proofErr w:type="spellEnd"/>
      <w:r>
        <w:t xml:space="preserve"> факторы следующим образом:</w:t>
      </w:r>
      <w:r w:rsidR="0046603E">
        <w:t xml:space="preserve"> </w:t>
      </w:r>
    </w:p>
    <w:p w14:paraId="4C48FE39" w14:textId="5D0132A0" w:rsidR="00A45614" w:rsidRDefault="00A45614" w:rsidP="00A45614">
      <w:pPr>
        <w:pStyle w:val="a0"/>
      </w:pPr>
      <w:r>
        <w:t>Ответы экспертов на вопрос № 2 интервью</w:t>
      </w:r>
    </w:p>
    <w:tbl>
      <w:tblPr>
        <w:tblStyle w:val="af6"/>
        <w:tblW w:w="0" w:type="auto"/>
        <w:tblLook w:val="04A0" w:firstRow="1" w:lastRow="0" w:firstColumn="1" w:lastColumn="0" w:noHBand="0" w:noVBand="1"/>
      </w:tblPr>
      <w:tblGrid>
        <w:gridCol w:w="8482"/>
        <w:gridCol w:w="862"/>
      </w:tblGrid>
      <w:tr w:rsidR="0046603E" w14:paraId="5E53BA58" w14:textId="77777777" w:rsidTr="0046603E">
        <w:tc>
          <w:tcPr>
            <w:tcW w:w="8784" w:type="dxa"/>
          </w:tcPr>
          <w:p w14:paraId="3B6173FC" w14:textId="36424E62" w:rsidR="0046603E" w:rsidRPr="0046603E" w:rsidRDefault="0046603E" w:rsidP="00A45614">
            <w:pPr>
              <w:pStyle w:val="ae"/>
            </w:pPr>
            <w:r w:rsidRPr="0046603E">
              <w:t>Наименование факторов</w:t>
            </w:r>
          </w:p>
        </w:tc>
        <w:tc>
          <w:tcPr>
            <w:tcW w:w="560" w:type="dxa"/>
            <w:vAlign w:val="center"/>
          </w:tcPr>
          <w:p w14:paraId="24AB6523" w14:textId="2FE571C5" w:rsidR="0046603E" w:rsidRPr="0046603E" w:rsidRDefault="0046603E" w:rsidP="00A45614">
            <w:pPr>
              <w:pStyle w:val="ae"/>
            </w:pPr>
            <w:r w:rsidRPr="0046603E">
              <w:t>Баллы</w:t>
            </w:r>
          </w:p>
        </w:tc>
      </w:tr>
      <w:tr w:rsidR="0046603E" w14:paraId="12FDFCAA" w14:textId="77777777" w:rsidTr="0046603E">
        <w:tc>
          <w:tcPr>
            <w:tcW w:w="8784" w:type="dxa"/>
          </w:tcPr>
          <w:p w14:paraId="41D4062E" w14:textId="3658F6A3" w:rsidR="0046603E" w:rsidRPr="0046603E" w:rsidRDefault="0046603E" w:rsidP="00A45614">
            <w:pPr>
              <w:pStyle w:val="ae"/>
            </w:pPr>
            <w:r w:rsidRPr="0046603E">
              <w:t>Длительные сроки подготовки соглашений и начала реализации по проектам ГЧП</w:t>
            </w:r>
          </w:p>
        </w:tc>
        <w:tc>
          <w:tcPr>
            <w:tcW w:w="560" w:type="dxa"/>
            <w:vAlign w:val="center"/>
          </w:tcPr>
          <w:p w14:paraId="7DFDF71D" w14:textId="5220BDDC" w:rsidR="0046603E" w:rsidRPr="0046603E" w:rsidRDefault="0046603E" w:rsidP="00A45614">
            <w:pPr>
              <w:pStyle w:val="ae"/>
            </w:pPr>
            <w:r>
              <w:t>3</w:t>
            </w:r>
          </w:p>
        </w:tc>
      </w:tr>
      <w:tr w:rsidR="0046603E" w14:paraId="4BCC31BB" w14:textId="77777777" w:rsidTr="0046603E">
        <w:tc>
          <w:tcPr>
            <w:tcW w:w="8784" w:type="dxa"/>
          </w:tcPr>
          <w:p w14:paraId="34D2B33E" w14:textId="22F27F60" w:rsidR="0046603E" w:rsidRPr="0046603E" w:rsidRDefault="0046603E" w:rsidP="00A45614">
            <w:pPr>
              <w:pStyle w:val="ae"/>
            </w:pPr>
            <w:r w:rsidRPr="0046603E">
              <w:lastRenderedPageBreak/>
              <w:t>Низкий уровень прозрачности и открытости информации о реализуемых или планируемых к реализации проектов ГЧП в сфере здравоохранения</w:t>
            </w:r>
          </w:p>
        </w:tc>
        <w:tc>
          <w:tcPr>
            <w:tcW w:w="560" w:type="dxa"/>
            <w:vAlign w:val="center"/>
          </w:tcPr>
          <w:p w14:paraId="12330ED1" w14:textId="7D4A16A7" w:rsidR="0046603E" w:rsidRPr="0046603E" w:rsidRDefault="0046603E" w:rsidP="00A45614">
            <w:pPr>
              <w:pStyle w:val="ae"/>
            </w:pPr>
            <w:r>
              <w:t>1</w:t>
            </w:r>
          </w:p>
        </w:tc>
      </w:tr>
      <w:tr w:rsidR="0046603E" w14:paraId="074C991D" w14:textId="77777777" w:rsidTr="0046603E">
        <w:tc>
          <w:tcPr>
            <w:tcW w:w="8784" w:type="dxa"/>
          </w:tcPr>
          <w:p w14:paraId="739CA98C" w14:textId="00A1891E" w:rsidR="0046603E" w:rsidRPr="0046603E" w:rsidRDefault="0046603E" w:rsidP="00A45614">
            <w:pPr>
              <w:pStyle w:val="ae"/>
            </w:pPr>
            <w:r w:rsidRPr="0046603E">
              <w:t>Ограниченность бюджетных средств для предложения взаимовыгодных проектов ГЧП бизнесу со стороны города</w:t>
            </w:r>
          </w:p>
        </w:tc>
        <w:tc>
          <w:tcPr>
            <w:tcW w:w="560" w:type="dxa"/>
            <w:vAlign w:val="center"/>
          </w:tcPr>
          <w:p w14:paraId="5C215F29" w14:textId="049B51EB" w:rsidR="0046603E" w:rsidRPr="0046603E" w:rsidRDefault="0046603E" w:rsidP="00A45614">
            <w:pPr>
              <w:pStyle w:val="ae"/>
            </w:pPr>
            <w:r>
              <w:t>4</w:t>
            </w:r>
          </w:p>
        </w:tc>
      </w:tr>
      <w:tr w:rsidR="0046603E" w14:paraId="02FC638A" w14:textId="77777777" w:rsidTr="0046603E">
        <w:tc>
          <w:tcPr>
            <w:tcW w:w="8784" w:type="dxa"/>
          </w:tcPr>
          <w:p w14:paraId="209AB29F" w14:textId="7BD07D4D" w:rsidR="0046603E" w:rsidRPr="0046603E" w:rsidRDefault="0046603E" w:rsidP="00A45614">
            <w:pPr>
              <w:pStyle w:val="ae"/>
            </w:pPr>
            <w:r w:rsidRPr="0046603E">
              <w:t>Отсутствие законодательного закрепления механизма минимального гарантированного дохода в сфере здравоохранения</w:t>
            </w:r>
          </w:p>
        </w:tc>
        <w:tc>
          <w:tcPr>
            <w:tcW w:w="560" w:type="dxa"/>
            <w:vAlign w:val="center"/>
          </w:tcPr>
          <w:p w14:paraId="69C3435E" w14:textId="7112BB0F" w:rsidR="0046603E" w:rsidRPr="0046603E" w:rsidRDefault="0046603E" w:rsidP="00A45614">
            <w:pPr>
              <w:pStyle w:val="ae"/>
            </w:pPr>
            <w:r>
              <w:t>2</w:t>
            </w:r>
          </w:p>
        </w:tc>
      </w:tr>
      <w:tr w:rsidR="0046603E" w14:paraId="5ED5CC54" w14:textId="77777777" w:rsidTr="0046603E">
        <w:tc>
          <w:tcPr>
            <w:tcW w:w="8784" w:type="dxa"/>
          </w:tcPr>
          <w:p w14:paraId="707A8143" w14:textId="5F2F161E" w:rsidR="0046603E" w:rsidRPr="0046603E" w:rsidRDefault="0046603E" w:rsidP="00A45614">
            <w:pPr>
              <w:pStyle w:val="ae"/>
            </w:pPr>
            <w:r w:rsidRPr="0046603E">
              <w:t>Отсутствие инвестиционной составляющей в тарифе ОМС</w:t>
            </w:r>
          </w:p>
        </w:tc>
        <w:tc>
          <w:tcPr>
            <w:tcW w:w="560" w:type="dxa"/>
            <w:vAlign w:val="center"/>
          </w:tcPr>
          <w:p w14:paraId="26BDEA64" w14:textId="5C2428CB" w:rsidR="0046603E" w:rsidRPr="0046603E" w:rsidRDefault="0046603E" w:rsidP="00A45614">
            <w:pPr>
              <w:pStyle w:val="ae"/>
            </w:pPr>
            <w:r>
              <w:t>5</w:t>
            </w:r>
          </w:p>
        </w:tc>
      </w:tr>
    </w:tbl>
    <w:p w14:paraId="264C1C5A" w14:textId="77777777" w:rsidR="0046603E" w:rsidRDefault="0046603E" w:rsidP="0046603E"/>
    <w:p w14:paraId="16D63577" w14:textId="6AC46BA9" w:rsidR="003F722F" w:rsidRDefault="003F722F" w:rsidP="003F722F">
      <w:r>
        <w:t xml:space="preserve">3 эксперта, а именно: представитель научной среды, представитель банка ПАО «ВТБ» и представитель частной медицинской организации </w:t>
      </w:r>
      <w:proofErr w:type="spellStart"/>
      <w:r w:rsidR="0046603E">
        <w:t>проранжировали</w:t>
      </w:r>
      <w:proofErr w:type="spellEnd"/>
      <w:r w:rsidR="0046603E">
        <w:t xml:space="preserve"> факторы следующим образом: </w:t>
      </w:r>
    </w:p>
    <w:p w14:paraId="0C63311A" w14:textId="761A7D71" w:rsidR="00A45614" w:rsidRDefault="00A45614" w:rsidP="00A45614">
      <w:pPr>
        <w:pStyle w:val="a0"/>
      </w:pPr>
      <w:r>
        <w:t xml:space="preserve"> Ответы экспертов на вопрос № 2 интервью</w:t>
      </w:r>
    </w:p>
    <w:tbl>
      <w:tblPr>
        <w:tblStyle w:val="af6"/>
        <w:tblW w:w="0" w:type="auto"/>
        <w:tblLook w:val="04A0" w:firstRow="1" w:lastRow="0" w:firstColumn="1" w:lastColumn="0" w:noHBand="0" w:noVBand="1"/>
      </w:tblPr>
      <w:tblGrid>
        <w:gridCol w:w="8453"/>
        <w:gridCol w:w="891"/>
      </w:tblGrid>
      <w:tr w:rsidR="0046603E" w14:paraId="556B06B0" w14:textId="77777777" w:rsidTr="008B2819">
        <w:tc>
          <w:tcPr>
            <w:tcW w:w="8784" w:type="dxa"/>
          </w:tcPr>
          <w:p w14:paraId="075F1E05" w14:textId="77777777" w:rsidR="0046603E" w:rsidRPr="00A45614" w:rsidRDefault="0046603E" w:rsidP="00A45614">
            <w:pPr>
              <w:pStyle w:val="ae"/>
              <w:rPr>
                <w:b/>
              </w:rPr>
            </w:pPr>
            <w:r w:rsidRPr="00A45614">
              <w:rPr>
                <w:b/>
              </w:rPr>
              <w:t>Наименование факторов</w:t>
            </w:r>
          </w:p>
        </w:tc>
        <w:tc>
          <w:tcPr>
            <w:tcW w:w="560" w:type="dxa"/>
            <w:vAlign w:val="center"/>
          </w:tcPr>
          <w:p w14:paraId="670F6A39" w14:textId="77777777" w:rsidR="0046603E" w:rsidRPr="00A45614" w:rsidRDefault="0046603E" w:rsidP="00A45614">
            <w:pPr>
              <w:pStyle w:val="ae"/>
              <w:rPr>
                <w:rFonts w:cs="Times New Roman"/>
                <w:b/>
                <w:sz w:val="22"/>
              </w:rPr>
            </w:pPr>
            <w:r w:rsidRPr="00A45614">
              <w:rPr>
                <w:rFonts w:cs="Times New Roman"/>
                <w:b/>
                <w:sz w:val="22"/>
              </w:rPr>
              <w:t>Баллы</w:t>
            </w:r>
          </w:p>
        </w:tc>
      </w:tr>
      <w:tr w:rsidR="0046603E" w14:paraId="21A78353" w14:textId="77777777" w:rsidTr="008B2819">
        <w:tc>
          <w:tcPr>
            <w:tcW w:w="8784" w:type="dxa"/>
          </w:tcPr>
          <w:p w14:paraId="05EC830E" w14:textId="77777777" w:rsidR="0046603E" w:rsidRPr="0046603E" w:rsidRDefault="0046603E" w:rsidP="00A45614">
            <w:pPr>
              <w:pStyle w:val="ae"/>
              <w:rPr>
                <w:rFonts w:cs="Times New Roman"/>
                <w:sz w:val="22"/>
              </w:rPr>
            </w:pPr>
            <w:r w:rsidRPr="0046603E">
              <w:rPr>
                <w:rFonts w:cs="Times New Roman"/>
                <w:sz w:val="22"/>
              </w:rPr>
              <w:t>Длительные сроки подготовки соглашений и начала реализации по проектам ГЧП</w:t>
            </w:r>
          </w:p>
        </w:tc>
        <w:tc>
          <w:tcPr>
            <w:tcW w:w="560" w:type="dxa"/>
            <w:vAlign w:val="center"/>
          </w:tcPr>
          <w:p w14:paraId="5D6C5FE4" w14:textId="6AC46BA9" w:rsidR="0046603E" w:rsidRPr="0046603E" w:rsidRDefault="008B2819" w:rsidP="00A45614">
            <w:pPr>
              <w:pStyle w:val="ae"/>
              <w:rPr>
                <w:rFonts w:cs="Times New Roman"/>
                <w:sz w:val="22"/>
              </w:rPr>
            </w:pPr>
            <w:r>
              <w:rPr>
                <w:rFonts w:cs="Times New Roman"/>
                <w:sz w:val="22"/>
              </w:rPr>
              <w:t>3</w:t>
            </w:r>
          </w:p>
        </w:tc>
      </w:tr>
      <w:tr w:rsidR="0046603E" w14:paraId="77174E2D" w14:textId="77777777" w:rsidTr="008B2819">
        <w:tc>
          <w:tcPr>
            <w:tcW w:w="8784" w:type="dxa"/>
          </w:tcPr>
          <w:p w14:paraId="3265C44C" w14:textId="77777777" w:rsidR="0046603E" w:rsidRPr="0046603E" w:rsidRDefault="0046603E" w:rsidP="00A45614">
            <w:pPr>
              <w:pStyle w:val="ae"/>
              <w:rPr>
                <w:rFonts w:cs="Times New Roman"/>
                <w:sz w:val="22"/>
              </w:rPr>
            </w:pPr>
            <w:r w:rsidRPr="0046603E">
              <w:rPr>
                <w:rFonts w:cs="Times New Roman"/>
                <w:sz w:val="22"/>
              </w:rPr>
              <w:t>Низкий уровень прозрачности и открытости информации о реализуемых или планируемых к реализации проектов ГЧП в сфере здравоохранения</w:t>
            </w:r>
          </w:p>
        </w:tc>
        <w:tc>
          <w:tcPr>
            <w:tcW w:w="560" w:type="dxa"/>
            <w:vAlign w:val="center"/>
          </w:tcPr>
          <w:p w14:paraId="0528537B" w14:textId="119AA8B6" w:rsidR="0046603E" w:rsidRPr="0046603E" w:rsidRDefault="0046603E" w:rsidP="00A45614">
            <w:pPr>
              <w:pStyle w:val="ae"/>
              <w:rPr>
                <w:rFonts w:cs="Times New Roman"/>
                <w:sz w:val="22"/>
              </w:rPr>
            </w:pPr>
            <w:r>
              <w:rPr>
                <w:rFonts w:cs="Times New Roman"/>
                <w:sz w:val="22"/>
              </w:rPr>
              <w:t>1</w:t>
            </w:r>
          </w:p>
        </w:tc>
      </w:tr>
      <w:tr w:rsidR="0046603E" w14:paraId="70908EDB" w14:textId="77777777" w:rsidTr="008B2819">
        <w:tc>
          <w:tcPr>
            <w:tcW w:w="8784" w:type="dxa"/>
          </w:tcPr>
          <w:p w14:paraId="541F12E7" w14:textId="77777777" w:rsidR="0046603E" w:rsidRPr="0046603E" w:rsidRDefault="0046603E" w:rsidP="00A45614">
            <w:pPr>
              <w:pStyle w:val="ae"/>
              <w:rPr>
                <w:rFonts w:cs="Times New Roman"/>
                <w:sz w:val="22"/>
              </w:rPr>
            </w:pPr>
            <w:r w:rsidRPr="0046603E">
              <w:rPr>
                <w:rFonts w:cs="Times New Roman"/>
                <w:sz w:val="22"/>
              </w:rPr>
              <w:t>Ограниченность бюджетных средств для предложения взаимовыгодных проектов ГЧП бизнесу со стороны города</w:t>
            </w:r>
          </w:p>
        </w:tc>
        <w:tc>
          <w:tcPr>
            <w:tcW w:w="560" w:type="dxa"/>
            <w:vAlign w:val="center"/>
          </w:tcPr>
          <w:p w14:paraId="4724F9D1" w14:textId="1D1EDA07" w:rsidR="0046603E" w:rsidRPr="0046603E" w:rsidRDefault="008B2819" w:rsidP="00A45614">
            <w:pPr>
              <w:pStyle w:val="ae"/>
              <w:rPr>
                <w:rFonts w:cs="Times New Roman"/>
                <w:sz w:val="22"/>
              </w:rPr>
            </w:pPr>
            <w:r>
              <w:rPr>
                <w:rFonts w:cs="Times New Roman"/>
                <w:sz w:val="22"/>
              </w:rPr>
              <w:t>2</w:t>
            </w:r>
          </w:p>
        </w:tc>
      </w:tr>
      <w:tr w:rsidR="0046603E" w14:paraId="23E97EEA" w14:textId="77777777" w:rsidTr="008B2819">
        <w:tc>
          <w:tcPr>
            <w:tcW w:w="8784" w:type="dxa"/>
          </w:tcPr>
          <w:p w14:paraId="74C54FC8" w14:textId="77777777" w:rsidR="0046603E" w:rsidRPr="0046603E" w:rsidRDefault="0046603E" w:rsidP="00A45614">
            <w:pPr>
              <w:pStyle w:val="ae"/>
              <w:rPr>
                <w:rFonts w:cs="Times New Roman"/>
                <w:sz w:val="22"/>
              </w:rPr>
            </w:pPr>
            <w:r w:rsidRPr="0046603E">
              <w:rPr>
                <w:rFonts w:cs="Times New Roman"/>
                <w:sz w:val="22"/>
              </w:rPr>
              <w:t>Отсутствие законодательного закрепления механизма минимального гарантированного дохода в сфере здравоохранения</w:t>
            </w:r>
          </w:p>
        </w:tc>
        <w:tc>
          <w:tcPr>
            <w:tcW w:w="560" w:type="dxa"/>
            <w:vAlign w:val="center"/>
          </w:tcPr>
          <w:p w14:paraId="50929EF8" w14:textId="67FF279E" w:rsidR="0046603E" w:rsidRPr="0046603E" w:rsidRDefault="008B2819" w:rsidP="00A45614">
            <w:pPr>
              <w:pStyle w:val="ae"/>
              <w:rPr>
                <w:rFonts w:cs="Times New Roman"/>
                <w:sz w:val="22"/>
              </w:rPr>
            </w:pPr>
            <w:r>
              <w:rPr>
                <w:rFonts w:cs="Times New Roman"/>
                <w:sz w:val="22"/>
              </w:rPr>
              <w:t>4</w:t>
            </w:r>
          </w:p>
        </w:tc>
      </w:tr>
      <w:tr w:rsidR="0046603E" w14:paraId="03F3BE0C" w14:textId="77777777" w:rsidTr="008B2819">
        <w:tc>
          <w:tcPr>
            <w:tcW w:w="8784" w:type="dxa"/>
          </w:tcPr>
          <w:p w14:paraId="4FB6A349" w14:textId="77777777" w:rsidR="0046603E" w:rsidRPr="0046603E" w:rsidRDefault="0046603E" w:rsidP="00A45614">
            <w:pPr>
              <w:pStyle w:val="ae"/>
              <w:rPr>
                <w:rFonts w:cs="Times New Roman"/>
                <w:sz w:val="22"/>
              </w:rPr>
            </w:pPr>
            <w:r w:rsidRPr="0046603E">
              <w:rPr>
                <w:rFonts w:cs="Times New Roman"/>
                <w:sz w:val="22"/>
              </w:rPr>
              <w:t>Отсутствие инвестиционной составляющей в тарифе ОМС</w:t>
            </w:r>
          </w:p>
        </w:tc>
        <w:tc>
          <w:tcPr>
            <w:tcW w:w="560" w:type="dxa"/>
            <w:vAlign w:val="center"/>
          </w:tcPr>
          <w:p w14:paraId="2CA2FDEA" w14:textId="459C5C48" w:rsidR="0046603E" w:rsidRPr="0046603E" w:rsidRDefault="0046603E" w:rsidP="00A45614">
            <w:pPr>
              <w:pStyle w:val="ae"/>
              <w:rPr>
                <w:rFonts w:cs="Times New Roman"/>
                <w:sz w:val="22"/>
              </w:rPr>
            </w:pPr>
            <w:r>
              <w:rPr>
                <w:rFonts w:cs="Times New Roman"/>
                <w:sz w:val="22"/>
              </w:rPr>
              <w:t>5</w:t>
            </w:r>
          </w:p>
        </w:tc>
      </w:tr>
    </w:tbl>
    <w:p w14:paraId="36557006" w14:textId="1C80D25C" w:rsidR="0046603E" w:rsidRDefault="0046603E" w:rsidP="0046603E">
      <w:pPr>
        <w:pStyle w:val="af5"/>
        <w:ind w:left="1429" w:firstLine="0"/>
      </w:pPr>
    </w:p>
    <w:p w14:paraId="1512DE6E" w14:textId="605F2AA9" w:rsidR="0046603E" w:rsidRDefault="0046603E" w:rsidP="0046603E">
      <w:pPr>
        <w:pStyle w:val="af5"/>
        <w:numPr>
          <w:ilvl w:val="0"/>
          <w:numId w:val="33"/>
        </w:numPr>
      </w:pPr>
      <w:r>
        <w:t xml:space="preserve">Считаете ли Вы, что создание, что создание Фонда поддержки проектов ГЧП в здравоохранении могло бы смягчить силу фактора? </w:t>
      </w:r>
    </w:p>
    <w:p w14:paraId="3DF48470" w14:textId="50E87DBD" w:rsidR="0046603E" w:rsidRDefault="0046603E" w:rsidP="006464C5">
      <w:r>
        <w:t xml:space="preserve">Все эксперты согласились с тем, что участие средств из федерального бюджета будет снижать степень негативного влияния ограниченности бюджетных средств на региональном уровне, как фактора, препятствующего развития взаимодействия государства и бизнеса в форме ГЧП. Тем не менее два эксперта: </w:t>
      </w:r>
      <w:r w:rsidR="006464C5">
        <w:t xml:space="preserve">представитель консалтинговой компании и представитель </w:t>
      </w:r>
      <w:proofErr w:type="spellStart"/>
      <w:r w:rsidR="006464C5">
        <w:t>КЭПиСП</w:t>
      </w:r>
      <w:proofErr w:type="spellEnd"/>
      <w:r w:rsidR="006464C5">
        <w:t xml:space="preserve"> уточнили, что мера является очень привлекательной, как для бизнеса, так и для региональных властей, однако, представляется сомнительным, что такой Фонд будет создан, так как «это не самая острая проблема на данный момент».</w:t>
      </w:r>
      <w:r w:rsidR="000A4352">
        <w:t xml:space="preserve"> Представитель банка ПАО «ВТБ» напомнил, что «уже давно об этом говорим». Представитель научной среды обратил особое внимание на то, что в зарубежной практике именно эта мера активно используется, сказав «неплохо бы было перенять».</w:t>
      </w:r>
    </w:p>
    <w:p w14:paraId="022C9BB9" w14:textId="74100B24" w:rsidR="000A4352" w:rsidRDefault="000A4352" w:rsidP="00A45614">
      <w:pPr>
        <w:pStyle w:val="af5"/>
        <w:numPr>
          <w:ilvl w:val="0"/>
          <w:numId w:val="33"/>
        </w:numPr>
      </w:pPr>
      <w:r>
        <w:lastRenderedPageBreak/>
        <w:t>Согласны ли Вы, что для повышения привлекательности проекта</w:t>
      </w:r>
      <w:r w:rsidR="008B2819">
        <w:t xml:space="preserve"> ГЧП</w:t>
      </w:r>
      <w:r>
        <w:t xml:space="preserve"> для частного бизнеса</w:t>
      </w:r>
      <w:r w:rsidR="008B2819">
        <w:t>,</w:t>
      </w:r>
      <w:r>
        <w:t xml:space="preserve"> необходимо расширить механизмы гарантий, например, ввести минимальный гарантированный доход и/или фиксировать размер тарифа/объема услуг в рамках ОМС</w:t>
      </w:r>
      <w:r w:rsidR="008B2819">
        <w:t xml:space="preserve"> на весь период?</w:t>
      </w:r>
    </w:p>
    <w:p w14:paraId="5A21AB23" w14:textId="420277DA" w:rsidR="008B2819" w:rsidRDefault="008B2819" w:rsidP="008B2819">
      <w:r>
        <w:t xml:space="preserve">Все эксперты согласились с тем, что для привлечения частного бизнеса необходимы долгосрочные механизмы гарантий со стороны публичной стороны, так как проекты являются </w:t>
      </w:r>
      <w:proofErr w:type="spellStart"/>
      <w:r>
        <w:t>высокорисковыми</w:t>
      </w:r>
      <w:proofErr w:type="spellEnd"/>
      <w:r>
        <w:t xml:space="preserve">. Представитель частной медицинской организации единственный из экспертов заявил о том, что и тот, и другой гарантийный механизм примерно одинаково важен для частного бизнеса. Представители </w:t>
      </w:r>
      <w:proofErr w:type="spellStart"/>
      <w:r>
        <w:t>КЭПиСП</w:t>
      </w:r>
      <w:proofErr w:type="spellEnd"/>
      <w:r>
        <w:t xml:space="preserve"> и консалтинговой компании сказали, что «категорически» не согласны с тем, что механизм МГД должен применяться с той же интенсивностью, что и фиксированный размер тарифа или объема услуг ОМС. </w:t>
      </w:r>
      <w:r w:rsidR="004C7F2E">
        <w:t>Более того, представитель</w:t>
      </w:r>
      <w:r w:rsidR="004C7F2E">
        <w:t xml:space="preserve"> </w:t>
      </w:r>
      <w:proofErr w:type="spellStart"/>
      <w:r w:rsidR="004C7F2E">
        <w:t>КЭПиСП</w:t>
      </w:r>
      <w:proofErr w:type="spellEnd"/>
      <w:r w:rsidR="004C7F2E">
        <w:t xml:space="preserve"> заявил, что МГД – «лишний расход для города».</w:t>
      </w:r>
    </w:p>
    <w:p w14:paraId="68B44276" w14:textId="77777777" w:rsidR="00E52B02" w:rsidRDefault="00E52B02" w:rsidP="00E52B02">
      <w:pPr>
        <w:pStyle w:val="af5"/>
        <w:numPr>
          <w:ilvl w:val="0"/>
          <w:numId w:val="33"/>
        </w:numPr>
      </w:pPr>
      <w:r>
        <w:t>Как Вы считаете, внедрение инвестиционной составляющей в тариф ОМС, будет способствовать повышению устойчивости проектов ГЧП?</w:t>
      </w:r>
    </w:p>
    <w:p w14:paraId="73BCC5E0" w14:textId="43A178EC" w:rsidR="00E52B02" w:rsidRDefault="00E52B02" w:rsidP="00E52B02">
      <w:r>
        <w:t>Все эксперты без исключения подтвердили, что именно эта мера будет способствовать более устойчивому положению частного партнера, а, значит, и всего проекта. П</w:t>
      </w:r>
      <w:r>
        <w:t>редставитель частной медицинской организации</w:t>
      </w:r>
      <w:r>
        <w:t xml:space="preserve"> уточнил, что «самое главное дать нам возможность</w:t>
      </w:r>
      <w:r w:rsidR="006A6EFB">
        <w:t xml:space="preserve"> покрыть капитальные расходы в оборудование»</w:t>
      </w:r>
      <w:r w:rsidRPr="00E52B02">
        <w:rPr>
          <w:rFonts w:ascii="Arial" w:hAnsi="Arial" w:cs="Arial"/>
          <w:color w:val="000000"/>
          <w:sz w:val="20"/>
          <w:szCs w:val="20"/>
          <w:shd w:val="clear" w:color="auto" w:fill="FFFFFF"/>
        </w:rPr>
        <w:t>.</w:t>
      </w:r>
      <w:r>
        <w:t xml:space="preserve"> </w:t>
      </w:r>
      <w:r w:rsidR="006A6EFB">
        <w:t xml:space="preserve">Представители </w:t>
      </w:r>
      <w:proofErr w:type="spellStart"/>
      <w:r w:rsidR="006A6EFB">
        <w:t>КЭПиСП</w:t>
      </w:r>
      <w:proofErr w:type="spellEnd"/>
      <w:r w:rsidR="006A6EFB">
        <w:t xml:space="preserve"> и </w:t>
      </w:r>
      <w:r w:rsidR="006A6EFB">
        <w:t>консалтинговой компании</w:t>
      </w:r>
      <w:r w:rsidR="006A6EFB">
        <w:t xml:space="preserve"> подтвердили, что это мера «всплывает чаще всего при подготовке проектов ГЧП».</w:t>
      </w:r>
    </w:p>
    <w:p w14:paraId="24A8C203" w14:textId="7EB0C606" w:rsidR="005E05D4" w:rsidRDefault="005E05D4" w:rsidP="00E52B02"/>
    <w:p w14:paraId="5EA9E1A5" w14:textId="296A5377" w:rsidR="005E05D4" w:rsidRDefault="005E05D4" w:rsidP="00E52B02"/>
    <w:p w14:paraId="6F10D445" w14:textId="5F507A0E" w:rsidR="005E05D4" w:rsidRDefault="005E05D4" w:rsidP="00E52B02"/>
    <w:p w14:paraId="2D674E98" w14:textId="1ABF5B48" w:rsidR="005E05D4" w:rsidRDefault="005E05D4" w:rsidP="00E52B02"/>
    <w:p w14:paraId="3A1D8776" w14:textId="064412FA" w:rsidR="005E05D4" w:rsidRDefault="005E05D4" w:rsidP="00E52B02"/>
    <w:p w14:paraId="7C98C1DB" w14:textId="66644DA1" w:rsidR="005E05D4" w:rsidRDefault="005E05D4" w:rsidP="00E52B02"/>
    <w:p w14:paraId="310316FF" w14:textId="31553710" w:rsidR="005E05D4" w:rsidRDefault="005E05D4" w:rsidP="00E52B02"/>
    <w:p w14:paraId="2D2E3316" w14:textId="049FB71D" w:rsidR="005E05D4" w:rsidRDefault="005E05D4" w:rsidP="00E52B02"/>
    <w:p w14:paraId="7E4080DD" w14:textId="7887B873" w:rsidR="005E05D4" w:rsidRDefault="005E05D4" w:rsidP="00E52B02"/>
    <w:p w14:paraId="09BC1AE0" w14:textId="51347FC5" w:rsidR="005E05D4" w:rsidRDefault="005E05D4" w:rsidP="00E52B02"/>
    <w:p w14:paraId="661686D3" w14:textId="77777777" w:rsidR="005E05D4" w:rsidRPr="005A02B8" w:rsidRDefault="005E05D4" w:rsidP="005E05D4">
      <w:pPr>
        <w:ind w:firstLine="0"/>
      </w:pPr>
    </w:p>
    <w:p w14:paraId="664E378A" w14:textId="50D64719" w:rsidR="00247C0B" w:rsidRDefault="005A02B8" w:rsidP="00247C0B">
      <w:pPr>
        <w:pStyle w:val="2"/>
        <w:spacing w:after="120"/>
      </w:pPr>
      <w:bookmarkStart w:id="31" w:name="_Toc41427834"/>
      <w:r>
        <w:lastRenderedPageBreak/>
        <w:t>3.3</w:t>
      </w:r>
      <w:r w:rsidR="00001251">
        <w:t xml:space="preserve"> Рекомендации по активизации взаимодействия государства и бизнеса в форме ГЧП в сфере здравоохранения</w:t>
      </w:r>
      <w:bookmarkEnd w:id="31"/>
      <w:r w:rsidR="00001251">
        <w:t xml:space="preserve"> </w:t>
      </w:r>
    </w:p>
    <w:p w14:paraId="1F9933F8" w14:textId="4202B4B3" w:rsidR="00551C32" w:rsidRPr="00551C32" w:rsidRDefault="00551C32" w:rsidP="00551C32">
      <w:r>
        <w:t xml:space="preserve">На основе проведенного научно-аналитического анализа, экспертного интервью, обзора международного опыта были сформулированы следующие рекомендации для активизации применения формы ГЧП для решения социально-экономических задач в сфере здравоохранения в Санкт-Петербурге: </w:t>
      </w:r>
    </w:p>
    <w:p w14:paraId="778BA358" w14:textId="77777777" w:rsidR="00247C0B" w:rsidRDefault="00001251" w:rsidP="0046603E">
      <w:pPr>
        <w:pStyle w:val="af5"/>
        <w:numPr>
          <w:ilvl w:val="0"/>
          <w:numId w:val="43"/>
        </w:numPr>
      </w:pPr>
      <w:r w:rsidRPr="002D6CBD">
        <w:t>В</w:t>
      </w:r>
      <w:r w:rsidR="00247C0B">
        <w:t>нести Министерству</w:t>
      </w:r>
      <w:r w:rsidRPr="002D6CBD">
        <w:t xml:space="preserve"> здравоохранения РФ на рассмотрение уполномоченного федерального органа РФ предложения по созданию </w:t>
      </w:r>
      <w:r>
        <w:t>специализированного Фонда поддержки проектов ГЧП в здравоохранении;</w:t>
      </w:r>
    </w:p>
    <w:p w14:paraId="38F9F467" w14:textId="77078BD0" w:rsidR="00001251" w:rsidRDefault="00001251" w:rsidP="0046603E">
      <w:pPr>
        <w:pStyle w:val="af5"/>
        <w:numPr>
          <w:ilvl w:val="0"/>
          <w:numId w:val="43"/>
        </w:numPr>
      </w:pPr>
      <w:r>
        <w:t>Администрации Санкт-Петербурга посредством законодательной инициативы, внести предложение по законодательному закреплению механизма минимальной гарантированной доходности в сфере здравоохранения в проектах ГЧП по аналогии применения механизма в транспортной сфере;</w:t>
      </w:r>
    </w:p>
    <w:p w14:paraId="27274884" w14:textId="274BA61C" w:rsidR="00001251" w:rsidRDefault="00001251" w:rsidP="0046603E">
      <w:pPr>
        <w:pStyle w:val="af5"/>
        <w:numPr>
          <w:ilvl w:val="0"/>
          <w:numId w:val="43"/>
        </w:numPr>
      </w:pPr>
      <w:r>
        <w:t xml:space="preserve">Администрации Санкт-Петербурга совместно с Фондом обязательного медицинского страхования рассмотреть возможность в проектах ГЧП, где частный партнер оказывает медицинские услуги, закрепить </w:t>
      </w:r>
      <w:r w:rsidR="000A4352">
        <w:t>гарантированный размер</w:t>
      </w:r>
      <w:r>
        <w:t xml:space="preserve"> тарифа/объема услуг в рамках ОМС со стороны публичного партнера</w:t>
      </w:r>
      <w:r w:rsidR="000A4352">
        <w:t xml:space="preserve"> на весь срок реализации проекта ГЧП</w:t>
      </w:r>
      <w:r>
        <w:t>;</w:t>
      </w:r>
    </w:p>
    <w:p w14:paraId="6DB9E5E9" w14:textId="77777777" w:rsidR="00001251" w:rsidRDefault="00001251" w:rsidP="0046603E">
      <w:pPr>
        <w:pStyle w:val="af5"/>
        <w:numPr>
          <w:ilvl w:val="0"/>
          <w:numId w:val="43"/>
        </w:numPr>
      </w:pPr>
      <w:r>
        <w:t>Администрации Санкт-Петербурга посредством законодательной инициативы, предложить ввести инвестиционную составляющую в тариф ОМС для инвесторов, реализующих проекты в форме ГЧП, в особенности для концессионных соглашений;</w:t>
      </w:r>
    </w:p>
    <w:p w14:paraId="1DC0F288" w14:textId="22151956" w:rsidR="00001251" w:rsidRDefault="00001251" w:rsidP="0046603E">
      <w:pPr>
        <w:pStyle w:val="af5"/>
        <w:numPr>
          <w:ilvl w:val="0"/>
          <w:numId w:val="43"/>
        </w:numPr>
      </w:pPr>
      <w:r>
        <w:t>Комитету по инвестициям Санкт-Петербурга и Комитету здравоохранения обеспечить информационное и консультационное взаимодействие с заинтересованными частными медицинскими компаниями по вопросам планирования и подготовки проектов ГЧП в сфере здравоохранения, а также публичность данных (не содержащих коммерческую тайну) по текущим и планируемым к реализации проек</w:t>
      </w:r>
      <w:r w:rsidR="007F31DD">
        <w:t>там ГЧП в сфере здравоохранения.</w:t>
      </w:r>
    </w:p>
    <w:p w14:paraId="2152A60A" w14:textId="77777777" w:rsidR="00580F93" w:rsidRDefault="00580F93" w:rsidP="00247C0B"/>
    <w:p w14:paraId="45714B66" w14:textId="1F959DA3" w:rsidR="00A747E5" w:rsidRDefault="00A747E5" w:rsidP="00001251"/>
    <w:p w14:paraId="285E5FDC" w14:textId="3C374F6B" w:rsidR="002B7432" w:rsidRPr="002B7432" w:rsidRDefault="002B7432" w:rsidP="00CB259C">
      <w:pPr>
        <w:ind w:firstLine="0"/>
      </w:pPr>
      <w:bookmarkStart w:id="32" w:name="_Toc9623356"/>
    </w:p>
    <w:p w14:paraId="24B11F7C" w14:textId="4051641D" w:rsidR="003405B3" w:rsidRDefault="003405B3" w:rsidP="003405B3">
      <w:pPr>
        <w:pStyle w:val="1"/>
      </w:pPr>
      <w:bookmarkStart w:id="33" w:name="_Toc41427835"/>
      <w:r>
        <w:lastRenderedPageBreak/>
        <w:t>Заключение</w:t>
      </w:r>
      <w:bookmarkEnd w:id="32"/>
      <w:bookmarkEnd w:id="33"/>
    </w:p>
    <w:p w14:paraId="58C4E717" w14:textId="4DB030E2" w:rsidR="007035AA" w:rsidRDefault="008826BD" w:rsidP="007035AA">
      <w:r>
        <w:t xml:space="preserve">Взаимодействие власти и бизнеса в современных условиях является одним из определяющих </w:t>
      </w:r>
      <w:r w:rsidR="000505BF">
        <w:t xml:space="preserve">факторов </w:t>
      </w:r>
      <w:r>
        <w:t xml:space="preserve">для достижения социально-экономического развития определённых территорий. Взаимодействие власти и бизнеса позволяет </w:t>
      </w:r>
      <w:r w:rsidRPr="008826BD">
        <w:t xml:space="preserve">объединить </w:t>
      </w:r>
      <w:r>
        <w:t xml:space="preserve">сильные стороны частного сектора, к которым можно отнести способность и готовность к внедрению </w:t>
      </w:r>
      <w:r w:rsidR="004802DF">
        <w:t>инноваций</w:t>
      </w:r>
      <w:r w:rsidRPr="008826BD">
        <w:t xml:space="preserve">, </w:t>
      </w:r>
      <w:r w:rsidR="000505BF">
        <w:t>наличие особых компетенций, знаний</w:t>
      </w:r>
      <w:r w:rsidRPr="008826BD">
        <w:t xml:space="preserve"> и</w:t>
      </w:r>
      <w:r w:rsidR="000505BF">
        <w:t xml:space="preserve"> опыта</w:t>
      </w:r>
      <w:r w:rsidRPr="008826BD">
        <w:t>,</w:t>
      </w:r>
      <w:r w:rsidR="000505BF">
        <w:t xml:space="preserve"> оперативность и гибкость при принятии решений, с сильными сторонами</w:t>
      </w:r>
      <w:r w:rsidRPr="008826BD">
        <w:t xml:space="preserve"> </w:t>
      </w:r>
      <w:r w:rsidR="000505BF">
        <w:t xml:space="preserve">государства, обладающего уникальным статусом в рыночных и правовых отношениях, а также уникальными ресурсами, к которым у представителей частного сектора нет доступа. Таким образом, в конечном итоге, при комбинации особых возможностей частного и публичного сектора, у бизнеса появляются дополнительные способы по получению прибыли, а у власти, </w:t>
      </w:r>
      <w:r w:rsidR="000505BF" w:rsidRPr="008826BD">
        <w:t>являющейся</w:t>
      </w:r>
      <w:r w:rsidRPr="008826BD">
        <w:t xml:space="preserve"> </w:t>
      </w:r>
      <w:r w:rsidR="004802DF">
        <w:t xml:space="preserve">ключевой ответственной фигурой за реализацию общественных потребностей и нужд – инструмент по их эффективному удовлетворению. </w:t>
      </w:r>
      <w:r w:rsidR="008B336D">
        <w:t>Ввиду широкого разнообразия целей и задач социально-экономического развития, сфер, в которых они устанавливаются, возникают, формируются и развиваются многочисленные формы взаимодействия</w:t>
      </w:r>
      <w:r w:rsidR="00421D75">
        <w:t xml:space="preserve"> власти и бизнеса. В рамках первой задачи ВКР было выяснено, что большинство экспертов разделяют существующие формы взаимодействия власти и бизнеса на две группы: корпоративные и контрактные или договорные и только формы, относящиеся ко второй группе, являются основой для взаимодействия частного и публичного секторов. Вторая задача была решена посредством выявление основных форм взаимодействия государства и бизнеса на основе анализа теоретической литературы по контрактным формам взаимодействия государева и бизнеса. Далее были определены их особенности и характеристики, путем сопоставления форм на основе</w:t>
      </w:r>
      <w:r w:rsidR="007035AA">
        <w:t xml:space="preserve"> общих критериев. После проведения анализа было выявлено, что одна форма не является в полной мере контрактной, так как на ее основе могут быть лишь зафиксированы намерения сторон о взаимодействия. Это форма – соглашения о социально-экономическом сотрудничестве. Также была исключена одна форма взаимодействия власти и бизнеса – соглашения о разделе продукции, ввиду ее неприменимости к решению целей и задач в сфере здравоохранения. </w:t>
      </w:r>
    </w:p>
    <w:p w14:paraId="0F51EBAE" w14:textId="7EBE1DF2" w:rsidR="00110A70" w:rsidRDefault="007035AA" w:rsidP="008F15A5">
      <w:r>
        <w:t xml:space="preserve">Следующим шагом, в рамках решения третьей задачи, </w:t>
      </w:r>
      <w:r w:rsidR="008F15A5">
        <w:t>был проведен комплексный</w:t>
      </w:r>
      <w:r>
        <w:t xml:space="preserve"> </w:t>
      </w:r>
      <w:r w:rsidR="008F15A5">
        <w:t>анализ документов</w:t>
      </w:r>
      <w:r>
        <w:t xml:space="preserve"> стратегического </w:t>
      </w:r>
      <w:r w:rsidR="008F15A5">
        <w:t xml:space="preserve">планирования </w:t>
      </w:r>
      <w:r>
        <w:t>Санкт-Петербурга, а именно С</w:t>
      </w:r>
      <w:r w:rsidR="00110A70">
        <w:t>тратегии</w:t>
      </w:r>
      <w:r>
        <w:t xml:space="preserve"> социально-экономического развития Санкт-Петербурга, </w:t>
      </w:r>
      <w:r w:rsidR="00110A70">
        <w:t>отраслевого</w:t>
      </w:r>
      <w:r>
        <w:t xml:space="preserve"> документ</w:t>
      </w:r>
      <w:r w:rsidR="00110A70">
        <w:t>а</w:t>
      </w:r>
      <w:r>
        <w:t xml:space="preserve"> города в сфере здравоохранения – </w:t>
      </w:r>
      <w:r w:rsidR="00110A70">
        <w:t>государственной программы</w:t>
      </w:r>
      <w:r>
        <w:t xml:space="preserve"> «Развитие здравоохранения в Санкт-Петербурге», а также С</w:t>
      </w:r>
      <w:r w:rsidR="00110A70">
        <w:t>тратегии</w:t>
      </w:r>
      <w:r>
        <w:t xml:space="preserve"> </w:t>
      </w:r>
      <w:r w:rsidR="008F15A5">
        <w:t>инвестиционного</w:t>
      </w:r>
      <w:r>
        <w:t xml:space="preserve"> развития Санкт-Петербурга. Посредством </w:t>
      </w:r>
      <w:r w:rsidR="008F15A5">
        <w:t xml:space="preserve">двух первых документов были выделены и сформулированы задачи, в </w:t>
      </w:r>
      <w:r w:rsidR="008F15A5">
        <w:lastRenderedPageBreak/>
        <w:t>отношении которых идентифицированные формы взаимодействия власти и бизнеса могут быть использованы для их решения</w:t>
      </w:r>
      <w:r w:rsidR="00110A70">
        <w:t xml:space="preserve"> с теоретической точки зрения</w:t>
      </w:r>
      <w:r w:rsidR="008F15A5">
        <w:t xml:space="preserve">. С помощью государственной программы и Стратегии инвестиционного развития были выявлены формы, которые не упоминались в научной литературе, как контрактные формы взаимодействия власти и бизнеса: договор доверительного управления и инвестиционный договор. </w:t>
      </w:r>
    </w:p>
    <w:p w14:paraId="3B7995C4" w14:textId="358EF51E" w:rsidR="008F15A5" w:rsidRDefault="00110A70" w:rsidP="00110A70">
      <w:r>
        <w:t>Далее в рамках решения четвертой задачи были сопоставлены</w:t>
      </w:r>
      <w:r w:rsidR="008F15A5">
        <w:t xml:space="preserve"> форм</w:t>
      </w:r>
      <w:r>
        <w:t>ы</w:t>
      </w:r>
      <w:r w:rsidR="008F15A5">
        <w:t xml:space="preserve"> взаимодействия </w:t>
      </w:r>
      <w:r>
        <w:t>власти и бизнеса с целями</w:t>
      </w:r>
      <w:r w:rsidR="008F15A5">
        <w:t xml:space="preserve"> и задач</w:t>
      </w:r>
      <w:r>
        <w:t>ами</w:t>
      </w:r>
      <w:r w:rsidR="008F15A5">
        <w:t xml:space="preserve">, </w:t>
      </w:r>
      <w:r>
        <w:t>установленными</w:t>
      </w:r>
      <w:r w:rsidR="008F15A5">
        <w:t xml:space="preserve"> в документах стратегического планирования Санкт-Петербурга в сфере здравоохранения</w:t>
      </w:r>
      <w:r>
        <w:t>. Так,</w:t>
      </w:r>
      <w:r w:rsidR="008F15A5">
        <w:t xml:space="preserve"> было выяснено, что применение некоторых форм может решить только </w:t>
      </w:r>
      <w:r>
        <w:t>одну или две</w:t>
      </w:r>
      <w:r w:rsidR="008F15A5">
        <w:t xml:space="preserve"> задачи, </w:t>
      </w:r>
      <w:r>
        <w:t>более того, не всегда эффективно. Одновременно с этим,</w:t>
      </w:r>
      <w:r w:rsidR="008F15A5">
        <w:t xml:space="preserve"> такие формы, как СГЧП, концессионные соглашения, инвестиционные договоры могут решить все или практически все задачи, более того в рамках одного прое</w:t>
      </w:r>
      <w:r>
        <w:t xml:space="preserve">кта при определенных условиях и потребностях государства. </w:t>
      </w:r>
    </w:p>
    <w:p w14:paraId="6BB996CF" w14:textId="77777777" w:rsidR="007E71E9" w:rsidRDefault="00110A70" w:rsidP="007E71E9">
      <w:r>
        <w:t>В рамках пятой задачи было оценено текущее состояние взаимодействия власти и бизнеса в различных формах. Было выяснено, что в Санкт-Петербурге преобладает форма инвестиционных договоров</w:t>
      </w:r>
      <w:r w:rsidR="00551C32">
        <w:t xml:space="preserve">, тогда как проектов в форме ГЧП значительно меньше, несмотря на то, </w:t>
      </w:r>
      <w:r w:rsidR="007E71E9">
        <w:t xml:space="preserve">что предварительно проведенный </w:t>
      </w:r>
      <w:r w:rsidR="00551C32">
        <w:t xml:space="preserve">теоретический анализ показал, что данная форма является наиболее подходящей в достижении задач социально-экономического развития сферы здравоохранения в Санкт-Петербурге. Это послужило мотивом для продолжения исследования по поиску факторов, по которым взаимодействие между властью и бизнесом в форме ГЧП не применяется </w:t>
      </w:r>
      <w:r w:rsidR="007E71E9">
        <w:t xml:space="preserve">так же успешно, как и в форме инвестиционного договора, </w:t>
      </w:r>
      <w:r w:rsidR="00551C32">
        <w:t>в сфере здравоохранения</w:t>
      </w:r>
      <w:r w:rsidR="007E71E9">
        <w:t>.</w:t>
      </w:r>
    </w:p>
    <w:p w14:paraId="42CCD195" w14:textId="0ECEDACB" w:rsidR="007E71E9" w:rsidRDefault="007E71E9" w:rsidP="007E71E9">
      <w:r>
        <w:t>Итак, в рамках шестой задачи были выявлены факторы, которые должны оказывать благоприятной воздействие на организацию взаимодействия власти и бизнеса в форме ГЧП, к ним относятся: р</w:t>
      </w:r>
      <w:r w:rsidRPr="00B37652">
        <w:t>азвитая институциональная среда ГЧП</w:t>
      </w:r>
      <w:r>
        <w:t xml:space="preserve"> в Санкт-Петербурге, в</w:t>
      </w:r>
      <w:r w:rsidRPr="00B37652">
        <w:t>ысокий уровень платежеспособного спроса населения Санкт-Петербурга</w:t>
      </w:r>
      <w:r>
        <w:t xml:space="preserve">, наличие </w:t>
      </w:r>
      <w:r w:rsidRPr="00B37652">
        <w:t>крупнейших частных медицинских компаний</w:t>
      </w:r>
      <w:r>
        <w:t>, оперирующих на рынке Санкт-Петербурга, готовность банковского сектора участвовать в предоставлении заемных средств для реализации инфраструктурных проектов в сфере здравоохранения в Санкт-Петербурге на специальных условиях, у</w:t>
      </w:r>
      <w:r w:rsidRPr="00CC5B2A">
        <w:t>величения износа основных фондов, низкого уровня материально-технического оснащения государственных медицинских учреждений</w:t>
      </w:r>
      <w:r>
        <w:t xml:space="preserve">. Далее были определены факторы, препятствующие возникновению взаимодействия между властью и бизнесом в форме ГЧП. К ним относятся: ограниченность бюджетных средств для предложения взаимовыгодных проектов ГЧП бизнесу со стороны города, отсутствие законодательного закрепления </w:t>
      </w:r>
      <w:r>
        <w:lastRenderedPageBreak/>
        <w:t>механизма минимального гарантированного дохода в сфере здравоохранения, отсутствие</w:t>
      </w:r>
      <w:r w:rsidRPr="00B812BA">
        <w:t xml:space="preserve"> инвестиционной составляющей в тарифе ОМС</w:t>
      </w:r>
      <w:r>
        <w:t>, н</w:t>
      </w:r>
      <w:r w:rsidRPr="00B812BA">
        <w:t>изкий уровень прозрачности и открытости информации о реализуемых или планируемых к реализации проектов ГЧП в сфере здравоохранения</w:t>
      </w:r>
      <w:r>
        <w:t>, д</w:t>
      </w:r>
      <w:r w:rsidRPr="00B812BA">
        <w:t>лительные сроки подготовки соглашений</w:t>
      </w:r>
      <w:r>
        <w:t xml:space="preserve"> и начала реализации</w:t>
      </w:r>
      <w:r w:rsidRPr="00B812BA">
        <w:t xml:space="preserve"> по проектам ГЧП.</w:t>
      </w:r>
      <w:r>
        <w:t xml:space="preserve"> </w:t>
      </w:r>
    </w:p>
    <w:p w14:paraId="30AC4A08" w14:textId="59AF6637" w:rsidR="007E71E9" w:rsidRDefault="007E71E9" w:rsidP="007E71E9">
      <w:r>
        <w:t xml:space="preserve">Наконец, в рамках последней задачи, направленной на выработку рекомендаций по активизации взаимодействия власти и бизнеса в сфере здравоохранения в Санкт-Петербурге, в частности, в форме ГЧП, были сформулированы рекомендации на основе экспертных интервью, а также анализа международного опыта и научно-аналитических обзорах, посвященных данной проблеме. </w:t>
      </w:r>
    </w:p>
    <w:p w14:paraId="26BC25AD" w14:textId="77777777" w:rsidR="007E71E9" w:rsidRDefault="007E71E9" w:rsidP="007E71E9">
      <w:r>
        <w:t xml:space="preserve">Таким образом, были сформулированы следующие рекомендации: </w:t>
      </w:r>
    </w:p>
    <w:p w14:paraId="106346BF" w14:textId="77777777" w:rsidR="007E71E9" w:rsidRDefault="007E71E9" w:rsidP="007E71E9">
      <w:pPr>
        <w:pStyle w:val="af5"/>
        <w:numPr>
          <w:ilvl w:val="0"/>
          <w:numId w:val="40"/>
        </w:numPr>
      </w:pPr>
      <w:r>
        <w:t>Создание специализированного Фонда поддержки проектов ГЧП в здравоохранении для решения проблемы, связанной с ограниченностью региональных бюджетных средств;</w:t>
      </w:r>
    </w:p>
    <w:p w14:paraId="44215AAB" w14:textId="77777777" w:rsidR="001B240A" w:rsidRDefault="007E71E9" w:rsidP="001B240A">
      <w:pPr>
        <w:pStyle w:val="af5"/>
        <w:numPr>
          <w:ilvl w:val="0"/>
          <w:numId w:val="40"/>
        </w:numPr>
      </w:pPr>
      <w:r>
        <w:t xml:space="preserve">Закрепление механизма минимальной гарантированной доходности в сфере здравоохранения в проектах ГЧП; </w:t>
      </w:r>
    </w:p>
    <w:p w14:paraId="2389AEEF" w14:textId="77777777" w:rsidR="001B240A" w:rsidRDefault="001B240A" w:rsidP="001B240A">
      <w:pPr>
        <w:pStyle w:val="af5"/>
        <w:numPr>
          <w:ilvl w:val="0"/>
          <w:numId w:val="40"/>
        </w:numPr>
      </w:pPr>
      <w:r>
        <w:t xml:space="preserve">Обеспечить </w:t>
      </w:r>
      <w:r w:rsidR="007E71E9">
        <w:t>гарантию по размеру тарифа/объема услуг в рамках ОМС со стороны публичного партнера</w:t>
      </w:r>
      <w:r>
        <w:t xml:space="preserve"> на весь срок реализации проекта ГЧП</w:t>
      </w:r>
      <w:r w:rsidR="007E71E9">
        <w:t>;</w:t>
      </w:r>
    </w:p>
    <w:p w14:paraId="53BD7257" w14:textId="77777777" w:rsidR="001B240A" w:rsidRDefault="001B240A" w:rsidP="001B240A">
      <w:pPr>
        <w:pStyle w:val="af5"/>
        <w:numPr>
          <w:ilvl w:val="0"/>
          <w:numId w:val="40"/>
        </w:numPr>
      </w:pPr>
      <w:r>
        <w:t>Введение инвестиционной составляющей</w:t>
      </w:r>
      <w:r w:rsidR="007E71E9">
        <w:t xml:space="preserve"> в тариф ОМС для инвесторов, реализующих проекты в форме ГЧП, в особенности для концессионных соглашений;</w:t>
      </w:r>
    </w:p>
    <w:p w14:paraId="335165AB" w14:textId="533D8C99" w:rsidR="004802DF" w:rsidRDefault="001B240A" w:rsidP="001B240A">
      <w:pPr>
        <w:pStyle w:val="af5"/>
        <w:numPr>
          <w:ilvl w:val="0"/>
          <w:numId w:val="40"/>
        </w:numPr>
      </w:pPr>
      <w:r>
        <w:t>О</w:t>
      </w:r>
      <w:r w:rsidR="007E71E9">
        <w:t>беспечить информационное и консультационное взаимодействие с заинтересованными частными медицинскими компаниями по вопросам планирования и подготовки проектов ГЧП в сфере здравоохранения, а также публичность данных (не содержащих коммерческую тайну) по текущим и планируемым к реализации проектам ГЧП в сфере здравоохранения.</w:t>
      </w:r>
    </w:p>
    <w:p w14:paraId="285DBE4F" w14:textId="75D9D30E" w:rsidR="00A747E5" w:rsidRDefault="00A747E5" w:rsidP="00A747E5">
      <w:pPr>
        <w:pStyle w:val="1"/>
      </w:pPr>
      <w:bookmarkStart w:id="34" w:name="_Toc41427836"/>
      <w:r>
        <w:lastRenderedPageBreak/>
        <w:t>Список использованной литературы</w:t>
      </w:r>
      <w:bookmarkEnd w:id="34"/>
    </w:p>
    <w:p w14:paraId="7A600F44" w14:textId="49AA1F41" w:rsidR="00DF5258" w:rsidRDefault="00DF5258" w:rsidP="00E17B33">
      <w:pPr>
        <w:pStyle w:val="af5"/>
        <w:numPr>
          <w:ilvl w:val="0"/>
          <w:numId w:val="32"/>
        </w:numPr>
      </w:pPr>
      <w:r w:rsidRPr="00DF5258">
        <w:t>Гражданский кодекс Российской Федерации. Часть вторая: Федеральный</w:t>
      </w:r>
      <w:r>
        <w:t xml:space="preserve"> закон от 26.01.1996 № 14-ФЗ // </w:t>
      </w:r>
      <w:r w:rsidRPr="00DF5258">
        <w:t>Собр. законодательства РФ. 1996.</w:t>
      </w:r>
    </w:p>
    <w:p w14:paraId="5C342B01" w14:textId="0EB7A7B5" w:rsidR="00DF5258" w:rsidRPr="00DF5258" w:rsidRDefault="00DF5258" w:rsidP="00E17B33">
      <w:pPr>
        <w:pStyle w:val="af5"/>
        <w:numPr>
          <w:ilvl w:val="0"/>
          <w:numId w:val="32"/>
        </w:numPr>
      </w:pPr>
      <w:r w:rsidRPr="00DF5258">
        <w:rPr>
          <w:rFonts w:cs="Times New Roman"/>
          <w:bCs/>
          <w:color w:val="000000"/>
          <w:szCs w:val="24"/>
          <w:shd w:val="clear" w:color="auto" w:fill="FFFFFF"/>
        </w:rPr>
        <w:t>Федеральный закон от 29 октября 1998 г. № 164-ФЗ «О финансовой аренде (лизинге)»</w:t>
      </w:r>
      <w:r>
        <w:rPr>
          <w:rFonts w:cs="Times New Roman"/>
          <w:bCs/>
          <w:color w:val="000000"/>
          <w:szCs w:val="24"/>
          <w:shd w:val="clear" w:color="auto" w:fill="FFFFFF"/>
        </w:rPr>
        <w:t xml:space="preserve"> </w:t>
      </w:r>
      <w:r w:rsidRPr="00DF5258">
        <w:rPr>
          <w:rFonts w:cs="Times New Roman"/>
          <w:bCs/>
          <w:color w:val="000000"/>
          <w:szCs w:val="24"/>
          <w:shd w:val="clear" w:color="auto" w:fill="FFFFFF"/>
        </w:rPr>
        <w:t xml:space="preserve">(с изменениями и дополнениями). </w:t>
      </w:r>
    </w:p>
    <w:p w14:paraId="4809A8B5" w14:textId="3F48799B" w:rsidR="00DF5258" w:rsidRPr="00DF5258" w:rsidRDefault="00DF5258" w:rsidP="00E17B33">
      <w:pPr>
        <w:pStyle w:val="af5"/>
        <w:numPr>
          <w:ilvl w:val="0"/>
          <w:numId w:val="32"/>
        </w:numPr>
      </w:pPr>
      <w:r w:rsidRPr="00DF5258">
        <w:rPr>
          <w:rFonts w:cs="Times New Roman"/>
          <w:bCs/>
          <w:color w:val="000000"/>
          <w:szCs w:val="24"/>
          <w:shd w:val="clear" w:color="auto" w:fill="FFFFFF"/>
        </w:rPr>
        <w:t>Федеральный закон «О закупках товаров, работ, услуг отдельными видами юридических лиц» от 18.07.2011 № 223-ФЗ (последняя редакция)</w:t>
      </w:r>
      <w:r w:rsidR="006C3E6F">
        <w:rPr>
          <w:rFonts w:cs="Times New Roman"/>
          <w:bCs/>
          <w:color w:val="000000"/>
          <w:szCs w:val="24"/>
          <w:shd w:val="clear" w:color="auto" w:fill="FFFFFF"/>
        </w:rPr>
        <w:t>.</w:t>
      </w:r>
    </w:p>
    <w:p w14:paraId="57719918" w14:textId="3EE62D37" w:rsidR="00DF5258" w:rsidRPr="006C3E6F" w:rsidRDefault="00DF5258" w:rsidP="00E17B33">
      <w:pPr>
        <w:pStyle w:val="af5"/>
        <w:numPr>
          <w:ilvl w:val="0"/>
          <w:numId w:val="32"/>
        </w:numPr>
        <w:rPr>
          <w:rFonts w:cs="Times New Roman"/>
          <w:bCs/>
          <w:color w:val="000000"/>
          <w:szCs w:val="24"/>
          <w:shd w:val="clear" w:color="auto" w:fill="FFFFFF"/>
        </w:rPr>
      </w:pPr>
      <w:r w:rsidRPr="00DF5258">
        <w:rPr>
          <w:rFonts w:cs="Times New Roman"/>
          <w:bCs/>
          <w:color w:val="000000"/>
          <w:szCs w:val="24"/>
          <w:shd w:val="clear" w:color="auto" w:fill="FFFFFF"/>
        </w:rPr>
        <w:t xml:space="preserve">Федеральный закон «О контрактной системе в сфере закупок товаров, работ, услуг для обеспечения государственных и муниципальных нужд» от 05.04.2013 № 44-ФЗ (последняя редакция). </w:t>
      </w:r>
    </w:p>
    <w:p w14:paraId="1BC9AFF5" w14:textId="3BC757BC" w:rsidR="006C3E6F" w:rsidRDefault="00DF5258" w:rsidP="00E17B33">
      <w:pPr>
        <w:pStyle w:val="af5"/>
        <w:numPr>
          <w:ilvl w:val="0"/>
          <w:numId w:val="32"/>
        </w:numPr>
        <w:rPr>
          <w:rFonts w:cs="Times New Roman"/>
          <w:bCs/>
          <w:color w:val="000000"/>
          <w:szCs w:val="24"/>
          <w:shd w:val="clear" w:color="auto" w:fill="FFFFFF"/>
        </w:rPr>
      </w:pPr>
      <w:r w:rsidRPr="00DF5258">
        <w:rPr>
          <w:rFonts w:cs="Times New Roman"/>
          <w:bCs/>
          <w:color w:val="000000"/>
          <w:szCs w:val="24"/>
          <w:shd w:val="clear" w:color="auto" w:fill="FFFFFF"/>
        </w:rPr>
        <w:t>Федеральный закон «О концессионных соглашениях» от 21.07.2005 № 115-ФЗ (последняя редакция).</w:t>
      </w:r>
      <w:r w:rsidR="006C3E6F">
        <w:rPr>
          <w:rFonts w:cs="Times New Roman"/>
          <w:bCs/>
          <w:color w:val="000000"/>
          <w:szCs w:val="24"/>
          <w:shd w:val="clear" w:color="auto" w:fill="FFFFFF"/>
        </w:rPr>
        <w:t xml:space="preserve"> </w:t>
      </w:r>
    </w:p>
    <w:p w14:paraId="626C735D" w14:textId="135E0AC4" w:rsidR="006C3E6F" w:rsidRDefault="00DF5258" w:rsidP="00E17B33">
      <w:pPr>
        <w:pStyle w:val="af5"/>
        <w:numPr>
          <w:ilvl w:val="0"/>
          <w:numId w:val="32"/>
        </w:numPr>
        <w:rPr>
          <w:rFonts w:cs="Times New Roman"/>
          <w:bCs/>
          <w:color w:val="000000"/>
          <w:szCs w:val="24"/>
          <w:shd w:val="clear" w:color="auto" w:fill="FFFFFF"/>
        </w:rPr>
      </w:pPr>
      <w:r w:rsidRPr="006C3E6F">
        <w:rPr>
          <w:rFonts w:cs="Times New Roman"/>
          <w:bCs/>
          <w:color w:val="000000"/>
          <w:szCs w:val="24"/>
          <w:shd w:val="clear" w:color="auto" w:fill="FFFFFF"/>
        </w:rPr>
        <w:t>Федеральный закон от 2 августа 2019 г. № 290-ФЗ «О внесении изменений в Федеральный закон</w:t>
      </w:r>
      <w:r w:rsidR="006C3E6F">
        <w:rPr>
          <w:rFonts w:cs="Times New Roman"/>
          <w:bCs/>
          <w:color w:val="000000"/>
          <w:szCs w:val="24"/>
          <w:shd w:val="clear" w:color="auto" w:fill="FFFFFF"/>
        </w:rPr>
        <w:t xml:space="preserve"> </w:t>
      </w:r>
      <w:r w:rsidRPr="006C3E6F">
        <w:rPr>
          <w:rFonts w:cs="Times New Roman"/>
          <w:bCs/>
          <w:color w:val="000000"/>
          <w:szCs w:val="24"/>
          <w:shd w:val="clear" w:color="auto" w:fill="FFFFFF"/>
        </w:rPr>
        <w:t>«О промышленной политике в Российской Федерации» в части регулирования специальных</w:t>
      </w:r>
      <w:r w:rsidR="006C3E6F">
        <w:rPr>
          <w:rFonts w:cs="Times New Roman"/>
          <w:bCs/>
          <w:color w:val="000000"/>
          <w:szCs w:val="24"/>
          <w:shd w:val="clear" w:color="auto" w:fill="FFFFFF"/>
        </w:rPr>
        <w:t xml:space="preserve"> </w:t>
      </w:r>
      <w:r w:rsidRPr="006C3E6F">
        <w:rPr>
          <w:rFonts w:cs="Times New Roman"/>
          <w:bCs/>
          <w:color w:val="000000"/>
          <w:szCs w:val="24"/>
          <w:shd w:val="clear" w:color="auto" w:fill="FFFFFF"/>
        </w:rPr>
        <w:t xml:space="preserve">инвестиционных контрактов». </w:t>
      </w:r>
    </w:p>
    <w:p w14:paraId="008A95E6" w14:textId="4CA7B11E" w:rsidR="006C3E6F" w:rsidRPr="006C3E6F" w:rsidRDefault="00DF5258" w:rsidP="00E17B33">
      <w:pPr>
        <w:pStyle w:val="af5"/>
        <w:numPr>
          <w:ilvl w:val="0"/>
          <w:numId w:val="32"/>
        </w:numPr>
        <w:rPr>
          <w:rFonts w:cs="Times New Roman"/>
          <w:bCs/>
          <w:color w:val="000000"/>
          <w:szCs w:val="24"/>
          <w:shd w:val="clear" w:color="auto" w:fill="FFFFFF"/>
        </w:rPr>
      </w:pPr>
      <w:r w:rsidRPr="006C3E6F">
        <w:rPr>
          <w:rFonts w:cs="Times New Roman"/>
          <w:bCs/>
          <w:color w:val="000000"/>
          <w:szCs w:val="24"/>
          <w:shd w:val="clear" w:color="auto" w:fill="FFFFFF"/>
        </w:rPr>
        <w:t>Федеральный закон от 31 декабря 2014 г. № 488-ФЗ «О промышленной политике в Российской Федерации (с изменениями и дополнениями)</w:t>
      </w:r>
      <w:r w:rsidR="006C3E6F">
        <w:rPr>
          <w:rFonts w:cs="Times New Roman"/>
          <w:bCs/>
          <w:color w:val="000000"/>
          <w:szCs w:val="24"/>
          <w:shd w:val="clear" w:color="auto" w:fill="FFFFFF"/>
        </w:rPr>
        <w:t>.</w:t>
      </w:r>
    </w:p>
    <w:p w14:paraId="1B858CEF" w14:textId="46ED0020" w:rsidR="006C3E6F" w:rsidRPr="006C3E6F" w:rsidRDefault="006C3E6F" w:rsidP="00E17B33">
      <w:pPr>
        <w:pStyle w:val="af5"/>
        <w:numPr>
          <w:ilvl w:val="0"/>
          <w:numId w:val="32"/>
        </w:numPr>
        <w:rPr>
          <w:rFonts w:cs="Times New Roman"/>
          <w:bCs/>
          <w:color w:val="000000"/>
          <w:szCs w:val="24"/>
          <w:shd w:val="clear" w:color="auto" w:fill="FFFFFF"/>
        </w:rPr>
      </w:pPr>
      <w:r w:rsidRPr="006C3E6F">
        <w:rPr>
          <w:rFonts w:cs="Times New Roman"/>
          <w:bCs/>
          <w:color w:val="000000"/>
          <w:szCs w:val="24"/>
          <w:shd w:val="clear" w:color="auto" w:fill="FFFFFF"/>
        </w:rPr>
        <w:t>Постановление Правительства РФ от 16 июля 2015 г. № 708 «О специальных инвестиционных</w:t>
      </w:r>
      <w:r>
        <w:rPr>
          <w:rFonts w:cs="Times New Roman"/>
          <w:bCs/>
          <w:color w:val="000000"/>
          <w:szCs w:val="24"/>
          <w:shd w:val="clear" w:color="auto" w:fill="FFFFFF"/>
        </w:rPr>
        <w:t xml:space="preserve"> </w:t>
      </w:r>
      <w:r w:rsidRPr="006C3E6F">
        <w:rPr>
          <w:rFonts w:cs="Times New Roman"/>
          <w:bCs/>
          <w:color w:val="000000"/>
          <w:szCs w:val="24"/>
          <w:shd w:val="clear" w:color="auto" w:fill="FFFFFF"/>
        </w:rPr>
        <w:t>контрактах для отдельных отраслей промышленности»</w:t>
      </w:r>
      <w:r>
        <w:rPr>
          <w:rFonts w:cs="Times New Roman"/>
          <w:bCs/>
          <w:color w:val="000000"/>
          <w:szCs w:val="24"/>
          <w:shd w:val="clear" w:color="auto" w:fill="FFFFFF"/>
        </w:rPr>
        <w:t>.</w:t>
      </w:r>
    </w:p>
    <w:p w14:paraId="5E2441FC" w14:textId="39C1AFF4" w:rsidR="006C3E6F" w:rsidRPr="006C3E6F" w:rsidRDefault="006C3E6F" w:rsidP="00E17B33">
      <w:pPr>
        <w:pStyle w:val="af5"/>
        <w:numPr>
          <w:ilvl w:val="0"/>
          <w:numId w:val="32"/>
        </w:numPr>
        <w:rPr>
          <w:rFonts w:cs="Times New Roman"/>
          <w:bCs/>
          <w:color w:val="000000"/>
          <w:szCs w:val="24"/>
          <w:shd w:val="clear" w:color="auto" w:fill="FFFFFF"/>
        </w:rPr>
      </w:pPr>
      <w:r w:rsidRPr="006C3E6F">
        <w:rPr>
          <w:rFonts w:cs="Times New Roman"/>
          <w:bCs/>
          <w:color w:val="000000"/>
          <w:szCs w:val="24"/>
          <w:shd w:val="clear" w:color="auto" w:fill="FFFFFF"/>
        </w:rPr>
        <w:t xml:space="preserve">Постановление Пленума Высшего Арбитражного Суда РФ от 14 марта 2014 г. № 17 «Об отдельных вопросах, связанных с договором выкупного лизинга». </w:t>
      </w:r>
    </w:p>
    <w:p w14:paraId="5F2813C8" w14:textId="77777777" w:rsidR="006C3E6F" w:rsidRDefault="006C3E6F" w:rsidP="00E17B33">
      <w:pPr>
        <w:pStyle w:val="af5"/>
        <w:numPr>
          <w:ilvl w:val="0"/>
          <w:numId w:val="32"/>
        </w:numPr>
        <w:rPr>
          <w:rFonts w:cs="Times New Roman"/>
          <w:bCs/>
          <w:color w:val="000000"/>
          <w:szCs w:val="24"/>
          <w:shd w:val="clear" w:color="auto" w:fill="FFFFFF"/>
        </w:rPr>
      </w:pPr>
      <w:r w:rsidRPr="006C3E6F">
        <w:rPr>
          <w:rFonts w:cs="Times New Roman"/>
          <w:bCs/>
          <w:color w:val="000000"/>
          <w:szCs w:val="24"/>
          <w:shd w:val="clear" w:color="auto" w:fill="FFFFFF"/>
        </w:rPr>
        <w:t>О Стратегии социально-экономического развития Санкт-Петербурга на период до 2035 года. Закон Санкт-Петербурга «О Стратегии социально-экономического развития Санкт-Петербурга на период до 2035 года. Принят Законодательным Собранием Санкт-Петербурга 19 декабря 2018 года.</w:t>
      </w:r>
    </w:p>
    <w:p w14:paraId="1F8BD898" w14:textId="49F27A05" w:rsidR="006C3E6F" w:rsidRDefault="006C3E6F" w:rsidP="00E17B33">
      <w:pPr>
        <w:pStyle w:val="af5"/>
        <w:numPr>
          <w:ilvl w:val="0"/>
          <w:numId w:val="32"/>
        </w:numPr>
        <w:rPr>
          <w:rFonts w:cs="Times New Roman"/>
          <w:bCs/>
          <w:color w:val="000000"/>
          <w:szCs w:val="24"/>
          <w:shd w:val="clear" w:color="auto" w:fill="FFFFFF"/>
        </w:rPr>
      </w:pPr>
      <w:r w:rsidRPr="006C3E6F">
        <w:rPr>
          <w:rFonts w:cs="Times New Roman"/>
          <w:bCs/>
          <w:color w:val="000000"/>
          <w:szCs w:val="24"/>
          <w:shd w:val="clear" w:color="auto" w:fill="FFFFFF"/>
        </w:rPr>
        <w:t xml:space="preserve">Закона Санкт-Петербурга от 29 ноября 2019 г. № 614-132 «О бюджете Санкт-Петербурга на 2020 год и на плановый период 2021 и 2022 годов». </w:t>
      </w:r>
    </w:p>
    <w:p w14:paraId="763FF970" w14:textId="72E1A24D" w:rsidR="006C3E6F" w:rsidRPr="006C3E6F" w:rsidRDefault="006C3E6F" w:rsidP="00E17B33">
      <w:pPr>
        <w:pStyle w:val="af5"/>
        <w:numPr>
          <w:ilvl w:val="0"/>
          <w:numId w:val="32"/>
        </w:numPr>
        <w:rPr>
          <w:rFonts w:cs="Times New Roman"/>
          <w:bCs/>
          <w:color w:val="000000"/>
          <w:szCs w:val="24"/>
          <w:shd w:val="clear" w:color="auto" w:fill="FFFFFF"/>
        </w:rPr>
      </w:pPr>
      <w:r w:rsidRPr="006C3E6F">
        <w:rPr>
          <w:rFonts w:cs="Times New Roman"/>
          <w:bCs/>
          <w:color w:val="000000"/>
          <w:szCs w:val="24"/>
          <w:shd w:val="clear" w:color="auto" w:fill="FFFFFF"/>
        </w:rPr>
        <w:t>Постановление Правительства Санкт-Петербурга от 30 июня 2014 г. № 553 «О государственной программе Санкт-Петербурга «Развитие здравоохранения в Санкт-Петербурге» на 2015-2020 годы».</w:t>
      </w:r>
    </w:p>
    <w:p w14:paraId="232E1B64" w14:textId="02377D91" w:rsidR="006C3E6F" w:rsidRDefault="006C3E6F" w:rsidP="00E17B33">
      <w:pPr>
        <w:pStyle w:val="af5"/>
        <w:numPr>
          <w:ilvl w:val="0"/>
          <w:numId w:val="32"/>
        </w:numPr>
        <w:rPr>
          <w:rFonts w:cs="Times New Roman"/>
          <w:bCs/>
          <w:color w:val="000000"/>
          <w:szCs w:val="24"/>
          <w:shd w:val="clear" w:color="auto" w:fill="FFFFFF"/>
        </w:rPr>
      </w:pPr>
      <w:r w:rsidRPr="006C3E6F">
        <w:rPr>
          <w:rFonts w:cs="Times New Roman"/>
          <w:bCs/>
          <w:color w:val="000000"/>
          <w:szCs w:val="24"/>
          <w:shd w:val="clear" w:color="auto" w:fill="FFFFFF"/>
        </w:rPr>
        <w:t xml:space="preserve">Инвестиционная стратегия Санкт-Петербурга на период до 2030 года. Электронный доступ: </w:t>
      </w:r>
      <w:hyperlink r:id="rId11" w:history="1">
        <w:r w:rsidRPr="00E17B33">
          <w:rPr>
            <w:rFonts w:cs="Times New Roman"/>
            <w:bCs/>
            <w:color w:val="000000"/>
            <w:szCs w:val="24"/>
            <w:shd w:val="clear" w:color="auto" w:fill="FFFFFF"/>
          </w:rPr>
          <w:t>https://clck.ru/GHoSw</w:t>
        </w:r>
      </w:hyperlink>
    </w:p>
    <w:p w14:paraId="441A3D57" w14:textId="2DECB256" w:rsidR="00E17B33" w:rsidRPr="00E17B33" w:rsidRDefault="00E17B33" w:rsidP="00E17B33">
      <w:pPr>
        <w:pStyle w:val="af5"/>
        <w:numPr>
          <w:ilvl w:val="0"/>
          <w:numId w:val="32"/>
        </w:numPr>
        <w:rPr>
          <w:rFonts w:cs="Times New Roman"/>
          <w:bCs/>
          <w:color w:val="000000"/>
          <w:szCs w:val="24"/>
          <w:shd w:val="clear" w:color="auto" w:fill="FFFFFF"/>
        </w:rPr>
      </w:pPr>
      <w:r w:rsidRPr="00E17B33">
        <w:rPr>
          <w:rFonts w:cs="Times New Roman"/>
          <w:bCs/>
          <w:color w:val="000000"/>
          <w:szCs w:val="24"/>
          <w:shd w:val="clear" w:color="auto" w:fill="FFFFFF"/>
        </w:rPr>
        <w:t xml:space="preserve">Сводный аналитический отчет по результатам осуществления мониторинга закупок, товаров, услуг для обеспечения государственных и муниципальных нужд в </w:t>
      </w:r>
      <w:r w:rsidRPr="00E17B33">
        <w:rPr>
          <w:rFonts w:cs="Times New Roman"/>
          <w:bCs/>
          <w:color w:val="000000"/>
          <w:szCs w:val="24"/>
          <w:shd w:val="clear" w:color="auto" w:fill="FFFFFF"/>
        </w:rPr>
        <w:lastRenderedPageBreak/>
        <w:t>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w:t>
      </w:r>
      <w:r>
        <w:rPr>
          <w:rFonts w:cs="Times New Roman"/>
          <w:bCs/>
          <w:color w:val="000000"/>
          <w:szCs w:val="24"/>
          <w:shd w:val="clear" w:color="auto" w:fill="FFFFFF"/>
        </w:rPr>
        <w:t>д» по итогам 2018 года.</w:t>
      </w:r>
    </w:p>
    <w:p w14:paraId="7E857075" w14:textId="77777777" w:rsidR="00E17B33" w:rsidRPr="00E17B33" w:rsidRDefault="00E17B33" w:rsidP="00E17B33">
      <w:pPr>
        <w:pStyle w:val="af5"/>
        <w:numPr>
          <w:ilvl w:val="0"/>
          <w:numId w:val="32"/>
        </w:numPr>
        <w:rPr>
          <w:rFonts w:cs="Times New Roman"/>
          <w:bCs/>
          <w:color w:val="000000"/>
          <w:szCs w:val="24"/>
          <w:shd w:val="clear" w:color="auto" w:fill="FFFFFF"/>
        </w:rPr>
      </w:pPr>
      <w:r w:rsidRPr="00E17B33">
        <w:rPr>
          <w:rFonts w:cs="Times New Roman"/>
          <w:bCs/>
          <w:color w:val="000000"/>
          <w:szCs w:val="24"/>
          <w:shd w:val="clear" w:color="auto" w:fill="FFFFFF"/>
        </w:rPr>
        <w:t xml:space="preserve">Бабкин И.А., </w:t>
      </w:r>
      <w:proofErr w:type="spellStart"/>
      <w:r w:rsidRPr="00E17B33">
        <w:rPr>
          <w:rFonts w:cs="Times New Roman"/>
          <w:bCs/>
          <w:color w:val="000000"/>
          <w:szCs w:val="24"/>
          <w:shd w:val="clear" w:color="auto" w:fill="FFFFFF"/>
        </w:rPr>
        <w:t>Жеребов</w:t>
      </w:r>
      <w:proofErr w:type="spellEnd"/>
      <w:r w:rsidRPr="00E17B33">
        <w:rPr>
          <w:rFonts w:cs="Times New Roman"/>
          <w:bCs/>
          <w:color w:val="000000"/>
          <w:szCs w:val="24"/>
          <w:shd w:val="clear" w:color="auto" w:fill="FFFFFF"/>
        </w:rPr>
        <w:t xml:space="preserve"> Е.Д. Механизм взаимодействия государства и бизнеса на основе</w:t>
      </w:r>
      <w:r>
        <w:rPr>
          <w:rFonts w:cs="Times New Roman"/>
          <w:bCs/>
          <w:color w:val="000000"/>
          <w:szCs w:val="24"/>
          <w:shd w:val="clear" w:color="auto" w:fill="FFFFFF"/>
        </w:rPr>
        <w:t xml:space="preserve"> </w:t>
      </w:r>
      <w:r w:rsidRPr="00E17B33">
        <w:rPr>
          <w:rFonts w:cs="Times New Roman"/>
          <w:bCs/>
          <w:color w:val="000000"/>
          <w:szCs w:val="24"/>
          <w:shd w:val="clear" w:color="auto" w:fill="FFFFFF"/>
        </w:rPr>
        <w:t>государственно-частного партнерства // Научно-технические ведомости Санкт-Петербургского государственного политехнического университета. Экономические науки. – 2015. №4 (223).</w:t>
      </w:r>
    </w:p>
    <w:p w14:paraId="60383602" w14:textId="77777777" w:rsidR="00E17B33" w:rsidRPr="00E17B33" w:rsidRDefault="00E17B33" w:rsidP="00E17B33">
      <w:pPr>
        <w:pStyle w:val="af5"/>
        <w:numPr>
          <w:ilvl w:val="0"/>
          <w:numId w:val="32"/>
        </w:numPr>
        <w:rPr>
          <w:rFonts w:cs="Times New Roman"/>
          <w:bCs/>
          <w:color w:val="000000"/>
          <w:szCs w:val="24"/>
          <w:shd w:val="clear" w:color="auto" w:fill="FFFFFF"/>
        </w:rPr>
      </w:pPr>
      <w:r w:rsidRPr="00E17B33">
        <w:rPr>
          <w:rFonts w:cs="Times New Roman"/>
          <w:bCs/>
          <w:color w:val="000000"/>
          <w:szCs w:val="24"/>
          <w:shd w:val="clear" w:color="auto" w:fill="FFFFFF"/>
        </w:rPr>
        <w:t>Беляева И. Ю. и др. Особенности взаимодействия бизнеса и власти. Учебное пособие. – 2018.</w:t>
      </w:r>
    </w:p>
    <w:p w14:paraId="677CCE28" w14:textId="77777777" w:rsidR="00E17B33" w:rsidRPr="00E17B33" w:rsidRDefault="00E17B33" w:rsidP="00E17B33">
      <w:pPr>
        <w:pStyle w:val="af5"/>
        <w:numPr>
          <w:ilvl w:val="0"/>
          <w:numId w:val="32"/>
        </w:numPr>
        <w:rPr>
          <w:rFonts w:cs="Times New Roman"/>
          <w:bCs/>
          <w:color w:val="000000"/>
          <w:szCs w:val="24"/>
          <w:shd w:val="clear" w:color="auto" w:fill="FFFFFF"/>
        </w:rPr>
      </w:pPr>
      <w:proofErr w:type="spellStart"/>
      <w:r w:rsidRPr="00E17B33">
        <w:rPr>
          <w:rFonts w:cs="Times New Roman"/>
          <w:bCs/>
          <w:color w:val="000000"/>
          <w:szCs w:val="24"/>
          <w:shd w:val="clear" w:color="auto" w:fill="FFFFFF"/>
        </w:rPr>
        <w:t>Варнавский</w:t>
      </w:r>
      <w:proofErr w:type="spellEnd"/>
      <w:r w:rsidRPr="00E17B33">
        <w:rPr>
          <w:rFonts w:cs="Times New Roman"/>
          <w:bCs/>
          <w:color w:val="000000"/>
          <w:szCs w:val="24"/>
          <w:shd w:val="clear" w:color="auto" w:fill="FFFFFF"/>
        </w:rPr>
        <w:t xml:space="preserve"> В. Г. Государственно-частное партнерство: некоторые вопросы теории и практики</w:t>
      </w:r>
      <w:r>
        <w:rPr>
          <w:rFonts w:cs="Times New Roman"/>
          <w:bCs/>
          <w:color w:val="000000"/>
          <w:szCs w:val="24"/>
          <w:shd w:val="clear" w:color="auto" w:fill="FFFFFF"/>
        </w:rPr>
        <w:t xml:space="preserve"> </w:t>
      </w:r>
      <w:r w:rsidRPr="00E17B33">
        <w:rPr>
          <w:rFonts w:cs="Times New Roman"/>
          <w:bCs/>
          <w:color w:val="000000"/>
          <w:szCs w:val="24"/>
          <w:shd w:val="clear" w:color="auto" w:fill="FFFFFF"/>
        </w:rPr>
        <w:t>// Мировая экономика и международные отношения. – 2011. – №. 9. – С. 41-50.</w:t>
      </w:r>
    </w:p>
    <w:p w14:paraId="39FDAFCB" w14:textId="77777777" w:rsidR="00E17B33" w:rsidRDefault="00E17B33" w:rsidP="00E17B33">
      <w:pPr>
        <w:pStyle w:val="af5"/>
        <w:numPr>
          <w:ilvl w:val="0"/>
          <w:numId w:val="32"/>
        </w:numPr>
        <w:rPr>
          <w:rFonts w:cs="Times New Roman"/>
          <w:bCs/>
          <w:color w:val="000000"/>
          <w:szCs w:val="24"/>
          <w:shd w:val="clear" w:color="auto" w:fill="FFFFFF"/>
        </w:rPr>
      </w:pPr>
      <w:r w:rsidRPr="00E17B33">
        <w:rPr>
          <w:rFonts w:cs="Times New Roman"/>
          <w:bCs/>
          <w:color w:val="000000"/>
          <w:szCs w:val="24"/>
          <w:shd w:val="clear" w:color="auto" w:fill="FFFFFF"/>
        </w:rPr>
        <w:t>Григорьев А.А. Институт особых обстоятельств. Правовая характеристика и практические проблемы использования в концессионных соглашениях и соглашениях о государственно-частном партнерстве //Концессии и инфраструктурные инвестиции. – 2019. Режим доступа:</w:t>
      </w:r>
      <w:r w:rsidRPr="00E17B33">
        <w:rPr>
          <w:rFonts w:cs="Times New Roman"/>
          <w:bCs/>
          <w:color w:val="000000" w:themeColor="text1"/>
          <w:szCs w:val="24"/>
          <w:shd w:val="clear" w:color="auto" w:fill="FFFFFF"/>
        </w:rPr>
        <w:t xml:space="preserve"> </w:t>
      </w:r>
      <w:hyperlink r:id="rId12" w:history="1">
        <w:r w:rsidRPr="00E17B33">
          <w:rPr>
            <w:rStyle w:val="af3"/>
            <w:rFonts w:cs="Times New Roman"/>
            <w:bCs/>
            <w:color w:val="000000" w:themeColor="text1"/>
            <w:szCs w:val="24"/>
            <w:u w:val="none"/>
            <w:shd w:val="clear" w:color="auto" w:fill="FFFFFF"/>
          </w:rPr>
          <w:t>https://clck.ru/NeTNk</w:t>
        </w:r>
      </w:hyperlink>
    </w:p>
    <w:p w14:paraId="544DE1BA" w14:textId="77777777" w:rsidR="00E17B33" w:rsidRPr="00E17B33" w:rsidRDefault="00E17B33" w:rsidP="00E17B33">
      <w:pPr>
        <w:pStyle w:val="af5"/>
        <w:numPr>
          <w:ilvl w:val="0"/>
          <w:numId w:val="32"/>
        </w:numPr>
        <w:rPr>
          <w:rFonts w:cs="Times New Roman"/>
          <w:bCs/>
          <w:color w:val="000000"/>
          <w:szCs w:val="24"/>
          <w:shd w:val="clear" w:color="auto" w:fill="FFFFFF"/>
        </w:rPr>
      </w:pPr>
      <w:proofErr w:type="spellStart"/>
      <w:r w:rsidRPr="00E17B33">
        <w:rPr>
          <w:rFonts w:cs="Times New Roman"/>
          <w:bCs/>
          <w:color w:val="000000"/>
          <w:szCs w:val="24"/>
          <w:shd w:val="clear" w:color="auto" w:fill="FFFFFF"/>
        </w:rPr>
        <w:t>Делмон</w:t>
      </w:r>
      <w:proofErr w:type="spellEnd"/>
      <w:r w:rsidRPr="00E17B33">
        <w:rPr>
          <w:rFonts w:cs="Times New Roman"/>
          <w:bCs/>
          <w:color w:val="000000"/>
          <w:szCs w:val="24"/>
          <w:shd w:val="clear" w:color="auto" w:fill="FFFFFF"/>
        </w:rPr>
        <w:t xml:space="preserve"> Дж. Государственно-частное партнерство в инфраструктуре. Практическое руководство для органов государственной̆ власти. – 2010.</w:t>
      </w:r>
    </w:p>
    <w:p w14:paraId="4AD97463" w14:textId="77777777" w:rsidR="00E17B33" w:rsidRPr="00E17B33" w:rsidRDefault="00E17B33" w:rsidP="00E17B33">
      <w:pPr>
        <w:pStyle w:val="af5"/>
        <w:numPr>
          <w:ilvl w:val="0"/>
          <w:numId w:val="32"/>
        </w:numPr>
        <w:rPr>
          <w:rFonts w:cs="Times New Roman"/>
          <w:bCs/>
          <w:color w:val="000000"/>
          <w:szCs w:val="24"/>
          <w:shd w:val="clear" w:color="auto" w:fill="FFFFFF"/>
        </w:rPr>
      </w:pPr>
      <w:r w:rsidRPr="00E17B33">
        <w:rPr>
          <w:rFonts w:cs="Times New Roman"/>
          <w:bCs/>
          <w:color w:val="000000"/>
          <w:szCs w:val="24"/>
          <w:shd w:val="clear" w:color="auto" w:fill="FFFFFF"/>
        </w:rPr>
        <w:t xml:space="preserve">Дерябина М. А. Теоретические и практические проблемы государственно-частного партнерства // Доклады и научные сборники Института экономики РАН. Режим доступа: </w:t>
      </w:r>
      <w:hyperlink r:id="rId13" w:history="1">
        <w:r w:rsidRPr="00E17B33">
          <w:rPr>
            <w:bCs/>
            <w:color w:val="000000"/>
            <w:szCs w:val="24"/>
            <w:shd w:val="clear" w:color="auto" w:fill="FFFFFF"/>
          </w:rPr>
          <w:t>http://www.</w:t>
        </w:r>
        <w:proofErr w:type="spellStart"/>
        <w:r w:rsidRPr="00E17B33">
          <w:rPr>
            <w:bCs/>
            <w:color w:val="000000"/>
            <w:szCs w:val="24"/>
            <w:shd w:val="clear" w:color="auto" w:fill="FFFFFF"/>
          </w:rPr>
          <w:t>imepi</w:t>
        </w:r>
        <w:proofErr w:type="spellEnd"/>
        <w:r w:rsidRPr="00E17B33">
          <w:rPr>
            <w:bCs/>
            <w:color w:val="000000"/>
            <w:szCs w:val="24"/>
            <w:shd w:val="clear" w:color="auto" w:fill="FFFFFF"/>
          </w:rPr>
          <w:t>-</w:t>
        </w:r>
        <w:proofErr w:type="spellStart"/>
        <w:r w:rsidRPr="00E17B33">
          <w:rPr>
            <w:bCs/>
            <w:color w:val="000000"/>
            <w:szCs w:val="24"/>
            <w:shd w:val="clear" w:color="auto" w:fill="FFFFFF"/>
          </w:rPr>
          <w:t>eurasia</w:t>
        </w:r>
        <w:proofErr w:type="spellEnd"/>
        <w:r w:rsidRPr="00E17B33">
          <w:rPr>
            <w:bCs/>
            <w:color w:val="000000"/>
            <w:szCs w:val="24"/>
            <w:shd w:val="clear" w:color="auto" w:fill="FFFFFF"/>
          </w:rPr>
          <w:t>.</w:t>
        </w:r>
        <w:proofErr w:type="spellStart"/>
        <w:r w:rsidRPr="00E17B33">
          <w:rPr>
            <w:bCs/>
            <w:color w:val="000000"/>
            <w:szCs w:val="24"/>
            <w:shd w:val="clear" w:color="auto" w:fill="FFFFFF"/>
          </w:rPr>
          <w:t>ru</w:t>
        </w:r>
        <w:proofErr w:type="spellEnd"/>
        <w:r w:rsidRPr="00E17B33">
          <w:rPr>
            <w:bCs/>
            <w:color w:val="000000"/>
            <w:szCs w:val="24"/>
            <w:shd w:val="clear" w:color="auto" w:fill="FFFFFF"/>
          </w:rPr>
          <w:t>/</w:t>
        </w:r>
        <w:proofErr w:type="spellStart"/>
        <w:r w:rsidRPr="00E17B33">
          <w:rPr>
            <w:bCs/>
            <w:color w:val="000000"/>
            <w:szCs w:val="24"/>
            <w:shd w:val="clear" w:color="auto" w:fill="FFFFFF"/>
          </w:rPr>
          <w:t>pdoklad</w:t>
        </w:r>
        <w:proofErr w:type="spellEnd"/>
        <w:r w:rsidRPr="00E17B33">
          <w:rPr>
            <w:bCs/>
            <w:color w:val="000000"/>
            <w:szCs w:val="24"/>
            <w:shd w:val="clear" w:color="auto" w:fill="FFFFFF"/>
          </w:rPr>
          <w:t>.</w:t>
        </w:r>
        <w:proofErr w:type="spellStart"/>
        <w:r w:rsidRPr="00E17B33">
          <w:rPr>
            <w:bCs/>
            <w:color w:val="000000"/>
            <w:szCs w:val="24"/>
            <w:shd w:val="clear" w:color="auto" w:fill="FFFFFF"/>
          </w:rPr>
          <w:t>php</w:t>
        </w:r>
        <w:proofErr w:type="spellEnd"/>
      </w:hyperlink>
      <w:r w:rsidRPr="00E17B33">
        <w:rPr>
          <w:rFonts w:cs="Times New Roman"/>
          <w:bCs/>
          <w:color w:val="000000"/>
          <w:szCs w:val="24"/>
          <w:shd w:val="clear" w:color="auto" w:fill="FFFFFF"/>
        </w:rPr>
        <w:t>.</w:t>
      </w:r>
    </w:p>
    <w:p w14:paraId="1352CF50" w14:textId="77777777" w:rsidR="00E17B33" w:rsidRPr="00E17B33" w:rsidRDefault="00E17B33" w:rsidP="00E17B33">
      <w:pPr>
        <w:pStyle w:val="af5"/>
        <w:numPr>
          <w:ilvl w:val="0"/>
          <w:numId w:val="32"/>
        </w:numPr>
        <w:rPr>
          <w:rFonts w:cs="Times New Roman"/>
          <w:bCs/>
          <w:color w:val="000000"/>
          <w:szCs w:val="24"/>
          <w:shd w:val="clear" w:color="auto" w:fill="FFFFFF"/>
        </w:rPr>
      </w:pPr>
      <w:r w:rsidRPr="00E17B33">
        <w:rPr>
          <w:rFonts w:cs="Times New Roman"/>
          <w:bCs/>
          <w:color w:val="000000"/>
          <w:szCs w:val="24"/>
          <w:shd w:val="clear" w:color="auto" w:fill="FFFFFF"/>
        </w:rPr>
        <w:t xml:space="preserve">Добрынин Л. А. и др. Взаимодействие государства и бизнеса: учебное пособие // СПб: Изд-во </w:t>
      </w:r>
      <w:proofErr w:type="spellStart"/>
      <w:r w:rsidRPr="00E17B33">
        <w:rPr>
          <w:rFonts w:cs="Times New Roman"/>
          <w:bCs/>
          <w:color w:val="000000"/>
          <w:szCs w:val="24"/>
          <w:shd w:val="clear" w:color="auto" w:fill="FFFFFF"/>
        </w:rPr>
        <w:t>СПбГЭУ</w:t>
      </w:r>
      <w:proofErr w:type="spellEnd"/>
      <w:r w:rsidRPr="00E17B33">
        <w:rPr>
          <w:rFonts w:cs="Times New Roman"/>
          <w:bCs/>
          <w:color w:val="000000"/>
          <w:szCs w:val="24"/>
          <w:shd w:val="clear" w:color="auto" w:fill="FFFFFF"/>
        </w:rPr>
        <w:t>. – 2014.</w:t>
      </w:r>
    </w:p>
    <w:p w14:paraId="6AE7DF44" w14:textId="77777777" w:rsidR="00E17B33" w:rsidRPr="00E17B33" w:rsidRDefault="00E17B33" w:rsidP="00E17B33">
      <w:pPr>
        <w:pStyle w:val="af5"/>
        <w:numPr>
          <w:ilvl w:val="0"/>
          <w:numId w:val="32"/>
        </w:numPr>
        <w:rPr>
          <w:rFonts w:cs="Times New Roman"/>
          <w:bCs/>
          <w:color w:val="000000"/>
          <w:szCs w:val="24"/>
          <w:shd w:val="clear" w:color="auto" w:fill="FFFFFF"/>
        </w:rPr>
      </w:pPr>
      <w:r w:rsidRPr="00E17B33">
        <w:rPr>
          <w:rFonts w:cs="Times New Roman"/>
          <w:bCs/>
          <w:color w:val="000000"/>
          <w:szCs w:val="24"/>
          <w:shd w:val="clear" w:color="auto" w:fill="FFFFFF"/>
        </w:rPr>
        <w:t>Карачев И.А. Специальный инвестиционный контракт: новое видение инвестиционного инструмента // Сборник материалов VIII Международной научно-практической конференции. –  2018.</w:t>
      </w:r>
    </w:p>
    <w:p w14:paraId="5C6D1E2D" w14:textId="77777777" w:rsidR="00E17B33" w:rsidRPr="00E17B33" w:rsidRDefault="00E17B33" w:rsidP="00E17B33">
      <w:pPr>
        <w:pStyle w:val="af5"/>
        <w:numPr>
          <w:ilvl w:val="0"/>
          <w:numId w:val="32"/>
        </w:numPr>
        <w:rPr>
          <w:rFonts w:cs="Times New Roman"/>
          <w:bCs/>
          <w:color w:val="000000"/>
          <w:szCs w:val="24"/>
          <w:shd w:val="clear" w:color="auto" w:fill="FFFFFF"/>
        </w:rPr>
      </w:pPr>
      <w:r w:rsidRPr="00E17B33">
        <w:rPr>
          <w:rFonts w:cs="Times New Roman"/>
          <w:bCs/>
          <w:color w:val="000000"/>
          <w:szCs w:val="24"/>
          <w:shd w:val="clear" w:color="auto" w:fill="FFFFFF"/>
        </w:rPr>
        <w:t>Карпова Г.Н. Об эффективности специального режима налогообложения при выполнении соглашений о разделе продукции // Экономика. Налоги. Право. 2013. №3.</w:t>
      </w:r>
    </w:p>
    <w:p w14:paraId="612B8288" w14:textId="77777777" w:rsidR="00E17B33" w:rsidRPr="00E17B33" w:rsidRDefault="00E17B33" w:rsidP="00E17B33">
      <w:pPr>
        <w:pStyle w:val="af5"/>
        <w:numPr>
          <w:ilvl w:val="0"/>
          <w:numId w:val="32"/>
        </w:numPr>
        <w:rPr>
          <w:rFonts w:cs="Times New Roman"/>
          <w:bCs/>
          <w:color w:val="000000"/>
          <w:szCs w:val="24"/>
          <w:shd w:val="clear" w:color="auto" w:fill="FFFFFF"/>
        </w:rPr>
      </w:pPr>
      <w:proofErr w:type="spellStart"/>
      <w:r w:rsidRPr="00E17B33">
        <w:rPr>
          <w:rFonts w:cs="Times New Roman"/>
          <w:bCs/>
          <w:color w:val="000000"/>
          <w:szCs w:val="24"/>
          <w:shd w:val="clear" w:color="auto" w:fill="FFFFFF"/>
        </w:rPr>
        <w:t>Коробкова</w:t>
      </w:r>
      <w:proofErr w:type="spellEnd"/>
      <w:r w:rsidRPr="00E17B33">
        <w:rPr>
          <w:rFonts w:cs="Times New Roman"/>
          <w:bCs/>
          <w:color w:val="000000"/>
          <w:szCs w:val="24"/>
          <w:shd w:val="clear" w:color="auto" w:fill="FFFFFF"/>
        </w:rPr>
        <w:t xml:space="preserve"> Н. А., Парамонова Л. С. Совершенствование институтов взаимодействия власти и</w:t>
      </w:r>
      <w:r>
        <w:rPr>
          <w:rFonts w:cs="Times New Roman"/>
          <w:bCs/>
          <w:color w:val="000000"/>
          <w:szCs w:val="24"/>
          <w:shd w:val="clear" w:color="auto" w:fill="FFFFFF"/>
        </w:rPr>
        <w:t xml:space="preserve"> </w:t>
      </w:r>
      <w:r w:rsidRPr="00E17B33">
        <w:rPr>
          <w:rFonts w:cs="Times New Roman"/>
          <w:bCs/>
          <w:color w:val="000000"/>
          <w:szCs w:val="24"/>
          <w:shd w:val="clear" w:color="auto" w:fill="FFFFFF"/>
        </w:rPr>
        <w:t xml:space="preserve">бизнеса в контексте регионального развития //Интернет-журнал </w:t>
      </w:r>
      <w:proofErr w:type="spellStart"/>
      <w:r w:rsidRPr="00E17B33">
        <w:rPr>
          <w:rFonts w:cs="Times New Roman"/>
          <w:bCs/>
          <w:color w:val="000000"/>
          <w:szCs w:val="24"/>
          <w:shd w:val="clear" w:color="auto" w:fill="FFFFFF"/>
        </w:rPr>
        <w:t>Науковедение</w:t>
      </w:r>
      <w:proofErr w:type="spellEnd"/>
      <w:r w:rsidRPr="00E17B33">
        <w:rPr>
          <w:rFonts w:cs="Times New Roman"/>
          <w:bCs/>
          <w:color w:val="000000"/>
          <w:szCs w:val="24"/>
          <w:shd w:val="clear" w:color="auto" w:fill="FFFFFF"/>
        </w:rPr>
        <w:t>. – 2013. – №. 6 (19).</w:t>
      </w:r>
    </w:p>
    <w:p w14:paraId="5D3B819B" w14:textId="77777777" w:rsidR="00E17B33" w:rsidRPr="00E17B33" w:rsidRDefault="00E17B33" w:rsidP="00E17B33">
      <w:pPr>
        <w:pStyle w:val="af5"/>
        <w:numPr>
          <w:ilvl w:val="0"/>
          <w:numId w:val="32"/>
        </w:numPr>
        <w:rPr>
          <w:rFonts w:cs="Times New Roman"/>
          <w:bCs/>
          <w:color w:val="000000"/>
          <w:szCs w:val="24"/>
          <w:shd w:val="clear" w:color="auto" w:fill="FFFFFF"/>
        </w:rPr>
      </w:pPr>
      <w:r w:rsidRPr="00E17B33">
        <w:rPr>
          <w:rFonts w:cs="Times New Roman"/>
          <w:bCs/>
          <w:color w:val="000000"/>
          <w:szCs w:val="24"/>
          <w:shd w:val="clear" w:color="auto" w:fill="FFFFFF"/>
        </w:rPr>
        <w:t>Лисов В.И. Некоторые аспекты развития минерально-сырьевого комплекса России в условиях модернизации экономики. М., 2011.</w:t>
      </w:r>
    </w:p>
    <w:p w14:paraId="4EE80E38" w14:textId="77777777" w:rsidR="00E17B33" w:rsidRPr="00E17B33" w:rsidRDefault="00E17B33" w:rsidP="00E17B33">
      <w:pPr>
        <w:pStyle w:val="af5"/>
        <w:numPr>
          <w:ilvl w:val="0"/>
          <w:numId w:val="32"/>
        </w:numPr>
        <w:rPr>
          <w:rFonts w:cs="Times New Roman"/>
          <w:bCs/>
          <w:color w:val="000000"/>
          <w:szCs w:val="24"/>
          <w:shd w:val="clear" w:color="auto" w:fill="FFFFFF"/>
        </w:rPr>
      </w:pPr>
      <w:proofErr w:type="spellStart"/>
      <w:r w:rsidRPr="00E17B33">
        <w:rPr>
          <w:rFonts w:cs="Times New Roman"/>
          <w:bCs/>
          <w:color w:val="000000"/>
          <w:szCs w:val="24"/>
          <w:shd w:val="clear" w:color="auto" w:fill="FFFFFF"/>
        </w:rPr>
        <w:lastRenderedPageBreak/>
        <w:t>Лылова</w:t>
      </w:r>
      <w:proofErr w:type="spellEnd"/>
      <w:r w:rsidRPr="00E17B33">
        <w:rPr>
          <w:rFonts w:cs="Times New Roman"/>
          <w:bCs/>
          <w:color w:val="000000"/>
          <w:szCs w:val="24"/>
          <w:shd w:val="clear" w:color="auto" w:fill="FFFFFF"/>
        </w:rPr>
        <w:t xml:space="preserve"> Е. В. Совершенствование взаимодействия властных и предпринимательских структур в социально-экономической сфере // Автореферат диссертации на соискание ученой степени кандидата экономических наук // Москва. – 2013. </w:t>
      </w:r>
    </w:p>
    <w:p w14:paraId="37765E4D" w14:textId="77777777" w:rsidR="00E17B33" w:rsidRPr="00E17B33" w:rsidRDefault="00E17B33" w:rsidP="00E17B33">
      <w:pPr>
        <w:pStyle w:val="af5"/>
        <w:numPr>
          <w:ilvl w:val="0"/>
          <w:numId w:val="32"/>
        </w:numPr>
        <w:rPr>
          <w:rFonts w:cs="Times New Roman"/>
          <w:bCs/>
          <w:color w:val="000000"/>
          <w:szCs w:val="24"/>
          <w:shd w:val="clear" w:color="auto" w:fill="FFFFFF"/>
        </w:rPr>
      </w:pPr>
      <w:proofErr w:type="spellStart"/>
      <w:r w:rsidRPr="00E17B33">
        <w:rPr>
          <w:rFonts w:cs="Times New Roman"/>
          <w:bCs/>
          <w:color w:val="000000"/>
          <w:szCs w:val="24"/>
          <w:shd w:val="clear" w:color="auto" w:fill="FFFFFF"/>
        </w:rPr>
        <w:t>Лытаев</w:t>
      </w:r>
      <w:proofErr w:type="spellEnd"/>
      <w:r w:rsidRPr="00E17B33">
        <w:rPr>
          <w:rFonts w:cs="Times New Roman"/>
          <w:bCs/>
          <w:color w:val="000000"/>
          <w:szCs w:val="24"/>
          <w:shd w:val="clear" w:color="auto" w:fill="FFFFFF"/>
        </w:rPr>
        <w:t xml:space="preserve"> А.В, Токарев А.Н. Условия соглашений о разделе продукции нефтедобычи // Вестник НГУ. Серия: Социально-экономические науки. 2011. Том 11, выпуск 4.</w:t>
      </w:r>
    </w:p>
    <w:p w14:paraId="530C6F49" w14:textId="77777777" w:rsidR="00E17B33" w:rsidRPr="00E17B33" w:rsidRDefault="00E17B33" w:rsidP="00E17B33">
      <w:pPr>
        <w:pStyle w:val="af5"/>
        <w:numPr>
          <w:ilvl w:val="0"/>
          <w:numId w:val="32"/>
        </w:numPr>
        <w:rPr>
          <w:rFonts w:cs="Times New Roman"/>
          <w:bCs/>
          <w:color w:val="000000"/>
          <w:szCs w:val="24"/>
          <w:shd w:val="clear" w:color="auto" w:fill="FFFFFF"/>
        </w:rPr>
      </w:pPr>
      <w:r w:rsidRPr="00E17B33">
        <w:rPr>
          <w:rFonts w:cs="Times New Roman"/>
          <w:bCs/>
          <w:color w:val="000000"/>
          <w:szCs w:val="24"/>
          <w:shd w:val="clear" w:color="auto" w:fill="FFFFFF"/>
        </w:rPr>
        <w:t xml:space="preserve">Морозов О. А. Взаимодействие с органами государственной власти, или </w:t>
      </w:r>
      <w:proofErr w:type="spellStart"/>
      <w:r w:rsidRPr="00E17B33">
        <w:rPr>
          <w:rFonts w:cs="Times New Roman"/>
          <w:bCs/>
          <w:color w:val="000000"/>
          <w:szCs w:val="24"/>
          <w:shd w:val="clear" w:color="auto" w:fill="FFFFFF"/>
        </w:rPr>
        <w:t>government</w:t>
      </w:r>
      <w:proofErr w:type="spellEnd"/>
      <w:r w:rsidRPr="00E17B33">
        <w:rPr>
          <w:rFonts w:cs="Times New Roman"/>
          <w:bCs/>
          <w:color w:val="000000"/>
          <w:szCs w:val="24"/>
          <w:shd w:val="clear" w:color="auto" w:fill="FFFFFF"/>
        </w:rPr>
        <w:t xml:space="preserve"> </w:t>
      </w:r>
      <w:proofErr w:type="spellStart"/>
      <w:r w:rsidRPr="00E17B33">
        <w:rPr>
          <w:rFonts w:cs="Times New Roman"/>
          <w:bCs/>
          <w:color w:val="000000"/>
          <w:szCs w:val="24"/>
          <w:shd w:val="clear" w:color="auto" w:fill="FFFFFF"/>
        </w:rPr>
        <w:t>relations</w:t>
      </w:r>
      <w:proofErr w:type="spellEnd"/>
      <w:r w:rsidRPr="00E17B33">
        <w:rPr>
          <w:rFonts w:cs="Times New Roman"/>
          <w:bCs/>
          <w:color w:val="000000"/>
          <w:szCs w:val="24"/>
          <w:shd w:val="clear" w:color="auto" w:fill="FFFFFF"/>
        </w:rPr>
        <w:t>. –</w:t>
      </w:r>
      <w:r>
        <w:rPr>
          <w:rFonts w:cs="Times New Roman"/>
          <w:bCs/>
          <w:color w:val="000000"/>
          <w:szCs w:val="24"/>
          <w:shd w:val="clear" w:color="auto" w:fill="FFFFFF"/>
        </w:rPr>
        <w:t xml:space="preserve"> </w:t>
      </w:r>
      <w:r w:rsidRPr="00E17B33">
        <w:rPr>
          <w:rFonts w:cs="Times New Roman"/>
          <w:bCs/>
          <w:color w:val="000000"/>
          <w:szCs w:val="24"/>
          <w:shd w:val="clear" w:color="auto" w:fill="FFFFFF"/>
        </w:rPr>
        <w:t>2015.</w:t>
      </w:r>
    </w:p>
    <w:p w14:paraId="1F163005" w14:textId="77777777" w:rsidR="00E17B33" w:rsidRPr="00E17B33" w:rsidRDefault="00E17B33" w:rsidP="00E17B33">
      <w:pPr>
        <w:pStyle w:val="af5"/>
        <w:numPr>
          <w:ilvl w:val="0"/>
          <w:numId w:val="32"/>
        </w:numPr>
        <w:rPr>
          <w:rFonts w:cs="Times New Roman"/>
          <w:bCs/>
          <w:color w:val="000000"/>
          <w:szCs w:val="24"/>
          <w:shd w:val="clear" w:color="auto" w:fill="FFFFFF"/>
        </w:rPr>
      </w:pPr>
      <w:r w:rsidRPr="00E17B33">
        <w:rPr>
          <w:rFonts w:cs="Times New Roman"/>
          <w:bCs/>
          <w:color w:val="000000"/>
          <w:szCs w:val="24"/>
          <w:shd w:val="clear" w:color="auto" w:fill="FFFFFF"/>
        </w:rPr>
        <w:t>Писарев А. Формы взаимодействия государства и гражданского общества в Российской</w:t>
      </w:r>
      <w:r>
        <w:rPr>
          <w:rFonts w:cs="Times New Roman"/>
          <w:bCs/>
          <w:color w:val="000000"/>
          <w:szCs w:val="24"/>
          <w:shd w:val="clear" w:color="auto" w:fill="FFFFFF"/>
        </w:rPr>
        <w:t xml:space="preserve"> </w:t>
      </w:r>
      <w:r w:rsidRPr="00E17B33">
        <w:rPr>
          <w:rFonts w:cs="Times New Roman"/>
          <w:bCs/>
          <w:color w:val="000000"/>
          <w:szCs w:val="24"/>
          <w:shd w:val="clear" w:color="auto" w:fill="FFFFFF"/>
        </w:rPr>
        <w:t>Федерации. Учебное пособие. – 2017.</w:t>
      </w:r>
    </w:p>
    <w:p w14:paraId="313CE3E5" w14:textId="77777777" w:rsidR="00E17B33" w:rsidRPr="00E17B33" w:rsidRDefault="00E17B33" w:rsidP="00E17B33">
      <w:pPr>
        <w:pStyle w:val="af5"/>
        <w:numPr>
          <w:ilvl w:val="0"/>
          <w:numId w:val="32"/>
        </w:numPr>
        <w:rPr>
          <w:rFonts w:cs="Times New Roman"/>
          <w:bCs/>
          <w:color w:val="000000"/>
          <w:szCs w:val="24"/>
          <w:shd w:val="clear" w:color="auto" w:fill="FFFFFF"/>
        </w:rPr>
      </w:pPr>
      <w:proofErr w:type="spellStart"/>
      <w:r w:rsidRPr="00E17B33">
        <w:rPr>
          <w:rFonts w:cs="Times New Roman"/>
          <w:bCs/>
          <w:color w:val="000000"/>
          <w:szCs w:val="24"/>
          <w:shd w:val="clear" w:color="auto" w:fill="FFFFFF"/>
        </w:rPr>
        <w:t>Рагулина</w:t>
      </w:r>
      <w:proofErr w:type="spellEnd"/>
      <w:r w:rsidRPr="00E17B33">
        <w:rPr>
          <w:rFonts w:cs="Times New Roman"/>
          <w:bCs/>
          <w:color w:val="000000"/>
          <w:szCs w:val="24"/>
          <w:shd w:val="clear" w:color="auto" w:fill="FFFFFF"/>
        </w:rPr>
        <w:t xml:space="preserve"> Ю. и др. Государственно-частное партнерство: региональный опыт развития. – </w:t>
      </w:r>
      <w:proofErr w:type="spellStart"/>
      <w:r w:rsidRPr="00E17B33">
        <w:rPr>
          <w:rFonts w:cs="Times New Roman"/>
          <w:bCs/>
          <w:color w:val="000000"/>
          <w:szCs w:val="24"/>
          <w:shd w:val="clear" w:color="auto" w:fill="FFFFFF"/>
        </w:rPr>
        <w:t>Litres</w:t>
      </w:r>
      <w:proofErr w:type="spellEnd"/>
      <w:r w:rsidRPr="00E17B33">
        <w:rPr>
          <w:rFonts w:cs="Times New Roman"/>
          <w:bCs/>
          <w:color w:val="000000"/>
          <w:szCs w:val="24"/>
          <w:shd w:val="clear" w:color="auto" w:fill="FFFFFF"/>
        </w:rPr>
        <w:t>, 2017.</w:t>
      </w:r>
    </w:p>
    <w:p w14:paraId="07FF84E3" w14:textId="77777777" w:rsidR="00E17B33" w:rsidRPr="00E17B33" w:rsidRDefault="00E17B33" w:rsidP="00E17B33">
      <w:pPr>
        <w:pStyle w:val="af5"/>
        <w:numPr>
          <w:ilvl w:val="0"/>
          <w:numId w:val="32"/>
        </w:numPr>
        <w:rPr>
          <w:rFonts w:cs="Times New Roman"/>
          <w:bCs/>
          <w:color w:val="000000"/>
          <w:szCs w:val="24"/>
          <w:shd w:val="clear" w:color="auto" w:fill="FFFFFF"/>
        </w:rPr>
      </w:pPr>
      <w:r w:rsidRPr="00E17B33">
        <w:rPr>
          <w:rFonts w:cs="Times New Roman"/>
          <w:bCs/>
          <w:color w:val="000000"/>
          <w:szCs w:val="24"/>
          <w:shd w:val="clear" w:color="auto" w:fill="FFFFFF"/>
        </w:rPr>
        <w:t>Селин В.С., Зерщикова Н.И. Проблемы и перспективы применения соглашений о разделе продукции при освоении Арктического шельфа // Записки Горного института. 2008.</w:t>
      </w:r>
    </w:p>
    <w:p w14:paraId="7099B0E2" w14:textId="77777777" w:rsidR="00E17B33" w:rsidRPr="00E17B33" w:rsidRDefault="00E17B33" w:rsidP="00E17B33">
      <w:pPr>
        <w:pStyle w:val="af5"/>
        <w:numPr>
          <w:ilvl w:val="0"/>
          <w:numId w:val="32"/>
        </w:numPr>
        <w:rPr>
          <w:rFonts w:cs="Times New Roman"/>
          <w:bCs/>
          <w:color w:val="000000"/>
          <w:szCs w:val="24"/>
          <w:shd w:val="clear" w:color="auto" w:fill="FFFFFF"/>
        </w:rPr>
      </w:pPr>
      <w:r w:rsidRPr="00E17B33">
        <w:rPr>
          <w:rFonts w:cs="Times New Roman"/>
          <w:bCs/>
          <w:color w:val="000000"/>
          <w:szCs w:val="24"/>
          <w:shd w:val="clear" w:color="auto" w:fill="FFFFFF"/>
        </w:rPr>
        <w:t>Синявский Н. Г. и др. Взаимодействие субъектов экономики в процессе институциональных преобразований в аграрной сфере // Известия НВ АУК. 2012. №1.</w:t>
      </w:r>
    </w:p>
    <w:p w14:paraId="5323C5B0" w14:textId="77777777" w:rsidR="00E17B33" w:rsidRPr="00E17B33" w:rsidRDefault="00E17B33" w:rsidP="00E17B33">
      <w:pPr>
        <w:pStyle w:val="af5"/>
        <w:numPr>
          <w:ilvl w:val="0"/>
          <w:numId w:val="32"/>
        </w:numPr>
        <w:rPr>
          <w:rFonts w:cs="Times New Roman"/>
          <w:bCs/>
          <w:color w:val="000000"/>
          <w:szCs w:val="24"/>
          <w:shd w:val="clear" w:color="auto" w:fill="FFFFFF"/>
        </w:rPr>
      </w:pPr>
      <w:r w:rsidRPr="00E17B33">
        <w:rPr>
          <w:rFonts w:cs="Times New Roman"/>
          <w:bCs/>
          <w:color w:val="000000"/>
          <w:szCs w:val="24"/>
          <w:shd w:val="clear" w:color="auto" w:fill="FFFFFF"/>
        </w:rPr>
        <w:t>Шишков Б.Е. Механизмы государственно-частного партнерства в оборонно-промышленном комплексе // Имущественные отношения в РФ. 2015. №12 (171). С. 88-97.</w:t>
      </w:r>
    </w:p>
    <w:p w14:paraId="1E63C6E2" w14:textId="77777777" w:rsidR="00E17B33" w:rsidRPr="00E17B33" w:rsidRDefault="00E17B33" w:rsidP="00E17B33">
      <w:pPr>
        <w:pStyle w:val="af5"/>
        <w:numPr>
          <w:ilvl w:val="0"/>
          <w:numId w:val="32"/>
        </w:numPr>
        <w:rPr>
          <w:rFonts w:cs="Times New Roman"/>
          <w:bCs/>
          <w:color w:val="000000"/>
          <w:szCs w:val="24"/>
          <w:shd w:val="clear" w:color="auto" w:fill="FFFFFF"/>
        </w:rPr>
      </w:pPr>
      <w:r w:rsidRPr="00E17B33">
        <w:rPr>
          <w:rFonts w:cs="Times New Roman"/>
          <w:bCs/>
          <w:color w:val="000000"/>
          <w:szCs w:val="24"/>
          <w:shd w:val="clear" w:color="auto" w:fill="FFFFFF"/>
        </w:rPr>
        <w:t xml:space="preserve">Шор Д.М., Шор И.М. Взаимодействие государства и частного бизнеса при реализации концессионных соглашений // Финансовая аналитика: проблемы и решения. 2016. №46 (328). </w:t>
      </w:r>
    </w:p>
    <w:p w14:paraId="74D18CB0" w14:textId="77777777" w:rsidR="00E17B33" w:rsidRPr="00E17B33" w:rsidRDefault="00E17B33" w:rsidP="00E17B33">
      <w:pPr>
        <w:pStyle w:val="af5"/>
        <w:numPr>
          <w:ilvl w:val="0"/>
          <w:numId w:val="32"/>
        </w:numPr>
        <w:rPr>
          <w:rFonts w:cs="Times New Roman"/>
          <w:bCs/>
          <w:color w:val="000000"/>
          <w:szCs w:val="24"/>
          <w:shd w:val="clear" w:color="auto" w:fill="FFFFFF"/>
        </w:rPr>
      </w:pPr>
      <w:r w:rsidRPr="00E17B33">
        <w:rPr>
          <w:rFonts w:cs="Times New Roman"/>
          <w:bCs/>
          <w:color w:val="000000"/>
          <w:szCs w:val="24"/>
          <w:shd w:val="clear" w:color="auto" w:fill="FFFFFF"/>
        </w:rPr>
        <w:t>Шохин А.Н. и др. Анализ эффективности форм ГЧП в рамках взаимодействия бизнеса и власти // Журнал «Бизнес. Общество. Власть». № 1 (26). 2017.</w:t>
      </w:r>
    </w:p>
    <w:p w14:paraId="260F2BCF" w14:textId="77777777" w:rsidR="00E17B33" w:rsidRPr="00E17B33" w:rsidRDefault="00E17B33" w:rsidP="00E17B33">
      <w:pPr>
        <w:pStyle w:val="af5"/>
        <w:numPr>
          <w:ilvl w:val="0"/>
          <w:numId w:val="32"/>
        </w:numPr>
        <w:rPr>
          <w:rFonts w:cs="Times New Roman"/>
          <w:bCs/>
          <w:color w:val="000000"/>
          <w:szCs w:val="24"/>
          <w:shd w:val="clear" w:color="auto" w:fill="FFFFFF"/>
        </w:rPr>
      </w:pPr>
      <w:r w:rsidRPr="00E17B33">
        <w:rPr>
          <w:rFonts w:cs="Times New Roman"/>
          <w:bCs/>
          <w:color w:val="000000"/>
          <w:szCs w:val="24"/>
          <w:shd w:val="clear" w:color="auto" w:fill="FFFFFF"/>
        </w:rPr>
        <w:t>Шохин С.О. Государственно-частное партнерство: проблемы правового обеспечения // Журнал «Юрист». – 2018. № 2. С. 4-10.</w:t>
      </w:r>
    </w:p>
    <w:p w14:paraId="2F105F05" w14:textId="77777777" w:rsidR="00E17B33" w:rsidRPr="00E17B33" w:rsidRDefault="00E17B33" w:rsidP="00E17B33">
      <w:pPr>
        <w:pStyle w:val="af5"/>
        <w:numPr>
          <w:ilvl w:val="0"/>
          <w:numId w:val="32"/>
        </w:numPr>
        <w:rPr>
          <w:rFonts w:cs="Times New Roman"/>
          <w:bCs/>
          <w:color w:val="000000"/>
          <w:szCs w:val="24"/>
          <w:shd w:val="clear" w:color="auto" w:fill="FFFFFF"/>
        </w:rPr>
      </w:pPr>
      <w:r w:rsidRPr="00E17B33">
        <w:rPr>
          <w:rFonts w:cs="Times New Roman"/>
          <w:bCs/>
          <w:color w:val="000000"/>
          <w:szCs w:val="24"/>
          <w:shd w:val="clear" w:color="auto" w:fill="FFFFFF"/>
        </w:rPr>
        <w:t>Юрьева Т. В. Проекты государственно-частного партнёрства в России и в зарубежных странах //</w:t>
      </w:r>
      <w:r>
        <w:rPr>
          <w:rFonts w:cs="Times New Roman"/>
          <w:bCs/>
          <w:color w:val="000000"/>
          <w:szCs w:val="24"/>
          <w:shd w:val="clear" w:color="auto" w:fill="FFFFFF"/>
        </w:rPr>
        <w:t xml:space="preserve"> </w:t>
      </w:r>
      <w:r w:rsidRPr="00E17B33">
        <w:rPr>
          <w:rFonts w:cs="Times New Roman"/>
          <w:bCs/>
          <w:color w:val="000000"/>
          <w:szCs w:val="24"/>
          <w:shd w:val="clear" w:color="auto" w:fill="FFFFFF"/>
        </w:rPr>
        <w:t>Региональная экономика и управление: электрон. науч. журнал. № 4 (48). </w:t>
      </w:r>
    </w:p>
    <w:p w14:paraId="6A6201DD" w14:textId="7F59B7B2" w:rsidR="00E17B33" w:rsidRPr="00E17B33" w:rsidRDefault="00E17B33" w:rsidP="00E17B33">
      <w:pPr>
        <w:pStyle w:val="af5"/>
        <w:numPr>
          <w:ilvl w:val="0"/>
          <w:numId w:val="32"/>
        </w:numPr>
        <w:rPr>
          <w:rFonts w:cs="Times New Roman"/>
          <w:bCs/>
          <w:color w:val="000000"/>
          <w:szCs w:val="24"/>
          <w:shd w:val="clear" w:color="auto" w:fill="FFFFFF"/>
        </w:rPr>
      </w:pPr>
      <w:r w:rsidRPr="00E17B33">
        <w:rPr>
          <w:rFonts w:cs="Times New Roman"/>
          <w:bCs/>
          <w:color w:val="000000"/>
          <w:szCs w:val="24"/>
          <w:shd w:val="clear" w:color="auto" w:fill="FFFFFF"/>
        </w:rPr>
        <w:t>Доклад о социальных инвестициях в России за 2004 год: Роль бизнеса в общественном развитии // Под общей ред. С.Е. Литовченко. - М.: Ассоциация менеджеров, 2004. С. 80.</w:t>
      </w:r>
    </w:p>
    <w:p w14:paraId="60627B3F" w14:textId="5AEE3786" w:rsidR="00A747E5" w:rsidRPr="006E2FF8" w:rsidRDefault="00E17B33" w:rsidP="00A747E5">
      <w:pPr>
        <w:pStyle w:val="af5"/>
        <w:numPr>
          <w:ilvl w:val="0"/>
          <w:numId w:val="32"/>
        </w:numPr>
        <w:jc w:val="left"/>
        <w:rPr>
          <w:rFonts w:cs="Times New Roman"/>
          <w:bCs/>
          <w:color w:val="000000"/>
          <w:szCs w:val="24"/>
          <w:shd w:val="clear" w:color="auto" w:fill="FFFFFF"/>
        </w:rPr>
      </w:pPr>
      <w:r w:rsidRPr="00E17B33">
        <w:rPr>
          <w:rFonts w:cs="Times New Roman"/>
          <w:bCs/>
          <w:color w:val="000000"/>
          <w:szCs w:val="24"/>
          <w:shd w:val="clear" w:color="auto" w:fill="FFFFFF"/>
        </w:rPr>
        <w:lastRenderedPageBreak/>
        <w:t>Исследование рынка коммерческой медицины в России 2018-2019 годы. Режим доступа</w:t>
      </w:r>
      <w:r>
        <w:rPr>
          <w:rFonts w:cs="Times New Roman"/>
          <w:bCs/>
          <w:color w:val="000000"/>
          <w:szCs w:val="24"/>
          <w:shd w:val="clear" w:color="auto" w:fill="FFFFFF"/>
        </w:rPr>
        <w:t>:</w:t>
      </w:r>
      <w:r w:rsidR="003B56EC">
        <w:rPr>
          <w:rFonts w:cs="Times New Roman"/>
          <w:bCs/>
          <w:color w:val="000000"/>
          <w:szCs w:val="24"/>
          <w:shd w:val="clear" w:color="auto" w:fill="FFFFFF"/>
        </w:rPr>
        <w:t xml:space="preserve"> </w:t>
      </w:r>
      <w:r w:rsidRPr="003B56EC">
        <w:t>https://assets.ey.com/content/dam/ey-sites/ey-com/ru_ru/news/2020/03/ey_healthcare_research_2018-2019_24032020.pdf</w:t>
      </w:r>
    </w:p>
    <w:sectPr w:rsidR="00A747E5" w:rsidRPr="006E2FF8" w:rsidSect="00AC4219">
      <w:footerReference w:type="even" r:id="rId14"/>
      <w:footerReference w:type="default" r:id="rId15"/>
      <w:pgSz w:w="11906" w:h="16838"/>
      <w:pgMar w:top="1134" w:right="851"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35807" w14:textId="77777777" w:rsidR="00DC36D5" w:rsidRDefault="00DC36D5" w:rsidP="00AC4219">
      <w:pPr>
        <w:spacing w:line="240" w:lineRule="auto"/>
      </w:pPr>
      <w:r>
        <w:separator/>
      </w:r>
    </w:p>
  </w:endnote>
  <w:endnote w:type="continuationSeparator" w:id="0">
    <w:p w14:paraId="7195A6CF" w14:textId="77777777" w:rsidR="00DC36D5" w:rsidRDefault="00DC36D5" w:rsidP="00AC42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73913" w14:textId="77777777" w:rsidR="008B2819" w:rsidRDefault="008B2819" w:rsidP="000C7352">
    <w:pPr>
      <w:pStyle w:val="af"/>
      <w:framePr w:wrap="none"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29AA1869" w14:textId="77777777" w:rsidR="008B2819" w:rsidRDefault="008B2819" w:rsidP="00AC4219">
    <w:pPr>
      <w:pStyle w:val="af"/>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A18D1" w14:textId="36E59735" w:rsidR="008B2819" w:rsidRDefault="008B2819" w:rsidP="000C7352">
    <w:pPr>
      <w:pStyle w:val="af"/>
      <w:framePr w:wrap="none"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5E05D4">
      <w:rPr>
        <w:rStyle w:val="af1"/>
        <w:noProof/>
      </w:rPr>
      <w:t>22</w:t>
    </w:r>
    <w:r>
      <w:rPr>
        <w:rStyle w:val="af1"/>
      </w:rPr>
      <w:fldChar w:fldCharType="end"/>
    </w:r>
  </w:p>
  <w:p w14:paraId="595A6C50" w14:textId="77777777" w:rsidR="008B2819" w:rsidRDefault="008B2819" w:rsidP="00AC4219">
    <w:pPr>
      <w:pStyle w:val="af"/>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D3038" w14:textId="77777777" w:rsidR="00DC36D5" w:rsidRDefault="00DC36D5" w:rsidP="00AC4219">
      <w:pPr>
        <w:spacing w:line="240" w:lineRule="auto"/>
      </w:pPr>
      <w:r>
        <w:separator/>
      </w:r>
    </w:p>
  </w:footnote>
  <w:footnote w:type="continuationSeparator" w:id="0">
    <w:p w14:paraId="4B1E52F3" w14:textId="77777777" w:rsidR="00DC36D5" w:rsidRDefault="00DC36D5" w:rsidP="00AC4219">
      <w:pPr>
        <w:spacing w:line="240" w:lineRule="auto"/>
      </w:pPr>
      <w:r>
        <w:continuationSeparator/>
      </w:r>
    </w:p>
  </w:footnote>
  <w:footnote w:id="1">
    <w:p w14:paraId="0F80C84B" w14:textId="1E6AE7C1" w:rsidR="008B2819" w:rsidRPr="008D6286" w:rsidRDefault="008B2819" w:rsidP="00C430A9">
      <w:pPr>
        <w:pStyle w:val="af8"/>
        <w:ind w:left="709" w:firstLine="0"/>
        <w:jc w:val="left"/>
      </w:pPr>
      <w:r>
        <w:rPr>
          <w:rStyle w:val="afa"/>
        </w:rPr>
        <w:footnoteRef/>
      </w:r>
      <w:r>
        <w:t xml:space="preserve"> </w:t>
      </w:r>
      <w:proofErr w:type="spellStart"/>
      <w:r w:rsidRPr="008530C9">
        <w:rPr>
          <w:rFonts w:cs="Times New Roman"/>
        </w:rPr>
        <w:t>Лылова</w:t>
      </w:r>
      <w:proofErr w:type="spellEnd"/>
      <w:r w:rsidRPr="008530C9">
        <w:rPr>
          <w:rFonts w:cs="Times New Roman"/>
        </w:rPr>
        <w:t xml:space="preserve"> Е. В. Совершенствование взаимодействия властных и предпринимательских структур в социально-экономической </w:t>
      </w:r>
      <w:r w:rsidRPr="00CB6278">
        <w:rPr>
          <w:rFonts w:cs="Times New Roman"/>
        </w:rPr>
        <w:t>сфере</w:t>
      </w:r>
      <w:r>
        <w:rPr>
          <w:rFonts w:cs="Times New Roman"/>
        </w:rPr>
        <w:t xml:space="preserve"> // </w:t>
      </w:r>
      <w:r w:rsidRPr="008530C9">
        <w:rPr>
          <w:rFonts w:cs="Times New Roman"/>
        </w:rPr>
        <w:t>Автореферат диссертации на соискание ученой степени кандидата экономических наук</w:t>
      </w:r>
      <w:r>
        <w:rPr>
          <w:rFonts w:cs="Times New Roman"/>
        </w:rPr>
        <w:t xml:space="preserve"> // Москва. – </w:t>
      </w:r>
      <w:r w:rsidRPr="008530C9">
        <w:rPr>
          <w:rFonts w:cs="Times New Roman"/>
        </w:rPr>
        <w:t>2013.</w:t>
      </w:r>
      <w:r>
        <w:rPr>
          <w:rFonts w:cs="Times New Roman"/>
        </w:rPr>
        <w:t xml:space="preserve"> Режим доступа: </w:t>
      </w:r>
      <w:hyperlink r:id="rId1" w:history="1">
        <w:r w:rsidRPr="00D50296">
          <w:rPr>
            <w:rFonts w:cs="Times New Roman"/>
            <w:lang w:val="en-US"/>
          </w:rPr>
          <w:t>https</w:t>
        </w:r>
        <w:r w:rsidRPr="008D6286">
          <w:rPr>
            <w:rFonts w:cs="Times New Roman"/>
          </w:rPr>
          <w:t>://</w:t>
        </w:r>
        <w:r w:rsidRPr="00D50296">
          <w:rPr>
            <w:rFonts w:cs="Times New Roman"/>
            <w:lang w:val="en-US"/>
          </w:rPr>
          <w:t>www</w:t>
        </w:r>
        <w:r w:rsidRPr="008D6286">
          <w:rPr>
            <w:rFonts w:cs="Times New Roman"/>
          </w:rPr>
          <w:t>.</w:t>
        </w:r>
        <w:proofErr w:type="spellStart"/>
        <w:r w:rsidRPr="00D50296">
          <w:rPr>
            <w:rFonts w:cs="Times New Roman"/>
            <w:lang w:val="en-US"/>
          </w:rPr>
          <w:t>dissercat</w:t>
        </w:r>
        <w:proofErr w:type="spellEnd"/>
        <w:r w:rsidRPr="008D6286">
          <w:rPr>
            <w:rFonts w:cs="Times New Roman"/>
          </w:rPr>
          <w:t>.</w:t>
        </w:r>
        <w:r w:rsidRPr="00D50296">
          <w:rPr>
            <w:rFonts w:cs="Times New Roman"/>
            <w:lang w:val="en-US"/>
          </w:rPr>
          <w:t>com</w:t>
        </w:r>
        <w:r w:rsidRPr="008D6286">
          <w:rPr>
            <w:rFonts w:cs="Times New Roman"/>
          </w:rPr>
          <w:t>/</w:t>
        </w:r>
        <w:r w:rsidRPr="00D50296">
          <w:rPr>
            <w:rFonts w:cs="Times New Roman"/>
            <w:lang w:val="en-US"/>
          </w:rPr>
          <w:t>content</w:t>
        </w:r>
        <w:r w:rsidRPr="008D6286">
          <w:rPr>
            <w:rFonts w:cs="Times New Roman"/>
          </w:rPr>
          <w:t>/</w:t>
        </w:r>
        <w:proofErr w:type="spellStart"/>
        <w:r w:rsidRPr="00D50296">
          <w:rPr>
            <w:rFonts w:cs="Times New Roman"/>
            <w:lang w:val="en-US"/>
          </w:rPr>
          <w:t>sovershenstvovanie</w:t>
        </w:r>
        <w:proofErr w:type="spellEnd"/>
        <w:r w:rsidRPr="008D6286">
          <w:rPr>
            <w:rFonts w:cs="Times New Roman"/>
          </w:rPr>
          <w:t>-</w:t>
        </w:r>
        <w:proofErr w:type="spellStart"/>
        <w:r w:rsidRPr="00D50296">
          <w:rPr>
            <w:rFonts w:cs="Times New Roman"/>
            <w:lang w:val="en-US"/>
          </w:rPr>
          <w:t>vzaimodeistviya</w:t>
        </w:r>
        <w:proofErr w:type="spellEnd"/>
        <w:r w:rsidRPr="008D6286">
          <w:rPr>
            <w:rFonts w:cs="Times New Roman"/>
          </w:rPr>
          <w:t>-</w:t>
        </w:r>
        <w:proofErr w:type="spellStart"/>
        <w:r w:rsidRPr="00D50296">
          <w:rPr>
            <w:rFonts w:cs="Times New Roman"/>
            <w:lang w:val="en-US"/>
          </w:rPr>
          <w:t>vlastnykh</w:t>
        </w:r>
        <w:proofErr w:type="spellEnd"/>
        <w:r w:rsidRPr="008D6286">
          <w:rPr>
            <w:rFonts w:cs="Times New Roman"/>
          </w:rPr>
          <w:t>-</w:t>
        </w:r>
        <w:proofErr w:type="spellStart"/>
        <w:r w:rsidRPr="00D50296">
          <w:rPr>
            <w:rFonts w:cs="Times New Roman"/>
            <w:lang w:val="en-US"/>
          </w:rPr>
          <w:t>i</w:t>
        </w:r>
        <w:proofErr w:type="spellEnd"/>
        <w:r w:rsidRPr="008D6286">
          <w:rPr>
            <w:rFonts w:cs="Times New Roman"/>
          </w:rPr>
          <w:t>-</w:t>
        </w:r>
        <w:proofErr w:type="spellStart"/>
        <w:r w:rsidRPr="00D50296">
          <w:rPr>
            <w:rFonts w:cs="Times New Roman"/>
            <w:lang w:val="en-US"/>
          </w:rPr>
          <w:t>predprinimatelskikh</w:t>
        </w:r>
        <w:proofErr w:type="spellEnd"/>
        <w:r w:rsidRPr="008D6286">
          <w:rPr>
            <w:rFonts w:cs="Times New Roman"/>
          </w:rPr>
          <w:t>-</w:t>
        </w:r>
        <w:proofErr w:type="spellStart"/>
        <w:r w:rsidRPr="00D50296">
          <w:rPr>
            <w:rFonts w:cs="Times New Roman"/>
            <w:lang w:val="en-US"/>
          </w:rPr>
          <w:t>struktur</w:t>
        </w:r>
        <w:proofErr w:type="spellEnd"/>
        <w:r w:rsidRPr="008D6286">
          <w:rPr>
            <w:rFonts w:cs="Times New Roman"/>
          </w:rPr>
          <w:t>-</w:t>
        </w:r>
        <w:r w:rsidRPr="00D50296">
          <w:rPr>
            <w:rFonts w:cs="Times New Roman"/>
            <w:lang w:val="en-US"/>
          </w:rPr>
          <w:t>v</w:t>
        </w:r>
        <w:r w:rsidRPr="008D6286">
          <w:rPr>
            <w:rFonts w:cs="Times New Roman"/>
          </w:rPr>
          <w:t>-</w:t>
        </w:r>
        <w:proofErr w:type="spellStart"/>
        <w:r w:rsidRPr="00D50296">
          <w:rPr>
            <w:rFonts w:cs="Times New Roman"/>
            <w:lang w:val="en-US"/>
          </w:rPr>
          <w:t>sotsialno</w:t>
        </w:r>
        <w:proofErr w:type="spellEnd"/>
        <w:r w:rsidRPr="008D6286">
          <w:rPr>
            <w:rFonts w:cs="Times New Roman"/>
          </w:rPr>
          <w:t>-</w:t>
        </w:r>
        <w:proofErr w:type="spellStart"/>
        <w:r w:rsidRPr="00D50296">
          <w:rPr>
            <w:rFonts w:cs="Times New Roman"/>
            <w:lang w:val="en-US"/>
          </w:rPr>
          <w:t>ekon</w:t>
        </w:r>
        <w:proofErr w:type="spellEnd"/>
      </w:hyperlink>
    </w:p>
  </w:footnote>
  <w:footnote w:id="2">
    <w:p w14:paraId="09654E07" w14:textId="4A709A65" w:rsidR="008B2819" w:rsidRDefault="008B2819" w:rsidP="00C430A9">
      <w:pPr>
        <w:pStyle w:val="af8"/>
        <w:ind w:left="709" w:firstLine="0"/>
        <w:jc w:val="left"/>
      </w:pPr>
      <w:r>
        <w:rPr>
          <w:rStyle w:val="afa"/>
        </w:rPr>
        <w:footnoteRef/>
      </w:r>
      <w:r>
        <w:t xml:space="preserve"> </w:t>
      </w:r>
      <w:r>
        <w:rPr>
          <w:rFonts w:cs="Times New Roman"/>
          <w:color w:val="000000" w:themeColor="text1"/>
        </w:rPr>
        <w:t xml:space="preserve">Синявский Н. Г. и др. </w:t>
      </w:r>
      <w:r w:rsidRPr="00DB647F">
        <w:rPr>
          <w:rFonts w:cs="Times New Roman"/>
          <w:color w:val="000000" w:themeColor="text1"/>
        </w:rPr>
        <w:t xml:space="preserve">Взаимодействие субъектов экономики в процессе институциональных преобразований в аграрной сфере // Известия НВ АУК. 2012. №1. </w:t>
      </w:r>
    </w:p>
  </w:footnote>
  <w:footnote w:id="3">
    <w:p w14:paraId="1A70E954" w14:textId="77777777" w:rsidR="008B2819" w:rsidRDefault="008B2819" w:rsidP="00C430A9">
      <w:pPr>
        <w:pStyle w:val="af8"/>
        <w:ind w:left="709" w:firstLine="0"/>
        <w:jc w:val="left"/>
        <w:rPr>
          <w:rFonts w:cs="Times New Roman"/>
          <w:color w:val="000000" w:themeColor="text1"/>
        </w:rPr>
      </w:pPr>
      <w:r w:rsidRPr="00752B46">
        <w:rPr>
          <w:rStyle w:val="afa"/>
          <w:rFonts w:cs="Times New Roman"/>
          <w:color w:val="000000" w:themeColor="text1"/>
        </w:rPr>
        <w:footnoteRef/>
      </w:r>
      <w:r w:rsidRPr="00752B46">
        <w:rPr>
          <w:rFonts w:cs="Times New Roman"/>
          <w:color w:val="000000" w:themeColor="text1"/>
        </w:rPr>
        <w:t xml:space="preserve"> Бабкин</w:t>
      </w:r>
      <w:r>
        <w:rPr>
          <w:rFonts w:cs="Times New Roman"/>
          <w:color w:val="000000" w:themeColor="text1"/>
        </w:rPr>
        <w:t xml:space="preserve"> И.А.</w:t>
      </w:r>
      <w:r w:rsidRPr="00752B46">
        <w:rPr>
          <w:rFonts w:cs="Times New Roman"/>
          <w:color w:val="000000" w:themeColor="text1"/>
        </w:rPr>
        <w:t xml:space="preserve">, </w:t>
      </w:r>
      <w:proofErr w:type="spellStart"/>
      <w:r w:rsidRPr="00752B46">
        <w:rPr>
          <w:rFonts w:cs="Times New Roman"/>
          <w:color w:val="000000" w:themeColor="text1"/>
        </w:rPr>
        <w:t>Жеребов</w:t>
      </w:r>
      <w:proofErr w:type="spellEnd"/>
      <w:r w:rsidRPr="00752B46">
        <w:rPr>
          <w:rFonts w:cs="Times New Roman"/>
          <w:color w:val="000000" w:themeColor="text1"/>
        </w:rPr>
        <w:t xml:space="preserve"> </w:t>
      </w:r>
      <w:r>
        <w:rPr>
          <w:rFonts w:cs="Times New Roman"/>
          <w:color w:val="000000" w:themeColor="text1"/>
        </w:rPr>
        <w:t xml:space="preserve">Е.Д. </w:t>
      </w:r>
      <w:r w:rsidRPr="00752B46">
        <w:rPr>
          <w:rFonts w:cs="Times New Roman"/>
          <w:color w:val="000000" w:themeColor="text1"/>
        </w:rPr>
        <w:t xml:space="preserve">Механизм взаимодействия </w:t>
      </w:r>
      <w:r>
        <w:rPr>
          <w:rFonts w:cs="Times New Roman"/>
          <w:color w:val="000000" w:themeColor="text1"/>
        </w:rPr>
        <w:t>государства и бизнеса на основе</w:t>
      </w:r>
    </w:p>
    <w:p w14:paraId="1EDF0948" w14:textId="247E75B0" w:rsidR="008B2819" w:rsidRPr="00FC660C" w:rsidRDefault="008B2819" w:rsidP="00C430A9">
      <w:pPr>
        <w:pStyle w:val="af8"/>
        <w:ind w:left="709" w:firstLine="0"/>
        <w:jc w:val="left"/>
        <w:rPr>
          <w:rFonts w:cs="Times New Roman"/>
          <w:color w:val="000000" w:themeColor="text1"/>
        </w:rPr>
      </w:pPr>
      <w:r w:rsidRPr="00752B46">
        <w:rPr>
          <w:rFonts w:cs="Times New Roman"/>
          <w:color w:val="000000" w:themeColor="text1"/>
        </w:rPr>
        <w:t>государственно-частного партнерства // Научно-технические</w:t>
      </w:r>
      <w:r>
        <w:rPr>
          <w:rFonts w:cs="Times New Roman"/>
          <w:color w:val="000000" w:themeColor="text1"/>
        </w:rPr>
        <w:t xml:space="preserve"> ведомости Санкт-Петербургского </w:t>
      </w:r>
      <w:r w:rsidRPr="00752B46">
        <w:rPr>
          <w:rFonts w:cs="Times New Roman"/>
          <w:color w:val="000000" w:themeColor="text1"/>
        </w:rPr>
        <w:t xml:space="preserve">государственного политехнического университета. Экономические науки. </w:t>
      </w:r>
      <w:r>
        <w:rPr>
          <w:rFonts w:cs="Times New Roman"/>
          <w:color w:val="000000" w:themeColor="text1"/>
        </w:rPr>
        <w:t xml:space="preserve">– </w:t>
      </w:r>
      <w:r w:rsidRPr="00752B46">
        <w:rPr>
          <w:rFonts w:cs="Times New Roman"/>
          <w:color w:val="000000" w:themeColor="text1"/>
        </w:rPr>
        <w:t xml:space="preserve">2015. №4 (223). </w:t>
      </w:r>
    </w:p>
  </w:footnote>
  <w:footnote w:id="4">
    <w:p w14:paraId="1AE575C8" w14:textId="77777777" w:rsidR="008B2819" w:rsidRDefault="008B2819" w:rsidP="00C430A9">
      <w:pPr>
        <w:pStyle w:val="af8"/>
        <w:ind w:left="709" w:firstLine="0"/>
        <w:jc w:val="left"/>
        <w:rPr>
          <w:rFonts w:cs="Times New Roman"/>
          <w:color w:val="000000" w:themeColor="text1"/>
        </w:rPr>
      </w:pPr>
      <w:r>
        <w:rPr>
          <w:rStyle w:val="afa"/>
        </w:rPr>
        <w:footnoteRef/>
      </w:r>
      <w:r>
        <w:t xml:space="preserve"> </w:t>
      </w:r>
      <w:r w:rsidRPr="00752B46">
        <w:rPr>
          <w:rFonts w:cs="Times New Roman"/>
          <w:color w:val="000000" w:themeColor="text1"/>
        </w:rPr>
        <w:t>Писарев А. Формы взаимодействия государства и гра</w:t>
      </w:r>
      <w:r>
        <w:rPr>
          <w:rFonts w:cs="Times New Roman"/>
          <w:color w:val="000000" w:themeColor="text1"/>
        </w:rPr>
        <w:t>жданского общества в Российской</w:t>
      </w:r>
    </w:p>
    <w:p w14:paraId="6EC9E545" w14:textId="609DA590" w:rsidR="008B2819" w:rsidRDefault="008B2819" w:rsidP="00C430A9">
      <w:pPr>
        <w:pStyle w:val="af8"/>
        <w:ind w:left="709" w:firstLine="0"/>
        <w:jc w:val="left"/>
      </w:pPr>
      <w:r w:rsidRPr="00752B46">
        <w:rPr>
          <w:rFonts w:cs="Times New Roman"/>
          <w:color w:val="000000" w:themeColor="text1"/>
        </w:rPr>
        <w:t>Федерации. Учебное пособие.</w:t>
      </w:r>
      <w:r>
        <w:rPr>
          <w:rFonts w:cs="Times New Roman"/>
          <w:color w:val="000000" w:themeColor="text1"/>
        </w:rPr>
        <w:t xml:space="preserve"> – 2017.</w:t>
      </w:r>
    </w:p>
  </w:footnote>
  <w:footnote w:id="5">
    <w:p w14:paraId="779F58D3" w14:textId="77777777" w:rsidR="008B2819" w:rsidRDefault="008B2819" w:rsidP="00C430A9">
      <w:pPr>
        <w:pStyle w:val="af8"/>
        <w:ind w:left="709" w:firstLine="0"/>
        <w:rPr>
          <w:rFonts w:cs="Times New Roman"/>
          <w:color w:val="000000" w:themeColor="text1"/>
        </w:rPr>
      </w:pPr>
      <w:r>
        <w:rPr>
          <w:rStyle w:val="afa"/>
        </w:rPr>
        <w:footnoteRef/>
      </w:r>
      <w:r>
        <w:t xml:space="preserve"> </w:t>
      </w:r>
      <w:proofErr w:type="spellStart"/>
      <w:r w:rsidRPr="00653109">
        <w:rPr>
          <w:rFonts w:cs="Times New Roman"/>
          <w:color w:val="000000" w:themeColor="text1"/>
        </w:rPr>
        <w:t>Коробкова</w:t>
      </w:r>
      <w:proofErr w:type="spellEnd"/>
      <w:r w:rsidRPr="00653109">
        <w:rPr>
          <w:rFonts w:cs="Times New Roman"/>
          <w:color w:val="000000" w:themeColor="text1"/>
        </w:rPr>
        <w:t xml:space="preserve"> Н. А., Парамонова Л. С. Совершенствование инс</w:t>
      </w:r>
      <w:r>
        <w:rPr>
          <w:rFonts w:cs="Times New Roman"/>
          <w:color w:val="000000" w:themeColor="text1"/>
        </w:rPr>
        <w:t>титутов взаимодействия власти и</w:t>
      </w:r>
    </w:p>
    <w:p w14:paraId="33AD0107" w14:textId="50EEE3A0" w:rsidR="008B2819" w:rsidRDefault="008B2819" w:rsidP="00C430A9">
      <w:pPr>
        <w:pStyle w:val="af8"/>
        <w:ind w:left="709" w:firstLine="0"/>
      </w:pPr>
      <w:r w:rsidRPr="00653109">
        <w:rPr>
          <w:rFonts w:cs="Times New Roman"/>
          <w:color w:val="000000" w:themeColor="text1"/>
        </w:rPr>
        <w:t xml:space="preserve">бизнеса в контексте регионального развития //Интернет-журнал </w:t>
      </w:r>
      <w:proofErr w:type="spellStart"/>
      <w:r w:rsidRPr="00653109">
        <w:rPr>
          <w:rFonts w:cs="Times New Roman"/>
          <w:color w:val="000000" w:themeColor="text1"/>
        </w:rPr>
        <w:t>Науковедение</w:t>
      </w:r>
      <w:proofErr w:type="spellEnd"/>
      <w:r w:rsidRPr="00653109">
        <w:rPr>
          <w:rFonts w:cs="Times New Roman"/>
          <w:color w:val="000000" w:themeColor="text1"/>
        </w:rPr>
        <w:t>. – 2013. – №. 6 (19).</w:t>
      </w:r>
    </w:p>
  </w:footnote>
  <w:footnote w:id="6">
    <w:p w14:paraId="39F9E3F6" w14:textId="39647B90" w:rsidR="008B2819" w:rsidRDefault="008B2819" w:rsidP="00C430A9">
      <w:pPr>
        <w:pStyle w:val="af8"/>
        <w:ind w:left="709" w:firstLine="0"/>
      </w:pPr>
      <w:r>
        <w:rPr>
          <w:rStyle w:val="afa"/>
        </w:rPr>
        <w:footnoteRef/>
      </w:r>
      <w:r>
        <w:t xml:space="preserve"> </w:t>
      </w:r>
      <w:r w:rsidRPr="006E05F1">
        <w:rPr>
          <w:rFonts w:cs="Times New Roman"/>
          <w:color w:val="000000" w:themeColor="text1"/>
        </w:rPr>
        <w:t>Беляева И. Ю. и др. Особенности взаимодействия бизнеса и власти.</w:t>
      </w:r>
      <w:r>
        <w:rPr>
          <w:rFonts w:cs="Times New Roman"/>
          <w:color w:val="000000" w:themeColor="text1"/>
        </w:rPr>
        <w:t xml:space="preserve"> </w:t>
      </w:r>
      <w:r w:rsidRPr="00752B46">
        <w:rPr>
          <w:rFonts w:cs="Times New Roman"/>
          <w:color w:val="000000" w:themeColor="text1"/>
        </w:rPr>
        <w:t>Учебное пособие.</w:t>
      </w:r>
      <w:r w:rsidRPr="006E05F1">
        <w:rPr>
          <w:rFonts w:cs="Times New Roman"/>
          <w:color w:val="000000" w:themeColor="text1"/>
        </w:rPr>
        <w:t xml:space="preserve"> – 2018.</w:t>
      </w:r>
    </w:p>
  </w:footnote>
  <w:footnote w:id="7">
    <w:p w14:paraId="7D5059E8" w14:textId="77777777" w:rsidR="008B2819" w:rsidRDefault="008B2819" w:rsidP="00C430A9">
      <w:pPr>
        <w:pStyle w:val="af8"/>
        <w:ind w:left="709" w:firstLine="0"/>
        <w:rPr>
          <w:rFonts w:cs="Times New Roman"/>
          <w:color w:val="000000" w:themeColor="text1"/>
          <w:shd w:val="clear" w:color="auto" w:fill="FFFFFF"/>
        </w:rPr>
      </w:pPr>
      <w:r>
        <w:rPr>
          <w:rStyle w:val="afa"/>
        </w:rPr>
        <w:footnoteRef/>
      </w:r>
      <w:r>
        <w:t xml:space="preserve"> </w:t>
      </w:r>
      <w:r w:rsidRPr="00B52697">
        <w:rPr>
          <w:rFonts w:cs="Times New Roman"/>
          <w:color w:val="000000" w:themeColor="text1"/>
          <w:shd w:val="clear" w:color="auto" w:fill="FFFFFF"/>
        </w:rPr>
        <w:t>Морозов О. А. Взаимодействие с органами государственной влас</w:t>
      </w:r>
      <w:r>
        <w:rPr>
          <w:rFonts w:cs="Times New Roman"/>
          <w:color w:val="000000" w:themeColor="text1"/>
          <w:shd w:val="clear" w:color="auto" w:fill="FFFFFF"/>
        </w:rPr>
        <w:t xml:space="preserve">ти, или </w:t>
      </w:r>
      <w:proofErr w:type="spellStart"/>
      <w:r>
        <w:rPr>
          <w:rFonts w:cs="Times New Roman"/>
          <w:color w:val="000000" w:themeColor="text1"/>
          <w:shd w:val="clear" w:color="auto" w:fill="FFFFFF"/>
        </w:rPr>
        <w:t>government</w:t>
      </w:r>
      <w:proofErr w:type="spellEnd"/>
      <w:r>
        <w:rPr>
          <w:rFonts w:cs="Times New Roman"/>
          <w:color w:val="000000" w:themeColor="text1"/>
          <w:shd w:val="clear" w:color="auto" w:fill="FFFFFF"/>
        </w:rPr>
        <w:t xml:space="preserve"> </w:t>
      </w:r>
      <w:proofErr w:type="spellStart"/>
      <w:r>
        <w:rPr>
          <w:rFonts w:cs="Times New Roman"/>
          <w:color w:val="000000" w:themeColor="text1"/>
          <w:shd w:val="clear" w:color="auto" w:fill="FFFFFF"/>
        </w:rPr>
        <w:t>relations</w:t>
      </w:r>
      <w:proofErr w:type="spellEnd"/>
      <w:r>
        <w:rPr>
          <w:rFonts w:cs="Times New Roman"/>
          <w:color w:val="000000" w:themeColor="text1"/>
          <w:shd w:val="clear" w:color="auto" w:fill="FFFFFF"/>
        </w:rPr>
        <w:t>. –</w:t>
      </w:r>
    </w:p>
    <w:p w14:paraId="4327BC61" w14:textId="6E1D83A6" w:rsidR="008B2819" w:rsidRPr="00B52697" w:rsidRDefault="008B2819" w:rsidP="00C430A9">
      <w:pPr>
        <w:pStyle w:val="af8"/>
        <w:ind w:left="709" w:firstLine="0"/>
        <w:rPr>
          <w:rFonts w:cs="Times New Roman"/>
          <w:color w:val="000000" w:themeColor="text1"/>
          <w:shd w:val="clear" w:color="auto" w:fill="FFFFFF"/>
        </w:rPr>
      </w:pPr>
      <w:r w:rsidRPr="00B52697">
        <w:rPr>
          <w:rFonts w:cs="Times New Roman"/>
          <w:color w:val="000000" w:themeColor="text1"/>
          <w:shd w:val="clear" w:color="auto" w:fill="FFFFFF"/>
        </w:rPr>
        <w:t>2015.</w:t>
      </w:r>
    </w:p>
  </w:footnote>
  <w:footnote w:id="8">
    <w:p w14:paraId="65DDB8BD" w14:textId="2CC9A58E" w:rsidR="008B2819" w:rsidRDefault="008B2819" w:rsidP="00C430A9">
      <w:pPr>
        <w:pStyle w:val="af8"/>
        <w:ind w:left="709" w:firstLine="0"/>
      </w:pPr>
      <w:r>
        <w:rPr>
          <w:rStyle w:val="afa"/>
        </w:rPr>
        <w:footnoteRef/>
      </w:r>
      <w:r>
        <w:t xml:space="preserve"> </w:t>
      </w:r>
      <w:proofErr w:type="spellStart"/>
      <w:r w:rsidRPr="002815B9">
        <w:rPr>
          <w:rFonts w:cs="Times New Roman"/>
          <w:color w:val="000000" w:themeColor="text1"/>
        </w:rPr>
        <w:t>Рагулина</w:t>
      </w:r>
      <w:proofErr w:type="spellEnd"/>
      <w:r w:rsidRPr="002815B9">
        <w:rPr>
          <w:rFonts w:cs="Times New Roman"/>
          <w:color w:val="000000" w:themeColor="text1"/>
        </w:rPr>
        <w:t xml:space="preserve"> Ю. и др. Государственно-частное партнерство: региональный опыт развития. – </w:t>
      </w:r>
      <w:proofErr w:type="spellStart"/>
      <w:r w:rsidRPr="002815B9">
        <w:rPr>
          <w:rFonts w:cs="Times New Roman"/>
          <w:color w:val="000000" w:themeColor="text1"/>
        </w:rPr>
        <w:t>Litres</w:t>
      </w:r>
      <w:proofErr w:type="spellEnd"/>
      <w:r w:rsidRPr="002815B9">
        <w:rPr>
          <w:rFonts w:cs="Times New Roman"/>
          <w:color w:val="000000" w:themeColor="text1"/>
        </w:rPr>
        <w:t>, 2017.</w:t>
      </w:r>
    </w:p>
  </w:footnote>
  <w:footnote w:id="9">
    <w:p w14:paraId="75F90D4F" w14:textId="7E199AD0" w:rsidR="008B2819" w:rsidRDefault="008B2819" w:rsidP="00C430A9">
      <w:pPr>
        <w:pStyle w:val="af8"/>
        <w:ind w:left="709" w:firstLine="0"/>
        <w:rPr>
          <w:rFonts w:cs="Times New Roman"/>
          <w:color w:val="000000" w:themeColor="text1"/>
        </w:rPr>
      </w:pPr>
      <w:r>
        <w:rPr>
          <w:rStyle w:val="afa"/>
        </w:rPr>
        <w:footnoteRef/>
      </w:r>
      <w:r>
        <w:t xml:space="preserve"> </w:t>
      </w:r>
      <w:r w:rsidRPr="002815B9">
        <w:rPr>
          <w:rFonts w:cs="Times New Roman"/>
          <w:color w:val="000000" w:themeColor="text1"/>
        </w:rPr>
        <w:t>Юрьева Т. В. Проекты государственно-частного партнёрства в Р</w:t>
      </w:r>
      <w:r>
        <w:rPr>
          <w:rFonts w:cs="Times New Roman"/>
          <w:color w:val="000000" w:themeColor="text1"/>
        </w:rPr>
        <w:t>оссии и в зарубежных странах //</w:t>
      </w:r>
    </w:p>
    <w:p w14:paraId="682CE8C2" w14:textId="5AE3F349" w:rsidR="008B2819" w:rsidRPr="00840F53" w:rsidRDefault="008B2819" w:rsidP="00C430A9">
      <w:pPr>
        <w:pStyle w:val="af8"/>
        <w:ind w:left="709" w:firstLine="0"/>
        <w:rPr>
          <w:rFonts w:cs="Times New Roman"/>
          <w:color w:val="000000" w:themeColor="text1"/>
        </w:rPr>
      </w:pPr>
      <w:r w:rsidRPr="002815B9">
        <w:rPr>
          <w:rFonts w:cs="Times New Roman"/>
          <w:color w:val="000000" w:themeColor="text1"/>
        </w:rPr>
        <w:t>Региональная экономика и управление: электрон. науч. журнал. № 4 (48).</w:t>
      </w:r>
      <w:r>
        <w:rPr>
          <w:rFonts w:ascii="Arial" w:hAnsi="Arial" w:cs="Arial"/>
          <w:color w:val="000000"/>
          <w:sz w:val="23"/>
          <w:szCs w:val="23"/>
        </w:rPr>
        <w:t> </w:t>
      </w:r>
    </w:p>
  </w:footnote>
  <w:footnote w:id="10">
    <w:p w14:paraId="6EA57A6B" w14:textId="62A1DFE7" w:rsidR="008B2819" w:rsidRDefault="008B2819" w:rsidP="00C430A9">
      <w:pPr>
        <w:pStyle w:val="af8"/>
        <w:ind w:left="709" w:firstLine="0"/>
      </w:pPr>
      <w:r>
        <w:rPr>
          <w:rStyle w:val="afa"/>
        </w:rPr>
        <w:footnoteRef/>
      </w:r>
      <w:r>
        <w:t>Шохин А.Н. и др. Анализ эффективности форм ГЧП в рамках взаимодействия бизнеса и власти // Журнал «Бизнес. Общество. Власть». № 1 (26). 2017.</w:t>
      </w:r>
    </w:p>
  </w:footnote>
  <w:footnote w:id="11">
    <w:p w14:paraId="6215AAA9" w14:textId="77777777" w:rsidR="008B2819" w:rsidRDefault="008B2819" w:rsidP="00840F53">
      <w:pPr>
        <w:pStyle w:val="af8"/>
        <w:rPr>
          <w:rFonts w:cs="Times New Roman"/>
          <w:color w:val="000000" w:themeColor="text1"/>
          <w:shd w:val="clear" w:color="auto" w:fill="FFFFFF"/>
        </w:rPr>
      </w:pPr>
      <w:r w:rsidRPr="00F902CE">
        <w:rPr>
          <w:rStyle w:val="afa"/>
          <w:rFonts w:cs="Times New Roman"/>
          <w:color w:val="000000" w:themeColor="text1"/>
        </w:rPr>
        <w:footnoteRef/>
      </w:r>
      <w:r w:rsidRPr="00F902CE">
        <w:rPr>
          <w:rFonts w:cs="Times New Roman"/>
          <w:color w:val="000000" w:themeColor="text1"/>
        </w:rPr>
        <w:t xml:space="preserve"> </w:t>
      </w:r>
      <w:proofErr w:type="spellStart"/>
      <w:r w:rsidRPr="00F902CE">
        <w:rPr>
          <w:rFonts w:cs="Times New Roman"/>
          <w:color w:val="000000" w:themeColor="text1"/>
          <w:shd w:val="clear" w:color="auto" w:fill="FFFFFF"/>
        </w:rPr>
        <w:t>Варнавский</w:t>
      </w:r>
      <w:proofErr w:type="spellEnd"/>
      <w:r w:rsidRPr="00F902CE">
        <w:rPr>
          <w:rFonts w:cs="Times New Roman"/>
          <w:color w:val="000000" w:themeColor="text1"/>
          <w:shd w:val="clear" w:color="auto" w:fill="FFFFFF"/>
        </w:rPr>
        <w:t xml:space="preserve"> В. Г. Государственно-частное партнерство: неко</w:t>
      </w:r>
      <w:r>
        <w:rPr>
          <w:rFonts w:cs="Times New Roman"/>
          <w:color w:val="000000" w:themeColor="text1"/>
          <w:shd w:val="clear" w:color="auto" w:fill="FFFFFF"/>
        </w:rPr>
        <w:t>торые вопросы теории и практики</w:t>
      </w:r>
    </w:p>
    <w:p w14:paraId="7440FBD2" w14:textId="09DD6C69" w:rsidR="008B2819" w:rsidRPr="00F902CE" w:rsidRDefault="008B2819" w:rsidP="00840F53">
      <w:pPr>
        <w:pStyle w:val="af8"/>
        <w:rPr>
          <w:rFonts w:cs="Times New Roman"/>
        </w:rPr>
      </w:pPr>
      <w:r w:rsidRPr="00F902CE">
        <w:rPr>
          <w:rFonts w:cs="Times New Roman"/>
          <w:color w:val="000000" w:themeColor="text1"/>
          <w:shd w:val="clear" w:color="auto" w:fill="FFFFFF"/>
        </w:rPr>
        <w:t>//</w:t>
      </w:r>
      <w:r>
        <w:rPr>
          <w:rFonts w:cs="Times New Roman"/>
          <w:color w:val="000000" w:themeColor="text1"/>
          <w:shd w:val="clear" w:color="auto" w:fill="FFFFFF"/>
        </w:rPr>
        <w:t xml:space="preserve"> </w:t>
      </w:r>
      <w:r w:rsidRPr="00F902CE">
        <w:rPr>
          <w:rFonts w:cs="Times New Roman"/>
          <w:color w:val="000000" w:themeColor="text1"/>
          <w:shd w:val="clear" w:color="auto" w:fill="FFFFFF"/>
        </w:rPr>
        <w:t>Мировая экономика и международные отношения. – 2011. – №. 9. – С. 41-50.</w:t>
      </w:r>
    </w:p>
  </w:footnote>
  <w:footnote w:id="12">
    <w:p w14:paraId="34CA674E" w14:textId="51F60C88" w:rsidR="008B2819" w:rsidRPr="003E24A1" w:rsidRDefault="008B2819" w:rsidP="00735098">
      <w:pPr>
        <w:pStyle w:val="af8"/>
        <w:ind w:left="709" w:firstLine="0"/>
        <w:rPr>
          <w:rFonts w:cs="Times New Roman"/>
        </w:rPr>
      </w:pPr>
      <w:r w:rsidRPr="003E24A1">
        <w:rPr>
          <w:rStyle w:val="afa"/>
          <w:rFonts w:cs="Times New Roman"/>
        </w:rPr>
        <w:footnoteRef/>
      </w:r>
      <w:r w:rsidRPr="003E24A1">
        <w:rPr>
          <w:rFonts w:cs="Times New Roman"/>
        </w:rPr>
        <w:t xml:space="preserve"> Шохин С.О. Государственно-частное партнерство: проблемы правового обеспечения //</w:t>
      </w:r>
      <w:r>
        <w:rPr>
          <w:rFonts w:cs="Times New Roman"/>
        </w:rPr>
        <w:t xml:space="preserve"> Журнал «Юрист». – 2018. № 2.</w:t>
      </w:r>
      <w:r w:rsidRPr="003E24A1">
        <w:rPr>
          <w:rFonts w:cs="Times New Roman"/>
        </w:rPr>
        <w:t xml:space="preserve"> С. 4-10.</w:t>
      </w:r>
    </w:p>
  </w:footnote>
  <w:footnote w:id="13">
    <w:p w14:paraId="53E9EEF4" w14:textId="57AAE60A" w:rsidR="008B2819" w:rsidRDefault="008B2819" w:rsidP="00735098">
      <w:pPr>
        <w:pStyle w:val="af8"/>
        <w:ind w:left="709" w:firstLine="0"/>
      </w:pPr>
      <w:r w:rsidRPr="003E24A1">
        <w:rPr>
          <w:rStyle w:val="afa"/>
          <w:rFonts w:cs="Times New Roman"/>
        </w:rPr>
        <w:footnoteRef/>
      </w:r>
      <w:r w:rsidRPr="003E24A1">
        <w:rPr>
          <w:rFonts w:cs="Times New Roman"/>
        </w:rPr>
        <w:t xml:space="preserve"> Добрынин Л. А. и др. Взаимодействие государства и бизнеса: учебное пособие //</w:t>
      </w:r>
      <w:r>
        <w:rPr>
          <w:rFonts w:cs="Times New Roman"/>
        </w:rPr>
        <w:t xml:space="preserve"> </w:t>
      </w:r>
      <w:r w:rsidRPr="003E24A1">
        <w:rPr>
          <w:rFonts w:cs="Times New Roman"/>
        </w:rPr>
        <w:t xml:space="preserve">СПб: Изд-во </w:t>
      </w:r>
      <w:proofErr w:type="spellStart"/>
      <w:r w:rsidRPr="003E24A1">
        <w:rPr>
          <w:rFonts w:cs="Times New Roman"/>
        </w:rPr>
        <w:t>СПбГЭУ</w:t>
      </w:r>
      <w:proofErr w:type="spellEnd"/>
      <w:r w:rsidRPr="003E24A1">
        <w:rPr>
          <w:rFonts w:cs="Times New Roman"/>
        </w:rPr>
        <w:t>. – 2014.</w:t>
      </w:r>
    </w:p>
  </w:footnote>
  <w:footnote w:id="14">
    <w:p w14:paraId="5FA32CA6" w14:textId="3ED138DB" w:rsidR="008B2819" w:rsidRDefault="008B2819" w:rsidP="00735098">
      <w:pPr>
        <w:pStyle w:val="af8"/>
        <w:ind w:left="709" w:firstLine="0"/>
      </w:pPr>
      <w:r>
        <w:rPr>
          <w:rStyle w:val="afa"/>
        </w:rPr>
        <w:footnoteRef/>
      </w:r>
      <w:r>
        <w:t xml:space="preserve"> </w:t>
      </w:r>
      <w:r w:rsidRPr="00272EED">
        <w:rPr>
          <w:rFonts w:cs="Times New Roman"/>
          <w:color w:val="000000"/>
        </w:rPr>
        <w:t>Доклад о социальных инвестициях в России за 2004 год: Роль бизнеса в общественном развитии /</w:t>
      </w:r>
      <w:r>
        <w:rPr>
          <w:rFonts w:cs="Times New Roman"/>
          <w:color w:val="000000"/>
        </w:rPr>
        <w:t xml:space="preserve">/ </w:t>
      </w:r>
      <w:r w:rsidRPr="00272EED">
        <w:rPr>
          <w:rFonts w:cs="Times New Roman"/>
          <w:color w:val="000000"/>
        </w:rPr>
        <w:t>Под общей ред. С.Е. Литовченко. - М.:</w:t>
      </w:r>
      <w:r>
        <w:rPr>
          <w:rFonts w:cs="Times New Roman"/>
          <w:color w:val="000000"/>
        </w:rPr>
        <w:t xml:space="preserve"> Ассоциация менеджеров, 2004. С. 80.</w:t>
      </w:r>
    </w:p>
  </w:footnote>
  <w:footnote w:id="15">
    <w:p w14:paraId="6545C1B7" w14:textId="28F87366" w:rsidR="008B2819" w:rsidRPr="00233EB6" w:rsidRDefault="008B2819" w:rsidP="00233EB6">
      <w:pPr>
        <w:pStyle w:val="af4"/>
        <w:spacing w:before="0" w:beforeAutospacing="0" w:after="0" w:afterAutospacing="0"/>
        <w:ind w:left="709"/>
        <w:textAlignment w:val="baseline"/>
        <w:rPr>
          <w:rFonts w:eastAsia="Times New Roman"/>
          <w:sz w:val="20"/>
          <w:szCs w:val="20"/>
        </w:rPr>
      </w:pPr>
      <w:r w:rsidRPr="00233EB6">
        <w:rPr>
          <w:rStyle w:val="afa"/>
          <w:sz w:val="20"/>
          <w:szCs w:val="20"/>
        </w:rPr>
        <w:footnoteRef/>
      </w:r>
      <w:r w:rsidRPr="00233EB6">
        <w:rPr>
          <w:sz w:val="20"/>
          <w:szCs w:val="20"/>
        </w:rPr>
        <w:t xml:space="preserve"> Г</w:t>
      </w:r>
      <w:r w:rsidRPr="00233EB6">
        <w:rPr>
          <w:rFonts w:eastAsia="Times New Roman"/>
          <w:sz w:val="20"/>
          <w:szCs w:val="20"/>
        </w:rPr>
        <w:t>ражданский кодекс Российской Федерации. Часть вторая: Федеральный закон от 26.01.1996 № 14-ФЗ // Собр. законодательства РФ. 1996.</w:t>
      </w:r>
      <w:r>
        <w:rPr>
          <w:rFonts w:eastAsia="Times New Roman"/>
          <w:sz w:val="20"/>
          <w:szCs w:val="20"/>
        </w:rPr>
        <w:t xml:space="preserve"> Режим доступа: </w:t>
      </w:r>
      <w:r w:rsidRPr="00E17B33">
        <w:rPr>
          <w:color w:val="000000" w:themeColor="text1"/>
          <w:sz w:val="20"/>
          <w:szCs w:val="20"/>
        </w:rPr>
        <w:t>http://www.consultant.ru/document/cons_doc_LAW_9027/</w:t>
      </w:r>
    </w:p>
  </w:footnote>
  <w:footnote w:id="16">
    <w:p w14:paraId="19E07FE9" w14:textId="5CC8CD47" w:rsidR="008B2819" w:rsidRDefault="008B2819" w:rsidP="00233EB6">
      <w:pPr>
        <w:pStyle w:val="af8"/>
        <w:ind w:left="709" w:firstLine="0"/>
        <w:jc w:val="left"/>
      </w:pPr>
      <w:r>
        <w:rPr>
          <w:rStyle w:val="afa"/>
        </w:rPr>
        <w:footnoteRef/>
      </w:r>
      <w:r w:rsidRPr="00233EB6">
        <w:rPr>
          <w:rFonts w:eastAsia="Times New Roman" w:cs="Times New Roman"/>
          <w:lang w:eastAsia="ru-RU"/>
        </w:rPr>
        <w:t xml:space="preserve"> Федеральный закон </w:t>
      </w:r>
      <w:r>
        <w:rPr>
          <w:rFonts w:eastAsia="Times New Roman" w:cs="Times New Roman"/>
          <w:lang w:eastAsia="ru-RU"/>
        </w:rPr>
        <w:t>от 29 октября 1998 г. № 164-ФЗ «О финансовой аренде (лизинге)»</w:t>
      </w:r>
      <w:r w:rsidRPr="00233EB6">
        <w:rPr>
          <w:rFonts w:eastAsia="Times New Roman" w:cs="Times New Roman"/>
          <w:lang w:eastAsia="ru-RU"/>
        </w:rPr>
        <w:t xml:space="preserve"> (с изменениями и дополнениями</w:t>
      </w:r>
      <w:r>
        <w:rPr>
          <w:rFonts w:eastAsia="Times New Roman" w:cs="Times New Roman"/>
          <w:lang w:eastAsia="ru-RU"/>
        </w:rPr>
        <w:t>). Система ГАРАНТ</w:t>
      </w:r>
      <w:r w:rsidRPr="00233EB6">
        <w:rPr>
          <w:rFonts w:eastAsia="Times New Roman" w:cs="Times New Roman"/>
          <w:lang w:eastAsia="ru-RU"/>
        </w:rPr>
        <w:t>: http://base.garant.ru/12113492/#ixzz6NXJyoFrP</w:t>
      </w:r>
    </w:p>
  </w:footnote>
  <w:footnote w:id="17">
    <w:p w14:paraId="2F09F09D" w14:textId="617EF149" w:rsidR="008B2819" w:rsidRPr="00F10B89" w:rsidRDefault="008B2819" w:rsidP="00F10B89">
      <w:pPr>
        <w:spacing w:line="240" w:lineRule="auto"/>
        <w:ind w:left="709" w:firstLine="0"/>
        <w:jc w:val="left"/>
        <w:rPr>
          <w:rFonts w:cs="Times New Roman"/>
          <w:color w:val="0000FF" w:themeColor="hyperlink"/>
          <w:sz w:val="20"/>
          <w:szCs w:val="20"/>
          <w:shd w:val="clear" w:color="auto" w:fill="FFFFFF"/>
        </w:rPr>
      </w:pPr>
      <w:r w:rsidRPr="00233EB6">
        <w:rPr>
          <w:rStyle w:val="afa"/>
          <w:rFonts w:cs="Times New Roman"/>
          <w:sz w:val="20"/>
          <w:szCs w:val="20"/>
        </w:rPr>
        <w:footnoteRef/>
      </w:r>
      <w:r w:rsidRPr="00233EB6">
        <w:rPr>
          <w:rFonts w:cs="Times New Roman"/>
          <w:sz w:val="20"/>
          <w:szCs w:val="20"/>
        </w:rPr>
        <w:t xml:space="preserve"> </w:t>
      </w:r>
      <w:r w:rsidRPr="00233EB6">
        <w:rPr>
          <w:rFonts w:eastAsia="Times New Roman"/>
          <w:sz w:val="20"/>
          <w:szCs w:val="20"/>
          <w:lang w:eastAsia="ru-RU"/>
        </w:rPr>
        <w:t>Постановление</w:t>
      </w:r>
      <w:r w:rsidRPr="00233EB6">
        <w:rPr>
          <w:rFonts w:eastAsia="Times New Roman" w:cs="Times New Roman"/>
          <w:sz w:val="20"/>
          <w:szCs w:val="20"/>
          <w:lang w:eastAsia="ru-RU"/>
        </w:rPr>
        <w:t> </w:t>
      </w:r>
      <w:r w:rsidRPr="00233EB6">
        <w:rPr>
          <w:rFonts w:eastAsia="Times New Roman"/>
          <w:sz w:val="20"/>
          <w:szCs w:val="20"/>
          <w:lang w:eastAsia="ru-RU"/>
        </w:rPr>
        <w:t>Пленума</w:t>
      </w:r>
      <w:r w:rsidRPr="00233EB6">
        <w:rPr>
          <w:rFonts w:eastAsia="Times New Roman" w:cs="Times New Roman"/>
          <w:sz w:val="20"/>
          <w:szCs w:val="20"/>
          <w:lang w:eastAsia="ru-RU"/>
        </w:rPr>
        <w:t> </w:t>
      </w:r>
      <w:r w:rsidRPr="00233EB6">
        <w:rPr>
          <w:rFonts w:eastAsia="Times New Roman"/>
          <w:sz w:val="20"/>
          <w:szCs w:val="20"/>
          <w:lang w:eastAsia="ru-RU"/>
        </w:rPr>
        <w:t>Высшего</w:t>
      </w:r>
      <w:r w:rsidRPr="00233EB6">
        <w:rPr>
          <w:rFonts w:eastAsia="Times New Roman" w:cs="Times New Roman"/>
          <w:sz w:val="20"/>
          <w:szCs w:val="20"/>
          <w:lang w:eastAsia="ru-RU"/>
        </w:rPr>
        <w:t> </w:t>
      </w:r>
      <w:r w:rsidRPr="00233EB6">
        <w:rPr>
          <w:rFonts w:eastAsia="Times New Roman"/>
          <w:sz w:val="20"/>
          <w:szCs w:val="20"/>
          <w:lang w:eastAsia="ru-RU"/>
        </w:rPr>
        <w:t>Арбитражного</w:t>
      </w:r>
      <w:r w:rsidRPr="00233EB6">
        <w:rPr>
          <w:rFonts w:eastAsia="Times New Roman" w:cs="Times New Roman"/>
          <w:sz w:val="20"/>
          <w:szCs w:val="20"/>
          <w:lang w:eastAsia="ru-RU"/>
        </w:rPr>
        <w:t> </w:t>
      </w:r>
      <w:r w:rsidRPr="00233EB6">
        <w:rPr>
          <w:rFonts w:eastAsia="Times New Roman"/>
          <w:sz w:val="20"/>
          <w:szCs w:val="20"/>
          <w:lang w:eastAsia="ru-RU"/>
        </w:rPr>
        <w:t>Суда</w:t>
      </w:r>
      <w:r w:rsidRPr="00233EB6">
        <w:rPr>
          <w:rFonts w:eastAsia="Times New Roman" w:cs="Times New Roman"/>
          <w:sz w:val="20"/>
          <w:szCs w:val="20"/>
          <w:lang w:eastAsia="ru-RU"/>
        </w:rPr>
        <w:t> РФ от </w:t>
      </w:r>
      <w:r w:rsidRPr="00233EB6">
        <w:rPr>
          <w:rFonts w:eastAsia="Times New Roman"/>
          <w:sz w:val="20"/>
          <w:szCs w:val="20"/>
          <w:lang w:eastAsia="ru-RU"/>
        </w:rPr>
        <w:t>14</w:t>
      </w:r>
      <w:r w:rsidRPr="00233EB6">
        <w:rPr>
          <w:rFonts w:eastAsia="Times New Roman" w:cs="Times New Roman"/>
          <w:sz w:val="20"/>
          <w:szCs w:val="20"/>
          <w:lang w:eastAsia="ru-RU"/>
        </w:rPr>
        <w:t> </w:t>
      </w:r>
      <w:r w:rsidRPr="00233EB6">
        <w:rPr>
          <w:rFonts w:eastAsia="Times New Roman"/>
          <w:sz w:val="20"/>
          <w:szCs w:val="20"/>
          <w:lang w:eastAsia="ru-RU"/>
        </w:rPr>
        <w:t>марта</w:t>
      </w:r>
      <w:r w:rsidRPr="00233EB6">
        <w:rPr>
          <w:rFonts w:eastAsia="Times New Roman" w:cs="Times New Roman"/>
          <w:sz w:val="20"/>
          <w:szCs w:val="20"/>
          <w:lang w:eastAsia="ru-RU"/>
        </w:rPr>
        <w:t> </w:t>
      </w:r>
      <w:r w:rsidRPr="00233EB6">
        <w:rPr>
          <w:rFonts w:eastAsia="Times New Roman"/>
          <w:sz w:val="20"/>
          <w:szCs w:val="20"/>
          <w:lang w:eastAsia="ru-RU"/>
        </w:rPr>
        <w:t>2014</w:t>
      </w:r>
      <w:r>
        <w:rPr>
          <w:rFonts w:eastAsia="Times New Roman" w:cs="Times New Roman"/>
          <w:sz w:val="20"/>
          <w:szCs w:val="20"/>
          <w:lang w:eastAsia="ru-RU"/>
        </w:rPr>
        <w:t xml:space="preserve"> г. № </w:t>
      </w:r>
      <w:r w:rsidRPr="00233EB6">
        <w:rPr>
          <w:rFonts w:eastAsia="Times New Roman"/>
          <w:sz w:val="20"/>
          <w:szCs w:val="20"/>
          <w:lang w:eastAsia="ru-RU"/>
        </w:rPr>
        <w:t>17</w:t>
      </w:r>
      <w:r>
        <w:rPr>
          <w:rFonts w:eastAsia="Times New Roman" w:cs="Times New Roman"/>
          <w:sz w:val="20"/>
          <w:szCs w:val="20"/>
          <w:lang w:eastAsia="ru-RU"/>
        </w:rPr>
        <w:t> «</w:t>
      </w:r>
      <w:r w:rsidRPr="00233EB6">
        <w:rPr>
          <w:rFonts w:eastAsia="Times New Roman" w:cs="Times New Roman"/>
          <w:sz w:val="20"/>
          <w:szCs w:val="20"/>
          <w:lang w:eastAsia="ru-RU"/>
        </w:rPr>
        <w:t>Об </w:t>
      </w:r>
      <w:r w:rsidRPr="00233EB6">
        <w:rPr>
          <w:rFonts w:eastAsia="Times New Roman"/>
          <w:sz w:val="20"/>
          <w:szCs w:val="20"/>
          <w:lang w:eastAsia="ru-RU"/>
        </w:rPr>
        <w:t>отдельных</w:t>
      </w:r>
      <w:r w:rsidRPr="00233EB6">
        <w:rPr>
          <w:rFonts w:eastAsia="Times New Roman" w:cs="Times New Roman"/>
          <w:sz w:val="20"/>
          <w:szCs w:val="20"/>
          <w:lang w:eastAsia="ru-RU"/>
        </w:rPr>
        <w:t> </w:t>
      </w:r>
      <w:r w:rsidRPr="00233EB6">
        <w:rPr>
          <w:rFonts w:eastAsia="Times New Roman"/>
          <w:sz w:val="20"/>
          <w:szCs w:val="20"/>
          <w:lang w:eastAsia="ru-RU"/>
        </w:rPr>
        <w:t>вопросах</w:t>
      </w:r>
      <w:r w:rsidRPr="00233EB6">
        <w:rPr>
          <w:rFonts w:eastAsia="Times New Roman" w:cs="Times New Roman"/>
          <w:sz w:val="20"/>
          <w:szCs w:val="20"/>
          <w:lang w:eastAsia="ru-RU"/>
        </w:rPr>
        <w:t>, связанных с </w:t>
      </w:r>
      <w:r w:rsidRPr="00233EB6">
        <w:rPr>
          <w:rFonts w:eastAsia="Times New Roman"/>
          <w:sz w:val="20"/>
          <w:szCs w:val="20"/>
          <w:lang w:eastAsia="ru-RU"/>
        </w:rPr>
        <w:t>договором</w:t>
      </w:r>
      <w:r w:rsidRPr="00233EB6">
        <w:rPr>
          <w:rFonts w:eastAsia="Times New Roman" w:cs="Times New Roman"/>
          <w:sz w:val="20"/>
          <w:szCs w:val="20"/>
          <w:lang w:eastAsia="ru-RU"/>
        </w:rPr>
        <w:t> </w:t>
      </w:r>
      <w:r w:rsidRPr="00233EB6">
        <w:rPr>
          <w:rFonts w:eastAsia="Times New Roman"/>
          <w:sz w:val="20"/>
          <w:szCs w:val="20"/>
          <w:lang w:eastAsia="ru-RU"/>
        </w:rPr>
        <w:t>выкупного</w:t>
      </w:r>
      <w:r w:rsidRPr="00233EB6">
        <w:rPr>
          <w:rFonts w:eastAsia="Times New Roman" w:cs="Times New Roman"/>
          <w:sz w:val="20"/>
          <w:szCs w:val="20"/>
          <w:lang w:eastAsia="ru-RU"/>
        </w:rPr>
        <w:t> </w:t>
      </w:r>
      <w:r w:rsidRPr="00233EB6">
        <w:rPr>
          <w:rFonts w:eastAsia="Times New Roman"/>
          <w:sz w:val="20"/>
          <w:szCs w:val="20"/>
          <w:lang w:eastAsia="ru-RU"/>
        </w:rPr>
        <w:t>лизинга</w:t>
      </w:r>
      <w:r>
        <w:rPr>
          <w:rFonts w:eastAsia="Times New Roman" w:cs="Times New Roman"/>
          <w:sz w:val="20"/>
          <w:szCs w:val="20"/>
          <w:lang w:eastAsia="ru-RU"/>
        </w:rPr>
        <w:t xml:space="preserve">». Система Гарант: </w:t>
      </w:r>
      <w:r w:rsidRPr="00233EB6">
        <w:rPr>
          <w:rFonts w:eastAsia="Times New Roman" w:cs="Times New Roman"/>
          <w:sz w:val="20"/>
          <w:szCs w:val="20"/>
          <w:lang w:eastAsia="ru-RU"/>
        </w:rPr>
        <w:t>https://clck.ru/NeJMz</w:t>
      </w:r>
    </w:p>
  </w:footnote>
  <w:footnote w:id="18">
    <w:p w14:paraId="1A6379BE" w14:textId="6EC6A263" w:rsidR="008B2819" w:rsidRPr="00F10B89" w:rsidRDefault="008B2819" w:rsidP="008D6286">
      <w:pPr>
        <w:pStyle w:val="1"/>
        <w:shd w:val="clear" w:color="auto" w:fill="FFFFFF"/>
        <w:spacing w:after="0" w:line="240" w:lineRule="auto"/>
        <w:ind w:left="709"/>
        <w:rPr>
          <w:rFonts w:eastAsia="Times New Roman" w:cstheme="minorBidi"/>
          <w:b w:val="0"/>
          <w:bCs w:val="0"/>
          <w:caps w:val="0"/>
          <w:sz w:val="20"/>
          <w:szCs w:val="20"/>
          <w:lang w:eastAsia="ru-RU"/>
        </w:rPr>
      </w:pPr>
      <w:r w:rsidRPr="00F10B89">
        <w:rPr>
          <w:rStyle w:val="afa"/>
          <w:b w:val="0"/>
          <w:sz w:val="20"/>
          <w:szCs w:val="20"/>
        </w:rPr>
        <w:footnoteRef/>
      </w:r>
      <w:r w:rsidRPr="00F10B89">
        <w:rPr>
          <w:b w:val="0"/>
          <w:sz w:val="20"/>
          <w:szCs w:val="20"/>
        </w:rPr>
        <w:t xml:space="preserve"> </w:t>
      </w:r>
      <w:r>
        <w:rPr>
          <w:rFonts w:eastAsia="Times New Roman" w:cstheme="minorBidi"/>
          <w:b w:val="0"/>
          <w:bCs w:val="0"/>
          <w:caps w:val="0"/>
          <w:sz w:val="20"/>
          <w:szCs w:val="20"/>
          <w:lang w:eastAsia="ru-RU"/>
        </w:rPr>
        <w:t>Федеральный закон «</w:t>
      </w:r>
      <w:r w:rsidRPr="00F10B89">
        <w:rPr>
          <w:rFonts w:eastAsia="Times New Roman" w:cstheme="minorBidi"/>
          <w:b w:val="0"/>
          <w:bCs w:val="0"/>
          <w:caps w:val="0"/>
          <w:sz w:val="20"/>
          <w:szCs w:val="20"/>
          <w:lang w:eastAsia="ru-RU"/>
        </w:rPr>
        <w:t>О контрактной системе в сфере закупок товаров, работ, услуг для обеспечения госуда</w:t>
      </w:r>
      <w:r>
        <w:rPr>
          <w:rFonts w:eastAsia="Times New Roman" w:cstheme="minorBidi"/>
          <w:b w:val="0"/>
          <w:bCs w:val="0"/>
          <w:caps w:val="0"/>
          <w:sz w:val="20"/>
          <w:szCs w:val="20"/>
          <w:lang w:eastAsia="ru-RU"/>
        </w:rPr>
        <w:t>рственных и муниципальных нужд» от 05.04.2013 №</w:t>
      </w:r>
      <w:r w:rsidRPr="00F10B89">
        <w:rPr>
          <w:rFonts w:eastAsia="Times New Roman" w:cstheme="minorBidi"/>
          <w:b w:val="0"/>
          <w:bCs w:val="0"/>
          <w:caps w:val="0"/>
          <w:sz w:val="20"/>
          <w:szCs w:val="20"/>
          <w:lang w:eastAsia="ru-RU"/>
        </w:rPr>
        <w:t xml:space="preserve"> 44-ФЗ (последняя редакция)</w:t>
      </w:r>
      <w:r>
        <w:rPr>
          <w:rFonts w:eastAsia="Times New Roman" w:cstheme="minorBidi"/>
          <w:b w:val="0"/>
          <w:bCs w:val="0"/>
          <w:caps w:val="0"/>
          <w:sz w:val="20"/>
          <w:szCs w:val="20"/>
          <w:lang w:eastAsia="ru-RU"/>
        </w:rPr>
        <w:t>. Режим доступа</w:t>
      </w:r>
      <w:r w:rsidRPr="00F10B89">
        <w:rPr>
          <w:rFonts w:eastAsia="Times New Roman" w:cstheme="minorBidi"/>
          <w:b w:val="0"/>
          <w:bCs w:val="0"/>
          <w:caps w:val="0"/>
          <w:sz w:val="20"/>
          <w:szCs w:val="20"/>
          <w:lang w:eastAsia="ru-RU"/>
        </w:rPr>
        <w:t xml:space="preserve">: </w:t>
      </w:r>
      <w:hyperlink r:id="rId2" w:history="1">
        <w:r w:rsidRPr="00F10B89">
          <w:rPr>
            <w:rFonts w:eastAsia="Times New Roman" w:cstheme="minorBidi"/>
            <w:b w:val="0"/>
            <w:bCs w:val="0"/>
            <w:caps w:val="0"/>
            <w:sz w:val="20"/>
            <w:szCs w:val="20"/>
            <w:lang w:eastAsia="ru-RU"/>
          </w:rPr>
          <w:t>http://www.consultant.ru/document/cons_doc_LAW_144624/</w:t>
        </w:r>
      </w:hyperlink>
    </w:p>
  </w:footnote>
  <w:footnote w:id="19">
    <w:p w14:paraId="065C1F09" w14:textId="67D6648E" w:rsidR="008B2819" w:rsidRPr="008D6286" w:rsidRDefault="008B2819" w:rsidP="008D6286">
      <w:pPr>
        <w:pStyle w:val="1"/>
        <w:shd w:val="clear" w:color="auto" w:fill="FFFFFF"/>
        <w:spacing w:after="0" w:line="240" w:lineRule="auto"/>
        <w:ind w:left="709"/>
        <w:rPr>
          <w:rFonts w:eastAsia="Times New Roman" w:cstheme="minorBidi"/>
          <w:b w:val="0"/>
          <w:bCs w:val="0"/>
          <w:caps w:val="0"/>
          <w:sz w:val="20"/>
          <w:szCs w:val="20"/>
          <w:lang w:eastAsia="ru-RU"/>
        </w:rPr>
      </w:pPr>
      <w:r w:rsidRPr="008D6286">
        <w:rPr>
          <w:rStyle w:val="afa"/>
          <w:b w:val="0"/>
          <w:sz w:val="20"/>
          <w:szCs w:val="20"/>
        </w:rPr>
        <w:footnoteRef/>
      </w:r>
      <w:r w:rsidRPr="008D6286">
        <w:rPr>
          <w:b w:val="0"/>
          <w:sz w:val="20"/>
          <w:szCs w:val="20"/>
        </w:rPr>
        <w:t xml:space="preserve"> </w:t>
      </w:r>
      <w:r>
        <w:rPr>
          <w:rFonts w:eastAsia="Times New Roman" w:cstheme="minorBidi"/>
          <w:b w:val="0"/>
          <w:bCs w:val="0"/>
          <w:caps w:val="0"/>
          <w:sz w:val="20"/>
          <w:szCs w:val="20"/>
          <w:lang w:eastAsia="ru-RU"/>
        </w:rPr>
        <w:t>Федеральный закон «</w:t>
      </w:r>
      <w:r w:rsidRPr="008D6286">
        <w:rPr>
          <w:rFonts w:eastAsia="Times New Roman" w:cstheme="minorBidi"/>
          <w:b w:val="0"/>
          <w:bCs w:val="0"/>
          <w:caps w:val="0"/>
          <w:sz w:val="20"/>
          <w:szCs w:val="20"/>
          <w:lang w:eastAsia="ru-RU"/>
        </w:rPr>
        <w:t>О закупках товаров, работ, услуг отдельными видами ю</w:t>
      </w:r>
      <w:r>
        <w:rPr>
          <w:rFonts w:eastAsia="Times New Roman" w:cstheme="minorBidi"/>
          <w:b w:val="0"/>
          <w:bCs w:val="0"/>
          <w:caps w:val="0"/>
          <w:sz w:val="20"/>
          <w:szCs w:val="20"/>
          <w:lang w:eastAsia="ru-RU"/>
        </w:rPr>
        <w:t xml:space="preserve">ридических лиц» от 18.07.2011 № </w:t>
      </w:r>
      <w:r w:rsidRPr="008D6286">
        <w:rPr>
          <w:rFonts w:eastAsia="Times New Roman" w:cstheme="minorBidi"/>
          <w:b w:val="0"/>
          <w:bCs w:val="0"/>
          <w:caps w:val="0"/>
          <w:sz w:val="20"/>
          <w:szCs w:val="20"/>
          <w:lang w:eastAsia="ru-RU"/>
        </w:rPr>
        <w:t>223-ФЗ (последняя редакция)</w:t>
      </w:r>
      <w:r>
        <w:rPr>
          <w:rFonts w:eastAsia="Times New Roman" w:cstheme="minorBidi"/>
          <w:b w:val="0"/>
          <w:bCs w:val="0"/>
          <w:caps w:val="0"/>
          <w:sz w:val="20"/>
          <w:szCs w:val="20"/>
          <w:lang w:eastAsia="ru-RU"/>
        </w:rPr>
        <w:t>. Режим доступа</w:t>
      </w:r>
      <w:r w:rsidRPr="008D6286">
        <w:rPr>
          <w:rFonts w:eastAsia="Times New Roman" w:cstheme="minorBidi"/>
          <w:b w:val="0"/>
          <w:bCs w:val="0"/>
          <w:caps w:val="0"/>
          <w:sz w:val="20"/>
          <w:szCs w:val="20"/>
          <w:lang w:eastAsia="ru-RU"/>
        </w:rPr>
        <w:t xml:space="preserve">: </w:t>
      </w:r>
      <w:hyperlink r:id="rId3" w:history="1">
        <w:r w:rsidRPr="008D6286">
          <w:rPr>
            <w:rFonts w:eastAsia="Times New Roman" w:cstheme="minorBidi"/>
            <w:b w:val="0"/>
            <w:bCs w:val="0"/>
            <w:caps w:val="0"/>
            <w:sz w:val="20"/>
            <w:szCs w:val="20"/>
            <w:lang w:eastAsia="ru-RU"/>
          </w:rPr>
          <w:t>http://www.consultant.ru/document/cons_doc_LAW_116964/</w:t>
        </w:r>
      </w:hyperlink>
    </w:p>
  </w:footnote>
  <w:footnote w:id="20">
    <w:p w14:paraId="75722A4C" w14:textId="19CC4FB0" w:rsidR="008B2819" w:rsidRPr="00453058" w:rsidRDefault="008B2819" w:rsidP="00453058">
      <w:pPr>
        <w:spacing w:line="240" w:lineRule="auto"/>
        <w:ind w:left="709" w:firstLine="0"/>
        <w:rPr>
          <w:rFonts w:eastAsia="Times New Roman"/>
          <w:sz w:val="20"/>
          <w:szCs w:val="20"/>
        </w:rPr>
      </w:pPr>
      <w:r w:rsidRPr="00453058">
        <w:rPr>
          <w:rStyle w:val="afa"/>
          <w:color w:val="000000" w:themeColor="text1"/>
          <w:sz w:val="20"/>
          <w:szCs w:val="20"/>
        </w:rPr>
        <w:footnoteRef/>
      </w:r>
      <w:r w:rsidRPr="00453058">
        <w:rPr>
          <w:color w:val="000000" w:themeColor="text1"/>
          <w:sz w:val="20"/>
          <w:szCs w:val="20"/>
        </w:rPr>
        <w:t xml:space="preserve"> </w:t>
      </w:r>
      <w:r w:rsidRPr="00453058">
        <w:rPr>
          <w:rFonts w:eastAsia="Times New Roman"/>
          <w:color w:val="000000" w:themeColor="text1"/>
          <w:sz w:val="20"/>
          <w:szCs w:val="20"/>
        </w:rPr>
        <w:t>Сводный аналитический отчет по результатам осуществления мониторинга закупок, товаров, услуг для обеспечения государственных и муниципальных нужд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по итогам 2018 года. Режим доступа:</w:t>
      </w:r>
      <w:r w:rsidRPr="00453058">
        <w:rPr>
          <w:color w:val="000000" w:themeColor="text1"/>
          <w:sz w:val="20"/>
          <w:szCs w:val="20"/>
        </w:rPr>
        <w:t xml:space="preserve"> </w:t>
      </w:r>
      <w:hyperlink r:id="rId4" w:history="1">
        <w:r w:rsidRPr="00DF5258">
          <w:rPr>
            <w:rStyle w:val="af3"/>
            <w:color w:val="000000" w:themeColor="text1"/>
            <w:sz w:val="20"/>
            <w:szCs w:val="20"/>
            <w:u w:val="none"/>
          </w:rPr>
          <w:t>https://www.minfin.ru/ru/perfomance/contracts/purchases/</w:t>
        </w:r>
      </w:hyperlink>
    </w:p>
  </w:footnote>
  <w:footnote w:id="21">
    <w:p w14:paraId="37CDA6B6" w14:textId="77777777" w:rsidR="008B2819" w:rsidRPr="007B787E" w:rsidRDefault="008B2819" w:rsidP="00480DFA">
      <w:pPr>
        <w:pStyle w:val="af8"/>
        <w:ind w:left="709" w:firstLine="0"/>
        <w:rPr>
          <w:rFonts w:cs="Times New Roman"/>
        </w:rPr>
      </w:pPr>
      <w:r w:rsidRPr="007B787E">
        <w:rPr>
          <w:rStyle w:val="afa"/>
          <w:rFonts w:cs="Times New Roman"/>
          <w:color w:val="000000" w:themeColor="text1"/>
        </w:rPr>
        <w:footnoteRef/>
      </w:r>
      <w:r w:rsidRPr="007B787E">
        <w:rPr>
          <w:rFonts w:cs="Times New Roman"/>
          <w:color w:val="000000" w:themeColor="text1"/>
        </w:rPr>
        <w:t xml:space="preserve"> Шишков </w:t>
      </w:r>
      <w:r>
        <w:rPr>
          <w:rFonts w:cs="Times New Roman"/>
          <w:color w:val="000000" w:themeColor="text1"/>
        </w:rPr>
        <w:t xml:space="preserve">Б.Е. </w:t>
      </w:r>
      <w:r w:rsidRPr="007B787E">
        <w:rPr>
          <w:rFonts w:cs="Times New Roman"/>
          <w:color w:val="000000" w:themeColor="text1"/>
        </w:rPr>
        <w:t>Механизмы государственно-частного партнерства в оборонно-промышленном комплексе // Имущественные отношения в РФ. 2015. №12 (171).</w:t>
      </w:r>
      <w:r>
        <w:rPr>
          <w:rFonts w:cs="Times New Roman"/>
          <w:color w:val="000000" w:themeColor="text1"/>
        </w:rPr>
        <w:t xml:space="preserve"> С</w:t>
      </w:r>
      <w:r w:rsidRPr="0038048D">
        <w:rPr>
          <w:rFonts w:cs="Times New Roman"/>
          <w:color w:val="000000" w:themeColor="text1"/>
        </w:rPr>
        <w:t>. 88-97.</w:t>
      </w:r>
      <w:r w:rsidRPr="007B787E">
        <w:rPr>
          <w:rFonts w:cs="Times New Roman"/>
          <w:color w:val="000000" w:themeColor="text1"/>
        </w:rPr>
        <w:t xml:space="preserve"> </w:t>
      </w:r>
    </w:p>
  </w:footnote>
  <w:footnote w:id="22">
    <w:p w14:paraId="67816CC1" w14:textId="77777777" w:rsidR="008B2819" w:rsidRPr="00E309AC" w:rsidRDefault="008B2819" w:rsidP="00480DFA">
      <w:pPr>
        <w:pStyle w:val="af8"/>
        <w:ind w:left="709" w:firstLine="0"/>
        <w:rPr>
          <w:rFonts w:cs="Times New Roman"/>
        </w:rPr>
      </w:pPr>
      <w:r w:rsidRPr="00E309AC">
        <w:rPr>
          <w:rStyle w:val="afa"/>
          <w:rFonts w:cs="Times New Roman"/>
          <w:color w:val="000000" w:themeColor="text1"/>
        </w:rPr>
        <w:footnoteRef/>
      </w:r>
      <w:r w:rsidRPr="00E309AC">
        <w:rPr>
          <w:rFonts w:cs="Times New Roman"/>
          <w:color w:val="000000" w:themeColor="text1"/>
        </w:rPr>
        <w:t xml:space="preserve"> Селин В.С., Зерщикова Н.И. Проблемы и перспективы применения соглашений о разделе продукции при освоении Арктического шельфа // Записки Горного института. 2008. </w:t>
      </w:r>
    </w:p>
  </w:footnote>
  <w:footnote w:id="23">
    <w:p w14:paraId="6B3623BE" w14:textId="357295D0" w:rsidR="008B2819" w:rsidRDefault="008B2819" w:rsidP="00480DFA">
      <w:pPr>
        <w:pStyle w:val="af8"/>
        <w:ind w:left="709" w:firstLine="0"/>
      </w:pPr>
      <w:r>
        <w:rPr>
          <w:rStyle w:val="afa"/>
        </w:rPr>
        <w:footnoteRef/>
      </w:r>
      <w:r>
        <w:t xml:space="preserve"> </w:t>
      </w:r>
      <w:r w:rsidRPr="00E309AC">
        <w:rPr>
          <w:rFonts w:cs="Times New Roman"/>
          <w:color w:val="000000" w:themeColor="text1"/>
        </w:rPr>
        <w:t>Лисов В.И. Некоторые аспекты развития минерально-сырьевого комплекса России в условиях модерни</w:t>
      </w:r>
      <w:r>
        <w:rPr>
          <w:rFonts w:cs="Times New Roman"/>
          <w:color w:val="000000" w:themeColor="text1"/>
        </w:rPr>
        <w:t>зации экономики. М., 2011.</w:t>
      </w:r>
    </w:p>
  </w:footnote>
  <w:footnote w:id="24">
    <w:p w14:paraId="170624FD" w14:textId="6F6F7D4A" w:rsidR="008B2819" w:rsidRPr="00FD5457" w:rsidRDefault="008B2819" w:rsidP="00480DFA">
      <w:pPr>
        <w:pStyle w:val="af8"/>
        <w:ind w:left="709" w:firstLine="0"/>
        <w:rPr>
          <w:rFonts w:cs="Times New Roman"/>
        </w:rPr>
      </w:pPr>
      <w:r w:rsidRPr="00FD5457">
        <w:rPr>
          <w:rStyle w:val="afa"/>
          <w:rFonts w:cs="Times New Roman"/>
          <w:color w:val="000000" w:themeColor="text1"/>
        </w:rPr>
        <w:footnoteRef/>
      </w:r>
      <w:r>
        <w:rPr>
          <w:rFonts w:cs="Times New Roman"/>
          <w:color w:val="000000" w:themeColor="text1"/>
        </w:rPr>
        <w:t xml:space="preserve"> </w:t>
      </w:r>
      <w:r w:rsidRPr="00FD5457">
        <w:rPr>
          <w:rFonts w:cs="Times New Roman"/>
          <w:color w:val="000000" w:themeColor="text1"/>
        </w:rPr>
        <w:t xml:space="preserve">Карпова </w:t>
      </w:r>
      <w:r>
        <w:rPr>
          <w:rFonts w:cs="Times New Roman"/>
          <w:color w:val="000000" w:themeColor="text1"/>
        </w:rPr>
        <w:t xml:space="preserve">Г.Н. </w:t>
      </w:r>
      <w:r w:rsidRPr="00FD5457">
        <w:rPr>
          <w:rFonts w:cs="Times New Roman"/>
          <w:color w:val="000000" w:themeColor="text1"/>
        </w:rPr>
        <w:t xml:space="preserve">Об эффективности специального режима налогообложения при выполнении соглашений о разделе продукции // Экономика. Налоги. Право. 2013. №3. </w:t>
      </w:r>
    </w:p>
  </w:footnote>
  <w:footnote w:id="25">
    <w:p w14:paraId="61C5C637" w14:textId="3308F025" w:rsidR="008B2819" w:rsidRDefault="008B2819" w:rsidP="00480DFA">
      <w:pPr>
        <w:pStyle w:val="af8"/>
        <w:ind w:left="709" w:firstLine="0"/>
      </w:pPr>
      <w:r w:rsidRPr="00940DDD">
        <w:rPr>
          <w:rStyle w:val="afa"/>
          <w:rFonts w:cs="Times New Roman"/>
        </w:rPr>
        <w:footnoteRef/>
      </w:r>
      <w:r w:rsidRPr="00940DDD">
        <w:rPr>
          <w:rFonts w:cs="Times New Roman"/>
        </w:rPr>
        <w:t xml:space="preserve"> </w:t>
      </w:r>
      <w:proofErr w:type="spellStart"/>
      <w:r w:rsidRPr="00940DDD">
        <w:rPr>
          <w:rFonts w:cs="Times New Roman"/>
          <w:color w:val="000000" w:themeColor="text1"/>
        </w:rPr>
        <w:t>Лытаев</w:t>
      </w:r>
      <w:proofErr w:type="spellEnd"/>
      <w:r w:rsidRPr="00940DDD">
        <w:rPr>
          <w:rFonts w:cs="Times New Roman"/>
          <w:color w:val="000000" w:themeColor="text1"/>
        </w:rPr>
        <w:t xml:space="preserve"> А.В, Токарев А.Н. Условия соглашений о разделе продукции нефтедобычи //</w:t>
      </w:r>
      <w:r>
        <w:rPr>
          <w:rFonts w:cs="Times New Roman"/>
          <w:color w:val="000000" w:themeColor="text1"/>
        </w:rPr>
        <w:t xml:space="preserve"> </w:t>
      </w:r>
      <w:r w:rsidRPr="00940DDD">
        <w:rPr>
          <w:rFonts w:cs="Times New Roman"/>
          <w:color w:val="000000" w:themeColor="text1"/>
        </w:rPr>
        <w:t>Вестник НГУ. Серия: Социально-экономические науки. 2011. Том 11, выпуск 4.</w:t>
      </w:r>
    </w:p>
  </w:footnote>
  <w:footnote w:id="26">
    <w:p w14:paraId="67CD727E" w14:textId="7F86BEF5" w:rsidR="008B2819" w:rsidRPr="00C665B3" w:rsidRDefault="008B2819" w:rsidP="00C665B3">
      <w:pPr>
        <w:pStyle w:val="1"/>
        <w:shd w:val="clear" w:color="auto" w:fill="FFFFFF"/>
        <w:spacing w:after="144" w:line="242" w:lineRule="atLeast"/>
        <w:ind w:left="709"/>
        <w:rPr>
          <w:rFonts w:ascii="Arial" w:hAnsi="Arial" w:cs="Arial"/>
          <w:color w:val="333333"/>
          <w:sz w:val="24"/>
          <w:szCs w:val="24"/>
        </w:rPr>
      </w:pPr>
      <w:r w:rsidRPr="00C665B3">
        <w:rPr>
          <w:rStyle w:val="afa"/>
          <w:b w:val="0"/>
          <w:sz w:val="20"/>
          <w:szCs w:val="20"/>
        </w:rPr>
        <w:footnoteRef/>
      </w:r>
      <w:r w:rsidRPr="00C665B3">
        <w:rPr>
          <w:b w:val="0"/>
          <w:sz w:val="20"/>
          <w:szCs w:val="20"/>
        </w:rPr>
        <w:t xml:space="preserve"> </w:t>
      </w:r>
      <w:r>
        <w:rPr>
          <w:rFonts w:eastAsiaTheme="minorHAnsi" w:cs="Times New Roman"/>
          <w:b w:val="0"/>
          <w:bCs w:val="0"/>
          <w:caps w:val="0"/>
          <w:color w:val="000000" w:themeColor="text1"/>
          <w:sz w:val="20"/>
          <w:szCs w:val="20"/>
        </w:rPr>
        <w:t>Федеральный закон «</w:t>
      </w:r>
      <w:r w:rsidRPr="00C665B3">
        <w:rPr>
          <w:rFonts w:eastAsiaTheme="minorHAnsi" w:cs="Times New Roman"/>
          <w:b w:val="0"/>
          <w:bCs w:val="0"/>
          <w:caps w:val="0"/>
          <w:color w:val="000000" w:themeColor="text1"/>
          <w:sz w:val="20"/>
          <w:szCs w:val="20"/>
        </w:rPr>
        <w:t>О концессион</w:t>
      </w:r>
      <w:r>
        <w:rPr>
          <w:rFonts w:eastAsiaTheme="minorHAnsi" w:cs="Times New Roman"/>
          <w:b w:val="0"/>
          <w:bCs w:val="0"/>
          <w:caps w:val="0"/>
          <w:color w:val="000000" w:themeColor="text1"/>
          <w:sz w:val="20"/>
          <w:szCs w:val="20"/>
        </w:rPr>
        <w:t>ных соглашениях» от 21.07.2005 №</w:t>
      </w:r>
      <w:r w:rsidRPr="00C665B3">
        <w:rPr>
          <w:rFonts w:eastAsiaTheme="minorHAnsi" w:cs="Times New Roman"/>
          <w:b w:val="0"/>
          <w:bCs w:val="0"/>
          <w:caps w:val="0"/>
          <w:color w:val="000000" w:themeColor="text1"/>
          <w:sz w:val="20"/>
          <w:szCs w:val="20"/>
        </w:rPr>
        <w:t xml:space="preserve"> 115-ФЗ (последняя редакция)</w:t>
      </w:r>
      <w:r>
        <w:rPr>
          <w:rFonts w:eastAsiaTheme="minorHAnsi" w:cs="Times New Roman"/>
          <w:b w:val="0"/>
          <w:bCs w:val="0"/>
          <w:caps w:val="0"/>
          <w:color w:val="000000" w:themeColor="text1"/>
          <w:sz w:val="20"/>
          <w:szCs w:val="20"/>
        </w:rPr>
        <w:t>. Режим</w:t>
      </w:r>
      <w:r w:rsidRPr="00C665B3">
        <w:rPr>
          <w:rFonts w:eastAsiaTheme="minorHAnsi" w:cs="Times New Roman"/>
          <w:b w:val="0"/>
          <w:bCs w:val="0"/>
          <w:caps w:val="0"/>
          <w:color w:val="000000" w:themeColor="text1"/>
          <w:sz w:val="20"/>
          <w:szCs w:val="20"/>
        </w:rPr>
        <w:t xml:space="preserve"> </w:t>
      </w:r>
      <w:r>
        <w:rPr>
          <w:rFonts w:eastAsiaTheme="minorHAnsi" w:cs="Times New Roman"/>
          <w:b w:val="0"/>
          <w:bCs w:val="0"/>
          <w:caps w:val="0"/>
          <w:color w:val="000000" w:themeColor="text1"/>
          <w:sz w:val="20"/>
          <w:szCs w:val="20"/>
        </w:rPr>
        <w:t>доступа</w:t>
      </w:r>
      <w:r w:rsidRPr="00C665B3">
        <w:rPr>
          <w:rFonts w:eastAsiaTheme="minorHAnsi" w:cs="Times New Roman"/>
          <w:b w:val="0"/>
          <w:bCs w:val="0"/>
          <w:caps w:val="0"/>
          <w:color w:val="000000" w:themeColor="text1"/>
          <w:sz w:val="20"/>
          <w:szCs w:val="20"/>
        </w:rPr>
        <w:t xml:space="preserve">: </w:t>
      </w:r>
      <w:hyperlink r:id="rId5" w:history="1">
        <w:r w:rsidRPr="00C665B3">
          <w:rPr>
            <w:rFonts w:eastAsiaTheme="minorHAnsi" w:cs="Times New Roman"/>
            <w:b w:val="0"/>
            <w:bCs w:val="0"/>
            <w:caps w:val="0"/>
            <w:color w:val="000000" w:themeColor="text1"/>
            <w:sz w:val="20"/>
            <w:szCs w:val="20"/>
          </w:rPr>
          <w:t>http://www.consultant.ru/document/cons_doc_LAW_54572/</w:t>
        </w:r>
      </w:hyperlink>
    </w:p>
  </w:footnote>
  <w:footnote w:id="27">
    <w:p w14:paraId="1656E836" w14:textId="342C9B28" w:rsidR="008B2819" w:rsidRPr="007A0288" w:rsidRDefault="008B2819" w:rsidP="00480DFA">
      <w:pPr>
        <w:spacing w:line="240" w:lineRule="auto"/>
        <w:ind w:left="709" w:firstLine="0"/>
        <w:jc w:val="left"/>
        <w:rPr>
          <w:rFonts w:eastAsia="Times New Roman"/>
          <w:color w:val="000000"/>
          <w:sz w:val="20"/>
          <w:szCs w:val="20"/>
        </w:rPr>
      </w:pPr>
      <w:r w:rsidRPr="007A0288">
        <w:rPr>
          <w:rStyle w:val="afa"/>
          <w:sz w:val="20"/>
          <w:szCs w:val="20"/>
        </w:rPr>
        <w:footnoteRef/>
      </w:r>
      <w:r w:rsidRPr="007A0288">
        <w:rPr>
          <w:sz w:val="20"/>
          <w:szCs w:val="20"/>
        </w:rPr>
        <w:t xml:space="preserve"> </w:t>
      </w:r>
      <w:proofErr w:type="spellStart"/>
      <w:r w:rsidRPr="007A0288">
        <w:rPr>
          <w:rFonts w:eastAsia="Times New Roman"/>
          <w:color w:val="000000"/>
          <w:sz w:val="20"/>
          <w:szCs w:val="20"/>
        </w:rPr>
        <w:t>Мереминская</w:t>
      </w:r>
      <w:proofErr w:type="spellEnd"/>
      <w:r w:rsidRPr="007A0288">
        <w:rPr>
          <w:rFonts w:eastAsia="Times New Roman"/>
          <w:color w:val="000000"/>
          <w:sz w:val="20"/>
          <w:szCs w:val="20"/>
        </w:rPr>
        <w:t xml:space="preserve"> Е. Концессии предложено проверять на эффективность /</w:t>
      </w:r>
      <w:r>
        <w:rPr>
          <w:rFonts w:eastAsia="Times New Roman"/>
          <w:color w:val="000000"/>
          <w:sz w:val="20"/>
          <w:szCs w:val="20"/>
        </w:rPr>
        <w:t>/Ведомости. – 2017. Режим доступа</w:t>
      </w:r>
      <w:r w:rsidRPr="007A0288">
        <w:rPr>
          <w:rFonts w:eastAsia="Times New Roman"/>
          <w:color w:val="000000"/>
          <w:sz w:val="20"/>
          <w:szCs w:val="20"/>
        </w:rPr>
        <w:t xml:space="preserve">: </w:t>
      </w:r>
      <w:hyperlink r:id="rId6" w:history="1">
        <w:r w:rsidRPr="008D6286">
          <w:rPr>
            <w:rStyle w:val="af3"/>
            <w:color w:val="000000" w:themeColor="text1"/>
            <w:sz w:val="20"/>
            <w:szCs w:val="20"/>
            <w:u w:val="none"/>
          </w:rPr>
          <w:t>https://www.vedomosti.ru/economics/articles/2017/06/08/693513-kontsessii-proveryat</w:t>
        </w:r>
      </w:hyperlink>
      <w:r w:rsidRPr="008D6286">
        <w:rPr>
          <w:color w:val="000000" w:themeColor="text1"/>
          <w:sz w:val="20"/>
          <w:szCs w:val="20"/>
        </w:rPr>
        <w:t>.</w:t>
      </w:r>
    </w:p>
    <w:p w14:paraId="1F1722FB" w14:textId="77777777" w:rsidR="008B2819" w:rsidRPr="00404A0A" w:rsidRDefault="008B2819" w:rsidP="007E6AB7">
      <w:pPr>
        <w:pStyle w:val="1"/>
        <w:shd w:val="clear" w:color="auto" w:fill="FFFFFF"/>
        <w:spacing w:after="0" w:line="480" w:lineRule="atLeast"/>
        <w:rPr>
          <w:b w:val="0"/>
          <w:color w:val="000000"/>
          <w:sz w:val="20"/>
          <w:szCs w:val="20"/>
        </w:rPr>
      </w:pPr>
    </w:p>
    <w:p w14:paraId="55A5B5F9" w14:textId="77777777" w:rsidR="008B2819" w:rsidRDefault="008B2819" w:rsidP="007E6AB7">
      <w:pPr>
        <w:pStyle w:val="af8"/>
      </w:pPr>
    </w:p>
  </w:footnote>
  <w:footnote w:id="28">
    <w:p w14:paraId="5142F38A" w14:textId="77777777" w:rsidR="008B2819" w:rsidRPr="00D97DDA" w:rsidRDefault="008B2819" w:rsidP="002E57D5">
      <w:pPr>
        <w:pStyle w:val="af8"/>
        <w:ind w:left="709" w:firstLine="0"/>
        <w:rPr>
          <w:rFonts w:cs="Times New Roman"/>
        </w:rPr>
      </w:pPr>
      <w:r w:rsidRPr="00D97DDA">
        <w:rPr>
          <w:rStyle w:val="afa"/>
          <w:rFonts w:cs="Times New Roman"/>
          <w:color w:val="000000" w:themeColor="text1"/>
        </w:rPr>
        <w:footnoteRef/>
      </w:r>
      <w:r w:rsidRPr="00D97DDA">
        <w:rPr>
          <w:rFonts w:cs="Times New Roman"/>
          <w:color w:val="000000" w:themeColor="text1"/>
        </w:rPr>
        <w:t xml:space="preserve"> Шор Д.М., Шор И.М. Взаимодействие государства и частного бизнеса при реализации концессионных соглашений // Финансовая аналитика: проблемы и решения. 2016. №46 (328). URL: https://cyberleninka.ru/article/n/vzaimodeystvie-gosudarstva-i-chastnogo-biznesa-pri-realizatsii-kontsessionnyh-soglasheniy (дата обращения: 02.04.2020).</w:t>
      </w:r>
    </w:p>
  </w:footnote>
  <w:footnote w:id="29">
    <w:p w14:paraId="770BE784" w14:textId="77777777" w:rsidR="008B2819" w:rsidRPr="007A0288" w:rsidRDefault="008B2819" w:rsidP="002E57D5">
      <w:pPr>
        <w:pStyle w:val="af8"/>
        <w:ind w:left="709" w:firstLine="0"/>
        <w:rPr>
          <w:rFonts w:cs="Times New Roman"/>
        </w:rPr>
      </w:pPr>
      <w:r w:rsidRPr="007A0288">
        <w:rPr>
          <w:rStyle w:val="afa"/>
          <w:rFonts w:cs="Times New Roman"/>
        </w:rPr>
        <w:footnoteRef/>
      </w:r>
      <w:r w:rsidRPr="007A0288">
        <w:rPr>
          <w:rFonts w:cs="Times New Roman"/>
        </w:rPr>
        <w:t xml:space="preserve"> Там же</w:t>
      </w:r>
    </w:p>
  </w:footnote>
  <w:footnote w:id="30">
    <w:p w14:paraId="1EBDAA64" w14:textId="171422CE" w:rsidR="008B2819" w:rsidRPr="007A0288" w:rsidRDefault="008B2819" w:rsidP="002E57D5">
      <w:pPr>
        <w:pStyle w:val="af4"/>
        <w:spacing w:before="0" w:beforeAutospacing="0" w:after="0" w:afterAutospacing="0"/>
        <w:ind w:left="709"/>
        <w:jc w:val="both"/>
        <w:rPr>
          <w:sz w:val="20"/>
          <w:szCs w:val="20"/>
        </w:rPr>
      </w:pPr>
      <w:r w:rsidRPr="007A0288">
        <w:rPr>
          <w:rStyle w:val="afa"/>
          <w:sz w:val="20"/>
          <w:szCs w:val="20"/>
        </w:rPr>
        <w:footnoteRef/>
      </w:r>
      <w:r>
        <w:rPr>
          <w:sz w:val="20"/>
          <w:szCs w:val="20"/>
        </w:rPr>
        <w:t xml:space="preserve"> </w:t>
      </w:r>
      <w:proofErr w:type="spellStart"/>
      <w:r w:rsidRPr="007A0288">
        <w:rPr>
          <w:sz w:val="20"/>
          <w:szCs w:val="20"/>
          <w:lang w:eastAsia="en-US"/>
        </w:rPr>
        <w:t>Делмон</w:t>
      </w:r>
      <w:proofErr w:type="spellEnd"/>
      <w:r w:rsidRPr="007A0288">
        <w:rPr>
          <w:sz w:val="20"/>
          <w:szCs w:val="20"/>
          <w:lang w:eastAsia="en-US"/>
        </w:rPr>
        <w:t xml:space="preserve"> Дж. Государственно-частное партнерство в инфраструктуре. Практическое руководство для органов государственной̆ власти. – 2010. </w:t>
      </w:r>
    </w:p>
    <w:p w14:paraId="6D3E867B" w14:textId="77777777" w:rsidR="008B2819" w:rsidRPr="00A11EAE" w:rsidRDefault="008B2819" w:rsidP="007E6AB7">
      <w:pPr>
        <w:pStyle w:val="af8"/>
      </w:pPr>
    </w:p>
  </w:footnote>
  <w:footnote w:id="31">
    <w:p w14:paraId="62F77D6F" w14:textId="71F27E48" w:rsidR="008B2819" w:rsidRPr="00CA1A8C" w:rsidRDefault="008B2819" w:rsidP="00CA1A8C">
      <w:pPr>
        <w:pStyle w:val="af8"/>
        <w:ind w:left="709" w:firstLine="0"/>
        <w:jc w:val="left"/>
        <w:rPr>
          <w:rFonts w:cs="Times New Roman"/>
        </w:rPr>
      </w:pPr>
      <w:r>
        <w:rPr>
          <w:rStyle w:val="afa"/>
        </w:rPr>
        <w:footnoteRef/>
      </w:r>
      <w:r>
        <w:t xml:space="preserve"> </w:t>
      </w:r>
      <w:r w:rsidRPr="00CA1A8C">
        <w:rPr>
          <w:rFonts w:cs="Times New Roman"/>
        </w:rPr>
        <w:t>Федеральный закон от 31 декабря 2</w:t>
      </w:r>
      <w:r>
        <w:rPr>
          <w:rFonts w:cs="Times New Roman"/>
        </w:rPr>
        <w:t>014 г. № 488-ФЗ «</w:t>
      </w:r>
      <w:r w:rsidRPr="00CA1A8C">
        <w:rPr>
          <w:rFonts w:cs="Times New Roman"/>
        </w:rPr>
        <w:t>О промышленной п</w:t>
      </w:r>
      <w:r>
        <w:rPr>
          <w:rFonts w:cs="Times New Roman"/>
        </w:rPr>
        <w:t xml:space="preserve">олитике в Российской Федерации </w:t>
      </w:r>
      <w:r w:rsidRPr="00CA1A8C">
        <w:rPr>
          <w:rFonts w:cs="Times New Roman"/>
        </w:rPr>
        <w:t>(с изменениями и дополнениями)</w:t>
      </w:r>
      <w:r>
        <w:rPr>
          <w:rFonts w:cs="Times New Roman"/>
        </w:rPr>
        <w:t xml:space="preserve"> Система </w:t>
      </w:r>
      <w:r w:rsidRPr="00CA1A8C">
        <w:rPr>
          <w:rFonts w:cs="Times New Roman"/>
        </w:rPr>
        <w:t>ГАРАНТ: http://base.garant.ru/70833138/#ixzz6NXTFIJXM</w:t>
      </w:r>
    </w:p>
  </w:footnote>
  <w:footnote w:id="32">
    <w:p w14:paraId="72F3F768" w14:textId="5EFFE384" w:rsidR="008B2819" w:rsidRDefault="008B2819">
      <w:pPr>
        <w:pStyle w:val="af8"/>
        <w:rPr>
          <w:rFonts w:cs="Times New Roman"/>
        </w:rPr>
      </w:pPr>
      <w:r>
        <w:rPr>
          <w:rStyle w:val="afa"/>
        </w:rPr>
        <w:footnoteRef/>
      </w:r>
      <w:r w:rsidRPr="00CA1A8C">
        <w:rPr>
          <w:rFonts w:cs="Times New Roman"/>
        </w:rPr>
        <w:t xml:space="preserve"> Постановление Правит</w:t>
      </w:r>
      <w:r>
        <w:rPr>
          <w:rFonts w:cs="Times New Roman"/>
        </w:rPr>
        <w:t xml:space="preserve">ельства РФ от 16 июля 2015 г. № </w:t>
      </w:r>
      <w:r w:rsidRPr="00CA1A8C">
        <w:rPr>
          <w:rFonts w:cs="Times New Roman"/>
        </w:rPr>
        <w:t>708</w:t>
      </w:r>
      <w:r>
        <w:rPr>
          <w:rFonts w:cs="Times New Roman"/>
        </w:rPr>
        <w:t xml:space="preserve"> «О специальных инвестиционных</w:t>
      </w:r>
    </w:p>
    <w:p w14:paraId="740AE549" w14:textId="1C36A469" w:rsidR="008B2819" w:rsidRDefault="008B2819" w:rsidP="00CA1A8C">
      <w:pPr>
        <w:pStyle w:val="af8"/>
        <w:rPr>
          <w:rFonts w:cs="Times New Roman"/>
        </w:rPr>
      </w:pPr>
      <w:r w:rsidRPr="00CA1A8C">
        <w:rPr>
          <w:rFonts w:cs="Times New Roman"/>
        </w:rPr>
        <w:t>контрактах для отдельных отраслей промышленности</w:t>
      </w:r>
      <w:r>
        <w:rPr>
          <w:rFonts w:cs="Times New Roman"/>
        </w:rPr>
        <w:t>»</w:t>
      </w:r>
    </w:p>
    <w:p w14:paraId="71E6185C" w14:textId="486B79C3" w:rsidR="008B2819" w:rsidRPr="00CA1A8C" w:rsidRDefault="008B2819" w:rsidP="00CA1A8C">
      <w:pPr>
        <w:pStyle w:val="af8"/>
        <w:rPr>
          <w:rFonts w:cs="Times New Roman"/>
        </w:rPr>
      </w:pPr>
      <w:r w:rsidRPr="00CA1A8C">
        <w:rPr>
          <w:rFonts w:cs="Times New Roman"/>
        </w:rPr>
        <w:t>Система ГАРАНТ: http://base.garant.ru/71137900/#ixzz6NXTrnBWJ</w:t>
      </w:r>
    </w:p>
  </w:footnote>
  <w:footnote w:id="33">
    <w:p w14:paraId="13E3FE98" w14:textId="77777777" w:rsidR="008B2819" w:rsidRDefault="008B2819" w:rsidP="00CA1A8C">
      <w:pPr>
        <w:pStyle w:val="af8"/>
        <w:jc w:val="left"/>
      </w:pPr>
      <w:r>
        <w:rPr>
          <w:rStyle w:val="afa"/>
        </w:rPr>
        <w:footnoteRef/>
      </w:r>
      <w:r>
        <w:t xml:space="preserve"> </w:t>
      </w:r>
      <w:r w:rsidRPr="00CA1A8C">
        <w:t>Федераль</w:t>
      </w:r>
      <w:r>
        <w:t>ный закон от 2 августа 2019 г. № 290-ФЗ «</w:t>
      </w:r>
      <w:r w:rsidRPr="00CA1A8C">
        <w:t>О внесени</w:t>
      </w:r>
      <w:r>
        <w:t>и изменений в Федеральный закон</w:t>
      </w:r>
    </w:p>
    <w:p w14:paraId="7FE3E180" w14:textId="77777777" w:rsidR="008B2819" w:rsidRDefault="008B2819" w:rsidP="00CA1A8C">
      <w:pPr>
        <w:pStyle w:val="af8"/>
        <w:jc w:val="left"/>
      </w:pPr>
      <w:r>
        <w:t>«</w:t>
      </w:r>
      <w:r w:rsidRPr="00CA1A8C">
        <w:t xml:space="preserve">О промышленной </w:t>
      </w:r>
      <w:r>
        <w:t>политике в Российской Федерации»</w:t>
      </w:r>
      <w:r w:rsidRPr="00CA1A8C">
        <w:t xml:space="preserve"> в части регулирования специа</w:t>
      </w:r>
      <w:r>
        <w:t>льных</w:t>
      </w:r>
    </w:p>
    <w:p w14:paraId="51785B8A" w14:textId="5D9B4C8D" w:rsidR="008B2819" w:rsidRDefault="008B2819" w:rsidP="00CA1A8C">
      <w:pPr>
        <w:pStyle w:val="af8"/>
        <w:jc w:val="left"/>
      </w:pPr>
      <w:r>
        <w:t xml:space="preserve">инвестиционных контрактов». Система ГАРАНТ: </w:t>
      </w:r>
      <w:hyperlink r:id="rId7" w:history="1">
        <w:r w:rsidRPr="00CA1A8C">
          <w:rPr>
            <w:rStyle w:val="af3"/>
            <w:color w:val="000000" w:themeColor="text1"/>
            <w:u w:val="none"/>
          </w:rPr>
          <w:t>http://www.garant.ru/hotlaw/federal/1286362/</w:t>
        </w:r>
      </w:hyperlink>
    </w:p>
  </w:footnote>
  <w:footnote w:id="34">
    <w:p w14:paraId="12BA19D1" w14:textId="46374616" w:rsidR="008B2819" w:rsidRPr="00506925" w:rsidRDefault="008B2819" w:rsidP="00C665B3">
      <w:pPr>
        <w:pStyle w:val="af8"/>
        <w:ind w:left="709" w:firstLine="0"/>
        <w:rPr>
          <w:rFonts w:cs="Times New Roman"/>
        </w:rPr>
      </w:pPr>
      <w:r w:rsidRPr="00506925">
        <w:rPr>
          <w:rStyle w:val="afa"/>
          <w:rFonts w:cs="Times New Roman"/>
        </w:rPr>
        <w:footnoteRef/>
      </w:r>
      <w:r w:rsidRPr="00506925">
        <w:rPr>
          <w:rFonts w:cs="Times New Roman"/>
        </w:rPr>
        <w:t xml:space="preserve"> Карачев И.А. Специальный инвестиционный контракт: новое видение инвестиционного инструмента //</w:t>
      </w:r>
      <w:r w:rsidRPr="00506925">
        <w:rPr>
          <w:rFonts w:cs="Times New Roman"/>
          <w:color w:val="000000"/>
          <w:shd w:val="clear" w:color="auto" w:fill="F5F5F5"/>
        </w:rPr>
        <w:t xml:space="preserve"> </w:t>
      </w:r>
      <w:r w:rsidRPr="00506925">
        <w:rPr>
          <w:rFonts w:cs="Times New Roman"/>
        </w:rPr>
        <w:t>Сборник материалов VIII Международной н</w:t>
      </w:r>
      <w:r>
        <w:rPr>
          <w:rFonts w:cs="Times New Roman"/>
        </w:rPr>
        <w:t xml:space="preserve">аучно-практической конференции. –  </w:t>
      </w:r>
      <w:r w:rsidRPr="00506925">
        <w:rPr>
          <w:rFonts w:cs="Times New Roman"/>
        </w:rPr>
        <w:t>2018</w:t>
      </w:r>
      <w:r>
        <w:rPr>
          <w:rFonts w:cs="Times New Roman"/>
        </w:rPr>
        <w:t>.</w:t>
      </w:r>
    </w:p>
  </w:footnote>
  <w:footnote w:id="35">
    <w:p w14:paraId="6C310F1A" w14:textId="77777777" w:rsidR="008B2819" w:rsidRPr="002C3D32" w:rsidRDefault="008B2819" w:rsidP="00C179E3">
      <w:pPr>
        <w:pStyle w:val="headertext"/>
        <w:shd w:val="clear" w:color="auto" w:fill="FFFFFF"/>
        <w:spacing w:before="0" w:beforeAutospacing="0" w:after="0" w:afterAutospacing="0"/>
        <w:ind w:left="709"/>
        <w:textAlignment w:val="baseline"/>
        <w:rPr>
          <w:color w:val="000000" w:themeColor="text1"/>
          <w:spacing w:val="2"/>
          <w:sz w:val="20"/>
          <w:szCs w:val="20"/>
        </w:rPr>
      </w:pPr>
      <w:r w:rsidRPr="002C3D32">
        <w:rPr>
          <w:rStyle w:val="afa"/>
          <w:color w:val="000000" w:themeColor="text1"/>
          <w:sz w:val="20"/>
          <w:szCs w:val="20"/>
        </w:rPr>
        <w:footnoteRef/>
      </w:r>
      <w:r w:rsidRPr="002C3D32">
        <w:rPr>
          <w:color w:val="000000" w:themeColor="text1"/>
          <w:sz w:val="20"/>
          <w:szCs w:val="20"/>
        </w:rPr>
        <w:t xml:space="preserve"> О Стратегии социально-экономического развития Санкт-Петербурга на период до 2035 года. Закон Санкт-Петербурга «О Стратегии социально-экономического развития Санкт-Петербурга на период до 2035 года. Принят Законодательным Собранием Санкт-Петербурга 19 декабря 2018 года.</w:t>
      </w:r>
    </w:p>
  </w:footnote>
  <w:footnote w:id="36">
    <w:p w14:paraId="311D5AE6" w14:textId="1A8CD4FF" w:rsidR="008B2819" w:rsidRPr="002C3D32" w:rsidRDefault="008B2819" w:rsidP="00C179E3">
      <w:pPr>
        <w:pStyle w:val="af8"/>
        <w:ind w:left="709" w:firstLine="0"/>
        <w:rPr>
          <w:rFonts w:cs="Times New Roman"/>
          <w:color w:val="000000" w:themeColor="text1"/>
        </w:rPr>
      </w:pPr>
      <w:r w:rsidRPr="002C3D32">
        <w:rPr>
          <w:rStyle w:val="afa"/>
          <w:rFonts w:cs="Times New Roman"/>
          <w:color w:val="000000" w:themeColor="text1"/>
        </w:rPr>
        <w:footnoteRef/>
      </w:r>
      <w:r w:rsidRPr="002C3D32">
        <w:rPr>
          <w:rFonts w:cs="Times New Roman"/>
          <w:color w:val="000000" w:themeColor="text1"/>
        </w:rPr>
        <w:t xml:space="preserve"> </w:t>
      </w:r>
      <w:r w:rsidRPr="002C3D32">
        <w:rPr>
          <w:rFonts w:eastAsiaTheme="minorEastAsia" w:cs="Times New Roman"/>
          <w:color w:val="000000" w:themeColor="text1"/>
          <w:lang w:eastAsia="ru-RU"/>
        </w:rPr>
        <w:t>Инвестиционная стратегия Санкт-Петербурга на период до 2030 года. Электронный доступ: https://clck.ru/GHoSw</w:t>
      </w:r>
    </w:p>
  </w:footnote>
  <w:footnote w:id="37">
    <w:p w14:paraId="4E34E62C" w14:textId="77777777" w:rsidR="008B2819" w:rsidRPr="002419C7" w:rsidRDefault="008B2819" w:rsidP="00C179E3">
      <w:pPr>
        <w:pStyle w:val="af8"/>
        <w:ind w:left="709" w:firstLine="0"/>
        <w:rPr>
          <w:rFonts w:cs="Times New Roman"/>
        </w:rPr>
      </w:pPr>
      <w:r w:rsidRPr="002C3D32">
        <w:rPr>
          <w:rStyle w:val="afa"/>
          <w:rFonts w:cs="Times New Roman"/>
          <w:color w:val="000000" w:themeColor="text1"/>
        </w:rPr>
        <w:footnoteRef/>
      </w:r>
      <w:r w:rsidRPr="002C3D32">
        <w:rPr>
          <w:rFonts w:cs="Times New Roman"/>
          <w:color w:val="000000" w:themeColor="text1"/>
        </w:rPr>
        <w:t xml:space="preserve"> </w:t>
      </w:r>
      <w:r w:rsidRPr="002C3D32">
        <w:rPr>
          <w:rFonts w:eastAsiaTheme="minorEastAsia" w:cs="Times New Roman"/>
          <w:color w:val="000000" w:themeColor="text1"/>
          <w:lang w:eastAsia="ru-RU"/>
        </w:rPr>
        <w:t>Постановление Правительства Санкт-Петербурга от 30 июня 2014 г. № 553 «О государственной программе Санкт-Петербурга «Развитие здравоохранения в Санкт-Петербурге» на 2015-2020 годы».</w:t>
      </w:r>
    </w:p>
  </w:footnote>
  <w:footnote w:id="38">
    <w:p w14:paraId="5E6EFDCC" w14:textId="4517AB6A" w:rsidR="008B2819" w:rsidRPr="009E3420" w:rsidRDefault="008B2819" w:rsidP="002C3D32">
      <w:pPr>
        <w:pStyle w:val="af8"/>
        <w:ind w:left="709" w:firstLine="0"/>
        <w:jc w:val="left"/>
        <w:rPr>
          <w:rFonts w:cs="Times New Roman"/>
        </w:rPr>
      </w:pPr>
      <w:r w:rsidRPr="00FE3FED">
        <w:rPr>
          <w:rStyle w:val="afa"/>
          <w:rFonts w:cs="Times New Roman"/>
        </w:rPr>
        <w:footnoteRef/>
      </w:r>
      <w:r w:rsidRPr="00FE3FED">
        <w:rPr>
          <w:rFonts w:cs="Times New Roman"/>
        </w:rPr>
        <w:t xml:space="preserve"> Дерябина М. А. Теоретические и практические проблемы государственно-частного партнерства // Доклады и научные сб</w:t>
      </w:r>
      <w:r>
        <w:rPr>
          <w:rFonts w:cs="Times New Roman"/>
        </w:rPr>
        <w:t>орники Института экономики РАН. Режим доступа</w:t>
      </w:r>
      <w:r w:rsidRPr="009E3420">
        <w:rPr>
          <w:rFonts w:cs="Times New Roman"/>
        </w:rPr>
        <w:t xml:space="preserve">: </w:t>
      </w:r>
      <w:r w:rsidRPr="0041024F">
        <w:rPr>
          <w:rFonts w:cs="Times New Roman"/>
          <w:lang w:val="en-US"/>
        </w:rPr>
        <w:t>http</w:t>
      </w:r>
      <w:r w:rsidRPr="009E3420">
        <w:rPr>
          <w:rFonts w:cs="Times New Roman"/>
        </w:rPr>
        <w:t>://</w:t>
      </w:r>
      <w:r w:rsidRPr="0041024F">
        <w:rPr>
          <w:rFonts w:cs="Times New Roman"/>
          <w:lang w:val="en-US"/>
        </w:rPr>
        <w:t>www</w:t>
      </w:r>
      <w:r w:rsidRPr="009E3420">
        <w:rPr>
          <w:rFonts w:cs="Times New Roman"/>
        </w:rPr>
        <w:t>.</w:t>
      </w:r>
      <w:proofErr w:type="spellStart"/>
      <w:r w:rsidRPr="0041024F">
        <w:rPr>
          <w:rFonts w:cs="Times New Roman"/>
          <w:lang w:val="en-US"/>
        </w:rPr>
        <w:t>imepi</w:t>
      </w:r>
      <w:proofErr w:type="spellEnd"/>
      <w:r w:rsidRPr="009E3420">
        <w:rPr>
          <w:rFonts w:cs="Times New Roman"/>
        </w:rPr>
        <w:t>-</w:t>
      </w:r>
      <w:proofErr w:type="spellStart"/>
      <w:r w:rsidRPr="0041024F">
        <w:rPr>
          <w:rFonts w:cs="Times New Roman"/>
          <w:lang w:val="en-US"/>
        </w:rPr>
        <w:t>eurasia</w:t>
      </w:r>
      <w:proofErr w:type="spellEnd"/>
      <w:r w:rsidRPr="009E3420">
        <w:rPr>
          <w:rFonts w:cs="Times New Roman"/>
        </w:rPr>
        <w:t>.</w:t>
      </w:r>
      <w:proofErr w:type="spellStart"/>
      <w:r w:rsidRPr="0041024F">
        <w:rPr>
          <w:rFonts w:cs="Times New Roman"/>
          <w:lang w:val="en-US"/>
        </w:rPr>
        <w:t>ru</w:t>
      </w:r>
      <w:proofErr w:type="spellEnd"/>
      <w:r w:rsidRPr="009E3420">
        <w:rPr>
          <w:rFonts w:cs="Times New Roman"/>
        </w:rPr>
        <w:t>/</w:t>
      </w:r>
      <w:proofErr w:type="spellStart"/>
      <w:r w:rsidRPr="0041024F">
        <w:rPr>
          <w:rFonts w:cs="Times New Roman"/>
          <w:lang w:val="en-US"/>
        </w:rPr>
        <w:t>pdoklad</w:t>
      </w:r>
      <w:proofErr w:type="spellEnd"/>
      <w:r w:rsidRPr="009E3420">
        <w:rPr>
          <w:rFonts w:cs="Times New Roman"/>
        </w:rPr>
        <w:t>.</w:t>
      </w:r>
      <w:proofErr w:type="spellStart"/>
      <w:r w:rsidRPr="0041024F">
        <w:rPr>
          <w:rFonts w:cs="Times New Roman"/>
          <w:lang w:val="en-US"/>
        </w:rPr>
        <w:t>php</w:t>
      </w:r>
      <w:proofErr w:type="spellEnd"/>
      <w:r w:rsidRPr="009E3420">
        <w:rPr>
          <w:rFonts w:cs="Times New Roman"/>
        </w:rPr>
        <w:t>.</w:t>
      </w:r>
    </w:p>
  </w:footnote>
  <w:footnote w:id="39">
    <w:p w14:paraId="630B76D0" w14:textId="4B5DB730" w:rsidR="008B2819" w:rsidRPr="00601A09" w:rsidRDefault="008B2819" w:rsidP="00601A09">
      <w:pPr>
        <w:pStyle w:val="af8"/>
        <w:ind w:left="709" w:firstLine="0"/>
        <w:jc w:val="left"/>
        <w:rPr>
          <w:rFonts w:cs="Times New Roman"/>
        </w:rPr>
      </w:pPr>
      <w:r w:rsidRPr="002C3D32">
        <w:rPr>
          <w:rStyle w:val="afa"/>
          <w:rFonts w:cs="Times New Roman"/>
          <w:color w:val="000000" w:themeColor="text1"/>
        </w:rPr>
        <w:footnoteRef/>
      </w:r>
      <w:r w:rsidRPr="002C3D32">
        <w:rPr>
          <w:rFonts w:cs="Times New Roman"/>
          <w:color w:val="000000" w:themeColor="text1"/>
        </w:rPr>
        <w:t xml:space="preserve"> Закона Санкт-Петербурга </w:t>
      </w:r>
      <w:r w:rsidRPr="002C3D32">
        <w:rPr>
          <w:rFonts w:cs="Times New Roman"/>
          <w:color w:val="000000" w:themeColor="text1"/>
          <w:shd w:val="clear" w:color="auto" w:fill="FFFFFF"/>
        </w:rPr>
        <w:t>от 29 ноября 2019 г. № 614-132</w:t>
      </w:r>
      <w:r w:rsidRPr="002C3D32">
        <w:rPr>
          <w:rFonts w:cs="Times New Roman"/>
          <w:color w:val="000000" w:themeColor="text1"/>
        </w:rPr>
        <w:t xml:space="preserve"> «О бюджете Санкт-Петербурга на 2020 год и на плановый период 2021 и 2022 годов». Электронный доступ: </w:t>
      </w:r>
      <w:hyperlink r:id="rId8" w:anchor="ixzz6NTJHfziU" w:history="1">
        <w:r w:rsidRPr="002C3D32">
          <w:rPr>
            <w:rStyle w:val="af3"/>
            <w:rFonts w:cs="Times New Roman"/>
            <w:color w:val="000000" w:themeColor="text1"/>
            <w:u w:val="none"/>
            <w:bdr w:val="none" w:sz="0" w:space="0" w:color="auto" w:frame="1"/>
          </w:rPr>
          <w:t>http://www.garant.ru/hotlaw/peter/1308221/#ixzz6NTJHfziU</w:t>
        </w:r>
      </w:hyperlink>
    </w:p>
  </w:footnote>
  <w:footnote w:id="40">
    <w:p w14:paraId="21D3AFAD" w14:textId="756E2F17" w:rsidR="008B2819" w:rsidRDefault="008B2819" w:rsidP="002C3D32">
      <w:pPr>
        <w:pStyle w:val="af8"/>
        <w:ind w:left="709" w:firstLine="0"/>
        <w:jc w:val="left"/>
      </w:pPr>
      <w:r w:rsidRPr="00EE20F0">
        <w:rPr>
          <w:rStyle w:val="afa"/>
          <w:color w:val="000000" w:themeColor="text1"/>
        </w:rPr>
        <w:footnoteRef/>
      </w:r>
      <w:r>
        <w:rPr>
          <w:color w:val="000000" w:themeColor="text1"/>
        </w:rPr>
        <w:t xml:space="preserve"> </w:t>
      </w:r>
      <w:r w:rsidRPr="00EE20F0">
        <w:rPr>
          <w:color w:val="000000" w:themeColor="text1"/>
        </w:rPr>
        <w:t xml:space="preserve">Исследование рынка коммерческой медицины в России 2018-2019 годы. </w:t>
      </w:r>
      <w:r>
        <w:rPr>
          <w:color w:val="000000" w:themeColor="text1"/>
        </w:rPr>
        <w:t xml:space="preserve">Режим </w:t>
      </w:r>
      <w:r w:rsidRPr="00EE20F0">
        <w:rPr>
          <w:color w:val="000000" w:themeColor="text1"/>
        </w:rPr>
        <w:t>доступ</w:t>
      </w:r>
      <w:r>
        <w:rPr>
          <w:color w:val="000000" w:themeColor="text1"/>
        </w:rPr>
        <w:t>а</w:t>
      </w:r>
      <w:r w:rsidRPr="00EE20F0">
        <w:rPr>
          <w:color w:val="000000" w:themeColor="text1"/>
        </w:rPr>
        <w:t xml:space="preserve">: </w:t>
      </w:r>
      <w:hyperlink r:id="rId9" w:history="1">
        <w:r w:rsidRPr="00AB4E30">
          <w:rPr>
            <w:rStyle w:val="af3"/>
            <w:color w:val="000000" w:themeColor="text1"/>
            <w:u w:val="none"/>
          </w:rPr>
          <w:t>https://assets.ey.com/content/dam/ey-sites/ey-com/ru_ru/news/2020/03/ey_healthcare_research_2018-2019_24032020.pdf</w:t>
        </w:r>
      </w:hyperlink>
    </w:p>
  </w:footnote>
  <w:footnote w:id="41">
    <w:p w14:paraId="51073293" w14:textId="745B034E" w:rsidR="008B2819" w:rsidRPr="004A38F9" w:rsidRDefault="008B2819" w:rsidP="00255CB8">
      <w:pPr>
        <w:pStyle w:val="af8"/>
        <w:ind w:left="709" w:firstLine="0"/>
        <w:jc w:val="left"/>
      </w:pPr>
      <w:r>
        <w:rPr>
          <w:rStyle w:val="afa"/>
        </w:rPr>
        <w:footnoteRef/>
      </w:r>
      <w:r>
        <w:t xml:space="preserve"> Григорьев А.А. Институт особых обстоятельств. Правовая характеристика и практические проблемы использования в концессионных соглашениях и соглашениях о государственно-частном партнерстве //Концессии и инфраструктурные инвестиции. – 2019. Режим досту</w:t>
      </w:r>
      <w:r w:rsidRPr="004A38F9">
        <w:rPr>
          <w:color w:val="000000" w:themeColor="text1"/>
        </w:rPr>
        <w:t>п</w:t>
      </w:r>
      <w:r>
        <w:rPr>
          <w:color w:val="000000" w:themeColor="text1"/>
        </w:rPr>
        <w:t>а</w:t>
      </w:r>
      <w:r w:rsidRPr="004A38F9">
        <w:rPr>
          <w:color w:val="000000" w:themeColor="text1"/>
        </w:rPr>
        <w:t>:</w:t>
      </w:r>
      <w:r>
        <w:rPr>
          <w:color w:val="000000" w:themeColor="text1"/>
        </w:rPr>
        <w:t xml:space="preserve"> </w:t>
      </w:r>
      <w:r w:rsidRPr="00AB4E30">
        <w:rPr>
          <w:color w:val="000000" w:themeColor="text1"/>
        </w:rPr>
        <w:t>https://clck.ru/NeTNk</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838"/>
    <w:multiLevelType w:val="hybridMultilevel"/>
    <w:tmpl w:val="92622B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9E419F"/>
    <w:multiLevelType w:val="hybridMultilevel"/>
    <w:tmpl w:val="517C82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6E6C5E"/>
    <w:multiLevelType w:val="hybridMultilevel"/>
    <w:tmpl w:val="33AA799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5FD67F2"/>
    <w:multiLevelType w:val="hybridMultilevel"/>
    <w:tmpl w:val="1ACC4B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EDC398D"/>
    <w:multiLevelType w:val="hybridMultilevel"/>
    <w:tmpl w:val="30C6A6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F241D4D"/>
    <w:multiLevelType w:val="hybridMultilevel"/>
    <w:tmpl w:val="7F4E4A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6421F27"/>
    <w:multiLevelType w:val="hybridMultilevel"/>
    <w:tmpl w:val="94B2F65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BF28A6"/>
    <w:multiLevelType w:val="hybridMultilevel"/>
    <w:tmpl w:val="B48A91A8"/>
    <w:lvl w:ilvl="0" w:tplc="6964C294">
      <w:start w:val="1"/>
      <w:numFmt w:val="decimal"/>
      <w:pStyle w:val="a"/>
      <w:lvlText w:val="Рис. %1."/>
      <w:lvlJc w:val="center"/>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483539"/>
    <w:multiLevelType w:val="hybridMultilevel"/>
    <w:tmpl w:val="F85EDF58"/>
    <w:lvl w:ilvl="0" w:tplc="0419000D">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D557556"/>
    <w:multiLevelType w:val="hybridMultilevel"/>
    <w:tmpl w:val="EB0A6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6B7E8B"/>
    <w:multiLevelType w:val="hybridMultilevel"/>
    <w:tmpl w:val="EF3A30D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1" w15:restartNumberingAfterBreak="0">
    <w:nsid w:val="26332097"/>
    <w:multiLevelType w:val="hybridMultilevel"/>
    <w:tmpl w:val="147C2A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B824618"/>
    <w:multiLevelType w:val="hybridMultilevel"/>
    <w:tmpl w:val="878EE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A2077A"/>
    <w:multiLevelType w:val="hybridMultilevel"/>
    <w:tmpl w:val="2AC2AE38"/>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F650362"/>
    <w:multiLevelType w:val="hybridMultilevel"/>
    <w:tmpl w:val="30C6A6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22F7184"/>
    <w:multiLevelType w:val="hybridMultilevel"/>
    <w:tmpl w:val="FC26D2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7E91830"/>
    <w:multiLevelType w:val="hybridMultilevel"/>
    <w:tmpl w:val="3AECC0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C4444BE"/>
    <w:multiLevelType w:val="hybridMultilevel"/>
    <w:tmpl w:val="2AC2AE38"/>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E8B189A"/>
    <w:multiLevelType w:val="hybridMultilevel"/>
    <w:tmpl w:val="6B9829D8"/>
    <w:lvl w:ilvl="0" w:tplc="BDCCB65E">
      <w:start w:val="1"/>
      <w:numFmt w:val="decimal"/>
      <w:pStyle w:val="a0"/>
      <w:lvlText w:val="Таблица %1."/>
      <w:lvlJc w:val="right"/>
      <w:pPr>
        <w:ind w:left="6031" w:hanging="360"/>
      </w:pPr>
      <w:rPr>
        <w:rFonts w:hint="default"/>
        <w:b/>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06C2907"/>
    <w:multiLevelType w:val="hybridMultilevel"/>
    <w:tmpl w:val="51E2C4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17F72AE"/>
    <w:multiLevelType w:val="hybridMultilevel"/>
    <w:tmpl w:val="B900B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904A50"/>
    <w:multiLevelType w:val="hybridMultilevel"/>
    <w:tmpl w:val="2AC2AE38"/>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A487BD3"/>
    <w:multiLevelType w:val="hybridMultilevel"/>
    <w:tmpl w:val="02B2C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B5161A"/>
    <w:multiLevelType w:val="hybridMultilevel"/>
    <w:tmpl w:val="1D46781A"/>
    <w:lvl w:ilvl="0" w:tplc="D0BC7A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DE93553"/>
    <w:multiLevelType w:val="hybridMultilevel"/>
    <w:tmpl w:val="EB0A6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8169F5"/>
    <w:multiLevelType w:val="hybridMultilevel"/>
    <w:tmpl w:val="538C97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032429B"/>
    <w:multiLevelType w:val="hybridMultilevel"/>
    <w:tmpl w:val="F2E28472"/>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7" w15:restartNumberingAfterBreak="0">
    <w:nsid w:val="50F92160"/>
    <w:multiLevelType w:val="hybridMultilevel"/>
    <w:tmpl w:val="7346AF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4EA6DBF"/>
    <w:multiLevelType w:val="hybridMultilevel"/>
    <w:tmpl w:val="EB0A6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513C8D"/>
    <w:multiLevelType w:val="hybridMultilevel"/>
    <w:tmpl w:val="46DE2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582E04"/>
    <w:multiLevelType w:val="hybridMultilevel"/>
    <w:tmpl w:val="0F0C80D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B0C29F4"/>
    <w:multiLevelType w:val="hybridMultilevel"/>
    <w:tmpl w:val="3B80E8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EA94A5E"/>
    <w:multiLevelType w:val="hybridMultilevel"/>
    <w:tmpl w:val="30C6A6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F4A5669"/>
    <w:multiLevelType w:val="hybridMultilevel"/>
    <w:tmpl w:val="7346AF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310314A"/>
    <w:multiLevelType w:val="hybridMultilevel"/>
    <w:tmpl w:val="1E726C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8583EDF"/>
    <w:multiLevelType w:val="hybridMultilevel"/>
    <w:tmpl w:val="2AC2AE38"/>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9FF3022"/>
    <w:multiLevelType w:val="hybridMultilevel"/>
    <w:tmpl w:val="EB0A6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944E90"/>
    <w:multiLevelType w:val="hybridMultilevel"/>
    <w:tmpl w:val="EB0A6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C75551"/>
    <w:multiLevelType w:val="hybridMultilevel"/>
    <w:tmpl w:val="F9E69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4711B5"/>
    <w:multiLevelType w:val="hybridMultilevel"/>
    <w:tmpl w:val="02B2C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592D94"/>
    <w:multiLevelType w:val="hybridMultilevel"/>
    <w:tmpl w:val="02B2C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724D42"/>
    <w:multiLevelType w:val="hybridMultilevel"/>
    <w:tmpl w:val="556EB6C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2" w15:restartNumberingAfterBreak="0">
    <w:nsid w:val="72BD0CCF"/>
    <w:multiLevelType w:val="hybridMultilevel"/>
    <w:tmpl w:val="011A92A0"/>
    <w:lvl w:ilvl="0" w:tplc="04190011">
      <w:start w:val="1"/>
      <w:numFmt w:val="decimal"/>
      <w:lvlText w:val="%1)"/>
      <w:lvlJc w:val="left"/>
      <w:pPr>
        <w:ind w:left="2149"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15:restartNumberingAfterBreak="0">
    <w:nsid w:val="73FA16B0"/>
    <w:multiLevelType w:val="hybridMultilevel"/>
    <w:tmpl w:val="30C6A6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7"/>
  </w:num>
  <w:num w:numId="3">
    <w:abstractNumId w:val="33"/>
  </w:num>
  <w:num w:numId="4">
    <w:abstractNumId w:val="2"/>
  </w:num>
  <w:num w:numId="5">
    <w:abstractNumId w:val="39"/>
  </w:num>
  <w:num w:numId="6">
    <w:abstractNumId w:val="38"/>
  </w:num>
  <w:num w:numId="7">
    <w:abstractNumId w:val="37"/>
  </w:num>
  <w:num w:numId="8">
    <w:abstractNumId w:val="23"/>
  </w:num>
  <w:num w:numId="9">
    <w:abstractNumId w:val="22"/>
  </w:num>
  <w:num w:numId="10">
    <w:abstractNumId w:val="3"/>
  </w:num>
  <w:num w:numId="11">
    <w:abstractNumId w:val="24"/>
  </w:num>
  <w:num w:numId="12">
    <w:abstractNumId w:val="28"/>
  </w:num>
  <w:num w:numId="13">
    <w:abstractNumId w:val="11"/>
  </w:num>
  <w:num w:numId="14">
    <w:abstractNumId w:val="9"/>
  </w:num>
  <w:num w:numId="15">
    <w:abstractNumId w:val="36"/>
  </w:num>
  <w:num w:numId="16">
    <w:abstractNumId w:val="19"/>
  </w:num>
  <w:num w:numId="17">
    <w:abstractNumId w:val="10"/>
  </w:num>
  <w:num w:numId="18">
    <w:abstractNumId w:val="40"/>
  </w:num>
  <w:num w:numId="19">
    <w:abstractNumId w:val="16"/>
  </w:num>
  <w:num w:numId="20">
    <w:abstractNumId w:val="8"/>
  </w:num>
  <w:num w:numId="21">
    <w:abstractNumId w:val="34"/>
  </w:num>
  <w:num w:numId="22">
    <w:abstractNumId w:val="30"/>
  </w:num>
  <w:num w:numId="23">
    <w:abstractNumId w:val="1"/>
  </w:num>
  <w:num w:numId="24">
    <w:abstractNumId w:val="26"/>
  </w:num>
  <w:num w:numId="25">
    <w:abstractNumId w:val="31"/>
  </w:num>
  <w:num w:numId="26">
    <w:abstractNumId w:val="5"/>
  </w:num>
  <w:num w:numId="27">
    <w:abstractNumId w:val="12"/>
  </w:num>
  <w:num w:numId="28">
    <w:abstractNumId w:val="13"/>
  </w:num>
  <w:num w:numId="29">
    <w:abstractNumId w:val="35"/>
  </w:num>
  <w:num w:numId="30">
    <w:abstractNumId w:val="25"/>
  </w:num>
  <w:num w:numId="31">
    <w:abstractNumId w:val="29"/>
  </w:num>
  <w:num w:numId="32">
    <w:abstractNumId w:val="20"/>
  </w:num>
  <w:num w:numId="33">
    <w:abstractNumId w:val="4"/>
  </w:num>
  <w:num w:numId="34">
    <w:abstractNumId w:val="15"/>
  </w:num>
  <w:num w:numId="35">
    <w:abstractNumId w:val="6"/>
  </w:num>
  <w:num w:numId="36">
    <w:abstractNumId w:val="27"/>
  </w:num>
  <w:num w:numId="37">
    <w:abstractNumId w:val="17"/>
  </w:num>
  <w:num w:numId="38">
    <w:abstractNumId w:val="21"/>
  </w:num>
  <w:num w:numId="39">
    <w:abstractNumId w:val="14"/>
  </w:num>
  <w:num w:numId="40">
    <w:abstractNumId w:val="0"/>
  </w:num>
  <w:num w:numId="41">
    <w:abstractNumId w:val="41"/>
  </w:num>
  <w:num w:numId="42">
    <w:abstractNumId w:val="42"/>
  </w:num>
  <w:num w:numId="43">
    <w:abstractNumId w:val="43"/>
  </w:num>
  <w:num w:numId="44">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DA"/>
    <w:rsid w:val="00000544"/>
    <w:rsid w:val="00001251"/>
    <w:rsid w:val="0000288C"/>
    <w:rsid w:val="00005437"/>
    <w:rsid w:val="00006B06"/>
    <w:rsid w:val="00006C5C"/>
    <w:rsid w:val="00007529"/>
    <w:rsid w:val="000079C3"/>
    <w:rsid w:val="000103E8"/>
    <w:rsid w:val="000124AF"/>
    <w:rsid w:val="00014E51"/>
    <w:rsid w:val="00015C73"/>
    <w:rsid w:val="00023C02"/>
    <w:rsid w:val="000244EF"/>
    <w:rsid w:val="00024A36"/>
    <w:rsid w:val="00026C92"/>
    <w:rsid w:val="00026D3C"/>
    <w:rsid w:val="000300E7"/>
    <w:rsid w:val="00030A92"/>
    <w:rsid w:val="0003292D"/>
    <w:rsid w:val="00032EDD"/>
    <w:rsid w:val="00033942"/>
    <w:rsid w:val="00041D4D"/>
    <w:rsid w:val="0004524D"/>
    <w:rsid w:val="000505BF"/>
    <w:rsid w:val="00050B76"/>
    <w:rsid w:val="00051957"/>
    <w:rsid w:val="000564E8"/>
    <w:rsid w:val="00056614"/>
    <w:rsid w:val="00057D13"/>
    <w:rsid w:val="000612D2"/>
    <w:rsid w:val="00061F2B"/>
    <w:rsid w:val="00062326"/>
    <w:rsid w:val="00063CA2"/>
    <w:rsid w:val="00065745"/>
    <w:rsid w:val="00070615"/>
    <w:rsid w:val="000752BC"/>
    <w:rsid w:val="000767C2"/>
    <w:rsid w:val="00077881"/>
    <w:rsid w:val="00080496"/>
    <w:rsid w:val="00084055"/>
    <w:rsid w:val="00086062"/>
    <w:rsid w:val="00086503"/>
    <w:rsid w:val="000873A1"/>
    <w:rsid w:val="00087788"/>
    <w:rsid w:val="000A3A05"/>
    <w:rsid w:val="000A4352"/>
    <w:rsid w:val="000A656B"/>
    <w:rsid w:val="000A66AD"/>
    <w:rsid w:val="000A6E81"/>
    <w:rsid w:val="000A787F"/>
    <w:rsid w:val="000B06CB"/>
    <w:rsid w:val="000B0ED3"/>
    <w:rsid w:val="000B2537"/>
    <w:rsid w:val="000B30BE"/>
    <w:rsid w:val="000B32CE"/>
    <w:rsid w:val="000B40F4"/>
    <w:rsid w:val="000C2653"/>
    <w:rsid w:val="000C34E2"/>
    <w:rsid w:val="000C7352"/>
    <w:rsid w:val="000D69AB"/>
    <w:rsid w:val="000D6EA2"/>
    <w:rsid w:val="000D6F0D"/>
    <w:rsid w:val="000E1052"/>
    <w:rsid w:val="000E27C8"/>
    <w:rsid w:val="000E4142"/>
    <w:rsid w:val="000E6494"/>
    <w:rsid w:val="000F019C"/>
    <w:rsid w:val="000F3996"/>
    <w:rsid w:val="000F3BD6"/>
    <w:rsid w:val="000F4550"/>
    <w:rsid w:val="000F464A"/>
    <w:rsid w:val="000F5153"/>
    <w:rsid w:val="000F5F0A"/>
    <w:rsid w:val="000F75A1"/>
    <w:rsid w:val="00100E6E"/>
    <w:rsid w:val="00104B5C"/>
    <w:rsid w:val="00104C28"/>
    <w:rsid w:val="00107ABA"/>
    <w:rsid w:val="00110A70"/>
    <w:rsid w:val="00112AB5"/>
    <w:rsid w:val="0011301B"/>
    <w:rsid w:val="001130BF"/>
    <w:rsid w:val="001145AC"/>
    <w:rsid w:val="00114683"/>
    <w:rsid w:val="001168BB"/>
    <w:rsid w:val="001178CD"/>
    <w:rsid w:val="001237EF"/>
    <w:rsid w:val="001238B9"/>
    <w:rsid w:val="00125AAF"/>
    <w:rsid w:val="00125AF4"/>
    <w:rsid w:val="00126386"/>
    <w:rsid w:val="00126D2B"/>
    <w:rsid w:val="001313D6"/>
    <w:rsid w:val="00135619"/>
    <w:rsid w:val="001368E7"/>
    <w:rsid w:val="00141292"/>
    <w:rsid w:val="00144415"/>
    <w:rsid w:val="00152065"/>
    <w:rsid w:val="001529E8"/>
    <w:rsid w:val="00156177"/>
    <w:rsid w:val="00162EDB"/>
    <w:rsid w:val="00165B31"/>
    <w:rsid w:val="001679F8"/>
    <w:rsid w:val="00170E99"/>
    <w:rsid w:val="00171C25"/>
    <w:rsid w:val="00173ED7"/>
    <w:rsid w:val="00177197"/>
    <w:rsid w:val="00182EA0"/>
    <w:rsid w:val="00183E8E"/>
    <w:rsid w:val="001873DB"/>
    <w:rsid w:val="001905D3"/>
    <w:rsid w:val="001968CD"/>
    <w:rsid w:val="001A0E2B"/>
    <w:rsid w:val="001A3C6A"/>
    <w:rsid w:val="001A5F58"/>
    <w:rsid w:val="001B0B0D"/>
    <w:rsid w:val="001B2158"/>
    <w:rsid w:val="001B240A"/>
    <w:rsid w:val="001B3652"/>
    <w:rsid w:val="001B3F6D"/>
    <w:rsid w:val="001B544B"/>
    <w:rsid w:val="001B7278"/>
    <w:rsid w:val="001C0848"/>
    <w:rsid w:val="001C34D8"/>
    <w:rsid w:val="001C4CED"/>
    <w:rsid w:val="001C6F72"/>
    <w:rsid w:val="001D2E6E"/>
    <w:rsid w:val="001D3278"/>
    <w:rsid w:val="001D4205"/>
    <w:rsid w:val="001D592F"/>
    <w:rsid w:val="001D6433"/>
    <w:rsid w:val="001E0177"/>
    <w:rsid w:val="001E0972"/>
    <w:rsid w:val="001E1F1D"/>
    <w:rsid w:val="001E2B7E"/>
    <w:rsid w:val="001E3838"/>
    <w:rsid w:val="001E39BA"/>
    <w:rsid w:val="001F12F3"/>
    <w:rsid w:val="001F2811"/>
    <w:rsid w:val="001F320F"/>
    <w:rsid w:val="001F3283"/>
    <w:rsid w:val="00203A28"/>
    <w:rsid w:val="00210343"/>
    <w:rsid w:val="00214E2D"/>
    <w:rsid w:val="00215C0F"/>
    <w:rsid w:val="002163C0"/>
    <w:rsid w:val="00216655"/>
    <w:rsid w:val="00216C7C"/>
    <w:rsid w:val="002203C5"/>
    <w:rsid w:val="00224F23"/>
    <w:rsid w:val="002260F0"/>
    <w:rsid w:val="00226360"/>
    <w:rsid w:val="00230974"/>
    <w:rsid w:val="002316EA"/>
    <w:rsid w:val="00233EB6"/>
    <w:rsid w:val="00236696"/>
    <w:rsid w:val="00241D1A"/>
    <w:rsid w:val="00242B33"/>
    <w:rsid w:val="0024375C"/>
    <w:rsid w:val="00243E7C"/>
    <w:rsid w:val="002463A7"/>
    <w:rsid w:val="002463BB"/>
    <w:rsid w:val="00247C0B"/>
    <w:rsid w:val="00247DB1"/>
    <w:rsid w:val="002522A5"/>
    <w:rsid w:val="00252BE3"/>
    <w:rsid w:val="002539D2"/>
    <w:rsid w:val="00255CB8"/>
    <w:rsid w:val="0025626A"/>
    <w:rsid w:val="00256CDD"/>
    <w:rsid w:val="00257CB5"/>
    <w:rsid w:val="00261A09"/>
    <w:rsid w:val="002627FA"/>
    <w:rsid w:val="0026474B"/>
    <w:rsid w:val="00265A76"/>
    <w:rsid w:val="00266A7E"/>
    <w:rsid w:val="002670E7"/>
    <w:rsid w:val="0026730B"/>
    <w:rsid w:val="002676C9"/>
    <w:rsid w:val="00272EED"/>
    <w:rsid w:val="00274E29"/>
    <w:rsid w:val="002801FB"/>
    <w:rsid w:val="002815B9"/>
    <w:rsid w:val="002817E8"/>
    <w:rsid w:val="002831B5"/>
    <w:rsid w:val="00286A7E"/>
    <w:rsid w:val="00287E3D"/>
    <w:rsid w:val="002936CD"/>
    <w:rsid w:val="00294360"/>
    <w:rsid w:val="002971DE"/>
    <w:rsid w:val="00297B04"/>
    <w:rsid w:val="00297D6B"/>
    <w:rsid w:val="002A35D5"/>
    <w:rsid w:val="002A46AC"/>
    <w:rsid w:val="002A527E"/>
    <w:rsid w:val="002A5B6D"/>
    <w:rsid w:val="002A6DE6"/>
    <w:rsid w:val="002B0DE3"/>
    <w:rsid w:val="002B1A86"/>
    <w:rsid w:val="002B24C4"/>
    <w:rsid w:val="002B443B"/>
    <w:rsid w:val="002B631C"/>
    <w:rsid w:val="002B7432"/>
    <w:rsid w:val="002B79B9"/>
    <w:rsid w:val="002C1147"/>
    <w:rsid w:val="002C3D32"/>
    <w:rsid w:val="002C41B6"/>
    <w:rsid w:val="002C4953"/>
    <w:rsid w:val="002C49F5"/>
    <w:rsid w:val="002D1B91"/>
    <w:rsid w:val="002D6621"/>
    <w:rsid w:val="002D675E"/>
    <w:rsid w:val="002D6978"/>
    <w:rsid w:val="002D6C49"/>
    <w:rsid w:val="002D7F1C"/>
    <w:rsid w:val="002E1523"/>
    <w:rsid w:val="002E263B"/>
    <w:rsid w:val="002E5426"/>
    <w:rsid w:val="002E57D5"/>
    <w:rsid w:val="002E6063"/>
    <w:rsid w:val="002E6C72"/>
    <w:rsid w:val="002F2448"/>
    <w:rsid w:val="002F2AF5"/>
    <w:rsid w:val="002F33BD"/>
    <w:rsid w:val="002F3AFC"/>
    <w:rsid w:val="002F55AA"/>
    <w:rsid w:val="00302AD6"/>
    <w:rsid w:val="00303073"/>
    <w:rsid w:val="0030314E"/>
    <w:rsid w:val="0030529B"/>
    <w:rsid w:val="00306694"/>
    <w:rsid w:val="003131C3"/>
    <w:rsid w:val="0031551B"/>
    <w:rsid w:val="0032054B"/>
    <w:rsid w:val="00320E53"/>
    <w:rsid w:val="00323FF6"/>
    <w:rsid w:val="00325BCD"/>
    <w:rsid w:val="00330B63"/>
    <w:rsid w:val="0033139B"/>
    <w:rsid w:val="00332836"/>
    <w:rsid w:val="0033378D"/>
    <w:rsid w:val="003339A2"/>
    <w:rsid w:val="003339C8"/>
    <w:rsid w:val="00333BBD"/>
    <w:rsid w:val="00334BCD"/>
    <w:rsid w:val="00336A32"/>
    <w:rsid w:val="003370EA"/>
    <w:rsid w:val="003405B3"/>
    <w:rsid w:val="00342DAA"/>
    <w:rsid w:val="003501DB"/>
    <w:rsid w:val="0035145E"/>
    <w:rsid w:val="0035188F"/>
    <w:rsid w:val="00351D4F"/>
    <w:rsid w:val="0035316E"/>
    <w:rsid w:val="0035352D"/>
    <w:rsid w:val="003561E4"/>
    <w:rsid w:val="003564F3"/>
    <w:rsid w:val="003631E0"/>
    <w:rsid w:val="00364EC6"/>
    <w:rsid w:val="00371919"/>
    <w:rsid w:val="00372443"/>
    <w:rsid w:val="00374389"/>
    <w:rsid w:val="00374A4A"/>
    <w:rsid w:val="0038048D"/>
    <w:rsid w:val="00383713"/>
    <w:rsid w:val="00385135"/>
    <w:rsid w:val="00390174"/>
    <w:rsid w:val="003901F9"/>
    <w:rsid w:val="00390FD3"/>
    <w:rsid w:val="00392258"/>
    <w:rsid w:val="003943C3"/>
    <w:rsid w:val="00395A8A"/>
    <w:rsid w:val="00397B77"/>
    <w:rsid w:val="003A18E5"/>
    <w:rsid w:val="003A2BAA"/>
    <w:rsid w:val="003A2DEF"/>
    <w:rsid w:val="003A3B21"/>
    <w:rsid w:val="003A55F9"/>
    <w:rsid w:val="003A60F5"/>
    <w:rsid w:val="003B0132"/>
    <w:rsid w:val="003B0AAE"/>
    <w:rsid w:val="003B2AF8"/>
    <w:rsid w:val="003B56EC"/>
    <w:rsid w:val="003B57B7"/>
    <w:rsid w:val="003C0C75"/>
    <w:rsid w:val="003C1463"/>
    <w:rsid w:val="003C1708"/>
    <w:rsid w:val="003C27BC"/>
    <w:rsid w:val="003C507F"/>
    <w:rsid w:val="003C56BA"/>
    <w:rsid w:val="003C5940"/>
    <w:rsid w:val="003D2E9B"/>
    <w:rsid w:val="003D61B6"/>
    <w:rsid w:val="003D7C36"/>
    <w:rsid w:val="003E1306"/>
    <w:rsid w:val="003E1C58"/>
    <w:rsid w:val="003E3CAF"/>
    <w:rsid w:val="003E73FF"/>
    <w:rsid w:val="003E7A39"/>
    <w:rsid w:val="003E7E40"/>
    <w:rsid w:val="003F1556"/>
    <w:rsid w:val="003F7192"/>
    <w:rsid w:val="003F722F"/>
    <w:rsid w:val="004037BA"/>
    <w:rsid w:val="004044EB"/>
    <w:rsid w:val="00404DCA"/>
    <w:rsid w:val="00405567"/>
    <w:rsid w:val="00407BAF"/>
    <w:rsid w:val="00412AAA"/>
    <w:rsid w:val="00413496"/>
    <w:rsid w:val="0041400A"/>
    <w:rsid w:val="0041401F"/>
    <w:rsid w:val="00414A55"/>
    <w:rsid w:val="00416672"/>
    <w:rsid w:val="00421D75"/>
    <w:rsid w:val="00423006"/>
    <w:rsid w:val="00423535"/>
    <w:rsid w:val="00425C8B"/>
    <w:rsid w:val="004273E4"/>
    <w:rsid w:val="004307B9"/>
    <w:rsid w:val="00430FF5"/>
    <w:rsid w:val="00432019"/>
    <w:rsid w:val="00433FF8"/>
    <w:rsid w:val="00436865"/>
    <w:rsid w:val="00442CF2"/>
    <w:rsid w:val="004433B8"/>
    <w:rsid w:val="00453058"/>
    <w:rsid w:val="00454A09"/>
    <w:rsid w:val="004551A5"/>
    <w:rsid w:val="004571D0"/>
    <w:rsid w:val="004579DE"/>
    <w:rsid w:val="00457A9D"/>
    <w:rsid w:val="00460C67"/>
    <w:rsid w:val="00461870"/>
    <w:rsid w:val="0046254B"/>
    <w:rsid w:val="0046298A"/>
    <w:rsid w:val="00463AF4"/>
    <w:rsid w:val="00465674"/>
    <w:rsid w:val="0046603E"/>
    <w:rsid w:val="00466530"/>
    <w:rsid w:val="00466C16"/>
    <w:rsid w:val="00470A4A"/>
    <w:rsid w:val="00473AF6"/>
    <w:rsid w:val="004802DF"/>
    <w:rsid w:val="004808E6"/>
    <w:rsid w:val="00480A61"/>
    <w:rsid w:val="00480DFA"/>
    <w:rsid w:val="004819A2"/>
    <w:rsid w:val="00481C38"/>
    <w:rsid w:val="00482F4B"/>
    <w:rsid w:val="00483934"/>
    <w:rsid w:val="00486867"/>
    <w:rsid w:val="00486936"/>
    <w:rsid w:val="0048782B"/>
    <w:rsid w:val="004912A7"/>
    <w:rsid w:val="004952F1"/>
    <w:rsid w:val="004976A4"/>
    <w:rsid w:val="00497CE4"/>
    <w:rsid w:val="004A173D"/>
    <w:rsid w:val="004A182D"/>
    <w:rsid w:val="004A2217"/>
    <w:rsid w:val="004A38F9"/>
    <w:rsid w:val="004A6016"/>
    <w:rsid w:val="004A64E9"/>
    <w:rsid w:val="004A793D"/>
    <w:rsid w:val="004B2578"/>
    <w:rsid w:val="004B6212"/>
    <w:rsid w:val="004C369A"/>
    <w:rsid w:val="004C3B8A"/>
    <w:rsid w:val="004C601D"/>
    <w:rsid w:val="004C7F2E"/>
    <w:rsid w:val="004D057C"/>
    <w:rsid w:val="004D1079"/>
    <w:rsid w:val="004D192C"/>
    <w:rsid w:val="004D44D4"/>
    <w:rsid w:val="004D6CC1"/>
    <w:rsid w:val="004E368C"/>
    <w:rsid w:val="004E4FE0"/>
    <w:rsid w:val="004E71CA"/>
    <w:rsid w:val="004F1366"/>
    <w:rsid w:val="004F24BF"/>
    <w:rsid w:val="004F396C"/>
    <w:rsid w:val="004F3F37"/>
    <w:rsid w:val="004F63A9"/>
    <w:rsid w:val="00501F2B"/>
    <w:rsid w:val="00502707"/>
    <w:rsid w:val="00503830"/>
    <w:rsid w:val="005050AD"/>
    <w:rsid w:val="00507384"/>
    <w:rsid w:val="00510017"/>
    <w:rsid w:val="00512743"/>
    <w:rsid w:val="00515DF2"/>
    <w:rsid w:val="00517E1C"/>
    <w:rsid w:val="005269D3"/>
    <w:rsid w:val="00526F85"/>
    <w:rsid w:val="005308C4"/>
    <w:rsid w:val="00530A36"/>
    <w:rsid w:val="00531FA3"/>
    <w:rsid w:val="00532FFF"/>
    <w:rsid w:val="005342F8"/>
    <w:rsid w:val="00537B4C"/>
    <w:rsid w:val="005417E4"/>
    <w:rsid w:val="00544CB0"/>
    <w:rsid w:val="005453E3"/>
    <w:rsid w:val="00546BBC"/>
    <w:rsid w:val="00550742"/>
    <w:rsid w:val="005519B1"/>
    <w:rsid w:val="00551C32"/>
    <w:rsid w:val="005527E4"/>
    <w:rsid w:val="00556E20"/>
    <w:rsid w:val="00557BD9"/>
    <w:rsid w:val="005612B1"/>
    <w:rsid w:val="00563665"/>
    <w:rsid w:val="005643D9"/>
    <w:rsid w:val="00571CA2"/>
    <w:rsid w:val="00573B65"/>
    <w:rsid w:val="00573FEF"/>
    <w:rsid w:val="005762F5"/>
    <w:rsid w:val="005772E7"/>
    <w:rsid w:val="00577371"/>
    <w:rsid w:val="00580F93"/>
    <w:rsid w:val="00581FA7"/>
    <w:rsid w:val="00583E44"/>
    <w:rsid w:val="00584127"/>
    <w:rsid w:val="005909F0"/>
    <w:rsid w:val="0059150A"/>
    <w:rsid w:val="00593623"/>
    <w:rsid w:val="00594AF7"/>
    <w:rsid w:val="00594D9D"/>
    <w:rsid w:val="005A01A2"/>
    <w:rsid w:val="005A02B8"/>
    <w:rsid w:val="005A0A71"/>
    <w:rsid w:val="005A6771"/>
    <w:rsid w:val="005B3C92"/>
    <w:rsid w:val="005B46C1"/>
    <w:rsid w:val="005B6962"/>
    <w:rsid w:val="005C07E6"/>
    <w:rsid w:val="005C3021"/>
    <w:rsid w:val="005C3656"/>
    <w:rsid w:val="005D04D9"/>
    <w:rsid w:val="005D1DE9"/>
    <w:rsid w:val="005D3242"/>
    <w:rsid w:val="005D38B8"/>
    <w:rsid w:val="005D39EA"/>
    <w:rsid w:val="005D532F"/>
    <w:rsid w:val="005D6425"/>
    <w:rsid w:val="005D6460"/>
    <w:rsid w:val="005E05D4"/>
    <w:rsid w:val="005E0D78"/>
    <w:rsid w:val="005E2E2F"/>
    <w:rsid w:val="005E7CF5"/>
    <w:rsid w:val="005F1DF9"/>
    <w:rsid w:val="005F31B6"/>
    <w:rsid w:val="005F45FB"/>
    <w:rsid w:val="005F517C"/>
    <w:rsid w:val="005F5F58"/>
    <w:rsid w:val="005F6773"/>
    <w:rsid w:val="005F6C4F"/>
    <w:rsid w:val="00600FC0"/>
    <w:rsid w:val="00601A09"/>
    <w:rsid w:val="00601E26"/>
    <w:rsid w:val="00604E26"/>
    <w:rsid w:val="0061305C"/>
    <w:rsid w:val="00617488"/>
    <w:rsid w:val="00621AA2"/>
    <w:rsid w:val="00621FDE"/>
    <w:rsid w:val="00622B8B"/>
    <w:rsid w:val="00622C6F"/>
    <w:rsid w:val="006233D6"/>
    <w:rsid w:val="0062561C"/>
    <w:rsid w:val="006257D0"/>
    <w:rsid w:val="006278E3"/>
    <w:rsid w:val="00627FC3"/>
    <w:rsid w:val="006306DA"/>
    <w:rsid w:val="00633F6A"/>
    <w:rsid w:val="00634257"/>
    <w:rsid w:val="0063495A"/>
    <w:rsid w:val="00635A3B"/>
    <w:rsid w:val="00635FCC"/>
    <w:rsid w:val="00645A38"/>
    <w:rsid w:val="006464C5"/>
    <w:rsid w:val="00652493"/>
    <w:rsid w:val="00653109"/>
    <w:rsid w:val="00654D26"/>
    <w:rsid w:val="00654D61"/>
    <w:rsid w:val="006561D2"/>
    <w:rsid w:val="006611CD"/>
    <w:rsid w:val="006624AA"/>
    <w:rsid w:val="00664709"/>
    <w:rsid w:val="006661E2"/>
    <w:rsid w:val="0066682D"/>
    <w:rsid w:val="00671635"/>
    <w:rsid w:val="0067163D"/>
    <w:rsid w:val="00671FC3"/>
    <w:rsid w:val="00677331"/>
    <w:rsid w:val="00681290"/>
    <w:rsid w:val="00681D6C"/>
    <w:rsid w:val="00690A80"/>
    <w:rsid w:val="00693945"/>
    <w:rsid w:val="006A0B01"/>
    <w:rsid w:val="006A14E7"/>
    <w:rsid w:val="006A165D"/>
    <w:rsid w:val="006A350A"/>
    <w:rsid w:val="006A6EFB"/>
    <w:rsid w:val="006C0B6C"/>
    <w:rsid w:val="006C0E7F"/>
    <w:rsid w:val="006C1704"/>
    <w:rsid w:val="006C3E6F"/>
    <w:rsid w:val="006C40FE"/>
    <w:rsid w:val="006C5EBE"/>
    <w:rsid w:val="006C6E69"/>
    <w:rsid w:val="006C7BC0"/>
    <w:rsid w:val="006C7DFB"/>
    <w:rsid w:val="006D25D5"/>
    <w:rsid w:val="006D2777"/>
    <w:rsid w:val="006D312E"/>
    <w:rsid w:val="006D5332"/>
    <w:rsid w:val="006D6997"/>
    <w:rsid w:val="006E05F1"/>
    <w:rsid w:val="006E0B3F"/>
    <w:rsid w:val="006E1EBB"/>
    <w:rsid w:val="006E202A"/>
    <w:rsid w:val="006E2CEF"/>
    <w:rsid w:val="006E2FF8"/>
    <w:rsid w:val="006E36C2"/>
    <w:rsid w:val="006E49EB"/>
    <w:rsid w:val="006E797C"/>
    <w:rsid w:val="006F5832"/>
    <w:rsid w:val="006F615B"/>
    <w:rsid w:val="007035AA"/>
    <w:rsid w:val="00705E9A"/>
    <w:rsid w:val="0071323A"/>
    <w:rsid w:val="00713BFB"/>
    <w:rsid w:val="00714170"/>
    <w:rsid w:val="00720812"/>
    <w:rsid w:val="0072135E"/>
    <w:rsid w:val="00722274"/>
    <w:rsid w:val="00723AA1"/>
    <w:rsid w:val="007337F7"/>
    <w:rsid w:val="00733F82"/>
    <w:rsid w:val="00735098"/>
    <w:rsid w:val="0073588A"/>
    <w:rsid w:val="007359F3"/>
    <w:rsid w:val="00735ADC"/>
    <w:rsid w:val="007362C2"/>
    <w:rsid w:val="00737558"/>
    <w:rsid w:val="0073762F"/>
    <w:rsid w:val="00740031"/>
    <w:rsid w:val="007412A3"/>
    <w:rsid w:val="007459CE"/>
    <w:rsid w:val="00745F9E"/>
    <w:rsid w:val="007461AC"/>
    <w:rsid w:val="00747F5C"/>
    <w:rsid w:val="007525C2"/>
    <w:rsid w:val="00752B46"/>
    <w:rsid w:val="007537E4"/>
    <w:rsid w:val="00755E1F"/>
    <w:rsid w:val="00756688"/>
    <w:rsid w:val="0075795E"/>
    <w:rsid w:val="00757A7B"/>
    <w:rsid w:val="00761041"/>
    <w:rsid w:val="00764468"/>
    <w:rsid w:val="00764B50"/>
    <w:rsid w:val="00770F8C"/>
    <w:rsid w:val="007722A4"/>
    <w:rsid w:val="00773497"/>
    <w:rsid w:val="00776B93"/>
    <w:rsid w:val="00777611"/>
    <w:rsid w:val="0078184F"/>
    <w:rsid w:val="00781A08"/>
    <w:rsid w:val="00781FAF"/>
    <w:rsid w:val="00786A4E"/>
    <w:rsid w:val="007903F3"/>
    <w:rsid w:val="00792725"/>
    <w:rsid w:val="00795262"/>
    <w:rsid w:val="00796FE1"/>
    <w:rsid w:val="00797596"/>
    <w:rsid w:val="007975F0"/>
    <w:rsid w:val="00797F32"/>
    <w:rsid w:val="007A060E"/>
    <w:rsid w:val="007A1FC9"/>
    <w:rsid w:val="007A2E54"/>
    <w:rsid w:val="007A2EAC"/>
    <w:rsid w:val="007A2F39"/>
    <w:rsid w:val="007A391F"/>
    <w:rsid w:val="007A4D6E"/>
    <w:rsid w:val="007A5263"/>
    <w:rsid w:val="007A63F1"/>
    <w:rsid w:val="007A6574"/>
    <w:rsid w:val="007A679B"/>
    <w:rsid w:val="007B1464"/>
    <w:rsid w:val="007B20E4"/>
    <w:rsid w:val="007B4D96"/>
    <w:rsid w:val="007B5A8C"/>
    <w:rsid w:val="007B646C"/>
    <w:rsid w:val="007B7289"/>
    <w:rsid w:val="007C2F0A"/>
    <w:rsid w:val="007C3A31"/>
    <w:rsid w:val="007C5C51"/>
    <w:rsid w:val="007D0CD4"/>
    <w:rsid w:val="007D1C54"/>
    <w:rsid w:val="007D439D"/>
    <w:rsid w:val="007E2A8F"/>
    <w:rsid w:val="007E663D"/>
    <w:rsid w:val="007E66CA"/>
    <w:rsid w:val="007E6AB7"/>
    <w:rsid w:val="007E71E9"/>
    <w:rsid w:val="007E76C9"/>
    <w:rsid w:val="007F0DBD"/>
    <w:rsid w:val="007F0F6F"/>
    <w:rsid w:val="007F11A4"/>
    <w:rsid w:val="007F274C"/>
    <w:rsid w:val="007F2E0E"/>
    <w:rsid w:val="007F31DD"/>
    <w:rsid w:val="007F4326"/>
    <w:rsid w:val="007F4A32"/>
    <w:rsid w:val="007F4AE6"/>
    <w:rsid w:val="007F5CC9"/>
    <w:rsid w:val="007F6CA2"/>
    <w:rsid w:val="00807F8C"/>
    <w:rsid w:val="0081151F"/>
    <w:rsid w:val="00811D15"/>
    <w:rsid w:val="0081227C"/>
    <w:rsid w:val="0081464B"/>
    <w:rsid w:val="00820746"/>
    <w:rsid w:val="00821AC0"/>
    <w:rsid w:val="008233A2"/>
    <w:rsid w:val="00824800"/>
    <w:rsid w:val="00825754"/>
    <w:rsid w:val="0082599E"/>
    <w:rsid w:val="00825A98"/>
    <w:rsid w:val="008274BF"/>
    <w:rsid w:val="008279DD"/>
    <w:rsid w:val="00834103"/>
    <w:rsid w:val="00836A4B"/>
    <w:rsid w:val="00840F53"/>
    <w:rsid w:val="008430A2"/>
    <w:rsid w:val="00843CDD"/>
    <w:rsid w:val="0085235A"/>
    <w:rsid w:val="00854317"/>
    <w:rsid w:val="00857A43"/>
    <w:rsid w:val="00862072"/>
    <w:rsid w:val="008627CD"/>
    <w:rsid w:val="00865FF1"/>
    <w:rsid w:val="008664D9"/>
    <w:rsid w:val="00866D6A"/>
    <w:rsid w:val="0087003B"/>
    <w:rsid w:val="008748E2"/>
    <w:rsid w:val="00874FBB"/>
    <w:rsid w:val="00877FAE"/>
    <w:rsid w:val="00880309"/>
    <w:rsid w:val="008826BD"/>
    <w:rsid w:val="00883AA1"/>
    <w:rsid w:val="0089178B"/>
    <w:rsid w:val="008931CF"/>
    <w:rsid w:val="0089458A"/>
    <w:rsid w:val="00895513"/>
    <w:rsid w:val="00896622"/>
    <w:rsid w:val="00896CDE"/>
    <w:rsid w:val="008A1533"/>
    <w:rsid w:val="008A3AB1"/>
    <w:rsid w:val="008A413C"/>
    <w:rsid w:val="008A4644"/>
    <w:rsid w:val="008A52BE"/>
    <w:rsid w:val="008B0F31"/>
    <w:rsid w:val="008B2819"/>
    <w:rsid w:val="008B336D"/>
    <w:rsid w:val="008B56E5"/>
    <w:rsid w:val="008B6C1C"/>
    <w:rsid w:val="008C1227"/>
    <w:rsid w:val="008C286E"/>
    <w:rsid w:val="008C2C53"/>
    <w:rsid w:val="008C3D8E"/>
    <w:rsid w:val="008C7DFB"/>
    <w:rsid w:val="008D1AC2"/>
    <w:rsid w:val="008D205E"/>
    <w:rsid w:val="008D6286"/>
    <w:rsid w:val="008D716C"/>
    <w:rsid w:val="008E1221"/>
    <w:rsid w:val="008E6CC5"/>
    <w:rsid w:val="008E7CDB"/>
    <w:rsid w:val="008E7F75"/>
    <w:rsid w:val="008F0739"/>
    <w:rsid w:val="008F15A5"/>
    <w:rsid w:val="008F30E2"/>
    <w:rsid w:val="008F5C3B"/>
    <w:rsid w:val="008F6C88"/>
    <w:rsid w:val="008F7929"/>
    <w:rsid w:val="00900B60"/>
    <w:rsid w:val="009033B8"/>
    <w:rsid w:val="00904CC4"/>
    <w:rsid w:val="009056D0"/>
    <w:rsid w:val="0091122D"/>
    <w:rsid w:val="00911316"/>
    <w:rsid w:val="00914E2E"/>
    <w:rsid w:val="009157BF"/>
    <w:rsid w:val="00922018"/>
    <w:rsid w:val="009225AD"/>
    <w:rsid w:val="00922CBB"/>
    <w:rsid w:val="00925516"/>
    <w:rsid w:val="009257CB"/>
    <w:rsid w:val="00927FF5"/>
    <w:rsid w:val="00931DDC"/>
    <w:rsid w:val="0093372A"/>
    <w:rsid w:val="00936537"/>
    <w:rsid w:val="0093781C"/>
    <w:rsid w:val="009429C2"/>
    <w:rsid w:val="00945FDB"/>
    <w:rsid w:val="00954418"/>
    <w:rsid w:val="0095657B"/>
    <w:rsid w:val="0095766F"/>
    <w:rsid w:val="00961C22"/>
    <w:rsid w:val="00963EBB"/>
    <w:rsid w:val="009643EF"/>
    <w:rsid w:val="009645BD"/>
    <w:rsid w:val="00966BA4"/>
    <w:rsid w:val="00974143"/>
    <w:rsid w:val="0097489F"/>
    <w:rsid w:val="00976E4F"/>
    <w:rsid w:val="00983339"/>
    <w:rsid w:val="00986CA0"/>
    <w:rsid w:val="009879FA"/>
    <w:rsid w:val="00990CEB"/>
    <w:rsid w:val="00994886"/>
    <w:rsid w:val="00995402"/>
    <w:rsid w:val="00995B6F"/>
    <w:rsid w:val="009A5A09"/>
    <w:rsid w:val="009A5BAE"/>
    <w:rsid w:val="009A7122"/>
    <w:rsid w:val="009B30FC"/>
    <w:rsid w:val="009B34C9"/>
    <w:rsid w:val="009B4F95"/>
    <w:rsid w:val="009C1DAB"/>
    <w:rsid w:val="009C39C4"/>
    <w:rsid w:val="009C4A55"/>
    <w:rsid w:val="009C4C1C"/>
    <w:rsid w:val="009C5D72"/>
    <w:rsid w:val="009C5F43"/>
    <w:rsid w:val="009C699F"/>
    <w:rsid w:val="009D092F"/>
    <w:rsid w:val="009D0F65"/>
    <w:rsid w:val="009D1428"/>
    <w:rsid w:val="009D2A60"/>
    <w:rsid w:val="009D37FD"/>
    <w:rsid w:val="009D7D13"/>
    <w:rsid w:val="009E1011"/>
    <w:rsid w:val="009E2573"/>
    <w:rsid w:val="009E374D"/>
    <w:rsid w:val="009E5BEE"/>
    <w:rsid w:val="009F1E4E"/>
    <w:rsid w:val="009F5A48"/>
    <w:rsid w:val="009F795C"/>
    <w:rsid w:val="00A02608"/>
    <w:rsid w:val="00A0368D"/>
    <w:rsid w:val="00A06139"/>
    <w:rsid w:val="00A103B7"/>
    <w:rsid w:val="00A104EA"/>
    <w:rsid w:val="00A13269"/>
    <w:rsid w:val="00A13BC6"/>
    <w:rsid w:val="00A14FD0"/>
    <w:rsid w:val="00A172BD"/>
    <w:rsid w:val="00A201CF"/>
    <w:rsid w:val="00A22C7E"/>
    <w:rsid w:val="00A25D25"/>
    <w:rsid w:val="00A30563"/>
    <w:rsid w:val="00A3101A"/>
    <w:rsid w:val="00A32D24"/>
    <w:rsid w:val="00A32D61"/>
    <w:rsid w:val="00A33AE7"/>
    <w:rsid w:val="00A34DB6"/>
    <w:rsid w:val="00A357F8"/>
    <w:rsid w:val="00A37839"/>
    <w:rsid w:val="00A43E5C"/>
    <w:rsid w:val="00A45614"/>
    <w:rsid w:val="00A460DF"/>
    <w:rsid w:val="00A47C4A"/>
    <w:rsid w:val="00A503D1"/>
    <w:rsid w:val="00A54304"/>
    <w:rsid w:val="00A55284"/>
    <w:rsid w:val="00A561F0"/>
    <w:rsid w:val="00A653E5"/>
    <w:rsid w:val="00A731D5"/>
    <w:rsid w:val="00A747E5"/>
    <w:rsid w:val="00A752EE"/>
    <w:rsid w:val="00A82D1A"/>
    <w:rsid w:val="00A83D4E"/>
    <w:rsid w:val="00A90512"/>
    <w:rsid w:val="00A96B6F"/>
    <w:rsid w:val="00A975CB"/>
    <w:rsid w:val="00AA69F1"/>
    <w:rsid w:val="00AB0595"/>
    <w:rsid w:val="00AB159E"/>
    <w:rsid w:val="00AB36D1"/>
    <w:rsid w:val="00AB4E30"/>
    <w:rsid w:val="00AB4F9A"/>
    <w:rsid w:val="00AB521B"/>
    <w:rsid w:val="00AB66CE"/>
    <w:rsid w:val="00AC03D0"/>
    <w:rsid w:val="00AC0524"/>
    <w:rsid w:val="00AC1DB1"/>
    <w:rsid w:val="00AC1E89"/>
    <w:rsid w:val="00AC40AE"/>
    <w:rsid w:val="00AC4219"/>
    <w:rsid w:val="00AD052B"/>
    <w:rsid w:val="00AD20BF"/>
    <w:rsid w:val="00AD313A"/>
    <w:rsid w:val="00AD483B"/>
    <w:rsid w:val="00AD550A"/>
    <w:rsid w:val="00AE19C0"/>
    <w:rsid w:val="00AE22D2"/>
    <w:rsid w:val="00AE26FC"/>
    <w:rsid w:val="00AE6E7D"/>
    <w:rsid w:val="00AF393E"/>
    <w:rsid w:val="00AF3FB3"/>
    <w:rsid w:val="00AF6B69"/>
    <w:rsid w:val="00B00805"/>
    <w:rsid w:val="00B01B98"/>
    <w:rsid w:val="00B03F59"/>
    <w:rsid w:val="00B05D86"/>
    <w:rsid w:val="00B07339"/>
    <w:rsid w:val="00B105B9"/>
    <w:rsid w:val="00B10AA5"/>
    <w:rsid w:val="00B11498"/>
    <w:rsid w:val="00B13363"/>
    <w:rsid w:val="00B13604"/>
    <w:rsid w:val="00B150A4"/>
    <w:rsid w:val="00B16B5D"/>
    <w:rsid w:val="00B172D5"/>
    <w:rsid w:val="00B204F4"/>
    <w:rsid w:val="00B215D0"/>
    <w:rsid w:val="00B21D9C"/>
    <w:rsid w:val="00B23068"/>
    <w:rsid w:val="00B23AD2"/>
    <w:rsid w:val="00B24168"/>
    <w:rsid w:val="00B312DD"/>
    <w:rsid w:val="00B366F3"/>
    <w:rsid w:val="00B37942"/>
    <w:rsid w:val="00B41E0D"/>
    <w:rsid w:val="00B41FA2"/>
    <w:rsid w:val="00B43CA3"/>
    <w:rsid w:val="00B43FB4"/>
    <w:rsid w:val="00B44BF4"/>
    <w:rsid w:val="00B45839"/>
    <w:rsid w:val="00B46509"/>
    <w:rsid w:val="00B50D09"/>
    <w:rsid w:val="00B51F3B"/>
    <w:rsid w:val="00B52697"/>
    <w:rsid w:val="00B52ECC"/>
    <w:rsid w:val="00B53D26"/>
    <w:rsid w:val="00B551DF"/>
    <w:rsid w:val="00B57B71"/>
    <w:rsid w:val="00B63020"/>
    <w:rsid w:val="00B63E1E"/>
    <w:rsid w:val="00B63F34"/>
    <w:rsid w:val="00B65C8B"/>
    <w:rsid w:val="00B705FD"/>
    <w:rsid w:val="00B70A99"/>
    <w:rsid w:val="00B744D5"/>
    <w:rsid w:val="00B74CEE"/>
    <w:rsid w:val="00B76A5B"/>
    <w:rsid w:val="00B77264"/>
    <w:rsid w:val="00B86F57"/>
    <w:rsid w:val="00B90D77"/>
    <w:rsid w:val="00B91C5D"/>
    <w:rsid w:val="00B920E1"/>
    <w:rsid w:val="00B934AF"/>
    <w:rsid w:val="00B94B36"/>
    <w:rsid w:val="00B95255"/>
    <w:rsid w:val="00B965F0"/>
    <w:rsid w:val="00BA6329"/>
    <w:rsid w:val="00BA6387"/>
    <w:rsid w:val="00BB0FDA"/>
    <w:rsid w:val="00BB2FFB"/>
    <w:rsid w:val="00BB3624"/>
    <w:rsid w:val="00BB5655"/>
    <w:rsid w:val="00BB61DD"/>
    <w:rsid w:val="00BB7796"/>
    <w:rsid w:val="00BB7D1B"/>
    <w:rsid w:val="00BC25AA"/>
    <w:rsid w:val="00BC3098"/>
    <w:rsid w:val="00BD1B97"/>
    <w:rsid w:val="00BD58DE"/>
    <w:rsid w:val="00BD7092"/>
    <w:rsid w:val="00BD7145"/>
    <w:rsid w:val="00BD751A"/>
    <w:rsid w:val="00BE1645"/>
    <w:rsid w:val="00BE40D5"/>
    <w:rsid w:val="00BE5ADA"/>
    <w:rsid w:val="00BE6366"/>
    <w:rsid w:val="00BF2AA8"/>
    <w:rsid w:val="00BF5719"/>
    <w:rsid w:val="00C0059F"/>
    <w:rsid w:val="00C01151"/>
    <w:rsid w:val="00C01A81"/>
    <w:rsid w:val="00C0286B"/>
    <w:rsid w:val="00C02C4F"/>
    <w:rsid w:val="00C07173"/>
    <w:rsid w:val="00C10E3D"/>
    <w:rsid w:val="00C11B96"/>
    <w:rsid w:val="00C1330A"/>
    <w:rsid w:val="00C1355A"/>
    <w:rsid w:val="00C17029"/>
    <w:rsid w:val="00C179E3"/>
    <w:rsid w:val="00C21157"/>
    <w:rsid w:val="00C254FE"/>
    <w:rsid w:val="00C26670"/>
    <w:rsid w:val="00C27E9C"/>
    <w:rsid w:val="00C31EAB"/>
    <w:rsid w:val="00C32E46"/>
    <w:rsid w:val="00C3465A"/>
    <w:rsid w:val="00C430A9"/>
    <w:rsid w:val="00C43871"/>
    <w:rsid w:val="00C513A8"/>
    <w:rsid w:val="00C54E39"/>
    <w:rsid w:val="00C552AE"/>
    <w:rsid w:val="00C556F1"/>
    <w:rsid w:val="00C57282"/>
    <w:rsid w:val="00C60AD7"/>
    <w:rsid w:val="00C64A9E"/>
    <w:rsid w:val="00C6585C"/>
    <w:rsid w:val="00C665B3"/>
    <w:rsid w:val="00C66A5F"/>
    <w:rsid w:val="00C67414"/>
    <w:rsid w:val="00C67BE3"/>
    <w:rsid w:val="00C67EBF"/>
    <w:rsid w:val="00C70791"/>
    <w:rsid w:val="00C73925"/>
    <w:rsid w:val="00C76CE0"/>
    <w:rsid w:val="00C82044"/>
    <w:rsid w:val="00C82690"/>
    <w:rsid w:val="00C848F4"/>
    <w:rsid w:val="00C919EA"/>
    <w:rsid w:val="00C91B0D"/>
    <w:rsid w:val="00C95217"/>
    <w:rsid w:val="00C9587F"/>
    <w:rsid w:val="00C9772E"/>
    <w:rsid w:val="00C97E3A"/>
    <w:rsid w:val="00CA0EAA"/>
    <w:rsid w:val="00CA1A8C"/>
    <w:rsid w:val="00CA70BB"/>
    <w:rsid w:val="00CB0D6A"/>
    <w:rsid w:val="00CB259C"/>
    <w:rsid w:val="00CB3E0C"/>
    <w:rsid w:val="00CB440A"/>
    <w:rsid w:val="00CB62C7"/>
    <w:rsid w:val="00CB7AC2"/>
    <w:rsid w:val="00CC0933"/>
    <w:rsid w:val="00CC28C1"/>
    <w:rsid w:val="00CC5B2A"/>
    <w:rsid w:val="00CC5B40"/>
    <w:rsid w:val="00CD1C85"/>
    <w:rsid w:val="00CD57C6"/>
    <w:rsid w:val="00CD6AA5"/>
    <w:rsid w:val="00CD6D48"/>
    <w:rsid w:val="00CE2D9C"/>
    <w:rsid w:val="00CE304A"/>
    <w:rsid w:val="00CE5CD6"/>
    <w:rsid w:val="00CE7C76"/>
    <w:rsid w:val="00CF194F"/>
    <w:rsid w:val="00CF5B24"/>
    <w:rsid w:val="00CF71F6"/>
    <w:rsid w:val="00D02CEC"/>
    <w:rsid w:val="00D02E69"/>
    <w:rsid w:val="00D06BDA"/>
    <w:rsid w:val="00D120BE"/>
    <w:rsid w:val="00D13613"/>
    <w:rsid w:val="00D14DC3"/>
    <w:rsid w:val="00D1551E"/>
    <w:rsid w:val="00D15C85"/>
    <w:rsid w:val="00D20A10"/>
    <w:rsid w:val="00D20FCB"/>
    <w:rsid w:val="00D20FEA"/>
    <w:rsid w:val="00D21582"/>
    <w:rsid w:val="00D22B56"/>
    <w:rsid w:val="00D23193"/>
    <w:rsid w:val="00D25851"/>
    <w:rsid w:val="00D302AB"/>
    <w:rsid w:val="00D31DA0"/>
    <w:rsid w:val="00D32842"/>
    <w:rsid w:val="00D34B1F"/>
    <w:rsid w:val="00D35CA3"/>
    <w:rsid w:val="00D36141"/>
    <w:rsid w:val="00D37A4C"/>
    <w:rsid w:val="00D50F92"/>
    <w:rsid w:val="00D518C9"/>
    <w:rsid w:val="00D51E8F"/>
    <w:rsid w:val="00D524E9"/>
    <w:rsid w:val="00D55EC9"/>
    <w:rsid w:val="00D57DDB"/>
    <w:rsid w:val="00D6240D"/>
    <w:rsid w:val="00D634EC"/>
    <w:rsid w:val="00D63701"/>
    <w:rsid w:val="00D71C38"/>
    <w:rsid w:val="00D72149"/>
    <w:rsid w:val="00D72CA1"/>
    <w:rsid w:val="00D73E5F"/>
    <w:rsid w:val="00D741FA"/>
    <w:rsid w:val="00D742D2"/>
    <w:rsid w:val="00D76B2F"/>
    <w:rsid w:val="00D819B9"/>
    <w:rsid w:val="00D84BED"/>
    <w:rsid w:val="00D94B1A"/>
    <w:rsid w:val="00D960C2"/>
    <w:rsid w:val="00D97A42"/>
    <w:rsid w:val="00DA05B4"/>
    <w:rsid w:val="00DA1C5F"/>
    <w:rsid w:val="00DA1F0D"/>
    <w:rsid w:val="00DA2CE0"/>
    <w:rsid w:val="00DA3027"/>
    <w:rsid w:val="00DA40F7"/>
    <w:rsid w:val="00DA553B"/>
    <w:rsid w:val="00DA5956"/>
    <w:rsid w:val="00DA68CD"/>
    <w:rsid w:val="00DA78DF"/>
    <w:rsid w:val="00DB1D18"/>
    <w:rsid w:val="00DB4172"/>
    <w:rsid w:val="00DB440F"/>
    <w:rsid w:val="00DB647F"/>
    <w:rsid w:val="00DB7744"/>
    <w:rsid w:val="00DB7B04"/>
    <w:rsid w:val="00DC1DCD"/>
    <w:rsid w:val="00DC28E1"/>
    <w:rsid w:val="00DC36D5"/>
    <w:rsid w:val="00DC6AC7"/>
    <w:rsid w:val="00DD5A2C"/>
    <w:rsid w:val="00DE23FC"/>
    <w:rsid w:val="00DE3046"/>
    <w:rsid w:val="00DE32D0"/>
    <w:rsid w:val="00DE4255"/>
    <w:rsid w:val="00DF32AF"/>
    <w:rsid w:val="00DF4F07"/>
    <w:rsid w:val="00DF5258"/>
    <w:rsid w:val="00E00A11"/>
    <w:rsid w:val="00E00A5B"/>
    <w:rsid w:val="00E049D5"/>
    <w:rsid w:val="00E06F03"/>
    <w:rsid w:val="00E073CD"/>
    <w:rsid w:val="00E109BD"/>
    <w:rsid w:val="00E1245C"/>
    <w:rsid w:val="00E12A59"/>
    <w:rsid w:val="00E13D60"/>
    <w:rsid w:val="00E13DED"/>
    <w:rsid w:val="00E15716"/>
    <w:rsid w:val="00E16153"/>
    <w:rsid w:val="00E167F6"/>
    <w:rsid w:val="00E168FA"/>
    <w:rsid w:val="00E17B33"/>
    <w:rsid w:val="00E32AC8"/>
    <w:rsid w:val="00E35FC8"/>
    <w:rsid w:val="00E40DEF"/>
    <w:rsid w:val="00E40F5F"/>
    <w:rsid w:val="00E4111F"/>
    <w:rsid w:val="00E41D03"/>
    <w:rsid w:val="00E436EB"/>
    <w:rsid w:val="00E4733A"/>
    <w:rsid w:val="00E4792B"/>
    <w:rsid w:val="00E47C1B"/>
    <w:rsid w:val="00E52B02"/>
    <w:rsid w:val="00E550AE"/>
    <w:rsid w:val="00E55A19"/>
    <w:rsid w:val="00E56800"/>
    <w:rsid w:val="00E57369"/>
    <w:rsid w:val="00E610F2"/>
    <w:rsid w:val="00E62D3D"/>
    <w:rsid w:val="00E63996"/>
    <w:rsid w:val="00E7088F"/>
    <w:rsid w:val="00E73728"/>
    <w:rsid w:val="00E772E9"/>
    <w:rsid w:val="00E80D4B"/>
    <w:rsid w:val="00E8127C"/>
    <w:rsid w:val="00E82C99"/>
    <w:rsid w:val="00E8418A"/>
    <w:rsid w:val="00E850F2"/>
    <w:rsid w:val="00E87149"/>
    <w:rsid w:val="00E90235"/>
    <w:rsid w:val="00E93733"/>
    <w:rsid w:val="00E96A5F"/>
    <w:rsid w:val="00E972C0"/>
    <w:rsid w:val="00EA029D"/>
    <w:rsid w:val="00EA2684"/>
    <w:rsid w:val="00EA5074"/>
    <w:rsid w:val="00EA5E74"/>
    <w:rsid w:val="00EA6DDD"/>
    <w:rsid w:val="00EA7EE4"/>
    <w:rsid w:val="00EB1279"/>
    <w:rsid w:val="00EB7983"/>
    <w:rsid w:val="00EC1851"/>
    <w:rsid w:val="00EC5CE9"/>
    <w:rsid w:val="00ED0A7F"/>
    <w:rsid w:val="00ED0D3A"/>
    <w:rsid w:val="00ED0FE9"/>
    <w:rsid w:val="00ED21A6"/>
    <w:rsid w:val="00ED2B7B"/>
    <w:rsid w:val="00ED6E90"/>
    <w:rsid w:val="00EE20F0"/>
    <w:rsid w:val="00EF4B95"/>
    <w:rsid w:val="00F00F8D"/>
    <w:rsid w:val="00F043CD"/>
    <w:rsid w:val="00F06209"/>
    <w:rsid w:val="00F0629D"/>
    <w:rsid w:val="00F062B9"/>
    <w:rsid w:val="00F07BA5"/>
    <w:rsid w:val="00F10B89"/>
    <w:rsid w:val="00F11959"/>
    <w:rsid w:val="00F1446F"/>
    <w:rsid w:val="00F14A17"/>
    <w:rsid w:val="00F178CB"/>
    <w:rsid w:val="00F20147"/>
    <w:rsid w:val="00F23CB9"/>
    <w:rsid w:val="00F24BD6"/>
    <w:rsid w:val="00F30798"/>
    <w:rsid w:val="00F32812"/>
    <w:rsid w:val="00F32D24"/>
    <w:rsid w:val="00F34350"/>
    <w:rsid w:val="00F36CF0"/>
    <w:rsid w:val="00F40943"/>
    <w:rsid w:val="00F4154D"/>
    <w:rsid w:val="00F42280"/>
    <w:rsid w:val="00F509B2"/>
    <w:rsid w:val="00F5176B"/>
    <w:rsid w:val="00F51EBB"/>
    <w:rsid w:val="00F53EDA"/>
    <w:rsid w:val="00F54918"/>
    <w:rsid w:val="00F62AD9"/>
    <w:rsid w:val="00F6639A"/>
    <w:rsid w:val="00F66432"/>
    <w:rsid w:val="00F6690C"/>
    <w:rsid w:val="00F760F3"/>
    <w:rsid w:val="00F76702"/>
    <w:rsid w:val="00F77860"/>
    <w:rsid w:val="00F80A27"/>
    <w:rsid w:val="00F855A8"/>
    <w:rsid w:val="00F86AFE"/>
    <w:rsid w:val="00F902CE"/>
    <w:rsid w:val="00F90902"/>
    <w:rsid w:val="00F930DF"/>
    <w:rsid w:val="00F95AFE"/>
    <w:rsid w:val="00F9759C"/>
    <w:rsid w:val="00F9771E"/>
    <w:rsid w:val="00FA20FF"/>
    <w:rsid w:val="00FA71E3"/>
    <w:rsid w:val="00FB0D6C"/>
    <w:rsid w:val="00FB1EF9"/>
    <w:rsid w:val="00FB2835"/>
    <w:rsid w:val="00FB551A"/>
    <w:rsid w:val="00FC00D6"/>
    <w:rsid w:val="00FC529B"/>
    <w:rsid w:val="00FC601F"/>
    <w:rsid w:val="00FC660C"/>
    <w:rsid w:val="00FD5301"/>
    <w:rsid w:val="00FD7A76"/>
    <w:rsid w:val="00FD7B16"/>
    <w:rsid w:val="00FE350D"/>
    <w:rsid w:val="00FE6CA4"/>
    <w:rsid w:val="00FF00F4"/>
    <w:rsid w:val="00FF02AC"/>
    <w:rsid w:val="00FF67A4"/>
    <w:rsid w:val="00FF6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8F202"/>
  <w15:docId w15:val="{9511C0FD-245E-49A4-BE6C-EA23D7AE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37839"/>
    <w:pPr>
      <w:spacing w:after="0" w:line="360" w:lineRule="auto"/>
      <w:ind w:firstLine="709"/>
      <w:jc w:val="both"/>
    </w:pPr>
    <w:rPr>
      <w:rFonts w:ascii="Times New Roman" w:hAnsi="Times New Roman"/>
      <w:sz w:val="24"/>
    </w:rPr>
  </w:style>
  <w:style w:type="paragraph" w:styleId="1">
    <w:name w:val="heading 1"/>
    <w:basedOn w:val="a1"/>
    <w:next w:val="a1"/>
    <w:link w:val="10"/>
    <w:uiPriority w:val="9"/>
    <w:qFormat/>
    <w:rsid w:val="00177197"/>
    <w:pPr>
      <w:keepNext/>
      <w:keepLines/>
      <w:pageBreakBefore/>
      <w:spacing w:after="240"/>
      <w:ind w:firstLine="0"/>
      <w:jc w:val="left"/>
      <w:outlineLvl w:val="0"/>
    </w:pPr>
    <w:rPr>
      <w:rFonts w:eastAsiaTheme="majorEastAsia" w:cstheme="majorBidi"/>
      <w:b/>
      <w:bCs/>
      <w:caps/>
      <w:sz w:val="28"/>
      <w:szCs w:val="28"/>
    </w:rPr>
  </w:style>
  <w:style w:type="paragraph" w:styleId="2">
    <w:name w:val="heading 2"/>
    <w:basedOn w:val="a1"/>
    <w:next w:val="a1"/>
    <w:link w:val="20"/>
    <w:uiPriority w:val="9"/>
    <w:unhideWhenUsed/>
    <w:qFormat/>
    <w:rsid w:val="00177197"/>
    <w:pPr>
      <w:keepNext/>
      <w:keepLines/>
      <w:ind w:firstLine="0"/>
      <w:jc w:val="left"/>
      <w:outlineLvl w:val="1"/>
    </w:pPr>
    <w:rPr>
      <w:rFonts w:eastAsiaTheme="majorEastAsia" w:cstheme="majorBidi"/>
      <w:b/>
      <w:bCs/>
      <w:sz w:val="28"/>
      <w:szCs w:val="26"/>
    </w:rPr>
  </w:style>
  <w:style w:type="paragraph" w:styleId="3">
    <w:name w:val="heading 3"/>
    <w:basedOn w:val="a1"/>
    <w:next w:val="a1"/>
    <w:link w:val="30"/>
    <w:uiPriority w:val="9"/>
    <w:unhideWhenUsed/>
    <w:qFormat/>
    <w:rsid w:val="003B0AAE"/>
    <w:pPr>
      <w:keepNext/>
      <w:keepLines/>
      <w:ind w:firstLine="0"/>
      <w:jc w:val="left"/>
      <w:outlineLvl w:val="2"/>
    </w:pPr>
    <w:rPr>
      <w:rFonts w:eastAsiaTheme="majorEastAsia" w:cstheme="majorBidi"/>
      <w:b/>
      <w:bCs/>
    </w:rPr>
  </w:style>
  <w:style w:type="paragraph" w:styleId="4">
    <w:name w:val="heading 4"/>
    <w:basedOn w:val="a1"/>
    <w:next w:val="a1"/>
    <w:link w:val="40"/>
    <w:uiPriority w:val="9"/>
    <w:unhideWhenUsed/>
    <w:qFormat/>
    <w:rsid w:val="003C0C75"/>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
    <w:semiHidden/>
    <w:unhideWhenUsed/>
    <w:qFormat/>
    <w:rsid w:val="003A2BAA"/>
    <w:pPr>
      <w:keepNext/>
      <w:keepLines/>
      <w:spacing w:before="40" w:line="259" w:lineRule="auto"/>
      <w:ind w:firstLine="0"/>
      <w:jc w:val="left"/>
      <w:outlineLvl w:val="4"/>
    </w:pPr>
    <w:rPr>
      <w:rFonts w:asciiTheme="majorHAnsi" w:eastAsiaTheme="majorEastAsia" w:hAnsiTheme="majorHAnsi" w:cstheme="majorBidi"/>
      <w:color w:val="365F91" w:themeColor="accent1" w:themeShade="BF"/>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ДАА без отступа"/>
    <w:basedOn w:val="a1"/>
    <w:next w:val="a1"/>
    <w:qFormat/>
    <w:rsid w:val="00677331"/>
    <w:pPr>
      <w:ind w:firstLine="0"/>
    </w:pPr>
  </w:style>
  <w:style w:type="paragraph" w:customStyle="1" w:styleId="a6">
    <w:name w:val="ДАА по центру"/>
    <w:basedOn w:val="a1"/>
    <w:next w:val="a1"/>
    <w:qFormat/>
    <w:rsid w:val="00D06BDA"/>
    <w:pPr>
      <w:ind w:firstLine="0"/>
      <w:jc w:val="center"/>
    </w:pPr>
  </w:style>
  <w:style w:type="character" w:customStyle="1" w:styleId="10">
    <w:name w:val="Заголовок 1 Знак"/>
    <w:basedOn w:val="a2"/>
    <w:link w:val="1"/>
    <w:uiPriority w:val="9"/>
    <w:rsid w:val="00177197"/>
    <w:rPr>
      <w:rFonts w:ascii="Times New Roman" w:eastAsiaTheme="majorEastAsia" w:hAnsi="Times New Roman" w:cstheme="majorBidi"/>
      <w:b/>
      <w:bCs/>
      <w:caps/>
      <w:sz w:val="28"/>
      <w:szCs w:val="28"/>
    </w:rPr>
  </w:style>
  <w:style w:type="character" w:customStyle="1" w:styleId="20">
    <w:name w:val="Заголовок 2 Знак"/>
    <w:basedOn w:val="a2"/>
    <w:link w:val="2"/>
    <w:uiPriority w:val="9"/>
    <w:rsid w:val="00177197"/>
    <w:rPr>
      <w:rFonts w:ascii="Times New Roman" w:eastAsiaTheme="majorEastAsia" w:hAnsi="Times New Roman" w:cstheme="majorBidi"/>
      <w:b/>
      <w:bCs/>
      <w:sz w:val="28"/>
      <w:szCs w:val="26"/>
    </w:rPr>
  </w:style>
  <w:style w:type="character" w:customStyle="1" w:styleId="30">
    <w:name w:val="Заголовок 3 Знак"/>
    <w:basedOn w:val="a2"/>
    <w:link w:val="3"/>
    <w:uiPriority w:val="9"/>
    <w:rsid w:val="003B0AAE"/>
    <w:rPr>
      <w:rFonts w:ascii="Times New Roman" w:eastAsiaTheme="majorEastAsia" w:hAnsi="Times New Roman" w:cstheme="majorBidi"/>
      <w:b/>
      <w:bCs/>
      <w:sz w:val="24"/>
    </w:rPr>
  </w:style>
  <w:style w:type="paragraph" w:customStyle="1" w:styleId="a">
    <w:name w:val="ДАА Подпись к рисунку"/>
    <w:basedOn w:val="a6"/>
    <w:next w:val="a1"/>
    <w:qFormat/>
    <w:rsid w:val="00135619"/>
    <w:pPr>
      <w:numPr>
        <w:numId w:val="2"/>
      </w:numPr>
      <w:spacing w:after="240"/>
    </w:pPr>
    <w:rPr>
      <w:i/>
    </w:rPr>
  </w:style>
  <w:style w:type="paragraph" w:styleId="a7">
    <w:name w:val="Balloon Text"/>
    <w:basedOn w:val="a1"/>
    <w:link w:val="a8"/>
    <w:uiPriority w:val="99"/>
    <w:semiHidden/>
    <w:unhideWhenUsed/>
    <w:rsid w:val="00DA05B4"/>
    <w:pPr>
      <w:spacing w:line="240" w:lineRule="auto"/>
    </w:pPr>
    <w:rPr>
      <w:rFonts w:ascii="Tahoma" w:hAnsi="Tahoma" w:cs="Tahoma"/>
      <w:sz w:val="16"/>
      <w:szCs w:val="16"/>
    </w:rPr>
  </w:style>
  <w:style w:type="character" w:customStyle="1" w:styleId="a8">
    <w:name w:val="Текст выноски Знак"/>
    <w:basedOn w:val="a2"/>
    <w:link w:val="a7"/>
    <w:uiPriority w:val="99"/>
    <w:semiHidden/>
    <w:rsid w:val="00DA05B4"/>
    <w:rPr>
      <w:rFonts w:ascii="Tahoma" w:hAnsi="Tahoma" w:cs="Tahoma"/>
      <w:sz w:val="16"/>
      <w:szCs w:val="16"/>
    </w:rPr>
  </w:style>
  <w:style w:type="paragraph" w:customStyle="1" w:styleId="a9">
    <w:name w:val="ДАА рисунок"/>
    <w:basedOn w:val="a6"/>
    <w:next w:val="a"/>
    <w:qFormat/>
    <w:rsid w:val="00634257"/>
    <w:pPr>
      <w:keepNext/>
      <w:keepLines/>
      <w:spacing w:before="240"/>
    </w:pPr>
  </w:style>
  <w:style w:type="paragraph" w:customStyle="1" w:styleId="aa">
    <w:name w:val="ДАА Заголовок таблицы"/>
    <w:basedOn w:val="a1"/>
    <w:qFormat/>
    <w:rsid w:val="00C17029"/>
    <w:pPr>
      <w:keepNext/>
      <w:keepLines/>
      <w:ind w:firstLine="0"/>
      <w:jc w:val="center"/>
    </w:pPr>
    <w:rPr>
      <w:b/>
    </w:rPr>
  </w:style>
  <w:style w:type="paragraph" w:customStyle="1" w:styleId="a0">
    <w:name w:val="ДАА Подпись к таблице"/>
    <w:basedOn w:val="a1"/>
    <w:next w:val="aa"/>
    <w:qFormat/>
    <w:rsid w:val="00135619"/>
    <w:pPr>
      <w:keepNext/>
      <w:keepLines/>
      <w:numPr>
        <w:numId w:val="1"/>
      </w:numPr>
      <w:spacing w:before="240" w:after="120"/>
      <w:ind w:left="-1418" w:firstLine="0"/>
      <w:jc w:val="right"/>
    </w:pPr>
  </w:style>
  <w:style w:type="paragraph" w:customStyle="1" w:styleId="ab">
    <w:name w:val="ДАА С ОТСТУПОМ"/>
    <w:basedOn w:val="a5"/>
    <w:next w:val="a1"/>
    <w:qFormat/>
    <w:rsid w:val="00D23193"/>
    <w:pPr>
      <w:ind w:left="4536"/>
    </w:pPr>
  </w:style>
  <w:style w:type="character" w:customStyle="1" w:styleId="ac">
    <w:name w:val="ДАА ПОДЧЕРКИВАНИЕ"/>
    <w:basedOn w:val="a2"/>
    <w:uiPriority w:val="1"/>
    <w:qFormat/>
    <w:rsid w:val="00D23193"/>
    <w:rPr>
      <w:u w:val="single"/>
    </w:rPr>
  </w:style>
  <w:style w:type="character" w:customStyle="1" w:styleId="ad">
    <w:name w:val="ДАА ПОЛУЖИРНЫЙ"/>
    <w:basedOn w:val="a2"/>
    <w:uiPriority w:val="1"/>
    <w:qFormat/>
    <w:rsid w:val="00D23193"/>
    <w:rPr>
      <w:b/>
    </w:rPr>
  </w:style>
  <w:style w:type="paragraph" w:customStyle="1" w:styleId="ae">
    <w:name w:val="ДАА Содержимое таблицы"/>
    <w:basedOn w:val="a6"/>
    <w:qFormat/>
    <w:rsid w:val="00EC5CE9"/>
    <w:pPr>
      <w:jc w:val="both"/>
    </w:pPr>
  </w:style>
  <w:style w:type="paragraph" w:styleId="af">
    <w:name w:val="footer"/>
    <w:basedOn w:val="a1"/>
    <w:link w:val="af0"/>
    <w:uiPriority w:val="99"/>
    <w:unhideWhenUsed/>
    <w:rsid w:val="00AC4219"/>
    <w:pPr>
      <w:tabs>
        <w:tab w:val="center" w:pos="4677"/>
        <w:tab w:val="right" w:pos="9355"/>
      </w:tabs>
      <w:spacing w:line="240" w:lineRule="auto"/>
    </w:pPr>
  </w:style>
  <w:style w:type="character" w:customStyle="1" w:styleId="af0">
    <w:name w:val="Нижний колонтитул Знак"/>
    <w:basedOn w:val="a2"/>
    <w:link w:val="af"/>
    <w:uiPriority w:val="99"/>
    <w:rsid w:val="00AC4219"/>
    <w:rPr>
      <w:rFonts w:ascii="Times New Roman" w:hAnsi="Times New Roman"/>
      <w:sz w:val="24"/>
    </w:rPr>
  </w:style>
  <w:style w:type="character" w:styleId="af1">
    <w:name w:val="page number"/>
    <w:basedOn w:val="a2"/>
    <w:uiPriority w:val="99"/>
    <w:semiHidden/>
    <w:unhideWhenUsed/>
    <w:rsid w:val="00AC4219"/>
  </w:style>
  <w:style w:type="paragraph" w:styleId="af2">
    <w:name w:val="TOC Heading"/>
    <w:basedOn w:val="1"/>
    <w:next w:val="a1"/>
    <w:uiPriority w:val="39"/>
    <w:unhideWhenUsed/>
    <w:qFormat/>
    <w:rsid w:val="00AC4219"/>
    <w:pPr>
      <w:pageBreakBefore w:val="0"/>
      <w:spacing w:before="480" w:after="0" w:line="276" w:lineRule="auto"/>
      <w:outlineLvl w:val="9"/>
    </w:pPr>
    <w:rPr>
      <w:rFonts w:asciiTheme="majorHAnsi" w:hAnsiTheme="majorHAnsi"/>
      <w:caps w:val="0"/>
      <w:color w:val="365F91" w:themeColor="accent1" w:themeShade="BF"/>
      <w:lang w:eastAsia="ru-RU"/>
    </w:rPr>
  </w:style>
  <w:style w:type="paragraph" w:styleId="11">
    <w:name w:val="toc 1"/>
    <w:basedOn w:val="a1"/>
    <w:next w:val="a1"/>
    <w:autoRedefine/>
    <w:uiPriority w:val="39"/>
    <w:unhideWhenUsed/>
    <w:rsid w:val="00C9772E"/>
    <w:pPr>
      <w:tabs>
        <w:tab w:val="right" w:leader="dot" w:pos="9344"/>
      </w:tabs>
      <w:spacing w:before="120"/>
      <w:jc w:val="left"/>
    </w:pPr>
    <w:rPr>
      <w:rFonts w:cs="Times New Roman"/>
      <w:b/>
      <w:noProof/>
      <w:sz w:val="28"/>
      <w:szCs w:val="28"/>
    </w:rPr>
  </w:style>
  <w:style w:type="character" w:styleId="af3">
    <w:name w:val="Hyperlink"/>
    <w:basedOn w:val="a2"/>
    <w:uiPriority w:val="99"/>
    <w:unhideWhenUsed/>
    <w:rsid w:val="00AC4219"/>
    <w:rPr>
      <w:color w:val="0000FF" w:themeColor="hyperlink"/>
      <w:u w:val="single"/>
    </w:rPr>
  </w:style>
  <w:style w:type="paragraph" w:styleId="21">
    <w:name w:val="toc 2"/>
    <w:basedOn w:val="a1"/>
    <w:next w:val="a1"/>
    <w:autoRedefine/>
    <w:uiPriority w:val="39"/>
    <w:unhideWhenUsed/>
    <w:rsid w:val="007975F0"/>
    <w:pPr>
      <w:tabs>
        <w:tab w:val="right" w:leader="dot" w:pos="9344"/>
      </w:tabs>
      <w:ind w:left="1276" w:hanging="327"/>
      <w:jc w:val="left"/>
    </w:pPr>
    <w:rPr>
      <w:rFonts w:cs="Times New Roman"/>
      <w:noProof/>
      <w:szCs w:val="24"/>
    </w:rPr>
  </w:style>
  <w:style w:type="paragraph" w:styleId="31">
    <w:name w:val="toc 3"/>
    <w:basedOn w:val="a1"/>
    <w:next w:val="a1"/>
    <w:autoRedefine/>
    <w:uiPriority w:val="39"/>
    <w:unhideWhenUsed/>
    <w:rsid w:val="00AC4219"/>
    <w:pPr>
      <w:ind w:left="480"/>
      <w:jc w:val="left"/>
    </w:pPr>
    <w:rPr>
      <w:rFonts w:asciiTheme="minorHAnsi" w:hAnsiTheme="minorHAnsi"/>
      <w:sz w:val="22"/>
    </w:rPr>
  </w:style>
  <w:style w:type="paragraph" w:styleId="41">
    <w:name w:val="toc 4"/>
    <w:basedOn w:val="a1"/>
    <w:next w:val="a1"/>
    <w:autoRedefine/>
    <w:uiPriority w:val="39"/>
    <w:semiHidden/>
    <w:unhideWhenUsed/>
    <w:rsid w:val="00AC4219"/>
    <w:pPr>
      <w:ind w:left="720"/>
      <w:jc w:val="left"/>
    </w:pPr>
    <w:rPr>
      <w:rFonts w:asciiTheme="minorHAnsi" w:hAnsiTheme="minorHAnsi"/>
      <w:sz w:val="20"/>
      <w:szCs w:val="20"/>
    </w:rPr>
  </w:style>
  <w:style w:type="paragraph" w:styleId="51">
    <w:name w:val="toc 5"/>
    <w:basedOn w:val="a1"/>
    <w:next w:val="a1"/>
    <w:autoRedefine/>
    <w:uiPriority w:val="39"/>
    <w:semiHidden/>
    <w:unhideWhenUsed/>
    <w:rsid w:val="00AC4219"/>
    <w:pPr>
      <w:ind w:left="960"/>
      <w:jc w:val="left"/>
    </w:pPr>
    <w:rPr>
      <w:rFonts w:asciiTheme="minorHAnsi" w:hAnsiTheme="minorHAnsi"/>
      <w:sz w:val="20"/>
      <w:szCs w:val="20"/>
    </w:rPr>
  </w:style>
  <w:style w:type="paragraph" w:styleId="6">
    <w:name w:val="toc 6"/>
    <w:basedOn w:val="a1"/>
    <w:next w:val="a1"/>
    <w:autoRedefine/>
    <w:uiPriority w:val="39"/>
    <w:semiHidden/>
    <w:unhideWhenUsed/>
    <w:rsid w:val="00AC4219"/>
    <w:pPr>
      <w:ind w:left="1200"/>
      <w:jc w:val="left"/>
    </w:pPr>
    <w:rPr>
      <w:rFonts w:asciiTheme="minorHAnsi" w:hAnsiTheme="minorHAnsi"/>
      <w:sz w:val="20"/>
      <w:szCs w:val="20"/>
    </w:rPr>
  </w:style>
  <w:style w:type="paragraph" w:styleId="7">
    <w:name w:val="toc 7"/>
    <w:basedOn w:val="a1"/>
    <w:next w:val="a1"/>
    <w:autoRedefine/>
    <w:uiPriority w:val="39"/>
    <w:semiHidden/>
    <w:unhideWhenUsed/>
    <w:rsid w:val="00AC4219"/>
    <w:pPr>
      <w:ind w:left="1440"/>
      <w:jc w:val="left"/>
    </w:pPr>
    <w:rPr>
      <w:rFonts w:asciiTheme="minorHAnsi" w:hAnsiTheme="minorHAnsi"/>
      <w:sz w:val="20"/>
      <w:szCs w:val="20"/>
    </w:rPr>
  </w:style>
  <w:style w:type="paragraph" w:styleId="8">
    <w:name w:val="toc 8"/>
    <w:basedOn w:val="a1"/>
    <w:next w:val="a1"/>
    <w:autoRedefine/>
    <w:uiPriority w:val="39"/>
    <w:semiHidden/>
    <w:unhideWhenUsed/>
    <w:rsid w:val="00AC4219"/>
    <w:pPr>
      <w:ind w:left="1680"/>
      <w:jc w:val="left"/>
    </w:pPr>
    <w:rPr>
      <w:rFonts w:asciiTheme="minorHAnsi" w:hAnsiTheme="minorHAnsi"/>
      <w:sz w:val="20"/>
      <w:szCs w:val="20"/>
    </w:rPr>
  </w:style>
  <w:style w:type="paragraph" w:styleId="9">
    <w:name w:val="toc 9"/>
    <w:basedOn w:val="a1"/>
    <w:next w:val="a1"/>
    <w:autoRedefine/>
    <w:uiPriority w:val="39"/>
    <w:semiHidden/>
    <w:unhideWhenUsed/>
    <w:rsid w:val="00AC4219"/>
    <w:pPr>
      <w:ind w:left="1920"/>
      <w:jc w:val="left"/>
    </w:pPr>
    <w:rPr>
      <w:rFonts w:asciiTheme="minorHAnsi" w:hAnsiTheme="minorHAnsi"/>
      <w:sz w:val="20"/>
      <w:szCs w:val="20"/>
    </w:rPr>
  </w:style>
  <w:style w:type="table" w:customStyle="1" w:styleId="-331">
    <w:name w:val="Список-таблица 3 — акцент 31"/>
    <w:basedOn w:val="a3"/>
    <w:uiPriority w:val="48"/>
    <w:rsid w:val="00414A55"/>
    <w:pPr>
      <w:spacing w:after="0" w:line="240" w:lineRule="auto"/>
    </w:pPr>
    <w:rPr>
      <w:color w:val="000000" w:themeColor="text1"/>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cPr>
      <w:shd w:val="clear" w:color="auto" w:fill="FFFFFF" w:themeFill="background1"/>
    </w:tcPr>
    <w:tblStylePr w:type="firstRow">
      <w:rPr>
        <w:b/>
        <w:bCs/>
        <w:color w:val="FFFFFF" w:themeColor="background1"/>
      </w:rPr>
      <w:tblPr/>
      <w:tcPr>
        <w:shd w:val="clear" w:color="auto" w:fill="EEECE1" w:themeFill="background2"/>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paragraph" w:styleId="af4">
    <w:name w:val="Normal (Web)"/>
    <w:basedOn w:val="a1"/>
    <w:uiPriority w:val="99"/>
    <w:unhideWhenUsed/>
    <w:rsid w:val="00414A55"/>
    <w:pPr>
      <w:spacing w:before="100" w:beforeAutospacing="1" w:after="100" w:afterAutospacing="1" w:line="240" w:lineRule="auto"/>
      <w:ind w:firstLine="0"/>
      <w:jc w:val="left"/>
    </w:pPr>
    <w:rPr>
      <w:rFonts w:cs="Times New Roman"/>
      <w:szCs w:val="24"/>
      <w:lang w:eastAsia="ru-RU"/>
    </w:rPr>
  </w:style>
  <w:style w:type="paragraph" w:styleId="af5">
    <w:name w:val="List Paragraph"/>
    <w:basedOn w:val="a1"/>
    <w:uiPriority w:val="34"/>
    <w:qFormat/>
    <w:rsid w:val="00414A55"/>
    <w:pPr>
      <w:ind w:left="720"/>
      <w:contextualSpacing/>
    </w:pPr>
  </w:style>
  <w:style w:type="table" w:styleId="af6">
    <w:name w:val="Table Grid"/>
    <w:basedOn w:val="a3"/>
    <w:uiPriority w:val="59"/>
    <w:rsid w:val="007B1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Таблица простая 31"/>
    <w:basedOn w:val="a3"/>
    <w:uiPriority w:val="43"/>
    <w:rsid w:val="007B146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0">
    <w:name w:val="Таблица простая 21"/>
    <w:basedOn w:val="a3"/>
    <w:uiPriority w:val="42"/>
    <w:rsid w:val="007B14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
    <w:name w:val="Таблица-сетка 1 светлая1"/>
    <w:basedOn w:val="a3"/>
    <w:uiPriority w:val="46"/>
    <w:rsid w:val="007B146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3"/>
    <w:uiPriority w:val="46"/>
    <w:rsid w:val="007B146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21">
    <w:name w:val="Таблица-сетка 21"/>
    <w:basedOn w:val="a3"/>
    <w:uiPriority w:val="47"/>
    <w:rsid w:val="007B146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Таблица-сетка 2 — акцент 11"/>
    <w:basedOn w:val="a3"/>
    <w:uiPriority w:val="47"/>
    <w:rsid w:val="007B1464"/>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
    <w:name w:val="Таблица-сетка 2 — акцент 21"/>
    <w:basedOn w:val="a3"/>
    <w:uiPriority w:val="47"/>
    <w:rsid w:val="007B1464"/>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
    <w:name w:val="Таблица-сетка 2 — акцент 31"/>
    <w:basedOn w:val="a3"/>
    <w:uiPriority w:val="47"/>
    <w:rsid w:val="007B1464"/>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af7">
    <w:name w:val="Placeholder Text"/>
    <w:basedOn w:val="a2"/>
    <w:uiPriority w:val="99"/>
    <w:semiHidden/>
    <w:rsid w:val="00854317"/>
    <w:rPr>
      <w:color w:val="808080"/>
    </w:rPr>
  </w:style>
  <w:style w:type="paragraph" w:styleId="af8">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
    <w:basedOn w:val="a1"/>
    <w:link w:val="af9"/>
    <w:uiPriority w:val="99"/>
    <w:unhideWhenUsed/>
    <w:rsid w:val="002B0DE3"/>
    <w:pPr>
      <w:spacing w:line="240" w:lineRule="auto"/>
    </w:pPr>
    <w:rPr>
      <w:sz w:val="20"/>
      <w:szCs w:val="20"/>
    </w:rPr>
  </w:style>
  <w:style w:type="character" w:customStyle="1" w:styleId="af9">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
    <w:basedOn w:val="a2"/>
    <w:link w:val="af8"/>
    <w:uiPriority w:val="99"/>
    <w:rsid w:val="002B0DE3"/>
    <w:rPr>
      <w:rFonts w:ascii="Times New Roman" w:hAnsi="Times New Roman"/>
      <w:sz w:val="20"/>
      <w:szCs w:val="20"/>
    </w:rPr>
  </w:style>
  <w:style w:type="character" w:styleId="afa">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2"/>
    <w:uiPriority w:val="99"/>
    <w:unhideWhenUsed/>
    <w:rsid w:val="002B0DE3"/>
    <w:rPr>
      <w:vertAlign w:val="superscript"/>
    </w:rPr>
  </w:style>
  <w:style w:type="character" w:styleId="afb">
    <w:name w:val="FollowedHyperlink"/>
    <w:basedOn w:val="a2"/>
    <w:uiPriority w:val="99"/>
    <w:semiHidden/>
    <w:unhideWhenUsed/>
    <w:rsid w:val="00945FDB"/>
    <w:rPr>
      <w:color w:val="800080" w:themeColor="followedHyperlink"/>
      <w:u w:val="single"/>
    </w:rPr>
  </w:style>
  <w:style w:type="paragraph" w:styleId="afc">
    <w:name w:val="endnote text"/>
    <w:basedOn w:val="a1"/>
    <w:link w:val="afd"/>
    <w:uiPriority w:val="99"/>
    <w:semiHidden/>
    <w:unhideWhenUsed/>
    <w:rsid w:val="006C7BC0"/>
    <w:pPr>
      <w:spacing w:line="240" w:lineRule="auto"/>
    </w:pPr>
    <w:rPr>
      <w:sz w:val="20"/>
      <w:szCs w:val="20"/>
    </w:rPr>
  </w:style>
  <w:style w:type="character" w:customStyle="1" w:styleId="afd">
    <w:name w:val="Текст концевой сноски Знак"/>
    <w:basedOn w:val="a2"/>
    <w:link w:val="afc"/>
    <w:uiPriority w:val="99"/>
    <w:semiHidden/>
    <w:rsid w:val="006C7BC0"/>
    <w:rPr>
      <w:rFonts w:ascii="Times New Roman" w:hAnsi="Times New Roman"/>
      <w:sz w:val="20"/>
      <w:szCs w:val="20"/>
    </w:rPr>
  </w:style>
  <w:style w:type="character" w:styleId="afe">
    <w:name w:val="endnote reference"/>
    <w:basedOn w:val="a2"/>
    <w:uiPriority w:val="99"/>
    <w:semiHidden/>
    <w:unhideWhenUsed/>
    <w:rsid w:val="006C7BC0"/>
    <w:rPr>
      <w:vertAlign w:val="superscript"/>
    </w:rPr>
  </w:style>
  <w:style w:type="character" w:styleId="aff">
    <w:name w:val="Emphasis"/>
    <w:basedOn w:val="a2"/>
    <w:uiPriority w:val="20"/>
    <w:qFormat/>
    <w:rsid w:val="00CB0D6A"/>
    <w:rPr>
      <w:i/>
      <w:iCs/>
    </w:rPr>
  </w:style>
  <w:style w:type="character" w:customStyle="1" w:styleId="40">
    <w:name w:val="Заголовок 4 Знак"/>
    <w:basedOn w:val="a2"/>
    <w:link w:val="4"/>
    <w:uiPriority w:val="9"/>
    <w:rsid w:val="003C0C75"/>
    <w:rPr>
      <w:rFonts w:asciiTheme="majorHAnsi" w:eastAsiaTheme="majorEastAsia" w:hAnsiTheme="majorHAnsi" w:cstheme="majorBidi"/>
      <w:i/>
      <w:iCs/>
      <w:color w:val="365F91" w:themeColor="accent1" w:themeShade="BF"/>
      <w:sz w:val="24"/>
    </w:rPr>
  </w:style>
  <w:style w:type="character" w:styleId="aff0">
    <w:name w:val="Strong"/>
    <w:basedOn w:val="a2"/>
    <w:uiPriority w:val="22"/>
    <w:qFormat/>
    <w:rsid w:val="003339C8"/>
    <w:rPr>
      <w:b/>
      <w:bCs/>
    </w:rPr>
  </w:style>
  <w:style w:type="paragraph" w:customStyle="1" w:styleId="12">
    <w:name w:val="Обычный1"/>
    <w:rsid w:val="00E550AE"/>
    <w:pPr>
      <w:suppressAutoHyphens/>
      <w:snapToGrid w:val="0"/>
      <w:spacing w:before="100" w:after="100" w:line="240" w:lineRule="auto"/>
    </w:pPr>
    <w:rPr>
      <w:rFonts w:ascii="Times New Roman" w:eastAsia="Arial" w:hAnsi="Times New Roman" w:cs="Times New Roman"/>
      <w:sz w:val="24"/>
      <w:szCs w:val="20"/>
      <w:lang w:eastAsia="ar-SA"/>
    </w:rPr>
  </w:style>
  <w:style w:type="paragraph" w:styleId="22">
    <w:name w:val="List 2"/>
    <w:basedOn w:val="a1"/>
    <w:uiPriority w:val="99"/>
    <w:semiHidden/>
    <w:unhideWhenUsed/>
    <w:rsid w:val="00336A32"/>
    <w:pPr>
      <w:spacing w:before="100" w:beforeAutospacing="1" w:after="100" w:afterAutospacing="1" w:line="240" w:lineRule="auto"/>
      <w:ind w:firstLine="0"/>
      <w:jc w:val="left"/>
    </w:pPr>
    <w:rPr>
      <w:rFonts w:eastAsia="Times New Roman" w:cs="Times New Roman"/>
      <w:szCs w:val="24"/>
      <w:lang w:eastAsia="ru-RU"/>
    </w:rPr>
  </w:style>
  <w:style w:type="paragraph" w:styleId="23">
    <w:name w:val="Body Text Indent 2"/>
    <w:basedOn w:val="a1"/>
    <w:link w:val="24"/>
    <w:rsid w:val="007537E4"/>
    <w:pPr>
      <w:spacing w:after="120" w:line="480" w:lineRule="auto"/>
      <w:ind w:left="283" w:firstLine="0"/>
      <w:jc w:val="left"/>
    </w:pPr>
    <w:rPr>
      <w:rFonts w:eastAsia="Times New Roman" w:cs="Times New Roman"/>
      <w:sz w:val="20"/>
      <w:szCs w:val="20"/>
      <w:lang w:eastAsia="ru-RU"/>
    </w:rPr>
  </w:style>
  <w:style w:type="character" w:customStyle="1" w:styleId="24">
    <w:name w:val="Основной текст с отступом 2 Знак"/>
    <w:basedOn w:val="a2"/>
    <w:link w:val="23"/>
    <w:rsid w:val="007537E4"/>
    <w:rPr>
      <w:rFonts w:ascii="Times New Roman" w:eastAsia="Times New Roman" w:hAnsi="Times New Roman" w:cs="Times New Roman"/>
      <w:sz w:val="20"/>
      <w:szCs w:val="20"/>
      <w:lang w:eastAsia="ru-RU"/>
    </w:rPr>
  </w:style>
  <w:style w:type="paragraph" w:customStyle="1" w:styleId="headertext">
    <w:name w:val="headertext"/>
    <w:basedOn w:val="a1"/>
    <w:rsid w:val="00454A09"/>
    <w:pPr>
      <w:spacing w:before="100" w:beforeAutospacing="1" w:after="100" w:afterAutospacing="1" w:line="240" w:lineRule="auto"/>
      <w:ind w:firstLine="0"/>
      <w:jc w:val="left"/>
    </w:pPr>
    <w:rPr>
      <w:rFonts w:eastAsia="Times New Roman" w:cs="Times New Roman"/>
      <w:szCs w:val="24"/>
      <w:lang w:eastAsia="ru-RU"/>
    </w:rPr>
  </w:style>
  <w:style w:type="paragraph" w:styleId="HTML">
    <w:name w:val="HTML Preformatted"/>
    <w:basedOn w:val="a1"/>
    <w:link w:val="HTML0"/>
    <w:uiPriority w:val="99"/>
    <w:semiHidden/>
    <w:unhideWhenUsed/>
    <w:rsid w:val="0045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454A09"/>
    <w:rPr>
      <w:rFonts w:ascii="Courier New" w:eastAsia="Times New Roman" w:hAnsi="Courier New" w:cs="Courier New"/>
      <w:sz w:val="20"/>
      <w:szCs w:val="20"/>
      <w:lang w:eastAsia="ru-RU"/>
    </w:rPr>
  </w:style>
  <w:style w:type="character" w:customStyle="1" w:styleId="blk">
    <w:name w:val="blk"/>
    <w:basedOn w:val="a2"/>
    <w:rsid w:val="00B63020"/>
  </w:style>
  <w:style w:type="character" w:customStyle="1" w:styleId="nobr">
    <w:name w:val="nobr"/>
    <w:basedOn w:val="a2"/>
    <w:rsid w:val="00B63020"/>
  </w:style>
  <w:style w:type="paragraph" w:styleId="aff1">
    <w:name w:val="Body Text"/>
    <w:basedOn w:val="a1"/>
    <w:link w:val="aff2"/>
    <w:rsid w:val="009A5BAE"/>
    <w:pPr>
      <w:spacing w:after="120" w:line="276" w:lineRule="auto"/>
      <w:ind w:firstLine="0"/>
      <w:jc w:val="left"/>
    </w:pPr>
    <w:rPr>
      <w:rFonts w:ascii="Calibri" w:eastAsia="Times New Roman" w:hAnsi="Calibri" w:cs="Times New Roman"/>
      <w:sz w:val="22"/>
      <w:lang w:eastAsia="ru-RU"/>
    </w:rPr>
  </w:style>
  <w:style w:type="character" w:customStyle="1" w:styleId="aff2">
    <w:name w:val="Основной текст Знак"/>
    <w:basedOn w:val="a2"/>
    <w:link w:val="aff1"/>
    <w:rsid w:val="009A5BAE"/>
    <w:rPr>
      <w:rFonts w:ascii="Calibri" w:eastAsia="Times New Roman" w:hAnsi="Calibri" w:cs="Times New Roman"/>
      <w:lang w:eastAsia="ru-RU"/>
    </w:rPr>
  </w:style>
  <w:style w:type="paragraph" w:styleId="aff3">
    <w:name w:val="header"/>
    <w:basedOn w:val="a1"/>
    <w:link w:val="aff4"/>
    <w:uiPriority w:val="99"/>
    <w:unhideWhenUsed/>
    <w:rsid w:val="005F45FB"/>
    <w:pPr>
      <w:tabs>
        <w:tab w:val="center" w:pos="4677"/>
        <w:tab w:val="right" w:pos="9355"/>
      </w:tabs>
      <w:spacing w:line="240" w:lineRule="auto"/>
    </w:pPr>
  </w:style>
  <w:style w:type="character" w:customStyle="1" w:styleId="aff4">
    <w:name w:val="Верхний колонтитул Знак"/>
    <w:basedOn w:val="a2"/>
    <w:link w:val="aff3"/>
    <w:uiPriority w:val="99"/>
    <w:rsid w:val="005F45FB"/>
    <w:rPr>
      <w:rFonts w:ascii="Times New Roman" w:hAnsi="Times New Roman"/>
      <w:sz w:val="24"/>
    </w:rPr>
  </w:style>
  <w:style w:type="paragraph" w:customStyle="1" w:styleId="ConsPlusNormal">
    <w:name w:val="ConsPlusNormal"/>
    <w:rsid w:val="00C43871"/>
    <w:pPr>
      <w:widowControl w:val="0"/>
      <w:autoSpaceDE w:val="0"/>
      <w:autoSpaceDN w:val="0"/>
      <w:spacing w:after="0" w:line="240" w:lineRule="auto"/>
    </w:pPr>
    <w:rPr>
      <w:rFonts w:ascii="Calibri" w:eastAsia="Times New Roman" w:hAnsi="Calibri" w:cs="Calibri"/>
      <w:szCs w:val="20"/>
      <w:lang w:eastAsia="ru-RU"/>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AC1E89"/>
    <w:pPr>
      <w:spacing w:before="100" w:beforeAutospacing="1" w:after="100" w:afterAutospacing="1" w:line="240" w:lineRule="auto"/>
      <w:ind w:firstLine="0"/>
    </w:pPr>
    <w:rPr>
      <w:rFonts w:ascii="Tahoma" w:eastAsia="Times New Roman" w:hAnsi="Tahoma" w:cs="Times New Roman"/>
      <w:sz w:val="20"/>
      <w:szCs w:val="20"/>
      <w:lang w:val="en-US"/>
    </w:rPr>
  </w:style>
  <w:style w:type="character" w:customStyle="1" w:styleId="s10">
    <w:name w:val="s_10"/>
    <w:basedOn w:val="a2"/>
    <w:rsid w:val="007C3A31"/>
  </w:style>
  <w:style w:type="paragraph" w:customStyle="1" w:styleId="text-style-text">
    <w:name w:val="text-style-text"/>
    <w:basedOn w:val="a1"/>
    <w:rsid w:val="007C3A31"/>
    <w:pPr>
      <w:spacing w:before="100" w:beforeAutospacing="1" w:after="100" w:afterAutospacing="1" w:line="240" w:lineRule="auto"/>
      <w:ind w:firstLine="0"/>
      <w:jc w:val="left"/>
    </w:pPr>
    <w:rPr>
      <w:rFonts w:eastAsia="Times New Roman" w:cs="Times New Roman"/>
      <w:szCs w:val="24"/>
      <w:lang w:eastAsia="ru-RU"/>
    </w:rPr>
  </w:style>
  <w:style w:type="paragraph" w:styleId="aff5">
    <w:name w:val="Title"/>
    <w:basedOn w:val="a1"/>
    <w:next w:val="a1"/>
    <w:link w:val="aff6"/>
    <w:rsid w:val="007C3A31"/>
    <w:pPr>
      <w:keepNext/>
      <w:keepLines/>
      <w:spacing w:before="480" w:after="120" w:line="254" w:lineRule="auto"/>
      <w:ind w:firstLine="0"/>
      <w:jc w:val="left"/>
    </w:pPr>
    <w:rPr>
      <w:rFonts w:ascii="Calibri" w:eastAsia="Calibri" w:hAnsi="Calibri" w:cs="Calibri"/>
      <w:b/>
      <w:sz w:val="72"/>
      <w:szCs w:val="72"/>
      <w:lang w:eastAsia="ru-RU"/>
    </w:rPr>
  </w:style>
  <w:style w:type="character" w:customStyle="1" w:styleId="aff6">
    <w:name w:val="Заголовок Знак"/>
    <w:basedOn w:val="a2"/>
    <w:link w:val="aff5"/>
    <w:rsid w:val="007C3A31"/>
    <w:rPr>
      <w:rFonts w:ascii="Calibri" w:eastAsia="Calibri" w:hAnsi="Calibri" w:cs="Calibri"/>
      <w:b/>
      <w:sz w:val="72"/>
      <w:szCs w:val="72"/>
      <w:lang w:eastAsia="ru-RU"/>
    </w:rPr>
  </w:style>
  <w:style w:type="paragraph" w:customStyle="1" w:styleId="s1">
    <w:name w:val="s_1"/>
    <w:basedOn w:val="a1"/>
    <w:rsid w:val="007C3A31"/>
    <w:pPr>
      <w:spacing w:before="100" w:beforeAutospacing="1" w:after="100" w:afterAutospacing="1" w:line="240" w:lineRule="auto"/>
      <w:ind w:firstLine="0"/>
      <w:jc w:val="left"/>
    </w:pPr>
    <w:rPr>
      <w:rFonts w:eastAsia="Times New Roman" w:cs="Times New Roman"/>
      <w:szCs w:val="24"/>
      <w:lang w:eastAsia="ru-RU"/>
    </w:rPr>
  </w:style>
  <w:style w:type="paragraph" w:customStyle="1" w:styleId="aff7">
    <w:name w:val="Тема"/>
    <w:basedOn w:val="a1"/>
    <w:uiPriority w:val="99"/>
    <w:rsid w:val="003E1306"/>
    <w:pPr>
      <w:widowControl w:val="0"/>
      <w:spacing w:line="240" w:lineRule="auto"/>
      <w:ind w:firstLine="0"/>
      <w:jc w:val="left"/>
    </w:pPr>
    <w:rPr>
      <w:rFonts w:eastAsia="Times New Roman" w:cs="Times New Roman"/>
      <w:sz w:val="22"/>
      <w:lang w:eastAsia="ru-RU"/>
    </w:rPr>
  </w:style>
  <w:style w:type="character" w:styleId="aff8">
    <w:name w:val="annotation reference"/>
    <w:basedOn w:val="a2"/>
    <w:uiPriority w:val="99"/>
    <w:semiHidden/>
    <w:unhideWhenUsed/>
    <w:rsid w:val="00CC0933"/>
    <w:rPr>
      <w:sz w:val="16"/>
      <w:szCs w:val="16"/>
    </w:rPr>
  </w:style>
  <w:style w:type="paragraph" w:styleId="aff9">
    <w:name w:val="annotation text"/>
    <w:basedOn w:val="a1"/>
    <w:link w:val="affa"/>
    <w:uiPriority w:val="99"/>
    <w:semiHidden/>
    <w:unhideWhenUsed/>
    <w:rsid w:val="00CC0933"/>
    <w:pPr>
      <w:spacing w:line="240" w:lineRule="auto"/>
    </w:pPr>
    <w:rPr>
      <w:sz w:val="20"/>
      <w:szCs w:val="20"/>
    </w:rPr>
  </w:style>
  <w:style w:type="character" w:customStyle="1" w:styleId="affa">
    <w:name w:val="Текст примечания Знак"/>
    <w:basedOn w:val="a2"/>
    <w:link w:val="aff9"/>
    <w:uiPriority w:val="99"/>
    <w:semiHidden/>
    <w:rsid w:val="00CC0933"/>
    <w:rPr>
      <w:rFonts w:ascii="Times New Roman" w:hAnsi="Times New Roman"/>
      <w:sz w:val="20"/>
      <w:szCs w:val="20"/>
    </w:rPr>
  </w:style>
  <w:style w:type="character" w:customStyle="1" w:styleId="v0">
    <w:name w:val="v0"/>
    <w:basedOn w:val="a2"/>
    <w:rsid w:val="005F31B6"/>
  </w:style>
  <w:style w:type="character" w:customStyle="1" w:styleId="ls6">
    <w:name w:val="ls6"/>
    <w:basedOn w:val="a2"/>
    <w:rsid w:val="005F31B6"/>
  </w:style>
  <w:style w:type="character" w:customStyle="1" w:styleId="ffd">
    <w:name w:val="ffd"/>
    <w:basedOn w:val="a2"/>
    <w:rsid w:val="005F31B6"/>
  </w:style>
  <w:style w:type="paragraph" w:customStyle="1" w:styleId="pboth">
    <w:name w:val="pboth"/>
    <w:basedOn w:val="a1"/>
    <w:rsid w:val="001178C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p9">
    <w:name w:val="p9"/>
    <w:basedOn w:val="a1"/>
    <w:rsid w:val="004F63A9"/>
    <w:pPr>
      <w:spacing w:before="100" w:beforeAutospacing="1" w:after="100" w:afterAutospacing="1" w:line="240" w:lineRule="auto"/>
      <w:ind w:firstLine="0"/>
      <w:jc w:val="left"/>
    </w:pPr>
    <w:rPr>
      <w:rFonts w:eastAsia="Times New Roman" w:cs="Times New Roman"/>
      <w:szCs w:val="24"/>
      <w:lang w:eastAsia="ru-RU"/>
    </w:rPr>
  </w:style>
  <w:style w:type="paragraph" w:customStyle="1" w:styleId="p11">
    <w:name w:val="p11"/>
    <w:basedOn w:val="a1"/>
    <w:rsid w:val="004F63A9"/>
    <w:pPr>
      <w:spacing w:before="100" w:beforeAutospacing="1" w:after="100" w:afterAutospacing="1" w:line="240" w:lineRule="auto"/>
      <w:ind w:firstLine="0"/>
      <w:jc w:val="left"/>
    </w:pPr>
    <w:rPr>
      <w:rFonts w:eastAsia="Times New Roman" w:cs="Times New Roman"/>
      <w:szCs w:val="24"/>
      <w:lang w:eastAsia="ru-RU"/>
    </w:rPr>
  </w:style>
  <w:style w:type="character" w:customStyle="1" w:styleId="50">
    <w:name w:val="Заголовок 5 Знак"/>
    <w:basedOn w:val="a2"/>
    <w:link w:val="5"/>
    <w:uiPriority w:val="9"/>
    <w:semiHidden/>
    <w:rsid w:val="003A2BAA"/>
    <w:rPr>
      <w:rFonts w:asciiTheme="majorHAnsi" w:eastAsiaTheme="majorEastAsia" w:hAnsiTheme="majorHAnsi" w:cstheme="majorBidi"/>
      <w:color w:val="365F91" w:themeColor="accent1" w:themeShade="BF"/>
    </w:rPr>
  </w:style>
  <w:style w:type="paragraph" w:customStyle="1" w:styleId="formattext">
    <w:name w:val="formattext"/>
    <w:basedOn w:val="a1"/>
    <w:rsid w:val="003A2BAA"/>
    <w:pPr>
      <w:spacing w:before="100" w:beforeAutospacing="1" w:after="100" w:afterAutospacing="1" w:line="240" w:lineRule="auto"/>
      <w:ind w:firstLine="0"/>
      <w:jc w:val="left"/>
    </w:pPr>
    <w:rPr>
      <w:rFonts w:eastAsiaTheme="minorEastAsia" w:cs="Times New Roman"/>
      <w:szCs w:val="24"/>
      <w:lang w:eastAsia="ru-RU"/>
    </w:rPr>
  </w:style>
  <w:style w:type="character" w:customStyle="1" w:styleId="highlight">
    <w:name w:val="highlight"/>
    <w:basedOn w:val="a2"/>
    <w:rsid w:val="003A2BAA"/>
  </w:style>
  <w:style w:type="paragraph" w:customStyle="1" w:styleId="b-articletext">
    <w:name w:val="b-article__text"/>
    <w:basedOn w:val="a1"/>
    <w:rsid w:val="003A2BAA"/>
    <w:pPr>
      <w:spacing w:before="100" w:beforeAutospacing="1" w:after="100" w:afterAutospacing="1" w:line="240" w:lineRule="auto"/>
      <w:ind w:firstLine="0"/>
      <w:jc w:val="left"/>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878">
      <w:bodyDiv w:val="1"/>
      <w:marLeft w:val="0"/>
      <w:marRight w:val="0"/>
      <w:marTop w:val="0"/>
      <w:marBottom w:val="0"/>
      <w:divBdr>
        <w:top w:val="none" w:sz="0" w:space="0" w:color="auto"/>
        <w:left w:val="none" w:sz="0" w:space="0" w:color="auto"/>
        <w:bottom w:val="none" w:sz="0" w:space="0" w:color="auto"/>
        <w:right w:val="none" w:sz="0" w:space="0" w:color="auto"/>
      </w:divBdr>
    </w:div>
    <w:div w:id="8920265">
      <w:bodyDiv w:val="1"/>
      <w:marLeft w:val="0"/>
      <w:marRight w:val="0"/>
      <w:marTop w:val="0"/>
      <w:marBottom w:val="0"/>
      <w:divBdr>
        <w:top w:val="none" w:sz="0" w:space="0" w:color="auto"/>
        <w:left w:val="none" w:sz="0" w:space="0" w:color="auto"/>
        <w:bottom w:val="none" w:sz="0" w:space="0" w:color="auto"/>
        <w:right w:val="none" w:sz="0" w:space="0" w:color="auto"/>
      </w:divBdr>
    </w:div>
    <w:div w:id="117652138">
      <w:bodyDiv w:val="1"/>
      <w:marLeft w:val="0"/>
      <w:marRight w:val="0"/>
      <w:marTop w:val="0"/>
      <w:marBottom w:val="0"/>
      <w:divBdr>
        <w:top w:val="none" w:sz="0" w:space="0" w:color="auto"/>
        <w:left w:val="none" w:sz="0" w:space="0" w:color="auto"/>
        <w:bottom w:val="none" w:sz="0" w:space="0" w:color="auto"/>
        <w:right w:val="none" w:sz="0" w:space="0" w:color="auto"/>
      </w:divBdr>
    </w:div>
    <w:div w:id="118308453">
      <w:bodyDiv w:val="1"/>
      <w:marLeft w:val="0"/>
      <w:marRight w:val="0"/>
      <w:marTop w:val="0"/>
      <w:marBottom w:val="0"/>
      <w:divBdr>
        <w:top w:val="none" w:sz="0" w:space="0" w:color="auto"/>
        <w:left w:val="none" w:sz="0" w:space="0" w:color="auto"/>
        <w:bottom w:val="none" w:sz="0" w:space="0" w:color="auto"/>
        <w:right w:val="none" w:sz="0" w:space="0" w:color="auto"/>
      </w:divBdr>
    </w:div>
    <w:div w:id="127020661">
      <w:bodyDiv w:val="1"/>
      <w:marLeft w:val="0"/>
      <w:marRight w:val="0"/>
      <w:marTop w:val="0"/>
      <w:marBottom w:val="0"/>
      <w:divBdr>
        <w:top w:val="none" w:sz="0" w:space="0" w:color="auto"/>
        <w:left w:val="none" w:sz="0" w:space="0" w:color="auto"/>
        <w:bottom w:val="none" w:sz="0" w:space="0" w:color="auto"/>
        <w:right w:val="none" w:sz="0" w:space="0" w:color="auto"/>
      </w:divBdr>
    </w:div>
    <w:div w:id="140123361">
      <w:bodyDiv w:val="1"/>
      <w:marLeft w:val="0"/>
      <w:marRight w:val="0"/>
      <w:marTop w:val="0"/>
      <w:marBottom w:val="0"/>
      <w:divBdr>
        <w:top w:val="none" w:sz="0" w:space="0" w:color="auto"/>
        <w:left w:val="none" w:sz="0" w:space="0" w:color="auto"/>
        <w:bottom w:val="none" w:sz="0" w:space="0" w:color="auto"/>
        <w:right w:val="none" w:sz="0" w:space="0" w:color="auto"/>
      </w:divBdr>
    </w:div>
    <w:div w:id="230123210">
      <w:bodyDiv w:val="1"/>
      <w:marLeft w:val="0"/>
      <w:marRight w:val="0"/>
      <w:marTop w:val="0"/>
      <w:marBottom w:val="0"/>
      <w:divBdr>
        <w:top w:val="none" w:sz="0" w:space="0" w:color="auto"/>
        <w:left w:val="none" w:sz="0" w:space="0" w:color="auto"/>
        <w:bottom w:val="none" w:sz="0" w:space="0" w:color="auto"/>
        <w:right w:val="none" w:sz="0" w:space="0" w:color="auto"/>
      </w:divBdr>
    </w:div>
    <w:div w:id="235824154">
      <w:bodyDiv w:val="1"/>
      <w:marLeft w:val="0"/>
      <w:marRight w:val="0"/>
      <w:marTop w:val="0"/>
      <w:marBottom w:val="0"/>
      <w:divBdr>
        <w:top w:val="none" w:sz="0" w:space="0" w:color="auto"/>
        <w:left w:val="none" w:sz="0" w:space="0" w:color="auto"/>
        <w:bottom w:val="none" w:sz="0" w:space="0" w:color="auto"/>
        <w:right w:val="none" w:sz="0" w:space="0" w:color="auto"/>
      </w:divBdr>
    </w:div>
    <w:div w:id="244464274">
      <w:bodyDiv w:val="1"/>
      <w:marLeft w:val="0"/>
      <w:marRight w:val="0"/>
      <w:marTop w:val="0"/>
      <w:marBottom w:val="0"/>
      <w:divBdr>
        <w:top w:val="none" w:sz="0" w:space="0" w:color="auto"/>
        <w:left w:val="none" w:sz="0" w:space="0" w:color="auto"/>
        <w:bottom w:val="none" w:sz="0" w:space="0" w:color="auto"/>
        <w:right w:val="none" w:sz="0" w:space="0" w:color="auto"/>
      </w:divBdr>
    </w:div>
    <w:div w:id="254175764">
      <w:bodyDiv w:val="1"/>
      <w:marLeft w:val="0"/>
      <w:marRight w:val="0"/>
      <w:marTop w:val="0"/>
      <w:marBottom w:val="0"/>
      <w:divBdr>
        <w:top w:val="none" w:sz="0" w:space="0" w:color="auto"/>
        <w:left w:val="none" w:sz="0" w:space="0" w:color="auto"/>
        <w:bottom w:val="none" w:sz="0" w:space="0" w:color="auto"/>
        <w:right w:val="none" w:sz="0" w:space="0" w:color="auto"/>
      </w:divBdr>
    </w:div>
    <w:div w:id="266550608">
      <w:bodyDiv w:val="1"/>
      <w:marLeft w:val="0"/>
      <w:marRight w:val="0"/>
      <w:marTop w:val="0"/>
      <w:marBottom w:val="0"/>
      <w:divBdr>
        <w:top w:val="none" w:sz="0" w:space="0" w:color="auto"/>
        <w:left w:val="none" w:sz="0" w:space="0" w:color="auto"/>
        <w:bottom w:val="none" w:sz="0" w:space="0" w:color="auto"/>
        <w:right w:val="none" w:sz="0" w:space="0" w:color="auto"/>
      </w:divBdr>
    </w:div>
    <w:div w:id="285745276">
      <w:bodyDiv w:val="1"/>
      <w:marLeft w:val="0"/>
      <w:marRight w:val="0"/>
      <w:marTop w:val="0"/>
      <w:marBottom w:val="0"/>
      <w:divBdr>
        <w:top w:val="none" w:sz="0" w:space="0" w:color="auto"/>
        <w:left w:val="none" w:sz="0" w:space="0" w:color="auto"/>
        <w:bottom w:val="none" w:sz="0" w:space="0" w:color="auto"/>
        <w:right w:val="none" w:sz="0" w:space="0" w:color="auto"/>
      </w:divBdr>
    </w:div>
    <w:div w:id="310448625">
      <w:bodyDiv w:val="1"/>
      <w:marLeft w:val="0"/>
      <w:marRight w:val="0"/>
      <w:marTop w:val="0"/>
      <w:marBottom w:val="0"/>
      <w:divBdr>
        <w:top w:val="none" w:sz="0" w:space="0" w:color="auto"/>
        <w:left w:val="none" w:sz="0" w:space="0" w:color="auto"/>
        <w:bottom w:val="none" w:sz="0" w:space="0" w:color="auto"/>
        <w:right w:val="none" w:sz="0" w:space="0" w:color="auto"/>
      </w:divBdr>
    </w:div>
    <w:div w:id="353505887">
      <w:bodyDiv w:val="1"/>
      <w:marLeft w:val="0"/>
      <w:marRight w:val="0"/>
      <w:marTop w:val="0"/>
      <w:marBottom w:val="0"/>
      <w:divBdr>
        <w:top w:val="none" w:sz="0" w:space="0" w:color="auto"/>
        <w:left w:val="none" w:sz="0" w:space="0" w:color="auto"/>
        <w:bottom w:val="none" w:sz="0" w:space="0" w:color="auto"/>
        <w:right w:val="none" w:sz="0" w:space="0" w:color="auto"/>
      </w:divBdr>
    </w:div>
    <w:div w:id="372196271">
      <w:bodyDiv w:val="1"/>
      <w:marLeft w:val="0"/>
      <w:marRight w:val="0"/>
      <w:marTop w:val="0"/>
      <w:marBottom w:val="0"/>
      <w:divBdr>
        <w:top w:val="none" w:sz="0" w:space="0" w:color="auto"/>
        <w:left w:val="none" w:sz="0" w:space="0" w:color="auto"/>
        <w:bottom w:val="none" w:sz="0" w:space="0" w:color="auto"/>
        <w:right w:val="none" w:sz="0" w:space="0" w:color="auto"/>
      </w:divBdr>
    </w:div>
    <w:div w:id="394285250">
      <w:bodyDiv w:val="1"/>
      <w:marLeft w:val="0"/>
      <w:marRight w:val="0"/>
      <w:marTop w:val="0"/>
      <w:marBottom w:val="0"/>
      <w:divBdr>
        <w:top w:val="none" w:sz="0" w:space="0" w:color="auto"/>
        <w:left w:val="none" w:sz="0" w:space="0" w:color="auto"/>
        <w:bottom w:val="none" w:sz="0" w:space="0" w:color="auto"/>
        <w:right w:val="none" w:sz="0" w:space="0" w:color="auto"/>
      </w:divBdr>
    </w:div>
    <w:div w:id="480198546">
      <w:bodyDiv w:val="1"/>
      <w:marLeft w:val="0"/>
      <w:marRight w:val="0"/>
      <w:marTop w:val="0"/>
      <w:marBottom w:val="0"/>
      <w:divBdr>
        <w:top w:val="none" w:sz="0" w:space="0" w:color="auto"/>
        <w:left w:val="none" w:sz="0" w:space="0" w:color="auto"/>
        <w:bottom w:val="none" w:sz="0" w:space="0" w:color="auto"/>
        <w:right w:val="none" w:sz="0" w:space="0" w:color="auto"/>
      </w:divBdr>
    </w:div>
    <w:div w:id="481771370">
      <w:bodyDiv w:val="1"/>
      <w:marLeft w:val="0"/>
      <w:marRight w:val="0"/>
      <w:marTop w:val="0"/>
      <w:marBottom w:val="0"/>
      <w:divBdr>
        <w:top w:val="none" w:sz="0" w:space="0" w:color="auto"/>
        <w:left w:val="none" w:sz="0" w:space="0" w:color="auto"/>
        <w:bottom w:val="none" w:sz="0" w:space="0" w:color="auto"/>
        <w:right w:val="none" w:sz="0" w:space="0" w:color="auto"/>
      </w:divBdr>
    </w:div>
    <w:div w:id="494566080">
      <w:bodyDiv w:val="1"/>
      <w:marLeft w:val="0"/>
      <w:marRight w:val="0"/>
      <w:marTop w:val="0"/>
      <w:marBottom w:val="0"/>
      <w:divBdr>
        <w:top w:val="none" w:sz="0" w:space="0" w:color="auto"/>
        <w:left w:val="none" w:sz="0" w:space="0" w:color="auto"/>
        <w:bottom w:val="none" w:sz="0" w:space="0" w:color="auto"/>
        <w:right w:val="none" w:sz="0" w:space="0" w:color="auto"/>
      </w:divBdr>
    </w:div>
    <w:div w:id="497042360">
      <w:bodyDiv w:val="1"/>
      <w:marLeft w:val="0"/>
      <w:marRight w:val="0"/>
      <w:marTop w:val="0"/>
      <w:marBottom w:val="0"/>
      <w:divBdr>
        <w:top w:val="none" w:sz="0" w:space="0" w:color="auto"/>
        <w:left w:val="none" w:sz="0" w:space="0" w:color="auto"/>
        <w:bottom w:val="none" w:sz="0" w:space="0" w:color="auto"/>
        <w:right w:val="none" w:sz="0" w:space="0" w:color="auto"/>
      </w:divBdr>
    </w:div>
    <w:div w:id="523834489">
      <w:bodyDiv w:val="1"/>
      <w:marLeft w:val="0"/>
      <w:marRight w:val="0"/>
      <w:marTop w:val="0"/>
      <w:marBottom w:val="0"/>
      <w:divBdr>
        <w:top w:val="none" w:sz="0" w:space="0" w:color="auto"/>
        <w:left w:val="none" w:sz="0" w:space="0" w:color="auto"/>
        <w:bottom w:val="none" w:sz="0" w:space="0" w:color="auto"/>
        <w:right w:val="none" w:sz="0" w:space="0" w:color="auto"/>
      </w:divBdr>
    </w:div>
    <w:div w:id="545800151">
      <w:bodyDiv w:val="1"/>
      <w:marLeft w:val="0"/>
      <w:marRight w:val="0"/>
      <w:marTop w:val="0"/>
      <w:marBottom w:val="0"/>
      <w:divBdr>
        <w:top w:val="none" w:sz="0" w:space="0" w:color="auto"/>
        <w:left w:val="none" w:sz="0" w:space="0" w:color="auto"/>
        <w:bottom w:val="none" w:sz="0" w:space="0" w:color="auto"/>
        <w:right w:val="none" w:sz="0" w:space="0" w:color="auto"/>
      </w:divBdr>
    </w:div>
    <w:div w:id="558975487">
      <w:bodyDiv w:val="1"/>
      <w:marLeft w:val="0"/>
      <w:marRight w:val="0"/>
      <w:marTop w:val="0"/>
      <w:marBottom w:val="0"/>
      <w:divBdr>
        <w:top w:val="none" w:sz="0" w:space="0" w:color="auto"/>
        <w:left w:val="none" w:sz="0" w:space="0" w:color="auto"/>
        <w:bottom w:val="none" w:sz="0" w:space="0" w:color="auto"/>
        <w:right w:val="none" w:sz="0" w:space="0" w:color="auto"/>
      </w:divBdr>
    </w:div>
    <w:div w:id="560561516">
      <w:bodyDiv w:val="1"/>
      <w:marLeft w:val="0"/>
      <w:marRight w:val="0"/>
      <w:marTop w:val="0"/>
      <w:marBottom w:val="0"/>
      <w:divBdr>
        <w:top w:val="none" w:sz="0" w:space="0" w:color="auto"/>
        <w:left w:val="none" w:sz="0" w:space="0" w:color="auto"/>
        <w:bottom w:val="none" w:sz="0" w:space="0" w:color="auto"/>
        <w:right w:val="none" w:sz="0" w:space="0" w:color="auto"/>
      </w:divBdr>
    </w:div>
    <w:div w:id="572156767">
      <w:bodyDiv w:val="1"/>
      <w:marLeft w:val="0"/>
      <w:marRight w:val="0"/>
      <w:marTop w:val="0"/>
      <w:marBottom w:val="0"/>
      <w:divBdr>
        <w:top w:val="none" w:sz="0" w:space="0" w:color="auto"/>
        <w:left w:val="none" w:sz="0" w:space="0" w:color="auto"/>
        <w:bottom w:val="none" w:sz="0" w:space="0" w:color="auto"/>
        <w:right w:val="none" w:sz="0" w:space="0" w:color="auto"/>
      </w:divBdr>
    </w:div>
    <w:div w:id="581380960">
      <w:bodyDiv w:val="1"/>
      <w:marLeft w:val="0"/>
      <w:marRight w:val="0"/>
      <w:marTop w:val="0"/>
      <w:marBottom w:val="0"/>
      <w:divBdr>
        <w:top w:val="none" w:sz="0" w:space="0" w:color="auto"/>
        <w:left w:val="none" w:sz="0" w:space="0" w:color="auto"/>
        <w:bottom w:val="none" w:sz="0" w:space="0" w:color="auto"/>
        <w:right w:val="none" w:sz="0" w:space="0" w:color="auto"/>
      </w:divBdr>
    </w:div>
    <w:div w:id="600332255">
      <w:bodyDiv w:val="1"/>
      <w:marLeft w:val="0"/>
      <w:marRight w:val="0"/>
      <w:marTop w:val="0"/>
      <w:marBottom w:val="0"/>
      <w:divBdr>
        <w:top w:val="none" w:sz="0" w:space="0" w:color="auto"/>
        <w:left w:val="none" w:sz="0" w:space="0" w:color="auto"/>
        <w:bottom w:val="none" w:sz="0" w:space="0" w:color="auto"/>
        <w:right w:val="none" w:sz="0" w:space="0" w:color="auto"/>
      </w:divBdr>
    </w:div>
    <w:div w:id="648052663">
      <w:bodyDiv w:val="1"/>
      <w:marLeft w:val="0"/>
      <w:marRight w:val="0"/>
      <w:marTop w:val="0"/>
      <w:marBottom w:val="0"/>
      <w:divBdr>
        <w:top w:val="none" w:sz="0" w:space="0" w:color="auto"/>
        <w:left w:val="none" w:sz="0" w:space="0" w:color="auto"/>
        <w:bottom w:val="none" w:sz="0" w:space="0" w:color="auto"/>
        <w:right w:val="none" w:sz="0" w:space="0" w:color="auto"/>
      </w:divBdr>
    </w:div>
    <w:div w:id="656109858">
      <w:bodyDiv w:val="1"/>
      <w:marLeft w:val="0"/>
      <w:marRight w:val="0"/>
      <w:marTop w:val="0"/>
      <w:marBottom w:val="0"/>
      <w:divBdr>
        <w:top w:val="none" w:sz="0" w:space="0" w:color="auto"/>
        <w:left w:val="none" w:sz="0" w:space="0" w:color="auto"/>
        <w:bottom w:val="none" w:sz="0" w:space="0" w:color="auto"/>
        <w:right w:val="none" w:sz="0" w:space="0" w:color="auto"/>
      </w:divBdr>
      <w:divsChild>
        <w:div w:id="474759600">
          <w:marLeft w:val="0"/>
          <w:marRight w:val="0"/>
          <w:marTop w:val="0"/>
          <w:marBottom w:val="0"/>
          <w:divBdr>
            <w:top w:val="none" w:sz="0" w:space="0" w:color="auto"/>
            <w:left w:val="none" w:sz="0" w:space="0" w:color="auto"/>
            <w:bottom w:val="none" w:sz="0" w:space="0" w:color="auto"/>
            <w:right w:val="none" w:sz="0" w:space="0" w:color="auto"/>
          </w:divBdr>
        </w:div>
      </w:divsChild>
    </w:div>
    <w:div w:id="708727826">
      <w:bodyDiv w:val="1"/>
      <w:marLeft w:val="0"/>
      <w:marRight w:val="0"/>
      <w:marTop w:val="0"/>
      <w:marBottom w:val="0"/>
      <w:divBdr>
        <w:top w:val="none" w:sz="0" w:space="0" w:color="auto"/>
        <w:left w:val="none" w:sz="0" w:space="0" w:color="auto"/>
        <w:bottom w:val="none" w:sz="0" w:space="0" w:color="auto"/>
        <w:right w:val="none" w:sz="0" w:space="0" w:color="auto"/>
      </w:divBdr>
    </w:div>
    <w:div w:id="715547988">
      <w:bodyDiv w:val="1"/>
      <w:marLeft w:val="0"/>
      <w:marRight w:val="0"/>
      <w:marTop w:val="0"/>
      <w:marBottom w:val="0"/>
      <w:divBdr>
        <w:top w:val="none" w:sz="0" w:space="0" w:color="auto"/>
        <w:left w:val="none" w:sz="0" w:space="0" w:color="auto"/>
        <w:bottom w:val="none" w:sz="0" w:space="0" w:color="auto"/>
        <w:right w:val="none" w:sz="0" w:space="0" w:color="auto"/>
      </w:divBdr>
    </w:div>
    <w:div w:id="795179804">
      <w:bodyDiv w:val="1"/>
      <w:marLeft w:val="0"/>
      <w:marRight w:val="0"/>
      <w:marTop w:val="0"/>
      <w:marBottom w:val="0"/>
      <w:divBdr>
        <w:top w:val="none" w:sz="0" w:space="0" w:color="auto"/>
        <w:left w:val="none" w:sz="0" w:space="0" w:color="auto"/>
        <w:bottom w:val="none" w:sz="0" w:space="0" w:color="auto"/>
        <w:right w:val="none" w:sz="0" w:space="0" w:color="auto"/>
      </w:divBdr>
    </w:div>
    <w:div w:id="796220591">
      <w:bodyDiv w:val="1"/>
      <w:marLeft w:val="0"/>
      <w:marRight w:val="0"/>
      <w:marTop w:val="0"/>
      <w:marBottom w:val="0"/>
      <w:divBdr>
        <w:top w:val="none" w:sz="0" w:space="0" w:color="auto"/>
        <w:left w:val="none" w:sz="0" w:space="0" w:color="auto"/>
        <w:bottom w:val="none" w:sz="0" w:space="0" w:color="auto"/>
        <w:right w:val="none" w:sz="0" w:space="0" w:color="auto"/>
      </w:divBdr>
    </w:div>
    <w:div w:id="805467022">
      <w:bodyDiv w:val="1"/>
      <w:marLeft w:val="0"/>
      <w:marRight w:val="0"/>
      <w:marTop w:val="0"/>
      <w:marBottom w:val="0"/>
      <w:divBdr>
        <w:top w:val="none" w:sz="0" w:space="0" w:color="auto"/>
        <w:left w:val="none" w:sz="0" w:space="0" w:color="auto"/>
        <w:bottom w:val="none" w:sz="0" w:space="0" w:color="auto"/>
        <w:right w:val="none" w:sz="0" w:space="0" w:color="auto"/>
      </w:divBdr>
    </w:div>
    <w:div w:id="810294867">
      <w:bodyDiv w:val="1"/>
      <w:marLeft w:val="0"/>
      <w:marRight w:val="0"/>
      <w:marTop w:val="0"/>
      <w:marBottom w:val="0"/>
      <w:divBdr>
        <w:top w:val="none" w:sz="0" w:space="0" w:color="auto"/>
        <w:left w:val="none" w:sz="0" w:space="0" w:color="auto"/>
        <w:bottom w:val="none" w:sz="0" w:space="0" w:color="auto"/>
        <w:right w:val="none" w:sz="0" w:space="0" w:color="auto"/>
      </w:divBdr>
    </w:div>
    <w:div w:id="820728620">
      <w:bodyDiv w:val="1"/>
      <w:marLeft w:val="0"/>
      <w:marRight w:val="0"/>
      <w:marTop w:val="0"/>
      <w:marBottom w:val="0"/>
      <w:divBdr>
        <w:top w:val="none" w:sz="0" w:space="0" w:color="auto"/>
        <w:left w:val="none" w:sz="0" w:space="0" w:color="auto"/>
        <w:bottom w:val="none" w:sz="0" w:space="0" w:color="auto"/>
        <w:right w:val="none" w:sz="0" w:space="0" w:color="auto"/>
      </w:divBdr>
    </w:div>
    <w:div w:id="846559965">
      <w:bodyDiv w:val="1"/>
      <w:marLeft w:val="0"/>
      <w:marRight w:val="0"/>
      <w:marTop w:val="0"/>
      <w:marBottom w:val="0"/>
      <w:divBdr>
        <w:top w:val="none" w:sz="0" w:space="0" w:color="auto"/>
        <w:left w:val="none" w:sz="0" w:space="0" w:color="auto"/>
        <w:bottom w:val="none" w:sz="0" w:space="0" w:color="auto"/>
        <w:right w:val="none" w:sz="0" w:space="0" w:color="auto"/>
      </w:divBdr>
    </w:div>
    <w:div w:id="896168757">
      <w:bodyDiv w:val="1"/>
      <w:marLeft w:val="0"/>
      <w:marRight w:val="0"/>
      <w:marTop w:val="0"/>
      <w:marBottom w:val="0"/>
      <w:divBdr>
        <w:top w:val="none" w:sz="0" w:space="0" w:color="auto"/>
        <w:left w:val="none" w:sz="0" w:space="0" w:color="auto"/>
        <w:bottom w:val="none" w:sz="0" w:space="0" w:color="auto"/>
        <w:right w:val="none" w:sz="0" w:space="0" w:color="auto"/>
      </w:divBdr>
    </w:div>
    <w:div w:id="896286513">
      <w:bodyDiv w:val="1"/>
      <w:marLeft w:val="0"/>
      <w:marRight w:val="0"/>
      <w:marTop w:val="0"/>
      <w:marBottom w:val="0"/>
      <w:divBdr>
        <w:top w:val="none" w:sz="0" w:space="0" w:color="auto"/>
        <w:left w:val="none" w:sz="0" w:space="0" w:color="auto"/>
        <w:bottom w:val="none" w:sz="0" w:space="0" w:color="auto"/>
        <w:right w:val="none" w:sz="0" w:space="0" w:color="auto"/>
      </w:divBdr>
    </w:div>
    <w:div w:id="896625229">
      <w:bodyDiv w:val="1"/>
      <w:marLeft w:val="0"/>
      <w:marRight w:val="0"/>
      <w:marTop w:val="0"/>
      <w:marBottom w:val="0"/>
      <w:divBdr>
        <w:top w:val="none" w:sz="0" w:space="0" w:color="auto"/>
        <w:left w:val="none" w:sz="0" w:space="0" w:color="auto"/>
        <w:bottom w:val="none" w:sz="0" w:space="0" w:color="auto"/>
        <w:right w:val="none" w:sz="0" w:space="0" w:color="auto"/>
      </w:divBdr>
    </w:div>
    <w:div w:id="918710199">
      <w:bodyDiv w:val="1"/>
      <w:marLeft w:val="0"/>
      <w:marRight w:val="0"/>
      <w:marTop w:val="0"/>
      <w:marBottom w:val="0"/>
      <w:divBdr>
        <w:top w:val="none" w:sz="0" w:space="0" w:color="auto"/>
        <w:left w:val="none" w:sz="0" w:space="0" w:color="auto"/>
        <w:bottom w:val="none" w:sz="0" w:space="0" w:color="auto"/>
        <w:right w:val="none" w:sz="0" w:space="0" w:color="auto"/>
      </w:divBdr>
    </w:div>
    <w:div w:id="946431514">
      <w:bodyDiv w:val="1"/>
      <w:marLeft w:val="0"/>
      <w:marRight w:val="0"/>
      <w:marTop w:val="0"/>
      <w:marBottom w:val="0"/>
      <w:divBdr>
        <w:top w:val="none" w:sz="0" w:space="0" w:color="auto"/>
        <w:left w:val="none" w:sz="0" w:space="0" w:color="auto"/>
        <w:bottom w:val="none" w:sz="0" w:space="0" w:color="auto"/>
        <w:right w:val="none" w:sz="0" w:space="0" w:color="auto"/>
      </w:divBdr>
    </w:div>
    <w:div w:id="955525917">
      <w:bodyDiv w:val="1"/>
      <w:marLeft w:val="0"/>
      <w:marRight w:val="0"/>
      <w:marTop w:val="0"/>
      <w:marBottom w:val="0"/>
      <w:divBdr>
        <w:top w:val="none" w:sz="0" w:space="0" w:color="auto"/>
        <w:left w:val="none" w:sz="0" w:space="0" w:color="auto"/>
        <w:bottom w:val="none" w:sz="0" w:space="0" w:color="auto"/>
        <w:right w:val="none" w:sz="0" w:space="0" w:color="auto"/>
      </w:divBdr>
    </w:div>
    <w:div w:id="956790828">
      <w:bodyDiv w:val="1"/>
      <w:marLeft w:val="0"/>
      <w:marRight w:val="0"/>
      <w:marTop w:val="0"/>
      <w:marBottom w:val="0"/>
      <w:divBdr>
        <w:top w:val="none" w:sz="0" w:space="0" w:color="auto"/>
        <w:left w:val="none" w:sz="0" w:space="0" w:color="auto"/>
        <w:bottom w:val="none" w:sz="0" w:space="0" w:color="auto"/>
        <w:right w:val="none" w:sz="0" w:space="0" w:color="auto"/>
      </w:divBdr>
    </w:div>
    <w:div w:id="1011686478">
      <w:bodyDiv w:val="1"/>
      <w:marLeft w:val="0"/>
      <w:marRight w:val="0"/>
      <w:marTop w:val="0"/>
      <w:marBottom w:val="0"/>
      <w:divBdr>
        <w:top w:val="none" w:sz="0" w:space="0" w:color="auto"/>
        <w:left w:val="none" w:sz="0" w:space="0" w:color="auto"/>
        <w:bottom w:val="none" w:sz="0" w:space="0" w:color="auto"/>
        <w:right w:val="none" w:sz="0" w:space="0" w:color="auto"/>
      </w:divBdr>
    </w:div>
    <w:div w:id="1013410110">
      <w:bodyDiv w:val="1"/>
      <w:marLeft w:val="0"/>
      <w:marRight w:val="0"/>
      <w:marTop w:val="0"/>
      <w:marBottom w:val="0"/>
      <w:divBdr>
        <w:top w:val="none" w:sz="0" w:space="0" w:color="auto"/>
        <w:left w:val="none" w:sz="0" w:space="0" w:color="auto"/>
        <w:bottom w:val="none" w:sz="0" w:space="0" w:color="auto"/>
        <w:right w:val="none" w:sz="0" w:space="0" w:color="auto"/>
      </w:divBdr>
    </w:div>
    <w:div w:id="1015303929">
      <w:bodyDiv w:val="1"/>
      <w:marLeft w:val="0"/>
      <w:marRight w:val="0"/>
      <w:marTop w:val="0"/>
      <w:marBottom w:val="0"/>
      <w:divBdr>
        <w:top w:val="none" w:sz="0" w:space="0" w:color="auto"/>
        <w:left w:val="none" w:sz="0" w:space="0" w:color="auto"/>
        <w:bottom w:val="none" w:sz="0" w:space="0" w:color="auto"/>
        <w:right w:val="none" w:sz="0" w:space="0" w:color="auto"/>
      </w:divBdr>
    </w:div>
    <w:div w:id="1074084324">
      <w:bodyDiv w:val="1"/>
      <w:marLeft w:val="0"/>
      <w:marRight w:val="0"/>
      <w:marTop w:val="0"/>
      <w:marBottom w:val="0"/>
      <w:divBdr>
        <w:top w:val="none" w:sz="0" w:space="0" w:color="auto"/>
        <w:left w:val="none" w:sz="0" w:space="0" w:color="auto"/>
        <w:bottom w:val="none" w:sz="0" w:space="0" w:color="auto"/>
        <w:right w:val="none" w:sz="0" w:space="0" w:color="auto"/>
      </w:divBdr>
    </w:div>
    <w:div w:id="1082294151">
      <w:bodyDiv w:val="1"/>
      <w:marLeft w:val="0"/>
      <w:marRight w:val="0"/>
      <w:marTop w:val="0"/>
      <w:marBottom w:val="0"/>
      <w:divBdr>
        <w:top w:val="none" w:sz="0" w:space="0" w:color="auto"/>
        <w:left w:val="none" w:sz="0" w:space="0" w:color="auto"/>
        <w:bottom w:val="none" w:sz="0" w:space="0" w:color="auto"/>
        <w:right w:val="none" w:sz="0" w:space="0" w:color="auto"/>
      </w:divBdr>
    </w:div>
    <w:div w:id="1104302776">
      <w:bodyDiv w:val="1"/>
      <w:marLeft w:val="0"/>
      <w:marRight w:val="0"/>
      <w:marTop w:val="0"/>
      <w:marBottom w:val="0"/>
      <w:divBdr>
        <w:top w:val="none" w:sz="0" w:space="0" w:color="auto"/>
        <w:left w:val="none" w:sz="0" w:space="0" w:color="auto"/>
        <w:bottom w:val="none" w:sz="0" w:space="0" w:color="auto"/>
        <w:right w:val="none" w:sz="0" w:space="0" w:color="auto"/>
      </w:divBdr>
    </w:div>
    <w:div w:id="1121530182">
      <w:bodyDiv w:val="1"/>
      <w:marLeft w:val="0"/>
      <w:marRight w:val="0"/>
      <w:marTop w:val="0"/>
      <w:marBottom w:val="0"/>
      <w:divBdr>
        <w:top w:val="none" w:sz="0" w:space="0" w:color="auto"/>
        <w:left w:val="none" w:sz="0" w:space="0" w:color="auto"/>
        <w:bottom w:val="none" w:sz="0" w:space="0" w:color="auto"/>
        <w:right w:val="none" w:sz="0" w:space="0" w:color="auto"/>
      </w:divBdr>
    </w:div>
    <w:div w:id="1124080694">
      <w:bodyDiv w:val="1"/>
      <w:marLeft w:val="0"/>
      <w:marRight w:val="0"/>
      <w:marTop w:val="0"/>
      <w:marBottom w:val="0"/>
      <w:divBdr>
        <w:top w:val="none" w:sz="0" w:space="0" w:color="auto"/>
        <w:left w:val="none" w:sz="0" w:space="0" w:color="auto"/>
        <w:bottom w:val="none" w:sz="0" w:space="0" w:color="auto"/>
        <w:right w:val="none" w:sz="0" w:space="0" w:color="auto"/>
      </w:divBdr>
    </w:div>
    <w:div w:id="1134059745">
      <w:bodyDiv w:val="1"/>
      <w:marLeft w:val="0"/>
      <w:marRight w:val="0"/>
      <w:marTop w:val="0"/>
      <w:marBottom w:val="0"/>
      <w:divBdr>
        <w:top w:val="none" w:sz="0" w:space="0" w:color="auto"/>
        <w:left w:val="none" w:sz="0" w:space="0" w:color="auto"/>
        <w:bottom w:val="none" w:sz="0" w:space="0" w:color="auto"/>
        <w:right w:val="none" w:sz="0" w:space="0" w:color="auto"/>
      </w:divBdr>
    </w:div>
    <w:div w:id="1157112838">
      <w:bodyDiv w:val="1"/>
      <w:marLeft w:val="0"/>
      <w:marRight w:val="0"/>
      <w:marTop w:val="0"/>
      <w:marBottom w:val="0"/>
      <w:divBdr>
        <w:top w:val="none" w:sz="0" w:space="0" w:color="auto"/>
        <w:left w:val="none" w:sz="0" w:space="0" w:color="auto"/>
        <w:bottom w:val="none" w:sz="0" w:space="0" w:color="auto"/>
        <w:right w:val="none" w:sz="0" w:space="0" w:color="auto"/>
      </w:divBdr>
    </w:div>
    <w:div w:id="1160541960">
      <w:bodyDiv w:val="1"/>
      <w:marLeft w:val="0"/>
      <w:marRight w:val="0"/>
      <w:marTop w:val="0"/>
      <w:marBottom w:val="0"/>
      <w:divBdr>
        <w:top w:val="none" w:sz="0" w:space="0" w:color="auto"/>
        <w:left w:val="none" w:sz="0" w:space="0" w:color="auto"/>
        <w:bottom w:val="none" w:sz="0" w:space="0" w:color="auto"/>
        <w:right w:val="none" w:sz="0" w:space="0" w:color="auto"/>
      </w:divBdr>
    </w:div>
    <w:div w:id="1200360438">
      <w:bodyDiv w:val="1"/>
      <w:marLeft w:val="0"/>
      <w:marRight w:val="0"/>
      <w:marTop w:val="0"/>
      <w:marBottom w:val="0"/>
      <w:divBdr>
        <w:top w:val="none" w:sz="0" w:space="0" w:color="auto"/>
        <w:left w:val="none" w:sz="0" w:space="0" w:color="auto"/>
        <w:bottom w:val="none" w:sz="0" w:space="0" w:color="auto"/>
        <w:right w:val="none" w:sz="0" w:space="0" w:color="auto"/>
      </w:divBdr>
    </w:div>
    <w:div w:id="1234122339">
      <w:bodyDiv w:val="1"/>
      <w:marLeft w:val="0"/>
      <w:marRight w:val="0"/>
      <w:marTop w:val="0"/>
      <w:marBottom w:val="0"/>
      <w:divBdr>
        <w:top w:val="none" w:sz="0" w:space="0" w:color="auto"/>
        <w:left w:val="none" w:sz="0" w:space="0" w:color="auto"/>
        <w:bottom w:val="none" w:sz="0" w:space="0" w:color="auto"/>
        <w:right w:val="none" w:sz="0" w:space="0" w:color="auto"/>
      </w:divBdr>
    </w:div>
    <w:div w:id="1251156458">
      <w:bodyDiv w:val="1"/>
      <w:marLeft w:val="0"/>
      <w:marRight w:val="0"/>
      <w:marTop w:val="0"/>
      <w:marBottom w:val="0"/>
      <w:divBdr>
        <w:top w:val="none" w:sz="0" w:space="0" w:color="auto"/>
        <w:left w:val="none" w:sz="0" w:space="0" w:color="auto"/>
        <w:bottom w:val="none" w:sz="0" w:space="0" w:color="auto"/>
        <w:right w:val="none" w:sz="0" w:space="0" w:color="auto"/>
      </w:divBdr>
    </w:div>
    <w:div w:id="1271621365">
      <w:bodyDiv w:val="1"/>
      <w:marLeft w:val="0"/>
      <w:marRight w:val="0"/>
      <w:marTop w:val="0"/>
      <w:marBottom w:val="0"/>
      <w:divBdr>
        <w:top w:val="none" w:sz="0" w:space="0" w:color="auto"/>
        <w:left w:val="none" w:sz="0" w:space="0" w:color="auto"/>
        <w:bottom w:val="none" w:sz="0" w:space="0" w:color="auto"/>
        <w:right w:val="none" w:sz="0" w:space="0" w:color="auto"/>
      </w:divBdr>
    </w:div>
    <w:div w:id="1295990583">
      <w:bodyDiv w:val="1"/>
      <w:marLeft w:val="0"/>
      <w:marRight w:val="0"/>
      <w:marTop w:val="0"/>
      <w:marBottom w:val="0"/>
      <w:divBdr>
        <w:top w:val="none" w:sz="0" w:space="0" w:color="auto"/>
        <w:left w:val="none" w:sz="0" w:space="0" w:color="auto"/>
        <w:bottom w:val="none" w:sz="0" w:space="0" w:color="auto"/>
        <w:right w:val="none" w:sz="0" w:space="0" w:color="auto"/>
      </w:divBdr>
    </w:div>
    <w:div w:id="1342850289">
      <w:bodyDiv w:val="1"/>
      <w:marLeft w:val="0"/>
      <w:marRight w:val="0"/>
      <w:marTop w:val="0"/>
      <w:marBottom w:val="0"/>
      <w:divBdr>
        <w:top w:val="none" w:sz="0" w:space="0" w:color="auto"/>
        <w:left w:val="none" w:sz="0" w:space="0" w:color="auto"/>
        <w:bottom w:val="none" w:sz="0" w:space="0" w:color="auto"/>
        <w:right w:val="none" w:sz="0" w:space="0" w:color="auto"/>
      </w:divBdr>
    </w:div>
    <w:div w:id="1342925197">
      <w:bodyDiv w:val="1"/>
      <w:marLeft w:val="0"/>
      <w:marRight w:val="0"/>
      <w:marTop w:val="0"/>
      <w:marBottom w:val="0"/>
      <w:divBdr>
        <w:top w:val="none" w:sz="0" w:space="0" w:color="auto"/>
        <w:left w:val="none" w:sz="0" w:space="0" w:color="auto"/>
        <w:bottom w:val="none" w:sz="0" w:space="0" w:color="auto"/>
        <w:right w:val="none" w:sz="0" w:space="0" w:color="auto"/>
      </w:divBdr>
    </w:div>
    <w:div w:id="1353067863">
      <w:bodyDiv w:val="1"/>
      <w:marLeft w:val="0"/>
      <w:marRight w:val="0"/>
      <w:marTop w:val="0"/>
      <w:marBottom w:val="0"/>
      <w:divBdr>
        <w:top w:val="none" w:sz="0" w:space="0" w:color="auto"/>
        <w:left w:val="none" w:sz="0" w:space="0" w:color="auto"/>
        <w:bottom w:val="none" w:sz="0" w:space="0" w:color="auto"/>
        <w:right w:val="none" w:sz="0" w:space="0" w:color="auto"/>
      </w:divBdr>
    </w:div>
    <w:div w:id="1358501149">
      <w:bodyDiv w:val="1"/>
      <w:marLeft w:val="0"/>
      <w:marRight w:val="0"/>
      <w:marTop w:val="0"/>
      <w:marBottom w:val="0"/>
      <w:divBdr>
        <w:top w:val="none" w:sz="0" w:space="0" w:color="auto"/>
        <w:left w:val="none" w:sz="0" w:space="0" w:color="auto"/>
        <w:bottom w:val="none" w:sz="0" w:space="0" w:color="auto"/>
        <w:right w:val="none" w:sz="0" w:space="0" w:color="auto"/>
      </w:divBdr>
    </w:div>
    <w:div w:id="1358503942">
      <w:bodyDiv w:val="1"/>
      <w:marLeft w:val="0"/>
      <w:marRight w:val="0"/>
      <w:marTop w:val="0"/>
      <w:marBottom w:val="0"/>
      <w:divBdr>
        <w:top w:val="none" w:sz="0" w:space="0" w:color="auto"/>
        <w:left w:val="none" w:sz="0" w:space="0" w:color="auto"/>
        <w:bottom w:val="none" w:sz="0" w:space="0" w:color="auto"/>
        <w:right w:val="none" w:sz="0" w:space="0" w:color="auto"/>
      </w:divBdr>
    </w:div>
    <w:div w:id="1385057923">
      <w:bodyDiv w:val="1"/>
      <w:marLeft w:val="0"/>
      <w:marRight w:val="0"/>
      <w:marTop w:val="0"/>
      <w:marBottom w:val="0"/>
      <w:divBdr>
        <w:top w:val="none" w:sz="0" w:space="0" w:color="auto"/>
        <w:left w:val="none" w:sz="0" w:space="0" w:color="auto"/>
        <w:bottom w:val="none" w:sz="0" w:space="0" w:color="auto"/>
        <w:right w:val="none" w:sz="0" w:space="0" w:color="auto"/>
      </w:divBdr>
    </w:div>
    <w:div w:id="1386611276">
      <w:bodyDiv w:val="1"/>
      <w:marLeft w:val="0"/>
      <w:marRight w:val="0"/>
      <w:marTop w:val="0"/>
      <w:marBottom w:val="0"/>
      <w:divBdr>
        <w:top w:val="none" w:sz="0" w:space="0" w:color="auto"/>
        <w:left w:val="none" w:sz="0" w:space="0" w:color="auto"/>
        <w:bottom w:val="none" w:sz="0" w:space="0" w:color="auto"/>
        <w:right w:val="none" w:sz="0" w:space="0" w:color="auto"/>
      </w:divBdr>
    </w:div>
    <w:div w:id="1387222619">
      <w:bodyDiv w:val="1"/>
      <w:marLeft w:val="0"/>
      <w:marRight w:val="0"/>
      <w:marTop w:val="0"/>
      <w:marBottom w:val="0"/>
      <w:divBdr>
        <w:top w:val="none" w:sz="0" w:space="0" w:color="auto"/>
        <w:left w:val="none" w:sz="0" w:space="0" w:color="auto"/>
        <w:bottom w:val="none" w:sz="0" w:space="0" w:color="auto"/>
        <w:right w:val="none" w:sz="0" w:space="0" w:color="auto"/>
      </w:divBdr>
    </w:div>
    <w:div w:id="1403521143">
      <w:bodyDiv w:val="1"/>
      <w:marLeft w:val="0"/>
      <w:marRight w:val="0"/>
      <w:marTop w:val="0"/>
      <w:marBottom w:val="0"/>
      <w:divBdr>
        <w:top w:val="none" w:sz="0" w:space="0" w:color="auto"/>
        <w:left w:val="none" w:sz="0" w:space="0" w:color="auto"/>
        <w:bottom w:val="none" w:sz="0" w:space="0" w:color="auto"/>
        <w:right w:val="none" w:sz="0" w:space="0" w:color="auto"/>
      </w:divBdr>
    </w:div>
    <w:div w:id="1425958387">
      <w:bodyDiv w:val="1"/>
      <w:marLeft w:val="0"/>
      <w:marRight w:val="0"/>
      <w:marTop w:val="0"/>
      <w:marBottom w:val="0"/>
      <w:divBdr>
        <w:top w:val="none" w:sz="0" w:space="0" w:color="auto"/>
        <w:left w:val="none" w:sz="0" w:space="0" w:color="auto"/>
        <w:bottom w:val="none" w:sz="0" w:space="0" w:color="auto"/>
        <w:right w:val="none" w:sz="0" w:space="0" w:color="auto"/>
      </w:divBdr>
    </w:div>
    <w:div w:id="1431387320">
      <w:bodyDiv w:val="1"/>
      <w:marLeft w:val="0"/>
      <w:marRight w:val="0"/>
      <w:marTop w:val="0"/>
      <w:marBottom w:val="0"/>
      <w:divBdr>
        <w:top w:val="none" w:sz="0" w:space="0" w:color="auto"/>
        <w:left w:val="none" w:sz="0" w:space="0" w:color="auto"/>
        <w:bottom w:val="none" w:sz="0" w:space="0" w:color="auto"/>
        <w:right w:val="none" w:sz="0" w:space="0" w:color="auto"/>
      </w:divBdr>
    </w:div>
    <w:div w:id="1492673098">
      <w:bodyDiv w:val="1"/>
      <w:marLeft w:val="0"/>
      <w:marRight w:val="0"/>
      <w:marTop w:val="0"/>
      <w:marBottom w:val="0"/>
      <w:divBdr>
        <w:top w:val="none" w:sz="0" w:space="0" w:color="auto"/>
        <w:left w:val="none" w:sz="0" w:space="0" w:color="auto"/>
        <w:bottom w:val="none" w:sz="0" w:space="0" w:color="auto"/>
        <w:right w:val="none" w:sz="0" w:space="0" w:color="auto"/>
      </w:divBdr>
    </w:div>
    <w:div w:id="1517114870">
      <w:bodyDiv w:val="1"/>
      <w:marLeft w:val="0"/>
      <w:marRight w:val="0"/>
      <w:marTop w:val="0"/>
      <w:marBottom w:val="0"/>
      <w:divBdr>
        <w:top w:val="none" w:sz="0" w:space="0" w:color="auto"/>
        <w:left w:val="none" w:sz="0" w:space="0" w:color="auto"/>
        <w:bottom w:val="none" w:sz="0" w:space="0" w:color="auto"/>
        <w:right w:val="none" w:sz="0" w:space="0" w:color="auto"/>
      </w:divBdr>
    </w:div>
    <w:div w:id="1587227787">
      <w:bodyDiv w:val="1"/>
      <w:marLeft w:val="0"/>
      <w:marRight w:val="0"/>
      <w:marTop w:val="0"/>
      <w:marBottom w:val="0"/>
      <w:divBdr>
        <w:top w:val="none" w:sz="0" w:space="0" w:color="auto"/>
        <w:left w:val="none" w:sz="0" w:space="0" w:color="auto"/>
        <w:bottom w:val="none" w:sz="0" w:space="0" w:color="auto"/>
        <w:right w:val="none" w:sz="0" w:space="0" w:color="auto"/>
      </w:divBdr>
    </w:div>
    <w:div w:id="1629236946">
      <w:bodyDiv w:val="1"/>
      <w:marLeft w:val="0"/>
      <w:marRight w:val="0"/>
      <w:marTop w:val="0"/>
      <w:marBottom w:val="0"/>
      <w:divBdr>
        <w:top w:val="none" w:sz="0" w:space="0" w:color="auto"/>
        <w:left w:val="none" w:sz="0" w:space="0" w:color="auto"/>
        <w:bottom w:val="none" w:sz="0" w:space="0" w:color="auto"/>
        <w:right w:val="none" w:sz="0" w:space="0" w:color="auto"/>
      </w:divBdr>
    </w:div>
    <w:div w:id="1655645802">
      <w:bodyDiv w:val="1"/>
      <w:marLeft w:val="0"/>
      <w:marRight w:val="0"/>
      <w:marTop w:val="0"/>
      <w:marBottom w:val="0"/>
      <w:divBdr>
        <w:top w:val="none" w:sz="0" w:space="0" w:color="auto"/>
        <w:left w:val="none" w:sz="0" w:space="0" w:color="auto"/>
        <w:bottom w:val="none" w:sz="0" w:space="0" w:color="auto"/>
        <w:right w:val="none" w:sz="0" w:space="0" w:color="auto"/>
      </w:divBdr>
    </w:div>
    <w:div w:id="1676418944">
      <w:bodyDiv w:val="1"/>
      <w:marLeft w:val="0"/>
      <w:marRight w:val="0"/>
      <w:marTop w:val="0"/>
      <w:marBottom w:val="0"/>
      <w:divBdr>
        <w:top w:val="none" w:sz="0" w:space="0" w:color="auto"/>
        <w:left w:val="none" w:sz="0" w:space="0" w:color="auto"/>
        <w:bottom w:val="none" w:sz="0" w:space="0" w:color="auto"/>
        <w:right w:val="none" w:sz="0" w:space="0" w:color="auto"/>
      </w:divBdr>
    </w:div>
    <w:div w:id="1731926732">
      <w:bodyDiv w:val="1"/>
      <w:marLeft w:val="0"/>
      <w:marRight w:val="0"/>
      <w:marTop w:val="0"/>
      <w:marBottom w:val="0"/>
      <w:divBdr>
        <w:top w:val="none" w:sz="0" w:space="0" w:color="auto"/>
        <w:left w:val="none" w:sz="0" w:space="0" w:color="auto"/>
        <w:bottom w:val="none" w:sz="0" w:space="0" w:color="auto"/>
        <w:right w:val="none" w:sz="0" w:space="0" w:color="auto"/>
      </w:divBdr>
    </w:div>
    <w:div w:id="1732191616">
      <w:bodyDiv w:val="1"/>
      <w:marLeft w:val="0"/>
      <w:marRight w:val="0"/>
      <w:marTop w:val="0"/>
      <w:marBottom w:val="0"/>
      <w:divBdr>
        <w:top w:val="none" w:sz="0" w:space="0" w:color="auto"/>
        <w:left w:val="none" w:sz="0" w:space="0" w:color="auto"/>
        <w:bottom w:val="none" w:sz="0" w:space="0" w:color="auto"/>
        <w:right w:val="none" w:sz="0" w:space="0" w:color="auto"/>
      </w:divBdr>
    </w:div>
    <w:div w:id="1761099145">
      <w:bodyDiv w:val="1"/>
      <w:marLeft w:val="0"/>
      <w:marRight w:val="0"/>
      <w:marTop w:val="0"/>
      <w:marBottom w:val="0"/>
      <w:divBdr>
        <w:top w:val="none" w:sz="0" w:space="0" w:color="auto"/>
        <w:left w:val="none" w:sz="0" w:space="0" w:color="auto"/>
        <w:bottom w:val="none" w:sz="0" w:space="0" w:color="auto"/>
        <w:right w:val="none" w:sz="0" w:space="0" w:color="auto"/>
      </w:divBdr>
    </w:div>
    <w:div w:id="1813717850">
      <w:bodyDiv w:val="1"/>
      <w:marLeft w:val="0"/>
      <w:marRight w:val="0"/>
      <w:marTop w:val="0"/>
      <w:marBottom w:val="0"/>
      <w:divBdr>
        <w:top w:val="none" w:sz="0" w:space="0" w:color="auto"/>
        <w:left w:val="none" w:sz="0" w:space="0" w:color="auto"/>
        <w:bottom w:val="none" w:sz="0" w:space="0" w:color="auto"/>
        <w:right w:val="none" w:sz="0" w:space="0" w:color="auto"/>
      </w:divBdr>
    </w:div>
    <w:div w:id="1817841152">
      <w:bodyDiv w:val="1"/>
      <w:marLeft w:val="0"/>
      <w:marRight w:val="0"/>
      <w:marTop w:val="0"/>
      <w:marBottom w:val="0"/>
      <w:divBdr>
        <w:top w:val="none" w:sz="0" w:space="0" w:color="auto"/>
        <w:left w:val="none" w:sz="0" w:space="0" w:color="auto"/>
        <w:bottom w:val="none" w:sz="0" w:space="0" w:color="auto"/>
        <w:right w:val="none" w:sz="0" w:space="0" w:color="auto"/>
      </w:divBdr>
    </w:div>
    <w:div w:id="1819762951">
      <w:bodyDiv w:val="1"/>
      <w:marLeft w:val="0"/>
      <w:marRight w:val="0"/>
      <w:marTop w:val="0"/>
      <w:marBottom w:val="0"/>
      <w:divBdr>
        <w:top w:val="none" w:sz="0" w:space="0" w:color="auto"/>
        <w:left w:val="none" w:sz="0" w:space="0" w:color="auto"/>
        <w:bottom w:val="none" w:sz="0" w:space="0" w:color="auto"/>
        <w:right w:val="none" w:sz="0" w:space="0" w:color="auto"/>
      </w:divBdr>
    </w:div>
    <w:div w:id="1827895818">
      <w:bodyDiv w:val="1"/>
      <w:marLeft w:val="0"/>
      <w:marRight w:val="0"/>
      <w:marTop w:val="0"/>
      <w:marBottom w:val="0"/>
      <w:divBdr>
        <w:top w:val="none" w:sz="0" w:space="0" w:color="auto"/>
        <w:left w:val="none" w:sz="0" w:space="0" w:color="auto"/>
        <w:bottom w:val="none" w:sz="0" w:space="0" w:color="auto"/>
        <w:right w:val="none" w:sz="0" w:space="0" w:color="auto"/>
      </w:divBdr>
    </w:div>
    <w:div w:id="1873228553">
      <w:bodyDiv w:val="1"/>
      <w:marLeft w:val="0"/>
      <w:marRight w:val="0"/>
      <w:marTop w:val="0"/>
      <w:marBottom w:val="0"/>
      <w:divBdr>
        <w:top w:val="none" w:sz="0" w:space="0" w:color="auto"/>
        <w:left w:val="none" w:sz="0" w:space="0" w:color="auto"/>
        <w:bottom w:val="none" w:sz="0" w:space="0" w:color="auto"/>
        <w:right w:val="none" w:sz="0" w:space="0" w:color="auto"/>
      </w:divBdr>
    </w:div>
    <w:div w:id="1886406627">
      <w:bodyDiv w:val="1"/>
      <w:marLeft w:val="0"/>
      <w:marRight w:val="0"/>
      <w:marTop w:val="0"/>
      <w:marBottom w:val="0"/>
      <w:divBdr>
        <w:top w:val="none" w:sz="0" w:space="0" w:color="auto"/>
        <w:left w:val="none" w:sz="0" w:space="0" w:color="auto"/>
        <w:bottom w:val="none" w:sz="0" w:space="0" w:color="auto"/>
        <w:right w:val="none" w:sz="0" w:space="0" w:color="auto"/>
      </w:divBdr>
    </w:div>
    <w:div w:id="1924995656">
      <w:bodyDiv w:val="1"/>
      <w:marLeft w:val="0"/>
      <w:marRight w:val="0"/>
      <w:marTop w:val="0"/>
      <w:marBottom w:val="0"/>
      <w:divBdr>
        <w:top w:val="none" w:sz="0" w:space="0" w:color="auto"/>
        <w:left w:val="none" w:sz="0" w:space="0" w:color="auto"/>
        <w:bottom w:val="none" w:sz="0" w:space="0" w:color="auto"/>
        <w:right w:val="none" w:sz="0" w:space="0" w:color="auto"/>
      </w:divBdr>
    </w:div>
    <w:div w:id="1946769425">
      <w:bodyDiv w:val="1"/>
      <w:marLeft w:val="0"/>
      <w:marRight w:val="0"/>
      <w:marTop w:val="0"/>
      <w:marBottom w:val="0"/>
      <w:divBdr>
        <w:top w:val="none" w:sz="0" w:space="0" w:color="auto"/>
        <w:left w:val="none" w:sz="0" w:space="0" w:color="auto"/>
        <w:bottom w:val="none" w:sz="0" w:space="0" w:color="auto"/>
        <w:right w:val="none" w:sz="0" w:space="0" w:color="auto"/>
      </w:divBdr>
    </w:div>
    <w:div w:id="1959991877">
      <w:bodyDiv w:val="1"/>
      <w:marLeft w:val="0"/>
      <w:marRight w:val="0"/>
      <w:marTop w:val="0"/>
      <w:marBottom w:val="0"/>
      <w:divBdr>
        <w:top w:val="none" w:sz="0" w:space="0" w:color="auto"/>
        <w:left w:val="none" w:sz="0" w:space="0" w:color="auto"/>
        <w:bottom w:val="none" w:sz="0" w:space="0" w:color="auto"/>
        <w:right w:val="none" w:sz="0" w:space="0" w:color="auto"/>
      </w:divBdr>
    </w:div>
    <w:div w:id="1960916455">
      <w:bodyDiv w:val="1"/>
      <w:marLeft w:val="0"/>
      <w:marRight w:val="0"/>
      <w:marTop w:val="0"/>
      <w:marBottom w:val="0"/>
      <w:divBdr>
        <w:top w:val="none" w:sz="0" w:space="0" w:color="auto"/>
        <w:left w:val="none" w:sz="0" w:space="0" w:color="auto"/>
        <w:bottom w:val="none" w:sz="0" w:space="0" w:color="auto"/>
        <w:right w:val="none" w:sz="0" w:space="0" w:color="auto"/>
      </w:divBdr>
    </w:div>
    <w:div w:id="1963145117">
      <w:bodyDiv w:val="1"/>
      <w:marLeft w:val="0"/>
      <w:marRight w:val="0"/>
      <w:marTop w:val="0"/>
      <w:marBottom w:val="0"/>
      <w:divBdr>
        <w:top w:val="none" w:sz="0" w:space="0" w:color="auto"/>
        <w:left w:val="none" w:sz="0" w:space="0" w:color="auto"/>
        <w:bottom w:val="none" w:sz="0" w:space="0" w:color="auto"/>
        <w:right w:val="none" w:sz="0" w:space="0" w:color="auto"/>
      </w:divBdr>
    </w:div>
    <w:div w:id="1968310820">
      <w:bodyDiv w:val="1"/>
      <w:marLeft w:val="0"/>
      <w:marRight w:val="0"/>
      <w:marTop w:val="0"/>
      <w:marBottom w:val="0"/>
      <w:divBdr>
        <w:top w:val="none" w:sz="0" w:space="0" w:color="auto"/>
        <w:left w:val="none" w:sz="0" w:space="0" w:color="auto"/>
        <w:bottom w:val="none" w:sz="0" w:space="0" w:color="auto"/>
        <w:right w:val="none" w:sz="0" w:space="0" w:color="auto"/>
      </w:divBdr>
    </w:div>
    <w:div w:id="1978803946">
      <w:bodyDiv w:val="1"/>
      <w:marLeft w:val="0"/>
      <w:marRight w:val="0"/>
      <w:marTop w:val="0"/>
      <w:marBottom w:val="0"/>
      <w:divBdr>
        <w:top w:val="none" w:sz="0" w:space="0" w:color="auto"/>
        <w:left w:val="none" w:sz="0" w:space="0" w:color="auto"/>
        <w:bottom w:val="none" w:sz="0" w:space="0" w:color="auto"/>
        <w:right w:val="none" w:sz="0" w:space="0" w:color="auto"/>
      </w:divBdr>
    </w:div>
    <w:div w:id="1982148725">
      <w:bodyDiv w:val="1"/>
      <w:marLeft w:val="0"/>
      <w:marRight w:val="0"/>
      <w:marTop w:val="0"/>
      <w:marBottom w:val="0"/>
      <w:divBdr>
        <w:top w:val="none" w:sz="0" w:space="0" w:color="auto"/>
        <w:left w:val="none" w:sz="0" w:space="0" w:color="auto"/>
        <w:bottom w:val="none" w:sz="0" w:space="0" w:color="auto"/>
        <w:right w:val="none" w:sz="0" w:space="0" w:color="auto"/>
      </w:divBdr>
    </w:div>
    <w:div w:id="1985154223">
      <w:bodyDiv w:val="1"/>
      <w:marLeft w:val="0"/>
      <w:marRight w:val="0"/>
      <w:marTop w:val="0"/>
      <w:marBottom w:val="0"/>
      <w:divBdr>
        <w:top w:val="none" w:sz="0" w:space="0" w:color="auto"/>
        <w:left w:val="none" w:sz="0" w:space="0" w:color="auto"/>
        <w:bottom w:val="none" w:sz="0" w:space="0" w:color="auto"/>
        <w:right w:val="none" w:sz="0" w:space="0" w:color="auto"/>
      </w:divBdr>
    </w:div>
    <w:div w:id="2011786601">
      <w:bodyDiv w:val="1"/>
      <w:marLeft w:val="0"/>
      <w:marRight w:val="0"/>
      <w:marTop w:val="0"/>
      <w:marBottom w:val="0"/>
      <w:divBdr>
        <w:top w:val="none" w:sz="0" w:space="0" w:color="auto"/>
        <w:left w:val="none" w:sz="0" w:space="0" w:color="auto"/>
        <w:bottom w:val="none" w:sz="0" w:space="0" w:color="auto"/>
        <w:right w:val="none" w:sz="0" w:space="0" w:color="auto"/>
      </w:divBdr>
      <w:divsChild>
        <w:div w:id="496072294">
          <w:marLeft w:val="0"/>
          <w:marRight w:val="0"/>
          <w:marTop w:val="0"/>
          <w:marBottom w:val="285"/>
          <w:divBdr>
            <w:top w:val="single" w:sz="36" w:space="4" w:color="DDDDDD"/>
            <w:left w:val="none" w:sz="0" w:space="0" w:color="auto"/>
            <w:bottom w:val="none" w:sz="0" w:space="0" w:color="auto"/>
            <w:right w:val="none" w:sz="0" w:space="0" w:color="auto"/>
          </w:divBdr>
        </w:div>
        <w:div w:id="646518232">
          <w:marLeft w:val="0"/>
          <w:marRight w:val="0"/>
          <w:marTop w:val="150"/>
          <w:marBottom w:val="75"/>
          <w:divBdr>
            <w:top w:val="none" w:sz="0" w:space="0" w:color="auto"/>
            <w:left w:val="single" w:sz="48" w:space="0" w:color="FFFFFF"/>
            <w:bottom w:val="none" w:sz="0" w:space="0" w:color="auto"/>
            <w:right w:val="none" w:sz="0" w:space="0" w:color="auto"/>
          </w:divBdr>
          <w:divsChild>
            <w:div w:id="1848328478">
              <w:marLeft w:val="0"/>
              <w:marRight w:val="0"/>
              <w:marTop w:val="0"/>
              <w:marBottom w:val="0"/>
              <w:divBdr>
                <w:top w:val="none" w:sz="0" w:space="0" w:color="auto"/>
                <w:left w:val="none" w:sz="0" w:space="0" w:color="auto"/>
                <w:bottom w:val="none" w:sz="0" w:space="0" w:color="auto"/>
                <w:right w:val="none" w:sz="0" w:space="0" w:color="auto"/>
              </w:divBdr>
              <w:divsChild>
                <w:div w:id="12360129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44613474">
          <w:marLeft w:val="0"/>
          <w:marRight w:val="0"/>
          <w:marTop w:val="0"/>
          <w:marBottom w:val="0"/>
          <w:divBdr>
            <w:top w:val="none" w:sz="0" w:space="0" w:color="auto"/>
            <w:left w:val="none" w:sz="0" w:space="0" w:color="auto"/>
            <w:bottom w:val="none" w:sz="0" w:space="0" w:color="auto"/>
            <w:right w:val="none" w:sz="0" w:space="0" w:color="auto"/>
          </w:divBdr>
        </w:div>
      </w:divsChild>
    </w:div>
    <w:div w:id="2012221760">
      <w:bodyDiv w:val="1"/>
      <w:marLeft w:val="0"/>
      <w:marRight w:val="0"/>
      <w:marTop w:val="0"/>
      <w:marBottom w:val="0"/>
      <w:divBdr>
        <w:top w:val="none" w:sz="0" w:space="0" w:color="auto"/>
        <w:left w:val="none" w:sz="0" w:space="0" w:color="auto"/>
        <w:bottom w:val="none" w:sz="0" w:space="0" w:color="auto"/>
        <w:right w:val="none" w:sz="0" w:space="0" w:color="auto"/>
      </w:divBdr>
    </w:div>
    <w:div w:id="2025739103">
      <w:bodyDiv w:val="1"/>
      <w:marLeft w:val="0"/>
      <w:marRight w:val="0"/>
      <w:marTop w:val="0"/>
      <w:marBottom w:val="0"/>
      <w:divBdr>
        <w:top w:val="none" w:sz="0" w:space="0" w:color="auto"/>
        <w:left w:val="none" w:sz="0" w:space="0" w:color="auto"/>
        <w:bottom w:val="none" w:sz="0" w:space="0" w:color="auto"/>
        <w:right w:val="none" w:sz="0" w:space="0" w:color="auto"/>
      </w:divBdr>
    </w:div>
    <w:div w:id="2045133781">
      <w:bodyDiv w:val="1"/>
      <w:marLeft w:val="0"/>
      <w:marRight w:val="0"/>
      <w:marTop w:val="0"/>
      <w:marBottom w:val="0"/>
      <w:divBdr>
        <w:top w:val="none" w:sz="0" w:space="0" w:color="auto"/>
        <w:left w:val="none" w:sz="0" w:space="0" w:color="auto"/>
        <w:bottom w:val="none" w:sz="0" w:space="0" w:color="auto"/>
        <w:right w:val="none" w:sz="0" w:space="0" w:color="auto"/>
      </w:divBdr>
      <w:divsChild>
        <w:div w:id="1309288454">
          <w:marLeft w:val="0"/>
          <w:marRight w:val="0"/>
          <w:marTop w:val="0"/>
          <w:marBottom w:val="0"/>
          <w:divBdr>
            <w:top w:val="none" w:sz="0" w:space="0" w:color="auto"/>
            <w:left w:val="none" w:sz="0" w:space="0" w:color="auto"/>
            <w:bottom w:val="none" w:sz="0" w:space="0" w:color="auto"/>
            <w:right w:val="none" w:sz="0" w:space="0" w:color="auto"/>
          </w:divBdr>
        </w:div>
        <w:div w:id="2097432614">
          <w:marLeft w:val="0"/>
          <w:marRight w:val="0"/>
          <w:marTop w:val="0"/>
          <w:marBottom w:val="0"/>
          <w:divBdr>
            <w:top w:val="none" w:sz="0" w:space="0" w:color="auto"/>
            <w:left w:val="none" w:sz="0" w:space="0" w:color="auto"/>
            <w:bottom w:val="none" w:sz="0" w:space="0" w:color="auto"/>
            <w:right w:val="none" w:sz="0" w:space="0" w:color="auto"/>
          </w:divBdr>
        </w:div>
      </w:divsChild>
    </w:div>
    <w:div w:id="2072389782">
      <w:bodyDiv w:val="1"/>
      <w:marLeft w:val="0"/>
      <w:marRight w:val="0"/>
      <w:marTop w:val="0"/>
      <w:marBottom w:val="0"/>
      <w:divBdr>
        <w:top w:val="none" w:sz="0" w:space="0" w:color="auto"/>
        <w:left w:val="none" w:sz="0" w:space="0" w:color="auto"/>
        <w:bottom w:val="none" w:sz="0" w:space="0" w:color="auto"/>
        <w:right w:val="none" w:sz="0" w:space="0" w:color="auto"/>
      </w:divBdr>
    </w:div>
    <w:div w:id="2102486379">
      <w:bodyDiv w:val="1"/>
      <w:marLeft w:val="0"/>
      <w:marRight w:val="0"/>
      <w:marTop w:val="0"/>
      <w:marBottom w:val="0"/>
      <w:divBdr>
        <w:top w:val="none" w:sz="0" w:space="0" w:color="auto"/>
        <w:left w:val="none" w:sz="0" w:space="0" w:color="auto"/>
        <w:bottom w:val="none" w:sz="0" w:space="0" w:color="auto"/>
        <w:right w:val="none" w:sz="0" w:space="0" w:color="auto"/>
      </w:divBdr>
    </w:div>
    <w:div w:id="214206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mepi-eurasia.ru/pdoklad.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ck.ru/NeT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ck.ru/GHoS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nsultant.ru/document/cons_doc_LAW_330160/24624b917a633e5c3b034e70d1b9c1c0efda8894/" TargetMode="External"/><Relationship Id="rId4" Type="http://schemas.openxmlformats.org/officeDocument/2006/relationships/settings" Target="settings.xml"/><Relationship Id="rId9" Type="http://schemas.openxmlformats.org/officeDocument/2006/relationships/hyperlink" Target="http://www.consultant.ru/document/cons_doc_LAW_352410/96f9a3429dc0d9853365b573c980cd5c0f1ba584/"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garant.ru/hotlaw/peter/1308221/" TargetMode="External"/><Relationship Id="rId3" Type="http://schemas.openxmlformats.org/officeDocument/2006/relationships/hyperlink" Target="http://www.consultant.ru/document/cons_doc_LAW_116964/" TargetMode="External"/><Relationship Id="rId7" Type="http://schemas.openxmlformats.org/officeDocument/2006/relationships/hyperlink" Target="http://www.garant.ru/hotlaw/federal/1286362/" TargetMode="External"/><Relationship Id="rId2" Type="http://schemas.openxmlformats.org/officeDocument/2006/relationships/hyperlink" Target="http://www.consultant.ru/document/cons_doc_LAW_144624/" TargetMode="External"/><Relationship Id="rId1" Type="http://schemas.openxmlformats.org/officeDocument/2006/relationships/hyperlink" Target="https://www.dissercat.com/content/sovershenstvovanie-vzaimodeistviya-vlastnykh-i-predprinimatelskikh-struktur-v-sotsialno-ekon" TargetMode="External"/><Relationship Id="rId6" Type="http://schemas.openxmlformats.org/officeDocument/2006/relationships/hyperlink" Target="https://www.vedomosti.ru/economics/articles/2017/06/08/693513-kontsessii-proveryat" TargetMode="External"/><Relationship Id="rId5" Type="http://schemas.openxmlformats.org/officeDocument/2006/relationships/hyperlink" Target="http://www.consultant.ru/document/cons_doc_LAW_54572/" TargetMode="External"/><Relationship Id="rId4" Type="http://schemas.openxmlformats.org/officeDocument/2006/relationships/hyperlink" Target="https://www.minfin.ru/ru/perfomance/contracts/purchases/" TargetMode="External"/><Relationship Id="rId9" Type="http://schemas.openxmlformats.org/officeDocument/2006/relationships/hyperlink" Target="https://assets.ey.com/content/dam/ey-sites/ey-com/ru_ru/news/2020/03/ey_healthcare_research_2018-2019_2403202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C98C5-2630-4EFD-BFDB-7D978842A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74</Pages>
  <Words>23705</Words>
  <Characters>135124</Characters>
  <Application>Microsoft Office Word</Application>
  <DocSecurity>0</DocSecurity>
  <Lines>1126</Lines>
  <Paragraphs>317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cp:lastModifiedBy>
  <cp:revision>30</cp:revision>
  <dcterms:created xsi:type="dcterms:W3CDTF">2020-05-26T07:34:00Z</dcterms:created>
  <dcterms:modified xsi:type="dcterms:W3CDTF">2020-05-26T20:27:00Z</dcterms:modified>
</cp:coreProperties>
</file>