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40A896E0" w14:textId="77777777" w:rsidR="00C605F2" w:rsidRDefault="00D07BB0" w:rsidP="00C605F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6338053" w14:textId="77777777" w:rsidR="00F757B3" w:rsidRDefault="00047EFB" w:rsidP="00F75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</w:p>
    <w:p w14:paraId="7235EACF" w14:textId="52948BFB" w:rsidR="00F757B3" w:rsidRPr="00642009" w:rsidRDefault="00F757B3" w:rsidP="00F75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642009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</w:t>
      </w:r>
      <w:r w:rsidRPr="00642009">
        <w:rPr>
          <w:rFonts w:ascii="TimesNewRomanPS" w:hAnsi="TimesNewRomanPS"/>
          <w:b/>
          <w:bCs/>
          <w:color w:val="000000" w:themeColor="text1"/>
          <w:sz w:val="26"/>
          <w:szCs w:val="26"/>
          <w:lang w:val="ru-RU"/>
        </w:rPr>
        <w:t>ЛИСОВСКОЙ   Полины   Александровны</w:t>
      </w:r>
    </w:p>
    <w:p w14:paraId="57420DD7" w14:textId="3F12F77F" w:rsidR="00C605F2" w:rsidRPr="00C605F2" w:rsidRDefault="00C605F2" w:rsidP="00C605F2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</w:p>
    <w:p w14:paraId="731354E1" w14:textId="754F28EF" w:rsidR="00D07BB0" w:rsidRPr="00831BA1" w:rsidRDefault="0080121F" w:rsidP="00AD2016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D07BB0" w:rsidRP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Менеджмент, профиль –</w:t>
      </w:r>
      <w:r w:rsidR="00AD2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Финансовый менеджмент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FA143A4" w14:textId="693166C4" w:rsidR="00CD17C7" w:rsidRPr="00642009" w:rsidRDefault="00D07BB0" w:rsidP="00F757B3">
      <w:pPr>
        <w:pStyle w:val="af9"/>
        <w:jc w:val="center"/>
        <w:rPr>
          <w:b/>
          <w:sz w:val="26"/>
          <w:szCs w:val="26"/>
        </w:rPr>
      </w:pPr>
      <w:r w:rsidRPr="00831BA1">
        <w:rPr>
          <w:b/>
          <w:bCs/>
          <w:spacing w:val="2"/>
        </w:rPr>
        <w:t>на тему</w:t>
      </w:r>
      <w:r w:rsidR="00BE5234" w:rsidRPr="00831BA1">
        <w:rPr>
          <w:b/>
          <w:bCs/>
          <w:spacing w:val="2"/>
        </w:rPr>
        <w:t xml:space="preserve"> </w:t>
      </w:r>
      <w:r w:rsidR="00831BA1" w:rsidRPr="00831BA1">
        <w:rPr>
          <w:b/>
          <w:bCs/>
          <w:spacing w:val="2"/>
        </w:rPr>
        <w:br/>
      </w:r>
      <w:r w:rsidR="00F757B3" w:rsidRPr="00642009">
        <w:rPr>
          <w:rFonts w:ascii="TimesNewRomanPSMT" w:hAnsi="TimesNewRomanPSMT"/>
          <w:b/>
          <w:sz w:val="26"/>
          <w:szCs w:val="26"/>
        </w:rPr>
        <w:t>«Эффект финансового заражения: анализ трансмиссии системного риска»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642009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D201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757B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757B3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F757B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757B3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F757B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757B3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F757B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757B3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642009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831BA1" w:rsidRDefault="00A549FB" w:rsidP="00A549F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831BA1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F757B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757B3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047EF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7EFB"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F757B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757B3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D201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836F1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6F12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D201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D201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69D0B70B" w14:textId="77777777" w:rsidR="00BA79E5" w:rsidRDefault="00BA79E5" w:rsidP="00111263">
      <w:pPr>
        <w:pStyle w:val="afa"/>
        <w:spacing w:line="240" w:lineRule="auto"/>
        <w:ind w:firstLine="720"/>
        <w:rPr>
          <w:b/>
        </w:rPr>
      </w:pPr>
    </w:p>
    <w:p w14:paraId="63657AC0" w14:textId="1265CBCE" w:rsidR="00111263" w:rsidRPr="00D83682" w:rsidRDefault="00BB4914" w:rsidP="00111263">
      <w:pPr>
        <w:pStyle w:val="afa"/>
        <w:spacing w:line="240" w:lineRule="auto"/>
        <w:ind w:firstLine="720"/>
      </w:pPr>
      <w:r w:rsidRPr="00831BA1">
        <w:rPr>
          <w:b/>
        </w:rPr>
        <w:t>Особые комментарии</w:t>
      </w:r>
      <w:r w:rsidR="00111263">
        <w:rPr>
          <w:b/>
        </w:rPr>
        <w:t>:</w:t>
      </w:r>
      <w:r w:rsidR="00111263" w:rsidRPr="00111263">
        <w:t xml:space="preserve"> </w:t>
      </w:r>
      <w:r w:rsidR="00111263" w:rsidRPr="00D83682">
        <w:t xml:space="preserve">Алан </w:t>
      </w:r>
      <w:proofErr w:type="spellStart"/>
      <w:r w:rsidR="00111263" w:rsidRPr="00D83682">
        <w:t>Гринспен</w:t>
      </w:r>
      <w:proofErr w:type="spellEnd"/>
      <w:r w:rsidR="00111263" w:rsidRPr="00D83682">
        <w:t xml:space="preserve"> в своей книге «Эпоха потрясений» отмечает, что взрывное развитие коммуникационных технологий и открытие международных рынков позволило журналу «</w:t>
      </w:r>
      <w:r w:rsidR="00111263" w:rsidRPr="00D83682">
        <w:rPr>
          <w:lang w:val="en-US"/>
        </w:rPr>
        <w:t>Economist</w:t>
      </w:r>
      <w:r w:rsidR="00111263" w:rsidRPr="00D83682">
        <w:t>» объявить об «исчезнов</w:t>
      </w:r>
      <w:r w:rsidR="00111263">
        <w:t>ении расстояний»</w:t>
      </w:r>
      <w:r w:rsidR="00111263" w:rsidRPr="00D83682">
        <w:t xml:space="preserve">. Глобализация затронула и финансовую систему. В этих условиях распространение кризисных явлений </w:t>
      </w:r>
    </w:p>
    <w:p w14:paraId="58ABD2AE" w14:textId="77777777" w:rsidR="00111263" w:rsidRPr="00D83682" w:rsidRDefault="00111263" w:rsidP="00111263">
      <w:pPr>
        <w:pStyle w:val="afa"/>
        <w:spacing w:line="240" w:lineRule="auto"/>
      </w:pPr>
      <w:r w:rsidRPr="00D83682">
        <w:lastRenderedPageBreak/>
        <w:t>в финансовой системе стало носить молниеносный и всеобщий характер, который можно рассматривать как заражение.</w:t>
      </w:r>
      <w:r>
        <w:t xml:space="preserve"> </w:t>
      </w:r>
      <w:r w:rsidRPr="00D83682">
        <w:t xml:space="preserve">Тема распространения системного риска сегодня крайне актуальна, однако, существующие исследования не дают единой концепции в подходах к анализу этого явления и не предлагают надежных инструментов глобального мониторинга финансовой системы, в том числе, обнаружения эффекта заражения. </w:t>
      </w:r>
    </w:p>
    <w:p w14:paraId="52BE480F" w14:textId="06B1B09A" w:rsidR="00111263" w:rsidRDefault="00111263" w:rsidP="00111263">
      <w:pPr>
        <w:pStyle w:val="afa"/>
        <w:spacing w:line="240" w:lineRule="auto"/>
        <w:ind w:firstLine="720"/>
      </w:pPr>
      <w:r w:rsidRPr="00D83682">
        <w:t>Финансовое заражение как явление реализуется, когда распространение системного риска носит глобальный и взрывной характер. Данное явление, прежде всего, связано с процессом глобализации и проявляется через проблемы с ликвидностью, резкое изменение цен на активы и рост валют фондирования. Мониторинг сегментов финансового рынка, как одного из основных каналов трансмиссии системного риска, позволяет оценить текущий уровень системного стресса.</w:t>
      </w:r>
      <w:r>
        <w:t xml:space="preserve"> Поэтому </w:t>
      </w:r>
      <w:r w:rsidR="00BA79E5">
        <w:t>результаты</w:t>
      </w:r>
      <w:r>
        <w:t xml:space="preserve"> данного исследования, особенно на современном этапе глобализации, </w:t>
      </w:r>
      <w:r w:rsidR="00BA79E5">
        <w:t xml:space="preserve"> интересны как с научной точки зрения, так и с практической.</w:t>
      </w:r>
    </w:p>
    <w:p w14:paraId="20791744" w14:textId="5817536A" w:rsidR="00642009" w:rsidRPr="00D83682" w:rsidRDefault="00642009" w:rsidP="00111263">
      <w:pPr>
        <w:pStyle w:val="afa"/>
        <w:spacing w:line="240" w:lineRule="auto"/>
        <w:ind w:firstLine="720"/>
      </w:pPr>
      <w:r>
        <w:t>Исследование выполнено самостоятельно.</w:t>
      </w:r>
    </w:p>
    <w:p w14:paraId="1307DC14" w14:textId="46F8FA6C" w:rsidR="00C605F2" w:rsidRPr="00047EFB" w:rsidRDefault="00C605F2" w:rsidP="00111263">
      <w:pPr>
        <w:pStyle w:val="afa"/>
      </w:pPr>
    </w:p>
    <w:p w14:paraId="7313550C" w14:textId="0C6CDF2F" w:rsidR="007D4FFC" w:rsidRPr="00047EFB" w:rsidRDefault="007D4FFC" w:rsidP="00047EFB">
      <w:pPr>
        <w:spacing w:after="0" w:line="240" w:lineRule="auto"/>
        <w:rPr>
          <w:rFonts w:eastAsia="Times New Roman" w:cs="Times New Roman"/>
          <w:b/>
          <w:szCs w:val="24"/>
          <w:lang w:val="ru-RU" w:eastAsia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D201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047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836F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 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757B3">
        <w:rPr>
          <w:rFonts w:ascii="Times New Roman" w:hAnsi="Times New Roman" w:cs="Times New Roman"/>
          <w:b/>
          <w:sz w:val="24"/>
          <w:szCs w:val="24"/>
          <w:lang w:val="ru-RU"/>
        </w:rPr>
        <w:t>Лисовской Полины</w:t>
      </w:r>
      <w:r w:rsidR="001112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Александровны</w:t>
      </w:r>
      <w:r w:rsidR="00836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836F12" w:rsidRPr="00AD2016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u w:val="single"/>
          <w:lang w:val="ru-RU"/>
        </w:rPr>
        <w:t xml:space="preserve"> </w:t>
      </w:r>
      <w:r w:rsidR="00836F12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u w:val="single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u w:val="single"/>
          <w:lang w:val="ru-RU"/>
        </w:rPr>
        <w:t>о</w:t>
      </w:r>
      <w:r w:rsidRPr="00AD2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val="ru-RU"/>
        </w:rPr>
        <w:t>т</w:t>
      </w:r>
      <w:r w:rsidRPr="00AD201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val="ru-RU"/>
        </w:rPr>
        <w:t>в</w:t>
      </w:r>
      <w:r w:rsidRPr="00AD201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е</w:t>
      </w:r>
      <w:r w:rsidRPr="00AD2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ч</w:t>
      </w:r>
      <w:r w:rsidRPr="00AD201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val="ru-RU"/>
        </w:rPr>
        <w:t>ае</w:t>
      </w:r>
      <w:r w:rsidRPr="00AD2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т</w:t>
      </w:r>
      <w:r w:rsid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201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AD201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D20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D201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AD20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D201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201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D201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D20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D201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D201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D201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Финансовый менеджмент</w:t>
      </w:r>
    </w:p>
    <w:p w14:paraId="6D6407B0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</w:p>
    <w:bookmarkEnd w:id="1"/>
    <w:p w14:paraId="3187DEED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800AD5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86503" w14:textId="0F0AF669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F2C53F5" w14:textId="1058FCC2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 кафедры финансов и учета                                                     А.Е. Лукьянова</w:t>
      </w:r>
    </w:p>
    <w:p w14:paraId="629DE240" w14:textId="77777777" w:rsidR="007D2561" w:rsidRDefault="007D2561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40E561D6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7D2561">
        <w:rPr>
          <w:rFonts w:ascii="Times New Roman" w:eastAsia="Times New Roman" w:hAnsi="Times New Roman" w:cs="Times New Roman"/>
          <w:sz w:val="24"/>
          <w:szCs w:val="24"/>
          <w:lang w:val="ru-RU"/>
        </w:rPr>
        <w:t>: 7.06.2020</w:t>
      </w:r>
    </w:p>
    <w:sectPr w:rsidR="00831BA1" w:rsidRPr="00831BA1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3FCE" w14:textId="77777777" w:rsidR="00807EB8" w:rsidRDefault="00807EB8">
      <w:pPr>
        <w:spacing w:after="0" w:line="240" w:lineRule="auto"/>
      </w:pPr>
      <w:r>
        <w:separator/>
      </w:r>
    </w:p>
  </w:endnote>
  <w:endnote w:type="continuationSeparator" w:id="0">
    <w:p w14:paraId="46B14DC7" w14:textId="77777777" w:rsidR="00807EB8" w:rsidRDefault="0080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60B0" w14:textId="77777777" w:rsidR="00807EB8" w:rsidRDefault="00807EB8">
      <w:pPr>
        <w:spacing w:after="0" w:line="240" w:lineRule="auto"/>
      </w:pPr>
      <w:r>
        <w:separator/>
      </w:r>
    </w:p>
  </w:footnote>
  <w:footnote w:type="continuationSeparator" w:id="0">
    <w:p w14:paraId="52D08628" w14:textId="77777777" w:rsidR="00807EB8" w:rsidRDefault="0080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807EB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47EFB"/>
    <w:rsid w:val="00111263"/>
    <w:rsid w:val="00196366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76EF0"/>
    <w:rsid w:val="00596B1E"/>
    <w:rsid w:val="005F54C7"/>
    <w:rsid w:val="00642009"/>
    <w:rsid w:val="006A7A81"/>
    <w:rsid w:val="00775613"/>
    <w:rsid w:val="007B47D4"/>
    <w:rsid w:val="007C1AF2"/>
    <w:rsid w:val="007D2561"/>
    <w:rsid w:val="007D4FFC"/>
    <w:rsid w:val="007E07CB"/>
    <w:rsid w:val="0080121F"/>
    <w:rsid w:val="00807EB8"/>
    <w:rsid w:val="00831BA1"/>
    <w:rsid w:val="00836F12"/>
    <w:rsid w:val="00844779"/>
    <w:rsid w:val="00915D9E"/>
    <w:rsid w:val="009C6A1C"/>
    <w:rsid w:val="009E4993"/>
    <w:rsid w:val="00A54719"/>
    <w:rsid w:val="00A549FB"/>
    <w:rsid w:val="00AA0557"/>
    <w:rsid w:val="00AB7031"/>
    <w:rsid w:val="00AD02D3"/>
    <w:rsid w:val="00AD2016"/>
    <w:rsid w:val="00B109F0"/>
    <w:rsid w:val="00B85019"/>
    <w:rsid w:val="00BA6DF7"/>
    <w:rsid w:val="00BA79E5"/>
    <w:rsid w:val="00BB4914"/>
    <w:rsid w:val="00BE5234"/>
    <w:rsid w:val="00C24976"/>
    <w:rsid w:val="00C605F2"/>
    <w:rsid w:val="00C84099"/>
    <w:rsid w:val="00CD17C7"/>
    <w:rsid w:val="00CD768E"/>
    <w:rsid w:val="00CF072D"/>
    <w:rsid w:val="00D07BB0"/>
    <w:rsid w:val="00D23CEE"/>
    <w:rsid w:val="00D671C4"/>
    <w:rsid w:val="00ED59ED"/>
    <w:rsid w:val="00F63E19"/>
    <w:rsid w:val="00F757B3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unhideWhenUsed/>
    <w:rsid w:val="00AA0557"/>
    <w:pPr>
      <w:widowControl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  <w:lang w:val="ru-RU" w:eastAsia="ko-KR"/>
    </w:rPr>
  </w:style>
  <w:style w:type="paragraph" w:customStyle="1" w:styleId="afa">
    <w:name w:val="класич"/>
    <w:basedOn w:val="a"/>
    <w:qFormat/>
    <w:rsid w:val="00111263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222909"/>
    <w:rPr>
      <w:vertAlign w:val="superscript"/>
    </w:rPr>
  </w:style>
  <w:style w:type="paragraph" w:styleId="af9">
    <w:name w:val="Normal (Web)"/>
    <w:basedOn w:val="a"/>
    <w:uiPriority w:val="99"/>
    <w:unhideWhenUsed/>
    <w:rsid w:val="00AA0557"/>
    <w:pPr>
      <w:widowControl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  <w:lang w:val="ru-RU" w:eastAsia="ko-KR"/>
    </w:rPr>
  </w:style>
  <w:style w:type="paragraph" w:customStyle="1" w:styleId="afa">
    <w:name w:val="класич"/>
    <w:basedOn w:val="a"/>
    <w:qFormat/>
    <w:rsid w:val="00111263"/>
    <w:pPr>
      <w:widowControl/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3A1-7871-4D4F-8375-94C51BA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2020-06-06T19:40:00Z</dcterms:created>
  <dcterms:modified xsi:type="dcterms:W3CDTF">2020-06-07T07:08:00Z</dcterms:modified>
</cp:coreProperties>
</file>