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89B" w:rsidRDefault="00D403FA">
      <w:pPr>
        <w:spacing w:after="2000"/>
        <w:ind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Санкт-Петербургский государственный университет</w:t>
      </w:r>
    </w:p>
    <w:p w:rsidR="0010189B" w:rsidRDefault="0010189B">
      <w:pPr>
        <w:spacing w:after="0"/>
        <w:ind w:firstLine="4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89B" w:rsidRDefault="00D403FA">
      <w:pPr>
        <w:spacing w:after="200"/>
        <w:ind w:firstLine="42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МАКАРОВ Михаил Алексеевич</w:t>
      </w:r>
    </w:p>
    <w:p w:rsidR="0010189B" w:rsidRDefault="00D403FA">
      <w:pPr>
        <w:spacing w:after="200"/>
        <w:ind w:firstLine="4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10189B" w:rsidRDefault="00D403FA">
      <w:pPr>
        <w:spacing w:after="1000"/>
        <w:ind w:firstLine="425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Система заключения пари на основе смарт-контрактов</w:t>
      </w:r>
    </w:p>
    <w:p w:rsidR="0010189B" w:rsidRDefault="00D403FA">
      <w:pPr>
        <w:spacing w:after="0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образования: магистратура</w:t>
      </w:r>
    </w:p>
    <w:p w:rsidR="0010189B" w:rsidRDefault="00D403FA">
      <w:pPr>
        <w:spacing w:after="0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Направление: 02.04.02 «Фундаментальная информатика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технологии»</w:t>
      </w:r>
    </w:p>
    <w:p w:rsidR="0010189B" w:rsidRDefault="00D403FA">
      <w:pPr>
        <w:spacing w:after="2000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образовательная программа: ВМ.5502 «Вычислительные технологии»</w:t>
      </w:r>
    </w:p>
    <w:p w:rsidR="0010189B" w:rsidRDefault="00D403FA">
      <w:pPr>
        <w:spacing w:after="0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руководитель:</w:t>
      </w:r>
    </w:p>
    <w:p w:rsidR="0010189B" w:rsidRDefault="00D403FA">
      <w:pPr>
        <w:spacing w:after="1600"/>
        <w:ind w:left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кафедры КММС, кандидат физико-математических наук, Корхов В.В.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Рецензент: кандидат наук СПбГУ, ведущий программист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ООО «ОСЕНСУ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АРМ», Балян С.Г.</w:t>
      </w:r>
    </w:p>
    <w:p w:rsidR="0010189B" w:rsidRDefault="00D403FA">
      <w:pPr>
        <w:spacing w:after="0"/>
        <w:ind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Санкт-Петербург</w:t>
      </w:r>
    </w:p>
    <w:p w:rsidR="0010189B" w:rsidRDefault="00D403FA">
      <w:pPr>
        <w:spacing w:after="0"/>
        <w:ind w:firstLine="425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 год</w:t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93321817"/>
        <w:docPartObj>
          <w:docPartGallery w:val="Table of Contents"/>
          <w:docPartUnique/>
        </w:docPartObj>
      </w:sdtPr>
      <w:sdtEndPr/>
      <w:sdtContent>
        <w:p w:rsidR="0010189B" w:rsidRDefault="00D403FA">
          <w:pPr>
            <w:pStyle w:val="af1"/>
            <w:spacing w:before="0" w:after="120" w:line="360" w:lineRule="auto"/>
          </w:pPr>
          <w:r>
            <w:rPr>
              <w:rStyle w:val="12"/>
            </w:rPr>
            <w:t>Содержание</w:t>
          </w:r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rPr>
              <w:rStyle w:val="a9"/>
              <w:webHidden/>
            </w:rPr>
            <w:instrText>TOC \z \o "1-3" \u \h</w:instrText>
          </w:r>
          <w:r>
            <w:rPr>
              <w:rStyle w:val="a9"/>
            </w:rPr>
            <w:fldChar w:fldCharType="separate"/>
          </w:r>
          <w:hyperlink w:anchor="_Toc41847861">
            <w:r>
              <w:rPr>
                <w:rStyle w:val="a9"/>
                <w:webHidden/>
              </w:rPr>
              <w:t xml:space="preserve">Введение </w:t>
            </w:r>
            <w:r>
              <w:rPr>
                <w:rStyle w:val="a9"/>
                <w:rFonts w:cstheme="majorBidi"/>
              </w:rPr>
              <w:t>Актуальность проблемы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2">
            <w:r>
              <w:rPr>
                <w:rStyle w:val="a9"/>
                <w:webHidden/>
              </w:rPr>
              <w:t>О проблеме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3">
            <w:r>
              <w:rPr>
                <w:rStyle w:val="a9"/>
                <w:webHidden/>
              </w:rPr>
              <w:t>Цель работы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4">
            <w:r>
              <w:rPr>
                <w:rStyle w:val="a9"/>
                <w:webHidden/>
              </w:rPr>
              <w:t>Постановка задачи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5">
            <w:r>
              <w:rPr>
                <w:rStyle w:val="a9"/>
                <w:webHidden/>
              </w:rPr>
              <w:t>Обзор существ</w:t>
            </w:r>
            <w:r>
              <w:rPr>
                <w:rStyle w:val="a9"/>
                <w:webHidden/>
              </w:rPr>
              <w:t>ующих систем и инструментов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6">
            <w:r>
              <w:rPr>
                <w:rStyle w:val="a9"/>
                <w:webHidden/>
              </w:rPr>
              <w:t>Обзор платформ распределенных реестров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7">
            <w:r>
              <w:rPr>
                <w:rStyle w:val="a9"/>
                <w:webHidden/>
                <w:lang w:val="en-US"/>
              </w:rPr>
              <w:t>Ethereum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8">
            <w:r>
              <w:rPr>
                <w:rStyle w:val="a9"/>
                <w:webHidden/>
                <w:lang w:val="en-US"/>
              </w:rPr>
              <w:t>NEO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69">
            <w:r>
              <w:rPr>
                <w:rStyle w:val="a9"/>
                <w:rFonts w:eastAsia="Times New Roman"/>
                <w:webHidden/>
                <w:lang w:val="en-US"/>
              </w:rPr>
              <w:t>EOS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0">
            <w:r>
              <w:rPr>
                <w:rStyle w:val="a9"/>
                <w:webHidden/>
              </w:rPr>
              <w:t>Глава 1. План разработки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1">
            <w:r>
              <w:rPr>
                <w:rStyle w:val="a9"/>
                <w:webHidden/>
              </w:rPr>
              <w:t>1.1. Разработка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2">
            <w:r>
              <w:rPr>
                <w:rStyle w:val="a9"/>
                <w:webHidden/>
              </w:rPr>
              <w:t>1.2. Тестирование работы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3">
            <w:r>
              <w:rPr>
                <w:rStyle w:val="a9"/>
                <w:webHidden/>
              </w:rPr>
              <w:t>Глава 2. Разработка системы заключения пари на основе смарт-контрактов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4">
            <w:r>
              <w:rPr>
                <w:rStyle w:val="a9"/>
                <w:webHidden/>
              </w:rPr>
              <w:t>2.1. Детальный обзор существующих методов и инструментов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5">
            <w:r>
              <w:rPr>
                <w:rStyle w:val="a9"/>
                <w:webHidden/>
              </w:rPr>
              <w:t>2.3. Разработка собственного подхода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6">
            <w:r>
              <w:rPr>
                <w:rStyle w:val="a9"/>
                <w:webHidden/>
              </w:rPr>
              <w:t>2.3.1. Описание системы на основе смарт-контрактов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7">
            <w:r>
              <w:rPr>
                <w:rStyle w:val="a9"/>
                <w:webHidden/>
              </w:rPr>
              <w:t>2.3.2. Разработка собственного метода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8">
            <w:r>
              <w:rPr>
                <w:rStyle w:val="a9"/>
                <w:webHidden/>
              </w:rPr>
              <w:t>2.4. Архитектура программного комплекса для заключения пари на основе смарт-контрактов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79">
            <w:r>
              <w:rPr>
                <w:rStyle w:val="a9"/>
                <w:webHidden/>
              </w:rPr>
              <w:t xml:space="preserve">Глава 3. Апробация разработанной </w:t>
            </w:r>
            <w:r>
              <w:rPr>
                <w:rStyle w:val="a9"/>
                <w:webHidden/>
              </w:rPr>
              <w:t>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_Toc41847879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80">
            <w:r>
              <w:rPr>
                <w:rStyle w:val="a9"/>
                <w:webHidden/>
              </w:rPr>
              <w:t>3.1. Постановка эксперимента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_Toc41847880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81">
            <w:r>
              <w:rPr>
                <w:rStyle w:val="a9"/>
                <w:webHidden/>
              </w:rPr>
              <w:t>3.2. Локальная сеть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_Toc41847881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2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82">
            <w:r>
              <w:rPr>
                <w:rStyle w:val="a9"/>
                <w:webHidden/>
              </w:rPr>
              <w:t>3.3. Глобальная сеть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_Toc41847882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83">
            <w:r>
              <w:rPr>
                <w:rStyle w:val="a9"/>
                <w:webHidden/>
              </w:rPr>
              <w:t>Результаты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_Toc41847883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84">
            <w:r>
              <w:rPr>
                <w:rStyle w:val="a9"/>
                <w:webHidden/>
              </w:rPr>
              <w:t>Заключение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_Toc41847884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hyperlink w:anchor="_Toc41847885">
            <w:r>
              <w:rPr>
                <w:rStyle w:val="a9"/>
                <w:webHidden/>
              </w:rPr>
              <w:t>Список литературы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</w:instrText>
            </w:r>
            <w:r>
              <w:rPr>
                <w:webHidden/>
              </w:rPr>
              <w:instrText>GEREF _Toc41847885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77D22">
              <w:rPr>
                <w:noProof/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10189B" w:rsidRDefault="00D403FA">
          <w:pPr>
            <w:spacing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  <w:rPr>
          <w:rStyle w:val="21"/>
          <w:b/>
        </w:rPr>
      </w:pPr>
      <w:bookmarkStart w:id="0" w:name="_Toc41847861"/>
      <w:r>
        <w:lastRenderedPageBreak/>
        <w:t>Введение</w:t>
      </w:r>
      <w:r>
        <w:br/>
      </w:r>
      <w:r>
        <w:rPr>
          <w:rStyle w:val="21"/>
          <w:b/>
        </w:rPr>
        <w:t>Актуальность проблемы</w:t>
      </w:r>
      <w:bookmarkEnd w:id="0"/>
    </w:p>
    <w:p w:rsidR="0010189B" w:rsidRDefault="00D403FA">
      <w:pPr>
        <w:pStyle w:val="af4"/>
      </w:pPr>
      <w:r>
        <w:t xml:space="preserve">В современном мире довольно часто возникают спорные моменты и ситуации, для решения которых не обойтись без вмешательства </w:t>
      </w:r>
      <w:r>
        <w:t>третьей стороны. Так, например, существуют суды различных уровней для принятия решений по спорным ситуациям.</w:t>
      </w:r>
    </w:p>
    <w:p w:rsidR="0010189B" w:rsidRDefault="00D403FA">
      <w:pPr>
        <w:pStyle w:val="af4"/>
      </w:pPr>
      <w:r>
        <w:t>Несмотря на то, что суды позволяют решить множество различных вопросов, окончательное решение требует большого количества времени даже без учета пр</w:t>
      </w:r>
      <w:r>
        <w:t xml:space="preserve">оцедуры апелляции и обжалования. </w:t>
      </w:r>
    </w:p>
    <w:p w:rsidR="0010189B" w:rsidRDefault="00D403FA">
      <w:pPr>
        <w:pStyle w:val="af4"/>
      </w:pPr>
      <w:r>
        <w:t xml:space="preserve">В контексте данной работы будет рассматриваться класс задач заключения пари, на примере спортивных событий. В дальнейшем этот класс задач можно масштабировать до заключения пари любого вида. Для того, чтобы заключить пари </w:t>
      </w:r>
      <w:r>
        <w:t>на спортивные события, существуют букмекерские компании, которые с одной стороны позволяют осуществить сделки удобным образом, но с другой стороны: во-первых, сделки заключаются непосредственно с букмекером, а во-вторых букмекер контролируют все денежные с</w:t>
      </w:r>
      <w:r>
        <w:t>редства пользователя, а также имеет возможность, например, осуществлять дополнительные проверки в случае большого выигрыша и имеет право отказать в выплате положенного вознаграждения. Это часто приводит к возникновению судебных разбирательств.</w:t>
      </w:r>
    </w:p>
    <w:p w:rsidR="0010189B" w:rsidRDefault="00D403FA">
      <w:pPr>
        <w:pStyle w:val="af4"/>
      </w:pPr>
      <w:r>
        <w:t>В данной раб</w:t>
      </w:r>
      <w:r>
        <w:t>оте предлагается использовать технологии распределенных реестров, с целью формирования доверительной среды между участниками системы и снижения издержек, связанных с недоверием третьим лицам.</w:t>
      </w:r>
    </w:p>
    <w:p w:rsidR="0010189B" w:rsidRDefault="00D403FA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26"/>
          <w:lang w:eastAsia="ru-RU"/>
        </w:rPr>
      </w:pPr>
      <w:r>
        <w:br w:type="page"/>
      </w:r>
    </w:p>
    <w:p w:rsidR="0010189B" w:rsidRDefault="00D403FA">
      <w:pPr>
        <w:pStyle w:val="23"/>
      </w:pPr>
      <w:bookmarkStart w:id="1" w:name="_Toc41847862"/>
      <w:r>
        <w:lastRenderedPageBreak/>
        <w:t>О проблеме</w:t>
      </w:r>
      <w:bookmarkEnd w:id="1"/>
    </w:p>
    <w:p w:rsidR="0010189B" w:rsidRDefault="00D403FA">
      <w:pPr>
        <w:pStyle w:val="af4"/>
      </w:pPr>
      <w:r>
        <w:t xml:space="preserve">Если рассмотреть детальнее букмекерские конторы, то очевидно, что сделка заключается между человеком, который хочет сделать ставку и непосредственно конторой, при этом все денежные средства человека, от момента пополнения счета и до момента вывода средств </w:t>
      </w:r>
      <w:r>
        <w:t xml:space="preserve">контролируются букмекерской конторой. Также букмекерские конторы сотрудничают с теми, у кого есть доступ к большой аудитории, посредством реферальных программ. </w:t>
      </w:r>
    </w:p>
    <w:p w:rsidR="0010189B" w:rsidRDefault="00D403FA">
      <w:pPr>
        <w:pStyle w:val="af4"/>
      </w:pPr>
      <w:r>
        <w:t>Например, известный человек может рекламировать букмекерскую контору и в последующем получать п</w:t>
      </w:r>
      <w:r>
        <w:t>роценты от проигрышей тех людей, кто зарегистрировался в системе по его приглашению.</w:t>
      </w:r>
    </w:p>
    <w:p w:rsidR="0010189B" w:rsidRDefault="00D403FA">
      <w:pPr>
        <w:pStyle w:val="af4"/>
      </w:pPr>
      <w:r>
        <w:t xml:space="preserve">Многочисленные случаи мошенничества в этой сфере говорят о том, что существует проблема чрезмерного контроля средств пользователей со стороны букмекерских контор, а также </w:t>
      </w:r>
      <w:r>
        <w:t>проблема чрезмерного вынужденного доверия пользователей.</w:t>
      </w:r>
    </w:p>
    <w:p w:rsidR="0010189B" w:rsidRDefault="00D403FA">
      <w:pPr>
        <w:pStyle w:val="af4"/>
      </w:pPr>
      <w:r>
        <w:t>Для того чтобы все участники заключения сделки были равноправными, предлагается использовать технологию распределенных реестров. Такой подход формирует доверительную среду между всеми участниками, по</w:t>
      </w:r>
      <w:r>
        <w:t>зволяет заключать сделки напрямую между пользователями системы, а также освобождает пользователей от риска возможных судебных разбирательств благодаря прозрачности системы.</w:t>
      </w:r>
    </w:p>
    <w:p w:rsidR="0010189B" w:rsidRDefault="0010189B">
      <w:pPr>
        <w:pStyle w:val="af4"/>
      </w:pP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2" w:name="_Toc41847863"/>
      <w:r>
        <w:lastRenderedPageBreak/>
        <w:t>Цель работы</w:t>
      </w:r>
      <w:bookmarkEnd w:id="2"/>
    </w:p>
    <w:p w:rsidR="0010189B" w:rsidRDefault="00D403FA">
      <w:pPr>
        <w:pStyle w:val="af4"/>
      </w:pPr>
      <w:r>
        <w:t>Глобальной целью работы является разработка системы с использованием</w:t>
      </w:r>
      <w:r>
        <w:t xml:space="preserve"> технологии распределенных реестров, которая позволяет минимизировать риски всех ее участников. Также система должна удовлетворять следующему ряду требований:</w:t>
      </w:r>
    </w:p>
    <w:p w:rsidR="0010189B" w:rsidRDefault="00D403FA">
      <w:pPr>
        <w:pStyle w:val="af4"/>
      </w:pPr>
      <w:r>
        <w:t>Удобство и прозрачность. Система должна быть удобной для пользователя и обладать тем же функциона</w:t>
      </w:r>
      <w:r>
        <w:t>лом, что и системы без наличия технологии распределенных реестров.</w:t>
      </w:r>
    </w:p>
    <w:p w:rsidR="0010189B" w:rsidRDefault="00D403FA">
      <w:pPr>
        <w:pStyle w:val="af4"/>
      </w:pPr>
      <w:r>
        <w:t>Скорость и масштабируемость. Распределенный реестр должен обладать довольно высокой скоростью совершения транзакций для того, чтобы поддерживать заключение пари как в обычном, так и в так н</w:t>
      </w:r>
      <w:r>
        <w:t>азываемом живом режиме.</w:t>
      </w:r>
    </w:p>
    <w:p w:rsidR="0010189B" w:rsidRDefault="00D403FA">
      <w:pPr>
        <w:pStyle w:val="af4"/>
      </w:pPr>
      <w:r>
        <w:t>Кроссплатформенное взаимодействие. Взаимодействие с реестром должно осуществляться как из браузера, так и из мобильного устройства.</w:t>
      </w:r>
    </w:p>
    <w:p w:rsidR="0010189B" w:rsidRDefault="00D403FA">
      <w:pPr>
        <w:pStyle w:val="af4"/>
      </w:pPr>
      <w:r>
        <w:t>Использование криптовалюты. Система должна иметь возможность интеграции с одной или несколькими наиб</w:t>
      </w:r>
      <w:r>
        <w:t>олее популярными существующими криптовалютами. Из этого аспекта также вытекает требование анонимности пользователя.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3" w:name="_Toc41847864"/>
      <w:r>
        <w:lastRenderedPageBreak/>
        <w:t>Постановка задачи</w:t>
      </w:r>
      <w:bookmarkEnd w:id="3"/>
    </w:p>
    <w:p w:rsidR="0010189B" w:rsidRDefault="00D403FA">
      <w:pPr>
        <w:pStyle w:val="af4"/>
        <w:ind w:firstLine="0"/>
      </w:pPr>
      <w:r>
        <w:tab/>
        <w:t>Для достижения цели были поставлены следующие подзадачи:</w:t>
      </w:r>
    </w:p>
    <w:p w:rsidR="0010189B" w:rsidRDefault="00D403FA">
      <w:pPr>
        <w:pStyle w:val="af4"/>
        <w:numPr>
          <w:ilvl w:val="0"/>
          <w:numId w:val="13"/>
        </w:numPr>
      </w:pPr>
      <w:r>
        <w:t>Обзор и анализ существующих систем и инструментов.</w:t>
      </w:r>
    </w:p>
    <w:p w:rsidR="0010189B" w:rsidRDefault="00D403FA">
      <w:pPr>
        <w:pStyle w:val="af4"/>
        <w:numPr>
          <w:ilvl w:val="0"/>
          <w:numId w:val="13"/>
        </w:numPr>
      </w:pPr>
      <w:r>
        <w:t>Обзор и ана</w:t>
      </w:r>
      <w:r>
        <w:t>лиз платформ распределенных реестров.</w:t>
      </w:r>
    </w:p>
    <w:p w:rsidR="0010189B" w:rsidRDefault="00D403FA">
      <w:pPr>
        <w:pStyle w:val="af4"/>
        <w:numPr>
          <w:ilvl w:val="0"/>
          <w:numId w:val="13"/>
        </w:numPr>
      </w:pPr>
      <w:r>
        <w:t>Разработка системы.</w:t>
      </w:r>
    </w:p>
    <w:p w:rsidR="0010189B" w:rsidRDefault="00D403FA">
      <w:pPr>
        <w:pStyle w:val="af4"/>
        <w:numPr>
          <w:ilvl w:val="0"/>
          <w:numId w:val="13"/>
        </w:numPr>
      </w:pPr>
      <w:r>
        <w:t>Тестирование работы системы.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4" w:name="_Toc41847865"/>
      <w:r>
        <w:lastRenderedPageBreak/>
        <w:t>Обзор существующих систем и инструментов</w:t>
      </w:r>
      <w:bookmarkEnd w:id="4"/>
    </w:p>
    <w:p w:rsidR="0010189B" w:rsidRDefault="00D403FA">
      <w:pPr>
        <w:pStyle w:val="af4"/>
      </w:pPr>
      <w:r>
        <w:t>На данный момент уже существуют некоторые букмекерские конторы с использованием технологии блокчейн, но к сожалению, многие из</w:t>
      </w:r>
      <w:r>
        <w:t xml:space="preserve"> них уже либо перестали предоставлять свои услуги, либо обладают большим количеством недостатков. Рассмотрим некоторые из них:</w:t>
      </w:r>
    </w:p>
    <w:p w:rsidR="0010189B" w:rsidRDefault="00D403FA">
      <w:pPr>
        <w:pStyle w:val="af4"/>
        <w:numPr>
          <w:ilvl w:val="0"/>
          <w:numId w:val="14"/>
        </w:numPr>
      </w:pPr>
      <w:r>
        <w:t>Augur [1] - одна из наиболее популярных платформ, где можно участвовать в прогнозах и делать ставки на прогнозы в BTC и Ethereum.</w:t>
      </w:r>
      <w:r>
        <w:t xml:space="preserve"> Разработка началась в 2014, а окончательный запуск произошел в июле 2018. Augur реализован на базе Ethereum, а разработчики Ethereum являлись консультантами. По своей сути Augur представляет собой протокол для осуществления сделок на рынке предсказаний. В</w:t>
      </w:r>
      <w:r>
        <w:t xml:space="preserve"> контексте данной работы протокол Augur представляет наибольший интерес и может быть взят за основу протокола ставок на спортивные события.</w:t>
      </w:r>
    </w:p>
    <w:p w:rsidR="0010189B" w:rsidRDefault="00D403FA">
      <w:pPr>
        <w:pStyle w:val="af4"/>
        <w:numPr>
          <w:ilvl w:val="0"/>
          <w:numId w:val="1"/>
        </w:numPr>
      </w:pPr>
      <w:r>
        <w:t>Onehash [2] - была запущена в 2013 году. Для того, чтобы использовать систему необходим адрес BTC кошелька и электро</w:t>
      </w:r>
      <w:r>
        <w:t>нная почта. К плюсам данной системы относят наличие мобильной версии системы и поддержку BTC. К минусам - ограниченный выбор платежных систем, а также из-за использования электронной почты и других данных - отсутствие анонимности. В последнее время система</w:t>
      </w:r>
      <w:r>
        <w:t xml:space="preserve"> недоступна.</w:t>
      </w:r>
    </w:p>
    <w:p w:rsidR="0010189B" w:rsidRDefault="00D403FA">
      <w:pPr>
        <w:pStyle w:val="af4"/>
        <w:numPr>
          <w:ilvl w:val="0"/>
          <w:numId w:val="1"/>
        </w:numPr>
      </w:pPr>
      <w:r>
        <w:t xml:space="preserve">Betmatch [3] - основана в 2018 году, поддерживает ставки на разные спортивные события и каждый участник может посмотреть ставки других участников. Базируется на платформе Ethereum и обладает собственными токенами XBM. К плюсам системы относят </w:t>
      </w:r>
      <w:r>
        <w:t>наличие мобильной версии и поддержку ETH, BTC, LTC и собственных токенов системы XBM, а к минусам - сомнение использования реальной технологии распределенных реестров и наличие дополнительных проверок при выводе средств.</w:t>
      </w:r>
    </w:p>
    <w:p w:rsidR="0010189B" w:rsidRDefault="00D403FA">
      <w:pPr>
        <w:pStyle w:val="af4"/>
        <w:numPr>
          <w:ilvl w:val="0"/>
          <w:numId w:val="1"/>
        </w:numPr>
      </w:pPr>
      <w:r>
        <w:lastRenderedPageBreak/>
        <w:t xml:space="preserve">1xBit [4] - основана в 2016 году, </w:t>
      </w:r>
      <w:r>
        <w:t>поддерживает более 20 криптовалют, к плюсам относят - полную анонимность и поддержку криптовалют, а к минусам отсутствие токенов и мобильной версии системы.</w:t>
      </w:r>
    </w:p>
    <w:p w:rsidR="0010189B" w:rsidRDefault="00D403FA">
      <w:pPr>
        <w:pStyle w:val="af4"/>
        <w:rPr>
          <w:rFonts w:eastAsiaTheme="majorEastAsia"/>
          <w:b/>
          <w:sz w:val="36"/>
          <w:szCs w:val="32"/>
        </w:rPr>
      </w:pPr>
      <w:r>
        <w:t>На основе выдвинутых требований (удобство и прозрачность, скорость и масштабируемость, кроссплатфор</w:t>
      </w:r>
      <w:r>
        <w:t>менность, интеграция с криптовалютами) были сформулированы критерии выбора платформы распределенных реестров. В результате анализа существующих платформ распределенных реестров и статей схожей тематики было выявлено, что наиболее пригодными платформами для</w:t>
      </w:r>
      <w:r>
        <w:t xml:space="preserve"> реализации системы являются Ethereum-подобные платформы, которые изначально были спроектированы с возможностью построения умной экономики.  На основании этого были выбраны следующие кандидаты для более детального рассмотрения: Ethereum, NEO, EOS.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5" w:name="_Toc41847866"/>
      <w:r>
        <w:lastRenderedPageBreak/>
        <w:t xml:space="preserve">Обзор </w:t>
      </w:r>
      <w:r>
        <w:t>платформ распределенных реестров</w:t>
      </w:r>
      <w:bookmarkEnd w:id="5"/>
    </w:p>
    <w:p w:rsidR="0010189B" w:rsidRDefault="00D403FA">
      <w:pPr>
        <w:pStyle w:val="af4"/>
        <w:rPr>
          <w:b/>
          <w:bCs/>
          <w:color w:val="000000"/>
          <w:sz w:val="36"/>
          <w:szCs w:val="36"/>
        </w:rPr>
      </w:pPr>
      <w:r>
        <w:t xml:space="preserve">На основе выдвинутых требований для системы можно сформулировать критерии выбора платформы распределенных реестров. Из требования скорости и масштабируемости можно вывести параметр tps (transactions per second - количество </w:t>
      </w:r>
      <w:r>
        <w:t>транзакций в секунду). Из требования кроссплатформенности следует поддержка реестром JavaScript взаимодействия. А из требования наличия поддержки криптовалют следуют поддержка анонимизации и реализованная криптовалюта на базе реестра либо механизм токенов.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23"/>
      </w:pPr>
      <w:bookmarkStart w:id="6" w:name="_Toc41847867"/>
      <w:r>
        <w:rPr>
          <w:lang w:val="en-US"/>
        </w:rPr>
        <w:lastRenderedPageBreak/>
        <w:t>Ethereum</w:t>
      </w:r>
      <w:bookmarkEnd w:id="6"/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Toc3904919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всего следует детально рассмотреть принципы работы Ethereum. В Ethereum блокчейн представляет собой криптографически защищенную машину, которая может находиться в одном состоянии, при этом состояние доступно всем. На базе Ethereum реализ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ована собственная криптовалюта. Операции с криптовалютой защищены математическими алгоритмами.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реагирует на транзакции и переходит в определенное состояние, представляющее собой некую глобальную правду, которой все доверяют. При этом определенное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стояние доступно каждому. Машина может считывать последовательности ввода, и на основе этих последовательностей совершать транзакцию, которая переводит машину в новое состояние (Рисунок 1). Существует нулевое состояние - genesis state (Рисунок 2). Перед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пуском каждой транзакции, нулевое состояние переходит в финальное состояние, которое по факту отображает текущее состояние системы Ethereum.</w:t>
      </w:r>
    </w:p>
    <w:p w:rsidR="0010189B" w:rsidRDefault="00D403F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7620" distL="0" distR="0">
            <wp:extent cx="4038600" cy="2964180"/>
            <wp:effectExtent l="0" t="0" r="0" b="0"/>
            <wp:docPr id="1" name="Рисунок 1" descr="https://lh3.googleusercontent.com/k_pmJ25qtCJGrDuW1bP532yryIAt5gRkRwN-uBfqVNIr8V8TeK-i9pijktSp9EHq7rALZMFLC7u34nyL6WgWTXAVlfHoHDhb2iC2-SlNa52gsC-O2TDN4yf1wUP0lZ76Bus2_Z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lh3.googleusercontent.com/k_pmJ25qtCJGrDuW1bP532yryIAt5gRkRwN-uBfqVNIr8V8TeK-i9pijktSp9EHq7rALZMFLC7u34nyL6WgWTXAVlfHoHDhb2iC2-SlNa52gsC-O2TDN4yf1wUP0lZ76Bus2_Zj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9B" w:rsidRDefault="00D403F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</w:t>
      </w:r>
      <w:r w:rsidR="00677D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Схемати</w:t>
      </w:r>
      <w:r w:rsidR="00677D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чное устройство машины Ethereum</w:t>
      </w:r>
    </w:p>
    <w:p w:rsidR="0010189B" w:rsidRDefault="00D403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3810">
            <wp:extent cx="5730240" cy="1341120"/>
            <wp:effectExtent l="0" t="0" r="0" b="0"/>
            <wp:docPr id="2" name="Рисунок 2" descr="https://lh3.googleusercontent.com/7LksxhPIGwXypN6asiKUrzY4pHKNtSSjfvsgDd3WKnS7DMmNS1q7wuEGOhE9f0Ptlyv8xB8yyOnLcOzUfbiWB8Hief-tN1mINKbzUMt5dmWQ-8Q-aSgjJRdWaaVDq0A7xJgPjo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lh3.googleusercontent.com/7LksxhPIGwXypN6asiKUrzY4pHKNtSSjfvsgDd3WKnS7DMmNS1q7wuEGOhE9f0Ptlyv8xB8yyOnLcOzUfbiWB8Hief-tN1mINKbzUMt5dmWQ-8Q-aSgjJRdWaaVDq0A7xJgPjoL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2</w:t>
      </w:r>
      <w:r w:rsidR="00677D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Переход путем транзакций из нулевого состояние в </w:t>
      </w:r>
      <w:r w:rsidR="00677D2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текущее</w:t>
      </w:r>
    </w:p>
    <w:p w:rsidR="0010189B" w:rsidRDefault="001018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Текущее состояние машины Ethereum складывается из огромного количества транзакций, которые уже были совершены. Транзакции группируются в блоки (Рисунок 3).</w:t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3810">
            <wp:extent cx="5730240" cy="1828800"/>
            <wp:effectExtent l="0" t="0" r="0" b="0"/>
            <wp:docPr id="3" name="Рисунок 3" descr="https://lh5.googleusercontent.com/YBGSZAgDb2mYM8a-4AZKVFdlj8FYCaxrk7FydHcQ9n6WVhnr8nxml2_oUTULQyYgHB5uNSXzh3UbKBnb_-frHlOtLm3WVv_9qg07itAEn8hmeXAvYzRGzQundT9B4735teZlNJ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lh5.googleusercontent.com/YBGSZAgDb2mYM8a-4AZKVFdlj8FYCaxrk7FydHcQ9n6WVhnr8nxml2_oUTULQyYgHB5uNSXzh3UbKBnb_-frHlOtLm3WVv_9qg07itAEn8hmeXAvYzRGzQundT9B4735teZlNJX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2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3:</w:t>
      </w:r>
      <w:r w:rsidRPr="008D72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Схематичн</w:t>
      </w:r>
      <w:r w:rsidR="008D72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ое представление цепочки блоков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совершить изменение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стояния транзакцию необходимо подтвердить, а процесс подтверждения транзакции называется майнингом. Группа узлов распределенной сети тратит свои вычислительные ресурсы, для того чтобы создать блок подтвержденных транзакций.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узел, который объявил себя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майнером, может принять участие в процессе подтверждения блоков транзакций. Каждый майнер предоставляет математическое доказательство решения задачи полного перебора, а в момент отправки блока в цепочку, это доказательство служит гарантией подтверждения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блок был добавлен в блокчейн конкретным майнером, этому майнеру необходимо предоставить доказательство быстрее остальных. По-другому, такой алгоритм добавления новых блоков на основе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соперничества в подборе математических доказательст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называется алгоритмом консенсуса proof-of-work.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Ethereum содержит в себе следующие процессы и компоненты: аккаунты, состояния, gas, транзакции, блоки, майнинг и алгоритм консенсуса proof-of-work.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Аккаунты могут взаимодействовать между собой. Каждый аккау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 содержит состояние и 20-ти байтовый адрес. Адрес позволяет идентифицировать аккаунт в сети. Существует внешние и контрактовые аккаунты.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Внешние аккаунты могут отправлять сообщения другим внешним аккаунтам, или другим контрактным аккаунтам, подписывая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анзакции своим приватным ключом. Передача сообщения между внешними аккаунтами представляет собой простую передачу значения, а сообщение между внешним аккаунтом и контрактным аккаунтом - запуск кода смарт-контракта. Контрактные аккаунты не могут инициализир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 и запускать транзакции сами по себе, но могут выполнять транзакции в ответ на полученные транзакции. В связи с этим, любое изменение в сети Ethereum вызывается транзакциями внешних аккаунтов.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Глобальное состояние сети Ethereum складывается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соответствия адресов аккаунтов и состояний аккаунтов. В качестве структуры данных для хранения этого соответствия используется Merkle Patricia Tree [5] - вид бинарного дерева (Рисунок 4), в котором:</w:t>
      </w:r>
    </w:p>
    <w:p w:rsidR="0010189B" w:rsidRDefault="00D403FA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 данные хранятся в листьях дерева.</w:t>
      </w:r>
    </w:p>
    <w:p w:rsidR="0010189B" w:rsidRDefault="00D403FA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Промежуточные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 являются хэшем их двух потомков.</w:t>
      </w:r>
    </w:p>
    <w:p w:rsidR="0010189B" w:rsidRDefault="00D403FA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 дерева, как и промежуточные узлы формируется из двух хэшей его потомков.</w:t>
      </w:r>
    </w:p>
    <w:p w:rsidR="0010189B" w:rsidRDefault="00D403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3810">
            <wp:extent cx="5730240" cy="2781300"/>
            <wp:effectExtent l="0" t="0" r="0" b="0"/>
            <wp:docPr id="4" name="Рисунок 4" descr="https://lh4.googleusercontent.com/W_c2E2P2cAq5Z3qgv2jtE6PiXDUfmZFBhPRczPYW4JIBIL_nypkWn9Ib7UVEmyJTScIX_4Nm9UDjhMVlhB410VtfsbRE1zInRzeUljQS2_btI5-anw5b1Jh1zJxJMnMz7X-yL1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lh4.googleusercontent.com/W_c2E2P2cAq5Z3qgv2jtE6PiXDUfmZFBhPRczPYW4JIBIL_nypkWn9Ib7UVEmyJTScIX_4Nm9UDjhMVlhB410VtfsbRE1zInRzeUljQS2_btI5-anw5b1Jh1zJxJMnMz7X-yL1_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4: Схематичное представление дерева Меркла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дерево должно иметь ключ значения для каждого узла, хранящегося в нем. Начиная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узла, ключ должен указывать, в какую ветку направиться, чтобы получить конечное значение, хранящееся в листьях.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же структура используется для хранения транзакций. Каждый блок имеет заголовок, который содержит хэш корня трех деревьев Меркла: 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tate tree, Transactions tree, Receipts tree (Рисунок 5).</w:t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7620" distL="0" distR="3810">
            <wp:extent cx="4053840" cy="2811780"/>
            <wp:effectExtent l="0" t="0" r="0" b="0"/>
            <wp:docPr id="5" name="Рисунок 5" descr="https://lh3.googleusercontent.com/lPqfZVNUEsKg8FIuG92TDOQSm6q-NtaQurFsn3bwvMzqMe-TB0P5GEvqlUeLolpUSnausC6XJfswJ4b8MUIG-R3NychvybRHuRcJGKWD762Nsg2SZYSoaXjqKVOPcfwVvyBjk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lh3.googleusercontent.com/lPqfZVNUEsKg8FIuG92TDOQSm6q-NtaQurFsn3bwvMzqMe-TB0P5GEvqlUeLolpUSnausC6XJfswJ4b8MUIG-R3NychvybRHuRcJGKWD762Nsg2SZYSoaXjqKVOPcfwVvyBjkNe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5</w:t>
      </w:r>
      <w:r w:rsidR="008D72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Внутрен</w:t>
      </w:r>
      <w:r w:rsidR="008D72E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нее представление каждого блока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Ethereum существует два типа узлов: полновесный и легковесный. Полновесные синхронизируются с сетью путем выкачивания полной цепочки блоков и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полнением этой цепочки от нулевого состояния. Такие узлы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используются майнерами, а выкачивание всей цепочки нужно для процесса майнинга. Легковесные выкачивают только цепочку заголовков, на основе этой цепочки заголовков можно осуществлять проверку транзак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ций. Так как у легковесных есть доступ к заголовкам блоков, содержащих хэши деревьев, они могут получить актуальную и подтвержденную информацию о транзакциях, балансах и аккаунтах.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работает по причине того, что хэши в дереве Меркла генерируются снизу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верх, и если злоумышленник попытается подставить ложную транзакцию вниз дерева, то это изменение вызовет изменения хэша узла дерева, который находится выше и так далее до корня.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Каждый, кто читает доказательство может проверить формирование хеширования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тки и тем самым убедиться, что проверяемые данные находятся на нужном месте.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Преимущество использования дерева Меркла заключается в том, что корень криптографически зависит от данных, которые хранятся в дереве, тем самым для подтверждения данных не нужно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верять все данные дерева целиком, а достаточно сверить только хеши.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Ethereum используется концепция вознаграждений и газа. Любые вычисления, происходящие внутри сети Ethereum, являются результатом выполнения транзакции. Газ - единица измерения вознагражд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каждой транзакции, инициатор указывает лимит газа, и цену газа. Их произведение означает максимум, который инициатор готов потратить на транзакцию. Если баланс инициатора транзакции больше лимита, то транзакция запускается, а остатки газа будут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озвращены на баланс пользователя по исходному курсу (Рисунок 6). </w:t>
      </w:r>
    </w:p>
    <w:p w:rsidR="0010189B" w:rsidRDefault="001018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3810">
            <wp:extent cx="5730240" cy="1866900"/>
            <wp:effectExtent l="0" t="0" r="0" b="0"/>
            <wp:docPr id="6" name="Рисунок 6" descr="https://lh6.googleusercontent.com/pcu03cAH6fBey4y-dNsaH1xKLVXNIQUB04CwAfxnAkT8EaPF5Sw1lmA2LQqo8d7D0mHQFZapAqS2apZ23zLajM9vq8l-we0grYT48B2Bl8c4uVrD1ZTlSUx6AE6JZf4mtNf0mh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lh6.googleusercontent.com/pcu03cAH6fBey4y-dNsaH1xKLVXNIQUB04CwAfxnAkT8EaPF5Sw1lmA2LQqo8d7D0mHQFZapAqS2apZ23zLajM9vq8l-we0grYT48B2Bl8c4uVrD1ZTlSUx6AE6JZf4mtNf0mhH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6: Описание механизма транзакции в случае остатка газа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если пользователь не может покрыть заявленный лимит, транзакция помечается не валидной, машина Ethereum откатится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состоянию до запуска транзакции, а остаток не появится в принципе (Рисунок 7).</w:t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3810">
            <wp:extent cx="5730240" cy="1569720"/>
            <wp:effectExtent l="0" t="0" r="0" b="0"/>
            <wp:docPr id="7" name="Рисунок 7" descr="https://lh5.googleusercontent.com/F6Jahyglsc6zz60l93DF02XcmRoBay5ItLVfCAYwZ5lk4XTeoa0Ahk8Ja6LACmvuvgD8k4LRQOzlb3vWkbU2ytKBcq46z5b8IV-nbYoSIny3H0425PSt5lv8wA_N4e6YY6CXyM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lh5.googleusercontent.com/F6Jahyglsc6zz60l93DF02XcmRoBay5ItLVfCAYwZ5lk4XTeoa0Ahk8Ja6LACmvuvgD8k4LRQOzlb3vWkbU2ytKBcq46z5b8IV-nbYoSIny3H0425PSt5lv8wA_N4e6YY6CXyMo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7: Описание механизма транзакции в случае нехватки газа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средства, потраченные на лимит газа, поступают на счет майнера в качестве благодарности за произведенные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ычисления (Рисунок 8).</w:t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3810">
            <wp:extent cx="5730240" cy="2476500"/>
            <wp:effectExtent l="0" t="0" r="0" b="0"/>
            <wp:docPr id="8" name="Рисунок 8" descr="https://lh6.googleusercontent.com/UVKaLd2dyxhFJsSBPMD6dCuFq5q0ib3gawq6SfTnS1ZQ--3GfGXnC1la4UeJDUrX6S93aEeZa1vsGUJsxxEoPeVq8lSHBl8hBZ2F8-Let9eHgzqfrRRgWMIaC-G5qxKKXW1JaD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lh6.googleusercontent.com/UVKaLd2dyxhFJsSBPMD6dCuFq5q0ib3gawq6SfTnS1ZQ--3GfGXnC1la4UeJDUrX6S93aEeZa1vsGUJsxxEoPeVq8lSHBl8hBZ2F8-Let9eHgzqfrRRgWMIaC-G5qxKKXW1JaDX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8: Принцип начисления газа майнеру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больше заявленный лимит газа, тем большее вознаграждение получит майнер, и с тем большей вероятностью майнер включит транзакцию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новый блок, так как майнер может задать минимальный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овень лимита для включения транзакции в блок.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Газ используется не только для платы за вычисления, но и для платы за хранение данных, при этом если транзакция освобождает место, то плата за выполнение этой операций отменяется, а инициатору такой транзакции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возвращается компенсация за освобожденное место.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операция, выполняемая сетью, одновременно выполняется каждым полновесным узлом. Именно поэтому вычисления в Ethereum обходятся так дорого, вследствие чего смарт-контракты платформы Ethereum целесообра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 использовать для реализации относительно простой бизнес логики и задач. Взимание платы предотвращает перегрузку сети лишней работой.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Ethereum - основанная на транзакциях машина состояний. Другими словами - транзакции, возникающие между аккаунтами, 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еводят глобальное состояние машины Ethereum от одного к другому.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Транзакция - криптографически подписанный фрагмент инструкции, который инициализируется внешним аккаунтом, сериализуется, а затем отправляется в глобальную сеть (Рисунок 9).</w:t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7620" distL="0" distR="7620">
            <wp:extent cx="2887980" cy="3345180"/>
            <wp:effectExtent l="0" t="0" r="0" b="0"/>
            <wp:docPr id="9" name="Рисунок 9" descr="https://lh6.googleusercontent.com/fBEe8U11HkajLbx2lPvlx_2gLTPt6tC8l-X6tpCxTBpNVPKn6CjROSzXKg1lshGKOZbErJ6JuQPmRIrLPmDrHAuAys-SmfVBxpc2yvIs-elWyh1RBYwZohNG0khDur8aILn0tT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lh6.googleusercontent.com/fBEe8U11HkajLbx2lPvlx_2gLTPt6tC8l-X6tpCxTBpNVPKn6CjROSzXKg1lshGKOZbErJ6JuQPmRIrLPmDrHAuAys-SmfVBxpc2yvIs-elWyh1RBYwZohNG0khDur8aILn0tTt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Рисунок 9: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Сущность транзакции</w:t>
      </w:r>
    </w:p>
    <w:p w:rsidR="0010189B" w:rsidRDefault="001018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транзакции можно считать связующим звеном между внешним миром и внутренним состоянием машины Ethereum (Рисунок 10).</w:t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7620" distL="0" distR="7620">
            <wp:extent cx="4335780" cy="3421380"/>
            <wp:effectExtent l="0" t="0" r="0" b="0"/>
            <wp:docPr id="10" name="Рисунок 10" descr="https://lh4.googleusercontent.com/w7kZ6J7_C6vja3nWCYZtyEklIPkObWCR-t6UJj5G0AnTgsjQFgryixLz92LIZ-bM9Io2T1sJYmsi-78L9NHFLDOdZ0DwByqipZeEln7HO9AYRuz02-q11ip5Poyyy6nSbfgsUA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lh4.googleusercontent.com/w7kZ6J7_C6vja3nWCYZtyEklIPkObWCR-t6UJj5G0AnTgsjQFgryixLz92LIZ-bM9Io2T1sJYmsi-78L9NHFLDOdZ0DwByqipZeEln7HO9AYRuz02-q11ip5Poyyy6nSbfgsUA5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10: Схематичное взаимодействие внешних аккаунтов в глобальной сети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Контракты могут взаимодействовать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 собой с помощью вызовов функций или внутренних транзакций другого контракта. Такое взаимодействие отличается от обычных транзакций тем, что инициаторами этих транзакций являются именно контракты, а не внешние аккаунты.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уже было отмечено ранее, 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нзакции группируются в блоки. Блокчейн состоит из последовательности блоков, связанных между собой. Ожидаемое время поиска решения прямо пропорционально сложности, чем сложность выше, тем сложнее подобрать nonce. Тем самым изменяя сложность блока, можно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гулировать время на валидацию блока.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протокола, отвечающая за обработку транзакций, называется EVM (Ethereum Virtual Machine). EVM полная по Тьюрингу виртуальная машина и имеет архитектуру, базирующуюся на стеке, оперативную память и постоянную памя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EVM имеет свой низкоуровневый язык - EVM bytecode. Контракты разрабатываются на высокоуровневом языке Solidity, которые затем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компилируются в EVM bytecode. Перед выполнением каких-либо вычислений, память и стек машины пусты. Далее EVM рекурсивно выпол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няет транзакции, вычисляя на каждой итерации глобальное состояние сети и внутреннее состояние машины. В конце каждой итерации существует 3 возможности:</w:t>
      </w:r>
    </w:p>
    <w:p w:rsidR="0010189B" w:rsidRDefault="00D403FA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Столкнуться с исключением (недостаточное количество газа, неверная инструкция и тд.).</w:t>
      </w:r>
    </w:p>
    <w:p w:rsidR="0010189B" w:rsidRDefault="00D403FA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к следующе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итерации.</w:t>
      </w:r>
    </w:p>
    <w:p w:rsidR="0010189B" w:rsidRDefault="00D403FA">
      <w:pPr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Контролируемая остановка по завершении всех итераций.</w:t>
      </w:r>
    </w:p>
    <w:p w:rsidR="0010189B" w:rsidRDefault="00D403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случае контролируемой остановки блок будет добавлен в цепочку транзакций.</w:t>
      </w:r>
    </w:p>
    <w:p w:rsidR="0010189B" w:rsidRDefault="00D403F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Ethereum обладает большим количеством преимуществ. Платформа реализует собственную криптовалюту, которая являетс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довольно популярной, что обеспечивает надежность использования платформы. С помощью механизма токенов, можно реализовать интеграцию приложения и криптовалюты.</w:t>
      </w:r>
    </w:p>
    <w:p w:rsidR="0010189B" w:rsidRDefault="00D403F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распределенным реестром можно осуществлять с помощью языка JavaScript.</w:t>
      </w:r>
    </w:p>
    <w:p w:rsidR="0010189B" w:rsidRDefault="00D403F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минус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платформы относят довольно низкое значение параметра tps, однако, в протоколе Ethereum 2.0 разработчиками планируется существенно увеличить значение этого параметра до 3000 путем использования другого алгоритма консенсуса.</w:t>
      </w:r>
    </w:p>
    <w:p w:rsidR="0010189B" w:rsidRDefault="00D403FA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26"/>
          <w:lang w:eastAsia="ru-RU"/>
        </w:rPr>
      </w:pPr>
      <w:r>
        <w:br w:type="page"/>
      </w:r>
    </w:p>
    <w:p w:rsidR="0010189B" w:rsidRPr="006E761E" w:rsidRDefault="00D403FA">
      <w:pPr>
        <w:pStyle w:val="23"/>
        <w:ind w:left="360"/>
      </w:pPr>
      <w:bookmarkStart w:id="8" w:name="_Toc41847868"/>
      <w:r>
        <w:rPr>
          <w:lang w:val="en-US"/>
        </w:rPr>
        <w:lastRenderedPageBreak/>
        <w:t>NEO</w:t>
      </w:r>
      <w:bookmarkEnd w:id="8"/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NEO является конкурентом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Ethereum и представляет собой прежде всего платформу для создания распределенных приложений. Так же, как и у Ethereum основная цель платформы NEO удобство для построения умной экономики. Платформа обладает собственными токенами NEO.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NEO содержит следующие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компоненты:</w:t>
      </w:r>
    </w:p>
    <w:p w:rsidR="0010189B" w:rsidRDefault="00D403FA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Цифровые активы - активы, которые существуют в электронном виде. В NEO можно регистрировать и распространять цифровые активы. </w:t>
      </w:r>
    </w:p>
    <w:p w:rsidR="0010189B" w:rsidRDefault="00D403FA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Цифровые идентификаторы - механизм идентификации пользователя на основе сертификатов X509 [6].</w:t>
      </w:r>
    </w:p>
    <w:p w:rsidR="0010189B" w:rsidRDefault="00D403FA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smartNEO - система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арт-контрактов, которые могут быть реализованы на различных языках программирования.</w:t>
      </w:r>
    </w:p>
    <w:p w:rsidR="0010189B" w:rsidRDefault="00D403FA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NEO VM - виртуальная машина NEO для выполнения смарт-контрактов, напоминающая по архитектуре JVM (Java Virtual Machine) [7].</w:t>
      </w:r>
    </w:p>
    <w:p w:rsidR="0010189B" w:rsidRDefault="00D403FA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Экосистема распределенных приложений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NEO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меняется алгоритм консенсуса dBFT (Delegated Byzantine Fault Tolerant). Держатель токена может выбрать узел, которому доверяет, путем голосования. Далее из выбранных узлов формируется группа, которая достигает консенсуса посредством алгоритма BFT [8] и 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ерирует блок. dBFT обеспечивает хорошую окончательность блока, что означает отсутствие ветвления цепочек блоков. На проведение голосования и формирование нового блока тратится около 15-20 секунд, а пропускная способность транзакций может достигать 1000 tps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официальной документации утверждается, что NEO поддерживает взаимодействие с реестром через JavaScript.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большое количество преимуществ, а именно: поддержку различных языков для написания смарт-контрактов, алгоритм консенсуса, позволя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ющий достичь 1000 tps и наличие собственных токенов, NEO обладает и недостатками. К ним относится слабый механизм анонимизации, так как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NEO используются цифровые активы и нужно связывать реального пользователя с цифровыми данными. Также минусом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недостаток алгоритма консенсуса dBTF - склонность к централизации.</w:t>
      </w:r>
    </w:p>
    <w:p w:rsidR="0010189B" w:rsidRPr="006E761E" w:rsidRDefault="00D403FA">
      <w:pPr>
        <w:rPr>
          <w:rFonts w:ascii="Times New Roman" w:eastAsia="Times New Roman" w:hAnsi="Times New Roman" w:cstheme="majorBidi"/>
          <w:b/>
          <w:color w:val="000000" w:themeColor="text1"/>
          <w:sz w:val="32"/>
          <w:szCs w:val="26"/>
          <w:lang w:eastAsia="ru-RU"/>
        </w:rPr>
      </w:pPr>
      <w:r>
        <w:br w:type="page"/>
      </w:r>
    </w:p>
    <w:p w:rsidR="0010189B" w:rsidRDefault="00D403FA">
      <w:pPr>
        <w:pStyle w:val="23"/>
        <w:ind w:left="360"/>
        <w:rPr>
          <w:rFonts w:eastAsia="Times New Roman"/>
        </w:rPr>
      </w:pPr>
      <w:bookmarkStart w:id="9" w:name="_Toc41847869"/>
      <w:r>
        <w:rPr>
          <w:rFonts w:eastAsia="Times New Roman"/>
          <w:lang w:val="en-US"/>
        </w:rPr>
        <w:lastRenderedPageBreak/>
        <w:t>EOS</w:t>
      </w:r>
      <w:bookmarkEnd w:id="9"/>
    </w:p>
    <w:p w:rsidR="0010189B" w:rsidRDefault="00D403FA">
      <w:pPr>
        <w:pStyle w:val="af4"/>
      </w:pPr>
      <w:r>
        <w:rPr>
          <w:lang w:val="en-US"/>
        </w:rPr>
        <w:t>EOS</w:t>
      </w:r>
      <w:r>
        <w:t xml:space="preserve"> - относительно новая платформа, была разработана в 2018 году. Обладает собственной криптовалютой </w:t>
      </w:r>
      <w:r>
        <w:rPr>
          <w:lang w:val="en-US"/>
        </w:rPr>
        <w:t>EOS</w:t>
      </w:r>
      <w:r>
        <w:t>. Ее основной целью являются бесплатные транзакции и увеличение количества тран</w:t>
      </w:r>
      <w:r>
        <w:t>закций в секунду.</w:t>
      </w:r>
    </w:p>
    <w:p w:rsidR="0010189B" w:rsidRDefault="00D403FA">
      <w:pPr>
        <w:pStyle w:val="af4"/>
      </w:pPr>
      <w:r>
        <w:t xml:space="preserve">При наличии плюсов </w:t>
      </w:r>
      <w:r>
        <w:rPr>
          <w:lang w:val="en-US"/>
        </w:rPr>
        <w:t>EOS</w:t>
      </w:r>
      <w:r>
        <w:t xml:space="preserve">: большое количество транзакций в секунду, поддержка взаимодействия через </w:t>
      </w:r>
      <w:r>
        <w:rPr>
          <w:lang w:val="en-US"/>
        </w:rPr>
        <w:t>JavaScript</w:t>
      </w:r>
      <w:r>
        <w:t xml:space="preserve"> и наличие собственной криптовалюты по заявлению разработчиков, </w:t>
      </w:r>
      <w:r>
        <w:rPr>
          <w:lang w:val="en-US"/>
        </w:rPr>
        <w:t>EOS</w:t>
      </w:r>
      <w:r>
        <w:t xml:space="preserve"> на текущий момент довольно новая и нестабильная платформа, а так</w:t>
      </w:r>
      <w:r>
        <w:t>же некоторые исследователи считают [9], что платформа по своей структуре больше похожа на облачный сервис по предоставлению вычислений без криптографии.</w:t>
      </w:r>
    </w:p>
    <w:p w:rsidR="0010189B" w:rsidRDefault="00D403FA">
      <w:pPr>
        <w:pStyle w:val="af4"/>
      </w:pPr>
      <w:r>
        <w:t>На основе обзора, была составлена Таблица 1, отражающая наличие требуемых характеристик у исследуемых п</w:t>
      </w:r>
      <w:r>
        <w:t xml:space="preserve">латформ распределенных реестров. Несмотря на то, что </w:t>
      </w:r>
      <w:r>
        <w:rPr>
          <w:lang w:val="en-US"/>
        </w:rPr>
        <w:t>Ethereum</w:t>
      </w:r>
      <w:r>
        <w:t xml:space="preserve"> уступает в скорости </w:t>
      </w:r>
      <w:r>
        <w:rPr>
          <w:lang w:val="en-US"/>
        </w:rPr>
        <w:t>NEO</w:t>
      </w:r>
      <w:r>
        <w:t xml:space="preserve"> и </w:t>
      </w:r>
      <w:r>
        <w:rPr>
          <w:lang w:val="en-US"/>
        </w:rPr>
        <w:t>EOS</w:t>
      </w:r>
      <w:r>
        <w:t xml:space="preserve">, эта платформа вызывает доверие и обладает хорошим механизмом анонимизации. Также </w:t>
      </w:r>
      <w:r>
        <w:rPr>
          <w:lang w:val="en-US"/>
        </w:rPr>
        <w:t>Ethereum</w:t>
      </w:r>
      <w:r>
        <w:t xml:space="preserve"> используется в протоколе </w:t>
      </w:r>
      <w:r>
        <w:rPr>
          <w:lang w:val="en-US"/>
        </w:rPr>
        <w:t>Augur</w:t>
      </w:r>
      <w:r>
        <w:t xml:space="preserve">, что является весомым аргументом в пользу </w:t>
      </w:r>
      <w:r>
        <w:t xml:space="preserve">выбора </w:t>
      </w:r>
      <w:r>
        <w:rPr>
          <w:lang w:val="en-US"/>
        </w:rPr>
        <w:t>Ethereum</w:t>
      </w:r>
      <w:r>
        <w:t>.</w:t>
      </w:r>
    </w:p>
    <w:p w:rsidR="0010189B" w:rsidRDefault="0010189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552"/>
        <w:gridCol w:w="1430"/>
        <w:gridCol w:w="1367"/>
        <w:gridCol w:w="1982"/>
        <w:gridCol w:w="3004"/>
      </w:tblGrid>
      <w:tr w:rsidR="0010189B"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Платформа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Скорость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JavaScript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Анонимизация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Криптовалюта / Токены</w:t>
            </w:r>
          </w:p>
        </w:tc>
      </w:tr>
      <w:tr w:rsidR="0010189B"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Ethereum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tps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10189B"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NEO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 tps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  <w:tr w:rsidR="0010189B"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EOS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300000 tps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0189B" w:rsidRDefault="00D403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</w:p>
        </w:tc>
      </w:tr>
    </w:tbl>
    <w:p w:rsidR="0010189B" w:rsidRDefault="00D403F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1. Преимущества и недостатки рассматриваемых платформ распределенных реестров.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10" w:name="_Toc41847870"/>
      <w:r>
        <w:lastRenderedPageBreak/>
        <w:t xml:space="preserve">Глава 1. План </w:t>
      </w:r>
      <w:r>
        <w:t>разработки системы</w:t>
      </w:r>
      <w:bookmarkEnd w:id="10"/>
    </w:p>
    <w:p w:rsidR="0010189B" w:rsidRDefault="00D403FA">
      <w:pPr>
        <w:pStyle w:val="23"/>
        <w:ind w:left="360"/>
      </w:pPr>
      <w:bookmarkStart w:id="11" w:name="_Toc41847871"/>
      <w:r>
        <w:t>1.1. Разработка системы</w:t>
      </w:r>
      <w:bookmarkEnd w:id="11"/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анализа плюсов и минусов платформ распределенных реестров с учетом выдвинутых требований было принято решение использовать платформу Ethereum. Рассмотрим подробнее каждый из аспектов системы.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прозрачность: на базе этой платформы имеется возможность разработки приложений с уже готовой инфраструктурой. Ethereum предоставляет глобальную сеть с большим количеством узлов, а также большое количество тестовых сетей [10] с различными алгоритмами 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сенсуса.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 и масштабируемость: не смотря на количество узлов глобальной сети, Etherium позволяет обеспечить в среднем 20 транзакций в секунду, что в целом неплохо для не высоко нагруженных приложений.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Кроссплатформенность: работать с Ethereum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напрямую из браузера и мобильных устройств с помощью расширения Metamask [11].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общем и целом существует 4 вида электронных кошельков:</w:t>
      </w:r>
    </w:p>
    <w:p w:rsidR="0010189B" w:rsidRDefault="00D403FA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Hardware</w:t>
      </w:r>
    </w:p>
    <w:p w:rsidR="0010189B" w:rsidRDefault="00D403FA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Desktop</w:t>
      </w:r>
    </w:p>
    <w:p w:rsidR="0010189B" w:rsidRDefault="00D403FA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</w:p>
    <w:p w:rsidR="0010189B" w:rsidRDefault="00D403FA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Paper</w:t>
      </w:r>
    </w:p>
    <w:p w:rsidR="0010189B" w:rsidRDefault="00D403F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Metamask поддерживает первые три вида кошельков. В случае web-кошелька, Metamask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собой расширение для браузеров Chrome и FireFox. Для создания кошелька необходимо запомнить контрольную фразу из 12 слов (Mnemonic), на основе которой будет сгенерированы публичный и приватный ключи. Metamask хранит ключи в браузере, при этом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промежуточные серверы отсутствуют, а кошелек можно восстановить по контрольной фразе.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точки зрения разработчика, чтобы работать с Metemask используется библиотека web3js, которая осуществляет доступ к ключам, хранящимся внутри Metamask, а затем взаимодей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ствует с помощью этих ключей со смарт-контрактами посредством запросов, реализованных библиотекой web3js [12]. 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криптовалюты: в приложениях на базе Ethereum имеется возможность использования механизма токенов. Токен представляет собой смарт-к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онтракт, реализующий один из интерфейсов, например, ERC20 [13] или ERC721 [14]. Следует отметить, что это наиболее распространенные стандарты, но существуют и другие. Смарт-контракт такого вида обладает методами для передачи единиц токенов и методами для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роверки баланса токенов пользователя. Метод передачи принимает адрес отправителя, адрес получателя и идентификатор токена и реализует процесс передачи единицы токена от одного пользователя к другому. Метод проверки баланса должен быть доступен только владе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льцу токена и возвращать баланс единиц токенов. Внутри смарт-контракта такого вида реализуется защищенный механизм хранения адресов и балансов пользователей.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Преимущество использования токенов в разработке системы заключается в следующем: если децентрализо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ванное приложение реализует интерфейс токена, например, ERC20, то токен этого приложения можно обменять на токен другого приложения, который реализует тот же интерфейс.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Токены можно купить с помощью криптовалюты Ethereum, тем самым использовать криптовалют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напрямую внутри системы.</w:t>
      </w:r>
    </w:p>
    <w:p w:rsidR="0010189B" w:rsidRDefault="00D403FA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26"/>
          <w:lang w:eastAsia="ru-RU"/>
        </w:rPr>
      </w:pPr>
      <w:r>
        <w:br w:type="page"/>
      </w:r>
    </w:p>
    <w:p w:rsidR="0010189B" w:rsidRDefault="00D403FA">
      <w:pPr>
        <w:pStyle w:val="23"/>
        <w:ind w:left="360"/>
      </w:pPr>
      <w:bookmarkStart w:id="12" w:name="_Toc41847872"/>
      <w:r>
        <w:lastRenderedPageBreak/>
        <w:t>1.2. Тестирование работы системы</w:t>
      </w:r>
      <w:bookmarkEnd w:id="12"/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работы системы можно разделить на несколько составляющих:</w:t>
      </w:r>
    </w:p>
    <w:p w:rsidR="0010189B" w:rsidRDefault="00D403FA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непосредственно смарт-контрактов и их методов.</w:t>
      </w:r>
    </w:p>
    <w:p w:rsidR="0010189B" w:rsidRDefault="00D403FA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фронтенда клиентской части приложения.</w:t>
      </w:r>
    </w:p>
    <w:p w:rsidR="0010189B" w:rsidRDefault="00D403FA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работы приложения в локальной сети.</w:t>
      </w:r>
    </w:p>
    <w:p w:rsidR="0010189B" w:rsidRDefault="00D403FA">
      <w:pPr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смарт-контракта после развертывания в глобальной сети.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каждого аспекта применяются различные инструменты, помогающие облегчить процесс тестирования.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тестирования смарт-контрактов используется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инструменты Mocha [15] и Chai [16]. Эти инструменты также применяются и в тестировании JavaScript и Node JS кода. А благодаря использованию фреймворка Truffle [17], процесс написания тестов для смарт-контрактов, реализованных на языке Solidity, становится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похожим на написание тестов для JavaScript кода.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тестировании клиентской части системы удобно использовать фреймворк Ganache [18]. Этот инструмент позволяет довольно просто развернуть локальную сеть Ethereum, при этом в локальной сети будет заведен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10 аккаунтов с балансами 100 ETH внутри сети. Это позволяет совершать большое количество транзакций, при этом используя разные аккаунты для инициации транзакций.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Развернуть децентрализованное приложение, перед загрузкой в основную сеть Etherium можно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 из следующих тестовых сетей:</w:t>
      </w:r>
    </w:p>
    <w:p w:rsidR="0010189B" w:rsidRDefault="00D403FA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Ropsten - тестовая сеть, в которой используется алгоритм консенсуса proof-of-work. Была запущена в ноябре 2016 года. В феврале 2017 на эту сеть была произведена DdoS-атака, что привело к снижению скорости и расходованию 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льшого количества дискового пространства. Работа сети была оперативно восстановлена уже в марте 2017. К преимуществам относится поддержка как протокола Geth, так и протокола Parity. Также эта сеть наиболее точно имитирует Ethereum,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благодаря использованию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 же алгоритма консенсуса. Внутри Ropsten можно майнить ETH, либо получить с помощью faucet-сервисов. К минусам относится уязвимости к спам-атакам. Время записи блока занимает в среднем 30 секунд. </w:t>
      </w:r>
    </w:p>
    <w:p w:rsidR="0010189B" w:rsidRDefault="00D403FA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Kovan - тестовая сеть, которая использует алгоритм proo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f-of-authority. Была запущена в марте 2017 разработчиками из команды Parity. К плюсам сети относится отсутствие спам-атак. К минусам - отсутствие поддержки Geth протокола, а также получением ETH только через faucet-сервисы. Среднее время записи блока - 4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екунды.</w:t>
      </w:r>
    </w:p>
    <w:p w:rsidR="0010189B" w:rsidRDefault="00D403FA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Rinkeby - тестовая сеть, которая была запущена в апреле 2017 командой разработчиков Ethereum. К плюсам сети относится устойчивость к спам-атакам. К минусам - поддержка только протокола Geth, неточное отражение поведения сети Ethereum из-за использо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другого алгоритма консенсуса. В Rinkeby также получить ETH можно только с помощью faucet-сервисов. Время записи блока занимает в среднем 15 секунд.</w:t>
      </w:r>
    </w:p>
    <w:p w:rsidR="0010189B" w:rsidRDefault="00D403FA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Goerli - тестовая сеть, которая использует алгоритм консенсуса proof-of-authority. Была запущена коман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дой Parity в ноябре 2018. К плюсам сети относится поддержка всех протоколов Ethereum, к минусам - относительная новизна в силу того, что запуск сети произошел относительно недавно. Время записи блока занимает в среднем 15 секунд.</w:t>
      </w:r>
    </w:p>
    <w:p w:rsidR="0010189B" w:rsidRDefault="00D403FA">
      <w:pPr>
        <w:numPr>
          <w:ilvl w:val="0"/>
          <w:numId w:val="7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Локальная сеть - c помощью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фреймворка Ganache можно развернуть собственную локальную сеть. Локальная сеть использует Ethereum JS, что позволяет довольно точно симулировать клиентское взаимодействие и все доступные возможности реальной сети.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13" w:name="_Toc41847873"/>
      <w:r>
        <w:lastRenderedPageBreak/>
        <w:t xml:space="preserve">Глава 2. Разработка системы заключения </w:t>
      </w:r>
      <w:r>
        <w:t>пари на основе смарт-контрактов</w:t>
      </w:r>
      <w:bookmarkEnd w:id="13"/>
    </w:p>
    <w:p w:rsidR="0010189B" w:rsidRDefault="00D403FA">
      <w:pPr>
        <w:pStyle w:val="23"/>
        <w:ind w:left="360"/>
      </w:pPr>
      <w:bookmarkStart w:id="14" w:name="_Toc41847874"/>
      <w:r>
        <w:t>2.1. Детальный обзор существующих методов и инструментов</w:t>
      </w:r>
      <w:bookmarkEnd w:id="14"/>
    </w:p>
    <w:p w:rsidR="0010189B" w:rsidRDefault="00D403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Наибольший интерес представляет система Augur, так как в процессе ее создания разработчики консультировались непосредственно с основателем платформы Ethereum и на 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момент Augur является проектом с открытым исходным кодом. Согласно протоколу Augur, участники имеют право создать рынок, купить акцию рынка или продать акцию рынка в случае обладания. Под рынком подразумевается какое-то конкретное событие, которое прои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зойдет в будущем. Жизненный цикл рынков состоит из следующих этапов:</w:t>
      </w:r>
    </w:p>
    <w:p w:rsidR="0010189B" w:rsidRDefault="00D403FA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- процесс инициализация рынка.</w:t>
      </w:r>
    </w:p>
    <w:p w:rsidR="0010189B" w:rsidRDefault="00D403FA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Торговля - процесс покупки и продажи рынков, который начинается сразу после создания.</w:t>
      </w:r>
    </w:p>
    <w:p w:rsidR="0010189B" w:rsidRDefault="00D403FA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Репортинг - процесс сообщений об исходах событий рынка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пользователями. А пользователь, отправляющий сообщение называется репортером.</w:t>
      </w:r>
    </w:p>
    <w:p w:rsidR="0010189B" w:rsidRDefault="00D403FA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- процесс заключения консенсуса исхода рынка и начисления средств пользователям на основе процесса репортинга.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Платформа обладает собственным токеном REP (Reputation),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орый активно используется на этапе создания рынков и репортинга, в момент, когда пользователи сообщают о результатах события им необходимо поставить определенное количество REP на один из возможных исходов рынка, который, по их мнению, произошел.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один или несколько пользователей поставили REP на исход, который не был признан большинством, то REP полученные от меньшинства пользователей распределяются между теми, кто поставил на исход, признанный большинством.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Держатели REP также получают комисс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от рынка в соответствие с суммой REP поставленной на исход на этапе репортинга. Если пользователь не планирует принимать участие в процессе репортинга, то токены REP такому пользователю не нужны.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Создать рынок может любой пользователь, а на этапе созд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рынка, создателю необходимо указать описание события, время окончания события, репортера события (репорт пользователя будет общедоступен, а у участников имеется возможность оспорить репорт), источник решения (ресурс, на котором можно наиболее точно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лучить информацию об исходе описываемого события), размер комиссии для трейдеров. С создателя взимается залог на валидность рынка в ETH и залог на бездействие выбранного репортера в REP и ETH. Все это упаковывается в Ethereum транзакцию и как только транза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кция попадет в блок, рынок начнет действовать, а пользователям предоставляется возможность торговли.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прогнозируют исходы событий путем покупки акций рынка события за ETH. Под акцией понимается доля единицы определенного исхода события.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портинга состоит из нескольких раундов (Рисунок 11).</w:t>
      </w:r>
    </w:p>
    <w:p w:rsidR="0010189B" w:rsidRDefault="00D403F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2560" cy="4914900"/>
            <wp:effectExtent l="0" t="0" r="0" b="0"/>
            <wp:docPr id="11" name="Рисунок 11" descr="https://lh5.googleusercontent.com/_zegzvUzU9wFJtJwLhyxMQsZwsvgDlEoyOHefwbYeqFcodUMaOeB9vP1s87Nz_-JHhWJ45KVXCS9lYkW4Fe-weLATFLudYnH2fNLtTu5BJLZ8e8xXTIKpLQXRWz6hvyRgEqsjE3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lh5.googleusercontent.com/_zegzvUzU9wFJtJwLhyxMQsZwsvgDlEoyOHefwbYeqFcodUMaOeB9vP1s87Nz_-JHhWJ45KVXCS9lYkW4Fe-weLATFLudYnH2fNLtTu5BJLZ8e8xXTIKpLQXRWz6hvyRgEqsjE3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89B" w:rsidRDefault="00D403F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11: Процесс репортинга</w:t>
      </w:r>
    </w:p>
    <w:p w:rsidR="0010189B" w:rsidRDefault="00D403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 завершении процесса репортинга, наступает этап расчетов по рынку.  Трейдер может закрыть свою позицию либо продав свои акции другому трейдеру, либо дождаться этапа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расчета.</w:t>
      </w:r>
    </w:p>
    <w:p w:rsidR="0010189B" w:rsidRDefault="00D403FA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26"/>
          <w:lang w:eastAsia="ru-RU"/>
        </w:rPr>
      </w:pPr>
      <w:r>
        <w:br w:type="page"/>
      </w:r>
    </w:p>
    <w:p w:rsidR="0010189B" w:rsidRDefault="00D403FA">
      <w:pPr>
        <w:pStyle w:val="23"/>
        <w:ind w:left="360"/>
      </w:pPr>
      <w:bookmarkStart w:id="15" w:name="_Toc41847875"/>
      <w:r>
        <w:lastRenderedPageBreak/>
        <w:t>2.3. Разработка собственного подхода</w:t>
      </w:r>
      <w:bookmarkEnd w:id="15"/>
    </w:p>
    <w:p w:rsidR="0010189B" w:rsidRDefault="00D403FA">
      <w:pPr>
        <w:pStyle w:val="af4"/>
        <w:rPr>
          <w:color w:val="000000"/>
          <w:szCs w:val="28"/>
        </w:rPr>
      </w:pPr>
      <w:r>
        <w:tab/>
      </w:r>
      <w:r>
        <w:rPr>
          <w:color w:val="000000"/>
          <w:szCs w:val="28"/>
        </w:rPr>
        <w:t>На основании выбора платформы распределенного реестра Ethereum, в системе были реализованы смарт-контракты на языке Solidity.</w:t>
      </w:r>
    </w:p>
    <w:p w:rsidR="0010189B" w:rsidRDefault="00D403FA">
      <w:pPr>
        <w:pStyle w:val="23"/>
        <w:ind w:left="360"/>
      </w:pPr>
      <w:bookmarkStart w:id="16" w:name="_Toc41847876"/>
      <w:r>
        <w:t>2.3.1. Описание системы на основе смарт-контрактов</w:t>
      </w:r>
      <w:bookmarkEnd w:id="16"/>
    </w:p>
    <w:p w:rsidR="0010189B" w:rsidRDefault="00D403F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системе имеется несколько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ипов сущностей:</w:t>
      </w:r>
    </w:p>
    <w:p w:rsidR="0010189B" w:rsidRDefault="00D403FA">
      <w:pPr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Пользователь.</w:t>
      </w:r>
    </w:p>
    <w:p w:rsidR="0010189B" w:rsidRDefault="00D403FA">
      <w:pPr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Событие.</w:t>
      </w:r>
    </w:p>
    <w:p w:rsidR="0010189B" w:rsidRDefault="00D403FA">
      <w:pPr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Исход.</w:t>
      </w:r>
    </w:p>
    <w:p w:rsidR="0010189B" w:rsidRDefault="00D403FA">
      <w:pPr>
        <w:numPr>
          <w:ilvl w:val="0"/>
          <w:numId w:val="9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Токен – смарт-контракт, реализующий интерфейс ERC20. Токен можно использовать в качестве валюты внутри системы и обменивать на реальную криптовалюту Ethereum.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Сущность Пользователь - структура,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содержащая Ethereum адрес пользователя системы и текущий баланс в токенах системы.</w:t>
      </w:r>
    </w:p>
    <w:p w:rsidR="0010189B" w:rsidRDefault="00D403FA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Исход - структура, содержащая описание исхода какого-либо события в реальной жизни. Включает в себя тип, для того, чтобы понять среди каких исходов происходило пари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связь адресов пользователей и их токенов на этот конкретный исход.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Событие - структура, содержащая имя, описание, время начала и конца события, которое произойдет в реальной жизни, время, после которого произойдет перечисление токенов тем пользо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вателям, которые угадали исход события, набор исходов и текущую фазу события, которая может принимать одно из следующих значений:</w:t>
      </w:r>
    </w:p>
    <w:p w:rsidR="0010189B" w:rsidRDefault="00D403FA">
      <w:pPr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 пари.</w:t>
      </w:r>
    </w:p>
    <w:p w:rsidR="0010189B" w:rsidRDefault="00D403FA">
      <w:pPr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Ожидание исхода.</w:t>
      </w:r>
    </w:p>
    <w:p w:rsidR="0010189B" w:rsidRDefault="00D403FA">
      <w:pPr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исхода.</w:t>
      </w:r>
    </w:p>
    <w:p w:rsidR="0010189B" w:rsidRDefault="00D403FA">
      <w:pPr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Событие завершено.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Внутреннее устройство организации хранения данных внутри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смарт-контракта представлено на Рисунок 12.</w:t>
      </w:r>
    </w:p>
    <w:p w:rsidR="0010189B" w:rsidRDefault="001018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7120" cy="3970020"/>
            <wp:effectExtent l="0" t="0" r="0" b="0"/>
            <wp:docPr id="12" name="Рисунок 13" descr="https://lh3.googleusercontent.com/0BMXdjaS91cup6Qdo9tM3k4KWkTidcR3GoKrw7y8J7JfXQy9KibMOquD8KB6ptwVnRibBrVzJ80rOKBjYX3N-7eUQ-lzVSYJvIJgqvq669vTHMggHxLmGAHPa7obAFRv-YkSnB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https://lh3.googleusercontent.com/0BMXdjaS91cup6Qdo9tM3k4KWkTidcR3GoKrw7y8J7JfXQy9KibMOquD8KB6ptwVnRibBrVzJ80rOKBjYX3N-7eUQ-lzVSYJvIJgqvq669vTHMggHxLmGAHPa7obAFRv-YkSnBpj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12: Внутренняя организация хранения данных смарт-контракта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того, что в любой момент пользователю доступна покупка токенов системы, в системе существует 2 способа участия: заключение пари и 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ерка исходов событий. При входе в систему пользователю предоставляется выбор типа участия. 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пользователь выбрал в качестве типа участия проверку исходов, то далее будет предоставлен список всех событий в фазе проверки исходов. Для проверки исхода,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ьзователю необходимо выбрать, конкретный исход в группе исходов события. За каждый проверенный исход пользователь получает небольшую вознаграждение.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Иначе пользователю будет предоставлен список всех событий, находящихся в фазе заключения пари и 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создания своего события, на случай, если требуемого события в списке не оказалось. На этом этапе пользователь имеет возможность заключить пари, выбрав исход и указав желаемое количество токенов до наступления фазы события ожидания исхода.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Заключив пари,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ользователь автоматически соглашается с корректностью описания события и фактом того, что это событие действительно произойдет.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Заключившим пари пользователям доступны события в фазе ожидания исхода, проверки исхода и завершения.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действия пользов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ателя представлены на Рисунке 13.</w:t>
      </w:r>
    </w:p>
    <w:p w:rsidR="0010189B" w:rsidRDefault="00D403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3810" distL="0" distR="0">
            <wp:extent cx="4579620" cy="4663440"/>
            <wp:effectExtent l="0" t="0" r="0" b="0"/>
            <wp:docPr id="13" name="Рисунок 12" descr="https://lh3.googleusercontent.com/RE9a7wvIhyEJbuUZ-b3zqWao1RNU43fVOZ4_5o4Ki-he1sXuevZNfzuDl9FKFeURZL9PtfY3-tvLlDqeUBau5s8vdi2KXP02zY6kFMQ53AOv2UNveOfy9kgXO3QS19Jh8php7i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s://lh3.googleusercontent.com/RE9a7wvIhyEJbuUZ-b3zqWao1RNU43fVOZ4_5o4Ki-he1sXuevZNfzuDl9FKFeURZL9PtfY3-tvLlDqeUBau5s8vdi2KXP02zY6kFMQ53AOv2UNveOfy9kgXO3QS19Jh8php7iV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13: Возможные действия пользователя в системе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точки зрения жизненного цикла события, в момент инициализации происходит проверка текущего времени системы и времени начала события, времени конца события и времени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перечисления токенов.</w:t>
      </w:r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Предполагается, что коэффициенты на исходы события рассчитываются динамически в фазе ожидания исхода. Это означает, что пользователь не знает, какое вознаграждение он получит в момент заключения пари. Для решения этой проблемы,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предоставить пользователю выбор вида коэффициентов. Динамические коэффициенты предполагают расчет в фазе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ожидания исхода, а статические можно запрашивать, например, через API спортивного портала. Но даже в случае статических коэффициентов, итоговая выплат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 отличаться, так как пользователи заключают сделки друг с другом, для расчета со всеми пользователями по статическим коэффициентам может не хватить суммы ставок на противоположные исходы. В этом случае придется производить расчет не по всей сумме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авки, а только по части суммы.</w:t>
      </w:r>
    </w:p>
    <w:p w:rsidR="0010189B" w:rsidRDefault="00D403FA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26"/>
          <w:lang w:eastAsia="ru-RU"/>
        </w:rPr>
      </w:pPr>
      <w:r>
        <w:br w:type="page"/>
      </w:r>
    </w:p>
    <w:p w:rsidR="0010189B" w:rsidRDefault="00D403FA">
      <w:pPr>
        <w:pStyle w:val="23"/>
        <w:ind w:left="360"/>
      </w:pPr>
      <w:bookmarkStart w:id="17" w:name="_Toc41847877"/>
      <w:r>
        <w:lastRenderedPageBreak/>
        <w:t>2.3.2. Разработка собственного метода</w:t>
      </w:r>
      <w:bookmarkEnd w:id="17"/>
    </w:p>
    <w:p w:rsidR="0010189B" w:rsidRDefault="00D403F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основных проблем предлагаемого решения является валидация исходов пари, заключенных между пользователями системы. Так как событие, по которому происходит начисление средств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 пользователей, еще не произошло. Следовательно, требуется подтверждение информации о наступлении определенного исхода пари. В случае валидации исходов пользователями системы требуется платить комиссию, которая будет списана с участников пари. Предполо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жим, что пользователь не хочет платить комиссию. Для таких пользователей можно внести альтернативный источник подтверждения исхода, а на этапе инициализации заявки пользователь может выбрать, каким способом будет подтверждена информация о наступлении опред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еленного исхода:</w:t>
      </w:r>
    </w:p>
    <w:p w:rsidR="0010189B" w:rsidRDefault="00D403FA">
      <w:pPr>
        <w:numPr>
          <w:ilvl w:val="0"/>
          <w:numId w:val="1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API новостного портала - по наступлению события из заявки, происходит обращение к API новостного портала, а после ответа, выполнится код, отвечающий за распределение средств между пользователями заявки.</w:t>
      </w:r>
    </w:p>
    <w:p w:rsidR="0010189B" w:rsidRDefault="00D403FA">
      <w:pPr>
        <w:numPr>
          <w:ilvl w:val="0"/>
          <w:numId w:val="1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валидации исхода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другими участниками системы (частично подход был описан выше) - по наступлению события проверяющим пользователям приходит список событий с исходами, чтобы получить комиссию за валидацию события им необходимо выбрать исход в течении фазы проверки исхода.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алее, исход набравший абсолютную сумму произведений числа голосов на значение авторитета пользователя признается произошедшим, а соответствующим пользователям, угадавшим исход будет начислено определенное количество токенов, при этом значения авторитетов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ользователей валидаторов будут пересчитаны.</w:t>
      </w:r>
    </w:p>
    <w:p w:rsidR="0010189B" w:rsidRDefault="00D403FA">
      <w:pPr>
        <w:numPr>
          <w:ilvl w:val="0"/>
          <w:numId w:val="1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Смешанный вариант - комбинация предыдущих двух вариантов, когда API новостного портала обладает большим весом. Это позволяет избежать атаки 51% [19] на децентрализованное приложение от недоброжелательных участник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системы.</w:t>
      </w:r>
    </w:p>
    <w:p w:rsidR="0010189B" w:rsidRDefault="00D403FA">
      <w:pPr>
        <w:pStyle w:val="23"/>
        <w:ind w:left="360"/>
      </w:pPr>
      <w:bookmarkStart w:id="18" w:name="_Toc41847878"/>
      <w:r>
        <w:lastRenderedPageBreak/>
        <w:t>2.4. Архитектура программного комплекса для заключения пари на основе смарт-контрактов</w:t>
      </w:r>
      <w:bookmarkEnd w:id="18"/>
    </w:p>
    <w:p w:rsidR="0010189B" w:rsidRDefault="00D403FA">
      <w:pPr>
        <w:pStyle w:val="af"/>
        <w:spacing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Для того, чтобы облегчить процесс разработки смарт-контрактов на языке Solidity, был использован фреймворк Truffle для структурирования приложения и написани</w:t>
      </w:r>
      <w:r>
        <w:rPr>
          <w:color w:val="000000"/>
          <w:sz w:val="28"/>
          <w:szCs w:val="28"/>
        </w:rPr>
        <w:t>я тестов, фреймворк Ganache, чтобы развернуть локальную сеть с готовыми аккаунтами внутри. Также в системе был использован инструмент Metamask для взаимодействия с локальной сетью посредством библиотеки web3js. В свою очередь библиотека web3js использует п</w:t>
      </w:r>
      <w:r>
        <w:rPr>
          <w:color w:val="000000"/>
          <w:sz w:val="28"/>
          <w:szCs w:val="28"/>
        </w:rPr>
        <w:t>ровайдер для того, чтобы непосредственно направлять запросы в сеть, было опробовано 2 вида провайдера: Infura [20] и HttpProvider. Клиентская часть приложения была реализована с помощью фреймворка React. Также, был реализован интерфейс токенов ERC20. Взаим</w:t>
      </w:r>
      <w:r>
        <w:rPr>
          <w:color w:val="000000"/>
          <w:sz w:val="28"/>
          <w:szCs w:val="28"/>
        </w:rPr>
        <w:t>одействие компонентов и фреймворков представлено на Рисунке 14.</w:t>
      </w:r>
    </w:p>
    <w:p w:rsidR="0010189B" w:rsidRDefault="0010189B">
      <w:pPr>
        <w:pStyle w:val="af"/>
        <w:spacing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</w:p>
    <w:p w:rsidR="0010189B" w:rsidRDefault="00D403FA" w:rsidP="006E761E">
      <w:pPr>
        <w:pStyle w:val="af"/>
        <w:spacing w:beforeAutospacing="0" w:after="0" w:afterAutospacing="0" w:line="360" w:lineRule="auto"/>
        <w:ind w:firstLine="720"/>
        <w:rPr>
          <w:i/>
          <w:color w:val="000000"/>
        </w:rPr>
      </w:pPr>
      <w:r>
        <w:rPr>
          <w:noProof/>
        </w:rPr>
        <w:drawing>
          <wp:inline distT="0" distB="0" distL="0" distR="0">
            <wp:extent cx="5201285" cy="4122420"/>
            <wp:effectExtent l="0" t="0" r="0" b="0"/>
            <wp:docPr id="14" name="Рисунок 14" descr="https://lh3.googleusercontent.com/j2ynvxPsZYkVuH7KBCzghlgindqIJfFQBg94eJFOXMn3XBlSWwNTtzXyPa0lj1hZgtW284icbBpy8a9uNG3b5NEcGsGPV14TtDrfGqgH7cnVr8FwvGeV4KvY1D7yVEVcCArgY8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lh3.googleusercontent.com/j2ynvxPsZYkVuH7KBCzghlgindqIJfFQBg94eJFOXMn3XBlSWwNTtzXyPa0lj1hZgtW284icbBpy8a9uNG3b5NEcGsGPV14TtDrfGqgH7cnVr8FwvGeV4KvY1D7yVEVcCArgY8KZ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/>
      </w:r>
      <w:r>
        <w:rPr>
          <w:i/>
          <w:color w:val="000000"/>
        </w:rPr>
        <w:t>Рисунок 14: Схематическое представление взаимодействия компонентов и фреймворков внутри приложения</w:t>
      </w:r>
    </w:p>
    <w:p w:rsidR="0010189B" w:rsidRDefault="00D403FA">
      <w:pPr>
        <w:pStyle w:val="14"/>
      </w:pPr>
      <w:bookmarkStart w:id="19" w:name="_Toc41847879"/>
      <w:r>
        <w:lastRenderedPageBreak/>
        <w:t>Глава 3. Апробация разработанной системы</w:t>
      </w:r>
      <w:bookmarkEnd w:id="19"/>
    </w:p>
    <w:p w:rsidR="0010189B" w:rsidRDefault="00D403FA">
      <w:pPr>
        <w:pStyle w:val="23"/>
        <w:ind w:left="360" w:hanging="360"/>
      </w:pPr>
      <w:bookmarkStart w:id="20" w:name="_Toc41847880"/>
      <w:r>
        <w:t>3.1. Постановка эксперимента</w:t>
      </w:r>
      <w:bookmarkEnd w:id="20"/>
    </w:p>
    <w:p w:rsidR="0010189B" w:rsidRDefault="00D403FA">
      <w:pPr>
        <w:pStyle w:val="af"/>
        <w:spacing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 xml:space="preserve">В качестве </w:t>
      </w:r>
      <w:r>
        <w:rPr>
          <w:color w:val="000000"/>
          <w:sz w:val="28"/>
          <w:szCs w:val="28"/>
        </w:rPr>
        <w:t>эксперимента можно развернуть систему в локальной сети и в одной из глобальных тестовых сетей. Локальную сеть поднять с помощью инструмента Ganache и инициировать транзакции от разных пользователей, предполагается, что в системе есть 10 аккаунтов с балансо</w:t>
      </w:r>
      <w:r>
        <w:rPr>
          <w:color w:val="000000"/>
          <w:sz w:val="28"/>
          <w:szCs w:val="28"/>
        </w:rPr>
        <w:t>м в 100 ETH каждый. Также необходимо измерить трафик сети и ее пропускную способность.</w:t>
      </w:r>
    </w:p>
    <w:p w:rsidR="0010189B" w:rsidRDefault="00D403FA">
      <w:pPr>
        <w:pStyle w:val="af"/>
        <w:spacing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В качестве тестовой глобальной сети были выбраны сети Rinkeby, Kovan и Ropsten с использованием инструмента Infura, который позволяет получить подробную статистику по де</w:t>
      </w:r>
      <w:r>
        <w:rPr>
          <w:color w:val="000000"/>
          <w:sz w:val="28"/>
          <w:szCs w:val="28"/>
        </w:rPr>
        <w:t>централизованному приложению. После чего можно осуществить взаимодействие с системой используя реальные аккаунты Ethereum. Получить ETH на баланс аккаунта в сети для оплаты транзакций можно с помощью faucet-сервиса [21]. А убедиться в совершенных транзакци</w:t>
      </w:r>
      <w:r>
        <w:rPr>
          <w:color w:val="000000"/>
          <w:sz w:val="28"/>
          <w:szCs w:val="28"/>
        </w:rPr>
        <w:t>ях можно с помощью сервиса проверки транзакций в сети [22].</w:t>
      </w:r>
    </w:p>
    <w:p w:rsidR="0010189B" w:rsidRDefault="00D403FA">
      <w:pPr>
        <w:pStyle w:val="af"/>
        <w:spacing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В контексте эксперимента можно убедиться в достоверности преимуществ платформы Ethereum и функционала, на основе которого был осуществлен выбор платформы распределенного реестра. Проверить коррект</w:t>
      </w:r>
      <w:r>
        <w:rPr>
          <w:color w:val="000000"/>
          <w:sz w:val="28"/>
          <w:szCs w:val="28"/>
        </w:rPr>
        <w:t>ность взаимодействия работы фреймворков и технологий, используемых в реализации системы.</w:t>
      </w:r>
    </w:p>
    <w:p w:rsidR="0010189B" w:rsidRDefault="00D403FA">
      <w:pPr>
        <w:rPr>
          <w:rFonts w:ascii="Times New Roman" w:eastAsiaTheme="majorEastAsia" w:hAnsi="Times New Roman" w:cstheme="majorBidi"/>
          <w:b/>
          <w:color w:val="000000" w:themeColor="text1"/>
          <w:sz w:val="32"/>
          <w:szCs w:val="26"/>
          <w:lang w:eastAsia="ru-RU"/>
        </w:rPr>
      </w:pPr>
      <w:r>
        <w:br w:type="page"/>
      </w:r>
    </w:p>
    <w:p w:rsidR="0010189B" w:rsidRDefault="00D403FA">
      <w:pPr>
        <w:pStyle w:val="23"/>
        <w:ind w:left="360"/>
      </w:pPr>
      <w:bookmarkStart w:id="21" w:name="_Toc41847881"/>
      <w:r>
        <w:lastRenderedPageBreak/>
        <w:t>3.2. Локальная сеть</w:t>
      </w:r>
      <w:bookmarkEnd w:id="21"/>
    </w:p>
    <w:p w:rsidR="0010189B" w:rsidRDefault="00D403FA">
      <w:pPr>
        <w:pStyle w:val="af"/>
        <w:spacing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ab/>
        <w:t>В общей сложности локальная сеть была развернута с помощью двух различных инструментов.</w:t>
      </w:r>
    </w:p>
    <w:p w:rsidR="0010189B" w:rsidRDefault="00D403FA">
      <w:pPr>
        <w:pStyle w:val="af"/>
        <w:spacing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ab/>
        <w:t>Первая - с помощью инструмента Ganache на одном компьют</w:t>
      </w:r>
      <w:r>
        <w:rPr>
          <w:color w:val="000000"/>
          <w:sz w:val="28"/>
          <w:szCs w:val="28"/>
        </w:rPr>
        <w:t>ере, для приближения локальной сети к реальным условиям можно задать время генерации блоков, лимит газа и другие параметры. Инструмент Ganache предоставляет 10 аккаунтов с балансом в 100 ETH каждый. В локальной сети были совершены транзакции от каждого пре</w:t>
      </w:r>
      <w:r>
        <w:rPr>
          <w:color w:val="000000"/>
          <w:sz w:val="28"/>
          <w:szCs w:val="28"/>
        </w:rPr>
        <w:t xml:space="preserve">доставляемого аккаунта, при этом ошибок не наблюдалось. В качестве параметра времени генерации блока, измеряемого в секундах, были подставлены значения из интервала от 0 до 60 с шагом в 5. При совершении транзакций в 13 запусках сети время генерации блока </w:t>
      </w:r>
      <w:r>
        <w:rPr>
          <w:color w:val="000000"/>
          <w:sz w:val="28"/>
          <w:szCs w:val="28"/>
        </w:rPr>
        <w:t>соблюдалось точно, а ошибки отсутствовали.</w:t>
      </w:r>
    </w:p>
    <w:p w:rsidR="0010189B" w:rsidRDefault="00D403FA">
      <w:pPr>
        <w:pStyle w:val="af"/>
        <w:spacing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ab/>
        <w:t>Были реализованы тесты и найдено критическое значение пользователей, совершающих транзакции для заключения пари (первая для того, чтобы посмотреть текущее значение средств, поставленных на определенный исход, вто</w:t>
      </w:r>
      <w:r>
        <w:rPr>
          <w:color w:val="000000"/>
          <w:sz w:val="28"/>
          <w:szCs w:val="28"/>
        </w:rPr>
        <w:t>рая — для совершения ставки, третья — для того, чтобы убедиться, что ставка была совершена). В результате был построен график зависимости параметра tps от количества пользователей, представленный на Рисунке 15. Подсчет времени выполнения транзакций для нах</w:t>
      </w:r>
      <w:r>
        <w:rPr>
          <w:color w:val="000000"/>
          <w:sz w:val="28"/>
          <w:szCs w:val="28"/>
        </w:rPr>
        <w:t>ождения параметра tps был выполнен на машине с ОС Ubuntu, процессором Intel Core i5-8250U CPU 1.60GHz × 8 и 8 Гб оперативной памяти.</w:t>
      </w:r>
    </w:p>
    <w:p w:rsidR="0010189B" w:rsidRDefault="00D403FA">
      <w:pPr>
        <w:pStyle w:val="af"/>
        <w:spacing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ab/>
        <w:t>Вторая – с помощью, предоставляемой Ethereum, утилиты geth. Несмотря на то, что утилита приближает локальную сеть более то</w:t>
      </w:r>
      <w:r>
        <w:rPr>
          <w:color w:val="000000"/>
          <w:sz w:val="28"/>
          <w:szCs w:val="28"/>
        </w:rPr>
        <w:t>чно к реальной глобальной сети, настройка и конфигурация сети осуществляется сложнее и медленнее.</w:t>
      </w:r>
    </w:p>
    <w:p w:rsidR="0010189B" w:rsidRDefault="0010189B">
      <w:pPr>
        <w:pStyle w:val="af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0189B" w:rsidRDefault="0010189B">
      <w:pPr>
        <w:pStyle w:val="af"/>
        <w:spacing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0189B" w:rsidRDefault="00D403FA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60085" cy="3239770"/>
            <wp:effectExtent l="0" t="0" r="0" b="0"/>
            <wp:docPr id="15" name="Объект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15: Зависимость параметра tps от количества пользователей</w:t>
      </w:r>
      <w:r>
        <w:br w:type="page"/>
      </w:r>
    </w:p>
    <w:p w:rsidR="0010189B" w:rsidRDefault="00D403FA">
      <w:pPr>
        <w:pStyle w:val="23"/>
        <w:ind w:left="360"/>
      </w:pPr>
      <w:bookmarkStart w:id="22" w:name="_Toc41847882"/>
      <w:r>
        <w:lastRenderedPageBreak/>
        <w:t>3.3. Глобальная сеть</w:t>
      </w:r>
      <w:bookmarkEnd w:id="22"/>
    </w:p>
    <w:p w:rsidR="0010189B" w:rsidRDefault="00D403FA">
      <w:pPr>
        <w:pStyle w:val="af"/>
        <w:spacing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ab/>
        <w:t xml:space="preserve">Децентрализованное приложение было развернуто в трех тестовых </w:t>
      </w:r>
      <w:r>
        <w:rPr>
          <w:color w:val="000000"/>
          <w:sz w:val="28"/>
          <w:szCs w:val="28"/>
        </w:rPr>
        <w:t>сетях Ethereum: Ropsten, Kovan и Rinkeby. В результате поведение системы не изменилось от используемой сети, что дает основания полагать, что и в глобальной сети система будет вести себя стабильно. Развертывание приложения в глобальной тестовой сети произв</w:t>
      </w:r>
      <w:r>
        <w:rPr>
          <w:color w:val="000000"/>
          <w:sz w:val="28"/>
          <w:szCs w:val="28"/>
        </w:rPr>
        <w:t>едено не было, в связи с необходимостью платы реальной криптовалюты, но оно мало чем отличается от развертывания в главной глобальной. Отличие заключается в конфигурационном файле фреймворка Truffle. Требуется указать идентификатор сети и передать адрес пр</w:t>
      </w:r>
      <w:r>
        <w:rPr>
          <w:color w:val="000000"/>
          <w:sz w:val="28"/>
          <w:szCs w:val="28"/>
        </w:rPr>
        <w:t>овайдеру для связи с приложением. В качестве провайдера был использован сервис Infura, который обеспечивает доступность адреса приложения, а также предоставляет статистику по обращениям к приложению и трафику сети.</w:t>
      </w:r>
    </w:p>
    <w:p w:rsidR="0010189B" w:rsidRDefault="00D403FA">
      <w:pPr>
        <w:pStyle w:val="af"/>
        <w:spacing w:beforeAutospacing="0" w:after="0" w:afterAutospacing="0" w:line="360" w:lineRule="auto"/>
        <w:jc w:val="both"/>
      </w:pPr>
      <w:r>
        <w:rPr>
          <w:color w:val="000000"/>
          <w:sz w:val="28"/>
          <w:szCs w:val="28"/>
        </w:rPr>
        <w:tab/>
        <w:t>Более подробно была рассмотрена сеть Rin</w:t>
      </w:r>
      <w:r>
        <w:rPr>
          <w:color w:val="000000"/>
          <w:sz w:val="28"/>
          <w:szCs w:val="28"/>
        </w:rPr>
        <w:t>keby. На момент написания работы глобальная тестовая сеть Rinkeby содержит 42 активных полновесных узла, среднее время записи блока - 15 секунд, а цепочка состоит из 6 569 502 блоков. Присоединиться в качестве полновесного узла может любой желающий, что об</w:t>
      </w:r>
      <w:r>
        <w:rPr>
          <w:color w:val="000000"/>
          <w:sz w:val="28"/>
          <w:szCs w:val="28"/>
        </w:rPr>
        <w:t>еспечивает очень хорошую масштабируемость сети. По факту отличия других тестовых сетей заключаются только в использовании прочих алгоритмов консенсуса и во времени генерации блока.</w:t>
      </w:r>
    </w:p>
    <w:p w:rsidR="0010189B" w:rsidRDefault="00D403FA">
      <w:pPr>
        <w:pStyle w:val="af"/>
        <w:spacing w:beforeAutospacing="0" w:after="0" w:afterAutospacing="0" w:line="360" w:lineRule="auto"/>
        <w:ind w:firstLine="708"/>
        <w:jc w:val="both"/>
      </w:pPr>
      <w:r>
        <w:rPr>
          <w:color w:val="000000"/>
          <w:sz w:val="28"/>
          <w:szCs w:val="28"/>
        </w:rPr>
        <w:t xml:space="preserve">После развертывания приложения были совершены транзакции от 5 разных реальных аккаунтов Ethereum. Все транзакции были выполнены и проверены с помощью сервиса, предоставляющего список всех транзакций сети. 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23" w:name="_Toc41847883"/>
      <w:r>
        <w:lastRenderedPageBreak/>
        <w:t>Результаты</w:t>
      </w:r>
      <w:bookmarkEnd w:id="23"/>
    </w:p>
    <w:p w:rsidR="0010189B" w:rsidRDefault="00D403FA">
      <w:pPr>
        <w:spacing w:after="0" w:line="36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разработки системы были 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пользованы следующие фреймворки и технологии. Локальная сеть была поднята с помощью инструмента Ganache и с помощью утилиты geth, предоставляемой самой платформой, для развертывания локальной сети с нужными параметрами. В результате эксперимента все транза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кции были выполнены без ошибок. </w:t>
      </w:r>
      <w:r w:rsidR="00FD0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инструмента </w:t>
      </w:r>
      <w:r w:rsidR="00FD00A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Infura</w:t>
      </w:r>
      <w:r w:rsidR="00FD00A2" w:rsidRPr="00FD0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развертывания приложения в сети </w:t>
      </w:r>
      <w:r w:rsidR="00FD00A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Rinkeby</w:t>
      </w:r>
      <w:r w:rsidR="00FD00A2" w:rsidRPr="00FD0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олученные графики, представленные на Рисунке 16, </w:t>
      </w:r>
      <w:r w:rsidR="00FD0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  <w:bookmarkStart w:id="24" w:name="_GoBack"/>
      <w:bookmarkEnd w:id="2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показывают частоту вызовов методов приложения и объем трафика в сети, порожденный этими вызовами.</w:t>
      </w:r>
    </w:p>
    <w:p w:rsidR="0010189B" w:rsidRDefault="001018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89B" w:rsidRDefault="00D403F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7620" distL="0" distR="0">
            <wp:extent cx="5943600" cy="4069080"/>
            <wp:effectExtent l="0" t="0" r="0" b="0"/>
            <wp:docPr id="16" name="Рисунок 15" descr="https://lh6.googleusercontent.com/-kasjnnh3W85LnqCWjykKzpFPlqavnqxMq6MT7KB0hDfotzIWtgg2cE4Kdy-zUK_r1VzyVcguBRwFv4u5gmcS9CZXbcLlrcRNX-tdPoHgFwnI4hbfRkwxgdY4PIvYJtAf-Lcic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s://lh6.googleusercontent.com/-kasjnnh3W85LnqCWjykKzpFPlqavnqxMq6MT7KB0hDfotzIWtgg2cE4Kdy-zUK_r1VzyVcguBRwFv4u5gmcS9CZXbcLlrcRNX-tdPoHgFwnI4hbfRkwxgdY4PIvYJtAf-Lcicm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Рисунок 16: Статистика провайдера Infura по децентрализованному приложени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</w:t>
      </w:r>
    </w:p>
    <w:p w:rsidR="0010189B" w:rsidRDefault="00D403FA">
      <w:pPr>
        <w:pStyle w:val="af4"/>
        <w:ind w:firstLine="708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 xml:space="preserve">Из графиков следует, что чаще всего был вызван метод получения номера блока, что обусловлено обращениями майнеров для валидации транзакций и генерации последующих блоков. При этом, чем большее </w:t>
      </w:r>
      <w:r>
        <w:rPr>
          <w:rFonts w:eastAsia="Times New Roman"/>
          <w:color w:val="000000"/>
          <w:szCs w:val="28"/>
        </w:rPr>
        <w:lastRenderedPageBreak/>
        <w:t>количество полновесных узлов присутствует в сети, тем выше ве</w:t>
      </w:r>
      <w:r>
        <w:rPr>
          <w:rFonts w:eastAsia="Times New Roman"/>
          <w:color w:val="000000"/>
          <w:szCs w:val="28"/>
        </w:rPr>
        <w:t>роятность того, что приложение и сеть справятся с нагрузками.</w:t>
      </w:r>
    </w:p>
    <w:p w:rsidR="0010189B" w:rsidRDefault="00D403FA">
      <w:pPr>
        <w:pStyle w:val="af4"/>
        <w:ind w:firstLine="708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Таким образом, можно сделать вывод, что приложение, развернутое в глобальной сети, получает все преимущества готовой инфраструктуры сети и довольно хорошо масштабируется, что подкреплено работос</w:t>
      </w:r>
      <w:r>
        <w:rPr>
          <w:rFonts w:eastAsia="Times New Roman"/>
          <w:color w:val="000000"/>
          <w:szCs w:val="28"/>
        </w:rPr>
        <w:t>пособностью сети Ethereum. Использование библиотеки web3js и инструмента Metamask обеспечивает взаимодействие с реестром из браузера и мобильных устройств.</w:t>
      </w:r>
    </w:p>
    <w:p w:rsidR="0010189B" w:rsidRDefault="00D403FA">
      <w:pPr>
        <w:rPr>
          <w:rFonts w:ascii="Times New Roman" w:eastAsiaTheme="majorEastAsia" w:hAnsi="Times New Roman" w:cs="Times New Roman"/>
          <w:b/>
          <w:color w:val="000000" w:themeColor="text1"/>
          <w:sz w:val="36"/>
          <w:szCs w:val="32"/>
          <w:lang w:eastAsia="ru-RU"/>
        </w:rPr>
      </w:pPr>
      <w:r>
        <w:br w:type="page"/>
      </w:r>
    </w:p>
    <w:p w:rsidR="0010189B" w:rsidRDefault="00D403FA">
      <w:pPr>
        <w:pStyle w:val="14"/>
      </w:pPr>
      <w:bookmarkStart w:id="25" w:name="_Toc41847884"/>
      <w:r>
        <w:lastRenderedPageBreak/>
        <w:t>Заключение</w:t>
      </w:r>
      <w:bookmarkEnd w:id="25"/>
    </w:p>
    <w:p w:rsidR="0010189B" w:rsidRDefault="00D403FA">
      <w:pPr>
        <w:pStyle w:val="af"/>
        <w:spacing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Системы заключения пари на спортивные события с использованием технологии распределенны</w:t>
      </w:r>
      <w:r>
        <w:rPr>
          <w:color w:val="000000"/>
          <w:sz w:val="28"/>
          <w:szCs w:val="28"/>
        </w:rPr>
        <w:t>х реестров обладают существенными недостатками. Разработанная система была реализована на основе модификации протокола Augur, заключающейся в адаптации к кейсу спортивных событий. Система удовлетворяет почти всем выдвинутым требованиям. Удобство использова</w:t>
      </w:r>
      <w:r>
        <w:rPr>
          <w:color w:val="000000"/>
          <w:sz w:val="28"/>
          <w:szCs w:val="28"/>
        </w:rPr>
        <w:t>ния, прозрачность и кроссплатформенность достигается средствами инструмента Metamask. Скорость и масштабируемость обеспечивается за счет глобальной сети Ethereum. Анонимность - за счет использования аккаунта Ethereum и реализацией собственных токенов систе</w:t>
      </w:r>
      <w:r>
        <w:rPr>
          <w:color w:val="000000"/>
          <w:sz w:val="28"/>
          <w:szCs w:val="28"/>
        </w:rPr>
        <w:t>ме на основе стандарта ERC20. К минусам разработанной системы можно отнести отсутствие поддержки криптовалют, которые базируются не на основе Ethereum.</w:t>
      </w:r>
      <w:r>
        <w:rPr>
          <w:color w:val="000000"/>
          <w:sz w:val="28"/>
          <w:szCs w:val="28"/>
        </w:rPr>
        <w:br/>
      </w:r>
      <w:r>
        <w:rPr>
          <w:rStyle w:val="apple-tab-span"/>
          <w:rFonts w:eastAsiaTheme="majorEastAsia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Было установлено, что использование платформы Ethereum оправдано в контексте данной работы, а </w:t>
      </w:r>
      <w:r>
        <w:rPr>
          <w:color w:val="000000"/>
          <w:sz w:val="28"/>
          <w:szCs w:val="28"/>
        </w:rPr>
        <w:t>используемый стек технологий обеспечивает удобство разработки и обладает только одним существенным недостатком - количество инструментов.</w:t>
      </w:r>
    </w:p>
    <w:p w:rsidR="0010189B" w:rsidRDefault="00D403FA">
      <w:pPr>
        <w:pStyle w:val="af"/>
        <w:spacing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Использование различных способов расчета коэффициентов исходов позволяет закрыть потребности любого пользователя систе</w:t>
      </w:r>
      <w:r>
        <w:rPr>
          <w:color w:val="000000"/>
          <w:sz w:val="28"/>
          <w:szCs w:val="28"/>
        </w:rPr>
        <w:t>мы, а относительно короткая фаза подтверждения исходов события экономит время от момента заключения пари до итоговой выплаты вознаграждения.</w:t>
      </w:r>
    </w:p>
    <w:p w:rsidR="0010189B" w:rsidRDefault="00D403FA">
      <w:pPr>
        <w:pStyle w:val="af"/>
        <w:spacing w:beforeAutospacing="0" w:after="0" w:afterAutospacing="0" w:line="360" w:lineRule="auto"/>
        <w:ind w:firstLine="720"/>
        <w:jc w:val="both"/>
      </w:pPr>
      <w:r>
        <w:rPr>
          <w:color w:val="000000"/>
          <w:sz w:val="28"/>
          <w:szCs w:val="28"/>
        </w:rPr>
        <w:t>В качестве направления для дальнейшего улучшения системы можно предложить разработку собственного механизма расчета</w:t>
      </w:r>
      <w:r>
        <w:rPr>
          <w:color w:val="000000"/>
          <w:sz w:val="28"/>
          <w:szCs w:val="28"/>
        </w:rPr>
        <w:t xml:space="preserve"> коэффициентов на основе информации из открытых источников. В перспективе систему можно расширить на использование не только для спортивных событий, но и для любых событий, происходящих в реальной жизни. Однако, следует учитывать проблемы, которые возникли</w:t>
      </w:r>
      <w:r>
        <w:rPr>
          <w:color w:val="000000"/>
          <w:sz w:val="28"/>
          <w:szCs w:val="28"/>
        </w:rPr>
        <w:t xml:space="preserve"> в системе Augur, а также предстоит найти способ их решения.</w:t>
      </w:r>
    </w:p>
    <w:p w:rsidR="0010189B" w:rsidRDefault="00D403FA">
      <w:pPr>
        <w:pStyle w:val="14"/>
        <w:jc w:val="left"/>
      </w:pPr>
      <w:r>
        <w:br w:type="page"/>
      </w:r>
    </w:p>
    <w:p w:rsidR="0010189B" w:rsidRDefault="00D403FA">
      <w:pPr>
        <w:pStyle w:val="14"/>
      </w:pPr>
      <w:bookmarkStart w:id="26" w:name="_Toc41847885"/>
      <w:r>
        <w:lastRenderedPageBreak/>
        <w:t>Список литературы</w:t>
      </w:r>
      <w:bookmarkEnd w:id="26"/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Augur whitepaper  [Электронный ресурс]: URL: </w:t>
      </w:r>
      <w:hyperlink r:id="rId24">
        <w:r>
          <w:rPr>
            <w:rStyle w:val="-"/>
            <w:rFonts w:eastAsiaTheme="majorEastAsia"/>
            <w:color w:val="000000"/>
            <w:sz w:val="28"/>
            <w:szCs w:val="28"/>
          </w:rPr>
          <w:t>https://github.com/AugurPr</w:t>
        </w:r>
        <w:r>
          <w:rPr>
            <w:rStyle w:val="-"/>
            <w:rFonts w:eastAsiaTheme="majorEastAsia"/>
            <w:color w:val="000000"/>
            <w:sz w:val="28"/>
            <w:szCs w:val="28"/>
          </w:rPr>
          <w:t>oject/whitepaper/blob/master/v1/russian/whitepaper_ru.pdf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OneShash [Электронный ресурс]: URL: h</w:t>
      </w:r>
      <w:hyperlink r:id="rId25">
        <w:r>
          <w:rPr>
            <w:rStyle w:val="-"/>
            <w:rFonts w:eastAsiaTheme="majorEastAsia"/>
            <w:color w:val="000000"/>
            <w:sz w:val="28"/>
            <w:szCs w:val="28"/>
          </w:rPr>
          <w:t>ttps://bukmeker-expert.com/bukmakers/onehash/</w:t>
        </w:r>
      </w:hyperlink>
      <w:r>
        <w:rPr>
          <w:color w:val="000000"/>
          <w:sz w:val="28"/>
          <w:szCs w:val="28"/>
        </w:rPr>
        <w:t xml:space="preserve"> (дата обращения 15.0</w:t>
      </w:r>
      <w:r>
        <w:rPr>
          <w:color w:val="000000"/>
          <w:sz w:val="28"/>
          <w:szCs w:val="28"/>
        </w:rPr>
        <w:t>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BetMatch [Электронный ресурс]: URL: </w:t>
      </w:r>
      <w:hyperlink r:id="rId26">
        <w:r>
          <w:rPr>
            <w:rStyle w:val="-"/>
            <w:rFonts w:eastAsiaTheme="majorEastAsia"/>
            <w:color w:val="000000"/>
            <w:sz w:val="28"/>
            <w:szCs w:val="28"/>
          </w:rPr>
          <w:t>https://betmatch.io/</w:t>
        </w:r>
      </w:hyperlink>
      <w:r>
        <w:rPr>
          <w:color w:val="000000"/>
          <w:sz w:val="28"/>
          <w:szCs w:val="28"/>
        </w:rPr>
        <w:t xml:space="preserve"> (дата обращения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1xBit [Электронный ресурс]: URL: </w:t>
      </w:r>
      <w:hyperlink r:id="rId27">
        <w:r>
          <w:rPr>
            <w:rStyle w:val="-"/>
            <w:rFonts w:eastAsiaTheme="majorEastAsia"/>
            <w:color w:val="000000"/>
            <w:sz w:val="28"/>
            <w:szCs w:val="28"/>
          </w:rPr>
          <w:t>https://1xbit1.com/ru/</w:t>
        </w:r>
      </w:hyperlink>
      <w:r>
        <w:rPr>
          <w:color w:val="000000"/>
          <w:sz w:val="28"/>
          <w:szCs w:val="28"/>
        </w:rPr>
        <w:t xml:space="preserve"> (дата обращения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Saurabh Dhumwad, Mandar Sukhadeve, Chetan Naik, Manjunath K.N., Srikanth Prabhu  A Peer to Peer Money Transfer Using SHA256 and Merkle Tree//</w:t>
      </w:r>
      <w:hyperlink r:id="rId28">
        <w:r>
          <w:rPr>
            <w:rStyle w:val="-"/>
            <w:rFonts w:eastAsiaTheme="majorEastAsia"/>
            <w:color w:val="000000"/>
            <w:sz w:val="28"/>
            <w:szCs w:val="28"/>
            <w:lang w:val="en-US"/>
          </w:rPr>
          <w:t>2</w:t>
        </w:r>
        <w:r>
          <w:rPr>
            <w:rStyle w:val="-"/>
            <w:rFonts w:eastAsiaTheme="majorEastAsia"/>
            <w:color w:val="000000"/>
            <w:sz w:val="28"/>
            <w:szCs w:val="28"/>
            <w:lang w:val="en-US"/>
          </w:rPr>
          <w:t>017 23RD Annual International Conference in Advanced Computing and Communications (ADCOM)</w:t>
        </w:r>
      </w:hyperlink>
      <w:r>
        <w:rPr>
          <w:color w:val="000000"/>
          <w:sz w:val="28"/>
          <w:szCs w:val="28"/>
          <w:lang w:val="en-US"/>
        </w:rPr>
        <w:t xml:space="preserve"> 18.04.2019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Сертификаты X509 [Электронный ресурс]: URL: </w:t>
      </w:r>
      <w:hyperlink r:id="rId29">
        <w:r>
          <w:rPr>
            <w:rStyle w:val="-"/>
            <w:rFonts w:eastAsiaTheme="majorEastAsia"/>
            <w:color w:val="000000"/>
            <w:sz w:val="28"/>
            <w:szCs w:val="28"/>
          </w:rPr>
          <w:t>https://habr.com/ru/post/194664/</w:t>
        </w:r>
      </w:hyperlink>
      <w:r>
        <w:rPr>
          <w:color w:val="000000"/>
          <w:sz w:val="28"/>
          <w:szCs w:val="28"/>
        </w:rPr>
        <w:t xml:space="preserve"> (дата обращения: 30.05.202</w:t>
      </w:r>
      <w:r>
        <w:rPr>
          <w:color w:val="000000"/>
          <w:sz w:val="28"/>
          <w:szCs w:val="28"/>
        </w:rPr>
        <w:t>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Java Virtual Machine [Электронный ресурс]: URL: h</w:t>
      </w:r>
      <w:hyperlink r:id="rId30" w:anchor="jvms-1.2" w:history="1">
        <w:r>
          <w:rPr>
            <w:rStyle w:val="-"/>
            <w:rFonts w:eastAsiaTheme="majorEastAsia"/>
            <w:color w:val="000000"/>
            <w:sz w:val="28"/>
            <w:szCs w:val="28"/>
          </w:rPr>
          <w:t>ttps://docs.oracle.com/javase/specs/jvms/se8/html/jvms-1.html#jvms-1.2</w:t>
        </w:r>
      </w:hyperlink>
      <w:r>
        <w:rPr>
          <w:color w:val="000000"/>
          <w:sz w:val="28"/>
          <w:szCs w:val="28"/>
        </w:rPr>
        <w:t xml:space="preserve"> (дата обращения: 30.05.2020)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Practical Byzantine Fault Tolerance [Электронный ресурс]: URL: </w:t>
      </w:r>
      <w:hyperlink r:id="rId31">
        <w:r>
          <w:rPr>
            <w:rStyle w:val="-"/>
            <w:rFonts w:eastAsiaTheme="majorEastAsia"/>
            <w:color w:val="000000"/>
            <w:sz w:val="28"/>
            <w:szCs w:val="28"/>
          </w:rPr>
          <w:t>http://pmg.csail.mit.edu/papers/osdi99.pdf</w:t>
        </w:r>
      </w:hyperlink>
      <w:r>
        <w:rPr>
          <w:color w:val="000000"/>
          <w:sz w:val="28"/>
          <w:szCs w:val="28"/>
        </w:rPr>
        <w:t xml:space="preserve"> (дата обращения: 30.05.2020)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EOS is not blockchain [Электронный ресурс]: URL:  </w:t>
      </w:r>
      <w:hyperlink r:id="rId32">
        <w:r>
          <w:rPr>
            <w:rStyle w:val="-"/>
            <w:rFonts w:eastAsiaTheme="majorEastAsia"/>
            <w:color w:val="000000"/>
            <w:sz w:val="28"/>
            <w:szCs w:val="28"/>
          </w:rPr>
          <w:t>https://thenextweb.com/hardfork/2018/11/01/eos-blockchain-benchmark/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Тестовые сети Ethereum [Электронный ресурс]: URL: </w:t>
      </w:r>
      <w:hyperlink r:id="rId33">
        <w:r>
          <w:rPr>
            <w:rStyle w:val="-"/>
            <w:rFonts w:eastAsiaTheme="majorEastAsia"/>
            <w:color w:val="000000"/>
            <w:sz w:val="28"/>
            <w:szCs w:val="28"/>
          </w:rPr>
          <w:t>https://ethereum.stackexchange.com/questions/27048/comparison-of-the-different-testnets</w:t>
        </w:r>
      </w:hyperlink>
      <w:r>
        <w:rPr>
          <w:color w:val="000000"/>
          <w:sz w:val="28"/>
          <w:szCs w:val="28"/>
        </w:rPr>
        <w:t xml:space="preserve"> (дата обращения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Metamask [Электронный ресурс]: URL: </w:t>
      </w:r>
      <w:hyperlink r:id="rId34">
        <w:r>
          <w:rPr>
            <w:rStyle w:val="-"/>
            <w:rFonts w:eastAsiaTheme="majorEastAsia"/>
            <w:color w:val="000000"/>
            <w:sz w:val="28"/>
            <w:szCs w:val="28"/>
          </w:rPr>
          <w:t>https://docs.metamask.io/</w:t>
        </w:r>
      </w:hyperlink>
      <w:r>
        <w:rPr>
          <w:color w:val="000000"/>
          <w:sz w:val="28"/>
          <w:szCs w:val="28"/>
        </w:rPr>
        <w:t xml:space="preserve"> (дата обращения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Web3js  [Электронный ресурс]: URL: </w:t>
      </w:r>
      <w:hyperlink r:id="rId35">
        <w:r>
          <w:rPr>
            <w:rStyle w:val="-"/>
            <w:rFonts w:eastAsiaTheme="majorEastAsia"/>
            <w:color w:val="000000"/>
            <w:sz w:val="28"/>
            <w:szCs w:val="28"/>
          </w:rPr>
          <w:t>https://web3js.readthedocs.io/en/v1.2.0/web3-eth.html</w:t>
        </w:r>
      </w:hyperlink>
      <w:r>
        <w:rPr>
          <w:color w:val="000000"/>
          <w:sz w:val="28"/>
          <w:szCs w:val="28"/>
        </w:rPr>
        <w:t xml:space="preserve"> (дата обращения: 15.0</w:t>
      </w:r>
      <w:r>
        <w:rPr>
          <w:color w:val="000000"/>
          <w:sz w:val="28"/>
          <w:szCs w:val="28"/>
        </w:rPr>
        <w:t>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ERC-20 [Электронный ресурс]: URL: </w:t>
      </w:r>
      <w:hyperlink r:id="rId36">
        <w:r>
          <w:rPr>
            <w:rStyle w:val="-"/>
            <w:rFonts w:eastAsiaTheme="majorEastAsia"/>
            <w:color w:val="000000"/>
            <w:sz w:val="28"/>
            <w:szCs w:val="28"/>
          </w:rPr>
          <w:t>https://eips.ethereum.org/EIPS/eip-20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ERC-271 [Электронный ресурс]: URL: http://erc721.org/ (дата обращения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Mocha [Э</w:t>
      </w:r>
      <w:r>
        <w:rPr>
          <w:color w:val="000000"/>
          <w:sz w:val="28"/>
          <w:szCs w:val="28"/>
        </w:rPr>
        <w:t xml:space="preserve">лектронный ресурс]: URL: </w:t>
      </w:r>
      <w:hyperlink r:id="rId37">
        <w:r>
          <w:rPr>
            <w:rStyle w:val="-"/>
            <w:rFonts w:eastAsiaTheme="majorEastAsia"/>
            <w:color w:val="000000"/>
            <w:sz w:val="28"/>
            <w:szCs w:val="28"/>
          </w:rPr>
          <w:t>https://www.npmjs.com/package/mocha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Chai [Электронный ресурс]: URL: </w:t>
      </w:r>
      <w:hyperlink r:id="rId38">
        <w:r>
          <w:rPr>
            <w:rStyle w:val="-"/>
            <w:rFonts w:eastAsiaTheme="majorEastAsia"/>
            <w:color w:val="000000"/>
            <w:sz w:val="28"/>
            <w:szCs w:val="28"/>
          </w:rPr>
          <w:t>https://www.chaijs.com/</w:t>
        </w:r>
      </w:hyperlink>
      <w:r>
        <w:rPr>
          <w:color w:val="000000"/>
          <w:sz w:val="28"/>
          <w:szCs w:val="28"/>
        </w:rPr>
        <w:t xml:space="preserve"> (дата обращ</w:t>
      </w:r>
      <w:r>
        <w:rPr>
          <w:color w:val="000000"/>
          <w:sz w:val="28"/>
          <w:szCs w:val="28"/>
        </w:rPr>
        <w:t>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Truffle [Электронный ресурс]: URL: </w:t>
      </w:r>
      <w:hyperlink r:id="rId39">
        <w:r>
          <w:rPr>
            <w:rStyle w:val="-"/>
            <w:rFonts w:eastAsiaTheme="majorEastAsia"/>
            <w:color w:val="000000"/>
            <w:sz w:val="28"/>
            <w:szCs w:val="28"/>
          </w:rPr>
          <w:t>https://www.trufflesuite.com/docs/truffle/getting-started/compiling-contracts</w:t>
        </w:r>
      </w:hyperlink>
      <w:r>
        <w:rPr>
          <w:color w:val="000000"/>
          <w:sz w:val="28"/>
          <w:szCs w:val="28"/>
        </w:rPr>
        <w:t xml:space="preserve"> (дата обращения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Ganache [Электронный ресурс]: URL:  </w:t>
      </w:r>
      <w:hyperlink r:id="rId40">
        <w:r>
          <w:rPr>
            <w:rStyle w:val="-"/>
            <w:rFonts w:eastAsiaTheme="majorEastAsia"/>
            <w:color w:val="000000"/>
            <w:sz w:val="28"/>
            <w:szCs w:val="28"/>
          </w:rPr>
          <w:t>https://github.com/trufflesuite/ganache-cli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Атака 51% процента [Электронный ресурс]: URL: h</w:t>
      </w:r>
      <w:hyperlink r:id="rId41">
        <w:r>
          <w:rPr>
            <w:rStyle w:val="-"/>
            <w:rFonts w:eastAsiaTheme="majorEastAsia"/>
            <w:color w:val="000000"/>
            <w:sz w:val="28"/>
            <w:szCs w:val="28"/>
          </w:rPr>
          <w:t>ttps://en.bitcoinwiki.org/wiki/51%25_attack</w:t>
        </w:r>
      </w:hyperlink>
      <w:r>
        <w:rPr>
          <w:color w:val="000000"/>
          <w:sz w:val="28"/>
          <w:szCs w:val="28"/>
        </w:rPr>
        <w:t xml:space="preserve"> (дата обращения: 23.05.2020)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Infura provider [Электронный ресурс]: URL: </w:t>
      </w:r>
      <w:hyperlink r:id="rId42">
        <w:r>
          <w:rPr>
            <w:rStyle w:val="-"/>
            <w:rFonts w:eastAsiaTheme="majorEastAsia"/>
            <w:color w:val="000000"/>
            <w:sz w:val="28"/>
            <w:szCs w:val="28"/>
          </w:rPr>
          <w:t>https://infura.io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Rinkeby faucet-сервис [Электронный ресурс]: URL: </w:t>
      </w:r>
      <w:hyperlink r:id="rId43">
        <w:r>
          <w:rPr>
            <w:rStyle w:val="-"/>
            <w:rFonts w:eastAsiaTheme="majorEastAsia"/>
            <w:color w:val="000000"/>
            <w:sz w:val="28"/>
            <w:szCs w:val="28"/>
          </w:rPr>
          <w:t>https://faucet.rinkeby.io/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Etherscan [Электронный ресурс]: URL: </w:t>
      </w:r>
      <w:hyperlink r:id="rId44">
        <w:r>
          <w:rPr>
            <w:rStyle w:val="-"/>
            <w:rFonts w:eastAsiaTheme="majorEastAsia"/>
            <w:color w:val="000000"/>
            <w:sz w:val="28"/>
            <w:szCs w:val="28"/>
          </w:rPr>
          <w:t>https://rinkeby.etherscan.io/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Loom test network  [Электронный ресурс]: URL: </w:t>
      </w:r>
      <w:hyperlink r:id="rId45" w:anchor="run-against-loom-testnet" w:history="1">
        <w:r>
          <w:rPr>
            <w:rStyle w:val="-"/>
            <w:rFonts w:eastAsiaTheme="majorEastAsia"/>
            <w:color w:val="000000"/>
            <w:sz w:val="28"/>
            <w:szCs w:val="28"/>
          </w:rPr>
          <w:t>https://loomx.io/develo</w:t>
        </w:r>
        <w:r>
          <w:rPr>
            <w:rStyle w:val="-"/>
            <w:rFonts w:eastAsiaTheme="majorEastAsia"/>
            <w:color w:val="000000"/>
            <w:sz w:val="28"/>
            <w:szCs w:val="28"/>
          </w:rPr>
          <w:t>pers/en/deploy-loom-testnet.html#run-against-loom-testnet</w:t>
        </w:r>
      </w:hyperlink>
      <w:r>
        <w:rPr>
          <w:color w:val="000000"/>
          <w:sz w:val="28"/>
          <w:szCs w:val="28"/>
        </w:rPr>
        <w:t xml:space="preserve"> (дата обращения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 Metamask tutorial [Электронный ресурс]: URL: </w:t>
      </w:r>
      <w:hyperlink r:id="rId46" w:anchor="Cryptocurrency_Wallet_Bottom_Line" w:history="1">
        <w:r>
          <w:rPr>
            <w:rStyle w:val="-"/>
            <w:rFonts w:eastAsiaTheme="majorEastAsia"/>
            <w:color w:val="000000"/>
            <w:sz w:val="28"/>
            <w:szCs w:val="28"/>
          </w:rPr>
          <w:t>https://www</w:t>
        </w:r>
        <w:r>
          <w:rPr>
            <w:rStyle w:val="-"/>
            <w:rFonts w:eastAsiaTheme="majorEastAsia"/>
            <w:color w:val="000000"/>
            <w:sz w:val="28"/>
            <w:szCs w:val="28"/>
          </w:rPr>
          <w:t>.bitdegree.org/tutorials/metamask-wallet-review</w:t>
        </w:r>
      </w:hyperlink>
      <w:r>
        <w:rPr>
          <w:color w:val="000000"/>
          <w:sz w:val="28"/>
          <w:szCs w:val="28"/>
        </w:rPr>
        <w:t>/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Truffle samples [Электронный ресурс]: URL: h</w:t>
      </w:r>
      <w:hyperlink r:id="rId47">
        <w:r>
          <w:rPr>
            <w:rStyle w:val="-"/>
            <w:rFonts w:eastAsiaTheme="majorEastAsia"/>
            <w:color w:val="000000"/>
            <w:sz w:val="28"/>
            <w:szCs w:val="28"/>
          </w:rPr>
          <w:t>ttps://www.trufflesuite.com/boxes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Ganache [Эле</w:t>
      </w:r>
      <w:r>
        <w:rPr>
          <w:color w:val="000000"/>
          <w:sz w:val="28"/>
          <w:szCs w:val="28"/>
        </w:rPr>
        <w:t xml:space="preserve">ктронный ресурс]: URL: </w:t>
      </w:r>
      <w:hyperlink r:id="rId48">
        <w:r>
          <w:rPr>
            <w:rStyle w:val="-"/>
            <w:rFonts w:eastAsiaTheme="majorEastAsia"/>
            <w:color w:val="000000"/>
            <w:sz w:val="28"/>
            <w:szCs w:val="28"/>
          </w:rPr>
          <w:t>https://github.com/trufflesuite/ganache-cli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EOS whitepaper [Электронный ресурс]: URL: </w:t>
      </w:r>
      <w:hyperlink r:id="rId49">
        <w:r>
          <w:rPr>
            <w:rStyle w:val="-"/>
            <w:rFonts w:eastAsiaTheme="majorEastAsia"/>
            <w:color w:val="000000"/>
            <w:sz w:val="28"/>
            <w:szCs w:val="28"/>
          </w:rPr>
          <w:t>https://github.com/EOSIO/Documentation/blob/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NEO blockchain [Электронный ресурс]: URL: </w:t>
      </w:r>
      <w:hyperlink r:id="rId50">
        <w:r>
          <w:rPr>
            <w:rStyle w:val="-"/>
            <w:rFonts w:eastAsiaTheme="majorEastAsia"/>
            <w:color w:val="000000"/>
            <w:sz w:val="28"/>
            <w:szCs w:val="28"/>
          </w:rPr>
          <w:t>https://docs.neo.org/docs/e</w:t>
        </w:r>
        <w:r>
          <w:rPr>
            <w:rStyle w:val="-"/>
            <w:rFonts w:eastAsiaTheme="majorEastAsia"/>
            <w:color w:val="000000"/>
            <w:sz w:val="28"/>
            <w:szCs w:val="28"/>
          </w:rPr>
          <w:t>n-us/basic/whitepaper.html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</w:p>
    <w:p w:rsidR="0010189B" w:rsidRDefault="00D403FA">
      <w:pPr>
        <w:pStyle w:val="af"/>
        <w:numPr>
          <w:ilvl w:val="0"/>
          <w:numId w:val="12"/>
        </w:numPr>
        <w:spacing w:beforeAutospacing="0" w:after="0" w:afterAutospacing="0" w:line="360" w:lineRule="auto"/>
        <w:textAlignment w:val="baseline"/>
      </w:pPr>
      <w:r>
        <w:rPr>
          <w:color w:val="000000"/>
          <w:sz w:val="28"/>
          <w:szCs w:val="28"/>
        </w:rPr>
        <w:t xml:space="preserve">Детальный разбор Ethereum  [Электронный ресурс]: URL: </w:t>
      </w:r>
      <w:hyperlink r:id="rId51">
        <w:r>
          <w:rPr>
            <w:rStyle w:val="-"/>
            <w:rFonts w:eastAsiaTheme="majorEastAsia"/>
            <w:color w:val="000000"/>
            <w:sz w:val="28"/>
            <w:szCs w:val="28"/>
          </w:rPr>
          <w:t>https://medium.com/@preethikasireddy/how-does-e</w:t>
        </w:r>
        <w:r>
          <w:rPr>
            <w:rStyle w:val="-"/>
            <w:rFonts w:eastAsiaTheme="majorEastAsia"/>
            <w:color w:val="000000"/>
            <w:sz w:val="28"/>
            <w:szCs w:val="28"/>
          </w:rPr>
          <w:t>thereum-work-anyway-22d1df506369</w:t>
        </w:r>
      </w:hyperlink>
      <w:r>
        <w:rPr>
          <w:color w:val="000000"/>
          <w:sz w:val="28"/>
          <w:szCs w:val="28"/>
        </w:rPr>
        <w:t xml:space="preserve"> (дата обращения: 15.03.2020)</w:t>
      </w:r>
      <w:bookmarkEnd w:id="7"/>
    </w:p>
    <w:sectPr w:rsidR="0010189B">
      <w:footerReference w:type="default" r:id="rId52"/>
      <w:pgSz w:w="11906" w:h="16838"/>
      <w:pgMar w:top="1134" w:right="850" w:bottom="1134" w:left="1701" w:header="0" w:footer="708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3FA" w:rsidRDefault="00D403FA">
      <w:pPr>
        <w:spacing w:after="0"/>
      </w:pPr>
      <w:r>
        <w:separator/>
      </w:r>
    </w:p>
  </w:endnote>
  <w:endnote w:type="continuationSeparator" w:id="0">
    <w:p w:rsidR="00D403FA" w:rsidRDefault="00D403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3832940"/>
      <w:docPartObj>
        <w:docPartGallery w:val="Page Numbers (Bottom of Page)"/>
        <w:docPartUnique/>
      </w:docPartObj>
    </w:sdtPr>
    <w:sdtEndPr/>
    <w:sdtContent>
      <w:p w:rsidR="0010189B" w:rsidRDefault="00D403FA">
        <w:pPr>
          <w:pStyle w:val="af3"/>
          <w:jc w:val="center"/>
          <w:rPr>
            <w:rFonts w:ascii="Times New Roman" w:hAnsi="Times New Roman" w:cs="Times New Roman"/>
          </w:rPr>
        </w:pPr>
        <w:r>
          <w:fldChar w:fldCharType="begin"/>
        </w:r>
        <w:r>
          <w:instrText>PAGE</w:instrText>
        </w:r>
        <w:r>
          <w:fldChar w:fldCharType="separate"/>
        </w:r>
        <w:r w:rsidR="00FD00A2">
          <w:rPr>
            <w:noProof/>
          </w:rPr>
          <w:t>39</w:t>
        </w:r>
        <w:r>
          <w:fldChar w:fldCharType="end"/>
        </w:r>
      </w:p>
    </w:sdtContent>
  </w:sdt>
  <w:p w:rsidR="0010189B" w:rsidRDefault="0010189B">
    <w:pPr>
      <w:pStyle w:val="af3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3FA" w:rsidRDefault="00D403FA">
      <w:pPr>
        <w:spacing w:after="0"/>
      </w:pPr>
      <w:r>
        <w:separator/>
      </w:r>
    </w:p>
  </w:footnote>
  <w:footnote w:type="continuationSeparator" w:id="0">
    <w:p w:rsidR="00D403FA" w:rsidRDefault="00D403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420B"/>
    <w:multiLevelType w:val="multilevel"/>
    <w:tmpl w:val="D848E66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277808"/>
    <w:multiLevelType w:val="multilevel"/>
    <w:tmpl w:val="50DC7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816BB"/>
    <w:multiLevelType w:val="multilevel"/>
    <w:tmpl w:val="70AA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189256CD"/>
    <w:multiLevelType w:val="multilevel"/>
    <w:tmpl w:val="84CCE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3A520EF9"/>
    <w:multiLevelType w:val="multilevel"/>
    <w:tmpl w:val="4B3A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4BD61D09"/>
    <w:multiLevelType w:val="multilevel"/>
    <w:tmpl w:val="5378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53A11A0F"/>
    <w:multiLevelType w:val="multilevel"/>
    <w:tmpl w:val="D526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5D665D49"/>
    <w:multiLevelType w:val="multilevel"/>
    <w:tmpl w:val="E378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 w15:restartNumberingAfterBreak="0">
    <w:nsid w:val="5E761125"/>
    <w:multiLevelType w:val="multilevel"/>
    <w:tmpl w:val="C180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 w15:restartNumberingAfterBreak="0">
    <w:nsid w:val="5F1A3F4A"/>
    <w:multiLevelType w:val="multilevel"/>
    <w:tmpl w:val="811C85B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0E04CA0"/>
    <w:multiLevelType w:val="multilevel"/>
    <w:tmpl w:val="A594AA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2F771F3"/>
    <w:multiLevelType w:val="multilevel"/>
    <w:tmpl w:val="79E84F8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6D965DE0"/>
    <w:multiLevelType w:val="multilevel"/>
    <w:tmpl w:val="3CFAB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79B26B3F"/>
    <w:multiLevelType w:val="multilevel"/>
    <w:tmpl w:val="3072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7D917161"/>
    <w:multiLevelType w:val="multilevel"/>
    <w:tmpl w:val="B1EE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7"/>
  </w:num>
  <w:num w:numId="5">
    <w:abstractNumId w:val="6"/>
  </w:num>
  <w:num w:numId="6">
    <w:abstractNumId w:val="2"/>
  </w:num>
  <w:num w:numId="7">
    <w:abstractNumId w:val="12"/>
  </w:num>
  <w:num w:numId="8">
    <w:abstractNumId w:val="8"/>
  </w:num>
  <w:num w:numId="9">
    <w:abstractNumId w:val="5"/>
  </w:num>
  <w:num w:numId="10">
    <w:abstractNumId w:val="3"/>
  </w:num>
  <w:num w:numId="11">
    <w:abstractNumId w:val="4"/>
  </w:num>
  <w:num w:numId="12">
    <w:abstractNumId w:val="1"/>
  </w:num>
  <w:num w:numId="13">
    <w:abstractNumId w:val="10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89B"/>
    <w:rsid w:val="0010189B"/>
    <w:rsid w:val="00677D22"/>
    <w:rsid w:val="006E761E"/>
    <w:rsid w:val="008D72E8"/>
    <w:rsid w:val="00D403FA"/>
    <w:rsid w:val="00FD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8806"/>
  <w15:docId w15:val="{0D08380B-F9C3-40C5-9E49-3C12967C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0"/>
    </w:pPr>
  </w:style>
  <w:style w:type="paragraph" w:styleId="1">
    <w:name w:val="heading 1"/>
    <w:basedOn w:val="a"/>
    <w:link w:val="10"/>
    <w:uiPriority w:val="9"/>
    <w:qFormat/>
    <w:rsid w:val="00346B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6638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823EB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unhideWhenUsed/>
    <w:qFormat/>
    <w:rsid w:val="00CD35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uiPriority w:val="9"/>
    <w:unhideWhenUsed/>
    <w:qFormat/>
    <w:rsid w:val="00120C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qFormat/>
    <w:rsid w:val="009823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sid w:val="00CD355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Placeholder Text"/>
    <w:basedOn w:val="a0"/>
    <w:uiPriority w:val="99"/>
    <w:semiHidden/>
    <w:qFormat/>
    <w:rsid w:val="00142C20"/>
    <w:rPr>
      <w:color w:val="808080"/>
    </w:rPr>
  </w:style>
  <w:style w:type="character" w:customStyle="1" w:styleId="10">
    <w:name w:val="Заголовок 1 Знак"/>
    <w:basedOn w:val="a0"/>
    <w:link w:val="1"/>
    <w:uiPriority w:val="9"/>
    <w:qFormat/>
    <w:rsid w:val="00346B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-">
    <w:name w:val="Интернет-ссылка"/>
    <w:basedOn w:val="a0"/>
    <w:uiPriority w:val="99"/>
    <w:unhideWhenUsed/>
    <w:rsid w:val="00B23DAB"/>
    <w:rPr>
      <w:color w:val="0563C1" w:themeColor="hyperlink"/>
      <w:u w:val="single"/>
    </w:rPr>
  </w:style>
  <w:style w:type="character" w:customStyle="1" w:styleId="a4">
    <w:name w:val="Верхний колонтитул Знак"/>
    <w:basedOn w:val="a0"/>
    <w:uiPriority w:val="99"/>
    <w:qFormat/>
    <w:rsid w:val="0078051D"/>
  </w:style>
  <w:style w:type="character" w:customStyle="1" w:styleId="a5">
    <w:name w:val="Нижний колонтитул Знак"/>
    <w:basedOn w:val="a0"/>
    <w:uiPriority w:val="99"/>
    <w:qFormat/>
    <w:rsid w:val="0078051D"/>
  </w:style>
  <w:style w:type="character" w:styleId="a6">
    <w:name w:val="FollowedHyperlink"/>
    <w:basedOn w:val="a0"/>
    <w:uiPriority w:val="99"/>
    <w:semiHidden/>
    <w:unhideWhenUsed/>
    <w:qFormat/>
    <w:rsid w:val="00556F90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556F90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qFormat/>
    <w:rsid w:val="006638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sid w:val="00120C6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2">
    <w:name w:val="Диплом1 Знак"/>
    <w:basedOn w:val="10"/>
    <w:link w:val="12"/>
    <w:qFormat/>
    <w:rsid w:val="008A0F2A"/>
    <w:rPr>
      <w:rFonts w:ascii="Times New Roman" w:eastAsiaTheme="majorEastAsia" w:hAnsi="Times New Roman" w:cs="Times New Roman"/>
      <w:b/>
      <w:color w:val="000000" w:themeColor="text1"/>
      <w:sz w:val="36"/>
      <w:szCs w:val="32"/>
      <w:lang w:eastAsia="ru-RU"/>
    </w:rPr>
  </w:style>
  <w:style w:type="character" w:customStyle="1" w:styleId="21">
    <w:name w:val="Диплом2 Знак"/>
    <w:basedOn w:val="20"/>
    <w:qFormat/>
    <w:rsid w:val="008A0F2A"/>
    <w:rPr>
      <w:rFonts w:ascii="Times New Roman" w:eastAsiaTheme="majorEastAsia" w:hAnsi="Times New Roman" w:cstheme="majorBidi"/>
      <w:b/>
      <w:color w:val="000000" w:themeColor="text1"/>
      <w:sz w:val="32"/>
      <w:szCs w:val="26"/>
      <w:lang w:eastAsia="ru-RU"/>
    </w:rPr>
  </w:style>
  <w:style w:type="character" w:customStyle="1" w:styleId="a7">
    <w:name w:val="Диплом_осн Знак"/>
    <w:basedOn w:val="a0"/>
    <w:qFormat/>
    <w:rsid w:val="00EF01CD"/>
    <w:rPr>
      <w:rFonts w:ascii="Times New Roman" w:hAnsi="Times New Roman" w:cs="Times New Roman"/>
      <w:color w:val="000000" w:themeColor="text1"/>
      <w:sz w:val="28"/>
      <w:szCs w:val="26"/>
      <w:lang w:eastAsia="ru-RU"/>
    </w:rPr>
  </w:style>
  <w:style w:type="character" w:customStyle="1" w:styleId="a8">
    <w:name w:val="Картинки Знак"/>
    <w:basedOn w:val="a0"/>
    <w:qFormat/>
    <w:rsid w:val="005D34CE"/>
    <w:rPr>
      <w:rFonts w:ascii="Times New Roman" w:hAnsi="Times New Roman" w:cs="Times New Roman"/>
      <w:i/>
      <w:sz w:val="24"/>
      <w:szCs w:val="24"/>
      <w:lang w:eastAsia="ru-RU"/>
    </w:rPr>
  </w:style>
  <w:style w:type="character" w:customStyle="1" w:styleId="mtext">
    <w:name w:val="mtext"/>
    <w:basedOn w:val="a0"/>
    <w:qFormat/>
    <w:rsid w:val="000F3170"/>
  </w:style>
  <w:style w:type="character" w:customStyle="1" w:styleId="mo">
    <w:name w:val="mo"/>
    <w:basedOn w:val="a0"/>
    <w:qFormat/>
    <w:rsid w:val="000F3170"/>
  </w:style>
  <w:style w:type="character" w:customStyle="1" w:styleId="mn">
    <w:name w:val="mn"/>
    <w:basedOn w:val="a0"/>
    <w:qFormat/>
    <w:rsid w:val="000F3170"/>
  </w:style>
  <w:style w:type="character" w:customStyle="1" w:styleId="msqrt">
    <w:name w:val="msqrt"/>
    <w:basedOn w:val="a0"/>
    <w:qFormat/>
    <w:rsid w:val="000F3170"/>
  </w:style>
  <w:style w:type="character" w:customStyle="1" w:styleId="mjxassistivemathml">
    <w:name w:val="mjx_assistive_mathml"/>
    <w:basedOn w:val="a0"/>
    <w:qFormat/>
    <w:rsid w:val="000F3170"/>
  </w:style>
  <w:style w:type="character" w:customStyle="1" w:styleId="apple-tab-span">
    <w:name w:val="apple-tab-span"/>
    <w:basedOn w:val="a0"/>
    <w:qFormat/>
    <w:rsid w:val="008F2E8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hAnsi="Times New Roman"/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rFonts w:ascii="Times New Roman" w:hAnsi="Times New Roman"/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rFonts w:ascii="Times New Roman" w:hAnsi="Times New Roman"/>
      <w:sz w:val="28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rFonts w:ascii="Times New Roman" w:hAnsi="Times New Roman"/>
      <w:sz w:val="28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rFonts w:ascii="Times New Roman" w:hAnsi="Times New Roman"/>
      <w:sz w:val="28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rFonts w:ascii="Times New Roman" w:hAnsi="Times New Roman"/>
      <w:sz w:val="28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rFonts w:ascii="Times New Roman" w:hAnsi="Times New Roman"/>
      <w:sz w:val="28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rFonts w:ascii="Times New Roman" w:hAnsi="Times New Roman"/>
      <w:sz w:val="28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rFonts w:ascii="Times New Roman" w:hAnsi="Times New Roman"/>
      <w:sz w:val="28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rFonts w:ascii="Times New Roman" w:hAnsi="Times New Roman"/>
      <w:sz w:val="28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eastAsiaTheme="majorEastAsia"/>
      <w:color w:val="000000"/>
      <w:sz w:val="28"/>
      <w:szCs w:val="28"/>
    </w:rPr>
  </w:style>
  <w:style w:type="character" w:customStyle="1" w:styleId="ListLabel101">
    <w:name w:val="ListLabel 101"/>
    <w:qFormat/>
    <w:rPr>
      <w:rFonts w:eastAsiaTheme="majorEastAsia"/>
      <w:color w:val="000000"/>
      <w:sz w:val="28"/>
      <w:szCs w:val="28"/>
      <w:lang w:val="en-US"/>
    </w:rPr>
  </w:style>
  <w:style w:type="character" w:customStyle="1" w:styleId="a9">
    <w:name w:val="Ссылка указателя"/>
    <w:qFormat/>
  </w:style>
  <w:style w:type="paragraph" w:styleId="aa">
    <w:name w:val="Title"/>
    <w:basedOn w:val="a"/>
    <w:next w:val="ab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cs="Lohit Devanagari"/>
    </w:rPr>
  </w:style>
  <w:style w:type="paragraph" w:styleId="ad">
    <w:name w:val="caption"/>
    <w:basedOn w:val="a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ohit Devanagari"/>
    </w:rPr>
  </w:style>
  <w:style w:type="paragraph" w:styleId="af">
    <w:name w:val="Normal (Web)"/>
    <w:basedOn w:val="a"/>
    <w:uiPriority w:val="99"/>
    <w:unhideWhenUsed/>
    <w:qFormat/>
    <w:rsid w:val="009823EB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9D6D89"/>
    <w:pPr>
      <w:ind w:left="720"/>
      <w:contextualSpacing/>
    </w:pPr>
  </w:style>
  <w:style w:type="paragraph" w:styleId="af1">
    <w:name w:val="TOC Heading"/>
    <w:basedOn w:val="1"/>
    <w:uiPriority w:val="39"/>
    <w:unhideWhenUsed/>
    <w:qFormat/>
    <w:rsid w:val="00B23DAB"/>
    <w:rPr>
      <w:lang w:eastAsia="ru-RU"/>
    </w:rPr>
  </w:style>
  <w:style w:type="paragraph" w:styleId="31">
    <w:name w:val="toc 3"/>
    <w:basedOn w:val="a"/>
    <w:autoRedefine/>
    <w:uiPriority w:val="39"/>
    <w:unhideWhenUsed/>
    <w:rsid w:val="00B23DAB"/>
    <w:pPr>
      <w:spacing w:after="100"/>
      <w:ind w:left="440"/>
    </w:pPr>
  </w:style>
  <w:style w:type="paragraph" w:styleId="13">
    <w:name w:val="toc 1"/>
    <w:basedOn w:val="a"/>
    <w:link w:val="14"/>
    <w:autoRedefine/>
    <w:uiPriority w:val="39"/>
    <w:unhideWhenUsed/>
    <w:rsid w:val="00B23DAB"/>
    <w:pPr>
      <w:spacing w:after="100"/>
    </w:pPr>
  </w:style>
  <w:style w:type="paragraph" w:styleId="af2">
    <w:name w:val="header"/>
    <w:basedOn w:val="a"/>
    <w:uiPriority w:val="99"/>
    <w:unhideWhenUsed/>
    <w:rsid w:val="0078051D"/>
    <w:pPr>
      <w:tabs>
        <w:tab w:val="center" w:pos="4677"/>
        <w:tab w:val="right" w:pos="9355"/>
      </w:tabs>
      <w:spacing w:after="0"/>
    </w:pPr>
  </w:style>
  <w:style w:type="paragraph" w:styleId="af3">
    <w:name w:val="footer"/>
    <w:basedOn w:val="a"/>
    <w:uiPriority w:val="99"/>
    <w:unhideWhenUsed/>
    <w:rsid w:val="0078051D"/>
    <w:pPr>
      <w:tabs>
        <w:tab w:val="center" w:pos="4677"/>
        <w:tab w:val="right" w:pos="9355"/>
      </w:tabs>
      <w:spacing w:after="0"/>
    </w:pPr>
  </w:style>
  <w:style w:type="paragraph" w:styleId="22">
    <w:name w:val="toc 2"/>
    <w:basedOn w:val="a"/>
    <w:link w:val="23"/>
    <w:autoRedefine/>
    <w:uiPriority w:val="39"/>
    <w:unhideWhenUsed/>
    <w:rsid w:val="007E36E3"/>
    <w:pPr>
      <w:spacing w:after="100"/>
      <w:ind w:left="220"/>
    </w:pPr>
  </w:style>
  <w:style w:type="paragraph" w:customStyle="1" w:styleId="14">
    <w:name w:val="Оглавление 1 Знак"/>
    <w:basedOn w:val="1"/>
    <w:link w:val="13"/>
    <w:qFormat/>
    <w:rsid w:val="008A0F2A"/>
    <w:pPr>
      <w:spacing w:line="360" w:lineRule="auto"/>
      <w:jc w:val="center"/>
    </w:pPr>
    <w:rPr>
      <w:rFonts w:ascii="Times New Roman" w:hAnsi="Times New Roman" w:cs="Times New Roman"/>
      <w:b/>
      <w:color w:val="000000" w:themeColor="text1"/>
      <w:sz w:val="36"/>
      <w:lang w:eastAsia="ru-RU"/>
    </w:rPr>
  </w:style>
  <w:style w:type="paragraph" w:customStyle="1" w:styleId="23">
    <w:name w:val="Оглавление 2 Знак"/>
    <w:basedOn w:val="2"/>
    <w:link w:val="22"/>
    <w:qFormat/>
    <w:rsid w:val="008A0F2A"/>
    <w:pPr>
      <w:spacing w:line="360" w:lineRule="auto"/>
      <w:jc w:val="center"/>
    </w:pPr>
    <w:rPr>
      <w:rFonts w:ascii="Times New Roman" w:hAnsi="Times New Roman"/>
      <w:b/>
      <w:color w:val="000000" w:themeColor="text1"/>
      <w:sz w:val="32"/>
      <w:lang w:eastAsia="ru-RU"/>
    </w:rPr>
  </w:style>
  <w:style w:type="paragraph" w:customStyle="1" w:styleId="af4">
    <w:name w:val="Диплом_осн"/>
    <w:basedOn w:val="a"/>
    <w:qFormat/>
    <w:rsid w:val="00EF01CD"/>
    <w:pPr>
      <w:spacing w:line="360" w:lineRule="auto"/>
      <w:ind w:firstLine="709"/>
      <w:jc w:val="both"/>
    </w:pPr>
    <w:rPr>
      <w:rFonts w:ascii="Times New Roman" w:hAnsi="Times New Roman" w:cs="Times New Roman"/>
      <w:color w:val="000000" w:themeColor="text1"/>
      <w:sz w:val="28"/>
      <w:szCs w:val="26"/>
      <w:lang w:eastAsia="ru-RU"/>
    </w:rPr>
  </w:style>
  <w:style w:type="paragraph" w:customStyle="1" w:styleId="af5">
    <w:name w:val="Картинки"/>
    <w:basedOn w:val="a"/>
    <w:qFormat/>
    <w:rsid w:val="005D34CE"/>
    <w:pPr>
      <w:jc w:val="center"/>
    </w:pPr>
    <w:rPr>
      <w:rFonts w:ascii="Times New Roman" w:hAnsi="Times New Roman" w:cs="Times New Roman"/>
      <w:i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betmatch.io/" TargetMode="External"/><Relationship Id="rId39" Type="http://schemas.openxmlformats.org/officeDocument/2006/relationships/hyperlink" Target="https://www.trufflesuite.com/docs/truffle/getting-started/compiling-contracts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docs.metamask.io/" TargetMode="External"/><Relationship Id="rId42" Type="http://schemas.openxmlformats.org/officeDocument/2006/relationships/hyperlink" Target="https://infura.io/dashboard/ethereum/15cbe4df6aab4504b0b4cccf0493bea3/settings" TargetMode="External"/><Relationship Id="rId47" Type="http://schemas.openxmlformats.org/officeDocument/2006/relationships/hyperlink" Target="https://www.trufflesuite.com/boxes" TargetMode="External"/><Relationship Id="rId50" Type="http://schemas.openxmlformats.org/officeDocument/2006/relationships/hyperlink" Target="https://docs.neo.org/docs/en-us/basic/whitepaper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habr.com/ru/post/194664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github.com/AugurProject/whitepaper/blob/master/v1/russian/whitepaper_ru.pdf" TargetMode="External"/><Relationship Id="rId32" Type="http://schemas.openxmlformats.org/officeDocument/2006/relationships/hyperlink" Target="https://thenextweb.com/hardfork/2018/11/01/eos-blockchain-benchmark/" TargetMode="External"/><Relationship Id="rId37" Type="http://schemas.openxmlformats.org/officeDocument/2006/relationships/hyperlink" Target="https://www.npmjs.com/package/mocha" TargetMode="External"/><Relationship Id="rId40" Type="http://schemas.openxmlformats.org/officeDocument/2006/relationships/hyperlink" Target="https://github.com/trufflesuite/ganache-cli" TargetMode="External"/><Relationship Id="rId45" Type="http://schemas.openxmlformats.org/officeDocument/2006/relationships/hyperlink" Target="https://loomx.io/developers/en/deploy-loom-testnet.html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mg.csail.mit.edu/papers/osdi99.pdf" TargetMode="External"/><Relationship Id="rId44" Type="http://schemas.openxmlformats.org/officeDocument/2006/relationships/hyperlink" Target="https://rinkeby.etherscan.io/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1.xml"/><Relationship Id="rId27" Type="http://schemas.openxmlformats.org/officeDocument/2006/relationships/hyperlink" Target="https://1xbit1.com/ru/" TargetMode="External"/><Relationship Id="rId30" Type="http://schemas.openxmlformats.org/officeDocument/2006/relationships/hyperlink" Target="https://docs.oracle.com/javase/specs/jvms/se8/html/jvms-1.html" TargetMode="External"/><Relationship Id="rId35" Type="http://schemas.openxmlformats.org/officeDocument/2006/relationships/hyperlink" Target="https://web3js.readthedocs.io/en/v1.2.0/web3-eth.html" TargetMode="External"/><Relationship Id="rId43" Type="http://schemas.openxmlformats.org/officeDocument/2006/relationships/hyperlink" Target="https://faucet.rinkeby.io/" TargetMode="External"/><Relationship Id="rId48" Type="http://schemas.openxmlformats.org/officeDocument/2006/relationships/hyperlink" Target="https://github.com/trufflesuite/ganache-cli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edium.com/@preethikasireddy/how-does-ethereum-work-anyway-22d1df506369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bukmeker-expert.com/bukmakers/onehash/" TargetMode="External"/><Relationship Id="rId33" Type="http://schemas.openxmlformats.org/officeDocument/2006/relationships/hyperlink" Target="https://ethereum.stackexchange.com/questions/27048/comparison-of-the-different-testnets" TargetMode="External"/><Relationship Id="rId38" Type="http://schemas.openxmlformats.org/officeDocument/2006/relationships/hyperlink" Target="https://www.chaijs.com/" TargetMode="External"/><Relationship Id="rId46" Type="http://schemas.openxmlformats.org/officeDocument/2006/relationships/hyperlink" Target="https://www.bitdegree.org/tutorials/metamask-wallet-review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en.bitcoinwiki.org/wiki/51%25_attack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proxy.library.spbu.ru:2281/xpl/conhome/8682006/proceeding" TargetMode="External"/><Relationship Id="rId36" Type="http://schemas.openxmlformats.org/officeDocument/2006/relationships/hyperlink" Target="https://eips.ethereum.org/EIPS/eip-20" TargetMode="External"/><Relationship Id="rId49" Type="http://schemas.openxmlformats.org/officeDocument/2006/relationships/hyperlink" Target="https://github.com/EOSIO/Documentation/blob/master/TechnicalWhitePaper.m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0"/>
  <c:style val="2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label 1</c:f>
              <c:strCache>
                <c:ptCount val="1"/>
                <c:pt idx="0">
                  <c:v>Столбец J</c:v>
                </c:pt>
              </c:strCache>
            </c:strRef>
          </c:tx>
          <c:spPr>
            <a:ln w="28800">
              <a:solidFill>
                <a:srgbClr val="004586"/>
              </a:solidFill>
              <a:round/>
            </a:ln>
          </c:spPr>
          <c:marker>
            <c:symbol val="square"/>
            <c:size val="8"/>
            <c:spPr>
              <a:solidFill>
                <a:srgbClr val="004586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0</c:f>
              <c:numCache>
                <c:formatCode>General</c:formatCode>
                <c:ptCount val="9"/>
                <c:pt idx="0">
                  <c:v>10</c:v>
                </c:pt>
                <c:pt idx="1">
                  <c:v>50</c:v>
                </c:pt>
                <c:pt idx="2">
                  <c:v>100</c:v>
                </c:pt>
                <c:pt idx="3">
                  <c:v>500</c:v>
                </c:pt>
                <c:pt idx="4">
                  <c:v>1000</c:v>
                </c:pt>
                <c:pt idx="5">
                  <c:v>2500</c:v>
                </c:pt>
                <c:pt idx="6">
                  <c:v>2800</c:v>
                </c:pt>
                <c:pt idx="7">
                  <c:v>2850</c:v>
                </c:pt>
                <c:pt idx="8">
                  <c:v>3000</c:v>
                </c:pt>
              </c:numCache>
            </c:numRef>
          </c:xVal>
          <c:yVal>
            <c:numRef>
              <c:f>1</c:f>
              <c:numCache>
                <c:formatCode>General</c:formatCode>
                <c:ptCount val="9"/>
                <c:pt idx="0">
                  <c:v>49.342105263157897</c:v>
                </c:pt>
                <c:pt idx="1">
                  <c:v>49.115913555992101</c:v>
                </c:pt>
                <c:pt idx="2">
                  <c:v>43.134435657800097</c:v>
                </c:pt>
                <c:pt idx="3">
                  <c:v>38.698691984210903</c:v>
                </c:pt>
                <c:pt idx="4">
                  <c:v>36.4746075940133</c:v>
                </c:pt>
                <c:pt idx="5">
                  <c:v>36.130648424703701</c:v>
                </c:pt>
                <c:pt idx="6">
                  <c:v>35.708212888964503</c:v>
                </c:pt>
                <c:pt idx="7">
                  <c:v>30</c:v>
                </c:pt>
                <c:pt idx="8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276-45FA-85C0-80F017580F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142332"/>
        <c:axId val="72677918"/>
      </c:scatterChart>
      <c:valAx>
        <c:axId val="2814233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sz="900" b="0" strike="noStrike" spc="-1">
                    <a:latin typeface="Arial"/>
                  </a:defRPr>
                </a:pPr>
                <a:r>
                  <a:rPr lang="ru-RU" sz="900" b="0" strike="noStrike" spc="-1">
                    <a:latin typeface="Arial"/>
                  </a:rPr>
                  <a:t>Количество пользователей</a:t>
                </a:r>
              </a:p>
            </c:rich>
          </c:tx>
          <c:overlay val="0"/>
          <c:spPr>
            <a:noFill/>
            <a:ln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sz="1000" b="0" strike="noStrike" spc="-1">
                <a:latin typeface="Arial"/>
              </a:defRPr>
            </a:pPr>
            <a:endParaRPr lang="ru-RU"/>
          </a:p>
        </c:txPr>
        <c:crossAx val="72677918"/>
        <c:crosses val="autoZero"/>
        <c:crossBetween val="midCat"/>
      </c:valAx>
      <c:valAx>
        <c:axId val="72677918"/>
        <c:scaling>
          <c:orientation val="minMax"/>
        </c:scaling>
        <c:delete val="0"/>
        <c:axPos val="l"/>
        <c:majorGridlines>
          <c:spPr>
            <a:ln>
              <a:solidFill>
                <a:srgbClr val="B3B3B3"/>
              </a:solidFill>
            </a:ln>
          </c:spPr>
        </c:majorGridlines>
        <c:title>
          <c:tx>
            <c:rich>
              <a:bodyPr rot="-5400000"/>
              <a:lstStyle/>
              <a:p>
                <a:pPr>
                  <a:defRPr sz="900" b="0" strike="noStrike" spc="-1">
                    <a:latin typeface="Arial"/>
                  </a:defRPr>
                </a:pPr>
                <a:r>
                  <a:rPr lang="en-US" sz="900" b="0" strike="noStrike" spc="-1">
                    <a:latin typeface="Arial"/>
                  </a:rPr>
                  <a:t>tps</a:t>
                </a:r>
              </a:p>
            </c:rich>
          </c:tx>
          <c:overlay val="0"/>
          <c:spPr>
            <a:noFill/>
            <a:ln>
              <a:noFill/>
            </a:ln>
          </c:spPr>
        </c:title>
        <c:numFmt formatCode="0.00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sz="1000" b="0" strike="noStrike" spc="-1">
                <a:latin typeface="Arial"/>
              </a:defRPr>
            </a:pPr>
            <a:endParaRPr lang="ru-RU"/>
          </a:p>
        </c:txPr>
        <c:crossAx val="28142332"/>
        <c:crosses val="autoZero"/>
        <c:crossBetween val="midCat"/>
      </c:valAx>
      <c:spPr>
        <a:noFill/>
        <a:ln>
          <a:solidFill>
            <a:srgbClr val="B3B3B3"/>
          </a:solidFill>
        </a:ln>
      </c:spPr>
    </c:plotArea>
    <c:plotVisOnly val="1"/>
    <c:dispBlanksAs val="span"/>
    <c:showDLblsOverMax val="1"/>
  </c:chart>
  <c:spPr>
    <a:solidFill>
      <a:srgbClr val="FFFFFF"/>
    </a:solidFill>
    <a:ln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20BF0-7370-4E5A-9365-E82924143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7553</Words>
  <Characters>43056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 Mikhail</dc:creator>
  <dc:description/>
  <cp:lastModifiedBy>Анастасия Анастасия</cp:lastModifiedBy>
  <cp:revision>2</cp:revision>
  <cp:lastPrinted>2020-06-01T19:41:00Z</cp:lastPrinted>
  <dcterms:created xsi:type="dcterms:W3CDTF">2020-06-01T19:55:00Z</dcterms:created>
  <dcterms:modified xsi:type="dcterms:W3CDTF">2020-06-01T19:55:00Z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