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4" w:rsidRPr="00FD3C14" w:rsidRDefault="00FD3C14" w:rsidP="004D7CF7">
      <w:pPr>
        <w:jc w:val="center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FD3C14" w:rsidRPr="00FD3C14" w:rsidRDefault="00FD3C14" w:rsidP="004D7CF7">
      <w:pPr>
        <w:jc w:val="center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>Санкт-Петербургский государственный университет</w:t>
      </w:r>
    </w:p>
    <w:p w:rsidR="00FD3C14" w:rsidRPr="00FD3C14" w:rsidRDefault="00FD3C14" w:rsidP="004D7CF7">
      <w:pPr>
        <w:jc w:val="center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>Направление “Медицина”</w:t>
      </w:r>
    </w:p>
    <w:p w:rsidR="00FD3C14" w:rsidRDefault="00FD3C14" w:rsidP="004D7CF7">
      <w:pPr>
        <w:jc w:val="center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</w:rPr>
        <w:t>онкологии</w:t>
      </w:r>
    </w:p>
    <w:p w:rsidR="00C03F54" w:rsidRDefault="00C03F54" w:rsidP="004D7CF7">
      <w:pPr>
        <w:jc w:val="center"/>
        <w:rPr>
          <w:rFonts w:ascii="Times New Roman" w:eastAsia="Calibri" w:hAnsi="Times New Roman" w:cs="Times New Roman"/>
          <w:sz w:val="28"/>
        </w:rPr>
      </w:pPr>
    </w:p>
    <w:p w:rsidR="00C03F54" w:rsidRPr="00C03F54" w:rsidRDefault="00C03F54" w:rsidP="00C03F54">
      <w:pPr>
        <w:pStyle w:val="aa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>Допускается к защите</w:t>
      </w:r>
    </w:p>
    <w:p w:rsidR="00C03F54" w:rsidRPr="00C03F54" w:rsidRDefault="00C03F54" w:rsidP="00C03F54">
      <w:pPr>
        <w:pStyle w:val="aa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03F54" w:rsidRPr="00C03F54" w:rsidRDefault="00C03F54" w:rsidP="00C03F54">
      <w:pPr>
        <w:pStyle w:val="aa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 xml:space="preserve">д.м.н., проф. </w:t>
      </w:r>
      <w:r>
        <w:rPr>
          <w:rFonts w:ascii="Times New Roman" w:hAnsi="Times New Roman" w:cs="Times New Roman"/>
          <w:sz w:val="28"/>
          <w:szCs w:val="28"/>
        </w:rPr>
        <w:t>Орлова Р.В.,</w:t>
      </w:r>
    </w:p>
    <w:p w:rsidR="00C03F54" w:rsidRPr="00C03F54" w:rsidRDefault="00C03F54" w:rsidP="00C03F54">
      <w:pPr>
        <w:pStyle w:val="aa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03F54" w:rsidRPr="00C03F54" w:rsidRDefault="00C03F54" w:rsidP="00C03F54">
      <w:pPr>
        <w:pStyle w:val="aa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F54">
        <w:rPr>
          <w:rFonts w:ascii="Times New Roman" w:hAnsi="Times New Roman" w:cs="Times New Roman"/>
          <w:sz w:val="28"/>
          <w:szCs w:val="28"/>
        </w:rPr>
        <w:t xml:space="preserve"> »_______________20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F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C14" w:rsidRPr="00FD3C14" w:rsidRDefault="00FD3C14" w:rsidP="00FD3C14">
      <w:pPr>
        <w:jc w:val="center"/>
        <w:rPr>
          <w:rFonts w:ascii="Times New Roman" w:eastAsia="Calibri" w:hAnsi="Times New Roman" w:cs="Times New Roman"/>
        </w:rPr>
      </w:pPr>
    </w:p>
    <w:p w:rsidR="00FD3C14" w:rsidRPr="00FD3C14" w:rsidRDefault="00FD3C14" w:rsidP="00FD3C14">
      <w:pPr>
        <w:jc w:val="center"/>
        <w:rPr>
          <w:rFonts w:ascii="Times New Roman" w:eastAsia="Calibri" w:hAnsi="Times New Roman" w:cs="Times New Roman"/>
        </w:rPr>
      </w:pPr>
    </w:p>
    <w:p w:rsidR="00FD3C14" w:rsidRPr="00FD3C14" w:rsidRDefault="00FD3C14" w:rsidP="004D7CF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D3C14">
        <w:rPr>
          <w:rFonts w:ascii="Times New Roman" w:eastAsia="Calibri" w:hAnsi="Times New Roman" w:cs="Times New Roman"/>
          <w:b/>
          <w:sz w:val="28"/>
        </w:rPr>
        <w:t>ВЫПУСКНАЯ КВАЛИФИКАЦИОННАЯ РАБОТА</w:t>
      </w:r>
    </w:p>
    <w:p w:rsidR="00FD3C14" w:rsidRPr="00FD3C14" w:rsidRDefault="00FD3C14" w:rsidP="004D7CF7">
      <w:pPr>
        <w:jc w:val="center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 xml:space="preserve">НА ТЕМУ: </w:t>
      </w:r>
      <w:r w:rsidRPr="00FD3C14">
        <w:rPr>
          <w:rFonts w:ascii="Times New Roman" w:eastAsia="Calibri" w:hAnsi="Times New Roman" w:cs="Times New Roman"/>
          <w:caps/>
          <w:sz w:val="28"/>
        </w:rPr>
        <w:t>Клиническая и молекулярно-генетическая характеристик</w:t>
      </w:r>
      <w:r w:rsidR="002A4D3F">
        <w:rPr>
          <w:rFonts w:ascii="Times New Roman" w:eastAsia="Calibri" w:hAnsi="Times New Roman" w:cs="Times New Roman"/>
          <w:caps/>
          <w:sz w:val="28"/>
        </w:rPr>
        <w:t>а</w:t>
      </w:r>
      <w:r w:rsidRPr="00FD3C14">
        <w:rPr>
          <w:rFonts w:ascii="Times New Roman" w:eastAsia="Calibri" w:hAnsi="Times New Roman" w:cs="Times New Roman"/>
          <w:caps/>
          <w:sz w:val="28"/>
        </w:rPr>
        <w:t xml:space="preserve"> эмбриональных опухолей центральной нервной системы супратенториальной локализации у больных старше 18 лет</w:t>
      </w:r>
    </w:p>
    <w:p w:rsidR="00FD3C14" w:rsidRPr="00FD3C14" w:rsidRDefault="00FD3C14" w:rsidP="00FD3C14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FD3C14" w:rsidRPr="00FD3C14" w:rsidRDefault="00FD3C14" w:rsidP="00FD3C14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FD3C14" w:rsidRPr="00FD3C14" w:rsidRDefault="00FD3C14" w:rsidP="004D7CF7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FD3C14">
        <w:rPr>
          <w:rFonts w:ascii="Times New Roman" w:eastAsia="Calibri" w:hAnsi="Times New Roman" w:cs="Times New Roman"/>
          <w:b/>
          <w:sz w:val="28"/>
        </w:rPr>
        <w:t xml:space="preserve">Выполнил: </w:t>
      </w:r>
    </w:p>
    <w:p w:rsidR="00FD3C14" w:rsidRPr="00FD3C14" w:rsidRDefault="00FD3C14" w:rsidP="004D7CF7">
      <w:pPr>
        <w:jc w:val="right"/>
        <w:rPr>
          <w:rFonts w:ascii="Times New Roman" w:eastAsia="Calibri" w:hAnsi="Times New Roman" w:cs="Times New Roman"/>
          <w:sz w:val="28"/>
        </w:rPr>
      </w:pPr>
      <w:r w:rsidRPr="00FD3C14">
        <w:rPr>
          <w:rFonts w:ascii="Times New Roman" w:eastAsia="Calibri" w:hAnsi="Times New Roman" w:cs="Times New Roman"/>
          <w:sz w:val="28"/>
        </w:rPr>
        <w:t xml:space="preserve">студент </w:t>
      </w:r>
      <w:r w:rsidR="00C238EA">
        <w:rPr>
          <w:rFonts w:ascii="Times New Roman" w:eastAsia="Calibri" w:hAnsi="Times New Roman" w:cs="Times New Roman"/>
          <w:sz w:val="28"/>
        </w:rPr>
        <w:t>14.СО3-м группы</w:t>
      </w:r>
    </w:p>
    <w:p w:rsidR="00FD3C14" w:rsidRPr="00FD3C14" w:rsidRDefault="00301904" w:rsidP="004D7CF7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Ершов Геннадий Альбертович</w:t>
      </w:r>
    </w:p>
    <w:p w:rsidR="00FD3C14" w:rsidRPr="00FD3C14" w:rsidRDefault="00FD3C14" w:rsidP="004D7CF7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FD3C14">
        <w:rPr>
          <w:rFonts w:ascii="Times New Roman" w:eastAsia="Calibri" w:hAnsi="Times New Roman" w:cs="Times New Roman"/>
          <w:b/>
          <w:sz w:val="28"/>
        </w:rPr>
        <w:t xml:space="preserve">Научный руководитель: </w:t>
      </w:r>
    </w:p>
    <w:p w:rsidR="00FD3C14" w:rsidRPr="00FD3C14" w:rsidRDefault="002A4D3F" w:rsidP="004D7CF7">
      <w:pPr>
        <w:jc w:val="right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</w:t>
      </w:r>
      <w:r w:rsidR="00FD3C14" w:rsidRPr="00FD3C14">
        <w:rPr>
          <w:rFonts w:ascii="Times New Roman" w:eastAsia="Calibri" w:hAnsi="Times New Roman" w:cs="Times New Roman"/>
          <w:sz w:val="28"/>
        </w:rPr>
        <w:t>.м</w:t>
      </w:r>
      <w:proofErr w:type="gramStart"/>
      <w:r w:rsidR="00FD3C14" w:rsidRPr="00FD3C14">
        <w:rPr>
          <w:rFonts w:ascii="Times New Roman" w:eastAsia="Calibri" w:hAnsi="Times New Roman" w:cs="Times New Roman"/>
          <w:sz w:val="28"/>
        </w:rPr>
        <w:t>.н</w:t>
      </w:r>
      <w:proofErr w:type="spellEnd"/>
      <w:proofErr w:type="gramEnd"/>
      <w:r w:rsidR="00FD3C14" w:rsidRPr="00FD3C14">
        <w:rPr>
          <w:rFonts w:ascii="Times New Roman" w:eastAsia="Calibri" w:hAnsi="Times New Roman" w:cs="Times New Roman"/>
          <w:sz w:val="28"/>
        </w:rPr>
        <w:t xml:space="preserve">, </w:t>
      </w:r>
      <w:r w:rsidR="00BF352E">
        <w:rPr>
          <w:rFonts w:ascii="Times New Roman" w:eastAsia="Calibri" w:hAnsi="Times New Roman" w:cs="Times New Roman"/>
          <w:sz w:val="28"/>
        </w:rPr>
        <w:t>асс</w:t>
      </w:r>
      <w:r w:rsidR="00FD3C14" w:rsidRPr="00FD3C14">
        <w:rPr>
          <w:rFonts w:ascii="Times New Roman" w:eastAsia="Calibri" w:hAnsi="Times New Roman" w:cs="Times New Roman"/>
          <w:sz w:val="28"/>
        </w:rPr>
        <w:t xml:space="preserve">. </w:t>
      </w:r>
      <w:r w:rsidR="00301904">
        <w:rPr>
          <w:rFonts w:ascii="Times New Roman" w:eastAsia="Calibri" w:hAnsi="Times New Roman" w:cs="Times New Roman"/>
          <w:sz w:val="28"/>
        </w:rPr>
        <w:t>Мацко Марина Витальевна</w:t>
      </w:r>
    </w:p>
    <w:p w:rsidR="00FD3C14" w:rsidRPr="00FD3C14" w:rsidRDefault="00FD3C14" w:rsidP="00FD3C14">
      <w:pPr>
        <w:rPr>
          <w:rFonts w:ascii="Calibri" w:eastAsia="Calibri" w:hAnsi="Calibri" w:cs="Times New Roman"/>
        </w:rPr>
      </w:pPr>
    </w:p>
    <w:p w:rsidR="00C03F54" w:rsidRDefault="00C03F54" w:rsidP="00FD3C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F54" w:rsidRDefault="00C03F54" w:rsidP="00FD3C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F54" w:rsidRDefault="00C03F54" w:rsidP="00C03F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3C14" w:rsidRPr="00C03F54" w:rsidRDefault="00FD3C14" w:rsidP="00C03F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03F5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01904" w:rsidRPr="00C03F54" w:rsidRDefault="00FD3C14" w:rsidP="00C03F5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F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03875" w:rsidRPr="00C03F54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0296797"/>
        <w:docPartObj>
          <w:docPartGallery w:val="Table of Contents"/>
          <w:docPartUnique/>
        </w:docPartObj>
      </w:sdtPr>
      <w:sdtContent>
        <w:p w:rsidR="00000B6E" w:rsidRPr="000F2733" w:rsidRDefault="00000B6E" w:rsidP="00310F2B">
          <w:pPr>
            <w:pStyle w:val="ab"/>
            <w:tabs>
              <w:tab w:val="left" w:pos="3105"/>
            </w:tabs>
            <w:jc w:val="center"/>
            <w:rPr>
              <w:rFonts w:ascii="Times New Roman" w:hAnsi="Times New Roman" w:cs="Times New Roman"/>
              <w:caps/>
              <w:color w:val="000000" w:themeColor="text1"/>
            </w:rPr>
          </w:pPr>
          <w:r w:rsidRPr="000F2733">
            <w:rPr>
              <w:rFonts w:ascii="Times New Roman" w:hAnsi="Times New Roman" w:cs="Times New Roman"/>
              <w:caps/>
              <w:color w:val="000000" w:themeColor="text1"/>
            </w:rPr>
            <w:t>Оглавление</w:t>
          </w:r>
        </w:p>
        <w:p w:rsidR="00FB4DA3" w:rsidRPr="00FB4DA3" w:rsidRDefault="00000B6E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F27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F27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27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16318" w:history="1">
            <w:r w:rsidR="00FB4DA3" w:rsidRPr="00FB4DA3">
              <w:rPr>
                <w:rStyle w:val="a4"/>
                <w:rFonts w:ascii="Times New Roman" w:eastAsia="Calibri" w:hAnsi="Times New Roman" w:cs="Times New Roman"/>
                <w:caps/>
                <w:noProof/>
                <w:sz w:val="28"/>
                <w:szCs w:val="28"/>
              </w:rPr>
              <w:t>Список сокращений</w:t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_Toc41316318 \h </w:instrText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B4DA3"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19" w:history="1">
            <w:r w:rsidRPr="00FB4DA3">
              <w:rPr>
                <w:rStyle w:val="a4"/>
                <w:rFonts w:ascii="Times New Roman" w:eastAsia="Calibri" w:hAnsi="Times New Roman" w:cs="Times New Roman"/>
                <w:caps/>
                <w:noProof/>
                <w:sz w:val="28"/>
                <w:szCs w:val="28"/>
              </w:rPr>
              <w:t>Введение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_Toc41316319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0" w:history="1">
            <w:r w:rsidRPr="00FB4DA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</w:t>
            </w:r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Обзор литературы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_Toc41316320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1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1.1. Общие представления об эмбриональных опухолях ЦНС супратенториальной локализации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_Toc41316321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2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1.2. Статистические данные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_Toc41316322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3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1.3. Клинико-морфологическая характеристика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_Toc41316323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4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1.4. Молекулярно-генетическая характеристика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_Toc41316324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5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1.5. Лечебная тактика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_Toc41316325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6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1.6. Прогноз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_Toc41316326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7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Г</w:t>
            </w:r>
            <w:r w:rsidRPr="00FB4DA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лава</w:t>
            </w:r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2. </w:t>
            </w:r>
            <w:r w:rsidRPr="00FB4DA3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Материалы и методы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_Toc41316327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8" w:history="1">
            <w:r w:rsidRPr="00FB4DA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3. </w:t>
            </w:r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Результаты и обсуждение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_Toc41316328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29" w:history="1">
            <w:r w:rsidRPr="00FB4DA3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3.1 Влияние молекулярно-генетических аберраций и морфологических характеристик на безрецидивную и общую продолжитетельность жизни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_Toc41316329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30" w:history="1">
            <w:r w:rsidRPr="00FB4DA3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3.2 Влияние клинических параметров и проводимого лечения (ЛТ и ХТ) на безрецидивную и общую продолжительность жизни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_Toc41316330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31" w:history="1">
            <w:r w:rsidRPr="00FB4DA3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_Toc41316331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Pr="00FB4DA3" w:rsidRDefault="00FB4DA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16332" w:history="1">
            <w:r w:rsidRPr="00FB4DA3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Выводы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_Toc41316332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DA3" w:rsidRDefault="00FB4DA3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41316333" w:history="1">
            <w:r w:rsidRPr="00FB4DA3">
              <w:rPr>
                <w:rStyle w:val="a4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Список</w:t>
            </w:r>
            <w:r w:rsidRPr="00FB4DA3">
              <w:rPr>
                <w:rStyle w:val="a4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  <w:lang w:val="en-US"/>
              </w:rPr>
              <w:t xml:space="preserve"> </w:t>
            </w:r>
            <w:r w:rsidRPr="00FB4DA3">
              <w:rPr>
                <w:rStyle w:val="a4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литературы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_Toc41316333 \h </w:instrTex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FB4D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0B6E" w:rsidRDefault="00000B6E">
          <w:r w:rsidRPr="000F27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43B95" w:rsidRDefault="00743B95" w:rsidP="004D7CF7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3C14" w:rsidRPr="00743B95" w:rsidRDefault="00FD3C14" w:rsidP="00743B95">
      <w:pPr>
        <w:pStyle w:val="1"/>
        <w:spacing w:line="360" w:lineRule="auto"/>
        <w:jc w:val="center"/>
        <w:rPr>
          <w:rFonts w:ascii="Times New Roman" w:eastAsia="Calibri" w:hAnsi="Times New Roman" w:cs="Times New Roman"/>
          <w:caps/>
          <w:color w:val="auto"/>
        </w:rPr>
      </w:pPr>
      <w:bookmarkStart w:id="0" w:name="_Toc40216696"/>
      <w:bookmarkStart w:id="1" w:name="_Toc41316318"/>
      <w:r w:rsidRPr="00743B95">
        <w:rPr>
          <w:rFonts w:ascii="Times New Roman" w:eastAsia="Calibri" w:hAnsi="Times New Roman" w:cs="Times New Roman"/>
          <w:caps/>
          <w:color w:val="auto"/>
        </w:rPr>
        <w:lastRenderedPageBreak/>
        <w:t>Список сокращений</w:t>
      </w:r>
      <w:bookmarkEnd w:id="0"/>
      <w:bookmarkEnd w:id="1"/>
    </w:p>
    <w:p w:rsidR="00F52FB9" w:rsidRPr="004D7CF7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БПЖ – безрецидивная продолжительность жизни</w:t>
      </w:r>
    </w:p>
    <w:p w:rsidR="00F52FB9" w:rsidRPr="004D7CF7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БРП – безрецидивный период</w:t>
      </w:r>
    </w:p>
    <w:p w:rsidR="00301904" w:rsidRDefault="00301904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:rsidR="009350C8" w:rsidRPr="004D7CF7" w:rsidRDefault="009350C8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 – глиобластома </w:t>
      </w:r>
      <w:r w:rsidRPr="009350C8">
        <w:rPr>
          <w:rFonts w:ascii="Times New Roman" w:hAnsi="Times New Roman" w:cs="Times New Roman"/>
          <w:sz w:val="28"/>
          <w:szCs w:val="28"/>
        </w:rPr>
        <w:t>(grade IV)</w:t>
      </w:r>
    </w:p>
    <w:p w:rsidR="00F52FB9" w:rsidRPr="004D7CF7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ГНБ-ЦНС – ганглионейробластома центральной нервной системы</w:t>
      </w:r>
      <w:r w:rsidR="002A4D3F" w:rsidRPr="004D7CF7">
        <w:rPr>
          <w:rFonts w:ascii="Times New Roman" w:hAnsi="Times New Roman" w:cs="Times New Roman"/>
          <w:sz w:val="28"/>
          <w:szCs w:val="28"/>
        </w:rPr>
        <w:t xml:space="preserve"> </w:t>
      </w:r>
      <w:r w:rsidR="004D7CF7" w:rsidRPr="004D7CF7">
        <w:rPr>
          <w:rFonts w:ascii="Times New Roman" w:hAnsi="Times New Roman" w:cs="Times New Roman"/>
          <w:sz w:val="28"/>
          <w:szCs w:val="28"/>
        </w:rPr>
        <w:t>(grade IV)</w:t>
      </w:r>
    </w:p>
    <w:p w:rsidR="00F52FB9" w:rsidRPr="0023599F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ГФК</w:t>
      </w:r>
      <w:r w:rsidR="002A4D3F" w:rsidRPr="004D7CF7">
        <w:rPr>
          <w:rFonts w:ascii="Times New Roman" w:hAnsi="Times New Roman" w:cs="Times New Roman"/>
          <w:sz w:val="28"/>
          <w:szCs w:val="28"/>
        </w:rPr>
        <w:t>Б</w:t>
      </w:r>
      <w:r w:rsidRPr="004D7CF7">
        <w:rPr>
          <w:rFonts w:ascii="Times New Roman" w:hAnsi="Times New Roman" w:cs="Times New Roman"/>
          <w:sz w:val="28"/>
          <w:szCs w:val="28"/>
        </w:rPr>
        <w:t xml:space="preserve"> – глиальный фибриллярный кислый </w:t>
      </w:r>
      <w:r w:rsidR="002A4D3F" w:rsidRPr="004D7CF7">
        <w:rPr>
          <w:rFonts w:ascii="Times New Roman" w:hAnsi="Times New Roman" w:cs="Times New Roman"/>
          <w:sz w:val="28"/>
          <w:szCs w:val="28"/>
        </w:rPr>
        <w:t>белок</w:t>
      </w:r>
    </w:p>
    <w:p w:rsidR="005A26F5" w:rsidRPr="005A26F5" w:rsidRDefault="005A26F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ДНК – дезоксирибонуклеиновая кислота</w:t>
      </w:r>
      <w:bookmarkStart w:id="2" w:name="_GoBack"/>
      <w:bookmarkEnd w:id="2"/>
    </w:p>
    <w:p w:rsidR="00F52FB9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ИГХ – иммуногистохимическое исследование</w:t>
      </w:r>
    </w:p>
    <w:p w:rsidR="005A26F5" w:rsidRPr="004D7CF7" w:rsidRDefault="005A26F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– компьютерная томография</w:t>
      </w:r>
    </w:p>
    <w:p w:rsidR="00F52FB9" w:rsidRPr="004D7CF7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ЛТ – лучевая терапия</w:t>
      </w:r>
    </w:p>
    <w:p w:rsidR="00301904" w:rsidRPr="004D7CF7" w:rsidRDefault="00F52FB9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7F335E" w:rsidRPr="004D7CF7" w:rsidRDefault="007F335E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НБ-ЦНС – нейробластома центральной нервной системы</w:t>
      </w:r>
      <w:r w:rsidR="002A4D3F" w:rsidRPr="004D7CF7">
        <w:rPr>
          <w:rFonts w:ascii="Times New Roman" w:hAnsi="Times New Roman" w:cs="Times New Roman"/>
          <w:sz w:val="28"/>
          <w:szCs w:val="28"/>
        </w:rPr>
        <w:t xml:space="preserve"> </w:t>
      </w:r>
      <w:r w:rsidR="004D7CF7" w:rsidRPr="004D7CF7">
        <w:rPr>
          <w:rFonts w:ascii="Times New Roman" w:hAnsi="Times New Roman" w:cs="Times New Roman"/>
          <w:sz w:val="28"/>
          <w:szCs w:val="28"/>
        </w:rPr>
        <w:t>(grade IV)</w:t>
      </w:r>
    </w:p>
    <w:p w:rsidR="007F335E" w:rsidRPr="004D7CF7" w:rsidRDefault="007F335E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ОПЖ – общая продолжительность жизни</w:t>
      </w:r>
    </w:p>
    <w:p w:rsidR="007F335E" w:rsidRDefault="007F335E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ПНЭО – примитивные нейроэктодермальные опухоли</w:t>
      </w:r>
    </w:p>
    <w:p w:rsidR="005A26F5" w:rsidRDefault="005A26F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ПЦР – полимеразная цепная реакция</w:t>
      </w:r>
    </w:p>
    <w:p w:rsidR="005A26F5" w:rsidRPr="004D7CF7" w:rsidRDefault="005A26F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ПЭТ – п</w:t>
      </w:r>
      <w:r w:rsidRPr="005A26F5">
        <w:rPr>
          <w:rFonts w:ascii="Times New Roman" w:hAnsi="Times New Roman" w:cs="Times New Roman"/>
          <w:sz w:val="28"/>
          <w:szCs w:val="28"/>
        </w:rPr>
        <w:t>озитронно-эмиссионная томография</w:t>
      </w:r>
    </w:p>
    <w:p w:rsidR="00301904" w:rsidRDefault="00301904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ЦНС – центральная нервная система</w:t>
      </w:r>
    </w:p>
    <w:p w:rsidR="009350C8" w:rsidRDefault="009350C8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ЯМР-спектроскопия – спектроскопия ядерного магнитного резонанса</w:t>
      </w:r>
    </w:p>
    <w:p w:rsidR="00D45DC5" w:rsidRDefault="00D45DC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DC5">
        <w:rPr>
          <w:rFonts w:ascii="Times New Roman" w:hAnsi="Times New Roman" w:cs="Times New Roman"/>
          <w:sz w:val="28"/>
          <w:szCs w:val="28"/>
        </w:rPr>
        <w:t>CD – кластер дифференцировки</w:t>
      </w:r>
    </w:p>
    <w:p w:rsidR="00D45DC5" w:rsidRPr="004D7CF7" w:rsidRDefault="00775C12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5DC5" w:rsidRPr="00D45DC5">
        <w:rPr>
          <w:rFonts w:ascii="Times New Roman" w:hAnsi="Times New Roman" w:cs="Times New Roman"/>
          <w:sz w:val="28"/>
          <w:szCs w:val="28"/>
        </w:rPr>
        <w:t>-kit – ген С-kit, рецептор активации фактора роста стволовых клеток</w:t>
      </w:r>
    </w:p>
    <w:p w:rsidR="007F335E" w:rsidRDefault="006C732E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ERCC1</w:t>
      </w:r>
      <w:r w:rsidR="007F335E" w:rsidRPr="004D7CF7">
        <w:rPr>
          <w:rFonts w:ascii="Times New Roman" w:hAnsi="Times New Roman" w:cs="Times New Roman"/>
          <w:sz w:val="28"/>
          <w:szCs w:val="28"/>
        </w:rPr>
        <w:t xml:space="preserve"> – </w:t>
      </w:r>
      <w:r w:rsidR="00D45DC5" w:rsidRPr="00D45DC5">
        <w:rPr>
          <w:rFonts w:ascii="Times New Roman" w:hAnsi="Times New Roman" w:cs="Times New Roman"/>
          <w:sz w:val="28"/>
          <w:szCs w:val="28"/>
        </w:rPr>
        <w:t xml:space="preserve">ген </w:t>
      </w:r>
      <w:r>
        <w:rPr>
          <w:rFonts w:ascii="Times New Roman" w:hAnsi="Times New Roman" w:cs="Times New Roman"/>
          <w:sz w:val="28"/>
          <w:szCs w:val="28"/>
        </w:rPr>
        <w:t>ERCC1</w:t>
      </w:r>
      <w:r w:rsidR="00D45DC5" w:rsidRPr="00D45DC5">
        <w:rPr>
          <w:rFonts w:ascii="Times New Roman" w:hAnsi="Times New Roman" w:cs="Times New Roman"/>
          <w:sz w:val="28"/>
          <w:szCs w:val="28"/>
        </w:rPr>
        <w:t>, фермент комплиментарной эксцизионной репарации ДНК (Excision Repair Cross-Complementing gene 1)</w:t>
      </w:r>
    </w:p>
    <w:p w:rsidR="00775C12" w:rsidRPr="00775C12" w:rsidRDefault="00775C12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DC5">
        <w:rPr>
          <w:rFonts w:ascii="Times New Roman" w:hAnsi="Times New Roman" w:cs="Times New Roman"/>
          <w:sz w:val="28"/>
          <w:szCs w:val="28"/>
          <w:lang w:val="en-US"/>
        </w:rPr>
        <w:t xml:space="preserve">FOXR2 – </w:t>
      </w:r>
      <w:r>
        <w:rPr>
          <w:rFonts w:ascii="Times New Roman" w:hAnsi="Times New Roman" w:cs="Times New Roman"/>
          <w:sz w:val="28"/>
          <w:szCs w:val="28"/>
        </w:rPr>
        <w:t>ген</w:t>
      </w:r>
      <w:r w:rsidRPr="00D45DC5">
        <w:rPr>
          <w:rFonts w:ascii="Times New Roman" w:hAnsi="Times New Roman" w:cs="Times New Roman"/>
          <w:sz w:val="28"/>
          <w:szCs w:val="28"/>
          <w:lang w:val="en-US"/>
        </w:rPr>
        <w:t xml:space="preserve"> FOXR2, </w:t>
      </w:r>
      <w:r>
        <w:rPr>
          <w:rFonts w:ascii="Times New Roman" w:hAnsi="Times New Roman" w:cs="Times New Roman"/>
          <w:sz w:val="28"/>
          <w:szCs w:val="28"/>
          <w:lang w:val="en-US"/>
        </w:rPr>
        <w:t>forkhead box R2</w:t>
      </w:r>
    </w:p>
    <w:p w:rsidR="00D45DC5" w:rsidRPr="0023599F" w:rsidRDefault="00D45DC5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GFAP – </w:t>
      </w:r>
      <w:r w:rsidR="00763546" w:rsidRPr="00763546">
        <w:rPr>
          <w:rFonts w:ascii="Times New Roman" w:hAnsi="Times New Roman" w:cs="Times New Roman"/>
          <w:sz w:val="28"/>
          <w:szCs w:val="28"/>
        </w:rPr>
        <w:t>глиальный</w:t>
      </w:r>
      <w:r w:rsidR="00763546"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546" w:rsidRPr="00763546">
        <w:rPr>
          <w:rFonts w:ascii="Times New Roman" w:hAnsi="Times New Roman" w:cs="Times New Roman"/>
          <w:sz w:val="28"/>
          <w:szCs w:val="28"/>
        </w:rPr>
        <w:t>фибриллярный</w:t>
      </w:r>
      <w:r w:rsidR="00763546"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546" w:rsidRPr="00763546">
        <w:rPr>
          <w:rFonts w:ascii="Times New Roman" w:hAnsi="Times New Roman" w:cs="Times New Roman"/>
          <w:sz w:val="28"/>
          <w:szCs w:val="28"/>
        </w:rPr>
        <w:t>кислый</w:t>
      </w:r>
      <w:r w:rsidR="00763546"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546" w:rsidRPr="00763546">
        <w:rPr>
          <w:rFonts w:ascii="Times New Roman" w:hAnsi="Times New Roman" w:cs="Times New Roman"/>
          <w:sz w:val="28"/>
          <w:szCs w:val="28"/>
        </w:rPr>
        <w:t>белок</w:t>
      </w:r>
      <w:r w:rsidR="00763546"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>(Glial Fibrillary Acidic Protein)</w:t>
      </w:r>
    </w:p>
    <w:p w:rsidR="00763546" w:rsidRPr="0023599F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IDH – </w:t>
      </w:r>
      <w:r w:rsidRPr="00763546">
        <w:rPr>
          <w:rFonts w:ascii="Times New Roman" w:hAnsi="Times New Roman" w:cs="Times New Roman"/>
          <w:sz w:val="28"/>
          <w:szCs w:val="28"/>
        </w:rPr>
        <w:t>ген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IDH, </w:t>
      </w:r>
      <w:r w:rsidRPr="00763546">
        <w:rPr>
          <w:rFonts w:ascii="Times New Roman" w:hAnsi="Times New Roman" w:cs="Times New Roman"/>
          <w:sz w:val="28"/>
          <w:szCs w:val="28"/>
        </w:rPr>
        <w:t>изоцитрат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546">
        <w:rPr>
          <w:rFonts w:ascii="Times New Roman" w:hAnsi="Times New Roman" w:cs="Times New Roman"/>
          <w:sz w:val="28"/>
          <w:szCs w:val="28"/>
        </w:rPr>
        <w:t>дегидрогеназа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75C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>socitrate</w:t>
      </w:r>
      <w:proofErr w:type="spellEnd"/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C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599F">
        <w:rPr>
          <w:rFonts w:ascii="Times New Roman" w:hAnsi="Times New Roman" w:cs="Times New Roman"/>
          <w:sz w:val="28"/>
          <w:szCs w:val="28"/>
          <w:lang w:val="en-US"/>
        </w:rPr>
        <w:t xml:space="preserve">ehydrogenase) </w:t>
      </w:r>
    </w:p>
    <w:p w:rsidR="00301904" w:rsidRPr="00AF3668" w:rsidRDefault="00301904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668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AF3668">
        <w:rPr>
          <w:rFonts w:ascii="Times New Roman" w:hAnsi="Times New Roman" w:cs="Times New Roman"/>
          <w:sz w:val="28"/>
          <w:szCs w:val="28"/>
        </w:rPr>
        <w:t xml:space="preserve">-67 – </w:t>
      </w:r>
      <w:r w:rsidRPr="004D7CF7">
        <w:rPr>
          <w:rFonts w:ascii="Times New Roman" w:hAnsi="Times New Roman" w:cs="Times New Roman"/>
          <w:sz w:val="28"/>
          <w:szCs w:val="28"/>
        </w:rPr>
        <w:t>ядерный</w:t>
      </w:r>
      <w:r w:rsidRPr="00AF3668">
        <w:rPr>
          <w:rFonts w:ascii="Times New Roman" w:hAnsi="Times New Roman" w:cs="Times New Roman"/>
          <w:sz w:val="28"/>
          <w:szCs w:val="28"/>
        </w:rPr>
        <w:t xml:space="preserve"> </w:t>
      </w:r>
      <w:r w:rsidRPr="004D7CF7">
        <w:rPr>
          <w:rFonts w:ascii="Times New Roman" w:hAnsi="Times New Roman" w:cs="Times New Roman"/>
          <w:sz w:val="28"/>
          <w:szCs w:val="28"/>
        </w:rPr>
        <w:t>протеин</w:t>
      </w:r>
      <w:r w:rsidRPr="00AF3668">
        <w:rPr>
          <w:rFonts w:ascii="Times New Roman" w:hAnsi="Times New Roman" w:cs="Times New Roman"/>
          <w:sz w:val="28"/>
          <w:szCs w:val="28"/>
        </w:rPr>
        <w:t xml:space="preserve">, </w:t>
      </w:r>
      <w:r w:rsidRPr="004D7CF7">
        <w:rPr>
          <w:rFonts w:ascii="Times New Roman" w:hAnsi="Times New Roman" w:cs="Times New Roman"/>
          <w:sz w:val="28"/>
          <w:szCs w:val="28"/>
        </w:rPr>
        <w:t>индекс</w:t>
      </w:r>
      <w:r w:rsidRPr="00AF3668">
        <w:rPr>
          <w:rFonts w:ascii="Times New Roman" w:hAnsi="Times New Roman" w:cs="Times New Roman"/>
          <w:sz w:val="28"/>
          <w:szCs w:val="28"/>
        </w:rPr>
        <w:t xml:space="preserve"> </w:t>
      </w:r>
      <w:r w:rsidRPr="004D7CF7">
        <w:rPr>
          <w:rFonts w:ascii="Times New Roman" w:hAnsi="Times New Roman" w:cs="Times New Roman"/>
          <w:sz w:val="28"/>
          <w:szCs w:val="28"/>
        </w:rPr>
        <w:t>пролиферативной</w:t>
      </w:r>
      <w:r w:rsidRPr="00AF3668">
        <w:rPr>
          <w:rFonts w:ascii="Times New Roman" w:hAnsi="Times New Roman" w:cs="Times New Roman"/>
          <w:sz w:val="28"/>
          <w:szCs w:val="28"/>
        </w:rPr>
        <w:t xml:space="preserve"> </w:t>
      </w:r>
      <w:r w:rsidRPr="004D7CF7">
        <w:rPr>
          <w:rFonts w:ascii="Times New Roman" w:hAnsi="Times New Roman" w:cs="Times New Roman"/>
          <w:sz w:val="28"/>
          <w:szCs w:val="28"/>
        </w:rPr>
        <w:t>активности</w:t>
      </w:r>
    </w:p>
    <w:p w:rsidR="00763546" w:rsidRPr="00775C12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CF7">
        <w:rPr>
          <w:rFonts w:ascii="Times New Roman" w:hAnsi="Times New Roman" w:cs="Times New Roman"/>
          <w:sz w:val="28"/>
          <w:szCs w:val="28"/>
        </w:rPr>
        <w:t>MAP2 –</w:t>
      </w:r>
      <w:r w:rsidR="00AF3668" w:rsidRPr="00AF3668">
        <w:rPr>
          <w:rFonts w:ascii="Times New Roman" w:hAnsi="Times New Roman" w:cs="Times New Roman"/>
          <w:sz w:val="28"/>
          <w:szCs w:val="28"/>
        </w:rPr>
        <w:t xml:space="preserve"> </w:t>
      </w:r>
      <w:r w:rsidR="00AF3668">
        <w:rPr>
          <w:rFonts w:ascii="Times New Roman" w:hAnsi="Times New Roman" w:cs="Times New Roman"/>
          <w:sz w:val="28"/>
          <w:szCs w:val="28"/>
        </w:rPr>
        <w:t>белок, ассоциированный с микротрубочками (</w:t>
      </w:r>
      <w:r w:rsidR="00AF36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D7CF7">
        <w:rPr>
          <w:rFonts w:ascii="Times New Roman" w:hAnsi="Times New Roman" w:cs="Times New Roman"/>
          <w:sz w:val="28"/>
          <w:szCs w:val="28"/>
        </w:rPr>
        <w:t>icrotubule-associated protein 2</w:t>
      </w:r>
      <w:r w:rsidR="00775C12" w:rsidRPr="00775C12">
        <w:rPr>
          <w:rFonts w:ascii="Times New Roman" w:hAnsi="Times New Roman" w:cs="Times New Roman"/>
          <w:sz w:val="28"/>
          <w:szCs w:val="28"/>
        </w:rPr>
        <w:t>)</w:t>
      </w:r>
    </w:p>
    <w:p w:rsidR="00763546" w:rsidRPr="00763546" w:rsidRDefault="00301904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CF7">
        <w:rPr>
          <w:rFonts w:ascii="Times New Roman" w:hAnsi="Times New Roman" w:cs="Times New Roman"/>
          <w:sz w:val="28"/>
          <w:szCs w:val="28"/>
        </w:rPr>
        <w:lastRenderedPageBreak/>
        <w:t xml:space="preserve">MGMT – </w:t>
      </w:r>
      <w:r w:rsidR="00763546" w:rsidRPr="00763546">
        <w:rPr>
          <w:rFonts w:ascii="Times New Roman" w:hAnsi="Times New Roman" w:cs="Times New Roman"/>
          <w:sz w:val="28"/>
          <w:szCs w:val="28"/>
        </w:rPr>
        <w:t>ген MGMT, О-6-метилгуанин-ДНК-метилтрансфераза (O6 -</w:t>
      </w:r>
      <w:proofErr w:type="gramEnd"/>
    </w:p>
    <w:p w:rsidR="00763546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546">
        <w:rPr>
          <w:rFonts w:ascii="Times New Roman" w:hAnsi="Times New Roman" w:cs="Times New Roman"/>
          <w:sz w:val="28"/>
          <w:szCs w:val="28"/>
        </w:rPr>
        <w:t xml:space="preserve">methylguanine-DNA methyltransferase) </w:t>
      </w:r>
    </w:p>
    <w:p w:rsidR="00AF3668" w:rsidRDefault="00763546" w:rsidP="00743B95">
      <w:pPr>
        <w:pStyle w:val="aa"/>
        <w:spacing w:line="360" w:lineRule="auto"/>
      </w:pPr>
      <w:r w:rsidRPr="00763546">
        <w:rPr>
          <w:rFonts w:ascii="Times New Roman" w:hAnsi="Times New Roman" w:cs="Times New Roman"/>
          <w:sz w:val="28"/>
          <w:szCs w:val="28"/>
        </w:rPr>
        <w:t>NB – протеин нейральной дифференцировки</w:t>
      </w:r>
      <w:r w:rsidR="00AF3668" w:rsidRPr="00AF3668">
        <w:t xml:space="preserve"> </w:t>
      </w:r>
    </w:p>
    <w:p w:rsidR="00F0563F" w:rsidRDefault="00F0563F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546">
        <w:rPr>
          <w:rFonts w:ascii="Times New Roman" w:hAnsi="Times New Roman" w:cs="Times New Roman"/>
          <w:sz w:val="28"/>
          <w:szCs w:val="28"/>
        </w:rPr>
        <w:t xml:space="preserve">NCCN – национальная всеобщая сеть по борьбе с раком (National Comprehensive Cancer Network) </w:t>
      </w:r>
    </w:p>
    <w:p w:rsidR="00763546" w:rsidRPr="00F0563F" w:rsidRDefault="00AF3668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C12">
        <w:rPr>
          <w:rFonts w:ascii="Times New Roman" w:hAnsi="Times New Roman" w:cs="Times New Roman"/>
          <w:sz w:val="28"/>
          <w:szCs w:val="28"/>
          <w:lang w:val="en-US"/>
        </w:rPr>
        <w:t>NeuN</w:t>
      </w:r>
      <w:r w:rsidRPr="00F0563F">
        <w:rPr>
          <w:rFonts w:ascii="Times New Roman" w:hAnsi="Times New Roman" w:cs="Times New Roman"/>
          <w:sz w:val="28"/>
          <w:szCs w:val="28"/>
        </w:rPr>
        <w:t xml:space="preserve"> –</w:t>
      </w:r>
      <w:r w:rsidR="00775C12" w:rsidRPr="00F0563F">
        <w:rPr>
          <w:rFonts w:ascii="Times New Roman" w:hAnsi="Times New Roman" w:cs="Times New Roman"/>
          <w:sz w:val="28"/>
          <w:szCs w:val="28"/>
        </w:rPr>
        <w:t xml:space="preserve"> ядерный белок нервных клеток</w:t>
      </w:r>
      <w:r w:rsidRPr="00F0563F">
        <w:rPr>
          <w:rFonts w:ascii="Times New Roman" w:hAnsi="Times New Roman" w:cs="Times New Roman"/>
          <w:sz w:val="28"/>
          <w:szCs w:val="28"/>
        </w:rPr>
        <w:t xml:space="preserve"> </w:t>
      </w:r>
      <w:r w:rsidR="00775C12" w:rsidRPr="00F0563F">
        <w:rPr>
          <w:rFonts w:ascii="Times New Roman" w:hAnsi="Times New Roman" w:cs="Times New Roman"/>
          <w:sz w:val="28"/>
          <w:szCs w:val="28"/>
        </w:rPr>
        <w:t>(</w:t>
      </w:r>
      <w:r w:rsidRPr="00775C12">
        <w:rPr>
          <w:rFonts w:ascii="Times New Roman" w:hAnsi="Times New Roman" w:cs="Times New Roman"/>
          <w:sz w:val="28"/>
          <w:szCs w:val="28"/>
          <w:lang w:val="en-US"/>
        </w:rPr>
        <w:t>neuronal</w:t>
      </w:r>
      <w:r w:rsidRPr="00F0563F">
        <w:rPr>
          <w:rFonts w:ascii="Times New Roman" w:hAnsi="Times New Roman" w:cs="Times New Roman"/>
          <w:sz w:val="28"/>
          <w:szCs w:val="28"/>
        </w:rPr>
        <w:t xml:space="preserve"> </w:t>
      </w:r>
      <w:r w:rsidRPr="00775C12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F0563F">
        <w:rPr>
          <w:rFonts w:ascii="Times New Roman" w:hAnsi="Times New Roman" w:cs="Times New Roman"/>
          <w:sz w:val="28"/>
          <w:szCs w:val="28"/>
        </w:rPr>
        <w:t xml:space="preserve"> </w:t>
      </w:r>
      <w:r w:rsidRPr="00775C12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="00775C12" w:rsidRPr="00F0563F">
        <w:rPr>
          <w:rFonts w:ascii="Times New Roman" w:hAnsi="Times New Roman" w:cs="Times New Roman"/>
          <w:sz w:val="28"/>
          <w:szCs w:val="28"/>
        </w:rPr>
        <w:t>)</w:t>
      </w:r>
    </w:p>
    <w:p w:rsidR="00AF3668" w:rsidRPr="0023599F" w:rsidRDefault="00AF3668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668">
        <w:rPr>
          <w:rFonts w:ascii="Times New Roman" w:hAnsi="Times New Roman" w:cs="Times New Roman"/>
          <w:sz w:val="28"/>
          <w:szCs w:val="28"/>
          <w:lang w:val="en-US"/>
        </w:rPr>
        <w:t>NFPs</w:t>
      </w:r>
      <w:r w:rsidRPr="0023599F">
        <w:rPr>
          <w:rFonts w:ascii="Times New Roman" w:hAnsi="Times New Roman" w:cs="Times New Roman"/>
          <w:sz w:val="28"/>
          <w:szCs w:val="28"/>
        </w:rPr>
        <w:t xml:space="preserve"> – </w:t>
      </w:r>
      <w:r w:rsidR="00775C12">
        <w:rPr>
          <w:rFonts w:ascii="Times New Roman" w:hAnsi="Times New Roman" w:cs="Times New Roman"/>
          <w:sz w:val="28"/>
          <w:szCs w:val="28"/>
        </w:rPr>
        <w:t>белки</w:t>
      </w:r>
      <w:r w:rsidR="00775C12"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="00775C12">
        <w:rPr>
          <w:rFonts w:ascii="Times New Roman" w:hAnsi="Times New Roman" w:cs="Times New Roman"/>
          <w:sz w:val="28"/>
          <w:szCs w:val="28"/>
        </w:rPr>
        <w:t>нейрофиламентов</w:t>
      </w:r>
      <w:r w:rsidR="00775C12" w:rsidRPr="0023599F">
        <w:rPr>
          <w:rFonts w:ascii="Times New Roman" w:hAnsi="Times New Roman" w:cs="Times New Roman"/>
          <w:sz w:val="28"/>
          <w:szCs w:val="28"/>
        </w:rPr>
        <w:t xml:space="preserve"> (</w:t>
      </w:r>
      <w:r w:rsidRPr="00AF3668">
        <w:rPr>
          <w:rFonts w:ascii="Times New Roman" w:hAnsi="Times New Roman" w:cs="Times New Roman"/>
          <w:sz w:val="28"/>
          <w:szCs w:val="28"/>
          <w:lang w:val="en-US"/>
        </w:rPr>
        <w:t>neurofilament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AF3668">
        <w:rPr>
          <w:rFonts w:ascii="Times New Roman" w:hAnsi="Times New Roman" w:cs="Times New Roman"/>
          <w:sz w:val="28"/>
          <w:szCs w:val="28"/>
          <w:lang w:val="en-US"/>
        </w:rPr>
        <w:t>proteins</w:t>
      </w:r>
      <w:r w:rsidR="00775C12" w:rsidRPr="0023599F">
        <w:rPr>
          <w:rFonts w:ascii="Times New Roman" w:hAnsi="Times New Roman" w:cs="Times New Roman"/>
          <w:sz w:val="28"/>
          <w:szCs w:val="28"/>
        </w:rPr>
        <w:t>)</w:t>
      </w:r>
    </w:p>
    <w:p w:rsidR="00763546" w:rsidRPr="0023599F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63F">
        <w:rPr>
          <w:rFonts w:ascii="Times New Roman" w:hAnsi="Times New Roman" w:cs="Times New Roman"/>
          <w:sz w:val="28"/>
          <w:szCs w:val="28"/>
          <w:lang w:val="en-US"/>
        </w:rPr>
        <w:t>PDGFR</w:t>
      </w:r>
      <w:r w:rsidRPr="0023599F">
        <w:rPr>
          <w:rFonts w:ascii="Times New Roman" w:hAnsi="Times New Roman" w:cs="Times New Roman"/>
          <w:sz w:val="28"/>
          <w:szCs w:val="28"/>
        </w:rPr>
        <w:t xml:space="preserve"> – </w:t>
      </w:r>
      <w:r w:rsidRPr="00763546">
        <w:rPr>
          <w:rFonts w:ascii="Times New Roman" w:hAnsi="Times New Roman" w:cs="Times New Roman"/>
          <w:sz w:val="28"/>
          <w:szCs w:val="28"/>
        </w:rPr>
        <w:t>ген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="00000D02" w:rsidRPr="00F056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DGF</w:t>
      </w:r>
      <w:r w:rsidRPr="0023599F">
        <w:rPr>
          <w:rFonts w:ascii="Times New Roman" w:hAnsi="Times New Roman" w:cs="Times New Roman"/>
          <w:sz w:val="28"/>
          <w:szCs w:val="28"/>
        </w:rPr>
        <w:t xml:space="preserve">, </w:t>
      </w:r>
      <w:r w:rsidRPr="00763546">
        <w:rPr>
          <w:rFonts w:ascii="Times New Roman" w:hAnsi="Times New Roman" w:cs="Times New Roman"/>
          <w:sz w:val="28"/>
          <w:szCs w:val="28"/>
        </w:rPr>
        <w:t>рецептор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763546">
        <w:rPr>
          <w:rFonts w:ascii="Times New Roman" w:hAnsi="Times New Roman" w:cs="Times New Roman"/>
          <w:sz w:val="28"/>
          <w:szCs w:val="28"/>
        </w:rPr>
        <w:t>тромбоцитарного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763546">
        <w:rPr>
          <w:rFonts w:ascii="Times New Roman" w:hAnsi="Times New Roman" w:cs="Times New Roman"/>
          <w:sz w:val="28"/>
          <w:szCs w:val="28"/>
        </w:rPr>
        <w:t>фактора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763546">
        <w:rPr>
          <w:rFonts w:ascii="Times New Roman" w:hAnsi="Times New Roman" w:cs="Times New Roman"/>
          <w:sz w:val="28"/>
          <w:szCs w:val="28"/>
        </w:rPr>
        <w:t>роста</w:t>
      </w:r>
      <w:r w:rsidRPr="0023599F">
        <w:rPr>
          <w:rFonts w:ascii="Times New Roman" w:hAnsi="Times New Roman" w:cs="Times New Roman"/>
          <w:sz w:val="28"/>
          <w:szCs w:val="28"/>
        </w:rPr>
        <w:t xml:space="preserve"> (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Platelet</w:t>
      </w:r>
      <w:r w:rsidR="00000D02"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Derived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Pr="0023599F">
        <w:rPr>
          <w:rFonts w:ascii="Times New Roman" w:hAnsi="Times New Roman" w:cs="Times New Roman"/>
          <w:sz w:val="28"/>
          <w:szCs w:val="28"/>
        </w:rPr>
        <w:t xml:space="preserve"> </w:t>
      </w:r>
      <w:r w:rsidRPr="00F0563F">
        <w:rPr>
          <w:rFonts w:ascii="Times New Roman" w:hAnsi="Times New Roman" w:cs="Times New Roman"/>
          <w:sz w:val="28"/>
          <w:szCs w:val="28"/>
          <w:lang w:val="en-US"/>
        </w:rPr>
        <w:t>Receptor</w:t>
      </w:r>
      <w:r w:rsidRPr="0023599F">
        <w:rPr>
          <w:rFonts w:ascii="Times New Roman" w:hAnsi="Times New Roman" w:cs="Times New Roman"/>
          <w:sz w:val="28"/>
          <w:szCs w:val="28"/>
        </w:rPr>
        <w:t>)</w:t>
      </w:r>
    </w:p>
    <w:p w:rsidR="00763546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763546">
        <w:rPr>
          <w:rFonts w:ascii="Times New Roman" w:hAnsi="Times New Roman" w:cs="Times New Roman"/>
          <w:sz w:val="28"/>
          <w:szCs w:val="28"/>
        </w:rPr>
        <w:t xml:space="preserve"> – ген TP, тимидин-фосфорилаза (</w:t>
      </w:r>
      <w:r w:rsidR="00000D0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763546">
        <w:rPr>
          <w:rFonts w:ascii="Times New Roman" w:hAnsi="Times New Roman" w:cs="Times New Roman"/>
          <w:sz w:val="28"/>
          <w:szCs w:val="28"/>
        </w:rPr>
        <w:t>hymidine</w:t>
      </w:r>
      <w:proofErr w:type="spellEnd"/>
      <w:r w:rsidRPr="00763546">
        <w:rPr>
          <w:rFonts w:ascii="Times New Roman" w:hAnsi="Times New Roman" w:cs="Times New Roman"/>
          <w:sz w:val="28"/>
          <w:szCs w:val="28"/>
        </w:rPr>
        <w:t xml:space="preserve"> </w:t>
      </w:r>
      <w:r w:rsidR="00000D0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763546">
        <w:rPr>
          <w:rFonts w:ascii="Times New Roman" w:hAnsi="Times New Roman" w:cs="Times New Roman"/>
          <w:sz w:val="28"/>
          <w:szCs w:val="28"/>
        </w:rPr>
        <w:t>hosphorylase</w:t>
      </w:r>
      <w:proofErr w:type="spellEnd"/>
      <w:r w:rsidRPr="00763546">
        <w:rPr>
          <w:rFonts w:ascii="Times New Roman" w:hAnsi="Times New Roman" w:cs="Times New Roman"/>
          <w:sz w:val="28"/>
          <w:szCs w:val="28"/>
        </w:rPr>
        <w:t>)</w:t>
      </w:r>
    </w:p>
    <w:p w:rsidR="00763546" w:rsidRPr="004D7CF7" w:rsidRDefault="00763546" w:rsidP="00743B9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546">
        <w:rPr>
          <w:rFonts w:ascii="Times New Roman" w:hAnsi="Times New Roman" w:cs="Times New Roman"/>
          <w:sz w:val="28"/>
          <w:szCs w:val="28"/>
        </w:rPr>
        <w:t>VEGF – ген VEGF, сосудистый эндотелиальный фактор роста (Vascular Endothelial Growth Factor)</w:t>
      </w:r>
    </w:p>
    <w:p w:rsidR="004D7CF7" w:rsidRDefault="004D7CF7" w:rsidP="00743B9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F7" w:rsidRDefault="004D7CF7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F7" w:rsidRDefault="004D7CF7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F7" w:rsidRDefault="004D7CF7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F7" w:rsidRDefault="004D7CF7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63F" w:rsidRDefault="00F0563F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63F" w:rsidRDefault="00F0563F" w:rsidP="00FD3C1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AB0" w:rsidRDefault="005B3AB0" w:rsidP="00000B6E">
      <w:pPr>
        <w:pStyle w:val="1"/>
        <w:jc w:val="center"/>
        <w:rPr>
          <w:rFonts w:ascii="Times New Roman" w:eastAsia="Calibri" w:hAnsi="Times New Roman" w:cs="Times New Roman"/>
          <w:caps/>
          <w:color w:val="auto"/>
        </w:rPr>
      </w:pPr>
      <w:bookmarkStart w:id="3" w:name="_Toc40216697"/>
    </w:p>
    <w:bookmarkEnd w:id="3"/>
    <w:p w:rsidR="005B3AB0" w:rsidRDefault="005B3AB0" w:rsidP="005B3AB0"/>
    <w:p w:rsidR="005B3AB0" w:rsidRPr="005B3AB0" w:rsidRDefault="005B3AB0" w:rsidP="005B3AB0"/>
    <w:p w:rsidR="005B3AB0" w:rsidRDefault="005B3AB0" w:rsidP="00743B95">
      <w:pPr>
        <w:pStyle w:val="aa"/>
        <w:spacing w:line="360" w:lineRule="auto"/>
        <w:jc w:val="both"/>
      </w:pPr>
    </w:p>
    <w:p w:rsidR="00FB4DA3" w:rsidRDefault="00FB4DA3" w:rsidP="005B3AB0">
      <w:pPr>
        <w:pStyle w:val="1"/>
        <w:spacing w:line="360" w:lineRule="auto"/>
        <w:jc w:val="center"/>
        <w:rPr>
          <w:rFonts w:ascii="Times New Roman" w:eastAsia="Calibri" w:hAnsi="Times New Roman" w:cs="Times New Roman"/>
          <w:caps/>
          <w:color w:val="auto"/>
          <w:lang w:val="en-US"/>
        </w:rPr>
      </w:pPr>
      <w:bookmarkStart w:id="4" w:name="_Toc41316319"/>
    </w:p>
    <w:bookmarkEnd w:id="4"/>
    <w:p w:rsidR="00FB4DA3" w:rsidRDefault="00FB4DA3" w:rsidP="005B3AB0">
      <w:pPr>
        <w:pStyle w:val="aa"/>
        <w:spacing w:line="360" w:lineRule="auto"/>
        <w:jc w:val="both"/>
        <w:rPr>
          <w:lang w:val="en-US"/>
        </w:rPr>
      </w:pPr>
    </w:p>
    <w:p w:rsidR="00FB4DA3" w:rsidRDefault="00FB4DA3" w:rsidP="005B3AB0">
      <w:pPr>
        <w:pStyle w:val="aa"/>
        <w:spacing w:line="360" w:lineRule="auto"/>
        <w:jc w:val="both"/>
        <w:rPr>
          <w:lang w:val="en-US"/>
        </w:rPr>
      </w:pPr>
    </w:p>
    <w:p w:rsidR="00FB4DA3" w:rsidRPr="00FB4DA3" w:rsidRDefault="00FB4DA3" w:rsidP="00FB4DA3">
      <w:pPr>
        <w:pStyle w:val="1"/>
        <w:spacing w:line="360" w:lineRule="auto"/>
        <w:jc w:val="center"/>
        <w:rPr>
          <w:rFonts w:ascii="Times New Roman" w:eastAsia="Calibri" w:hAnsi="Times New Roman" w:cs="Times New Roman"/>
          <w:caps/>
          <w:color w:val="auto"/>
          <w:lang w:val="en-US"/>
        </w:rPr>
      </w:pPr>
      <w:r w:rsidRPr="00000B6E">
        <w:rPr>
          <w:rFonts w:ascii="Times New Roman" w:eastAsia="Calibri" w:hAnsi="Times New Roman" w:cs="Times New Roman"/>
          <w:caps/>
          <w:color w:val="auto"/>
        </w:rPr>
        <w:lastRenderedPageBreak/>
        <w:t>Введение</w:t>
      </w:r>
    </w:p>
    <w:p w:rsidR="009B71B7" w:rsidRPr="00743B95" w:rsidRDefault="00D30433" w:rsidP="005B3AB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2644D" w:rsidRPr="00743B95">
        <w:rPr>
          <w:rFonts w:ascii="Times New Roman" w:hAnsi="Times New Roman" w:cs="Times New Roman"/>
          <w:sz w:val="28"/>
          <w:szCs w:val="28"/>
        </w:rPr>
        <w:t>Эмбриональные опухоли центральной нервной системы (ЦНС)</w:t>
      </w:r>
      <w:r w:rsidR="009A45ED">
        <w:rPr>
          <w:rFonts w:ascii="Times New Roman" w:hAnsi="Times New Roman" w:cs="Times New Roman"/>
          <w:sz w:val="28"/>
          <w:szCs w:val="28"/>
        </w:rPr>
        <w:t xml:space="preserve"> </w:t>
      </w:r>
      <w:r w:rsidR="0012644D" w:rsidRPr="00743B95">
        <w:rPr>
          <w:rFonts w:ascii="Times New Roman" w:hAnsi="Times New Roman" w:cs="Times New Roman"/>
          <w:sz w:val="28"/>
          <w:szCs w:val="28"/>
        </w:rPr>
        <w:t xml:space="preserve">– </w:t>
      </w:r>
      <w:r w:rsidR="000B7C2D" w:rsidRPr="00743B95">
        <w:rPr>
          <w:rFonts w:ascii="Times New Roman" w:hAnsi="Times New Roman" w:cs="Times New Roman"/>
          <w:sz w:val="28"/>
          <w:szCs w:val="28"/>
        </w:rPr>
        <w:t xml:space="preserve">гетерогенная группа высокозлокачественных </w:t>
      </w:r>
      <w:r w:rsidR="0012644D" w:rsidRPr="00743B95">
        <w:rPr>
          <w:rFonts w:ascii="Times New Roman" w:hAnsi="Times New Roman" w:cs="Times New Roman"/>
          <w:sz w:val="28"/>
          <w:szCs w:val="28"/>
        </w:rPr>
        <w:t>недифференцированны</w:t>
      </w:r>
      <w:r w:rsidR="000B7C2D" w:rsidRPr="00743B95">
        <w:rPr>
          <w:rFonts w:ascii="Times New Roman" w:hAnsi="Times New Roman" w:cs="Times New Roman"/>
          <w:sz w:val="28"/>
          <w:szCs w:val="28"/>
        </w:rPr>
        <w:t>х</w:t>
      </w:r>
      <w:r w:rsidR="0012644D" w:rsidRPr="00743B95">
        <w:rPr>
          <w:rFonts w:ascii="Times New Roman" w:hAnsi="Times New Roman" w:cs="Times New Roman"/>
          <w:sz w:val="28"/>
          <w:szCs w:val="28"/>
        </w:rPr>
        <w:t xml:space="preserve"> или плохо дифференцированны</w:t>
      </w:r>
      <w:r w:rsidR="000B7C2D" w:rsidRPr="00743B95">
        <w:rPr>
          <w:rFonts w:ascii="Times New Roman" w:hAnsi="Times New Roman" w:cs="Times New Roman"/>
          <w:sz w:val="28"/>
          <w:szCs w:val="28"/>
        </w:rPr>
        <w:t>х</w:t>
      </w:r>
      <w:r w:rsidR="0012644D" w:rsidRPr="00743B95">
        <w:rPr>
          <w:rFonts w:ascii="Times New Roman" w:hAnsi="Times New Roman" w:cs="Times New Roman"/>
          <w:sz w:val="28"/>
          <w:szCs w:val="28"/>
        </w:rPr>
        <w:t xml:space="preserve"> опухол</w:t>
      </w:r>
      <w:r w:rsidR="000B7C2D" w:rsidRPr="00743B95">
        <w:rPr>
          <w:rFonts w:ascii="Times New Roman" w:hAnsi="Times New Roman" w:cs="Times New Roman"/>
          <w:sz w:val="28"/>
          <w:szCs w:val="28"/>
        </w:rPr>
        <w:t>ей</w:t>
      </w:r>
      <w:r w:rsidR="0012644D" w:rsidRPr="00743B95">
        <w:rPr>
          <w:rFonts w:ascii="Times New Roman" w:hAnsi="Times New Roman" w:cs="Times New Roman"/>
          <w:sz w:val="28"/>
          <w:szCs w:val="28"/>
        </w:rPr>
        <w:t xml:space="preserve"> нейроэпителиального происхождения, наблюдающи</w:t>
      </w:r>
      <w:r w:rsidR="00C52F53">
        <w:rPr>
          <w:rFonts w:ascii="Times New Roman" w:hAnsi="Times New Roman" w:cs="Times New Roman"/>
          <w:sz w:val="28"/>
          <w:szCs w:val="28"/>
        </w:rPr>
        <w:t>х</w:t>
      </w:r>
      <w:r w:rsidR="0012644D" w:rsidRPr="00743B95">
        <w:rPr>
          <w:rFonts w:ascii="Times New Roman" w:hAnsi="Times New Roman" w:cs="Times New Roman"/>
          <w:sz w:val="28"/>
          <w:szCs w:val="28"/>
        </w:rPr>
        <w:t>ся преимущественно у пациентов детского возраста</w:t>
      </w:r>
      <w:r w:rsidR="000B7C2D" w:rsidRPr="00743B95">
        <w:rPr>
          <w:rFonts w:ascii="Times New Roman" w:hAnsi="Times New Roman" w:cs="Times New Roman"/>
          <w:sz w:val="28"/>
          <w:szCs w:val="28"/>
        </w:rPr>
        <w:t xml:space="preserve"> и </w:t>
      </w:r>
      <w:r w:rsidRPr="00743B95">
        <w:rPr>
          <w:rFonts w:ascii="Times New Roman" w:hAnsi="Times New Roman" w:cs="Times New Roman"/>
          <w:sz w:val="28"/>
          <w:szCs w:val="28"/>
        </w:rPr>
        <w:t>чрезвычайно редко</w:t>
      </w:r>
      <w:r w:rsidR="0012644D" w:rsidRPr="00743B95">
        <w:rPr>
          <w:rFonts w:ascii="Times New Roman" w:hAnsi="Times New Roman" w:cs="Times New Roman"/>
          <w:sz w:val="28"/>
          <w:szCs w:val="28"/>
        </w:rPr>
        <w:t xml:space="preserve"> регистрирующи</w:t>
      </w:r>
      <w:r w:rsidR="00C52F53">
        <w:rPr>
          <w:rFonts w:ascii="Times New Roman" w:hAnsi="Times New Roman" w:cs="Times New Roman"/>
          <w:sz w:val="28"/>
          <w:szCs w:val="28"/>
        </w:rPr>
        <w:t>х</w:t>
      </w:r>
      <w:r w:rsidR="0012644D" w:rsidRPr="00743B95">
        <w:rPr>
          <w:rFonts w:ascii="Times New Roman" w:hAnsi="Times New Roman" w:cs="Times New Roman"/>
          <w:sz w:val="28"/>
          <w:szCs w:val="28"/>
        </w:rPr>
        <w:t>ся</w:t>
      </w:r>
      <w:r w:rsidRPr="00743B95">
        <w:rPr>
          <w:rFonts w:ascii="Times New Roman" w:hAnsi="Times New Roman" w:cs="Times New Roman"/>
          <w:sz w:val="28"/>
          <w:szCs w:val="28"/>
        </w:rPr>
        <w:t xml:space="preserve"> </w:t>
      </w:r>
      <w:r w:rsidR="0012644D" w:rsidRPr="00743B95">
        <w:rPr>
          <w:rFonts w:ascii="Times New Roman" w:hAnsi="Times New Roman" w:cs="Times New Roman"/>
          <w:sz w:val="28"/>
          <w:szCs w:val="28"/>
        </w:rPr>
        <w:t>у пациентов старше 18 лет.</w:t>
      </w:r>
    </w:p>
    <w:p w:rsidR="000B7C2D" w:rsidRDefault="009B71B7" w:rsidP="005B3AB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95">
        <w:rPr>
          <w:rFonts w:ascii="Times New Roman" w:hAnsi="Times New Roman" w:cs="Times New Roman"/>
          <w:sz w:val="28"/>
          <w:szCs w:val="28"/>
        </w:rPr>
        <w:tab/>
        <w:t xml:space="preserve">На данном этапе развития современной нейроонкологии </w:t>
      </w:r>
      <w:r w:rsidR="009A45ED">
        <w:rPr>
          <w:rFonts w:ascii="Times New Roman" w:hAnsi="Times New Roman" w:cs="Times New Roman"/>
          <w:sz w:val="28"/>
          <w:szCs w:val="28"/>
        </w:rPr>
        <w:t>диагностика</w:t>
      </w:r>
      <w:r w:rsidRPr="00743B95">
        <w:rPr>
          <w:rFonts w:ascii="Times New Roman" w:hAnsi="Times New Roman" w:cs="Times New Roman"/>
          <w:sz w:val="28"/>
          <w:szCs w:val="28"/>
        </w:rPr>
        <w:t xml:space="preserve"> эмбриональных опухолей ЦНС ограничивается </w:t>
      </w:r>
      <w:proofErr w:type="gramStart"/>
      <w:r w:rsidRPr="00743B95">
        <w:rPr>
          <w:rFonts w:ascii="Times New Roman" w:hAnsi="Times New Roman" w:cs="Times New Roman"/>
          <w:sz w:val="28"/>
          <w:szCs w:val="28"/>
        </w:rPr>
        <w:t>гистологическим</w:t>
      </w:r>
      <w:proofErr w:type="gramEnd"/>
      <w:r w:rsidRPr="00743B95">
        <w:rPr>
          <w:rFonts w:ascii="Times New Roman" w:hAnsi="Times New Roman" w:cs="Times New Roman"/>
          <w:sz w:val="28"/>
          <w:szCs w:val="28"/>
        </w:rPr>
        <w:t xml:space="preserve"> </w:t>
      </w:r>
      <w:r w:rsidR="00762AA7">
        <w:rPr>
          <w:rFonts w:ascii="Times New Roman" w:hAnsi="Times New Roman" w:cs="Times New Roman"/>
          <w:sz w:val="28"/>
          <w:szCs w:val="28"/>
        </w:rPr>
        <w:t xml:space="preserve">и иммуногистохимическим </w:t>
      </w:r>
      <w:r w:rsidRPr="00743B95">
        <w:rPr>
          <w:rFonts w:ascii="Times New Roman" w:hAnsi="Times New Roman" w:cs="Times New Roman"/>
          <w:sz w:val="28"/>
          <w:szCs w:val="28"/>
        </w:rPr>
        <w:t>исследовани</w:t>
      </w:r>
      <w:r w:rsidR="00762AA7">
        <w:rPr>
          <w:rFonts w:ascii="Times New Roman" w:hAnsi="Times New Roman" w:cs="Times New Roman"/>
          <w:sz w:val="28"/>
          <w:szCs w:val="28"/>
        </w:rPr>
        <w:t>ями</w:t>
      </w:r>
      <w:r w:rsidR="00381857" w:rsidRPr="00743B95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743B95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381857" w:rsidRPr="00743B95">
        <w:rPr>
          <w:rFonts w:ascii="Times New Roman" w:hAnsi="Times New Roman" w:cs="Times New Roman"/>
          <w:sz w:val="28"/>
          <w:szCs w:val="28"/>
        </w:rPr>
        <w:t>ия</w:t>
      </w:r>
      <w:r w:rsidRPr="00743B95">
        <w:rPr>
          <w:rFonts w:ascii="Times New Roman" w:hAnsi="Times New Roman" w:cs="Times New Roman"/>
          <w:sz w:val="28"/>
          <w:szCs w:val="28"/>
        </w:rPr>
        <w:t xml:space="preserve"> достоверны</w:t>
      </w:r>
      <w:r w:rsidR="00381857" w:rsidRPr="00743B95">
        <w:rPr>
          <w:rFonts w:ascii="Times New Roman" w:hAnsi="Times New Roman" w:cs="Times New Roman"/>
          <w:sz w:val="28"/>
          <w:szCs w:val="28"/>
        </w:rPr>
        <w:t>х</w:t>
      </w:r>
      <w:r w:rsidRPr="00743B95">
        <w:rPr>
          <w:rFonts w:ascii="Times New Roman" w:hAnsi="Times New Roman" w:cs="Times New Roman"/>
          <w:sz w:val="28"/>
          <w:szCs w:val="28"/>
        </w:rPr>
        <w:t xml:space="preserve"> молекулярно-</w:t>
      </w:r>
      <w:r w:rsidR="009640D5" w:rsidRPr="00743B95">
        <w:rPr>
          <w:rFonts w:ascii="Times New Roman" w:hAnsi="Times New Roman" w:cs="Times New Roman"/>
          <w:sz w:val="28"/>
          <w:szCs w:val="28"/>
        </w:rPr>
        <w:t>генетических</w:t>
      </w:r>
      <w:r w:rsidRPr="00743B95">
        <w:rPr>
          <w:rFonts w:ascii="Times New Roman" w:hAnsi="Times New Roman" w:cs="Times New Roman"/>
          <w:sz w:val="28"/>
          <w:szCs w:val="28"/>
        </w:rPr>
        <w:t xml:space="preserve"> маркер</w:t>
      </w:r>
      <w:r w:rsidR="00381857" w:rsidRPr="00743B95">
        <w:rPr>
          <w:rFonts w:ascii="Times New Roman" w:hAnsi="Times New Roman" w:cs="Times New Roman"/>
          <w:sz w:val="28"/>
          <w:szCs w:val="28"/>
        </w:rPr>
        <w:t>ов</w:t>
      </w:r>
      <w:r w:rsidRPr="00743B95">
        <w:rPr>
          <w:rFonts w:ascii="Times New Roman" w:hAnsi="Times New Roman" w:cs="Times New Roman"/>
          <w:sz w:val="28"/>
          <w:szCs w:val="28"/>
        </w:rPr>
        <w:t xml:space="preserve">. </w:t>
      </w:r>
      <w:r w:rsidR="009A45ED">
        <w:rPr>
          <w:rFonts w:ascii="Times New Roman" w:hAnsi="Times New Roman" w:cs="Times New Roman"/>
          <w:sz w:val="28"/>
          <w:szCs w:val="28"/>
        </w:rPr>
        <w:t>Эмбриональные опухоли ЦНС сложны в диагностическом плане, поэтому ч</w:t>
      </w:r>
      <w:r w:rsidRPr="00743B95">
        <w:rPr>
          <w:rFonts w:ascii="Times New Roman" w:hAnsi="Times New Roman" w:cs="Times New Roman"/>
          <w:sz w:val="28"/>
          <w:szCs w:val="28"/>
        </w:rPr>
        <w:t xml:space="preserve">асто это приводит к </w:t>
      </w:r>
      <w:r w:rsidR="00061298" w:rsidRPr="00743B95">
        <w:rPr>
          <w:rFonts w:ascii="Times New Roman" w:hAnsi="Times New Roman" w:cs="Times New Roman"/>
          <w:sz w:val="28"/>
          <w:szCs w:val="28"/>
        </w:rPr>
        <w:t>неправильной</w:t>
      </w:r>
      <w:r w:rsidRPr="00743B95">
        <w:rPr>
          <w:rFonts w:ascii="Times New Roman" w:hAnsi="Times New Roman" w:cs="Times New Roman"/>
          <w:sz w:val="28"/>
          <w:szCs w:val="28"/>
        </w:rPr>
        <w:t xml:space="preserve"> постановке </w:t>
      </w:r>
      <w:r w:rsidR="00061298" w:rsidRPr="00743B95">
        <w:rPr>
          <w:rFonts w:ascii="Times New Roman" w:hAnsi="Times New Roman" w:cs="Times New Roman"/>
          <w:sz w:val="28"/>
          <w:szCs w:val="28"/>
        </w:rPr>
        <w:t>морфологического</w:t>
      </w:r>
      <w:r w:rsidRPr="00743B95">
        <w:rPr>
          <w:rFonts w:ascii="Times New Roman" w:hAnsi="Times New Roman" w:cs="Times New Roman"/>
          <w:sz w:val="28"/>
          <w:szCs w:val="28"/>
        </w:rPr>
        <w:t xml:space="preserve"> диагноза и, как следствие, неправильной тактик</w:t>
      </w:r>
      <w:r w:rsidR="00061298" w:rsidRPr="00743B95">
        <w:rPr>
          <w:rFonts w:ascii="Times New Roman" w:hAnsi="Times New Roman" w:cs="Times New Roman"/>
          <w:sz w:val="28"/>
          <w:szCs w:val="28"/>
        </w:rPr>
        <w:t>е</w:t>
      </w:r>
      <w:r w:rsidR="009640D5" w:rsidRPr="00743B95">
        <w:rPr>
          <w:rFonts w:ascii="Times New Roman" w:hAnsi="Times New Roman" w:cs="Times New Roman"/>
          <w:sz w:val="28"/>
          <w:szCs w:val="28"/>
        </w:rPr>
        <w:t xml:space="preserve"> лечения. </w:t>
      </w:r>
      <w:r w:rsidR="0054325A" w:rsidRPr="00743B95">
        <w:rPr>
          <w:rFonts w:ascii="Times New Roman" w:hAnsi="Times New Roman" w:cs="Times New Roman"/>
          <w:sz w:val="28"/>
          <w:szCs w:val="28"/>
        </w:rPr>
        <w:t>Выявление</w:t>
      </w:r>
      <w:r w:rsidR="00061298" w:rsidRPr="00743B95">
        <w:rPr>
          <w:rFonts w:ascii="Times New Roman" w:hAnsi="Times New Roman" w:cs="Times New Roman"/>
          <w:sz w:val="28"/>
          <w:szCs w:val="28"/>
        </w:rPr>
        <w:t xml:space="preserve"> предиктивных и прогностических маркеров</w:t>
      </w:r>
      <w:r w:rsidR="0054325A" w:rsidRPr="00743B95">
        <w:rPr>
          <w:rFonts w:ascii="Times New Roman" w:hAnsi="Times New Roman" w:cs="Times New Roman"/>
          <w:sz w:val="28"/>
          <w:szCs w:val="28"/>
        </w:rPr>
        <w:t xml:space="preserve">, имеющих клиническую направленность, </w:t>
      </w:r>
      <w:r w:rsidR="00381857" w:rsidRPr="00743B95">
        <w:rPr>
          <w:rFonts w:ascii="Times New Roman" w:hAnsi="Times New Roman" w:cs="Times New Roman"/>
          <w:sz w:val="28"/>
          <w:szCs w:val="28"/>
        </w:rPr>
        <w:t>в данной группе пациентов крайне критич</w:t>
      </w:r>
      <w:r w:rsidR="0054325A" w:rsidRPr="00743B95">
        <w:rPr>
          <w:rFonts w:ascii="Times New Roman" w:hAnsi="Times New Roman" w:cs="Times New Roman"/>
          <w:sz w:val="28"/>
          <w:szCs w:val="28"/>
        </w:rPr>
        <w:t xml:space="preserve">но,  так как показатели выживаемости находятся на низком уровне и не меняются на протяжении многих лет. </w:t>
      </w:r>
    </w:p>
    <w:p w:rsidR="00354E0E" w:rsidRDefault="00354E0E" w:rsidP="005B3AB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3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11B" w:rsidRDefault="00B3211B" w:rsidP="005B3AB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9A45E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клиничес</w:t>
      </w:r>
      <w:r w:rsidR="009A45ED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и молекулярно-генетическ</w:t>
      </w:r>
      <w:r w:rsidR="009A45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A45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эмбриональных опухолей центральной нервной системы супратенториальной локализации у больных старше 18 лет.</w:t>
      </w:r>
    </w:p>
    <w:p w:rsidR="00354E0E" w:rsidRDefault="00354E0E" w:rsidP="004D27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3B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FE0E3B">
        <w:rPr>
          <w:rFonts w:ascii="Times New Roman" w:hAnsi="Times New Roman" w:cs="Times New Roman"/>
          <w:sz w:val="28"/>
          <w:szCs w:val="28"/>
        </w:rPr>
        <w:t>:</w:t>
      </w:r>
    </w:p>
    <w:p w:rsidR="0022228A" w:rsidRDefault="0022228A" w:rsidP="009A45ED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22228A">
        <w:rPr>
          <w:rFonts w:ascii="Times New Roman" w:hAnsi="Times New Roman" w:cs="Times New Roman"/>
          <w:sz w:val="28"/>
          <w:szCs w:val="28"/>
        </w:rPr>
        <w:t xml:space="preserve"> частот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228A">
        <w:rPr>
          <w:rFonts w:ascii="Times New Roman" w:hAnsi="Times New Roman" w:cs="Times New Roman"/>
          <w:sz w:val="28"/>
          <w:szCs w:val="28"/>
        </w:rPr>
        <w:t xml:space="preserve"> встречаемости уровней экспрессий генов TP, MGMT, </w:t>
      </w:r>
      <w:r w:rsidR="006C732E">
        <w:rPr>
          <w:rFonts w:ascii="Times New Roman" w:hAnsi="Times New Roman" w:cs="Times New Roman"/>
          <w:sz w:val="28"/>
          <w:szCs w:val="28"/>
        </w:rPr>
        <w:t>ERCC1</w:t>
      </w:r>
      <w:r w:rsidRPr="0022228A">
        <w:rPr>
          <w:rFonts w:ascii="Times New Roman" w:hAnsi="Times New Roman" w:cs="Times New Roman"/>
          <w:sz w:val="28"/>
          <w:szCs w:val="28"/>
        </w:rPr>
        <w:t xml:space="preserve">, PDGFR-α, VEGF, </w:t>
      </w:r>
      <w:proofErr w:type="gramStart"/>
      <w:r w:rsidRPr="00222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28A">
        <w:rPr>
          <w:rFonts w:ascii="Times New Roman" w:hAnsi="Times New Roman" w:cs="Times New Roman"/>
          <w:sz w:val="28"/>
          <w:szCs w:val="28"/>
        </w:rPr>
        <w:t>-kit, β-тубулин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28A">
        <w:rPr>
          <w:rFonts w:ascii="Times New Roman" w:hAnsi="Times New Roman" w:cs="Times New Roman"/>
          <w:sz w:val="28"/>
          <w:szCs w:val="28"/>
        </w:rPr>
        <w:t>,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28A">
        <w:rPr>
          <w:rFonts w:ascii="Times New Roman" w:hAnsi="Times New Roman" w:cs="Times New Roman"/>
          <w:sz w:val="28"/>
          <w:szCs w:val="28"/>
        </w:rPr>
        <w:t xml:space="preserve"> мутации в генах </w:t>
      </w:r>
      <w:r w:rsidR="009A45ED" w:rsidRPr="009A45ED">
        <w:rPr>
          <w:rFonts w:ascii="Times New Roman" w:hAnsi="Times New Roman" w:cs="Times New Roman"/>
          <w:sz w:val="28"/>
          <w:szCs w:val="28"/>
        </w:rPr>
        <w:t xml:space="preserve">IDH1 и IDH2 </w:t>
      </w:r>
      <w:r w:rsidRPr="0022228A">
        <w:rPr>
          <w:rFonts w:ascii="Times New Roman" w:hAnsi="Times New Roman" w:cs="Times New Roman"/>
          <w:sz w:val="28"/>
          <w:szCs w:val="28"/>
        </w:rPr>
        <w:t>и ко-делеции 1p19q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28A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="00CA4D09">
        <w:rPr>
          <w:rFonts w:ascii="Times New Roman" w:hAnsi="Times New Roman" w:cs="Times New Roman"/>
          <w:sz w:val="28"/>
          <w:szCs w:val="28"/>
        </w:rPr>
        <w:t>НБ-ЦНС и ГНБ-ЦНС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1B" w:rsidRDefault="00B3211B" w:rsidP="009A45ED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8A">
        <w:rPr>
          <w:rFonts w:ascii="Times New Roman" w:hAnsi="Times New Roman" w:cs="Times New Roman"/>
          <w:sz w:val="28"/>
          <w:szCs w:val="28"/>
        </w:rPr>
        <w:t xml:space="preserve">Оценить влияние на безрецидивную и общую продолжительность жизни мутаций в генах </w:t>
      </w:r>
      <w:r w:rsidR="009A45ED" w:rsidRPr="009A45ED">
        <w:rPr>
          <w:rFonts w:ascii="Times New Roman" w:hAnsi="Times New Roman" w:cs="Times New Roman"/>
          <w:sz w:val="28"/>
          <w:szCs w:val="28"/>
        </w:rPr>
        <w:t xml:space="preserve">IDH1 и IDH2 </w:t>
      </w:r>
      <w:r w:rsidR="006C732E" w:rsidRPr="006C732E">
        <w:rPr>
          <w:rFonts w:ascii="Times New Roman" w:hAnsi="Times New Roman" w:cs="Times New Roman"/>
          <w:sz w:val="28"/>
          <w:szCs w:val="28"/>
        </w:rPr>
        <w:t>и ко-делеции 1</w:t>
      </w:r>
      <w:r w:rsidR="006C732E" w:rsidRPr="006C73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C732E" w:rsidRPr="006C732E">
        <w:rPr>
          <w:rFonts w:ascii="Times New Roman" w:hAnsi="Times New Roman" w:cs="Times New Roman"/>
          <w:sz w:val="28"/>
          <w:szCs w:val="28"/>
        </w:rPr>
        <w:t>19</w:t>
      </w:r>
      <w:r w:rsidR="006C732E" w:rsidRPr="006C73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C732E" w:rsidRPr="006C732E">
        <w:rPr>
          <w:rFonts w:ascii="Times New Roman" w:hAnsi="Times New Roman" w:cs="Times New Roman"/>
          <w:sz w:val="28"/>
          <w:szCs w:val="28"/>
        </w:rPr>
        <w:t xml:space="preserve"> </w:t>
      </w:r>
      <w:r w:rsidRPr="0022228A">
        <w:rPr>
          <w:rFonts w:ascii="Times New Roman" w:hAnsi="Times New Roman" w:cs="Times New Roman"/>
          <w:sz w:val="28"/>
          <w:szCs w:val="28"/>
        </w:rPr>
        <w:t xml:space="preserve">и экспрессии генов </w:t>
      </w:r>
      <w:r w:rsidR="006C732E" w:rsidRPr="006C732E">
        <w:rPr>
          <w:rFonts w:ascii="Times New Roman" w:hAnsi="Times New Roman" w:cs="Times New Roman"/>
          <w:sz w:val="28"/>
          <w:szCs w:val="28"/>
        </w:rPr>
        <w:t xml:space="preserve">TP, MGMT, ERCC1, PDGFR-α, VEGF, </w:t>
      </w:r>
      <w:proofErr w:type="gramStart"/>
      <w:r w:rsidR="006C732E" w:rsidRPr="006C73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32E" w:rsidRPr="006C732E">
        <w:rPr>
          <w:rFonts w:ascii="Times New Roman" w:hAnsi="Times New Roman" w:cs="Times New Roman"/>
          <w:sz w:val="28"/>
          <w:szCs w:val="28"/>
        </w:rPr>
        <w:t>-kit, β-тубулина</w:t>
      </w:r>
      <w:r w:rsidR="00DC1716">
        <w:rPr>
          <w:rFonts w:ascii="Times New Roman" w:hAnsi="Times New Roman" w:cs="Times New Roman"/>
          <w:sz w:val="28"/>
          <w:szCs w:val="28"/>
        </w:rPr>
        <w:t xml:space="preserve"> в </w:t>
      </w:r>
      <w:r w:rsidR="00DC1716" w:rsidRPr="00DC1716">
        <w:rPr>
          <w:rFonts w:ascii="Times New Roman" w:hAnsi="Times New Roman" w:cs="Times New Roman"/>
          <w:sz w:val="28"/>
          <w:szCs w:val="28"/>
        </w:rPr>
        <w:t>НБ-ЦНС и ГНБ-ЦНС</w:t>
      </w:r>
      <w:r w:rsidR="006C732E">
        <w:rPr>
          <w:rFonts w:ascii="Times New Roman" w:hAnsi="Times New Roman" w:cs="Times New Roman"/>
          <w:sz w:val="28"/>
          <w:szCs w:val="28"/>
        </w:rPr>
        <w:t>;</w:t>
      </w:r>
    </w:p>
    <w:p w:rsidR="00651E2C" w:rsidRPr="00651E2C" w:rsidRDefault="00651E2C" w:rsidP="004D27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10">
        <w:rPr>
          <w:rFonts w:ascii="Times New Roman" w:hAnsi="Times New Roman" w:cs="Times New Roman"/>
          <w:sz w:val="28"/>
          <w:szCs w:val="28"/>
        </w:rPr>
        <w:lastRenderedPageBreak/>
        <w:t>Определить зависимость уровня экспрессии мРНК гена VEGF с накоплением контрастного вещества опухолью по данным дооперационной МРТ у больных с</w:t>
      </w:r>
      <w:r>
        <w:rPr>
          <w:rFonts w:ascii="Times New Roman" w:hAnsi="Times New Roman" w:cs="Times New Roman"/>
          <w:sz w:val="28"/>
          <w:szCs w:val="28"/>
        </w:rPr>
        <w:t xml:space="preserve"> эмбриональными опухолями ЦНС;</w:t>
      </w:r>
    </w:p>
    <w:p w:rsidR="0022228A" w:rsidRPr="00743B95" w:rsidRDefault="0022228A" w:rsidP="004D273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</w:t>
      </w:r>
      <w:r w:rsidRPr="0022228A">
        <w:rPr>
          <w:rFonts w:ascii="Times New Roman" w:hAnsi="Times New Roman" w:cs="Times New Roman"/>
          <w:sz w:val="28"/>
          <w:szCs w:val="28"/>
        </w:rPr>
        <w:t xml:space="preserve">лияние клинических параметров и проводимого лечения на безрецидивную и общую </w:t>
      </w:r>
      <w:r w:rsidR="000F2733">
        <w:rPr>
          <w:rFonts w:ascii="Times New Roman" w:hAnsi="Times New Roman" w:cs="Times New Roman"/>
          <w:sz w:val="28"/>
          <w:szCs w:val="28"/>
        </w:rPr>
        <w:t>продолжительность жизни</w:t>
      </w:r>
      <w:r w:rsidR="006C732E">
        <w:rPr>
          <w:rFonts w:ascii="Times New Roman" w:hAnsi="Times New Roman" w:cs="Times New Roman"/>
          <w:sz w:val="28"/>
          <w:szCs w:val="28"/>
        </w:rPr>
        <w:t xml:space="preserve"> </w:t>
      </w:r>
      <w:r w:rsidR="006C732E" w:rsidRPr="006C732E">
        <w:rPr>
          <w:rFonts w:ascii="Times New Roman" w:hAnsi="Times New Roman" w:cs="Times New Roman"/>
          <w:sz w:val="28"/>
          <w:szCs w:val="28"/>
        </w:rPr>
        <w:t>у пациентов с эмбриональными опухолями ЦНС</w:t>
      </w:r>
      <w:r w:rsidRPr="0022228A">
        <w:rPr>
          <w:rFonts w:ascii="Times New Roman" w:hAnsi="Times New Roman" w:cs="Times New Roman"/>
          <w:sz w:val="28"/>
          <w:szCs w:val="28"/>
        </w:rPr>
        <w:t>.</w:t>
      </w:r>
    </w:p>
    <w:p w:rsidR="00FD3C14" w:rsidRPr="00FD3C14" w:rsidRDefault="00FD3C14" w:rsidP="005B3AB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C14" w:rsidRPr="00FD3C14" w:rsidRDefault="00FD3C14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6CF" w:rsidRDefault="002766CF" w:rsidP="00FD3C1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B95" w:rsidRDefault="00743B95" w:rsidP="0030190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65A10" w:rsidRDefault="00065A10" w:rsidP="00000B6E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5" w:name="_Toc40216698"/>
    </w:p>
    <w:p w:rsidR="00065A10" w:rsidRDefault="00065A10" w:rsidP="00000B6E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bookmarkEnd w:id="5"/>
    <w:p w:rsidR="00065A10" w:rsidRDefault="00065A10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10" w:rsidRDefault="00065A10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10" w:rsidRDefault="00065A10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10" w:rsidRDefault="00065A10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10" w:rsidRDefault="00065A10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10" w:rsidRPr="00000B6E" w:rsidRDefault="00065A10" w:rsidP="000F273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1316320"/>
      <w:r w:rsidRPr="00000B6E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Pr="00000B6E">
        <w:rPr>
          <w:rFonts w:ascii="Times New Roman" w:hAnsi="Times New Roman" w:cs="Times New Roman"/>
          <w:caps/>
          <w:color w:val="auto"/>
        </w:rPr>
        <w:t>Обзор литературы</w:t>
      </w:r>
      <w:bookmarkEnd w:id="6"/>
    </w:p>
    <w:p w:rsidR="00065A10" w:rsidRPr="00000B6E" w:rsidRDefault="00065A10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</w:rPr>
      </w:pPr>
      <w:bookmarkStart w:id="7" w:name="_Toc41316321"/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>1.1</w:t>
      </w:r>
      <w:r>
        <w:rPr>
          <w:rFonts w:ascii="Times New Roman" w:hAnsi="Times New Roman" w:cs="Times New Roman"/>
          <w:b w:val="0"/>
          <w:caps/>
          <w:color w:val="auto"/>
          <w:sz w:val="28"/>
        </w:rPr>
        <w:t>.</w:t>
      </w:r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 xml:space="preserve"> Общие представления об эмбриональных опухолях ЦНС супратенториальной локализации</w:t>
      </w:r>
      <w:bookmarkEnd w:id="7"/>
    </w:p>
    <w:p w:rsidR="00701572" w:rsidRPr="00000B6E" w:rsidRDefault="005C4F2C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Эмбриональные опухоли </w:t>
      </w:r>
      <w:r w:rsidR="009640D5" w:rsidRPr="00000B6E">
        <w:rPr>
          <w:rFonts w:ascii="Times New Roman" w:hAnsi="Times New Roman" w:cs="Times New Roman"/>
          <w:sz w:val="28"/>
          <w:szCs w:val="28"/>
        </w:rPr>
        <w:t xml:space="preserve">ЦНС 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супратенториальной локализации, ранее </w:t>
      </w:r>
      <w:r w:rsidR="00A85128" w:rsidRPr="00000B6E">
        <w:rPr>
          <w:rFonts w:ascii="Times New Roman" w:hAnsi="Times New Roman" w:cs="Times New Roman"/>
          <w:sz w:val="28"/>
          <w:szCs w:val="28"/>
        </w:rPr>
        <w:t>классифицир</w:t>
      </w:r>
      <w:r w:rsidR="00153627" w:rsidRPr="00000B6E">
        <w:rPr>
          <w:rFonts w:ascii="Times New Roman" w:hAnsi="Times New Roman" w:cs="Times New Roman"/>
          <w:sz w:val="28"/>
          <w:szCs w:val="28"/>
        </w:rPr>
        <w:t>уемые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 как примитивные нейроэктодермальные опухоли</w:t>
      </w:r>
      <w:r w:rsidR="00153627" w:rsidRPr="00000B6E">
        <w:rPr>
          <w:rFonts w:ascii="Times New Roman" w:hAnsi="Times New Roman" w:cs="Times New Roman"/>
          <w:sz w:val="28"/>
          <w:szCs w:val="28"/>
        </w:rPr>
        <w:t xml:space="preserve"> (ПНЭО)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 ЦНС, представляют собой</w:t>
      </w:r>
      <w:r w:rsidR="00153627" w:rsidRPr="00000B6E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B105ED" w:rsidRPr="00000B6E">
        <w:rPr>
          <w:rFonts w:ascii="Times New Roman" w:hAnsi="Times New Roman" w:cs="Times New Roman"/>
          <w:sz w:val="28"/>
          <w:szCs w:val="28"/>
        </w:rPr>
        <w:t>высокозлокачественны</w:t>
      </w:r>
      <w:r w:rsidR="00153627" w:rsidRPr="00000B6E">
        <w:rPr>
          <w:rFonts w:ascii="Times New Roman" w:hAnsi="Times New Roman" w:cs="Times New Roman"/>
          <w:sz w:val="28"/>
          <w:szCs w:val="28"/>
        </w:rPr>
        <w:t>х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 недифференцированны</w:t>
      </w:r>
      <w:r w:rsidR="00153627" w:rsidRPr="00000B6E">
        <w:rPr>
          <w:rFonts w:ascii="Times New Roman" w:hAnsi="Times New Roman" w:cs="Times New Roman"/>
          <w:sz w:val="28"/>
          <w:szCs w:val="28"/>
        </w:rPr>
        <w:t>х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 или низкодифференцированны</w:t>
      </w:r>
      <w:r w:rsidR="00153627" w:rsidRPr="00000B6E">
        <w:rPr>
          <w:rFonts w:ascii="Times New Roman" w:hAnsi="Times New Roman" w:cs="Times New Roman"/>
          <w:sz w:val="28"/>
          <w:szCs w:val="28"/>
        </w:rPr>
        <w:t>х</w:t>
      </w:r>
      <w:r w:rsidR="00B105ED" w:rsidRPr="00000B6E">
        <w:rPr>
          <w:rFonts w:ascii="Times New Roman" w:hAnsi="Times New Roman" w:cs="Times New Roman"/>
          <w:sz w:val="28"/>
          <w:szCs w:val="28"/>
        </w:rPr>
        <w:t xml:space="preserve"> опухол</w:t>
      </w:r>
      <w:r w:rsidR="00153627" w:rsidRPr="00000B6E">
        <w:rPr>
          <w:rFonts w:ascii="Times New Roman" w:hAnsi="Times New Roman" w:cs="Times New Roman"/>
          <w:sz w:val="28"/>
          <w:szCs w:val="28"/>
        </w:rPr>
        <w:t>ей и включают в себя нейробластому</w:t>
      </w:r>
      <w:r w:rsidR="009F12EC" w:rsidRPr="00000B6E">
        <w:rPr>
          <w:rFonts w:ascii="Times New Roman" w:hAnsi="Times New Roman" w:cs="Times New Roman"/>
          <w:sz w:val="28"/>
          <w:szCs w:val="28"/>
        </w:rPr>
        <w:t xml:space="preserve"> ЦНС (НБ-ЦНС)</w:t>
      </w:r>
      <w:r w:rsidR="00153627" w:rsidRPr="00000B6E">
        <w:rPr>
          <w:rFonts w:ascii="Times New Roman" w:hAnsi="Times New Roman" w:cs="Times New Roman"/>
          <w:sz w:val="28"/>
          <w:szCs w:val="28"/>
        </w:rPr>
        <w:t>, ганглионейробластому</w:t>
      </w:r>
      <w:r w:rsidR="009F12EC" w:rsidRPr="00000B6E">
        <w:rPr>
          <w:rFonts w:ascii="Times New Roman" w:hAnsi="Times New Roman" w:cs="Times New Roman"/>
          <w:sz w:val="28"/>
          <w:szCs w:val="28"/>
        </w:rPr>
        <w:t xml:space="preserve"> ЦНС (ГНБ-ЦНС)</w:t>
      </w:r>
      <w:r w:rsidR="00153627" w:rsidRPr="00000B6E">
        <w:rPr>
          <w:rFonts w:ascii="Times New Roman" w:hAnsi="Times New Roman" w:cs="Times New Roman"/>
          <w:sz w:val="28"/>
          <w:szCs w:val="28"/>
        </w:rPr>
        <w:t xml:space="preserve"> [1] .</w:t>
      </w:r>
      <w:r w:rsidR="00234435" w:rsidRPr="0000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EE" w:rsidRPr="00000B6E" w:rsidRDefault="002A3DEE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8" w:name="_Toc40216699"/>
      <w:bookmarkStart w:id="9" w:name="_Toc41316322"/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>1.2</w:t>
      </w:r>
      <w:r w:rsidR="00000B6E">
        <w:rPr>
          <w:rFonts w:ascii="Times New Roman" w:hAnsi="Times New Roman" w:cs="Times New Roman"/>
          <w:b w:val="0"/>
          <w:caps/>
          <w:color w:val="auto"/>
          <w:sz w:val="28"/>
        </w:rPr>
        <w:t>.</w:t>
      </w:r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 xml:space="preserve"> Статистические данные</w:t>
      </w:r>
      <w:bookmarkEnd w:id="8"/>
      <w:bookmarkEnd w:id="9"/>
    </w:p>
    <w:p w:rsidR="00626B84" w:rsidRPr="00000B6E" w:rsidRDefault="002A3DEE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</w:r>
      <w:r w:rsidR="00234435" w:rsidRPr="00000B6E">
        <w:rPr>
          <w:rFonts w:ascii="Times New Roman" w:hAnsi="Times New Roman" w:cs="Times New Roman"/>
          <w:sz w:val="28"/>
          <w:szCs w:val="28"/>
        </w:rPr>
        <w:t xml:space="preserve">Эмбриональные опухоли ЦНС супратенториальной </w:t>
      </w:r>
      <w:r w:rsidR="009A45ED" w:rsidRPr="00000B6E">
        <w:rPr>
          <w:rFonts w:ascii="Times New Roman" w:hAnsi="Times New Roman" w:cs="Times New Roman"/>
          <w:sz w:val="28"/>
          <w:szCs w:val="28"/>
        </w:rPr>
        <w:t>локализации,</w:t>
      </w:r>
      <w:r w:rsidR="00234435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701572" w:rsidRPr="00000B6E">
        <w:rPr>
          <w:rFonts w:ascii="Times New Roman" w:hAnsi="Times New Roman" w:cs="Times New Roman"/>
          <w:sz w:val="28"/>
          <w:szCs w:val="28"/>
        </w:rPr>
        <w:t>прежде всего</w:t>
      </w:r>
      <w:r w:rsidR="009A45ED">
        <w:rPr>
          <w:rFonts w:ascii="Times New Roman" w:hAnsi="Times New Roman" w:cs="Times New Roman"/>
          <w:sz w:val="28"/>
          <w:szCs w:val="28"/>
        </w:rPr>
        <w:t>,</w:t>
      </w:r>
      <w:r w:rsidR="00701572" w:rsidRPr="00000B6E">
        <w:rPr>
          <w:rFonts w:ascii="Times New Roman" w:hAnsi="Times New Roman" w:cs="Times New Roman"/>
          <w:sz w:val="28"/>
          <w:szCs w:val="28"/>
        </w:rPr>
        <w:t xml:space="preserve"> опухоли детского возраста, которые поражают полушария головного моз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га с равным распределением среди </w:t>
      </w:r>
      <w:r w:rsidR="00701572" w:rsidRPr="00000B6E">
        <w:rPr>
          <w:rFonts w:ascii="Times New Roman" w:hAnsi="Times New Roman" w:cs="Times New Roman"/>
          <w:sz w:val="28"/>
          <w:szCs w:val="28"/>
        </w:rPr>
        <w:t>лобн</w:t>
      </w:r>
      <w:r w:rsidR="009B19C2" w:rsidRPr="00000B6E">
        <w:rPr>
          <w:rFonts w:ascii="Times New Roman" w:hAnsi="Times New Roman" w:cs="Times New Roman"/>
          <w:sz w:val="28"/>
          <w:szCs w:val="28"/>
        </w:rPr>
        <w:t>ой</w:t>
      </w:r>
      <w:r w:rsidR="00701572" w:rsidRPr="00000B6E">
        <w:rPr>
          <w:rFonts w:ascii="Times New Roman" w:hAnsi="Times New Roman" w:cs="Times New Roman"/>
          <w:sz w:val="28"/>
          <w:szCs w:val="28"/>
        </w:rPr>
        <w:t>, височн</w:t>
      </w:r>
      <w:r w:rsidR="009B19C2" w:rsidRPr="00000B6E">
        <w:rPr>
          <w:rFonts w:ascii="Times New Roman" w:hAnsi="Times New Roman" w:cs="Times New Roman"/>
          <w:sz w:val="28"/>
          <w:szCs w:val="28"/>
        </w:rPr>
        <w:t>ой</w:t>
      </w:r>
      <w:r w:rsidR="00701572" w:rsidRPr="00000B6E">
        <w:rPr>
          <w:rFonts w:ascii="Times New Roman" w:hAnsi="Times New Roman" w:cs="Times New Roman"/>
          <w:sz w:val="28"/>
          <w:szCs w:val="28"/>
        </w:rPr>
        <w:t xml:space="preserve"> и </w:t>
      </w:r>
      <w:r w:rsidR="009B19C2" w:rsidRPr="00000B6E">
        <w:rPr>
          <w:rFonts w:ascii="Times New Roman" w:hAnsi="Times New Roman" w:cs="Times New Roman"/>
          <w:sz w:val="28"/>
          <w:szCs w:val="28"/>
        </w:rPr>
        <w:t>теменной дол</w:t>
      </w:r>
      <w:r w:rsidR="00C650B6" w:rsidRPr="00000B6E">
        <w:rPr>
          <w:rFonts w:ascii="Times New Roman" w:hAnsi="Times New Roman" w:cs="Times New Roman"/>
          <w:sz w:val="28"/>
          <w:szCs w:val="28"/>
        </w:rPr>
        <w:t>ей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9B6A89" w:rsidRPr="00000B6E">
        <w:rPr>
          <w:rFonts w:ascii="Times New Roman" w:hAnsi="Times New Roman" w:cs="Times New Roman"/>
          <w:sz w:val="28"/>
          <w:szCs w:val="28"/>
        </w:rPr>
        <w:t>ю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т </w:t>
      </w:r>
      <w:r w:rsidR="00626B84" w:rsidRPr="00000B6E">
        <w:rPr>
          <w:rFonts w:ascii="Times New Roman" w:hAnsi="Times New Roman" w:cs="Times New Roman"/>
          <w:sz w:val="28"/>
          <w:szCs w:val="28"/>
        </w:rPr>
        <w:t>2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–3% </w:t>
      </w:r>
      <w:r w:rsidR="00012876" w:rsidRPr="00000B6E">
        <w:rPr>
          <w:rFonts w:ascii="Times New Roman" w:hAnsi="Times New Roman" w:cs="Times New Roman"/>
          <w:sz w:val="28"/>
          <w:szCs w:val="28"/>
        </w:rPr>
        <w:t xml:space="preserve"> от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 всех первичных опухолей ЦНС детского возраста [2]</w:t>
      </w:r>
      <w:r w:rsidR="00626B84" w:rsidRPr="00000B6E">
        <w:rPr>
          <w:rFonts w:ascii="Times New Roman" w:hAnsi="Times New Roman" w:cs="Times New Roman"/>
          <w:sz w:val="28"/>
          <w:szCs w:val="28"/>
        </w:rPr>
        <w:t xml:space="preserve">. </w:t>
      </w:r>
      <w:r w:rsidR="009B19C2" w:rsidRPr="00000B6E">
        <w:rPr>
          <w:rFonts w:ascii="Times New Roman" w:hAnsi="Times New Roman" w:cs="Times New Roman"/>
          <w:sz w:val="28"/>
          <w:szCs w:val="28"/>
        </w:rPr>
        <w:t>Частота встречаемости среди пациентов старше 18 лет чрезвычайно низкая, составляя только 0</w:t>
      </w:r>
      <w:r w:rsidR="00A24F72" w:rsidRPr="00000B6E">
        <w:rPr>
          <w:rFonts w:ascii="Times New Roman" w:hAnsi="Times New Roman" w:cs="Times New Roman"/>
          <w:sz w:val="28"/>
          <w:szCs w:val="28"/>
        </w:rPr>
        <w:t>,</w:t>
      </w:r>
      <w:r w:rsidR="009B19C2" w:rsidRPr="00000B6E">
        <w:rPr>
          <w:rFonts w:ascii="Times New Roman" w:hAnsi="Times New Roman" w:cs="Times New Roman"/>
          <w:sz w:val="28"/>
          <w:szCs w:val="28"/>
        </w:rPr>
        <w:t xml:space="preserve">46% </w:t>
      </w:r>
      <w:r w:rsidR="00626B84" w:rsidRPr="00000B6E">
        <w:rPr>
          <w:rFonts w:ascii="Times New Roman" w:hAnsi="Times New Roman" w:cs="Times New Roman"/>
          <w:sz w:val="28"/>
          <w:szCs w:val="28"/>
        </w:rPr>
        <w:t>всех первичных опухолей взрослых [3]. Средний возраст на момент постановки диагноза составляет 32</w:t>
      </w:r>
      <w:r w:rsidR="009A45ED">
        <w:rPr>
          <w:rFonts w:ascii="Times New Roman" w:hAnsi="Times New Roman" w:cs="Times New Roman"/>
          <w:sz w:val="28"/>
          <w:szCs w:val="28"/>
        </w:rPr>
        <w:t>,</w:t>
      </w:r>
      <w:r w:rsidR="00626B84" w:rsidRPr="00000B6E">
        <w:rPr>
          <w:rFonts w:ascii="Times New Roman" w:hAnsi="Times New Roman" w:cs="Times New Roman"/>
          <w:sz w:val="28"/>
          <w:szCs w:val="28"/>
        </w:rPr>
        <w:t>5 год</w:t>
      </w:r>
      <w:r w:rsidR="005C459F" w:rsidRPr="00000B6E">
        <w:rPr>
          <w:rFonts w:ascii="Times New Roman" w:hAnsi="Times New Roman" w:cs="Times New Roman"/>
          <w:sz w:val="28"/>
          <w:szCs w:val="28"/>
        </w:rPr>
        <w:t>а</w:t>
      </w:r>
      <w:r w:rsidR="009A45ED">
        <w:rPr>
          <w:rFonts w:ascii="Times New Roman" w:hAnsi="Times New Roman" w:cs="Times New Roman"/>
          <w:sz w:val="28"/>
          <w:szCs w:val="28"/>
        </w:rPr>
        <w:t xml:space="preserve"> </w:t>
      </w:r>
      <w:r w:rsidRPr="00000B6E">
        <w:rPr>
          <w:rFonts w:ascii="Times New Roman" w:hAnsi="Times New Roman" w:cs="Times New Roman"/>
          <w:sz w:val="28"/>
          <w:szCs w:val="28"/>
        </w:rPr>
        <w:t>с небольшим преобладанием мужчин (мужчины: женщины = 4:3) [4,</w:t>
      </w:r>
      <w:r w:rsidR="002A4D3F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Pr="00000B6E">
        <w:rPr>
          <w:rFonts w:ascii="Times New Roman" w:hAnsi="Times New Roman" w:cs="Times New Roman"/>
          <w:sz w:val="28"/>
          <w:szCs w:val="28"/>
        </w:rPr>
        <w:t>5].</w:t>
      </w:r>
      <w:r w:rsidR="00626B84" w:rsidRPr="0000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D6" w:rsidRPr="00000B6E" w:rsidRDefault="00EF6DD6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</w:rPr>
      </w:pPr>
      <w:bookmarkStart w:id="10" w:name="_Toc41316323"/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>1.3</w:t>
      </w:r>
      <w:r w:rsidR="00000B6E">
        <w:rPr>
          <w:rFonts w:ascii="Times New Roman" w:hAnsi="Times New Roman" w:cs="Times New Roman"/>
          <w:b w:val="0"/>
          <w:caps/>
          <w:color w:val="auto"/>
          <w:sz w:val="28"/>
        </w:rPr>
        <w:t>.</w:t>
      </w:r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 xml:space="preserve"> </w:t>
      </w:r>
      <w:r w:rsidR="005A350F" w:rsidRPr="00000B6E">
        <w:rPr>
          <w:rFonts w:ascii="Times New Roman" w:hAnsi="Times New Roman" w:cs="Times New Roman"/>
          <w:b w:val="0"/>
          <w:caps/>
          <w:color w:val="auto"/>
          <w:sz w:val="28"/>
        </w:rPr>
        <w:t>Клинико-морфологическая характеристика</w:t>
      </w:r>
      <w:bookmarkEnd w:id="10"/>
    </w:p>
    <w:p w:rsidR="00012876" w:rsidRPr="00000B6E" w:rsidRDefault="00012876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</w:r>
      <w:r w:rsidR="00D50F01" w:rsidRPr="00000B6E">
        <w:rPr>
          <w:rFonts w:ascii="Times New Roman" w:hAnsi="Times New Roman" w:cs="Times New Roman"/>
          <w:sz w:val="28"/>
          <w:szCs w:val="28"/>
        </w:rPr>
        <w:t>Большинство пациентов предъявляют жалобы, связанные с повышением внутричерепного давления:</w:t>
      </w:r>
      <w:r w:rsidR="009952DF" w:rsidRPr="00000B6E">
        <w:rPr>
          <w:rFonts w:ascii="Times New Roman" w:hAnsi="Times New Roman" w:cs="Times New Roman"/>
          <w:sz w:val="28"/>
          <w:szCs w:val="28"/>
        </w:rPr>
        <w:t xml:space="preserve"> жалобы на </w:t>
      </w:r>
      <w:r w:rsidR="00D50F01" w:rsidRPr="00000B6E">
        <w:rPr>
          <w:rFonts w:ascii="Times New Roman" w:hAnsi="Times New Roman" w:cs="Times New Roman"/>
          <w:sz w:val="28"/>
          <w:szCs w:val="28"/>
        </w:rPr>
        <w:t>головн</w:t>
      </w:r>
      <w:r w:rsidR="009952DF" w:rsidRPr="00000B6E">
        <w:rPr>
          <w:rFonts w:ascii="Times New Roman" w:hAnsi="Times New Roman" w:cs="Times New Roman"/>
          <w:sz w:val="28"/>
          <w:szCs w:val="28"/>
        </w:rPr>
        <w:t>ую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 боль, тошнот</w:t>
      </w:r>
      <w:r w:rsidR="009952DF" w:rsidRPr="00000B6E">
        <w:rPr>
          <w:rFonts w:ascii="Times New Roman" w:hAnsi="Times New Roman" w:cs="Times New Roman"/>
          <w:sz w:val="28"/>
          <w:szCs w:val="28"/>
        </w:rPr>
        <w:t>у и/или рвоту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, нарушение </w:t>
      </w:r>
      <w:r w:rsidR="009A45ED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 и </w:t>
      </w:r>
      <w:r w:rsidR="009A45ED" w:rsidRPr="009A45ED">
        <w:rPr>
          <w:rFonts w:ascii="Times New Roman" w:hAnsi="Times New Roman" w:cs="Times New Roman"/>
          <w:sz w:val="28"/>
          <w:szCs w:val="28"/>
        </w:rPr>
        <w:t>снижение зрения или выпадение полей зрения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, опосредованные быстрым ростом опухоли. </w:t>
      </w:r>
      <w:r w:rsidR="004E5B28">
        <w:rPr>
          <w:rFonts w:ascii="Times New Roman" w:hAnsi="Times New Roman" w:cs="Times New Roman"/>
          <w:sz w:val="28"/>
          <w:szCs w:val="28"/>
        </w:rPr>
        <w:t>В зависимости от локализации опухоли</w:t>
      </w:r>
      <w:r w:rsidR="005C459F" w:rsidRPr="00000B6E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 может наблюдаться</w:t>
      </w:r>
      <w:r w:rsidR="00C650B6" w:rsidRPr="00000B6E">
        <w:rPr>
          <w:rFonts w:ascii="Times New Roman" w:hAnsi="Times New Roman" w:cs="Times New Roman"/>
          <w:sz w:val="28"/>
          <w:szCs w:val="28"/>
        </w:rPr>
        <w:t xml:space="preserve"> различная</w:t>
      </w:r>
      <w:r w:rsidR="00D50F01" w:rsidRPr="00000B6E">
        <w:rPr>
          <w:rFonts w:ascii="Times New Roman" w:hAnsi="Times New Roman" w:cs="Times New Roman"/>
          <w:sz w:val="28"/>
          <w:szCs w:val="28"/>
        </w:rPr>
        <w:t xml:space="preserve"> очаговая неврологическая симптоматика, например: </w:t>
      </w:r>
      <w:r w:rsidR="00C650B6" w:rsidRPr="00000B6E">
        <w:rPr>
          <w:rFonts w:ascii="Times New Roman" w:hAnsi="Times New Roman" w:cs="Times New Roman"/>
          <w:sz w:val="28"/>
          <w:szCs w:val="28"/>
        </w:rPr>
        <w:t xml:space="preserve">парез конечностей, афазия, паралич лицевого нерва и дефекты полей зрения. Также сообщается о возможности массивного внутримозгового кровоизлияния у пациента с эмбриональной опухолью супратенториальной локализации [5]. </w:t>
      </w:r>
    </w:p>
    <w:p w:rsidR="006D51A3" w:rsidRPr="00000B6E" w:rsidRDefault="00060AD9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17D7" w:rsidRPr="00000B6E">
        <w:rPr>
          <w:rFonts w:ascii="Times New Roman" w:hAnsi="Times New Roman" w:cs="Times New Roman"/>
          <w:sz w:val="28"/>
          <w:szCs w:val="28"/>
        </w:rPr>
        <w:t>Рентгенологичес</w:t>
      </w:r>
      <w:r w:rsidR="004E5B28">
        <w:rPr>
          <w:rFonts w:ascii="Times New Roman" w:hAnsi="Times New Roman" w:cs="Times New Roman"/>
          <w:sz w:val="28"/>
          <w:szCs w:val="28"/>
        </w:rPr>
        <w:t>кая</w:t>
      </w:r>
      <w:r w:rsidR="00E833CF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3117D7" w:rsidRPr="00000B6E">
        <w:rPr>
          <w:rFonts w:ascii="Times New Roman" w:hAnsi="Times New Roman" w:cs="Times New Roman"/>
          <w:sz w:val="28"/>
          <w:szCs w:val="28"/>
        </w:rPr>
        <w:t xml:space="preserve">картина опухоли у взрослых не </w:t>
      </w:r>
      <w:r w:rsidR="00E833CF" w:rsidRPr="00000B6E">
        <w:rPr>
          <w:rFonts w:ascii="Times New Roman" w:hAnsi="Times New Roman" w:cs="Times New Roman"/>
          <w:sz w:val="28"/>
          <w:szCs w:val="28"/>
        </w:rPr>
        <w:t>предъявляет</w:t>
      </w:r>
      <w:r w:rsidR="003117D7" w:rsidRPr="00000B6E">
        <w:rPr>
          <w:rFonts w:ascii="Times New Roman" w:hAnsi="Times New Roman" w:cs="Times New Roman"/>
          <w:sz w:val="28"/>
          <w:szCs w:val="28"/>
        </w:rPr>
        <w:t xml:space="preserve"> различий по сравнению с пациентами младшей возрастной группы. </w:t>
      </w:r>
      <w:r w:rsidR="00E833CF" w:rsidRPr="00000B6E">
        <w:rPr>
          <w:rFonts w:ascii="Times New Roman" w:hAnsi="Times New Roman" w:cs="Times New Roman"/>
          <w:sz w:val="28"/>
          <w:szCs w:val="28"/>
        </w:rPr>
        <w:t>Она может проявляться как изоденсное или гиперденсное образование на компьютерной томографии (КТ) с внутриопухолевыми кальцификатами или микрогеморрагиями. При проведении магнитно-резонансной томографии</w:t>
      </w:r>
      <w:r w:rsidR="00CD0121" w:rsidRPr="00000B6E">
        <w:rPr>
          <w:rFonts w:ascii="Times New Roman" w:hAnsi="Times New Roman" w:cs="Times New Roman"/>
          <w:sz w:val="28"/>
          <w:szCs w:val="28"/>
        </w:rPr>
        <w:t xml:space="preserve"> обычно наблюдается картина мультилобулярного четко ограниченного образования, демонстрирующего сигнал</w:t>
      </w:r>
      <w:r w:rsidR="005C459F" w:rsidRPr="00000B6E">
        <w:rPr>
          <w:rFonts w:ascii="Times New Roman" w:hAnsi="Times New Roman" w:cs="Times New Roman"/>
          <w:sz w:val="28"/>
          <w:szCs w:val="28"/>
        </w:rPr>
        <w:t xml:space="preserve"> неоднородной </w:t>
      </w:r>
      <w:r w:rsidR="00CD0121" w:rsidRPr="00000B6E">
        <w:rPr>
          <w:rFonts w:ascii="Times New Roman" w:hAnsi="Times New Roman" w:cs="Times New Roman"/>
          <w:sz w:val="28"/>
          <w:szCs w:val="28"/>
        </w:rPr>
        <w:t xml:space="preserve">интенсивности на </w:t>
      </w:r>
      <w:r w:rsidR="00CD0121" w:rsidRPr="00000B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D0121" w:rsidRPr="00000B6E">
        <w:rPr>
          <w:rFonts w:ascii="Times New Roman" w:hAnsi="Times New Roman" w:cs="Times New Roman"/>
          <w:sz w:val="28"/>
          <w:szCs w:val="28"/>
        </w:rPr>
        <w:t xml:space="preserve">1- и </w:t>
      </w:r>
      <w:r w:rsidR="00CD0121" w:rsidRPr="00000B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D0121" w:rsidRPr="00000B6E">
        <w:rPr>
          <w:rFonts w:ascii="Times New Roman" w:hAnsi="Times New Roman" w:cs="Times New Roman"/>
          <w:sz w:val="28"/>
          <w:szCs w:val="28"/>
        </w:rPr>
        <w:t>2-взвешенных изображениях. О</w:t>
      </w:r>
      <w:r w:rsidR="005C459F" w:rsidRPr="00000B6E">
        <w:rPr>
          <w:rFonts w:ascii="Times New Roman" w:hAnsi="Times New Roman" w:cs="Times New Roman"/>
          <w:sz w:val="28"/>
          <w:szCs w:val="28"/>
        </w:rPr>
        <w:t>пухоль</w:t>
      </w:r>
      <w:r w:rsidR="00CD0121" w:rsidRPr="00000B6E">
        <w:rPr>
          <w:rFonts w:ascii="Times New Roman" w:hAnsi="Times New Roman" w:cs="Times New Roman"/>
          <w:sz w:val="28"/>
          <w:szCs w:val="28"/>
        </w:rPr>
        <w:t xml:space="preserve"> может иметь кистозный, некротический или геморрагический компонент, в то время как солидная часть даёт гипоинтенсивный сигнал на Т1-взвешенных изображениях и гиперинтенсивный </w:t>
      </w:r>
      <w:r w:rsidRPr="00000B6E">
        <w:rPr>
          <w:rFonts w:ascii="Times New Roman" w:hAnsi="Times New Roman" w:cs="Times New Roman"/>
          <w:sz w:val="28"/>
          <w:szCs w:val="28"/>
        </w:rPr>
        <w:t xml:space="preserve">сигнал на Т2-взвешенных изображениях; </w:t>
      </w:r>
      <w:r w:rsidR="00335E5F">
        <w:rPr>
          <w:rFonts w:ascii="Times New Roman" w:hAnsi="Times New Roman" w:cs="Times New Roman"/>
          <w:sz w:val="28"/>
          <w:szCs w:val="28"/>
        </w:rPr>
        <w:t>накопление контрастного вещества</w:t>
      </w:r>
      <w:r w:rsidRPr="00000B6E">
        <w:rPr>
          <w:rFonts w:ascii="Times New Roman" w:hAnsi="Times New Roman" w:cs="Times New Roman"/>
          <w:sz w:val="28"/>
          <w:szCs w:val="28"/>
        </w:rPr>
        <w:t xml:space="preserve"> после внутривенного введения парамагн</w:t>
      </w:r>
      <w:r w:rsidR="00335E5F">
        <w:rPr>
          <w:rFonts w:ascii="Times New Roman" w:hAnsi="Times New Roman" w:cs="Times New Roman"/>
          <w:sz w:val="28"/>
          <w:szCs w:val="28"/>
        </w:rPr>
        <w:t>етика</w:t>
      </w:r>
      <w:r w:rsidRPr="00000B6E">
        <w:rPr>
          <w:rFonts w:ascii="Times New Roman" w:hAnsi="Times New Roman" w:cs="Times New Roman"/>
          <w:sz w:val="28"/>
          <w:szCs w:val="28"/>
        </w:rPr>
        <w:t xml:space="preserve">. </w:t>
      </w:r>
      <w:r w:rsidR="00335E5F">
        <w:rPr>
          <w:rFonts w:ascii="Times New Roman" w:hAnsi="Times New Roman" w:cs="Times New Roman"/>
          <w:sz w:val="28"/>
          <w:szCs w:val="28"/>
        </w:rPr>
        <w:t>О</w:t>
      </w:r>
      <w:r w:rsidR="00335E5F" w:rsidRPr="00335E5F">
        <w:rPr>
          <w:rFonts w:ascii="Times New Roman" w:hAnsi="Times New Roman" w:cs="Times New Roman"/>
          <w:sz w:val="28"/>
          <w:szCs w:val="28"/>
        </w:rPr>
        <w:t xml:space="preserve">тек окружающей ткани головного мозга может быть от умеренного до выраженного </w:t>
      </w:r>
      <w:r w:rsidRPr="00000B6E">
        <w:rPr>
          <w:rFonts w:ascii="Times New Roman" w:hAnsi="Times New Roman" w:cs="Times New Roman"/>
          <w:sz w:val="28"/>
          <w:szCs w:val="28"/>
        </w:rPr>
        <w:t xml:space="preserve">[3]. </w:t>
      </w:r>
      <w:r w:rsidR="00885667" w:rsidRPr="00000B6E">
        <w:rPr>
          <w:rFonts w:ascii="Times New Roman" w:hAnsi="Times New Roman" w:cs="Times New Roman"/>
          <w:sz w:val="28"/>
          <w:szCs w:val="28"/>
        </w:rPr>
        <w:t xml:space="preserve">При ЯМР-спектроскопии наблюдается неспецифическое повышение холина и лактата, а также снижение концентрации N-ацетил-аспартата. </w:t>
      </w:r>
      <w:r w:rsidR="0055438A" w:rsidRPr="00000B6E">
        <w:rPr>
          <w:rFonts w:ascii="Times New Roman" w:hAnsi="Times New Roman" w:cs="Times New Roman"/>
          <w:sz w:val="28"/>
          <w:szCs w:val="28"/>
        </w:rPr>
        <w:t>Спинномозговая диссеминация на момент постановки диагноза обнаруживается в 10% случаев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55438A" w:rsidRPr="00000B6E">
        <w:rPr>
          <w:rFonts w:ascii="Times New Roman" w:hAnsi="Times New Roman" w:cs="Times New Roman"/>
          <w:sz w:val="28"/>
          <w:szCs w:val="28"/>
        </w:rPr>
        <w:t xml:space="preserve">[6]. </w:t>
      </w:r>
    </w:p>
    <w:p w:rsidR="00885667" w:rsidRPr="00000B6E" w:rsidRDefault="00027078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5667" w:rsidRPr="00000B6E">
        <w:rPr>
          <w:rFonts w:ascii="Times New Roman" w:hAnsi="Times New Roman" w:cs="Times New Roman"/>
          <w:sz w:val="28"/>
          <w:szCs w:val="28"/>
        </w:rPr>
        <w:t xml:space="preserve">Предоперационный дифференциальный диагноз подозреваемой эмбриональной опухоли супратенториальной локализации должен проводиться с </w:t>
      </w:r>
      <w:r w:rsidR="00335E5F" w:rsidRPr="00335E5F">
        <w:rPr>
          <w:rFonts w:ascii="Times New Roman" w:hAnsi="Times New Roman" w:cs="Times New Roman"/>
          <w:sz w:val="28"/>
          <w:szCs w:val="28"/>
        </w:rPr>
        <w:t xml:space="preserve">как с первичными, так и с метастатическими опухолями </w:t>
      </w:r>
      <w:r w:rsidR="006D51A3" w:rsidRPr="00000B6E">
        <w:rPr>
          <w:rFonts w:ascii="Times New Roman" w:hAnsi="Times New Roman" w:cs="Times New Roman"/>
          <w:sz w:val="28"/>
          <w:szCs w:val="28"/>
        </w:rPr>
        <w:t>[5].</w:t>
      </w:r>
      <w:proofErr w:type="gramEnd"/>
      <w:r w:rsidR="006D51A3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885667" w:rsidRPr="00000B6E">
        <w:rPr>
          <w:rFonts w:ascii="Times New Roman" w:hAnsi="Times New Roman" w:cs="Times New Roman"/>
          <w:sz w:val="28"/>
          <w:szCs w:val="28"/>
        </w:rPr>
        <w:t>Необходимо помнить</w:t>
      </w:r>
      <w:r w:rsidR="006D51A3" w:rsidRPr="00000B6E">
        <w:rPr>
          <w:rFonts w:ascii="Times New Roman" w:hAnsi="Times New Roman" w:cs="Times New Roman"/>
          <w:sz w:val="28"/>
          <w:szCs w:val="28"/>
        </w:rPr>
        <w:t>, что в случае высокозлокачественной глиомы с очагами, напоминающими примитивную нейроэктодермальную опухоль, возможность неправильной постановки диагноза крайне высокая [</w:t>
      </w:r>
      <w:r w:rsidR="0055438A" w:rsidRPr="00000B6E">
        <w:rPr>
          <w:rFonts w:ascii="Times New Roman" w:hAnsi="Times New Roman" w:cs="Times New Roman"/>
          <w:sz w:val="28"/>
          <w:szCs w:val="28"/>
        </w:rPr>
        <w:t>7</w:t>
      </w:r>
      <w:r w:rsidR="006D51A3" w:rsidRPr="00000B6E">
        <w:rPr>
          <w:rFonts w:ascii="Times New Roman" w:hAnsi="Times New Roman" w:cs="Times New Roman"/>
          <w:sz w:val="28"/>
          <w:szCs w:val="28"/>
        </w:rPr>
        <w:t xml:space="preserve">].   </w:t>
      </w:r>
    </w:p>
    <w:p w:rsidR="00615073" w:rsidRPr="00000B6E" w:rsidRDefault="00027078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459F" w:rsidRPr="00000B6E">
        <w:rPr>
          <w:rFonts w:ascii="Times New Roman" w:hAnsi="Times New Roman" w:cs="Times New Roman"/>
          <w:sz w:val="28"/>
          <w:szCs w:val="28"/>
        </w:rPr>
        <w:t xml:space="preserve">Эмбриональные опухоли ЦНС супратенториальной локализации могут отражать разную степень дифференцировки </w:t>
      </w:r>
      <w:r w:rsidR="001E0F2D" w:rsidRPr="00000B6E">
        <w:rPr>
          <w:rFonts w:ascii="Times New Roman" w:hAnsi="Times New Roman" w:cs="Times New Roman"/>
          <w:sz w:val="28"/>
          <w:szCs w:val="28"/>
        </w:rPr>
        <w:t xml:space="preserve">по нейрональной, </w:t>
      </w:r>
      <w:r w:rsidR="00335E5F" w:rsidRPr="00335E5F">
        <w:rPr>
          <w:rFonts w:ascii="Times New Roman" w:hAnsi="Times New Roman" w:cs="Times New Roman"/>
          <w:sz w:val="28"/>
          <w:szCs w:val="28"/>
        </w:rPr>
        <w:t xml:space="preserve">астроцитарной и эпендимарной </w:t>
      </w:r>
      <w:r w:rsidR="001E0F2D" w:rsidRPr="00000B6E">
        <w:rPr>
          <w:rFonts w:ascii="Times New Roman" w:hAnsi="Times New Roman" w:cs="Times New Roman"/>
          <w:sz w:val="28"/>
          <w:szCs w:val="28"/>
        </w:rPr>
        <w:t>линиям</w:t>
      </w:r>
      <w:r w:rsidR="003638B0" w:rsidRPr="00000B6E">
        <w:rPr>
          <w:rFonts w:ascii="Times New Roman" w:hAnsi="Times New Roman" w:cs="Times New Roman"/>
          <w:sz w:val="28"/>
          <w:szCs w:val="28"/>
        </w:rPr>
        <w:t xml:space="preserve"> [</w:t>
      </w:r>
      <w:r w:rsidR="0055438A" w:rsidRPr="00000B6E">
        <w:rPr>
          <w:rFonts w:ascii="Times New Roman" w:hAnsi="Times New Roman" w:cs="Times New Roman"/>
          <w:sz w:val="28"/>
          <w:szCs w:val="28"/>
        </w:rPr>
        <w:t>8</w:t>
      </w:r>
      <w:r w:rsidR="003638B0" w:rsidRPr="00000B6E">
        <w:rPr>
          <w:rFonts w:ascii="Times New Roman" w:hAnsi="Times New Roman" w:cs="Times New Roman"/>
          <w:sz w:val="28"/>
          <w:szCs w:val="28"/>
        </w:rPr>
        <w:t>]</w:t>
      </w:r>
      <w:r w:rsidR="001E0F2D" w:rsidRPr="00000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F2D" w:rsidRPr="00000B6E">
        <w:rPr>
          <w:rFonts w:ascii="Times New Roman" w:hAnsi="Times New Roman" w:cs="Times New Roman"/>
          <w:sz w:val="28"/>
          <w:szCs w:val="28"/>
        </w:rPr>
        <w:t xml:space="preserve"> Опухоли с нейрональной дифференцировкой обозначаются как </w:t>
      </w:r>
      <w:r w:rsidR="007321A6" w:rsidRPr="00000B6E">
        <w:rPr>
          <w:rFonts w:ascii="Times New Roman" w:hAnsi="Times New Roman" w:cs="Times New Roman"/>
          <w:sz w:val="28"/>
          <w:szCs w:val="28"/>
        </w:rPr>
        <w:t>НБ-</w:t>
      </w:r>
      <w:r w:rsidR="001E0F2D" w:rsidRPr="00000B6E">
        <w:rPr>
          <w:rFonts w:ascii="Times New Roman" w:hAnsi="Times New Roman" w:cs="Times New Roman"/>
          <w:sz w:val="28"/>
          <w:szCs w:val="28"/>
        </w:rPr>
        <w:t xml:space="preserve">ЦНС или, если отмечается присутствие </w:t>
      </w:r>
      <w:r w:rsidR="0055438A" w:rsidRPr="00000B6E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E0F2D" w:rsidRPr="00000B6E">
        <w:rPr>
          <w:rFonts w:ascii="Times New Roman" w:hAnsi="Times New Roman" w:cs="Times New Roman"/>
          <w:sz w:val="28"/>
          <w:szCs w:val="28"/>
        </w:rPr>
        <w:t>ганглио</w:t>
      </w:r>
      <w:r w:rsidR="0055438A" w:rsidRPr="00000B6E">
        <w:rPr>
          <w:rFonts w:ascii="Times New Roman" w:hAnsi="Times New Roman" w:cs="Times New Roman"/>
          <w:sz w:val="28"/>
          <w:szCs w:val="28"/>
        </w:rPr>
        <w:t>зных</w:t>
      </w:r>
      <w:r w:rsidR="001E0F2D" w:rsidRPr="00000B6E">
        <w:rPr>
          <w:rFonts w:ascii="Times New Roman" w:hAnsi="Times New Roman" w:cs="Times New Roman"/>
          <w:sz w:val="28"/>
          <w:szCs w:val="28"/>
        </w:rPr>
        <w:t xml:space="preserve"> клеток, то </w:t>
      </w:r>
      <w:r w:rsidR="007321A6" w:rsidRPr="00000B6E">
        <w:rPr>
          <w:rFonts w:ascii="Times New Roman" w:hAnsi="Times New Roman" w:cs="Times New Roman"/>
          <w:sz w:val="28"/>
          <w:szCs w:val="28"/>
        </w:rPr>
        <w:t>ГНБ-ЦНС</w:t>
      </w:r>
      <w:r w:rsidR="003638B0" w:rsidRPr="00000B6E">
        <w:rPr>
          <w:rFonts w:ascii="Times New Roman" w:hAnsi="Times New Roman" w:cs="Times New Roman"/>
          <w:sz w:val="28"/>
          <w:szCs w:val="28"/>
        </w:rPr>
        <w:t xml:space="preserve">. </w:t>
      </w:r>
      <w:r w:rsidR="007321A6" w:rsidRPr="00000B6E">
        <w:rPr>
          <w:rFonts w:ascii="Times New Roman" w:hAnsi="Times New Roman" w:cs="Times New Roman"/>
          <w:sz w:val="28"/>
          <w:szCs w:val="28"/>
        </w:rPr>
        <w:t>НБ-</w:t>
      </w:r>
      <w:r w:rsidR="003638B0" w:rsidRPr="00000B6E">
        <w:rPr>
          <w:rFonts w:ascii="Times New Roman" w:hAnsi="Times New Roman" w:cs="Times New Roman"/>
          <w:sz w:val="28"/>
          <w:szCs w:val="28"/>
        </w:rPr>
        <w:t xml:space="preserve">ЦНС состоит из недифференцированных или плохо дифференцированных нейроэпителиальных клеток. </w:t>
      </w:r>
      <w:r w:rsidR="007321A6" w:rsidRPr="00000B6E">
        <w:rPr>
          <w:rFonts w:ascii="Times New Roman" w:hAnsi="Times New Roman" w:cs="Times New Roman"/>
          <w:sz w:val="28"/>
          <w:szCs w:val="28"/>
        </w:rPr>
        <w:t>ГНБ-</w:t>
      </w:r>
      <w:r w:rsidR="003638B0" w:rsidRPr="00000B6E">
        <w:rPr>
          <w:rFonts w:ascii="Times New Roman" w:hAnsi="Times New Roman" w:cs="Times New Roman"/>
          <w:sz w:val="28"/>
          <w:szCs w:val="28"/>
        </w:rPr>
        <w:t xml:space="preserve">ЦНС характеризуется комбинацией </w:t>
      </w:r>
      <w:r w:rsidR="003638B0" w:rsidRPr="00000B6E">
        <w:rPr>
          <w:rFonts w:ascii="Times New Roman" w:hAnsi="Times New Roman" w:cs="Times New Roman"/>
          <w:sz w:val="28"/>
          <w:szCs w:val="28"/>
        </w:rPr>
        <w:lastRenderedPageBreak/>
        <w:t xml:space="preserve">примитивно выглядящих клеток и окончательно дифференцированных клеток. </w:t>
      </w:r>
      <w:r w:rsidR="00615073" w:rsidRPr="00000B6E">
        <w:rPr>
          <w:rFonts w:ascii="Times New Roman" w:hAnsi="Times New Roman" w:cs="Times New Roman"/>
          <w:sz w:val="28"/>
          <w:szCs w:val="28"/>
        </w:rPr>
        <w:t>Митотическая активность вариабельна</w:t>
      </w:r>
      <w:proofErr w:type="gramStart"/>
      <w:r w:rsidR="0033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968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335E5F">
        <w:rPr>
          <w:rFonts w:ascii="Times New Roman" w:hAnsi="Times New Roman" w:cs="Times New Roman"/>
          <w:sz w:val="28"/>
          <w:szCs w:val="28"/>
        </w:rPr>
        <w:t>М</w:t>
      </w:r>
      <w:r w:rsidR="00615073" w:rsidRPr="00000B6E">
        <w:rPr>
          <w:rFonts w:ascii="Times New Roman" w:hAnsi="Times New Roman" w:cs="Times New Roman"/>
          <w:sz w:val="28"/>
          <w:szCs w:val="28"/>
        </w:rPr>
        <w:t>икроскопические кальцификаты, некроз, а также</w:t>
      </w:r>
      <w:r w:rsidR="00335E5F">
        <w:rPr>
          <w:rFonts w:ascii="Times New Roman" w:hAnsi="Times New Roman" w:cs="Times New Roman"/>
          <w:sz w:val="28"/>
          <w:szCs w:val="28"/>
        </w:rPr>
        <w:t xml:space="preserve"> розетки</w:t>
      </w:r>
      <w:r w:rsidR="00615073" w:rsidRPr="00000B6E">
        <w:rPr>
          <w:rFonts w:ascii="Times New Roman" w:hAnsi="Times New Roman" w:cs="Times New Roman"/>
          <w:sz w:val="28"/>
          <w:szCs w:val="28"/>
        </w:rPr>
        <w:t xml:space="preserve"> Homer-Wright наблюда</w:t>
      </w:r>
      <w:r w:rsidR="00335E5F">
        <w:rPr>
          <w:rFonts w:ascii="Times New Roman" w:hAnsi="Times New Roman" w:cs="Times New Roman"/>
          <w:sz w:val="28"/>
          <w:szCs w:val="28"/>
        </w:rPr>
        <w:t>ются</w:t>
      </w:r>
      <w:r w:rsidR="00615073" w:rsidRPr="00000B6E">
        <w:rPr>
          <w:rFonts w:ascii="Times New Roman" w:hAnsi="Times New Roman" w:cs="Times New Roman"/>
          <w:sz w:val="28"/>
          <w:szCs w:val="28"/>
        </w:rPr>
        <w:t xml:space="preserve"> в ряде случаев. Васкуляризация опухолей варьирует, однако можно наблюдать пролиферация эндотелиальных клеток в стенке сосудов [1,</w:t>
      </w:r>
      <w:r w:rsidR="002A4D3F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55438A" w:rsidRPr="00000B6E">
        <w:rPr>
          <w:rFonts w:ascii="Times New Roman" w:hAnsi="Times New Roman" w:cs="Times New Roman"/>
          <w:sz w:val="28"/>
          <w:szCs w:val="28"/>
        </w:rPr>
        <w:t>7</w:t>
      </w:r>
      <w:r w:rsidR="00615073" w:rsidRPr="00000B6E">
        <w:rPr>
          <w:rFonts w:ascii="Times New Roman" w:hAnsi="Times New Roman" w:cs="Times New Roman"/>
          <w:sz w:val="28"/>
          <w:szCs w:val="28"/>
        </w:rPr>
        <w:t>,</w:t>
      </w:r>
      <w:r w:rsidR="002A4D3F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55438A" w:rsidRPr="00000B6E">
        <w:rPr>
          <w:rFonts w:ascii="Times New Roman" w:hAnsi="Times New Roman" w:cs="Times New Roman"/>
          <w:sz w:val="28"/>
          <w:szCs w:val="28"/>
        </w:rPr>
        <w:t>9</w:t>
      </w:r>
      <w:r w:rsidR="00615073" w:rsidRPr="00000B6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B13E9" w:rsidRPr="00000B6E" w:rsidRDefault="00DB13E9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>Эмбриональные клетки</w:t>
      </w:r>
      <w:r w:rsidR="00335E5F">
        <w:rPr>
          <w:rFonts w:ascii="Times New Roman" w:hAnsi="Times New Roman" w:cs="Times New Roman"/>
          <w:sz w:val="28"/>
          <w:szCs w:val="28"/>
        </w:rPr>
        <w:t xml:space="preserve">, как правило, позитивны по </w:t>
      </w:r>
      <w:r w:rsidRPr="00000B6E">
        <w:rPr>
          <w:rFonts w:ascii="Times New Roman" w:hAnsi="Times New Roman" w:cs="Times New Roman"/>
          <w:sz w:val="28"/>
          <w:szCs w:val="28"/>
        </w:rPr>
        <w:t>синаптофизину</w:t>
      </w:r>
      <w:r w:rsidR="00335E5F" w:rsidRPr="00335E5F">
        <w:rPr>
          <w:rFonts w:ascii="Times New Roman" w:hAnsi="Times New Roman" w:cs="Times New Roman"/>
          <w:sz w:val="28"/>
          <w:szCs w:val="28"/>
        </w:rPr>
        <w:t xml:space="preserve"> (Syn) и/или нейронспецифической энолазе, возможн</w:t>
      </w:r>
      <w:r w:rsidR="00335E5F">
        <w:rPr>
          <w:rFonts w:ascii="Times New Roman" w:hAnsi="Times New Roman" w:cs="Times New Roman"/>
          <w:sz w:val="28"/>
          <w:szCs w:val="28"/>
        </w:rPr>
        <w:t>о</w:t>
      </w:r>
      <w:r w:rsidR="00335E5F" w:rsidRPr="00335E5F">
        <w:rPr>
          <w:rFonts w:ascii="Times New Roman" w:hAnsi="Times New Roman" w:cs="Times New Roman"/>
          <w:sz w:val="28"/>
          <w:szCs w:val="28"/>
        </w:rPr>
        <w:t xml:space="preserve"> позитивное окрашивание</w:t>
      </w:r>
      <w:r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335E5F">
        <w:rPr>
          <w:rFonts w:ascii="Times New Roman" w:hAnsi="Times New Roman" w:cs="Times New Roman"/>
          <w:sz w:val="28"/>
          <w:szCs w:val="28"/>
        </w:rPr>
        <w:t xml:space="preserve">по </w:t>
      </w:r>
      <w:r w:rsidRPr="00000B6E">
        <w:rPr>
          <w:rFonts w:ascii="Times New Roman" w:hAnsi="Times New Roman" w:cs="Times New Roman"/>
          <w:sz w:val="28"/>
          <w:szCs w:val="28"/>
        </w:rPr>
        <w:t xml:space="preserve">глиальному фибриллярному кислому </w:t>
      </w:r>
      <w:r w:rsidR="00A24F72" w:rsidRPr="00000B6E">
        <w:rPr>
          <w:rFonts w:ascii="Times New Roman" w:hAnsi="Times New Roman" w:cs="Times New Roman"/>
          <w:sz w:val="28"/>
          <w:szCs w:val="28"/>
        </w:rPr>
        <w:t>белку</w:t>
      </w:r>
      <w:r w:rsidRPr="00000B6E">
        <w:rPr>
          <w:rFonts w:ascii="Times New Roman" w:hAnsi="Times New Roman" w:cs="Times New Roman"/>
          <w:sz w:val="28"/>
          <w:szCs w:val="28"/>
        </w:rPr>
        <w:t xml:space="preserve"> (ГФК</w:t>
      </w:r>
      <w:r w:rsidR="00A24F72" w:rsidRPr="00000B6E">
        <w:rPr>
          <w:rFonts w:ascii="Times New Roman" w:hAnsi="Times New Roman" w:cs="Times New Roman"/>
          <w:sz w:val="28"/>
          <w:szCs w:val="28"/>
        </w:rPr>
        <w:t>Б</w:t>
      </w:r>
      <w:r w:rsidRPr="00000B6E">
        <w:rPr>
          <w:rFonts w:ascii="Times New Roman" w:hAnsi="Times New Roman" w:cs="Times New Roman"/>
          <w:sz w:val="28"/>
          <w:szCs w:val="28"/>
        </w:rPr>
        <w:t>). ГФК</w:t>
      </w:r>
      <w:r w:rsidR="00A24F72" w:rsidRPr="00000B6E">
        <w:rPr>
          <w:rFonts w:ascii="Times New Roman" w:hAnsi="Times New Roman" w:cs="Times New Roman"/>
          <w:sz w:val="28"/>
          <w:szCs w:val="28"/>
        </w:rPr>
        <w:t>Б</w:t>
      </w:r>
      <w:r w:rsidRPr="00000B6E">
        <w:rPr>
          <w:rFonts w:ascii="Times New Roman" w:hAnsi="Times New Roman" w:cs="Times New Roman"/>
          <w:sz w:val="28"/>
          <w:szCs w:val="28"/>
        </w:rPr>
        <w:t>-позитивные клетки в основном представлены реактивными астроцитам</w:t>
      </w:r>
      <w:r w:rsidR="007321A6" w:rsidRPr="00000B6E">
        <w:rPr>
          <w:rFonts w:ascii="Times New Roman" w:hAnsi="Times New Roman" w:cs="Times New Roman"/>
          <w:sz w:val="28"/>
          <w:szCs w:val="28"/>
        </w:rPr>
        <w:t>и. В случае НБ-ЦНС популяция нейрональных клеток экспрессирует синаптофизин или</w:t>
      </w:r>
      <w:r w:rsidR="00657105" w:rsidRPr="00000B6E">
        <w:rPr>
          <w:rFonts w:ascii="Times New Roman" w:hAnsi="Times New Roman" w:cs="Times New Roman"/>
          <w:sz w:val="28"/>
          <w:szCs w:val="28"/>
        </w:rPr>
        <w:t xml:space="preserve">  NeuN</w:t>
      </w:r>
      <w:r w:rsidR="00BB54CE" w:rsidRPr="00000B6E">
        <w:rPr>
          <w:rFonts w:ascii="Times New Roman" w:hAnsi="Times New Roman" w:cs="Times New Roman"/>
          <w:sz w:val="28"/>
          <w:szCs w:val="28"/>
        </w:rPr>
        <w:t xml:space="preserve">. В то время как ГНБ-ЦНС характеризуется популяцией нейрональных и ганглиозных клеток, экспрессирующих синаптофизин, NFPs, MAP2, а также NeuN. Эмбриональные клетки отмечаются </w:t>
      </w:r>
      <w:r w:rsidR="00657105" w:rsidRPr="00000B6E">
        <w:rPr>
          <w:rFonts w:ascii="Times New Roman" w:hAnsi="Times New Roman" w:cs="Times New Roman"/>
          <w:sz w:val="28"/>
          <w:szCs w:val="28"/>
        </w:rPr>
        <w:t>высок</w:t>
      </w:r>
      <w:r w:rsidR="00BB54CE" w:rsidRPr="00000B6E">
        <w:rPr>
          <w:rFonts w:ascii="Times New Roman" w:hAnsi="Times New Roman" w:cs="Times New Roman"/>
          <w:sz w:val="28"/>
          <w:szCs w:val="28"/>
        </w:rPr>
        <w:t>ой</w:t>
      </w:r>
      <w:r w:rsidR="00657105" w:rsidRPr="00000B6E">
        <w:rPr>
          <w:rFonts w:ascii="Times New Roman" w:hAnsi="Times New Roman" w:cs="Times New Roman"/>
          <w:sz w:val="28"/>
          <w:szCs w:val="28"/>
        </w:rPr>
        <w:t xml:space="preserve"> экспресси</w:t>
      </w:r>
      <w:r w:rsidR="00BB54CE" w:rsidRPr="00000B6E">
        <w:rPr>
          <w:rFonts w:ascii="Times New Roman" w:hAnsi="Times New Roman" w:cs="Times New Roman"/>
          <w:sz w:val="28"/>
          <w:szCs w:val="28"/>
        </w:rPr>
        <w:t>ей</w:t>
      </w:r>
      <w:r w:rsidR="00657105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BB54CE" w:rsidRPr="00000B6E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BB54CE" w:rsidRPr="00000B6E">
        <w:rPr>
          <w:rFonts w:ascii="Times New Roman" w:hAnsi="Times New Roman" w:cs="Times New Roman"/>
          <w:sz w:val="28"/>
          <w:szCs w:val="28"/>
        </w:rPr>
        <w:t>-67, однако остальные клеточные популяции – низкой экспрессией Ki-67</w:t>
      </w:r>
      <w:r w:rsidR="00F07BBD" w:rsidRPr="00000B6E">
        <w:rPr>
          <w:rFonts w:ascii="Times New Roman" w:hAnsi="Times New Roman" w:cs="Times New Roman"/>
          <w:sz w:val="28"/>
          <w:szCs w:val="28"/>
        </w:rPr>
        <w:t xml:space="preserve"> [1]</w:t>
      </w:r>
      <w:r w:rsidR="00BB54CE" w:rsidRPr="00000B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2D42" w:rsidRPr="00000B6E" w:rsidRDefault="00BF2D42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</w:rPr>
      </w:pPr>
      <w:bookmarkStart w:id="11" w:name="_Toc41316324"/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>1.4</w:t>
      </w:r>
      <w:r w:rsidR="00000B6E">
        <w:rPr>
          <w:rFonts w:ascii="Times New Roman" w:hAnsi="Times New Roman" w:cs="Times New Roman"/>
          <w:b w:val="0"/>
          <w:caps/>
          <w:color w:val="auto"/>
          <w:sz w:val="28"/>
        </w:rPr>
        <w:t>.</w:t>
      </w:r>
      <w:r w:rsidRPr="00000B6E">
        <w:rPr>
          <w:rFonts w:ascii="Times New Roman" w:hAnsi="Times New Roman" w:cs="Times New Roman"/>
          <w:b w:val="0"/>
          <w:caps/>
          <w:color w:val="auto"/>
          <w:sz w:val="28"/>
        </w:rPr>
        <w:t xml:space="preserve"> Молекулярно-генетическая характеристика</w:t>
      </w:r>
      <w:bookmarkEnd w:id="11"/>
    </w:p>
    <w:p w:rsidR="00D235C8" w:rsidRPr="00000B6E" w:rsidRDefault="00BF2D42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>На текущий момент практически отсутствует цельное понимание молекулярно-генетических особенностей эмбриональных опухолей ЦНС супратенториальной локализации</w:t>
      </w:r>
      <w:r w:rsidR="00335E5F">
        <w:rPr>
          <w:rFonts w:ascii="Times New Roman" w:hAnsi="Times New Roman" w:cs="Times New Roman"/>
          <w:sz w:val="28"/>
          <w:szCs w:val="28"/>
        </w:rPr>
        <w:t xml:space="preserve"> (</w:t>
      </w:r>
      <w:r w:rsidRPr="00000B6E">
        <w:rPr>
          <w:rFonts w:ascii="Times New Roman" w:hAnsi="Times New Roman" w:cs="Times New Roman"/>
          <w:sz w:val="28"/>
          <w:szCs w:val="28"/>
        </w:rPr>
        <w:t>НБ-ЦНС и ГНБ-ЦНС</w:t>
      </w:r>
      <w:r w:rsidR="00335E5F">
        <w:rPr>
          <w:rFonts w:ascii="Times New Roman" w:hAnsi="Times New Roman" w:cs="Times New Roman"/>
          <w:sz w:val="28"/>
          <w:szCs w:val="28"/>
        </w:rPr>
        <w:t>)</w:t>
      </w:r>
      <w:r w:rsidRPr="00000B6E">
        <w:rPr>
          <w:rFonts w:ascii="Times New Roman" w:hAnsi="Times New Roman" w:cs="Times New Roman"/>
          <w:sz w:val="28"/>
          <w:szCs w:val="28"/>
        </w:rPr>
        <w:t xml:space="preserve"> по причине чрезвычайно низкой встречаемости. </w:t>
      </w:r>
    </w:p>
    <w:p w:rsidR="003622E4" w:rsidRPr="00000B6E" w:rsidRDefault="00D235C8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>Необходимо понимать, что эмбриональные опухоли ЦНС супратенториальной локализации – молекулярно гетерогенная группа опухолей, что указывает на острую необходимость более совершенных методов классификации</w:t>
      </w:r>
      <w:r w:rsidR="002A4D3F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Pr="00000B6E">
        <w:rPr>
          <w:rFonts w:ascii="Times New Roman" w:hAnsi="Times New Roman" w:cs="Times New Roman"/>
          <w:sz w:val="28"/>
          <w:szCs w:val="28"/>
        </w:rPr>
        <w:t>[10,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Pr="00000B6E">
        <w:rPr>
          <w:rFonts w:ascii="Times New Roman" w:hAnsi="Times New Roman" w:cs="Times New Roman"/>
          <w:sz w:val="28"/>
          <w:szCs w:val="28"/>
        </w:rPr>
        <w:t>11,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Pr="00000B6E">
        <w:rPr>
          <w:rFonts w:ascii="Times New Roman" w:hAnsi="Times New Roman" w:cs="Times New Roman"/>
          <w:sz w:val="28"/>
          <w:szCs w:val="28"/>
        </w:rPr>
        <w:t xml:space="preserve">12]. </w:t>
      </w:r>
      <w:r w:rsidR="002A4D3F" w:rsidRPr="00000B6E">
        <w:rPr>
          <w:rFonts w:ascii="Times New Roman" w:hAnsi="Times New Roman" w:cs="Times New Roman"/>
          <w:sz w:val="28"/>
          <w:szCs w:val="28"/>
        </w:rPr>
        <w:t>П</w:t>
      </w:r>
      <w:r w:rsidR="003622E4" w:rsidRPr="00000B6E">
        <w:rPr>
          <w:rFonts w:ascii="Times New Roman" w:hAnsi="Times New Roman" w:cs="Times New Roman"/>
          <w:sz w:val="28"/>
          <w:szCs w:val="28"/>
        </w:rPr>
        <w:t>ри  составлении полногеномного профиля метилирования ДНК опухолей, изначально обозначенных как ПНЭО-ЦНС, было продемонстрировано, что большинство опухолей (211/323) представл</w:t>
      </w:r>
      <w:r w:rsidR="00335E5F">
        <w:rPr>
          <w:rFonts w:ascii="Times New Roman" w:hAnsi="Times New Roman" w:cs="Times New Roman"/>
          <w:sz w:val="28"/>
          <w:szCs w:val="28"/>
        </w:rPr>
        <w:t>ены</w:t>
      </w:r>
      <w:r w:rsidR="003622E4" w:rsidRPr="00000B6E">
        <w:rPr>
          <w:rFonts w:ascii="Times New Roman" w:hAnsi="Times New Roman" w:cs="Times New Roman"/>
          <w:sz w:val="28"/>
          <w:szCs w:val="28"/>
        </w:rPr>
        <w:t xml:space="preserve"> морфологически</w:t>
      </w:r>
      <w:r w:rsidR="00335E5F">
        <w:rPr>
          <w:rFonts w:ascii="Times New Roman" w:hAnsi="Times New Roman" w:cs="Times New Roman"/>
          <w:sz w:val="28"/>
          <w:szCs w:val="28"/>
        </w:rPr>
        <w:t>ми</w:t>
      </w:r>
      <w:r w:rsidR="003622E4" w:rsidRPr="00000B6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35E5F">
        <w:rPr>
          <w:rFonts w:ascii="Times New Roman" w:hAnsi="Times New Roman" w:cs="Times New Roman"/>
          <w:sz w:val="28"/>
          <w:szCs w:val="28"/>
        </w:rPr>
        <w:t>ами</w:t>
      </w:r>
      <w:r w:rsidR="003622E4" w:rsidRPr="00000B6E">
        <w:rPr>
          <w:rFonts w:ascii="Times New Roman" w:hAnsi="Times New Roman" w:cs="Times New Roman"/>
          <w:sz w:val="28"/>
          <w:szCs w:val="28"/>
        </w:rPr>
        <w:t xml:space="preserve"> других гистологических и молекулярно </w:t>
      </w:r>
      <w:r w:rsidR="00400835" w:rsidRPr="00000B6E">
        <w:rPr>
          <w:rFonts w:ascii="Times New Roman" w:hAnsi="Times New Roman" w:cs="Times New Roman"/>
          <w:sz w:val="28"/>
          <w:szCs w:val="28"/>
        </w:rPr>
        <w:t xml:space="preserve">обозначенных нозологических единиц, что свидетельствует о </w:t>
      </w:r>
      <w:r w:rsidR="00335E5F">
        <w:rPr>
          <w:rFonts w:ascii="Times New Roman" w:hAnsi="Times New Roman" w:cs="Times New Roman"/>
          <w:sz w:val="28"/>
          <w:szCs w:val="28"/>
        </w:rPr>
        <w:t>недостаточности</w:t>
      </w:r>
      <w:r w:rsidR="00400835" w:rsidRPr="00000B6E">
        <w:rPr>
          <w:rFonts w:ascii="Times New Roman" w:hAnsi="Times New Roman" w:cs="Times New Roman"/>
          <w:sz w:val="28"/>
          <w:szCs w:val="28"/>
        </w:rPr>
        <w:t xml:space="preserve"> только гистологического </w:t>
      </w:r>
      <w:r w:rsidR="00732667" w:rsidRPr="00000B6E">
        <w:rPr>
          <w:rFonts w:ascii="Times New Roman" w:hAnsi="Times New Roman" w:cs="Times New Roman"/>
          <w:sz w:val="28"/>
          <w:szCs w:val="28"/>
        </w:rPr>
        <w:t>исследования</w:t>
      </w:r>
      <w:r w:rsidR="00400835" w:rsidRPr="00000B6E">
        <w:rPr>
          <w:rFonts w:ascii="Times New Roman" w:hAnsi="Times New Roman" w:cs="Times New Roman"/>
          <w:sz w:val="28"/>
          <w:szCs w:val="28"/>
        </w:rPr>
        <w:t xml:space="preserve"> и необходимости в использовании молекулярных маркеров для пос</w:t>
      </w:r>
      <w:r w:rsidR="00F83DC5" w:rsidRPr="00000B6E">
        <w:rPr>
          <w:rFonts w:ascii="Times New Roman" w:hAnsi="Times New Roman" w:cs="Times New Roman"/>
          <w:sz w:val="28"/>
          <w:szCs w:val="28"/>
        </w:rPr>
        <w:t xml:space="preserve">тановки </w:t>
      </w:r>
      <w:r w:rsidR="00F83DC5" w:rsidRPr="00000B6E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окончательного диагноза </w:t>
      </w:r>
      <w:r w:rsidR="00400835" w:rsidRPr="00000B6E">
        <w:rPr>
          <w:rFonts w:ascii="Times New Roman" w:hAnsi="Times New Roman" w:cs="Times New Roman"/>
          <w:sz w:val="28"/>
          <w:szCs w:val="28"/>
        </w:rPr>
        <w:t>[13]</w:t>
      </w:r>
      <w:r w:rsidR="00F83DC5" w:rsidRPr="00000B6E">
        <w:rPr>
          <w:rFonts w:ascii="Times New Roman" w:hAnsi="Times New Roman" w:cs="Times New Roman"/>
          <w:sz w:val="28"/>
          <w:szCs w:val="28"/>
        </w:rPr>
        <w:t xml:space="preserve">. </w:t>
      </w:r>
      <w:r w:rsidR="00371DE8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55353C" w:rsidRPr="00000B6E">
        <w:rPr>
          <w:rFonts w:ascii="Times New Roman" w:hAnsi="Times New Roman" w:cs="Times New Roman"/>
          <w:sz w:val="28"/>
          <w:szCs w:val="28"/>
        </w:rPr>
        <w:t>Помимо этого</w:t>
      </w:r>
      <w:r w:rsidR="00371DE8" w:rsidRPr="00000B6E">
        <w:rPr>
          <w:rFonts w:ascii="Times New Roman" w:hAnsi="Times New Roman" w:cs="Times New Roman"/>
          <w:sz w:val="28"/>
          <w:szCs w:val="28"/>
        </w:rPr>
        <w:t xml:space="preserve"> в данном исследовании было выделено 4 новые нозологические единицы, характеризующиеся </w:t>
      </w:r>
      <w:r w:rsidR="00732667" w:rsidRPr="00000B6E">
        <w:rPr>
          <w:rFonts w:ascii="Times New Roman" w:hAnsi="Times New Roman" w:cs="Times New Roman"/>
          <w:sz w:val="28"/>
          <w:szCs w:val="28"/>
        </w:rPr>
        <w:t xml:space="preserve">повторяющимися генетическими альтерациями и определенными гистопатологическими и клиническими особенностями. Нозологическая единица, обозначенная как нейробластома ЦНС с </w:t>
      </w:r>
      <w:r w:rsidR="00335E5F">
        <w:rPr>
          <w:rFonts w:ascii="Times New Roman" w:hAnsi="Times New Roman" w:cs="Times New Roman"/>
          <w:sz w:val="28"/>
          <w:szCs w:val="28"/>
        </w:rPr>
        <w:t xml:space="preserve"> активацией в гене 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forkhead </w:t>
      </w:r>
      <w:proofErr w:type="spellStart"/>
      <w:r w:rsidR="00A24F72" w:rsidRPr="00000B6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A24F72" w:rsidRPr="00000B6E">
        <w:rPr>
          <w:rFonts w:ascii="Times New Roman" w:hAnsi="Times New Roman" w:cs="Times New Roman"/>
          <w:sz w:val="28"/>
          <w:szCs w:val="28"/>
        </w:rPr>
        <w:t xml:space="preserve"> R2 (FOXR2)</w:t>
      </w:r>
      <w:r w:rsidR="00732667" w:rsidRPr="00000B6E">
        <w:rPr>
          <w:rFonts w:ascii="Times New Roman" w:hAnsi="Times New Roman" w:cs="Times New Roman"/>
          <w:sz w:val="28"/>
          <w:szCs w:val="28"/>
        </w:rPr>
        <w:t>, определяется</w:t>
      </w:r>
      <w:r w:rsidR="008B5977">
        <w:rPr>
          <w:rFonts w:ascii="Times New Roman" w:hAnsi="Times New Roman" w:cs="Times New Roman"/>
          <w:sz w:val="28"/>
          <w:szCs w:val="28"/>
        </w:rPr>
        <w:t xml:space="preserve"> в </w:t>
      </w:r>
      <w:r w:rsidR="00732667" w:rsidRPr="00000B6E">
        <w:rPr>
          <w:rFonts w:ascii="Times New Roman" w:hAnsi="Times New Roman" w:cs="Times New Roman"/>
          <w:sz w:val="28"/>
          <w:szCs w:val="28"/>
        </w:rPr>
        <w:t>нейробластом</w:t>
      </w:r>
      <w:r w:rsidR="008B5977">
        <w:rPr>
          <w:rFonts w:ascii="Times New Roman" w:hAnsi="Times New Roman" w:cs="Times New Roman"/>
          <w:sz w:val="28"/>
          <w:szCs w:val="28"/>
        </w:rPr>
        <w:t>е</w:t>
      </w:r>
      <w:r w:rsidR="00732667" w:rsidRPr="00000B6E">
        <w:rPr>
          <w:rFonts w:ascii="Times New Roman" w:hAnsi="Times New Roman" w:cs="Times New Roman"/>
          <w:sz w:val="28"/>
          <w:szCs w:val="28"/>
        </w:rPr>
        <w:t xml:space="preserve"> и ганглионейробластом</w:t>
      </w:r>
      <w:r w:rsidR="008B5977">
        <w:rPr>
          <w:rFonts w:ascii="Times New Roman" w:hAnsi="Times New Roman" w:cs="Times New Roman"/>
          <w:sz w:val="28"/>
          <w:szCs w:val="28"/>
        </w:rPr>
        <w:t>е</w:t>
      </w:r>
      <w:r w:rsidR="00732667" w:rsidRPr="00000B6E">
        <w:rPr>
          <w:rFonts w:ascii="Times New Roman" w:hAnsi="Times New Roman" w:cs="Times New Roman"/>
          <w:sz w:val="28"/>
          <w:szCs w:val="28"/>
        </w:rPr>
        <w:t xml:space="preserve"> ЦНС</w:t>
      </w:r>
      <w:r w:rsidR="00456728" w:rsidRPr="00000B6E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="00732667" w:rsidRPr="00000B6E">
        <w:rPr>
          <w:rFonts w:ascii="Times New Roman" w:hAnsi="Times New Roman" w:cs="Times New Roman"/>
          <w:sz w:val="28"/>
          <w:szCs w:val="28"/>
        </w:rPr>
        <w:t xml:space="preserve">изуется комплексными </w:t>
      </w:r>
      <w:proofErr w:type="spellStart"/>
      <w:r w:rsidR="00732667" w:rsidRPr="00000B6E">
        <w:rPr>
          <w:rFonts w:ascii="Times New Roman" w:hAnsi="Times New Roman" w:cs="Times New Roman"/>
          <w:sz w:val="28"/>
          <w:szCs w:val="28"/>
        </w:rPr>
        <w:t>меж</w:t>
      </w:r>
      <w:r w:rsidR="00F55DA7" w:rsidRPr="00000B6E">
        <w:rPr>
          <w:rFonts w:ascii="Times New Roman" w:hAnsi="Times New Roman" w:cs="Times New Roman"/>
          <w:sz w:val="28"/>
          <w:szCs w:val="28"/>
        </w:rPr>
        <w:t>хросомными</w:t>
      </w:r>
      <w:proofErr w:type="spellEnd"/>
      <w:r w:rsidR="00732667" w:rsidRPr="00000B6E">
        <w:rPr>
          <w:rFonts w:ascii="Times New Roman" w:hAnsi="Times New Roman" w:cs="Times New Roman"/>
          <w:sz w:val="28"/>
          <w:szCs w:val="28"/>
        </w:rPr>
        <w:t xml:space="preserve"> и внутрихромосомными перестройками, сосредоточенными на </w:t>
      </w:r>
      <w:r w:rsidR="008B5977">
        <w:rPr>
          <w:rFonts w:ascii="Times New Roman" w:hAnsi="Times New Roman" w:cs="Times New Roman"/>
          <w:sz w:val="28"/>
          <w:szCs w:val="28"/>
        </w:rPr>
        <w:t xml:space="preserve">гене </w:t>
      </w:r>
      <w:r w:rsidR="00A24F72" w:rsidRPr="00000B6E">
        <w:rPr>
          <w:rFonts w:ascii="Times New Roman" w:hAnsi="Times New Roman" w:cs="Times New Roman"/>
          <w:sz w:val="28"/>
          <w:szCs w:val="28"/>
        </w:rPr>
        <w:t>FOXR2</w:t>
      </w:r>
      <w:r w:rsidR="00732667" w:rsidRPr="00000B6E">
        <w:rPr>
          <w:rFonts w:ascii="Times New Roman" w:hAnsi="Times New Roman" w:cs="Times New Roman"/>
          <w:sz w:val="28"/>
          <w:szCs w:val="28"/>
        </w:rPr>
        <w:t xml:space="preserve">, приводящими к увеличению </w:t>
      </w:r>
      <w:r w:rsidR="008B5977">
        <w:rPr>
          <w:rFonts w:ascii="Times New Roman" w:hAnsi="Times New Roman" w:cs="Times New Roman"/>
          <w:sz w:val="28"/>
          <w:szCs w:val="28"/>
        </w:rPr>
        <w:t xml:space="preserve">его </w:t>
      </w:r>
      <w:r w:rsidR="00732667" w:rsidRPr="00000B6E">
        <w:rPr>
          <w:rFonts w:ascii="Times New Roman" w:hAnsi="Times New Roman" w:cs="Times New Roman"/>
          <w:sz w:val="28"/>
          <w:szCs w:val="28"/>
        </w:rPr>
        <w:t>экспрессии по сравнению с остальными образцами</w:t>
      </w:r>
      <w:r w:rsidR="0055353C" w:rsidRPr="00000B6E">
        <w:rPr>
          <w:rFonts w:ascii="Times New Roman" w:hAnsi="Times New Roman" w:cs="Times New Roman"/>
          <w:sz w:val="28"/>
          <w:szCs w:val="28"/>
        </w:rPr>
        <w:t xml:space="preserve"> опухолей в данном исследовании [13]. </w:t>
      </w:r>
    </w:p>
    <w:p w:rsidR="0055353C" w:rsidRPr="00000B6E" w:rsidRDefault="0055353C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 xml:space="preserve">При проведении исследования, направленного на изучение частоты встречаемости различных цитогенетических альтераций (метилирования промотора гена MGMT, потери генетического материала в 3q, 4q, 10q, 13q; </w:t>
      </w:r>
      <w:proofErr w:type="gramStart"/>
      <w:r w:rsidRPr="00000B6E">
        <w:rPr>
          <w:rFonts w:ascii="Times New Roman" w:hAnsi="Times New Roman" w:cs="Times New Roman"/>
          <w:sz w:val="28"/>
          <w:szCs w:val="28"/>
        </w:rPr>
        <w:t xml:space="preserve">увеличение копийности в 1q, 7 хромосом и амплификация ряда генов), опухолей с мутацией H3F3A G34,  представляющих собой гетерогенную группу опухолей с микроскопической картиной типичной или для </w:t>
      </w:r>
      <w:proofErr w:type="spellStart"/>
      <w:r w:rsidRPr="00000B6E">
        <w:rPr>
          <w:rFonts w:ascii="Times New Roman" w:hAnsi="Times New Roman" w:cs="Times New Roman"/>
          <w:sz w:val="28"/>
          <w:szCs w:val="28"/>
        </w:rPr>
        <w:t>глиобластомы</w:t>
      </w:r>
      <w:proofErr w:type="spellEnd"/>
      <w:r w:rsidRPr="00000B6E">
        <w:rPr>
          <w:rFonts w:ascii="Times New Roman" w:hAnsi="Times New Roman" w:cs="Times New Roman"/>
          <w:sz w:val="28"/>
          <w:szCs w:val="28"/>
        </w:rPr>
        <w:t xml:space="preserve"> (ГБ), или для ПНЭО-ЦНС, было отмечено, что, несмотря </w:t>
      </w:r>
      <w:r w:rsidR="008B5977">
        <w:rPr>
          <w:rFonts w:ascii="Times New Roman" w:hAnsi="Times New Roman" w:cs="Times New Roman"/>
          <w:sz w:val="28"/>
          <w:szCs w:val="28"/>
        </w:rPr>
        <w:t>на различные гистопатологию</w:t>
      </w:r>
      <w:r w:rsidRPr="00000B6E">
        <w:rPr>
          <w:rFonts w:ascii="Times New Roman" w:hAnsi="Times New Roman" w:cs="Times New Roman"/>
          <w:sz w:val="28"/>
          <w:szCs w:val="28"/>
        </w:rPr>
        <w:t>, они демонстрируют одинаков</w:t>
      </w:r>
      <w:r w:rsidR="008B5977">
        <w:rPr>
          <w:rFonts w:ascii="Times New Roman" w:hAnsi="Times New Roman" w:cs="Times New Roman"/>
          <w:sz w:val="28"/>
          <w:szCs w:val="28"/>
        </w:rPr>
        <w:t>ые</w:t>
      </w:r>
      <w:r w:rsidRPr="00000B6E">
        <w:rPr>
          <w:rFonts w:ascii="Times New Roman" w:hAnsi="Times New Roman" w:cs="Times New Roman"/>
          <w:sz w:val="28"/>
          <w:szCs w:val="28"/>
        </w:rPr>
        <w:t xml:space="preserve"> эпигенетическ</w:t>
      </w:r>
      <w:r w:rsidR="008B5977">
        <w:rPr>
          <w:rFonts w:ascii="Times New Roman" w:hAnsi="Times New Roman" w:cs="Times New Roman"/>
          <w:sz w:val="28"/>
          <w:szCs w:val="28"/>
        </w:rPr>
        <w:t>ие характеристики</w:t>
      </w:r>
      <w:r w:rsidRPr="00000B6E">
        <w:rPr>
          <w:rFonts w:ascii="Times New Roman" w:hAnsi="Times New Roman" w:cs="Times New Roman"/>
          <w:sz w:val="28"/>
          <w:szCs w:val="28"/>
        </w:rPr>
        <w:t>, что свидетельствует о едином биологическом происхождении</w:t>
      </w:r>
      <w:r w:rsidR="008B5977" w:rsidRPr="008B5977">
        <w:rPr>
          <w:rFonts w:ascii="Times New Roman" w:hAnsi="Times New Roman" w:cs="Times New Roman"/>
          <w:sz w:val="28"/>
          <w:szCs w:val="28"/>
        </w:rPr>
        <w:t>, поэтому они и относятся к одной общей группе нейроэпителиальных опухолей</w:t>
      </w:r>
      <w:r w:rsidRPr="00000B6E">
        <w:rPr>
          <w:rFonts w:ascii="Times New Roman" w:hAnsi="Times New Roman" w:cs="Times New Roman"/>
          <w:sz w:val="28"/>
          <w:szCs w:val="28"/>
        </w:rPr>
        <w:t xml:space="preserve"> [14].</w:t>
      </w:r>
      <w:proofErr w:type="gramEnd"/>
    </w:p>
    <w:p w:rsidR="008B5977" w:rsidRDefault="0055353C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>Также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 при исследовании мутации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в гене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 IDH1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в супратенториальных эмбриональных опухолях ЦНС были отмечены следующие закономерности: </w:t>
      </w:r>
    </w:p>
    <w:p w:rsidR="008B5977" w:rsidRDefault="008B5977" w:rsidP="008B597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упратенториальные эмбриональные опухоли ЦНС, несмотря на гистопатологическое сходство </w:t>
      </w:r>
      <w:r w:rsidR="00E67E78" w:rsidRPr="00000B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7E78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A16E48" w:rsidRPr="00000B6E">
        <w:rPr>
          <w:rFonts w:ascii="Times New Roman" w:hAnsi="Times New Roman" w:cs="Times New Roman"/>
          <w:sz w:val="28"/>
          <w:szCs w:val="28"/>
        </w:rPr>
        <w:t>медуллобластомами, располагают отличным молекулярным патогенезом</w:t>
      </w:r>
      <w:r w:rsidR="00E67E78" w:rsidRPr="00000B6E">
        <w:rPr>
          <w:rFonts w:ascii="Times New Roman" w:hAnsi="Times New Roman" w:cs="Times New Roman"/>
          <w:sz w:val="28"/>
          <w:szCs w:val="28"/>
        </w:rPr>
        <w:t>;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F9" w:rsidRPr="00000B6E" w:rsidRDefault="008B5977" w:rsidP="008B597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E78" w:rsidRPr="00000B6E">
        <w:rPr>
          <w:rFonts w:ascii="Times New Roman" w:hAnsi="Times New Roman" w:cs="Times New Roman"/>
          <w:sz w:val="28"/>
          <w:szCs w:val="28"/>
        </w:rPr>
        <w:t>упратенториальные эмбриональные опухоли ЦНС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67E78" w:rsidRPr="00000B6E">
        <w:rPr>
          <w:rFonts w:ascii="Times New Roman" w:hAnsi="Times New Roman" w:cs="Times New Roman"/>
          <w:sz w:val="28"/>
          <w:szCs w:val="28"/>
        </w:rPr>
        <w:t xml:space="preserve"> взрослых 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67E78" w:rsidRPr="00000B6E">
        <w:rPr>
          <w:rFonts w:ascii="Times New Roman" w:hAnsi="Times New Roman" w:cs="Times New Roman"/>
          <w:sz w:val="28"/>
          <w:szCs w:val="28"/>
        </w:rPr>
        <w:t xml:space="preserve"> различаются на молекулярном уровне (мутации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в гене</w:t>
      </w:r>
      <w:r w:rsidR="00E67E78" w:rsidRPr="00000B6E">
        <w:rPr>
          <w:rFonts w:ascii="Times New Roman" w:hAnsi="Times New Roman" w:cs="Times New Roman"/>
          <w:sz w:val="28"/>
          <w:szCs w:val="28"/>
        </w:rPr>
        <w:t xml:space="preserve"> IDH1 были обнаружены в 2/6 [</w:t>
      </w:r>
      <w:r w:rsidR="00D235C8" w:rsidRPr="00000B6E">
        <w:rPr>
          <w:rFonts w:ascii="Times New Roman" w:hAnsi="Times New Roman" w:cs="Times New Roman"/>
          <w:sz w:val="28"/>
          <w:szCs w:val="28"/>
        </w:rPr>
        <w:t>1</w:t>
      </w:r>
      <w:r w:rsidR="0055353C" w:rsidRPr="00000B6E">
        <w:rPr>
          <w:rFonts w:ascii="Times New Roman" w:hAnsi="Times New Roman" w:cs="Times New Roman"/>
          <w:sz w:val="28"/>
          <w:szCs w:val="28"/>
        </w:rPr>
        <w:t>5</w:t>
      </w:r>
      <w:r w:rsidR="00E67E78" w:rsidRPr="00000B6E">
        <w:rPr>
          <w:rFonts w:ascii="Times New Roman" w:hAnsi="Times New Roman" w:cs="Times New Roman"/>
          <w:sz w:val="28"/>
          <w:szCs w:val="28"/>
        </w:rPr>
        <w:t>] и 3/6 случаев [1</w:t>
      </w:r>
      <w:r w:rsidR="0055353C" w:rsidRPr="00000B6E">
        <w:rPr>
          <w:rFonts w:ascii="Times New Roman" w:hAnsi="Times New Roman" w:cs="Times New Roman"/>
          <w:sz w:val="28"/>
          <w:szCs w:val="28"/>
        </w:rPr>
        <w:t>6</w:t>
      </w:r>
      <w:r w:rsidR="00E67E78" w:rsidRPr="00000B6E">
        <w:rPr>
          <w:rFonts w:ascii="Times New Roman" w:hAnsi="Times New Roman" w:cs="Times New Roman"/>
          <w:sz w:val="28"/>
          <w:szCs w:val="28"/>
        </w:rPr>
        <w:t xml:space="preserve">] в группе пациентов </w:t>
      </w:r>
      <w:r w:rsidR="00E67E78" w:rsidRPr="00000B6E">
        <w:rPr>
          <w:rFonts w:ascii="Times New Roman" w:hAnsi="Times New Roman" w:cs="Times New Roman"/>
          <w:sz w:val="28"/>
          <w:szCs w:val="28"/>
        </w:rPr>
        <w:lastRenderedPageBreak/>
        <w:t>старше 18 лет, причем в группе младше 18 лет данная мутация не обнаруживалась) [</w:t>
      </w:r>
      <w:r w:rsidR="0055353C" w:rsidRPr="00000B6E">
        <w:rPr>
          <w:rFonts w:ascii="Times New Roman" w:hAnsi="Times New Roman" w:cs="Times New Roman"/>
          <w:sz w:val="28"/>
          <w:szCs w:val="28"/>
        </w:rPr>
        <w:t>15,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55353C" w:rsidRPr="00000B6E">
        <w:rPr>
          <w:rFonts w:ascii="Times New Roman" w:hAnsi="Times New Roman" w:cs="Times New Roman"/>
          <w:sz w:val="28"/>
          <w:szCs w:val="28"/>
        </w:rPr>
        <w:t>16</w:t>
      </w:r>
      <w:r w:rsidR="00E67E78" w:rsidRPr="00000B6E">
        <w:rPr>
          <w:rFonts w:ascii="Times New Roman" w:hAnsi="Times New Roman" w:cs="Times New Roman"/>
          <w:sz w:val="28"/>
          <w:szCs w:val="28"/>
        </w:rPr>
        <w:t>].</w:t>
      </w:r>
      <w:r w:rsidR="00A16E48" w:rsidRPr="00000B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B24" w:rsidRPr="005B3AB0" w:rsidRDefault="00D52B24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</w:rPr>
      </w:pPr>
      <w:bookmarkStart w:id="12" w:name="_Toc41316325"/>
      <w:r w:rsidRPr="005B3AB0">
        <w:rPr>
          <w:rFonts w:ascii="Times New Roman" w:hAnsi="Times New Roman" w:cs="Times New Roman"/>
          <w:b w:val="0"/>
          <w:caps/>
          <w:color w:val="auto"/>
          <w:sz w:val="28"/>
        </w:rPr>
        <w:t>1.5</w:t>
      </w:r>
      <w:r w:rsidR="00000B6E" w:rsidRPr="005B3AB0">
        <w:rPr>
          <w:rFonts w:ascii="Times New Roman" w:hAnsi="Times New Roman" w:cs="Times New Roman"/>
          <w:b w:val="0"/>
          <w:caps/>
          <w:color w:val="auto"/>
          <w:sz w:val="28"/>
        </w:rPr>
        <w:t>.</w:t>
      </w:r>
      <w:r w:rsidRPr="005B3AB0">
        <w:rPr>
          <w:rFonts w:ascii="Times New Roman" w:hAnsi="Times New Roman" w:cs="Times New Roman"/>
          <w:b w:val="0"/>
          <w:caps/>
          <w:color w:val="auto"/>
          <w:sz w:val="28"/>
        </w:rPr>
        <w:t xml:space="preserve"> Лечебная тактика</w:t>
      </w:r>
      <w:bookmarkEnd w:id="12"/>
    </w:p>
    <w:p w:rsidR="0062750C" w:rsidRPr="00000B6E" w:rsidRDefault="00D52B24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 xml:space="preserve">Отсутствует единый алгоритм лечения эмбриональных опухолей ЦНС супратенториальной локализации. </w:t>
      </w:r>
      <w:r w:rsidR="0062750C" w:rsidRPr="00000B6E">
        <w:rPr>
          <w:rFonts w:ascii="Times New Roman" w:hAnsi="Times New Roman" w:cs="Times New Roman"/>
          <w:sz w:val="28"/>
          <w:szCs w:val="28"/>
        </w:rPr>
        <w:t>Лечебная тактика может включать хирургическое вмешательство, проведение химиотерапии и лучевой терапии [4,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62750C" w:rsidRPr="00000B6E">
        <w:rPr>
          <w:rFonts w:ascii="Times New Roman" w:hAnsi="Times New Roman" w:cs="Times New Roman"/>
          <w:sz w:val="28"/>
          <w:szCs w:val="28"/>
        </w:rPr>
        <w:t>5,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62750C" w:rsidRPr="00000B6E">
        <w:rPr>
          <w:rFonts w:ascii="Times New Roman" w:hAnsi="Times New Roman" w:cs="Times New Roman"/>
          <w:sz w:val="28"/>
          <w:szCs w:val="28"/>
        </w:rPr>
        <w:t xml:space="preserve">17]. </w:t>
      </w:r>
      <w:r w:rsidR="00801243" w:rsidRPr="00000B6E">
        <w:rPr>
          <w:rFonts w:ascii="Times New Roman" w:hAnsi="Times New Roman" w:cs="Times New Roman"/>
          <w:sz w:val="28"/>
          <w:szCs w:val="28"/>
        </w:rPr>
        <w:t>Обычно проводиться резекция опухоли с последующим назначением послеоперационной лучевой терапии [3]. Максимальная лучевая нагрузка варьирует между 50 и 55 Гр на протяжении 7-8 недель</w:t>
      </w:r>
      <w:r w:rsidR="009237DB" w:rsidRPr="00000B6E">
        <w:rPr>
          <w:rFonts w:ascii="Times New Roman" w:hAnsi="Times New Roman" w:cs="Times New Roman"/>
          <w:sz w:val="28"/>
          <w:szCs w:val="28"/>
        </w:rPr>
        <w:t xml:space="preserve"> [18]</w:t>
      </w:r>
      <w:proofErr w:type="gramStart"/>
      <w:r w:rsidR="00801243" w:rsidRPr="00000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243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8B5977">
        <w:rPr>
          <w:rFonts w:ascii="Times New Roman" w:hAnsi="Times New Roman" w:cs="Times New Roman"/>
          <w:sz w:val="28"/>
          <w:szCs w:val="28"/>
        </w:rPr>
        <w:t>В некоторых случаях рекомендуется</w:t>
      </w:r>
      <w:r w:rsidR="00801243" w:rsidRPr="00000B6E">
        <w:rPr>
          <w:rFonts w:ascii="Times New Roman" w:hAnsi="Times New Roman" w:cs="Times New Roman"/>
          <w:sz w:val="28"/>
          <w:szCs w:val="28"/>
        </w:rPr>
        <w:t xml:space="preserve"> краниоспинальное облучение</w:t>
      </w:r>
      <w:r w:rsidR="009237DB" w:rsidRPr="00000B6E">
        <w:rPr>
          <w:rFonts w:ascii="Times New Roman" w:hAnsi="Times New Roman" w:cs="Times New Roman"/>
          <w:sz w:val="28"/>
          <w:szCs w:val="28"/>
        </w:rPr>
        <w:t xml:space="preserve"> [3,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9237DB" w:rsidRPr="00000B6E">
        <w:rPr>
          <w:rFonts w:ascii="Times New Roman" w:hAnsi="Times New Roman" w:cs="Times New Roman"/>
          <w:sz w:val="28"/>
          <w:szCs w:val="28"/>
        </w:rPr>
        <w:t>19]. Роль химиотерапии в лечении эмбриональных опухолей ЦНС супратенториальной локализации противоречива: режим, включающий в себя винкристин, ломустин и цисплатин</w:t>
      </w:r>
      <w:r w:rsidR="005A08C0" w:rsidRPr="00000B6E">
        <w:rPr>
          <w:rFonts w:ascii="Times New Roman" w:hAnsi="Times New Roman" w:cs="Times New Roman"/>
          <w:sz w:val="28"/>
          <w:szCs w:val="28"/>
        </w:rPr>
        <w:t xml:space="preserve"> [20]</w:t>
      </w:r>
      <w:r w:rsidR="009237DB" w:rsidRPr="00000B6E">
        <w:rPr>
          <w:rFonts w:ascii="Times New Roman" w:hAnsi="Times New Roman" w:cs="Times New Roman"/>
          <w:sz w:val="28"/>
          <w:szCs w:val="28"/>
        </w:rPr>
        <w:t xml:space="preserve">, </w:t>
      </w:r>
      <w:r w:rsidR="005A08C0" w:rsidRPr="00000B6E">
        <w:rPr>
          <w:rFonts w:ascii="Times New Roman" w:hAnsi="Times New Roman" w:cs="Times New Roman"/>
          <w:sz w:val="28"/>
          <w:szCs w:val="28"/>
        </w:rPr>
        <w:t>применяется как в детской, так и взрослой практике, однако эффективность проводимой терапии сомнительна [21]</w:t>
      </w:r>
      <w:r w:rsidR="009237DB" w:rsidRPr="00000B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08C0" w:rsidRPr="005B3AB0" w:rsidRDefault="005B3AB0" w:rsidP="000F273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13" w:name="_Toc41316326"/>
      <w:r w:rsidRPr="005B3AB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1.</w:t>
      </w:r>
      <w:r w:rsidR="00327CFD" w:rsidRPr="005B3AB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6</w:t>
      </w:r>
      <w:r w:rsidRPr="005B3AB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.</w:t>
      </w:r>
      <w:r w:rsidR="00327CFD" w:rsidRPr="005B3AB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Прогноз</w:t>
      </w:r>
      <w:bookmarkEnd w:id="13"/>
    </w:p>
    <w:p w:rsidR="00596CC9" w:rsidRPr="00000B6E" w:rsidRDefault="007E1E7C" w:rsidP="0010103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>Для пациентов детского возраста с супратенториальными эмбриональными опухолями ЦНС прогноз коррелировал с возрастом, величиной некроза и опухолевой диссеминацией</w:t>
      </w:r>
      <w:r w:rsidR="00BA6990" w:rsidRPr="00000B6E">
        <w:rPr>
          <w:rFonts w:ascii="Times New Roman" w:hAnsi="Times New Roman" w:cs="Times New Roman"/>
          <w:sz w:val="28"/>
          <w:szCs w:val="28"/>
        </w:rPr>
        <w:t>, в</w:t>
      </w:r>
      <w:r w:rsidRPr="00000B6E">
        <w:rPr>
          <w:rFonts w:ascii="Times New Roman" w:hAnsi="Times New Roman" w:cs="Times New Roman"/>
          <w:sz w:val="28"/>
          <w:szCs w:val="28"/>
        </w:rPr>
        <w:t xml:space="preserve"> то время как у больных старшей возрастной группы основным </w:t>
      </w:r>
      <w:r w:rsidR="00BA6990" w:rsidRPr="00000B6E">
        <w:rPr>
          <w:rFonts w:ascii="Times New Roman" w:hAnsi="Times New Roman" w:cs="Times New Roman"/>
          <w:sz w:val="28"/>
          <w:szCs w:val="28"/>
        </w:rPr>
        <w:t>прогностическим</w:t>
      </w:r>
      <w:r w:rsidRPr="00000B6E">
        <w:rPr>
          <w:rFonts w:ascii="Times New Roman" w:hAnsi="Times New Roman" w:cs="Times New Roman"/>
          <w:sz w:val="28"/>
          <w:szCs w:val="28"/>
        </w:rPr>
        <w:t xml:space="preserve"> фактором был индекс пролиферации </w:t>
      </w:r>
      <w:r w:rsidRPr="00000B6E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000B6E">
        <w:rPr>
          <w:rFonts w:ascii="Times New Roman" w:hAnsi="Times New Roman" w:cs="Times New Roman"/>
          <w:sz w:val="28"/>
          <w:szCs w:val="28"/>
        </w:rPr>
        <w:t xml:space="preserve">-67 </w:t>
      </w:r>
      <w:r w:rsidR="00BA6990" w:rsidRPr="00000B6E">
        <w:rPr>
          <w:rFonts w:ascii="Times New Roman" w:hAnsi="Times New Roman" w:cs="Times New Roman"/>
          <w:sz w:val="28"/>
          <w:szCs w:val="28"/>
        </w:rPr>
        <w:t>[3]. Благоприятными прогностическими факторами являются ранний диагноз, полная резекция опухоли с последующим проведением химио- и лучевой терапии [3,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BA6990" w:rsidRPr="00000B6E">
        <w:rPr>
          <w:rFonts w:ascii="Times New Roman" w:hAnsi="Times New Roman" w:cs="Times New Roman"/>
          <w:sz w:val="28"/>
          <w:szCs w:val="28"/>
        </w:rPr>
        <w:t>22,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BA6990" w:rsidRPr="00000B6E">
        <w:rPr>
          <w:rFonts w:ascii="Times New Roman" w:hAnsi="Times New Roman" w:cs="Times New Roman"/>
          <w:sz w:val="28"/>
          <w:szCs w:val="28"/>
        </w:rPr>
        <w:t>23],</w:t>
      </w:r>
      <w:r w:rsidR="007A4335" w:rsidRPr="00000B6E">
        <w:rPr>
          <w:rFonts w:ascii="Times New Roman" w:hAnsi="Times New Roman" w:cs="Times New Roman"/>
          <w:sz w:val="28"/>
          <w:szCs w:val="28"/>
        </w:rPr>
        <w:t xml:space="preserve"> а также такие признаки опухоли, как внутриопухолевые кальцификаты и индекс пролиферации </w:t>
      </w:r>
      <w:r w:rsidR="007A4335" w:rsidRPr="00000B6E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7A4335" w:rsidRPr="00000B6E">
        <w:rPr>
          <w:rFonts w:ascii="Times New Roman" w:hAnsi="Times New Roman" w:cs="Times New Roman"/>
          <w:sz w:val="28"/>
          <w:szCs w:val="28"/>
        </w:rPr>
        <w:t>-67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000B6E">
        <w:rPr>
          <w:rFonts w:ascii="Times New Roman" w:hAnsi="Times New Roman" w:cs="Times New Roman"/>
          <w:sz w:val="28"/>
          <w:szCs w:val="28"/>
        </w:rPr>
        <w:t>&lt;30%</w:t>
      </w:r>
      <w:r w:rsidR="00A24F72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000B6E">
        <w:rPr>
          <w:rFonts w:ascii="Times New Roman" w:hAnsi="Times New Roman" w:cs="Times New Roman"/>
          <w:sz w:val="28"/>
          <w:szCs w:val="28"/>
        </w:rPr>
        <w:t>[3,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000B6E">
        <w:rPr>
          <w:rFonts w:ascii="Times New Roman" w:hAnsi="Times New Roman" w:cs="Times New Roman"/>
          <w:sz w:val="28"/>
          <w:szCs w:val="28"/>
        </w:rPr>
        <w:t>4,</w:t>
      </w:r>
      <w:r w:rsidR="00F55DA7" w:rsidRPr="00000B6E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000B6E">
        <w:rPr>
          <w:rFonts w:ascii="Times New Roman" w:hAnsi="Times New Roman" w:cs="Times New Roman"/>
          <w:sz w:val="28"/>
          <w:szCs w:val="28"/>
        </w:rPr>
        <w:t xml:space="preserve">22].     </w:t>
      </w:r>
      <w:r w:rsidR="00BA6990" w:rsidRPr="00000B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875" w:rsidRPr="00000B6E" w:rsidRDefault="00596CC9" w:rsidP="0010103D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6E">
        <w:rPr>
          <w:rFonts w:ascii="Times New Roman" w:hAnsi="Times New Roman" w:cs="Times New Roman"/>
          <w:sz w:val="28"/>
          <w:szCs w:val="28"/>
        </w:rPr>
        <w:tab/>
        <w:t xml:space="preserve">Даже при наличии благоприятных прогностических факторов и агрессивного лечения, пациенты с супратенториальными эмбриональными опухолями ЦНС имеют плохой прогноз с медианой </w:t>
      </w:r>
      <w:r w:rsidR="00B42A60">
        <w:rPr>
          <w:rFonts w:ascii="Times New Roman" w:hAnsi="Times New Roman" w:cs="Times New Roman"/>
          <w:sz w:val="28"/>
          <w:szCs w:val="28"/>
        </w:rPr>
        <w:t>продолжительности жизни</w:t>
      </w:r>
      <w:r w:rsidRPr="00000B6E">
        <w:rPr>
          <w:rFonts w:ascii="Times New Roman" w:hAnsi="Times New Roman" w:cs="Times New Roman"/>
          <w:sz w:val="28"/>
          <w:szCs w:val="28"/>
        </w:rPr>
        <w:t xml:space="preserve"> от 8 до 23 месяцев. Пациенты детского возраста имеют 3-</w:t>
      </w:r>
      <w:r w:rsidR="00B42A60">
        <w:rPr>
          <w:rFonts w:ascii="Times New Roman" w:hAnsi="Times New Roman" w:cs="Times New Roman"/>
          <w:sz w:val="28"/>
          <w:szCs w:val="28"/>
        </w:rPr>
        <w:t>х</w:t>
      </w:r>
      <w:r w:rsidRPr="00000B6E">
        <w:rPr>
          <w:rFonts w:ascii="Times New Roman" w:hAnsi="Times New Roman" w:cs="Times New Roman"/>
          <w:sz w:val="28"/>
          <w:szCs w:val="28"/>
        </w:rPr>
        <w:t xml:space="preserve"> и 5- летние</w:t>
      </w:r>
      <w:r w:rsidR="001F0740" w:rsidRPr="00000B6E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000B6E">
        <w:rPr>
          <w:rFonts w:ascii="Times New Roman" w:hAnsi="Times New Roman" w:cs="Times New Roman"/>
          <w:sz w:val="28"/>
          <w:szCs w:val="28"/>
        </w:rPr>
        <w:t xml:space="preserve"> выживаемости </w:t>
      </w:r>
      <w:r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34–57% 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18–38%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 [3,</w:t>
      </w:r>
      <w:r w:rsidR="00F55DA7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24, 25,</w:t>
      </w:r>
      <w:r w:rsidR="00F55DA7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26,</w:t>
      </w:r>
      <w:r w:rsidR="00F55DA7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</w:t>
      </w:r>
      <w:r w:rsidR="00F55DA7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B63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28].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 выживаемости для взрослых еще ниже, чем для детей: медиана выживаемости составляет 16 месяцев с 1-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годичной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2-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летней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5-летн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выживаемост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3%, 35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и 16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074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5% соответственно [29]. К сожалению, 5-летняя выживаемость 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остаётся меньше 50% во всех возрастных группах. На сегодняшний день зарегистрировано только 2 </w:t>
      </w:r>
      <w:proofErr w:type="gramStart"/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клинических</w:t>
      </w:r>
      <w:proofErr w:type="gramEnd"/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случая, описывающих длительн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A60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безрецидивн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[22,</w:t>
      </w:r>
      <w:r w:rsidR="00F55DA7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30]</w:t>
      </w:r>
      <w:r w:rsidR="005B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3875" w:rsidRPr="0000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01904" w:rsidRDefault="00301904" w:rsidP="0010103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1904" w:rsidRDefault="00301904" w:rsidP="0010103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1904" w:rsidRDefault="00301904" w:rsidP="0010103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1904" w:rsidRDefault="00301904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F352E" w:rsidRDefault="00BF352E" w:rsidP="00BF352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5B3AB0" w:rsidRDefault="005B3AB0" w:rsidP="00BF352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14" w:name="_Toc40215931"/>
      <w:bookmarkStart w:id="15" w:name="_Toc40215957"/>
      <w:bookmarkStart w:id="16" w:name="_Toc40216175"/>
      <w:bookmarkStart w:id="17" w:name="_Toc40216700"/>
    </w:p>
    <w:p w:rsidR="005B3AB0" w:rsidRDefault="005B3AB0" w:rsidP="00BF352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5B3AB0" w:rsidRDefault="005B3AB0" w:rsidP="00BF352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5B3AB0" w:rsidRDefault="005B3AB0" w:rsidP="00BF352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BF352E" w:rsidRPr="005B3AB0" w:rsidRDefault="00BF352E" w:rsidP="00B42A6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18" w:name="_Toc41316327"/>
      <w:r w:rsidRPr="005B3AB0">
        <w:rPr>
          <w:rFonts w:ascii="Times New Roman" w:hAnsi="Times New Roman" w:cs="Times New Roman"/>
          <w:caps/>
          <w:color w:val="auto"/>
        </w:rPr>
        <w:lastRenderedPageBreak/>
        <w:t>Г</w:t>
      </w:r>
      <w:r w:rsidR="00C238EA">
        <w:rPr>
          <w:rFonts w:ascii="Times New Roman" w:hAnsi="Times New Roman" w:cs="Times New Roman"/>
          <w:color w:val="auto"/>
        </w:rPr>
        <w:t>лава</w:t>
      </w:r>
      <w:r w:rsidRPr="005B3AB0">
        <w:rPr>
          <w:rFonts w:ascii="Times New Roman" w:hAnsi="Times New Roman" w:cs="Times New Roman"/>
          <w:caps/>
          <w:color w:val="auto"/>
        </w:rPr>
        <w:t xml:space="preserve"> 2. </w:t>
      </w:r>
      <w:r w:rsidRPr="005B3AB0">
        <w:rPr>
          <w:rFonts w:ascii="Times New Roman" w:eastAsia="Times New Roman" w:hAnsi="Times New Roman" w:cs="Times New Roman"/>
          <w:caps/>
          <w:color w:val="auto"/>
          <w:lang w:eastAsia="ru-RU"/>
        </w:rPr>
        <w:t>Материалы и методы</w:t>
      </w:r>
      <w:bookmarkEnd w:id="14"/>
      <w:bookmarkEnd w:id="15"/>
      <w:bookmarkEnd w:id="16"/>
      <w:bookmarkEnd w:id="17"/>
      <w:bookmarkEnd w:id="18"/>
    </w:p>
    <w:p w:rsidR="00BF352E" w:rsidRPr="00BF352E" w:rsidRDefault="00BF352E" w:rsidP="005B3A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проспективное исследование 31 больного с супратенториальными эмбриональными опухолями в возрасте 18 лет и старше. Мужчин было 21. Все пациенты были разделены на две группы в зависимости от гистологического диагноза – </w:t>
      </w:r>
      <w:r w:rsidR="00A24F72">
        <w:rPr>
          <w:rFonts w:ascii="Times New Roman" w:eastAsia="Times New Roman" w:hAnsi="Times New Roman" w:cs="Times New Roman"/>
          <w:sz w:val="28"/>
          <w:szCs w:val="24"/>
          <w:lang w:eastAsia="ru-RU"/>
        </w:rPr>
        <w:t>НБ-ЦНС</w:t>
      </w:r>
      <w:r w:rsidRPr="00BF3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A24F72">
        <w:rPr>
          <w:rFonts w:ascii="Times New Roman" w:eastAsia="Times New Roman" w:hAnsi="Times New Roman" w:cs="Times New Roman"/>
          <w:sz w:val="28"/>
          <w:szCs w:val="24"/>
          <w:lang w:eastAsia="ru-RU"/>
        </w:rPr>
        <w:t>ГНБ-ЦНС</w:t>
      </w:r>
      <w:r w:rsidRPr="00BF3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15 и 16 больных соответственно.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Детальные клинические характеристики больных представлены в 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1.</w:t>
      </w:r>
    </w:p>
    <w:p w:rsidR="00C238EA" w:rsidRDefault="00C238EA" w:rsidP="00C238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1.</w:t>
      </w:r>
      <w:r w:rsidR="00BF352E" w:rsidRPr="00BF3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F352E" w:rsidRPr="00253345" w:rsidRDefault="00BF352E" w:rsidP="00C2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3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Характеристика</w:t>
      </w:r>
      <w:r w:rsidRPr="002533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больных с </w:t>
      </w:r>
      <w:r w:rsidR="00A24F72" w:rsidRPr="00253345">
        <w:rPr>
          <w:rFonts w:ascii="Times New Roman" w:eastAsia="Times New Roman" w:hAnsi="Times New Roman" w:cs="Times New Roman"/>
          <w:sz w:val="28"/>
          <w:szCs w:val="24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A24F72" w:rsidRPr="00253345">
        <w:rPr>
          <w:rFonts w:ascii="Times New Roman" w:eastAsia="Times New Roman" w:hAnsi="Times New Roman" w:cs="Times New Roman"/>
          <w:sz w:val="28"/>
          <w:szCs w:val="24"/>
          <w:lang w:eastAsia="ru-RU"/>
        </w:rPr>
        <w:t>ГНБ-ЦНС</w:t>
      </w:r>
    </w:p>
    <w:p w:rsidR="00BF352E" w:rsidRPr="00BF352E" w:rsidRDefault="00BF352E" w:rsidP="00B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739"/>
        <w:gridCol w:w="1805"/>
        <w:gridCol w:w="1985"/>
        <w:gridCol w:w="1416"/>
      </w:tblGrid>
      <w:tr w:rsidR="00BF352E" w:rsidRPr="00BF352E" w:rsidTr="005A26F5">
        <w:trPr>
          <w:trHeight w:val="589"/>
        </w:trPr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характеристики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C238EA" w:rsidRDefault="00A24F72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НБ-ЦНС</w:t>
            </w:r>
          </w:p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2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C238EA" w:rsidRDefault="00A24F72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ГНБ-ЦНС</w:t>
            </w:r>
            <w:r w:rsidR="00BF352E"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2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=16)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C238EA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352E" w:rsidRPr="00C238EA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2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=31)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мужчины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(73%)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(63%)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(68%)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женщины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(32%)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(средний)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 (95% CI, 26,3 – 45,9)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 (95 % CI, 32,6 – 45,2)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поражения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доля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(60%)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(56%)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(58%)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доли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(25%)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(16%)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доля и базальные отделы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(6,5%)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доли и базальные отделы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(6,5%)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базальные отделы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(26%)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правое полушарие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(26%)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левое полушарие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(39%)</w:t>
            </w:r>
          </w:p>
        </w:tc>
      </w:tr>
      <w:tr w:rsidR="00BF352E" w:rsidRPr="00BF352E" w:rsidTr="005A26F5">
        <w:trPr>
          <w:trHeight w:val="310"/>
        </w:trPr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базальные структуры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базальные структуры + полушария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(9%)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многоочаговое поражение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(25%)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МРТ с </w:t>
            </w:r>
            <w:proofErr w:type="gram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контрастном</w:t>
            </w:r>
            <w:proofErr w:type="gramEnd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опухоль не копит контраст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(36%)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(21%)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(28,6%)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опухоль копит контраст слабо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(36%)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(50%)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(42,8%)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опухоль копит контраст активно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(29%)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(28,6%)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 данных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функциональный статус по шкале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Карновского</w:t>
            </w:r>
            <w:proofErr w:type="spellEnd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(баллы)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90-100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60-80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(87%)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(75%)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(81%)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&lt; 60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циторедукции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близко к тотальному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(23%)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субтотально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(31%)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(23%)</w:t>
            </w:r>
          </w:p>
        </w:tc>
      </w:tr>
      <w:tr w:rsidR="00BF352E" w:rsidRPr="00BF352E" w:rsidTr="005A26F5">
        <w:tc>
          <w:tcPr>
            <w:tcW w:w="4685" w:type="dxa"/>
            <w:gridSpan w:val="2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частично</w:t>
            </w:r>
          </w:p>
        </w:tc>
        <w:tc>
          <w:tcPr>
            <w:tcW w:w="180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1985" w:type="dxa"/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  <w:tc>
          <w:tcPr>
            <w:tcW w:w="1416" w:type="dxa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(35%)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биопсия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(19%)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ЛТ/радиохирургия (1-я линия)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ЛТ без темозоломида (головной мозг)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(75%)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(71%)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ЛТ с темозоломидом (головной мозг)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ЛТ краниоспинальная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радиохирургия (головной мозг)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не проводилась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(1-я линия)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rPr>
          <w:trHeight w:val="31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2-5 циклов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6-15 циклов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(25%)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цисплатин+</w:t>
            </w: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+эндоксан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цисплатин+этопозид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PCV/CV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винкристин+доксоруб+эндоксан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 проводилась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(27%)</w:t>
            </w:r>
          </w:p>
        </w:tc>
      </w:tr>
      <w:tr w:rsidR="00BF352E" w:rsidRPr="00BF352E" w:rsidTr="005A26F5">
        <w:trPr>
          <w:trHeight w:val="29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нет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терапию 1-й линии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(28,5%)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(20%)</w:t>
            </w:r>
          </w:p>
        </w:tc>
      </w:tr>
      <w:tr w:rsidR="00BF352E" w:rsidRPr="00BF352E" w:rsidTr="005A26F5">
        <w:trPr>
          <w:trHeight w:val="300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(28,5%)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(37%)</w:t>
            </w:r>
          </w:p>
        </w:tc>
      </w:tr>
      <w:tr w:rsidR="00BF352E" w:rsidRPr="00BF352E" w:rsidTr="005A26F5">
        <w:trPr>
          <w:trHeight w:val="258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</w:tr>
      <w:tr w:rsidR="00BF352E" w:rsidRPr="00BF352E" w:rsidTr="005A26F5">
        <w:trPr>
          <w:trHeight w:val="258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остатка опухолевой ткани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(22%)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ЛТ/радиохирургия (2-я линия)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ЛТ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(17%)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(19%)</w:t>
            </w: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Гамма нож/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(17%)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(11%)</w:t>
            </w: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 проводилась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(33%)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(73%)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(55%)</w:t>
            </w:r>
          </w:p>
        </w:tc>
      </w:tr>
      <w:tr w:rsidR="00BF352E" w:rsidRPr="00BF352E" w:rsidTr="005A26F5">
        <w:trPr>
          <w:trHeight w:val="309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 достигнут БРП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(33%)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(15%)</w:t>
            </w:r>
          </w:p>
        </w:tc>
      </w:tr>
      <w:tr w:rsidR="00BF352E" w:rsidRPr="00BF352E" w:rsidTr="005A26F5">
        <w:trPr>
          <w:trHeight w:val="184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нет данных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(2-я линия)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(25%)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(14,8%)</w:t>
            </w:r>
          </w:p>
        </w:tc>
      </w:tr>
      <w:tr w:rsidR="00BF352E" w:rsidRPr="00BF352E" w:rsidTr="005A26F5">
        <w:trPr>
          <w:trHeight w:val="268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винкристин+доксоруб+эндоксан</w:t>
            </w:r>
            <w:proofErr w:type="spellEnd"/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(3,7%)</w:t>
            </w:r>
          </w:p>
        </w:tc>
      </w:tr>
      <w:tr w:rsidR="00BF352E" w:rsidRPr="00BF352E" w:rsidTr="005A26F5">
        <w:trPr>
          <w:trHeight w:val="282"/>
        </w:trPr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схема с 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цисплатином</w:t>
            </w:r>
            <w:proofErr w:type="spellEnd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карбоплатином</w:t>
            </w:r>
            <w:proofErr w:type="spellEnd"/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(8,3%)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(14,8%)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PCV(CV)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(8,3%)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(3,7%)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 проводилась/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(25%)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(66%)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(48,2%)</w:t>
            </w:r>
          </w:p>
        </w:tc>
      </w:tr>
      <w:tr w:rsidR="00BF352E" w:rsidRPr="00BF352E" w:rsidTr="005A26F5">
        <w:trPr>
          <w:trHeight w:val="67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 достигнут БРП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(33,4%)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(14,8%)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нет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операций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(80%)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(69%)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(74%)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(16%)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более 2-х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c>
          <w:tcPr>
            <w:tcW w:w="29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отсевов в спинной мозг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(11%)</w:t>
            </w:r>
          </w:p>
        </w:tc>
      </w:tr>
      <w:tr w:rsidR="00BF352E" w:rsidRPr="00BF352E" w:rsidTr="005A26F5">
        <w:tc>
          <w:tcPr>
            <w:tcW w:w="2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(92%)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(86%)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(89%)</w:t>
            </w:r>
          </w:p>
        </w:tc>
      </w:tr>
      <w:tr w:rsidR="00BF352E" w:rsidRPr="00BF352E" w:rsidTr="005A26F5">
        <w:tc>
          <w:tcPr>
            <w:tcW w:w="29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доброкачественных опухолей ранее на том же месте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</w:tr>
      <w:tr w:rsidR="00BF352E" w:rsidRPr="00BF352E" w:rsidTr="005A26F5">
        <w:tc>
          <w:tcPr>
            <w:tcW w:w="468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52E" w:rsidRPr="00BF352E" w:rsidRDefault="00BF352E" w:rsidP="00B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52E" w:rsidRPr="00BF352E" w:rsidRDefault="00BF352E" w:rsidP="00C2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Примечание. МРТ – магнитно-резонансная томография; ЛТ – лучевая терапия; БРП – безрецидивный период; </w:t>
      </w:r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PCV</w:t>
      </w:r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схема химиотерапии: </w:t>
      </w:r>
      <w:proofErr w:type="spellStart"/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прокарбазин+ломустин+винкристин</w:t>
      </w:r>
      <w:proofErr w:type="spellEnd"/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CV – схема химиотерапии: </w:t>
      </w:r>
      <w:proofErr w:type="spellStart"/>
      <w:r w:rsidRPr="00BF35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ломустин+винкристин</w:t>
      </w:r>
      <w:proofErr w:type="spellEnd"/>
    </w:p>
    <w:p w:rsidR="00BF352E" w:rsidRPr="00BF352E" w:rsidRDefault="00BF352E" w:rsidP="00BF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F352E" w:rsidRPr="00BF352E" w:rsidRDefault="00BF352E" w:rsidP="00BF3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пациентам выполнялось оперативное вмешательство с разным объемом циторедукции – от биопсии до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макроскопически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тотального удаления опухоли. </w:t>
      </w:r>
      <w:r w:rsidRPr="00BF35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последними рекомендациями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NCCN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F3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Guidelines</w:t>
      </w:r>
      <w:r w:rsidRPr="00BF3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Version</w:t>
      </w:r>
      <w:r w:rsidRPr="00BF3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1.2018,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Central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Nervous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System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Cancers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больные были разделены на группы по объему циторедукции следующим образом: </w:t>
      </w:r>
      <w:proofErr w:type="spellStart"/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макроскопически</w:t>
      </w:r>
      <w:proofErr w:type="spellEnd"/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тотальное удаление, субтотальное, частичное и открытая биопсия. 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</w:t>
      </w:r>
      <w:proofErr w:type="spellStart"/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макроскопически</w:t>
      </w:r>
      <w:proofErr w:type="spellEnd"/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тотальным удалением понималась резекция опухоли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95% и более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под субтотальным –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80-94%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частичным –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79-50%</w:t>
      </w:r>
      <w:r w:rsidRPr="00BF3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открытой биопсией – </w:t>
      </w:r>
      <w:r w:rsidRPr="00BF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&lt;50%.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операции в 97% случаев (30/31) проводилась ЛТ (</w:t>
      </w:r>
      <w:proofErr w:type="gram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/без темозоломида) или </w:t>
      </w:r>
      <w:proofErr w:type="gram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радиохирургия</w:t>
      </w:r>
      <w:proofErr w:type="gram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73,3% (22/30) – 1-я линия химиотерапии (ХТ) (</w:t>
      </w:r>
      <w:r w:rsidR="007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При наступлении рецидива заболевания больные в большинстве случаев повторно оперировались с последующим проведением ЛТ/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радиохирургии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2-й линий терапии в части случаев (</w:t>
      </w:r>
      <w:r w:rsidR="007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BF352E" w:rsidRPr="00BF352E" w:rsidRDefault="00BF352E" w:rsidP="00BF3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Гистологический диагноз ставился в соответствии с классификациями ВОЗ опухолей ЦНС (2007/2016). Всем больным выполнялось иммуногистохимическое исследование (ИГХ) c использованием антител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GFAP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poly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DakoCytomation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12,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DakoCytomation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NB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84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Leica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(12E7,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DakoCytomation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-67 (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MIB-1,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DakoCytomation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оценке цитоплазматического окрашивания антителами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GFAP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99 пользовались полуколичественным методом: 0 – окрашивание отсутствует, 1+ – слабое окрашивание, 2+ – умеренное окрашивание, 3+ – интенсивное окрашивание. При ядерном окрашивании антитела Ki-67 определялся процент окрашенных клеток к их общему числу.</w:t>
      </w:r>
    </w:p>
    <w:p w:rsidR="00BF352E" w:rsidRPr="00BF352E" w:rsidRDefault="00BF352E" w:rsidP="00BF3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экспрессия мРНК генов</w:t>
      </w:r>
      <w:r w:rsidR="000F2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TP, </w:t>
      </w:r>
      <w:r w:rsidRPr="00BF352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β-тубулин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ERCC</w:t>
      </w:r>
      <w:r w:rsidR="006C732E" w:rsidRPr="006C73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MGMT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-kit,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PDGFR</w:t>
      </w:r>
      <w:r w:rsidR="000F2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в архивном гистологическом материале при помощи полимеразной цепной реакции (ПЦР) в режиме реального времени. </w:t>
      </w:r>
      <w:r w:rsidRPr="00BF3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Пороговые уровни для разграничения низкой, средней и </w:t>
      </w:r>
      <w:r w:rsidRPr="00BF3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высокой экспрессии каждого гена (выраженные в </w:t>
      </w:r>
      <w:r w:rsidRPr="00BF352E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44"/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Ct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гена-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нормализатора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SDHA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определялись как 20 и 80 перцентили значений относительной экспрессии соответствующих генов в группе из 50 солидных опухолей, отобранных случайным образом. </w:t>
      </w:r>
      <w:proofErr w:type="gram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в генах IDH1 (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экзон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и IDH2 (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экзон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опухолевой ткани детектировали при помощи анализа кривых плавления ПЦР-продуктов с высоким разрешением (HRMA -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Resolution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Melting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последуюшим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секвенированием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ДНК.</w:t>
      </w:r>
      <w:r w:rsidRPr="00BF3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Сочетанная делеция 1p/19q определялась путем оценки потери гетерозиготности по 12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однонуклеотидным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заменам 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участках хромосом 1p36 и 19q13.</w:t>
      </w:r>
      <w:proofErr w:type="gramEnd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Присутствие ко-делеции 1p/19q устанавливалось в случае потери гетерозиготности по всем информативным (гетерозиготным) маркерам в образце ДНК, выделенной из опухолевого материала, при наличии не менее 1 информативного маркера на каждой хромосоме. Информативность (</w:t>
      </w:r>
      <w:proofErr w:type="spellStart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гетерозиготность</w:t>
      </w:r>
      <w:proofErr w:type="spellEnd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маркеров оценивалась в образце ДНК, выделенной из лимфоцитов периферической крови.</w:t>
      </w:r>
    </w:p>
    <w:p w:rsidR="00BF352E" w:rsidRPr="00BF352E" w:rsidRDefault="00BF352E" w:rsidP="00BF3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терапии осуществлялась по данным МРТ с контрастным усилением после каждых двух циклов химиотерапии и каждые 2-4 месяца после ее окончания по критериям RANO (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Response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Neuro-Oncology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Working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пациентам выполнялось ПЭТ с метионином</w:t>
      </w:r>
      <w:r w:rsidRPr="00BF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эффективности проведенного лечения и для исключения псевдопрогрессии опухоли.</w:t>
      </w:r>
    </w:p>
    <w:p w:rsidR="00BF352E" w:rsidRPr="00BF352E" w:rsidRDefault="00BF352E" w:rsidP="00BF3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данных проводилась с использованием пакетов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survival</w:t>
      </w:r>
      <w:proofErr w:type="spellEnd"/>
      <w:r w:rsidRPr="00BF352E" w:rsidDel="0072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survminer</w:t>
      </w:r>
      <w:proofErr w:type="spellEnd"/>
      <w:r w:rsidRPr="00BF352E" w:rsidDel="0072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программной среды статистических вычислений с открытым исходным кодом </w:t>
      </w:r>
      <w:r w:rsidRPr="00BF3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F35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версии 3.5.2. Значимость различий качественных признаков в сравниваемых группах оценивалась с использованием </w:t>
      </w:r>
      <w:bookmarkStart w:id="19" w:name="OLE_LINK3"/>
      <w:bookmarkStart w:id="20" w:name="OLE_LINK4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точного теста Фишера </w:t>
      </w:r>
      <w:bookmarkEnd w:id="19"/>
      <w:bookmarkEnd w:id="20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фунция</w:t>
      </w:r>
      <w:proofErr w:type="spellEnd"/>
      <w:r w:rsidRPr="00BF352E">
        <w:rPr>
          <w:rFonts w:ascii="Cambria" w:eastAsia="Times New Roman" w:hAnsi="Cambria" w:cs="Times New Roman"/>
          <w:color w:val="000000"/>
          <w:szCs w:val="20"/>
          <w:lang w:eastAsia="ru-RU"/>
        </w:rPr>
        <w:t xml:space="preserve">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fisher.test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Различия количественных признаков между группами определялись при помощи критерия суммы рангов </w:t>
      </w:r>
      <w:proofErr w:type="spellStart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Уилкоксона</w:t>
      </w:r>
      <w:proofErr w:type="spellEnd"/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(функция wilcox.test)</w:t>
      </w:r>
      <w:r w:rsidRPr="00BF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Выживаемость пациентов и БРП между группами анализировалась методом Каплан-Мейера (функция survfit). </w:t>
      </w:r>
      <w:r w:rsidRPr="00BF3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количественных признаков на выживаемость и БРП определялись по модели пропорциональных рисков Кокса (функция coxph).</w:t>
      </w:r>
    </w:p>
    <w:p w:rsidR="00BF352E" w:rsidRDefault="00BF352E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B60B4D" w:rsidRDefault="00B60B4D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F0563F" w:rsidRDefault="00F0563F" w:rsidP="00B105ED">
      <w:pPr>
        <w:spacing w:line="360" w:lineRule="auto"/>
        <w:rPr>
          <w:rFonts w:ascii="Times New Roman" w:hAnsi="Times New Roman" w:cs="Times New Roman"/>
          <w:sz w:val="28"/>
        </w:rPr>
      </w:pPr>
    </w:p>
    <w:p w:rsidR="000F2733" w:rsidRDefault="000F2733" w:rsidP="0023599F">
      <w:pPr>
        <w:pStyle w:val="1"/>
        <w:rPr>
          <w:rFonts w:ascii="Times New Roman" w:hAnsi="Times New Roman" w:cs="Times New Roman"/>
          <w:color w:val="auto"/>
        </w:rPr>
      </w:pPr>
    </w:p>
    <w:p w:rsidR="000F2733" w:rsidRDefault="000F2733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33" w:rsidRDefault="000F2733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33" w:rsidRDefault="000F2733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33" w:rsidRPr="000F2733" w:rsidRDefault="000F2733" w:rsidP="000F2733">
      <w:pPr>
        <w:pStyle w:val="1"/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bookmarkStart w:id="21" w:name="_Toc41316328"/>
      <w:r w:rsidRPr="00253345">
        <w:rPr>
          <w:rFonts w:ascii="Times New Roman" w:hAnsi="Times New Roman" w:cs="Times New Roman"/>
          <w:color w:val="auto"/>
        </w:rPr>
        <w:lastRenderedPageBreak/>
        <w:t xml:space="preserve">Глава 3. </w:t>
      </w:r>
      <w:r w:rsidRPr="00253345">
        <w:rPr>
          <w:rFonts w:ascii="Times New Roman" w:hAnsi="Times New Roman" w:cs="Times New Roman"/>
          <w:caps/>
          <w:color w:val="auto"/>
        </w:rPr>
        <w:t>Результаты и обсуждение</w:t>
      </w:r>
      <w:bookmarkEnd w:id="21"/>
    </w:p>
    <w:p w:rsidR="0023599F" w:rsidRPr="00253345" w:rsidRDefault="0023599F" w:rsidP="000F27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больные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=31) в зависимости от гистологического диагноза были разделены на две группы: 15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16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возра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гр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составил 30 и 38 лет соответственно (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Более чем в половине случаев (18/31, 58%) была поражена только одна доля мозга. 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Множественные очаги поражения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диагностики наблюдал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только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13% на всем массиве данных (4/31) и 25% внутри группы (4/16). Трое пациентов из 31 (10%) ранее были оперированы по поводу диффузной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астроцитомы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GII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локализацией опухоли на том же месте, что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появилась там спустя несколько лет, что составило 19% (3/16) в данной группе. 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отсевов в спинной мозг, диагностированных при жизни, была 11% (3/27) среди всех эмбриональных опухолей ЦНС, однако в группе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проце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встр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ечался вдвое чаще по сравнению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(14%, 2/14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8%, 1/13).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сбор семейного онкологического анамнеза у 18 пациентов. Он был отягощен различными онкологическими заболеваниями у кровных родственников в 72,2% (13/18, 5 случаев у больных с </w:t>
      </w:r>
      <w:r w:rsidR="00C03F54" w:rsidRPr="00253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8 – с </w:t>
      </w:r>
      <w:r w:rsidR="00C03F54" w:rsidRPr="00253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анализ частоты встречаемости уровней экспрессий генов (TP,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MGMT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ERCC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PDGFR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-α,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β-тубулин), наличия мутации в генах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1/2 и ко-делеции 1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от первой операции.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определить уровни экспрессии гена C-kit в 67% случаев (10/15); генов TP, PDGFR-α, β-тубулин, VEGF в 87% случаев (13/15) и у 100% больных в генах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MGMT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ERCC1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(15/15).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уровней экспрессии гена C-kit; генов TP, PDGFR-α, β-тубулин, VEGF; генов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MGMT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ERCC1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определена соответственно в 63% (10/16); в 81% (13/16); в 94% (15/16) опухолевых образцов. Данные представлены в таблице 2.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53" w:rsidRPr="00253345" w:rsidRDefault="0023599F" w:rsidP="00C52F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599F" w:rsidRPr="00253345" w:rsidRDefault="0023599F" w:rsidP="00C52F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встречаемости уровней экспрессии генов: TP, MGMT,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ERCC1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PDGFR-α, VEGF, C-kit, β-тубулин, ко-делеции 1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мутаций в генах IDH1/2 в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844"/>
        <w:gridCol w:w="2126"/>
        <w:gridCol w:w="1981"/>
        <w:gridCol w:w="1666"/>
      </w:tblGrid>
      <w:tr w:rsidR="00253345" w:rsidRPr="00253345" w:rsidTr="00772DD5">
        <w:trPr>
          <w:trHeight w:val="242"/>
        </w:trPr>
        <w:tc>
          <w:tcPr>
            <w:tcW w:w="34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/ уровень экспрессии генов (число больных </w:t>
            </w:r>
            <w:r w:rsidR="00C03F54"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НБ-ЦНС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03F54"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ГНБ-ЦНС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C03F54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НБ-ЦНС</w:t>
            </w: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C03F54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ГНБ-ЦНС</w:t>
            </w: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345" w:rsidRPr="00253345" w:rsidTr="00772DD5">
        <w:trPr>
          <w:trHeight w:val="305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=13/13)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(54%)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(54%)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(54%)</w:t>
            </w:r>
          </w:p>
        </w:tc>
      </w:tr>
      <w:tr w:rsidR="00253345" w:rsidRPr="00253345" w:rsidTr="00772DD5">
        <w:trPr>
          <w:trHeight w:val="324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(15%)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(23%)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(19%)</w:t>
            </w:r>
          </w:p>
        </w:tc>
      </w:tr>
      <w:tr w:rsidR="00253345" w:rsidRPr="00253345" w:rsidTr="00772DD5">
        <w:trPr>
          <w:trHeight w:val="192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(31%)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(23%)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(27%)</w:t>
            </w:r>
          </w:p>
        </w:tc>
      </w:tr>
      <w:tr w:rsidR="00253345" w:rsidRPr="00253345" w:rsidTr="00772DD5">
        <w:trPr>
          <w:trHeight w:val="291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MGMT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(60%)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(40%)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(50%)</w:t>
            </w:r>
          </w:p>
        </w:tc>
      </w:tr>
      <w:tr w:rsidR="00253345" w:rsidRPr="00253345" w:rsidTr="00772DD5">
        <w:trPr>
          <w:trHeight w:val="308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(27%)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(47%)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(37%)</w:t>
            </w:r>
          </w:p>
        </w:tc>
      </w:tr>
      <w:tr w:rsidR="00253345" w:rsidRPr="00253345" w:rsidTr="00772DD5">
        <w:trPr>
          <w:trHeight w:val="295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(13%)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(13%)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(13%)</w:t>
            </w:r>
          </w:p>
        </w:tc>
      </w:tr>
      <w:tr w:rsidR="00253345" w:rsidRPr="00253345" w:rsidTr="00772DD5">
        <w:trPr>
          <w:trHeight w:val="291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6C732E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ERCC1</w:t>
            </w:r>
            <w:r w:rsidR="0023599F"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99F"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="0023599F"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(53%)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(27%)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(40%)</w:t>
            </w:r>
          </w:p>
        </w:tc>
      </w:tr>
      <w:tr w:rsidR="00253345" w:rsidRPr="00253345" w:rsidTr="00772DD5">
        <w:trPr>
          <w:trHeight w:val="296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(40%)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(40%)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(40%)</w:t>
            </w:r>
          </w:p>
        </w:tc>
      </w:tr>
      <w:tr w:rsidR="00253345" w:rsidRPr="00253345" w:rsidTr="00772DD5">
        <w:trPr>
          <w:trHeight w:val="310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(7%)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(33%)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(20%)</w:t>
            </w:r>
          </w:p>
        </w:tc>
      </w:tr>
      <w:tr w:rsidR="00253345" w:rsidRPr="00253345" w:rsidTr="00772DD5">
        <w:trPr>
          <w:trHeight w:val="315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PDGFR-α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(23%)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(8%)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(15%)</w:t>
            </w:r>
          </w:p>
        </w:tc>
      </w:tr>
      <w:tr w:rsidR="00253345" w:rsidRPr="00253345" w:rsidTr="00772DD5">
        <w:trPr>
          <w:trHeight w:val="283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(38</w:t>
            </w:r>
            <w:proofErr w:type="gram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  <w:proofErr w:type="gramEnd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(38%)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(39%)</w:t>
            </w:r>
          </w:p>
        </w:tc>
      </w:tr>
      <w:tr w:rsidR="00253345" w:rsidRPr="00253345" w:rsidTr="00772DD5">
        <w:trPr>
          <w:trHeight w:val="311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(38</w:t>
            </w:r>
            <w:proofErr w:type="gram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  <w:proofErr w:type="gramEnd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(54%)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(46%)</w:t>
            </w:r>
          </w:p>
        </w:tc>
      </w:tr>
      <w:tr w:rsidR="00253345" w:rsidRPr="00253345" w:rsidTr="00772DD5">
        <w:trPr>
          <w:trHeight w:val="310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VEGF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(46%)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(15%)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(31%)</w:t>
            </w:r>
          </w:p>
        </w:tc>
      </w:tr>
      <w:tr w:rsidR="00253345" w:rsidRPr="00253345" w:rsidTr="00772DD5">
        <w:trPr>
          <w:trHeight w:val="309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(54%)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(31%)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(42%)</w:t>
            </w:r>
          </w:p>
        </w:tc>
      </w:tr>
      <w:tr w:rsidR="00253345" w:rsidRPr="00253345" w:rsidTr="00772DD5">
        <w:trPr>
          <w:trHeight w:val="283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(0%)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(54%)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(27%)</w:t>
            </w:r>
          </w:p>
        </w:tc>
      </w:tr>
      <w:tr w:rsidR="00253345" w:rsidRPr="00253345" w:rsidTr="00772DD5">
        <w:trPr>
          <w:trHeight w:val="331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C-kit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(60%)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(20%)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(40%)</w:t>
            </w:r>
          </w:p>
        </w:tc>
      </w:tr>
      <w:tr w:rsidR="00253345" w:rsidRPr="00253345" w:rsidTr="00772DD5">
        <w:trPr>
          <w:trHeight w:val="323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(30%)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(80%)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(55%)</w:t>
            </w:r>
          </w:p>
        </w:tc>
      </w:tr>
      <w:tr w:rsidR="00253345" w:rsidRPr="00253345" w:rsidTr="00772DD5">
        <w:trPr>
          <w:trHeight w:val="283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(10%)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(0%)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(5%)</w:t>
            </w:r>
          </w:p>
        </w:tc>
      </w:tr>
      <w:tr w:rsidR="00253345" w:rsidRPr="00253345" w:rsidTr="00772DD5">
        <w:trPr>
          <w:trHeight w:val="303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β-тубулин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13/13)  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(8%)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(15%)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(12%)</w:t>
            </w:r>
          </w:p>
        </w:tc>
      </w:tr>
      <w:tr w:rsidR="00253345" w:rsidRPr="00253345" w:rsidTr="00772DD5">
        <w:trPr>
          <w:trHeight w:val="296"/>
        </w:trPr>
        <w:tc>
          <w:tcPr>
            <w:tcW w:w="1563" w:type="dxa"/>
            <w:vMerge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(38%)</w:t>
            </w:r>
          </w:p>
        </w:tc>
        <w:tc>
          <w:tcPr>
            <w:tcW w:w="1981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(%)</w:t>
            </w:r>
          </w:p>
        </w:tc>
        <w:tc>
          <w:tcPr>
            <w:tcW w:w="1666" w:type="dxa"/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(19%)</w:t>
            </w:r>
          </w:p>
        </w:tc>
      </w:tr>
      <w:tr w:rsidR="00253345" w:rsidRPr="00253345" w:rsidTr="00772DD5">
        <w:trPr>
          <w:trHeight w:val="310"/>
        </w:trPr>
        <w:tc>
          <w:tcPr>
            <w:tcW w:w="15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(54%)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(85%)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 (69%)</w:t>
            </w:r>
          </w:p>
        </w:tc>
      </w:tr>
      <w:tr w:rsidR="00253345" w:rsidRPr="00253345" w:rsidTr="00772DD5">
        <w:trPr>
          <w:trHeight w:val="317"/>
        </w:trPr>
        <w:tc>
          <w:tcPr>
            <w:tcW w:w="156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IDH1/2</w:t>
            </w:r>
          </w:p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(n=9/8)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мутация</w:t>
            </w:r>
            <w:proofErr w:type="spellEnd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(33%)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(38%)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(35%)</w:t>
            </w:r>
          </w:p>
        </w:tc>
      </w:tr>
      <w:tr w:rsidR="00253345" w:rsidRPr="00253345" w:rsidTr="00772DD5">
        <w:trPr>
          <w:trHeight w:val="295"/>
        </w:trPr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мутация</w:t>
            </w:r>
            <w:proofErr w:type="gramStart"/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(67%)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(62%)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(65%)</w:t>
            </w:r>
          </w:p>
        </w:tc>
      </w:tr>
      <w:tr w:rsidR="00253345" w:rsidRPr="00253345" w:rsidTr="00772DD5">
        <w:trPr>
          <w:trHeight w:val="282"/>
        </w:trPr>
        <w:tc>
          <w:tcPr>
            <w:tcW w:w="156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3345" w:rsidRPr="00253345" w:rsidTr="00772DD5">
        <w:trPr>
          <w:trHeight w:val="254"/>
        </w:trPr>
        <w:tc>
          <w:tcPr>
            <w:tcW w:w="15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ко-делеция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1p19q (n=7/5)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253345" w:rsidRPr="00253345" w:rsidTr="00772DD5">
        <w:trPr>
          <w:trHeight w:val="254"/>
        </w:trPr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</w:tr>
      <w:tr w:rsidR="00253345" w:rsidRPr="00253345" w:rsidTr="00772DD5">
        <w:trPr>
          <w:trHeight w:val="254"/>
        </w:trPr>
        <w:tc>
          <w:tcPr>
            <w:tcW w:w="156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23599F" w:rsidRPr="00253345" w:rsidRDefault="0023599F" w:rsidP="002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3599F" w:rsidRPr="00253345" w:rsidRDefault="0023599F" w:rsidP="002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генов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PDGFR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-α и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тубулин в обеих группах и гена VEGF в группе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уровни экспрессии генов были низкими/средними. Частота встречаемости мутаций в генах IDH 1/2 определялась у 17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6 случаях была выявлена мутация в гене IDH1 (R132H), что составило 35% у всех пациентов. При этом частота присутствия данной мутации в обеих группах (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была практически равной –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33%, 3/9 и 38%, 3/8 соответственно. </w:t>
      </w:r>
      <w:r w:rsidR="0073394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Сочетанная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делеция 1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у 7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5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 в одном из 12 случаев она не была выявлена (табл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065A10" w:rsidP="000F2733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</w:pPr>
      <w:bookmarkStart w:id="22" w:name="_Toc41316329"/>
      <w:r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 xml:space="preserve">3.1 </w:t>
      </w:r>
      <w:r w:rsidR="0023599F"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 xml:space="preserve">Влияние молекулярно-генетических аберраций и морфологических характеристик на безрецидивную и </w:t>
      </w:r>
      <w:proofErr w:type="gramStart"/>
      <w:r w:rsidR="0023599F"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>общую</w:t>
      </w:r>
      <w:proofErr w:type="gramEnd"/>
      <w:r w:rsidR="0023599F"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 xml:space="preserve"> </w:t>
      </w:r>
      <w:r w:rsidR="000F2733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>продолжитетельность жизни</w:t>
      </w:r>
      <w:bookmarkEnd w:id="22"/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Мутация в гене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была выявлена в 35 % (6/17)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случая –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(3/9, 33 %) и 3 случая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(3/8, 38 %). Медиана БПЖ и ОПЖ была выше в случае присутствия данного повреждения в опухоли, однако статистически значимого влияния не наблюдалось как в общей группе (p=0,61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=0,45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оответственно), так и отдельно для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=0,47; для ОПЖ не достигнут 50 % порог выживаемости)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(р=0,91 и р=0,59 соответственно) (рис. 1).</w:t>
      </w:r>
    </w:p>
    <w:p w:rsidR="0023599F" w:rsidRPr="00253345" w:rsidRDefault="0023599F" w:rsidP="00772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D597B" wp14:editId="3A1E8E63">
            <wp:extent cx="3780584" cy="3585519"/>
            <wp:effectExtent l="0" t="0" r="0" b="0"/>
            <wp:docPr id="1" name="Рисунок 1" descr="/Users/zoldarx/01_nb_idh1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oldarx/01_nb_idh1_brp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96" cy="35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9F" w:rsidRPr="00253345" w:rsidRDefault="0023599F" w:rsidP="00772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 Безрецидивная продолжительность жизни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наличия мутации в гене IDH1.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Медиана БПЖ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мутации в гене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132H) составила 156 нед., что оказалось вдвое выше по сравнению с группой больных, в опухоли которых мутаций обнаружено не было – 74 недели. Влияние данного генетического повреждения на ОПЖ в этой группе пока выяснить не удалось,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50% порог выживаемости. Медианы БПЖ и ОПЖ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при наличии мутации в гене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1(R132H) 78 и 102 нед. соответственно, по сравнению с больными, в опухоли которых мутаций обнаружено не было – 26 и 55 нед. соответственно. Отсутствие статистической достоверности при значимых различиях в медианах выживаемости можно объяснить недостаточным числом больных с мутацией в гене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IDH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1(R132H) в обеих группах.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прогностической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влияния уровней экспрессии генов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медиану БПЖ и ОПЖ были получены следующие результаты. На всей выборке больных (31) статистически значимое влияние на первый БРП оказал ген VEGF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=0,006), и был близок к статистически значимым различиям ген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ERCC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=0,059), а на ОПЖ оказали влияние три гена: 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ERCC</w:t>
      </w:r>
      <w:r w:rsidR="006C732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,03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MGMT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=0,029)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=0,002). Другие гены на </w:t>
      </w:r>
      <w:r w:rsidR="0073394E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БПЖ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ОПЖ влияния не оказали. В связи с тем, что в группе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больных была цензурирована, проследить влияние уровней экспрессии генов на показатели выживаемости не представилось возможным, в отличие от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группе, из всех изучаемых генов, было выявлено статистически значимое влияние экспрессии гена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БРП и ОПЖ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=0,034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=0,031 соответственно). Стабильным влиянием на выживаемость, как в общей группе, так и в группе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обладал только ген VEGF, причем медиана ОПЖ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отличалась при значениях </w:t>
      </w:r>
      <w:r w:rsidRPr="00253345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44"/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Ct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-1 и &gt;-1, и составила 44 и 140 недель соответственно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=0,014) (рис. 2).</w:t>
      </w:r>
    </w:p>
    <w:p w:rsidR="0023599F" w:rsidRPr="00253345" w:rsidRDefault="0023599F" w:rsidP="004E30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423E6B" wp14:editId="60614E2F">
            <wp:extent cx="3733800" cy="3392651"/>
            <wp:effectExtent l="0" t="0" r="0" b="0"/>
            <wp:docPr id="2" name="Рисунок 2" descr="/Users/zoldarx/02_nb_VEGF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zoldarx/02_nb_VEGF_ov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72" cy="33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Рисунок 2. Общая продолжительность жизни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экспрессии гена VEGF.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морфологических критериев оценки неоангиогенеза была установлена связь между пролиферацией сосудов и экспрессией гена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всех больных с эмбриональными опухолями ЦНС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=0,0008</w:t>
      </w:r>
      <w:r w:rsidRPr="002533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wilcox.test) (рис. 3). 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23599F" w:rsidP="00CE0D08">
      <w:pPr>
        <w:spacing w:line="36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34AF8F3B" wp14:editId="4E169D4E">
            <wp:extent cx="3209925" cy="3209925"/>
            <wp:effectExtent l="0" t="0" r="9525" b="9525"/>
            <wp:docPr id="3" name="Рисунок 3" descr="/Users/zoldarx/03_VEGF_boxpl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Users/zoldarx/03_VEGF_boxplot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Рисунок 3. Графики зависимости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гена VEGF от наличия пролиферации сосудов у больных с эмбриональными опухолями ЦНС. </w:t>
      </w:r>
      <w:r w:rsidR="00CE0D08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– нет пролиферации сосудов, справа – умеренная или выраженная пролиферация сосудов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разделении пациентов по уровню экспрессии гена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44"/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Ct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&lt;1,8 и &gt;1,8 (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высокий+средний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низкий) наблюдалась связь низкой экспрессии с отсутствием пролиферации сосудов (p=0,0013,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fisher.test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отсутствием пролиферации эндотелия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=0,01,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fisher.test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опухоли на всем массиве данных, при отсутствии подобной зависимости в группе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(p=0,09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=0,3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fisher.test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28,6% случаев (8/28) по данным МРТ опухоль не накапливала контрастное вещество, или оно было слабым (42,8%, 12/28), и лишь в 28,6% (8/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контраста было активным (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Распределение в обеих группах было примерно одинаковым. Данный феномен был связан с уровнем экспрессии гена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VEGF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Низкий уровень экспрессии данного гена соответствовал или отсутствию накопления контрастного вещества опухолью, или его слабому накоплению как среди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всех пациентов с эмбриональными опухолями ЦНС (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=0,04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=0,008 соответственно, wilcox.test). При этом связи накопления контрастного вещества опухолью с пролиферацией сосудов и эндотелия выявить не удалось (p=0,13 и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=0,18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fisher.test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065A10" w:rsidP="000F2733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</w:pPr>
      <w:bookmarkStart w:id="23" w:name="_Toc41316330"/>
      <w:r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 xml:space="preserve">3.2 </w:t>
      </w:r>
      <w:r w:rsidR="0023599F" w:rsidRPr="00253345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 xml:space="preserve">Влияние клинических параметров и проводимого лечения (ЛТ и ХТ) на безрецидивную и общую </w:t>
      </w:r>
      <w:r w:rsidR="000F2733">
        <w:rPr>
          <w:rFonts w:ascii="Times New Roman" w:eastAsia="Times New Roman" w:hAnsi="Times New Roman" w:cs="Times New Roman"/>
          <w:b w:val="0"/>
          <w:caps/>
          <w:color w:val="auto"/>
          <w:sz w:val="28"/>
          <w:lang w:eastAsia="ru-RU"/>
        </w:rPr>
        <w:t>продолжительность жизни</w:t>
      </w:r>
      <w:bookmarkEnd w:id="23"/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</w:t>
      </w:r>
      <w:r w:rsidR="00965670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оказавшим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выживаемость</w:t>
      </w:r>
      <w:r w:rsidR="00965670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гистологический диагноз. Безрецидивная и общая выживаемость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выше, чем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=0,022 и р=0,00045 соответственно)</w:t>
      </w:r>
      <w:r w:rsidRPr="0025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4 а, б).</w:t>
      </w:r>
    </w:p>
    <w:p w:rsidR="0023599F" w:rsidRPr="00253345" w:rsidRDefault="0023599F" w:rsidP="00DC181A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lastRenderedPageBreak/>
        <w:drawing>
          <wp:inline distT="0" distB="0" distL="0" distR="0" wp14:anchorId="23741BE0" wp14:editId="385E1F2A">
            <wp:extent cx="2803525" cy="2648585"/>
            <wp:effectExtent l="0" t="0" r="0" b="0"/>
            <wp:docPr id="4" name="Рисунок 4" descr="/Users/zoldarx/04_diagnos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zoldarx/04_diagnos_brp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29888A88" wp14:editId="76373D79">
            <wp:extent cx="2708910" cy="2673985"/>
            <wp:effectExtent l="0" t="0" r="8890" b="0"/>
            <wp:docPr id="5" name="Рисунок 5" descr="/Users/zoldarx/05_diagnos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zoldarx/05_diagnos_ov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                                                                б</w:t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4. Продолжительность жизни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="00DC181A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– безрецидивная, б – общая</w:t>
      </w:r>
    </w:p>
    <w:p w:rsidR="0023599F" w:rsidRPr="00253345" w:rsidRDefault="0023599F" w:rsidP="00DC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Медиана БПЖ в группах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156 и 46 нед., а медиана ОПЖ – 541 и 82 нед. </w:t>
      </w:r>
      <w:r w:rsidR="00DC181A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23599F" w:rsidRPr="00253345" w:rsidRDefault="0023599F" w:rsidP="0023599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обеих группах на медиану БПЖ и ОПЖ со статистической достоверностью оказывала влияние изначальная локализация опухоли с более благоприятным течением заболевания при поражении полушарий головного мозга без вовлечения в процесс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медиобазальных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(рис. 5 а, б).  </w:t>
      </w:r>
    </w:p>
    <w:p w:rsidR="0023599F" w:rsidRPr="00253345" w:rsidRDefault="0023599F" w:rsidP="0023599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23C12305" wp14:editId="436935C2">
            <wp:extent cx="2743200" cy="2743200"/>
            <wp:effectExtent l="0" t="0" r="0" b="0"/>
            <wp:docPr id="6" name="Рисунок 6" descr="/Users/zoldarx/06a_nb_local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zoldarx/06a_nb_local_brp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54AA6A08" wp14:editId="28B29617">
            <wp:extent cx="3053715" cy="2717165"/>
            <wp:effectExtent l="0" t="0" r="0" b="635"/>
            <wp:docPr id="7" name="Рисунок 7" descr="/Users/zoldarx/06b_gnb_local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/Users/zoldarx/06b_gnb_local_brp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                                                                б</w:t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5. Безрецидивная продолжительность жизни</w:t>
      </w:r>
      <w:r w:rsidRPr="00253345">
        <w:rPr>
          <w:rFonts w:ascii="Cambria" w:eastAsia="Times New Roman" w:hAnsi="Cambria" w:cs="Times New Roman"/>
          <w:szCs w:val="20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локализации опухоли</w:t>
      </w:r>
      <w:r w:rsidR="00CA4D09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 –</w:t>
      </w:r>
      <w:r w:rsidR="005A4AB2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Медиана БПЖ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поражении полушарий головного мозга без вовлечения в процесс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медиобазальных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мозга по сравнению с более распространенным процессом составили 220 и 60 недель соответственно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=0,021), а в группе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76,5 и 23,5 недель соответственно (р=0,004).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Медиана ОПЖ у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поражении полушарий головного мозга без вовлечения в процесс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медиобазальных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мозга составила 139 нед., по сравнению с распространением опухоли в глубокие отделы – 43,5 недель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=0,0031). Медиана ОПЖ в группе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поражения базальных отделов пока не достигнута, а в случае распространения на базальные отделы составила 541 нед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=0,042) (рис. 6 а, б).</w:t>
      </w:r>
    </w:p>
    <w:p w:rsidR="0023599F" w:rsidRPr="00253345" w:rsidRDefault="0023599F" w:rsidP="0023599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581F1796" wp14:editId="3BD8A97D">
            <wp:extent cx="2950210" cy="2950210"/>
            <wp:effectExtent l="0" t="0" r="0" b="0"/>
            <wp:docPr id="8" name="Рисунок 8" descr="/Users/zoldarx/07a_nb_local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Users/zoldarx/07a_nb_local_ov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2C5EB424" wp14:editId="4831A072">
            <wp:extent cx="2924175" cy="2924175"/>
            <wp:effectExtent l="0" t="0" r="0" b="0"/>
            <wp:docPr id="9" name="Рисунок 9" descr="/Users/zoldarx/07b_gnb_local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Users/zoldarx/07b_gnb_local_ov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                 б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6. Общая продолжительность жизни в зависимости от локализации опухоли</w:t>
      </w:r>
      <w:r w:rsidR="00CA4D09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 –</w:t>
      </w:r>
      <w:r w:rsidR="005A4AB2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изучено влияние степени циторедукции на БПЖ и ОПЖ. Тотальное удаление опухоли было проведено у 7 пациентов из обеих групп (23%, 7/31), субтотальное – также у 7 (23%, 7/31), частичное – у 11 больных (35%, 11/31) и биопсия – в 6 случаях (19%, 6/31) (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разных видов циторедукции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(тотальное vs субтотальное удаление; тотальное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частичное; тотальное+субтотальное+частичное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биопсия) статистически значимых различий в БПЖ получено не было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=0,16; р=0,21; p=0,46 и p=0,31 соответственно). Однако медиана БПЖ при циторедукции более чем 50%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тотальное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+субтотальное+частичное) по сравнению с биопсией оказалась выше и составила 217 против 60 нед. (рис. 7).</w:t>
      </w:r>
    </w:p>
    <w:p w:rsidR="0023599F" w:rsidRPr="001F5BCD" w:rsidRDefault="0023599F" w:rsidP="001F5BCD">
      <w:pPr>
        <w:spacing w:line="360" w:lineRule="auto"/>
        <w:jc w:val="center"/>
        <w:rPr>
          <w:rFonts w:ascii="Cambria" w:eastAsia="Times New Roman" w:hAnsi="Cambria" w:cs="Times New Roman"/>
          <w:szCs w:val="20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1335067A" wp14:editId="74463555">
            <wp:extent cx="3781982" cy="3516906"/>
            <wp:effectExtent l="0" t="0" r="9525" b="7620"/>
            <wp:docPr id="10" name="Рисунок 10" descr="/Users/zoldarx/13_nb_citored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/Users/zoldarx/13_nb_citored_brp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90" cy="35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7. Безрецидивная продолжительность жизни в зависимости от степени циторедукции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значимые различия для ОПЖ в группе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при удалении опухоли более, чем 50% (тотальное+субтотальное+частичное) с медианой ОПЖ 541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=0,042) по сравнению с биопсией (рис. 8).</w:t>
      </w:r>
    </w:p>
    <w:p w:rsidR="0023599F" w:rsidRPr="00253345" w:rsidRDefault="0023599F" w:rsidP="001F5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3CA583" wp14:editId="32A68528">
            <wp:extent cx="3797711" cy="3467100"/>
            <wp:effectExtent l="0" t="0" r="0" b="0"/>
            <wp:docPr id="11" name="Рисунок 11" descr="/Users/zoldarx/14_nb_citored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/Users/zoldarx/14_nb_citored_ov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17" cy="34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Рисунок 8. Общая продолжительность жизни в зависимости от степени циторедукции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="001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 значимые различия в БПЖ были получены при тотальном удалении по сравнению с субтотальным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=0,014) (рис. 9). </w:t>
      </w:r>
    </w:p>
    <w:p w:rsidR="0023599F" w:rsidRPr="00253345" w:rsidRDefault="0023599F" w:rsidP="005A4A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77F7A503" wp14:editId="7282656A">
            <wp:extent cx="3460960" cy="3076575"/>
            <wp:effectExtent l="0" t="0" r="6350" b="0"/>
            <wp:docPr id="12" name="Рисунок 12" descr="/Users/zoldarx/15_gnb_citored_b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zoldarx/15_gnb_citored_brp.pd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00" cy="30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9. Безрецидивная продолжительность жизни</w:t>
      </w:r>
      <w:r w:rsidRPr="00253345">
        <w:rPr>
          <w:rFonts w:ascii="Cambria" w:eastAsia="Times New Roman" w:hAnsi="Cambria" w:cs="Times New Roman"/>
          <w:szCs w:val="20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степени циторедукции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Медиана БПЖ при тотальном удалении по сравнению с субтотальным составила 87 нед. vs 40 недель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=0,014), при частичной циторедукции – 52 недель. С биопсией был только один случай. Влияние тотального удаления опухоли на ОПЖ по сравнению с субтотальным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сохранилась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=0,017) (рис. 10).</w:t>
      </w:r>
    </w:p>
    <w:p w:rsidR="0023599F" w:rsidRPr="001F5BCD" w:rsidRDefault="0023599F" w:rsidP="001F5B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Cambria" w:eastAsia="Times New Roman" w:hAnsi="Cambria" w:cs="Times New Roman"/>
          <w:noProof/>
          <w:szCs w:val="20"/>
          <w:lang w:eastAsia="ru-RU"/>
        </w:rPr>
        <w:drawing>
          <wp:inline distT="0" distB="0" distL="0" distR="0" wp14:anchorId="3E8712B3" wp14:editId="5EE543FA">
            <wp:extent cx="3667125" cy="3387215"/>
            <wp:effectExtent l="0" t="0" r="0" b="3810"/>
            <wp:docPr id="13" name="Рисунок 13" descr="/Users/zoldarx/16_gnb_citored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zoldarx/16_gnb_citored_ov.pd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61" cy="33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Cambria" w:eastAsia="Times New Roman" w:hAnsi="Cambria" w:cs="Times New Roman"/>
          <w:szCs w:val="20"/>
          <w:lang w:eastAsia="ru-RU"/>
        </w:rPr>
        <w:br/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10. Общая продолжительность жизни в зависимости от степени циторедукции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="001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 ОПЖ при тотальном удалении по сравнению с субтотальным составила 178 vs 55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=0,017), при частичной циторедукции – 82 недель.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терапия/радиохирургия в первой линии проводилась в 97% случаев (30/31) (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В основном это была ЛТ (чаще без сопутствующего приема темозоломида) на область ложа уделенной опухоли. Краниоспинальное облучение было выполнено лишь в 13% случаев (4/31). Оценить влияние ЛТ/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радиохирургии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показатели выживаемости и сравнить их с медианами БПЖ и ОПЖ без проведения данного метода лечения не представляется возможным, поскольку только один больной (с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получал ЛТ/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радиохирургию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линии с БПЖ и ОПЖ 16 и 44 нед. соответственно. При сравнении разных методик статистически значимого 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какого-либо метода перед другими получено не было ни для БПЖ, ни для ОПЖ в обеих группах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&gt;0,05). Однако,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медиана БПЖ при проведении ЛТ на область ложа уделенной опухоли (с/без темозоломида) составила 156 нед. по сравнению с краниоспинальным облучением – 60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=0,97). В группе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медиана БПЖ оказалась выше при проведении краниоспинального облучения по сравнению с ЛТ на область удаленной опухоли – 69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нед., хотя статистически значимых различий получено не было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=0,94).</w:t>
      </w:r>
    </w:p>
    <w:p w:rsidR="0023599F" w:rsidRPr="00253345" w:rsidRDefault="0023599F" w:rsidP="00235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Изучить влияние ЛТ/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радиохирургии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ОПЖ удалось только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Медиана ОПЖ при проведении ЛТ на область ложа уделенной опухоли (с/без темозоломида) составила 68,5 нед. по сравнению с ОПЖ при краниоспинальном облучении – 95,5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=0,83). Оценить роль ЛТ/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радиохирургии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затруднительно,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50% порог выживаемости. </w:t>
      </w:r>
    </w:p>
    <w:p w:rsidR="0023599F" w:rsidRPr="00253345" w:rsidRDefault="0023599F" w:rsidP="00235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пациентов обеих групп (22/30, 73%) получали 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различную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 в первой линии (</w:t>
      </w:r>
      <w:r w:rsidR="00772DD5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При сравнении эффективности разных схем ХТ, которые получали пациенты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линии терапии, статистически значимого преимущества какой-то из них получено не было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&gt;0,05).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медиана БПЖ при проведении ХТ темозоломидом от 6 до 15 циклов составила 146 нед., при терапии по схеме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цисплатин+этопозид+эндоксан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 нед., при терапии по схеме цисплатин/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карбоплатин+этопозид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110 нед., а при терапии по схемам PCV/CV или </w:t>
      </w:r>
      <w:proofErr w:type="spell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винкристин+доксорубицин+эндоксан</w:t>
      </w:r>
      <w:proofErr w:type="spell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156 недель. В группе пациентов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статистическая достоверность наблюдалась только при терапии темозоломидом 6 циклов, где медиана БПЖ составила 240 нед. по сравнению с другими химиотерапевтическими режимами – 46,5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=0,026) (рис. 11). </w:t>
      </w:r>
    </w:p>
    <w:p w:rsidR="0023599F" w:rsidRPr="00253345" w:rsidRDefault="0023599F" w:rsidP="001F5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E28136" wp14:editId="3A83B834">
            <wp:extent cx="3428745" cy="3219450"/>
            <wp:effectExtent l="0" t="0" r="635" b="0"/>
            <wp:docPr id="14" name="Рисунок 14" descr="/Users/zoldarx/17_gnb_cemoth_br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zoldarx/17_gnb_cemoth_brv.pd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4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Рисунок 11. Безрецидивная продолжительность жизни в зависимости от схемы ХТ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="001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Оценить влияние ХТ на ОПЖ удалось только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группе больных сохранилось статистически значимое влияние только ХТ темозоломидом (6 циклов), где медиана ОПЖ пока не достигнута и составляет более 386 нед. по сравнению с иной химиотерапевтической тактикой – 68,5 нед. (</w:t>
      </w:r>
      <w:proofErr w:type="gramStart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=0,025) (рис. 12).</w:t>
      </w:r>
    </w:p>
    <w:p w:rsidR="0023599F" w:rsidRPr="00253345" w:rsidRDefault="0023599F" w:rsidP="00235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5A387" wp14:editId="2BFF643C">
            <wp:extent cx="3740926" cy="3333750"/>
            <wp:effectExtent l="0" t="0" r="0" b="0"/>
            <wp:docPr id="15" name="Рисунок 15" descr="/Users/zoldarx/18_gnb_cemoth_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/Users/zoldarx/18_gnb_cemoth_ov.pd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26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9F" w:rsidRPr="00253345" w:rsidRDefault="0023599F" w:rsidP="001F5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Рисунок 12. Общая продолжительность жизни в зависимости от схемы ХТ у больных с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ГНБ-ЦНС</w:t>
      </w:r>
      <w:r w:rsidR="001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9F" w:rsidRPr="00253345" w:rsidRDefault="0023599F" w:rsidP="00235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Оценить роль ХТ в группе </w:t>
      </w:r>
      <w:r w:rsidR="00C03F54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НБ-ЦНС</w:t>
      </w:r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не представляется возможным, </w:t>
      </w:r>
      <w:r w:rsidR="00CA4D09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="00CA4D09"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50% порог выживаемости.</w:t>
      </w:r>
    </w:p>
    <w:p w:rsidR="0023599F" w:rsidRPr="00253345" w:rsidRDefault="0023599F" w:rsidP="0023599F"/>
    <w:p w:rsidR="0023599F" w:rsidRDefault="0023599F" w:rsidP="008A0578">
      <w:pPr>
        <w:pStyle w:val="1"/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23599F" w:rsidRDefault="0023599F" w:rsidP="0023599F"/>
    <w:p w:rsidR="00DC1716" w:rsidRPr="002D0538" w:rsidRDefault="00FC4D00" w:rsidP="00FC4D00">
      <w:pPr>
        <w:pStyle w:val="1"/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bookmarkStart w:id="24" w:name="_Toc41316331"/>
      <w:r w:rsidRPr="002D0538">
        <w:rPr>
          <w:rFonts w:ascii="Times New Roman" w:hAnsi="Times New Roman" w:cs="Times New Roman"/>
          <w:caps/>
          <w:color w:val="auto"/>
        </w:rPr>
        <w:lastRenderedPageBreak/>
        <w:t>Заключение</w:t>
      </w:r>
      <w:bookmarkEnd w:id="24"/>
    </w:p>
    <w:p w:rsidR="00F23429" w:rsidRPr="00F23429" w:rsidRDefault="00F23429" w:rsidP="00F234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исследование был включен 31 пациент с супратенториальными эмбриональными опухолями в возрасте 18 лет и старше с разделением на две группы в зависимости от гистологического диагноза – НБ-ЦНС и ГНБ-ЦНС. Были определены уров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ни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экспресси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генов TP, MGMT, ERCC1, PDGFR-α, VEGF, </w:t>
      </w:r>
      <w:proofErr w:type="gramStart"/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</w:t>
      </w:r>
      <w:proofErr w:type="gramEnd"/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-kit, β-тубулина,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а также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наличие мутации в генах IDH1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 </w:t>
      </w:r>
      <w:r w:rsidR="001F5BCD" w:rsidRP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IDH2 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ко-делеции 1p19q. </w:t>
      </w:r>
    </w:p>
    <w:p w:rsidR="00F23429" w:rsidRDefault="00F23429" w:rsidP="00F234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исследовании был проведён анализ зависимости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показателей продолжительности жизни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(общей и безрецидивной)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проведенного лечения, 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экспресси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 вышеуказанных 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генов, наличи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я</w:t>
      </w:r>
      <w:r w:rsidRPr="00F234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мутации в генах IDH1/2 и ко-делеции 1p19q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2D0538" w:rsidRPr="002D0538"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НБ-ЦНС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экспрессия большинства генов чаще всего была низкой или средней. Высокий уровень экспрессии наблюдался только в гене βIII-тубулин 54% (7/13), в отличие от ЦНС-ГНБ, в которых преимущественно высокие уровни экспрессии выявлялись сразу в трех генах: PDGFR-α (54%, 7/13), VEGF (54%, 7/13) и βIII-тубулин (85%, 11/13).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Статистически значимое влияние на безрецидивный интервал у больных с эмбриональными опухолями ЦНС оказал ген VEGF (p=0,006), и был близок к статистически значимым различиям ген ERCC1 (p=0,059), на общую продолжительность жизни оказали влияние три гена: ERCC1 (p=0,03), MGMT (p=0,029) и VEGF (p=0,002).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Другие гены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TP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βIII-тубулин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PDGFR-α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proofErr w:type="gramStart"/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</w:t>
      </w:r>
      <w:proofErr w:type="gramEnd"/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-kit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БПЖ и ОПЖ влияния не оказали</w:t>
      </w:r>
      <w:r w:rsid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Частота встречаемости мутаций в генах </w:t>
      </w:r>
      <w:r w:rsidR="001F5BCD" w:rsidRP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IDH1и IDH2 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определялась у 17 больных с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НБ-ЦНС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 ЦНС-ГНБ. В 6 случаях была выявлена мутация в гене IDH1 (R132H), что составило 35% среди всех пациентов. Медианы БПЖ и ОПЖ в группе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ГНБ-ЦНС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были выше в 1,5–2 раза, если в опухоли была мутация; в группе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НБ-ЦНС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имеются данные только по БПЖ, которая была вдвое лучше у больных с мутацией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гене</w:t>
      </w:r>
      <w:r w:rsidR="002D0538" w:rsidRPr="002D05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IDH1 (156 vs 74 нед.). Отсутствие статистической достоверности при значимых различиях в медианах выживаемости можно объяснить недостаточным числом больных с мутацией в обеих группах.</w:t>
      </w:r>
    </w:p>
    <w:p w:rsidR="001F5BCD" w:rsidRDefault="00F279EF" w:rsidP="00AF1D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При анализе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немногочисленных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публикаций, в которых затрагивалось лечение эмбриональных опухолей ЦНС, был 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факт, что един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тактик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введени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пациентов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отсутствует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и 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назначение терапии оставалось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 усмотрение врача. 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нашем исследовании у 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пациентов с ГНБ</w:t>
      </w:r>
      <w:r w:rsid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-ЦНС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при проведении в первой линии ХТ темозол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мидом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(в отличи</w:t>
      </w:r>
      <w:proofErr w:type="gramStart"/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proofErr w:type="gramEnd"/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назначения иной ХТ)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удалось получить статистически достоверные </w:t>
      </w:r>
      <w:r w:rsidR="001F5BC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различия</w:t>
      </w:r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(БПЖ – р=0,026, ОПЖ – р=0,025).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Оценка роли ХТ в группе пациентов с НБ-ЦНС в данный момент невозможно, так </w:t>
      </w:r>
      <w:proofErr w:type="gramStart"/>
      <w:r w:rsid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как</w:t>
      </w:r>
      <w:proofErr w:type="gramEnd"/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не достигнут 50% порог выживаемости. Однако медиана БПЖ была выше при терапии темозоломидом от 6 до 15 циклов и при проведении </w:t>
      </w:r>
      <w:proofErr w:type="spellStart"/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полихимиотерапии</w:t>
      </w:r>
      <w:proofErr w:type="spellEnd"/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по схемам PCV/CV или </w:t>
      </w:r>
      <w:proofErr w:type="spellStart"/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винкристин+доксорубицин+эндоксан</w:t>
      </w:r>
      <w:proofErr w:type="spellEnd"/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</w:p>
    <w:p w:rsidR="001F5BCD" w:rsidRDefault="00F279EF" w:rsidP="00AF1D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рамках данного исследования больные получали краниоспинальное облучение 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только </w:t>
      </w:r>
      <w:r w:rsidR="00990C3E" w:rsidRP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12,9% (4/31),</w:t>
      </w:r>
      <w:r w:rsidR="00990C3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что </w:t>
      </w:r>
      <w:r w:rsid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можно отнести к низкому показателю, учитывая склонность эмбриональных опухолей ЦНС </w:t>
      </w:r>
      <w:r w:rsidR="00DE60D6" w:rsidRP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 метастазированию по ликворопроводящим путям, особенно в группе ЦНС-ГНБ.</w:t>
      </w:r>
      <w:r w:rsidR="00DE6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DE60D6">
        <w:rPr>
          <w:rFonts w:ascii="Times New Roman" w:hAnsi="Times New Roman" w:cs="Times New Roman"/>
          <w:sz w:val="28"/>
          <w:szCs w:val="28"/>
        </w:rPr>
        <w:t>Более высокие</w:t>
      </w:r>
      <w:r w:rsidR="00FC4D00" w:rsidRPr="00FC4D00">
        <w:rPr>
          <w:rFonts w:ascii="Times New Roman" w:hAnsi="Times New Roman" w:cs="Times New Roman"/>
          <w:sz w:val="28"/>
          <w:szCs w:val="28"/>
        </w:rPr>
        <w:t xml:space="preserve"> показатели БПЖ и ОПЖ в группе ЦНС-ГНБ, </w:t>
      </w:r>
      <w:r w:rsidR="00DE60D6">
        <w:rPr>
          <w:rFonts w:ascii="Times New Roman" w:hAnsi="Times New Roman" w:cs="Times New Roman"/>
          <w:sz w:val="28"/>
          <w:szCs w:val="28"/>
        </w:rPr>
        <w:t>полученные</w:t>
      </w:r>
      <w:r w:rsidR="00FC4D00" w:rsidRPr="00FC4D00">
        <w:rPr>
          <w:rFonts w:ascii="Times New Roman" w:hAnsi="Times New Roman" w:cs="Times New Roman"/>
          <w:sz w:val="28"/>
          <w:szCs w:val="28"/>
        </w:rPr>
        <w:t xml:space="preserve"> при проведении краниоспинального облучения, представляются крайне важными с учетом указанной особенности </w:t>
      </w:r>
      <w:r w:rsidR="001F5BCD">
        <w:rPr>
          <w:rFonts w:ascii="Times New Roman" w:hAnsi="Times New Roman" w:cs="Times New Roman"/>
          <w:sz w:val="28"/>
          <w:szCs w:val="28"/>
        </w:rPr>
        <w:t>ганглионейробластом ЦНС</w:t>
      </w:r>
      <w:r w:rsidR="00FC4D00" w:rsidRPr="00FC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DA0" w:rsidRDefault="003978F5" w:rsidP="00AF1D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накопление контрастного вещества на МРТ, было обнаружено, </w:t>
      </w:r>
      <w:r w:rsidRPr="003978F5">
        <w:rPr>
          <w:rFonts w:ascii="Times New Roman" w:hAnsi="Times New Roman" w:cs="Times New Roman"/>
          <w:sz w:val="28"/>
          <w:szCs w:val="28"/>
        </w:rPr>
        <w:t>что в 71,4% случаев (20/28) опухоль копит контраст слабо или не копит совсем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других нейроэпителиальных опухолей с такой же степенью злокачественности (например, первичной глиобластомой). </w:t>
      </w:r>
      <w:r w:rsidR="00AF1DA0">
        <w:rPr>
          <w:rFonts w:ascii="Times New Roman" w:hAnsi="Times New Roman" w:cs="Times New Roman"/>
          <w:sz w:val="28"/>
          <w:szCs w:val="28"/>
        </w:rPr>
        <w:t xml:space="preserve">Поскольку сосудистый компонент, пролиферация сосудов и его эндотелия, в данной группе опухолей мог коррелировать с уровнем экспрессии уровня гена </w:t>
      </w:r>
      <w:r w:rsidR="00AF1DA0" w:rsidRPr="00AF1DA0">
        <w:rPr>
          <w:rFonts w:ascii="Times New Roman" w:hAnsi="Times New Roman" w:cs="Times New Roman"/>
          <w:sz w:val="28"/>
          <w:szCs w:val="28"/>
        </w:rPr>
        <w:t>VEGF</w:t>
      </w:r>
      <w:r w:rsidR="00AF1DA0">
        <w:rPr>
          <w:rFonts w:ascii="Times New Roman" w:hAnsi="Times New Roman" w:cs="Times New Roman"/>
          <w:sz w:val="28"/>
          <w:szCs w:val="28"/>
        </w:rPr>
        <w:t xml:space="preserve">, была проведена его оценка. </w:t>
      </w:r>
      <w:r w:rsidR="00FC4D00" w:rsidRPr="00FC4D00">
        <w:rPr>
          <w:rFonts w:ascii="Times New Roman" w:hAnsi="Times New Roman" w:cs="Times New Roman"/>
          <w:sz w:val="28"/>
          <w:szCs w:val="28"/>
        </w:rPr>
        <w:t xml:space="preserve">В результате была выявлена статистически значимая связь между низкой экспрессией гена VEGF и отсутствием пролиферации сосудов в опухоли, а также отсутствием пролиферации эндотелия в общей группе (p=0,0013 и p=0,01 соответственно). Кроме того, низкий уровень экспрессии гена VEGF соответствовал слабому накоплению контрастного вещества по данным МРТ или отсутствию </w:t>
      </w:r>
      <w:r w:rsidR="00FC4D00" w:rsidRPr="00FC4D00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контраста опухолью, как среди больных с ЦНС-ГНБ, так и для всех пациентов с эмбриональными опухолями ЦНС (p=0,04 и p=0,008 соответственно). </w:t>
      </w:r>
      <w:r w:rsidR="00AF1DA0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слабое накопление контраста или его отсутствие нельзя относить к </w:t>
      </w:r>
      <w:r w:rsidR="00AF1DA0" w:rsidRPr="00AF1DA0">
        <w:rPr>
          <w:rFonts w:ascii="Times New Roman" w:hAnsi="Times New Roman" w:cs="Times New Roman"/>
          <w:sz w:val="28"/>
          <w:szCs w:val="28"/>
        </w:rPr>
        <w:t>косвенн</w:t>
      </w:r>
      <w:r w:rsidR="00AF1DA0">
        <w:rPr>
          <w:rFonts w:ascii="Times New Roman" w:hAnsi="Times New Roman" w:cs="Times New Roman"/>
          <w:sz w:val="28"/>
          <w:szCs w:val="28"/>
        </w:rPr>
        <w:t>ому</w:t>
      </w:r>
      <w:r w:rsidR="00AF1DA0" w:rsidRPr="00AF1DA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AF1DA0">
        <w:rPr>
          <w:rFonts w:ascii="Times New Roman" w:hAnsi="Times New Roman" w:cs="Times New Roman"/>
          <w:sz w:val="28"/>
          <w:szCs w:val="28"/>
        </w:rPr>
        <w:t>у</w:t>
      </w:r>
      <w:r w:rsidR="00AF1DA0" w:rsidRPr="00AF1DA0">
        <w:rPr>
          <w:rFonts w:ascii="Times New Roman" w:hAnsi="Times New Roman" w:cs="Times New Roman"/>
          <w:sz w:val="28"/>
          <w:szCs w:val="28"/>
        </w:rPr>
        <w:t xml:space="preserve"> доброкачественности новообразования</w:t>
      </w:r>
      <w:r w:rsidR="00AF1DA0">
        <w:rPr>
          <w:rFonts w:ascii="Times New Roman" w:hAnsi="Times New Roman" w:cs="Times New Roman"/>
          <w:sz w:val="28"/>
          <w:szCs w:val="28"/>
        </w:rPr>
        <w:t xml:space="preserve">. </w:t>
      </w:r>
      <w:r w:rsidR="001F5BCD">
        <w:rPr>
          <w:rFonts w:ascii="Times New Roman" w:hAnsi="Times New Roman" w:cs="Times New Roman"/>
          <w:sz w:val="28"/>
          <w:szCs w:val="28"/>
        </w:rPr>
        <w:t>Согласно результатам нашей работы м</w:t>
      </w:r>
      <w:r w:rsidR="00D977BB">
        <w:rPr>
          <w:rFonts w:ascii="Times New Roman" w:hAnsi="Times New Roman" w:cs="Times New Roman"/>
          <w:sz w:val="28"/>
          <w:szCs w:val="28"/>
        </w:rPr>
        <w:t xml:space="preserve">ожно отметить более агрессивное течение </w:t>
      </w:r>
      <w:r w:rsidR="00D977BB" w:rsidRPr="00D977BB">
        <w:rPr>
          <w:rFonts w:ascii="Times New Roman" w:hAnsi="Times New Roman" w:cs="Times New Roman"/>
          <w:sz w:val="28"/>
          <w:szCs w:val="28"/>
        </w:rPr>
        <w:t>заболевания у пациентов с ГНБ</w:t>
      </w:r>
      <w:r w:rsidR="00D977BB">
        <w:rPr>
          <w:rFonts w:ascii="Times New Roman" w:hAnsi="Times New Roman" w:cs="Times New Roman"/>
          <w:sz w:val="28"/>
          <w:szCs w:val="28"/>
        </w:rPr>
        <w:t>-ЦНС</w:t>
      </w:r>
      <w:r w:rsidR="00D977BB" w:rsidRPr="00D977BB">
        <w:rPr>
          <w:rFonts w:ascii="Times New Roman" w:hAnsi="Times New Roman" w:cs="Times New Roman"/>
          <w:sz w:val="28"/>
          <w:szCs w:val="28"/>
        </w:rPr>
        <w:t xml:space="preserve"> по сравнению с НБ</w:t>
      </w:r>
      <w:r w:rsidR="00D977BB">
        <w:rPr>
          <w:rFonts w:ascii="Times New Roman" w:hAnsi="Times New Roman" w:cs="Times New Roman"/>
          <w:sz w:val="28"/>
          <w:szCs w:val="28"/>
        </w:rPr>
        <w:t xml:space="preserve">-ЦНС. У одной четверти </w:t>
      </w:r>
      <w:r w:rsidR="00D977BB" w:rsidRPr="00D977BB">
        <w:rPr>
          <w:rFonts w:ascii="Times New Roman" w:hAnsi="Times New Roman" w:cs="Times New Roman"/>
          <w:sz w:val="28"/>
          <w:szCs w:val="28"/>
        </w:rPr>
        <w:t>(25%)</w:t>
      </w:r>
      <w:r w:rsidR="00D977BB">
        <w:rPr>
          <w:rFonts w:ascii="Times New Roman" w:hAnsi="Times New Roman" w:cs="Times New Roman"/>
          <w:sz w:val="28"/>
          <w:szCs w:val="28"/>
        </w:rPr>
        <w:t xml:space="preserve"> больных с ГНБ-ЦНС </w:t>
      </w:r>
      <w:r w:rsidR="00D977BB" w:rsidRPr="00D977BB">
        <w:rPr>
          <w:rFonts w:ascii="Times New Roman" w:hAnsi="Times New Roman" w:cs="Times New Roman"/>
          <w:sz w:val="28"/>
          <w:szCs w:val="28"/>
        </w:rPr>
        <w:t xml:space="preserve">на момент первичной диагностики (МРТ с контрастом) было выявлено многоочаговое поражение головного мозга (4 vs 0) (табл. 1). Обращает на себя внимание и несколько  большая частота отсевов по ликворопроводящим путям в группе с </w:t>
      </w:r>
      <w:r w:rsidR="00310F2B">
        <w:rPr>
          <w:rFonts w:ascii="Times New Roman" w:hAnsi="Times New Roman" w:cs="Times New Roman"/>
          <w:sz w:val="28"/>
          <w:szCs w:val="28"/>
        </w:rPr>
        <w:t>ГНБ-ЦНС</w:t>
      </w:r>
      <w:r w:rsidR="001F5BCD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D977B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10F2B">
        <w:rPr>
          <w:rFonts w:ascii="Times New Roman" w:hAnsi="Times New Roman" w:cs="Times New Roman"/>
          <w:sz w:val="28"/>
          <w:szCs w:val="28"/>
        </w:rPr>
        <w:t>НБ-ЦНС</w:t>
      </w:r>
      <w:r w:rsidR="001F5BCD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D977BB">
        <w:rPr>
          <w:rFonts w:ascii="Times New Roman" w:hAnsi="Times New Roman" w:cs="Times New Roman"/>
          <w:sz w:val="28"/>
          <w:szCs w:val="28"/>
        </w:rPr>
        <w:t>(14% vs 8%)</w:t>
      </w:r>
      <w:r w:rsidR="00D977BB">
        <w:rPr>
          <w:rFonts w:ascii="Times New Roman" w:hAnsi="Times New Roman" w:cs="Times New Roman"/>
          <w:sz w:val="28"/>
          <w:szCs w:val="28"/>
        </w:rPr>
        <w:t xml:space="preserve">, что свидетельствует о необходимости проведения </w:t>
      </w:r>
      <w:r w:rsidR="00D977BB" w:rsidRPr="00D977BB">
        <w:rPr>
          <w:rFonts w:ascii="Times New Roman" w:hAnsi="Times New Roman" w:cs="Times New Roman"/>
          <w:sz w:val="28"/>
          <w:szCs w:val="28"/>
        </w:rPr>
        <w:t>краниоспинального облучения</w:t>
      </w:r>
      <w:r w:rsidR="004910BF">
        <w:rPr>
          <w:rFonts w:ascii="Times New Roman" w:hAnsi="Times New Roman" w:cs="Times New Roman"/>
          <w:sz w:val="28"/>
          <w:szCs w:val="28"/>
        </w:rPr>
        <w:t xml:space="preserve"> у больных ганглионейробластомой ЦНС</w:t>
      </w:r>
      <w:r w:rsidR="00D977BB">
        <w:rPr>
          <w:rFonts w:ascii="Times New Roman" w:hAnsi="Times New Roman" w:cs="Times New Roman"/>
          <w:sz w:val="28"/>
          <w:szCs w:val="28"/>
        </w:rPr>
        <w:t xml:space="preserve">. </w:t>
      </w:r>
      <w:r w:rsidR="00177336">
        <w:rPr>
          <w:rFonts w:ascii="Times New Roman" w:hAnsi="Times New Roman" w:cs="Times New Roman"/>
          <w:sz w:val="28"/>
          <w:szCs w:val="28"/>
        </w:rPr>
        <w:t xml:space="preserve">При сборе семейного онкологического анамнеза у </w:t>
      </w:r>
      <w:r w:rsidR="00177336" w:rsidRPr="00177336">
        <w:rPr>
          <w:rFonts w:ascii="Times New Roman" w:hAnsi="Times New Roman" w:cs="Times New Roman"/>
          <w:sz w:val="28"/>
          <w:szCs w:val="28"/>
        </w:rPr>
        <w:t>18 пациентов</w:t>
      </w:r>
      <w:r w:rsidR="00177336">
        <w:rPr>
          <w:rFonts w:ascii="Times New Roman" w:hAnsi="Times New Roman" w:cs="Times New Roman"/>
          <w:sz w:val="28"/>
          <w:szCs w:val="28"/>
        </w:rPr>
        <w:t xml:space="preserve"> было обнаружено, что </w:t>
      </w:r>
      <w:r w:rsidR="00177336" w:rsidRPr="00177336">
        <w:rPr>
          <w:rFonts w:ascii="Times New Roman" w:hAnsi="Times New Roman" w:cs="Times New Roman"/>
          <w:sz w:val="28"/>
          <w:szCs w:val="28"/>
        </w:rPr>
        <w:t>в 72,2% он был отягощен различными онкологическими заболеваниями у кровных родственников</w:t>
      </w:r>
      <w:r w:rsidR="00177336">
        <w:rPr>
          <w:rFonts w:ascii="Times New Roman" w:hAnsi="Times New Roman" w:cs="Times New Roman"/>
          <w:sz w:val="28"/>
          <w:szCs w:val="28"/>
        </w:rPr>
        <w:t xml:space="preserve">; </w:t>
      </w:r>
      <w:r w:rsidR="001454CC">
        <w:rPr>
          <w:rFonts w:ascii="Times New Roman" w:hAnsi="Times New Roman" w:cs="Times New Roman"/>
          <w:sz w:val="28"/>
          <w:szCs w:val="28"/>
        </w:rPr>
        <w:t>данная зависимость не встречалась при анализе публикаций, посвящённых</w:t>
      </w:r>
      <w:r w:rsidR="000F7F9C">
        <w:rPr>
          <w:rFonts w:ascii="Times New Roman" w:hAnsi="Times New Roman" w:cs="Times New Roman"/>
          <w:sz w:val="28"/>
          <w:szCs w:val="28"/>
        </w:rPr>
        <w:t xml:space="preserve"> эмбриональным опухолям ЦНС супратенториальной локализации</w:t>
      </w:r>
      <w:r w:rsidR="00177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4CC" w:rsidRPr="00FC4D00" w:rsidRDefault="00AC3B81" w:rsidP="000F7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данном этапе современной нейроонкологии можно проследить тенденцию</w:t>
      </w:r>
      <w:r w:rsidR="004910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персонификации лечения злокачественных новообразований.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Опубликованная в 2016 году </w:t>
      </w:r>
      <w:r w:rsidRPr="00AC3B81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3B81">
        <w:rPr>
          <w:rFonts w:ascii="Times New Roman" w:hAnsi="Times New Roman" w:cs="Times New Roman"/>
          <w:sz w:val="28"/>
          <w:szCs w:val="28"/>
        </w:rPr>
        <w:t xml:space="preserve"> ВОЗ опухолей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ознаменовала вступление в новую эпоху, когда в её основу  </w:t>
      </w:r>
      <w:r w:rsidRPr="00AC3B81">
        <w:rPr>
          <w:rFonts w:ascii="Times New Roman" w:hAnsi="Times New Roman" w:cs="Times New Roman"/>
          <w:sz w:val="28"/>
          <w:szCs w:val="28"/>
        </w:rPr>
        <w:t xml:space="preserve">положено не только гистологическое строение </w:t>
      </w:r>
      <w:r>
        <w:rPr>
          <w:rFonts w:ascii="Times New Roman" w:hAnsi="Times New Roman" w:cs="Times New Roman"/>
          <w:sz w:val="28"/>
          <w:szCs w:val="28"/>
        </w:rPr>
        <w:t xml:space="preserve">того или иного новообразования, </w:t>
      </w:r>
      <w:r w:rsidRPr="00AC3B81">
        <w:rPr>
          <w:rFonts w:ascii="Times New Roman" w:hAnsi="Times New Roman" w:cs="Times New Roman"/>
          <w:sz w:val="28"/>
          <w:szCs w:val="28"/>
        </w:rPr>
        <w:t>но и его наиболее зн</w:t>
      </w:r>
      <w:r>
        <w:rPr>
          <w:rFonts w:ascii="Times New Roman" w:hAnsi="Times New Roman" w:cs="Times New Roman"/>
          <w:sz w:val="28"/>
          <w:szCs w:val="28"/>
        </w:rPr>
        <w:t xml:space="preserve">ачимая молекулярно-генетическая </w:t>
      </w:r>
      <w:r w:rsidRPr="00AC3B81"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>тика или хромосомная аберрация. Возможно,</w:t>
      </w:r>
      <w:r w:rsidR="00177336">
        <w:rPr>
          <w:rFonts w:ascii="Times New Roman" w:hAnsi="Times New Roman" w:cs="Times New Roman"/>
          <w:sz w:val="28"/>
          <w:szCs w:val="28"/>
        </w:rPr>
        <w:t xml:space="preserve"> при дальнейшем исследовании </w:t>
      </w:r>
      <w:r w:rsidR="001454CC">
        <w:rPr>
          <w:rFonts w:ascii="Times New Roman" w:hAnsi="Times New Roman" w:cs="Times New Roman"/>
          <w:sz w:val="28"/>
          <w:szCs w:val="28"/>
        </w:rPr>
        <w:t>эмбриональных опухолей ЦНС супратенториальной локализации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36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7336">
        <w:rPr>
          <w:rFonts w:ascii="Times New Roman" w:hAnsi="Times New Roman" w:cs="Times New Roman"/>
          <w:sz w:val="28"/>
          <w:szCs w:val="28"/>
        </w:rPr>
        <w:t>т выявлены молекул</w:t>
      </w:r>
      <w:r>
        <w:rPr>
          <w:rFonts w:ascii="Times New Roman" w:hAnsi="Times New Roman" w:cs="Times New Roman"/>
          <w:sz w:val="28"/>
          <w:szCs w:val="28"/>
        </w:rPr>
        <w:t>ярные подтипы и определены соответствующие стандарты лечения, что кардинальным образом может изменить показатели выживаемости в лучшую сторону.</w:t>
      </w:r>
      <w:r w:rsidR="001454CC">
        <w:rPr>
          <w:rFonts w:ascii="Times New Roman" w:hAnsi="Times New Roman" w:cs="Times New Roman"/>
          <w:sz w:val="28"/>
          <w:szCs w:val="28"/>
        </w:rPr>
        <w:t xml:space="preserve"> Экспериментальная сторона изучения процессов опухолевого развития</w:t>
      </w:r>
      <w:r w:rsidR="000F7F9C">
        <w:rPr>
          <w:rFonts w:ascii="Times New Roman" w:hAnsi="Times New Roman" w:cs="Times New Roman"/>
          <w:sz w:val="28"/>
          <w:szCs w:val="28"/>
        </w:rPr>
        <w:t xml:space="preserve"> </w:t>
      </w:r>
      <w:r w:rsidR="000F7F9C" w:rsidRPr="000F7F9C">
        <w:rPr>
          <w:rFonts w:ascii="Times New Roman" w:hAnsi="Times New Roman" w:cs="Times New Roman"/>
          <w:sz w:val="28"/>
          <w:szCs w:val="28"/>
        </w:rPr>
        <w:t xml:space="preserve">эмбриональных опухолей </w:t>
      </w:r>
      <w:r w:rsidR="000F7F9C" w:rsidRPr="000F7F9C">
        <w:rPr>
          <w:rFonts w:ascii="Times New Roman" w:hAnsi="Times New Roman" w:cs="Times New Roman"/>
          <w:sz w:val="28"/>
          <w:szCs w:val="28"/>
        </w:rPr>
        <w:lastRenderedPageBreak/>
        <w:t>с выявлением ключевых генетических поломок</w:t>
      </w:r>
      <w:r w:rsidR="000F7F9C">
        <w:rPr>
          <w:rFonts w:ascii="Times New Roman" w:hAnsi="Times New Roman" w:cs="Times New Roman"/>
          <w:sz w:val="28"/>
          <w:szCs w:val="28"/>
        </w:rPr>
        <w:t xml:space="preserve"> может нести не только общетеоретический интерес, но может быть важно и с практической точки зрения.</w:t>
      </w:r>
    </w:p>
    <w:p w:rsidR="00DC1716" w:rsidRDefault="00DC1716" w:rsidP="000479A8"/>
    <w:p w:rsidR="00DC1716" w:rsidRDefault="00DC1716" w:rsidP="000479A8"/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Default="00B900DB" w:rsidP="00B900D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900DB" w:rsidRPr="00B900DB" w:rsidRDefault="00B900DB" w:rsidP="00310F2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5" w:name="_Toc41316332"/>
      <w:r w:rsidRPr="00B900DB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Выводы</w:t>
      </w:r>
      <w:bookmarkEnd w:id="25"/>
    </w:p>
    <w:p w:rsidR="00B900DB" w:rsidRPr="00B900DB" w:rsidRDefault="00B900DB" w:rsidP="00310F2B">
      <w:pPr>
        <w:pStyle w:val="a3"/>
        <w:numPr>
          <w:ilvl w:val="0"/>
          <w:numId w:val="10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нейробластоме ЦНС </w:t>
      </w: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экспрессия генов TP, MGMT, ERCC1, PDGFR-α, VEGF, </w:t>
      </w:r>
      <w:proofErr w:type="gramStart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</w:t>
      </w:r>
      <w:proofErr w:type="gramEnd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-kit чаще всего была низкой или средней, высокий уровень экспрессии наблюдался только в гене βIII-тубулин 54% (7/13); в 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ганглионейробластоме ЦНС</w:t>
      </w: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преимущественно высокие уровни экспрессии выявлялись сразу в трех генах: PDGFR-α (54%, 7/13), VEGF (54%, 7/13) и βIII-тубулин (85%, 11/13). 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Мутация в гене 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IDH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 (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132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H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 была выявлена в 35 </w:t>
      </w:r>
      <w:r w:rsidRPr="00B9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(6/17)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ко-делеция 1p19q не была выявлена ни в одном случае (0%, 0/12).</w:t>
      </w:r>
    </w:p>
    <w:p w:rsidR="00B900DB" w:rsidRPr="00B900DB" w:rsidRDefault="00B900DB" w:rsidP="00310F2B">
      <w:pPr>
        <w:numPr>
          <w:ilvl w:val="0"/>
          <w:numId w:val="10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Статистически значимое влияние на безрецидивный интервал у больных с эмбриональными опухолями ЦНС оказал ген VEGF (p=0,006), и был близок к статистически значимым различиям ген ERCC1 (p=0,059), на общую продолжительность жизни оказали влияние три гена: ERCC1 (p=0,03), MGMT (p=0,029) и VEGF (p=0,002). Присутствие мутации в гене IDH1(R132H) у больных с нейробластомой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ЦНС</w:t>
      </w: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увеличивало безрецидивный интервал на 18,8 месяцев (p=0,47). У пациентов с ганглионейробластомой</w:t>
      </w:r>
      <w:r w:rsidR="00310F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ЦНС</w:t>
      </w: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(38%) безрецидивная и общая продолжительность жизни была выше на 11,9 (p=0,91) и 10,8 месяцев (</w:t>
      </w:r>
      <w:proofErr w:type="gramStart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</w:t>
      </w:r>
      <w:proofErr w:type="gramEnd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=0,59) соответственно.</w:t>
      </w:r>
    </w:p>
    <w:p w:rsidR="00B900DB" w:rsidRPr="00B900DB" w:rsidRDefault="00B900DB" w:rsidP="00310F2B">
      <w:pPr>
        <w:numPr>
          <w:ilvl w:val="0"/>
          <w:numId w:val="10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Установлена достоверная связь низкой экспрессии гена VEGF с отсутствием пролиферации сосудов и пролиферацией эндотелия у больных с эмбриональными опухолями ЦНС (p=0,0013 и p=0,01 </w:t>
      </w:r>
      <w:proofErr w:type="spellStart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cоответственно</w:t>
      </w:r>
      <w:proofErr w:type="spellEnd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), а также отсутствием накопления контрастного вещества опухолью, или его слабому накоплению по данным МРТ (</w:t>
      </w:r>
      <w:proofErr w:type="gramStart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</w:t>
      </w:r>
      <w:proofErr w:type="gramEnd"/>
      <w:r w:rsidRPr="00B900D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=0,008).</w:t>
      </w:r>
    </w:p>
    <w:p w:rsidR="00B900DB" w:rsidRPr="004910BF" w:rsidRDefault="00B900DB" w:rsidP="004910BF">
      <w:pPr>
        <w:numPr>
          <w:ilvl w:val="0"/>
          <w:numId w:val="10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Достоверное влияние на безрецидивную и общую продолжительность жизни у больных с </w:t>
      </w:r>
      <w:r w:rsidR="00310F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эмбриональными опухолями ЦНС</w:t>
      </w:r>
      <w:r w:rsidRPr="00B90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оказывали такие параметры, как гистологический тип опухоли</w:t>
      </w:r>
      <w:r w:rsidR="004910BF" w:rsidRP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(БПЖ – </w:t>
      </w:r>
      <w:proofErr w:type="gramStart"/>
      <w:r w:rsidR="004910BF" w:rsidRP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910BF" w:rsidRP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>=0,022</w:t>
      </w:r>
      <w:r w:rsid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ОПЖ –</w:t>
      </w:r>
      <w:r w:rsidR="004910BF" w:rsidRPr="004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р=0,00045</w:t>
      </w:r>
      <w:r w:rsidR="00962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локализация опухоли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объем поражения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(НБ-ЦНС, БПЖ – р=0,021, ОПЖ –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р=0,042; ГНБ-ЦНС, БПЖ – р=0,004, ОПЖ – р=0,0031)</w:t>
      </w:r>
      <w:r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степень циторедукции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(НБ-ЦНС, БПЖ – р=0,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31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ОПЖ – р=0,042; ГНБ-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ЦНС, БПЖ – </w:t>
      </w:r>
      <w:proofErr w:type="gramStart"/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=0,00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4, ОПЖ – р=0,00</w:t>
      </w:r>
      <w:r w:rsid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</w:t>
      </w:r>
      <w:r w:rsidR="0096262C" w:rsidRPr="009626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проведение в 1-й линии ХТ темозоломидом(6 циклов) для пациентов с </w:t>
      </w:r>
      <w:r w:rsidR="00310F2B"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ГНБ-ЦНС </w:t>
      </w:r>
      <w:r w:rsidRPr="004910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(БПЖ – р=0,026, ОПЖ – р=0,025). </w:t>
      </w:r>
    </w:p>
    <w:p w:rsidR="00B900DB" w:rsidRDefault="00B900D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F2B" w:rsidRDefault="00310F2B" w:rsidP="00B900DB">
      <w:pPr>
        <w:keepNext/>
        <w:keepLines/>
        <w:spacing w:before="480" w:after="0" w:line="360" w:lineRule="auto"/>
        <w:ind w:left="436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6" w:name="_Toc41316333"/>
      <w:r w:rsidRPr="00B900DB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Список</w:t>
      </w:r>
      <w:r w:rsidRPr="00B900DB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Pr="00B900DB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литературы</w:t>
      </w:r>
      <w:bookmarkEnd w:id="26"/>
    </w:p>
    <w:p w:rsidR="00C53BCB" w:rsidRDefault="00C53BCB" w:rsidP="00FB4DA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C53BCB">
        <w:rPr>
          <w:rFonts w:ascii="Times New Roman" w:hAnsi="Times New Roman" w:cs="Times New Roman"/>
          <w:sz w:val="28"/>
          <w:lang w:val="en-US"/>
        </w:rPr>
        <w:t xml:space="preserve">Louis D. N., </w:t>
      </w:r>
      <w:proofErr w:type="spellStart"/>
      <w:r w:rsidRPr="00C53BCB">
        <w:rPr>
          <w:rFonts w:ascii="Times New Roman" w:hAnsi="Times New Roman" w:cs="Times New Roman"/>
          <w:sz w:val="28"/>
          <w:lang w:val="en-US"/>
        </w:rPr>
        <w:t>Wiestler</w:t>
      </w:r>
      <w:proofErr w:type="spellEnd"/>
      <w:r w:rsidR="00FB4DA3">
        <w:rPr>
          <w:rFonts w:ascii="Times New Roman" w:hAnsi="Times New Roman" w:cs="Times New Roman"/>
          <w:sz w:val="28"/>
          <w:lang w:val="en-US"/>
        </w:rPr>
        <w:t xml:space="preserve"> </w:t>
      </w:r>
      <w:r w:rsidRPr="00C53BCB">
        <w:rPr>
          <w:rFonts w:ascii="Times New Roman" w:hAnsi="Times New Roman" w:cs="Times New Roman"/>
          <w:sz w:val="28"/>
          <w:lang w:val="en-US"/>
        </w:rPr>
        <w:t xml:space="preserve">O. D., </w:t>
      </w:r>
      <w:proofErr w:type="spellStart"/>
      <w:r w:rsidRPr="00C53BCB">
        <w:rPr>
          <w:rFonts w:ascii="Times New Roman" w:hAnsi="Times New Roman" w:cs="Times New Roman"/>
          <w:sz w:val="28"/>
          <w:lang w:val="en-US"/>
        </w:rPr>
        <w:t>Cavenee</w:t>
      </w:r>
      <w:proofErr w:type="spellEnd"/>
      <w:r w:rsidRPr="00C53BCB">
        <w:rPr>
          <w:rFonts w:ascii="Times New Roman" w:hAnsi="Times New Roman" w:cs="Times New Roman"/>
          <w:sz w:val="28"/>
          <w:lang w:val="en-US"/>
        </w:rPr>
        <w:t xml:space="preserve"> W. K. WHO Classification of Tumours of the Central Nervous System (Revised 4th edition). - Lyon: International Agency for Research on Cancer, 2016. - 408 с.</w:t>
      </w:r>
    </w:p>
    <w:p w:rsidR="00FB35FF" w:rsidRPr="00FB35FF" w:rsidRDefault="00310F2B" w:rsidP="00FB4DA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310F2B">
        <w:rPr>
          <w:rFonts w:ascii="Times New Roman" w:hAnsi="Times New Roman" w:cs="Times New Roman"/>
          <w:sz w:val="28"/>
          <w:lang w:val="en-US"/>
        </w:rPr>
        <w:t>Hart M</w:t>
      </w:r>
      <w:r w:rsidRPr="00AD0E67">
        <w:rPr>
          <w:rFonts w:ascii="Times New Roman" w:hAnsi="Times New Roman" w:cs="Times New Roman"/>
          <w:sz w:val="28"/>
          <w:lang w:val="en-US"/>
        </w:rPr>
        <w:t>.</w:t>
      </w:r>
      <w:r w:rsidRPr="00310F2B">
        <w:rPr>
          <w:rFonts w:ascii="Times New Roman" w:hAnsi="Times New Roman" w:cs="Times New Roman"/>
          <w:sz w:val="28"/>
          <w:lang w:val="en-US"/>
        </w:rPr>
        <w:t>N</w:t>
      </w:r>
      <w:r w:rsidR="00AD0E67" w:rsidRPr="00AD0E67">
        <w:rPr>
          <w:rFonts w:ascii="Times New Roman" w:hAnsi="Times New Roman" w:cs="Times New Roman"/>
          <w:sz w:val="28"/>
          <w:lang w:val="en-US"/>
        </w:rPr>
        <w:t>.</w:t>
      </w:r>
      <w:r w:rsidRPr="00310F2B">
        <w:rPr>
          <w:rFonts w:ascii="Times New Roman" w:hAnsi="Times New Roman" w:cs="Times New Roman"/>
          <w:sz w:val="28"/>
          <w:lang w:val="en-US"/>
        </w:rPr>
        <w:t>, Earle K</w:t>
      </w:r>
      <w:r w:rsidR="00AD0E67" w:rsidRPr="00AD0E67">
        <w:rPr>
          <w:rFonts w:ascii="Times New Roman" w:hAnsi="Times New Roman" w:cs="Times New Roman"/>
          <w:sz w:val="28"/>
          <w:lang w:val="en-US"/>
        </w:rPr>
        <w:t>.</w:t>
      </w:r>
      <w:r w:rsidRPr="00310F2B">
        <w:rPr>
          <w:rFonts w:ascii="Times New Roman" w:hAnsi="Times New Roman" w:cs="Times New Roman"/>
          <w:sz w:val="28"/>
          <w:lang w:val="en-US"/>
        </w:rPr>
        <w:t xml:space="preserve">M. </w:t>
      </w:r>
      <w:r w:rsidR="00AD0E67" w:rsidRPr="00AD0E67">
        <w:rPr>
          <w:rFonts w:ascii="Times New Roman" w:hAnsi="Times New Roman" w:cs="Times New Roman"/>
          <w:sz w:val="28"/>
          <w:lang w:val="en-US"/>
        </w:rPr>
        <w:t xml:space="preserve">Primitive neuroectodermal </w:t>
      </w:r>
      <w:proofErr w:type="spellStart"/>
      <w:r w:rsidR="00AD0E67" w:rsidRPr="00AD0E67">
        <w:rPr>
          <w:rFonts w:ascii="Times New Roman" w:hAnsi="Times New Roman" w:cs="Times New Roman"/>
          <w:sz w:val="28"/>
          <w:lang w:val="en-US"/>
        </w:rPr>
        <w:t>tumours</w:t>
      </w:r>
      <w:proofErr w:type="spellEnd"/>
      <w:r w:rsidR="00AD0E67" w:rsidRPr="00AD0E67">
        <w:rPr>
          <w:rFonts w:ascii="Times New Roman" w:hAnsi="Times New Roman" w:cs="Times New Roman"/>
          <w:sz w:val="28"/>
          <w:lang w:val="en-US"/>
        </w:rPr>
        <w:t xml:space="preserve"> of the brain in children.</w:t>
      </w:r>
      <w:r w:rsidR="00FB35FF" w:rsidRPr="00FB35FF">
        <w:rPr>
          <w:rFonts w:ascii="Times New Roman" w:hAnsi="Times New Roman" w:cs="Times New Roman"/>
          <w:sz w:val="28"/>
          <w:lang w:val="en-US"/>
        </w:rPr>
        <w:t xml:space="preserve"> // </w:t>
      </w:r>
      <w:r w:rsidR="00AD0E67" w:rsidRPr="00AD0E67">
        <w:rPr>
          <w:rFonts w:ascii="Times New Roman" w:hAnsi="Times New Roman" w:cs="Times New Roman"/>
          <w:sz w:val="28"/>
          <w:lang w:val="en-US"/>
        </w:rPr>
        <w:t>Cancer</w:t>
      </w:r>
      <w:r w:rsidR="00FB35FF" w:rsidRPr="00FB35FF">
        <w:rPr>
          <w:rFonts w:ascii="Times New Roman" w:hAnsi="Times New Roman" w:cs="Times New Roman"/>
          <w:sz w:val="28"/>
          <w:lang w:val="en-US"/>
        </w:rPr>
        <w:t>. - 198</w:t>
      </w:r>
      <w:r w:rsidR="00AD0E67" w:rsidRPr="00AD0E67">
        <w:rPr>
          <w:rFonts w:ascii="Times New Roman" w:hAnsi="Times New Roman" w:cs="Times New Roman"/>
          <w:sz w:val="28"/>
          <w:lang w:val="en-US"/>
        </w:rPr>
        <w:t>7</w:t>
      </w:r>
      <w:r w:rsidR="00FB35FF" w:rsidRPr="00FB35FF">
        <w:rPr>
          <w:rFonts w:ascii="Times New Roman" w:hAnsi="Times New Roman" w:cs="Times New Roman"/>
          <w:sz w:val="28"/>
          <w:lang w:val="en-US"/>
        </w:rPr>
        <w:t>. - №3</w:t>
      </w:r>
      <w:r w:rsidR="00AD0E67" w:rsidRPr="00AD0E67">
        <w:rPr>
          <w:rFonts w:ascii="Times New Roman" w:hAnsi="Times New Roman" w:cs="Times New Roman"/>
          <w:sz w:val="28"/>
          <w:lang w:val="en-US"/>
        </w:rPr>
        <w:t>2</w:t>
      </w:r>
      <w:r w:rsidR="00FB35FF" w:rsidRPr="00FB35FF">
        <w:rPr>
          <w:rFonts w:ascii="Times New Roman" w:hAnsi="Times New Roman" w:cs="Times New Roman"/>
          <w:sz w:val="28"/>
          <w:lang w:val="en-US"/>
        </w:rPr>
        <w:t xml:space="preserve">. - </w:t>
      </w:r>
      <w:proofErr w:type="gramStart"/>
      <w:r w:rsidR="00FB35FF" w:rsidRPr="00FB35FF">
        <w:rPr>
          <w:rFonts w:ascii="Times New Roman" w:hAnsi="Times New Roman" w:cs="Times New Roman"/>
          <w:sz w:val="28"/>
          <w:lang w:val="en-US"/>
        </w:rPr>
        <w:t xml:space="preserve">С. </w:t>
      </w:r>
      <w:r w:rsidR="00AD0E67" w:rsidRPr="00AD0E67">
        <w:rPr>
          <w:rFonts w:ascii="Times New Roman" w:hAnsi="Times New Roman" w:cs="Times New Roman"/>
          <w:sz w:val="28"/>
          <w:lang w:val="en-US"/>
        </w:rPr>
        <w:t>890</w:t>
      </w:r>
      <w:proofErr w:type="gramEnd"/>
      <w:r w:rsidR="00AD0E67" w:rsidRPr="00AD0E67">
        <w:rPr>
          <w:rFonts w:ascii="Times New Roman" w:hAnsi="Times New Roman" w:cs="Times New Roman"/>
          <w:sz w:val="28"/>
          <w:lang w:val="en-US"/>
        </w:rPr>
        <w:t>–897</w:t>
      </w:r>
      <w:r w:rsidR="00FB35FF" w:rsidRPr="00FB35FF">
        <w:rPr>
          <w:rFonts w:ascii="Times New Roman" w:hAnsi="Times New Roman" w:cs="Times New Roman"/>
          <w:sz w:val="28"/>
          <w:lang w:val="en-US"/>
        </w:rPr>
        <w:t>.</w:t>
      </w:r>
      <w:r w:rsidR="00AD0E67" w:rsidRPr="00AD0E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AD0E67" w:rsidRPr="00AD0E67">
        <w:rPr>
          <w:rFonts w:ascii="Times New Roman" w:hAnsi="Times New Roman" w:cs="Times New Roman"/>
          <w:sz w:val="28"/>
          <w:lang w:val="en-US"/>
        </w:rPr>
        <w:t>doi</w:t>
      </w:r>
      <w:proofErr w:type="spellEnd"/>
      <w:proofErr w:type="gramEnd"/>
      <w:r w:rsidR="00AD0E67" w:rsidRPr="00AD0E67">
        <w:rPr>
          <w:rFonts w:ascii="Times New Roman" w:hAnsi="Times New Roman" w:cs="Times New Roman"/>
          <w:sz w:val="28"/>
          <w:lang w:val="en-US"/>
        </w:rPr>
        <w:t>: 10.1002/1097-0142(197310)32:4&lt;890::AID-CNCR2820320421&gt;3.0.CO;2-O.</w:t>
      </w:r>
    </w:p>
    <w:p w:rsidR="009B19C2" w:rsidRPr="00FB35FF" w:rsidRDefault="00FB35FF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B35FF">
        <w:rPr>
          <w:rFonts w:ascii="Times New Roman" w:hAnsi="Times New Roman" w:cs="Times New Roman"/>
          <w:sz w:val="28"/>
          <w:lang w:val="en-US"/>
        </w:rPr>
        <w:t xml:space="preserve">Kim D.G., Lee D.Y., </w:t>
      </w: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Paek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 xml:space="preserve"> S.H., Chi J.G., </w:t>
      </w: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Choe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 xml:space="preserve"> G., Jung H.W. Supratentorial primitive neuroectodermal tumors in adults // J Neuro </w:t>
      </w: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>. - 2002. - №60. - С. 43–52.,</w:t>
      </w:r>
      <w:r w:rsidR="00AD26C6" w:rsidRPr="005B3AB0">
        <w:rPr>
          <w:rFonts w:ascii="Times New Roman" w:hAnsi="Times New Roman" w:cs="Times New Roman"/>
          <w:sz w:val="28"/>
          <w:lang w:val="en-US"/>
        </w:rPr>
        <w:t xml:space="preserve"> </w:t>
      </w:r>
      <w:r w:rsidR="00AD26C6" w:rsidRPr="00FB35FF">
        <w:rPr>
          <w:rFonts w:ascii="Times New Roman" w:hAnsi="Times New Roman" w:cs="Times New Roman"/>
          <w:sz w:val="28"/>
          <w:lang w:val="en-US"/>
        </w:rPr>
        <w:t>doi: 10.1023/a</w:t>
      </w:r>
      <w:proofErr w:type="gramStart"/>
      <w:r w:rsidR="00AD26C6" w:rsidRPr="00FB35FF">
        <w:rPr>
          <w:rFonts w:ascii="Times New Roman" w:hAnsi="Times New Roman" w:cs="Times New Roman"/>
          <w:sz w:val="28"/>
          <w:lang w:val="en-US"/>
        </w:rPr>
        <w:t>:1020207902659</w:t>
      </w:r>
      <w:proofErr w:type="gramEnd"/>
      <w:r w:rsidR="00DA21FB" w:rsidRPr="00DA21FB">
        <w:rPr>
          <w:rFonts w:ascii="Times New Roman" w:hAnsi="Times New Roman" w:cs="Times New Roman"/>
          <w:sz w:val="28"/>
          <w:lang w:val="en-US"/>
        </w:rPr>
        <w:t>.</w:t>
      </w:r>
    </w:p>
    <w:p w:rsidR="00FB35FF" w:rsidRPr="00FB35FF" w:rsidRDefault="00FB35FF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Ohba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 xml:space="preserve"> S., Yoshida K., Hirose Y., Ikeda E., </w:t>
      </w: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Kawase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 xml:space="preserve"> T. A supratentorial primitive neuroectodermal tumor in an adult: a case report and review of the literature // J Neuro </w:t>
      </w:r>
      <w:proofErr w:type="spellStart"/>
      <w:r w:rsidRPr="00FB35FF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FB35FF">
        <w:rPr>
          <w:rFonts w:ascii="Times New Roman" w:hAnsi="Times New Roman" w:cs="Times New Roman"/>
          <w:sz w:val="28"/>
          <w:lang w:val="en-US"/>
        </w:rPr>
        <w:t xml:space="preserve">. - 2008. - №86. - </w:t>
      </w:r>
      <w:proofErr w:type="gramStart"/>
      <w:r w:rsidRPr="00FB35FF">
        <w:rPr>
          <w:rFonts w:ascii="Times New Roman" w:hAnsi="Times New Roman" w:cs="Times New Roman"/>
          <w:sz w:val="28"/>
          <w:lang w:val="en-US"/>
        </w:rPr>
        <w:t>С. 217</w:t>
      </w:r>
      <w:proofErr w:type="gramEnd"/>
      <w:r w:rsidRPr="00FB35FF">
        <w:rPr>
          <w:rFonts w:ascii="Times New Roman" w:hAnsi="Times New Roman" w:cs="Times New Roman"/>
          <w:sz w:val="28"/>
          <w:lang w:val="en-US"/>
        </w:rPr>
        <w:t>–224.</w:t>
      </w:r>
    </w:p>
    <w:p w:rsidR="00FC6B86" w:rsidRPr="00FC6B86" w:rsidRDefault="00FC6B86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C6B86">
        <w:rPr>
          <w:rFonts w:ascii="Times New Roman" w:hAnsi="Times New Roman" w:cs="Times New Roman"/>
          <w:sz w:val="28"/>
          <w:lang w:val="en-US"/>
        </w:rPr>
        <w:t xml:space="preserve">Papadopoulos E.K.,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Fountas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K.N.,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Brotis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A.G.,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Paterakis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K.N. A supratentorial primitive neuroectodermal tumor presenting with intracranial hemorrhage in a 42-year-old man: a case report and review of the literature // Journal of Medical Case Reports. - </w:t>
      </w:r>
      <w:proofErr w:type="gramStart"/>
      <w:r w:rsidRPr="00FC6B86">
        <w:rPr>
          <w:rFonts w:ascii="Times New Roman" w:hAnsi="Times New Roman" w:cs="Times New Roman"/>
          <w:sz w:val="28"/>
          <w:lang w:val="en-US"/>
        </w:rPr>
        <w:t>2013 .</w:t>
      </w:r>
      <w:proofErr w:type="gramEnd"/>
      <w:r w:rsidRPr="00FC6B86">
        <w:rPr>
          <w:rFonts w:ascii="Times New Roman" w:hAnsi="Times New Roman" w:cs="Times New Roman"/>
          <w:sz w:val="28"/>
          <w:lang w:val="en-US"/>
        </w:rPr>
        <w:t xml:space="preserve"> - №7:</w:t>
      </w:r>
      <w:proofErr w:type="gramStart"/>
      <w:r w:rsidRPr="00FC6B86">
        <w:rPr>
          <w:rFonts w:ascii="Times New Roman" w:hAnsi="Times New Roman" w:cs="Times New Roman"/>
          <w:sz w:val="28"/>
          <w:lang w:val="en-US"/>
        </w:rPr>
        <w:t>86.,</w:t>
      </w:r>
      <w:proofErr w:type="gramEnd"/>
      <w:r w:rsidRPr="00FC6B86">
        <w:rPr>
          <w:rFonts w:ascii="Times New Roman" w:hAnsi="Times New Roman" w:cs="Times New Roman"/>
          <w:sz w:val="28"/>
          <w:lang w:val="en-US"/>
        </w:rPr>
        <w:t xml:space="preserve"> doi: 10.1186/1752-1947-7-86</w:t>
      </w:r>
      <w:r w:rsidR="00DA21FB" w:rsidRPr="00DA21FB">
        <w:rPr>
          <w:rFonts w:ascii="Times New Roman" w:hAnsi="Times New Roman" w:cs="Times New Roman"/>
          <w:sz w:val="28"/>
          <w:lang w:val="en-US"/>
        </w:rPr>
        <w:t>.</w:t>
      </w:r>
    </w:p>
    <w:p w:rsidR="00FC6B86" w:rsidRPr="00FC6B86" w:rsidRDefault="00FC6B86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C6B86">
        <w:rPr>
          <w:rFonts w:ascii="Times New Roman" w:hAnsi="Times New Roman" w:cs="Times New Roman"/>
          <w:sz w:val="28"/>
          <w:lang w:val="en-US"/>
        </w:rPr>
        <w:t xml:space="preserve">Espino Barros Palau A., Khan K., Morgan M.L., Powell S.Z., Lee A.G.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Suprasellar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Primitive Neuroectodermal Tumor in an Adult. // J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Neuroophthalmol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. - </w:t>
      </w:r>
      <w:proofErr w:type="gramStart"/>
      <w:r w:rsidRPr="00FC6B86">
        <w:rPr>
          <w:rFonts w:ascii="Times New Roman" w:hAnsi="Times New Roman" w:cs="Times New Roman"/>
          <w:sz w:val="28"/>
          <w:lang w:val="en-US"/>
        </w:rPr>
        <w:t>2016 .</w:t>
      </w:r>
      <w:proofErr w:type="gramEnd"/>
      <w:r w:rsidRPr="00FC6B86">
        <w:rPr>
          <w:rFonts w:ascii="Times New Roman" w:hAnsi="Times New Roman" w:cs="Times New Roman"/>
          <w:sz w:val="28"/>
          <w:lang w:val="en-US"/>
        </w:rPr>
        <w:t xml:space="preserve"> - №36. - С. 299-303., doi: 10.1097/WNO.0000000000000312.</w:t>
      </w:r>
    </w:p>
    <w:p w:rsidR="00FC6B86" w:rsidRPr="00FC6B86" w:rsidRDefault="00FC6B86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Behdad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A., Perry A. Central nervous system primitive neuroectodermal tumors: a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clinicopathologic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and genetic study of 33 cases // Brain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Pathol</w:t>
      </w:r>
      <w:proofErr w:type="spellEnd"/>
      <w:proofErr w:type="gramStart"/>
      <w:r w:rsidRPr="00FC6B86">
        <w:rPr>
          <w:rFonts w:ascii="Times New Roman" w:hAnsi="Times New Roman" w:cs="Times New Roman"/>
          <w:sz w:val="28"/>
          <w:lang w:val="en-US"/>
        </w:rPr>
        <w:t>..</w:t>
      </w:r>
      <w:proofErr w:type="gramEnd"/>
      <w:r w:rsidRPr="00FC6B86">
        <w:rPr>
          <w:rFonts w:ascii="Times New Roman" w:hAnsi="Times New Roman" w:cs="Times New Roman"/>
          <w:sz w:val="28"/>
          <w:lang w:val="en-US"/>
        </w:rPr>
        <w:t xml:space="preserve"> - 20</w:t>
      </w:r>
      <w:r w:rsidR="0079291F">
        <w:rPr>
          <w:rFonts w:ascii="Times New Roman" w:hAnsi="Times New Roman" w:cs="Times New Roman"/>
          <w:sz w:val="28"/>
          <w:lang w:val="en-US"/>
        </w:rPr>
        <w:t>10</w:t>
      </w:r>
      <w:r w:rsidRPr="00FC6B86">
        <w:rPr>
          <w:rFonts w:ascii="Times New Roman" w:hAnsi="Times New Roman" w:cs="Times New Roman"/>
          <w:sz w:val="28"/>
          <w:lang w:val="en-US"/>
        </w:rPr>
        <w:t>. - №20. - С. 441–450., doi: 10.1111/j.1750-3639.2009.00314.x.</w:t>
      </w:r>
    </w:p>
    <w:p w:rsidR="00885667" w:rsidRPr="005B3AB0" w:rsidRDefault="00FC6B86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Pfister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S.M.,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Korshunov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A., Kool M.,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Hasselblatt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M.,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Eberhart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C., Taylor M.D. Molecular diagnostics of CNS embryonal tumors //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Acta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6B86">
        <w:rPr>
          <w:rFonts w:ascii="Times New Roman" w:hAnsi="Times New Roman" w:cs="Times New Roman"/>
          <w:sz w:val="28"/>
          <w:lang w:val="en-US"/>
        </w:rPr>
        <w:t>Neuropathol</w:t>
      </w:r>
      <w:proofErr w:type="spellEnd"/>
      <w:r w:rsidRPr="00FC6B86">
        <w:rPr>
          <w:rFonts w:ascii="Times New Roman" w:hAnsi="Times New Roman" w:cs="Times New Roman"/>
          <w:sz w:val="28"/>
          <w:lang w:val="en-US"/>
        </w:rPr>
        <w:t>. - 2010. - №</w:t>
      </w:r>
      <w:proofErr w:type="gramStart"/>
      <w:r w:rsidRPr="00FC6B86">
        <w:rPr>
          <w:rFonts w:ascii="Times New Roman" w:hAnsi="Times New Roman" w:cs="Times New Roman"/>
          <w:sz w:val="28"/>
          <w:lang w:val="en-US"/>
        </w:rPr>
        <w:t>120(</w:t>
      </w:r>
      <w:proofErr w:type="gramEnd"/>
      <w:r w:rsidRPr="00FC6B86">
        <w:rPr>
          <w:rFonts w:ascii="Times New Roman" w:hAnsi="Times New Roman" w:cs="Times New Roman"/>
          <w:sz w:val="28"/>
          <w:lang w:val="en-US"/>
        </w:rPr>
        <w:t>5). - С. 553</w:t>
      </w:r>
      <w:r w:rsidRPr="00FC6B86">
        <w:rPr>
          <w:rFonts w:ascii="Cambria Math" w:hAnsi="Cambria Math" w:cs="Cambria Math"/>
          <w:sz w:val="28"/>
          <w:lang w:val="en-US"/>
        </w:rPr>
        <w:t>‐</w:t>
      </w:r>
      <w:r w:rsidRPr="00FC6B86">
        <w:rPr>
          <w:rFonts w:ascii="Times New Roman" w:hAnsi="Times New Roman" w:cs="Times New Roman"/>
          <w:sz w:val="28"/>
          <w:lang w:val="en-US"/>
        </w:rPr>
        <w:t xml:space="preserve">566., </w:t>
      </w:r>
      <w:r w:rsidR="003638B0" w:rsidRPr="005B3AB0">
        <w:rPr>
          <w:rFonts w:ascii="Times New Roman" w:hAnsi="Times New Roman" w:cs="Times New Roman"/>
          <w:sz w:val="28"/>
          <w:lang w:val="en-US"/>
        </w:rPr>
        <w:t>doi</w:t>
      </w:r>
      <w:proofErr w:type="gramStart"/>
      <w:r w:rsidR="003638B0" w:rsidRPr="005B3AB0">
        <w:rPr>
          <w:rFonts w:ascii="Times New Roman" w:hAnsi="Times New Roman" w:cs="Times New Roman"/>
          <w:sz w:val="28"/>
          <w:lang w:val="en-US"/>
        </w:rPr>
        <w:t>:10.1007</w:t>
      </w:r>
      <w:proofErr w:type="gramEnd"/>
      <w:r w:rsidR="003638B0" w:rsidRPr="005B3AB0">
        <w:rPr>
          <w:rFonts w:ascii="Times New Roman" w:hAnsi="Times New Roman" w:cs="Times New Roman"/>
          <w:sz w:val="28"/>
          <w:lang w:val="en-US"/>
        </w:rPr>
        <w:t>/s00401-010-0751-5</w:t>
      </w:r>
      <w:r w:rsidR="00DA21FB" w:rsidRPr="00DA21FB">
        <w:rPr>
          <w:rFonts w:ascii="Times New Roman" w:hAnsi="Times New Roman" w:cs="Times New Roman"/>
          <w:sz w:val="28"/>
          <w:lang w:val="en-US"/>
        </w:rPr>
        <w:t>.</w:t>
      </w:r>
    </w:p>
    <w:p w:rsidR="00615073" w:rsidRPr="005B3AB0" w:rsidRDefault="00DA21F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Lawandy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S., Hariri, O.R.,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Miulli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D.E., Amin J.,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Minasian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T., Gupta R.K., Siddiqi J. Supratentorial primitive neuroectodermal tumor in an adult: a case </w:t>
      </w:r>
      <w:r w:rsidRPr="00DA21FB">
        <w:rPr>
          <w:rFonts w:ascii="Times New Roman" w:hAnsi="Times New Roman" w:cs="Times New Roman"/>
          <w:sz w:val="28"/>
          <w:lang w:val="en-US"/>
        </w:rPr>
        <w:lastRenderedPageBreak/>
        <w:t>report and review of the literature // Journal of medical c</w:t>
      </w:r>
      <w:r>
        <w:rPr>
          <w:rFonts w:ascii="Times New Roman" w:hAnsi="Times New Roman" w:cs="Times New Roman"/>
          <w:sz w:val="28"/>
          <w:lang w:val="en-US"/>
        </w:rPr>
        <w:t xml:space="preserve">ase reports. - 2012. - №6: </w:t>
      </w:r>
      <w:proofErr w:type="gramStart"/>
      <w:r>
        <w:rPr>
          <w:rFonts w:ascii="Times New Roman" w:hAnsi="Times New Roman" w:cs="Times New Roman"/>
          <w:sz w:val="28"/>
          <w:lang w:val="en-US"/>
        </w:rPr>
        <w:t>361.</w:t>
      </w:r>
      <w:r w:rsidRPr="00DA21FB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="00615073" w:rsidRPr="005B3AB0">
        <w:rPr>
          <w:rFonts w:ascii="Times New Roman" w:hAnsi="Times New Roman" w:cs="Times New Roman"/>
          <w:sz w:val="28"/>
          <w:lang w:val="en-US"/>
        </w:rPr>
        <w:t xml:space="preserve"> doi: 10.1186/1752-1947-6-361.</w:t>
      </w:r>
    </w:p>
    <w:p w:rsidR="00DA21FB" w:rsidRPr="00DA21FB" w:rsidRDefault="00DA21F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Danielsson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A.,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Nemes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S.,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Tisell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M.,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Lannering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B.,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Nordborg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C.,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Sabel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M., Caren H.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MethPed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: a DNA methylation classifier tool for the identification of pediatric brain tumor subtypes //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Clin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Epigenetics. - 2015. - №7:</w:t>
      </w:r>
      <w:proofErr w:type="gramStart"/>
      <w:r w:rsidRPr="00DA21FB">
        <w:rPr>
          <w:rFonts w:ascii="Times New Roman" w:hAnsi="Times New Roman" w:cs="Times New Roman"/>
          <w:sz w:val="28"/>
          <w:lang w:val="en-US"/>
        </w:rPr>
        <w:t>62.,</w:t>
      </w:r>
      <w:proofErr w:type="gramEnd"/>
      <w:r w:rsidRPr="00DA21FB">
        <w:rPr>
          <w:rFonts w:ascii="Times New Roman" w:hAnsi="Times New Roman" w:cs="Times New Roman"/>
          <w:sz w:val="28"/>
          <w:lang w:val="en-US"/>
        </w:rPr>
        <w:t xml:space="preserve"> doi: 10.1186/s13148-015-0103-3.</w:t>
      </w:r>
    </w:p>
    <w:p w:rsidR="00DA21FB" w:rsidRPr="00DA21FB" w:rsidRDefault="00DA21F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DA21FB">
        <w:rPr>
          <w:rFonts w:ascii="Times New Roman" w:hAnsi="Times New Roman" w:cs="Times New Roman"/>
          <w:sz w:val="28"/>
          <w:lang w:val="en-US"/>
        </w:rPr>
        <w:t xml:space="preserve">Picard D., Miller S., Hawkins C.E.,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Bouffet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E., Rogers H.A., Chan T.S., Kim S.K., Ra Y.S.,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Fangusaro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J.,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Korshunov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 A. et al. Markers of survival and metastatic potential in childhood CNS primitive neuro-ectodermal brain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tumours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 xml:space="preserve">: an integrative genomic analysis // Lancet </w:t>
      </w:r>
      <w:proofErr w:type="spellStart"/>
      <w:r w:rsidRPr="00DA21FB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DA21FB">
        <w:rPr>
          <w:rFonts w:ascii="Times New Roman" w:hAnsi="Times New Roman" w:cs="Times New Roman"/>
          <w:sz w:val="28"/>
          <w:lang w:val="en-US"/>
        </w:rPr>
        <w:t>. - 2012. - №13. - С. 838–848.,</w:t>
      </w:r>
      <w:r w:rsidRPr="00DA21FB">
        <w:rPr>
          <w:lang w:val="en-US"/>
        </w:rPr>
        <w:t xml:space="preserve"> </w:t>
      </w:r>
      <w:r w:rsidRPr="00DA21FB">
        <w:rPr>
          <w:rFonts w:ascii="Times New Roman" w:hAnsi="Times New Roman" w:cs="Times New Roman"/>
          <w:sz w:val="28"/>
          <w:lang w:val="en-US"/>
        </w:rPr>
        <w:t>doi: 10.1016/S1470-2045(12)70257-7.</w:t>
      </w:r>
    </w:p>
    <w:p w:rsidR="00FE294C" w:rsidRPr="00FE294C" w:rsidRDefault="00FE294C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E294C">
        <w:rPr>
          <w:rFonts w:ascii="Times New Roman" w:hAnsi="Times New Roman" w:cs="Times New Roman"/>
          <w:sz w:val="28"/>
          <w:lang w:val="en-US"/>
        </w:rPr>
        <w:t xml:space="preserve">Schwalbe E.C., Hayden J.T., Rogers H.A., Miller S., Lindsey J.C., Hill R.M., Nicholson S.L.,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Kilday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J.P.,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Adamowicz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-Brice M.,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Storer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L., Jacques T.S., Robson K., Lowe J., Williamson D., Grundy R.G., Bailey S., Clifford S.C. Histologically-defined central nervous system primitive neuro-ectodermal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tumours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(CNS-PNETs) display heterogeneous DNA methylation profiles and show relationships to other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paediatric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brain tumour types //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Acta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Neuropathol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>. - 2013. - №</w:t>
      </w:r>
      <w:proofErr w:type="gramStart"/>
      <w:r w:rsidRPr="00FE294C">
        <w:rPr>
          <w:rFonts w:ascii="Times New Roman" w:hAnsi="Times New Roman" w:cs="Times New Roman"/>
          <w:sz w:val="28"/>
          <w:lang w:val="en-US"/>
        </w:rPr>
        <w:t>126(</w:t>
      </w:r>
      <w:proofErr w:type="gramEnd"/>
      <w:r w:rsidRPr="00FE294C">
        <w:rPr>
          <w:rFonts w:ascii="Times New Roman" w:hAnsi="Times New Roman" w:cs="Times New Roman"/>
          <w:sz w:val="28"/>
          <w:lang w:val="en-US"/>
        </w:rPr>
        <w:t>6). - С. 943–946., doi: 10.1007/s00401-013-1206-6</w:t>
      </w:r>
    </w:p>
    <w:p w:rsidR="00FE294C" w:rsidRPr="00FE294C" w:rsidRDefault="00FE294C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E294C">
        <w:rPr>
          <w:rFonts w:ascii="Times New Roman" w:hAnsi="Times New Roman" w:cs="Times New Roman"/>
          <w:sz w:val="28"/>
          <w:lang w:val="en-US"/>
        </w:rPr>
        <w:t xml:space="preserve">Sturm D., Orr B.A.,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Toprak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U.H. et al. New Brain Tumor Entities Emerge from Molecular Classification of CNS-PNETs // Cell. - 2016. - №</w:t>
      </w:r>
      <w:proofErr w:type="gramStart"/>
      <w:r w:rsidRPr="00FE294C">
        <w:rPr>
          <w:rFonts w:ascii="Times New Roman" w:hAnsi="Times New Roman" w:cs="Times New Roman"/>
          <w:sz w:val="28"/>
          <w:lang w:val="en-US"/>
        </w:rPr>
        <w:t>164(</w:t>
      </w:r>
      <w:proofErr w:type="gramEnd"/>
      <w:r w:rsidRPr="00FE294C">
        <w:rPr>
          <w:rFonts w:ascii="Times New Roman" w:hAnsi="Times New Roman" w:cs="Times New Roman"/>
          <w:sz w:val="28"/>
          <w:lang w:val="en-US"/>
        </w:rPr>
        <w:t>5). - С. 1060-</w:t>
      </w:r>
      <w:proofErr w:type="gramStart"/>
      <w:r w:rsidRPr="00FE294C">
        <w:rPr>
          <w:rFonts w:ascii="Times New Roman" w:hAnsi="Times New Roman" w:cs="Times New Roman"/>
          <w:sz w:val="28"/>
          <w:lang w:val="en-US"/>
        </w:rPr>
        <w:t>1072.,</w:t>
      </w:r>
      <w:proofErr w:type="gramEnd"/>
      <w:r w:rsidRPr="00FE294C">
        <w:rPr>
          <w:rFonts w:ascii="Times New Roman" w:hAnsi="Times New Roman" w:cs="Times New Roman"/>
          <w:sz w:val="28"/>
          <w:lang w:val="en-US"/>
        </w:rPr>
        <w:t xml:space="preserve"> doi: 10.1016/j.cell.2016.01.015.</w:t>
      </w:r>
    </w:p>
    <w:p w:rsidR="0055353C" w:rsidRPr="005B3AB0" w:rsidRDefault="00FE294C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Korshunov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A., Capper D.,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Reuss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D. et al. Histologically distinct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neuroepithelial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tumors with histone 3 G34 mutation are molecularly similar and comprise a single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nosologic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entity //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Acta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Neuropathol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. - 2016. - №131. - С. 137–146., </w:t>
      </w:r>
      <w:r w:rsidR="0055353C" w:rsidRPr="00FE294C">
        <w:rPr>
          <w:rFonts w:ascii="Times New Roman" w:hAnsi="Times New Roman" w:cs="Times New Roman"/>
          <w:sz w:val="28"/>
          <w:lang w:val="en-US"/>
        </w:rPr>
        <w:t>doi</w:t>
      </w:r>
      <w:r w:rsidRPr="00FE294C">
        <w:rPr>
          <w:rFonts w:ascii="Times New Roman" w:hAnsi="Times New Roman" w:cs="Times New Roman"/>
          <w:sz w:val="28"/>
          <w:lang w:val="en-US"/>
        </w:rPr>
        <w:t xml:space="preserve">: </w:t>
      </w:r>
      <w:r w:rsidR="0055353C" w:rsidRPr="00FE294C">
        <w:rPr>
          <w:rFonts w:ascii="Times New Roman" w:hAnsi="Times New Roman" w:cs="Times New Roman"/>
          <w:sz w:val="28"/>
          <w:lang w:val="en-US"/>
        </w:rPr>
        <w:t>10.1007/s00401-015-1493-1</w:t>
      </w:r>
      <w:r w:rsidRPr="00FE294C">
        <w:rPr>
          <w:rFonts w:ascii="Times New Roman" w:hAnsi="Times New Roman" w:cs="Times New Roman"/>
          <w:sz w:val="28"/>
          <w:lang w:val="en-US"/>
        </w:rPr>
        <w:t>.</w:t>
      </w:r>
    </w:p>
    <w:p w:rsidR="00E67E78" w:rsidRPr="005B3AB0" w:rsidRDefault="00FE294C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FE294C">
        <w:rPr>
          <w:rFonts w:ascii="Times New Roman" w:hAnsi="Times New Roman" w:cs="Times New Roman"/>
          <w:sz w:val="28"/>
          <w:lang w:val="en-US"/>
        </w:rPr>
        <w:t xml:space="preserve">Hayden J.T.,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Frühwald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M.C., 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Hasselblatt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 xml:space="preserve"> M., Ellison D.W., Bailey S., Clifford S.C. Frequent IDH1 mutations in supratentorial primitive neuroectodermal tumors (</w:t>
      </w:r>
      <w:proofErr w:type="spellStart"/>
      <w:r w:rsidRPr="00FE294C">
        <w:rPr>
          <w:rFonts w:ascii="Times New Roman" w:hAnsi="Times New Roman" w:cs="Times New Roman"/>
          <w:sz w:val="28"/>
          <w:lang w:val="en-US"/>
        </w:rPr>
        <w:t>sPNET</w:t>
      </w:r>
      <w:proofErr w:type="spellEnd"/>
      <w:r w:rsidRPr="00FE294C">
        <w:rPr>
          <w:rFonts w:ascii="Times New Roman" w:hAnsi="Times New Roman" w:cs="Times New Roman"/>
          <w:sz w:val="28"/>
          <w:lang w:val="en-US"/>
        </w:rPr>
        <w:t>) of adults but not children // Cell Cycle. - 2009. - №</w:t>
      </w:r>
      <w:proofErr w:type="gramStart"/>
      <w:r w:rsidRPr="00FE294C">
        <w:rPr>
          <w:rFonts w:ascii="Times New Roman" w:hAnsi="Times New Roman" w:cs="Times New Roman"/>
          <w:sz w:val="28"/>
          <w:lang w:val="en-US"/>
        </w:rPr>
        <w:t>8(</w:t>
      </w:r>
      <w:proofErr w:type="gramEnd"/>
      <w:r w:rsidRPr="00FE294C">
        <w:rPr>
          <w:rFonts w:ascii="Times New Roman" w:hAnsi="Times New Roman" w:cs="Times New Roman"/>
          <w:sz w:val="28"/>
          <w:lang w:val="en-US"/>
        </w:rPr>
        <w:t>11). - С. 1806-1807.</w:t>
      </w:r>
      <w:r w:rsidR="00E67E78" w:rsidRPr="005B3AB0">
        <w:rPr>
          <w:rFonts w:ascii="Times New Roman" w:hAnsi="Times New Roman" w:cs="Times New Roman"/>
          <w:sz w:val="28"/>
          <w:lang w:val="en-US"/>
        </w:rPr>
        <w:t xml:space="preserve">, </w:t>
      </w:r>
      <w:r w:rsidRPr="00FE294C">
        <w:rPr>
          <w:rFonts w:ascii="Times New Roman" w:hAnsi="Times New Roman" w:cs="Times New Roman"/>
          <w:sz w:val="28"/>
          <w:lang w:val="en-US"/>
        </w:rPr>
        <w:t>doi</w:t>
      </w:r>
      <w:r w:rsidR="00E67E78" w:rsidRPr="005B3AB0">
        <w:rPr>
          <w:rFonts w:ascii="Times New Roman" w:hAnsi="Times New Roman" w:cs="Times New Roman"/>
          <w:sz w:val="28"/>
          <w:lang w:val="en-US"/>
        </w:rPr>
        <w:t>: 10.4161/cc.8.11.8594</w:t>
      </w:r>
    </w:p>
    <w:p w:rsidR="00E67E78" w:rsidRPr="005B3AB0" w:rsidRDefault="009D578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lastRenderedPageBreak/>
        <w:t>Balss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J., Meyer J., Mueller W. et al. Analysis of the IDH1 codon 132 mutation in brain tumors //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Acta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Neuropathol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. - 2008. - №116. - С. 597–602., </w:t>
      </w:r>
      <w:r w:rsidR="00FE294C" w:rsidRPr="009D5788">
        <w:rPr>
          <w:rFonts w:ascii="Times New Roman" w:hAnsi="Times New Roman" w:cs="Times New Roman"/>
          <w:sz w:val="28"/>
          <w:lang w:val="en-US"/>
        </w:rPr>
        <w:t xml:space="preserve">doi: </w:t>
      </w:r>
      <w:r w:rsidR="00E67E78" w:rsidRPr="009D5788">
        <w:rPr>
          <w:rFonts w:ascii="Times New Roman" w:hAnsi="Times New Roman" w:cs="Times New Roman"/>
          <w:sz w:val="28"/>
          <w:lang w:val="en-US"/>
        </w:rPr>
        <w:t>10.1007/s00401-008-0455-2</w:t>
      </w:r>
    </w:p>
    <w:p w:rsidR="009D5788" w:rsidRPr="009D5788" w:rsidRDefault="009D578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Herrlinger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U.,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Steinbrecher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A.,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Rieger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J.,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Hau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P.,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Kortmann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R.D.,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Meyermann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R., et al. Adult medulloblastoma: prognostic factors and response to therapy at diagnosis and at relapse // J Neurol . - 2005. - №252. - С. 291-299.</w:t>
      </w:r>
      <w:r>
        <w:rPr>
          <w:rFonts w:ascii="Times New Roman" w:hAnsi="Times New Roman" w:cs="Times New Roman"/>
          <w:sz w:val="28"/>
          <w:lang w:val="en-US"/>
        </w:rPr>
        <w:t>, doi</w:t>
      </w:r>
      <w:r w:rsidRPr="009D5788">
        <w:rPr>
          <w:rFonts w:ascii="Times New Roman" w:hAnsi="Times New Roman" w:cs="Times New Roman"/>
          <w:sz w:val="28"/>
          <w:lang w:val="en-US"/>
        </w:rPr>
        <w:t>: 10.1007/s00415-005-0560-2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9D5788" w:rsidRPr="009D5788" w:rsidRDefault="009D5788" w:rsidP="00FD2502">
      <w:pPr>
        <w:pStyle w:val="a3"/>
        <w:numPr>
          <w:ilvl w:val="0"/>
          <w:numId w:val="6"/>
        </w:numPr>
        <w:spacing w:line="360" w:lineRule="auto"/>
        <w:ind w:left="284" w:hanging="426"/>
        <w:rPr>
          <w:rFonts w:ascii="Times New Roman" w:hAnsi="Times New Roman" w:cs="Times New Roman"/>
          <w:sz w:val="28"/>
          <w:lang w:val="en-US"/>
        </w:rPr>
      </w:pPr>
      <w:r w:rsidRPr="009D5788">
        <w:rPr>
          <w:rFonts w:ascii="Times New Roman" w:hAnsi="Times New Roman" w:cs="Times New Roman"/>
          <w:sz w:val="28"/>
          <w:lang w:val="en-US"/>
        </w:rPr>
        <w:t xml:space="preserve">Gaffney C.C., Sloane J.P., Bradley N.J., Bloom H.J.G. Primitive neuroectodermal tumors of the cerebrum: pathology and treatment // J Neuro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. - 1985. - №3. - </w:t>
      </w:r>
      <w:proofErr w:type="gramStart"/>
      <w:r w:rsidRPr="009D5788">
        <w:rPr>
          <w:rFonts w:ascii="Times New Roman" w:hAnsi="Times New Roman" w:cs="Times New Roman"/>
          <w:sz w:val="28"/>
          <w:lang w:val="en-US"/>
        </w:rPr>
        <w:t>С. 23</w:t>
      </w:r>
      <w:proofErr w:type="gramEnd"/>
      <w:r w:rsidRPr="009D5788">
        <w:rPr>
          <w:rFonts w:ascii="Times New Roman" w:hAnsi="Times New Roman" w:cs="Times New Roman"/>
          <w:sz w:val="28"/>
          <w:lang w:val="en-US"/>
        </w:rPr>
        <w:t>–33.</w:t>
      </w:r>
    </w:p>
    <w:p w:rsidR="009D5788" w:rsidRPr="009D5788" w:rsidRDefault="009D578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Kouyialis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A.T.,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Boviatsis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E.I.,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Karampelas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I.K.,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Korfias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S.,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Korkolopoulou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P.,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Sakas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D.E. Primitive supratentorial neuroectodermal tumor in an adult. // J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Clin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Neurosci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. - 2005. - №12. - С. 492–495., </w:t>
      </w:r>
      <w:r>
        <w:rPr>
          <w:rFonts w:ascii="Times New Roman" w:hAnsi="Times New Roman" w:cs="Times New Roman"/>
          <w:sz w:val="28"/>
          <w:lang w:val="en-US"/>
        </w:rPr>
        <w:t>doi</w:t>
      </w:r>
      <w:r w:rsidRPr="009D5788">
        <w:rPr>
          <w:rFonts w:ascii="Times New Roman" w:hAnsi="Times New Roman" w:cs="Times New Roman"/>
          <w:sz w:val="28"/>
          <w:lang w:val="en-US"/>
        </w:rPr>
        <w:t>: 10.1016/j.jocn.2004.07.014.</w:t>
      </w:r>
    </w:p>
    <w:p w:rsidR="009D5788" w:rsidRDefault="009D578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D5788">
        <w:rPr>
          <w:rFonts w:ascii="Times New Roman" w:hAnsi="Times New Roman" w:cs="Times New Roman"/>
          <w:sz w:val="28"/>
          <w:lang w:val="en-US"/>
        </w:rPr>
        <w:t xml:space="preserve">Packer R.J., Sutton L.N.,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Elterman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R., Lange G.,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Goldwein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J., Nicholson H.S.,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Mulne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L.,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Boyett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J,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D'Angio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G., Wechsler-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Jentzsch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K.,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Reaman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G., Cohen B.H., Bruce D.A.,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Rorke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L.B, Molloy P., Ryan J.,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LaFond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D., Evans A.E.,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Schut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 L. Outcome for children with medulloblastoma treated with radiation and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displatin</w:t>
      </w:r>
      <w:proofErr w:type="spellEnd"/>
      <w:r w:rsidRPr="009D5788">
        <w:rPr>
          <w:rFonts w:ascii="Times New Roman" w:hAnsi="Times New Roman" w:cs="Times New Roman"/>
          <w:sz w:val="28"/>
          <w:lang w:val="en-US"/>
        </w:rPr>
        <w:t xml:space="preserve">, CCNU and vincristine chemotherapy // J </w:t>
      </w:r>
      <w:proofErr w:type="spellStart"/>
      <w:r w:rsidRPr="009D5788">
        <w:rPr>
          <w:rFonts w:ascii="Times New Roman" w:hAnsi="Times New Roman" w:cs="Times New Roman"/>
          <w:sz w:val="28"/>
          <w:lang w:val="en-US"/>
        </w:rPr>
        <w:t>Neurosur</w:t>
      </w:r>
      <w:r>
        <w:rPr>
          <w:rFonts w:ascii="Times New Roman" w:hAnsi="Times New Roman" w:cs="Times New Roman"/>
          <w:sz w:val="28"/>
          <w:lang w:val="en-US"/>
        </w:rPr>
        <w:t>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- 1994. - №81. - </w:t>
      </w:r>
      <w:proofErr w:type="gramStart"/>
      <w:r>
        <w:rPr>
          <w:rFonts w:ascii="Times New Roman" w:hAnsi="Times New Roman" w:cs="Times New Roman"/>
          <w:sz w:val="28"/>
          <w:lang w:val="en-US"/>
        </w:rPr>
        <w:t>С. 690</w:t>
      </w:r>
      <w:proofErr w:type="gramEnd"/>
      <w:r>
        <w:rPr>
          <w:rFonts w:ascii="Times New Roman" w:hAnsi="Times New Roman" w:cs="Times New Roman"/>
          <w:sz w:val="28"/>
          <w:lang w:val="en-US"/>
        </w:rPr>
        <w:t>–698.</w:t>
      </w:r>
    </w:p>
    <w:p w:rsidR="00E02C4B" w:rsidRDefault="00E02C4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02C4B">
        <w:rPr>
          <w:rFonts w:ascii="Times New Roman" w:hAnsi="Times New Roman" w:cs="Times New Roman"/>
          <w:sz w:val="28"/>
          <w:lang w:val="en-US"/>
        </w:rPr>
        <w:t>Biswas S., Burke A., Cherian S., Williams D., Nicholson J., Horan G., Jefferies S., Williams M., Earl H.M., Burnet N.G., Hatcher H. Non-pineal supratentorial primitive neuro- ectodermal tumors (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sPNET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) in teenagers and young adults: time to reconsider cisplatin based chemotherapy after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cranio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-spinal irradiation? //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Pediatr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Blood Cancer. - 2009. - №52. - С. 796–803.</w:t>
      </w:r>
      <w:r>
        <w:rPr>
          <w:rFonts w:ascii="Times New Roman" w:hAnsi="Times New Roman" w:cs="Times New Roman"/>
          <w:sz w:val="28"/>
          <w:lang w:val="en-US"/>
        </w:rPr>
        <w:t xml:space="preserve">, doi: </w:t>
      </w:r>
      <w:r w:rsidRPr="00E02C4B">
        <w:rPr>
          <w:rFonts w:ascii="Times New Roman" w:hAnsi="Times New Roman" w:cs="Times New Roman"/>
          <w:sz w:val="28"/>
          <w:lang w:val="en-US"/>
        </w:rPr>
        <w:t>10.1002/pbc.21899.</w:t>
      </w:r>
    </w:p>
    <w:p w:rsidR="00E02C4B" w:rsidRPr="00F15908" w:rsidRDefault="00E02C4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Krampulz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T., Hans V.H.,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Oppel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F., Dietrich U.,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Puchner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M.J.A. Long-term relapse-free survival with supratentorial primitive neuroectodermal tumor in an adult: a case report // J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Neurooncol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>. - 2006. - №77. - С. 291-294.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15908">
        <w:rPr>
          <w:rFonts w:ascii="Times New Roman" w:hAnsi="Times New Roman" w:cs="Times New Roman"/>
          <w:sz w:val="28"/>
          <w:lang w:val="en-US"/>
        </w:rPr>
        <w:t>doi</w:t>
      </w:r>
      <w:proofErr w:type="spellEnd"/>
      <w:r w:rsidRPr="00F15908">
        <w:rPr>
          <w:rFonts w:ascii="Times New Roman" w:hAnsi="Times New Roman" w:cs="Times New Roman"/>
          <w:sz w:val="28"/>
          <w:lang w:val="en-US"/>
        </w:rPr>
        <w:t>: 10.1186/1752-1947-6-361.</w:t>
      </w:r>
    </w:p>
    <w:p w:rsidR="00E02C4B" w:rsidRDefault="00E02C4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02C4B">
        <w:rPr>
          <w:rFonts w:ascii="Times New Roman" w:hAnsi="Times New Roman" w:cs="Times New Roman"/>
          <w:sz w:val="28"/>
          <w:lang w:val="en-US"/>
        </w:rPr>
        <w:t xml:space="preserve">Yang H.J., Nam D.H., Wang K.C., Kim Y.M., Chi J.G., Cho B.K. Supratentorial primitive neuroectodermal tumor in children: clinical features, treatment </w:t>
      </w:r>
      <w:r w:rsidRPr="00E02C4B">
        <w:rPr>
          <w:rFonts w:ascii="Times New Roman" w:hAnsi="Times New Roman" w:cs="Times New Roman"/>
          <w:sz w:val="28"/>
          <w:lang w:val="en-US"/>
        </w:rPr>
        <w:lastRenderedPageBreak/>
        <w:t xml:space="preserve">outcome and prognostic factors // Childs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Nerv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Syst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. - 1999. - №</w:t>
      </w:r>
      <w:proofErr w:type="gramStart"/>
      <w:r w:rsidRPr="00E02C4B">
        <w:rPr>
          <w:rFonts w:ascii="Times New Roman" w:hAnsi="Times New Roman" w:cs="Times New Roman"/>
          <w:sz w:val="28"/>
          <w:lang w:val="en-US"/>
        </w:rPr>
        <w:t>15(</w:t>
      </w:r>
      <w:proofErr w:type="gramEnd"/>
      <w:r w:rsidRPr="00E02C4B">
        <w:rPr>
          <w:rFonts w:ascii="Times New Roman" w:hAnsi="Times New Roman" w:cs="Times New Roman"/>
          <w:sz w:val="28"/>
          <w:lang w:val="en-US"/>
        </w:rPr>
        <w:t xml:space="preserve">8). - </w:t>
      </w:r>
      <w:proofErr w:type="gramStart"/>
      <w:r w:rsidRPr="00E02C4B">
        <w:rPr>
          <w:rFonts w:ascii="Times New Roman" w:hAnsi="Times New Roman" w:cs="Times New Roman"/>
          <w:sz w:val="28"/>
          <w:lang w:val="en-US"/>
        </w:rPr>
        <w:t>С. 377</w:t>
      </w:r>
      <w:proofErr w:type="gramEnd"/>
      <w:r w:rsidRPr="00E02C4B">
        <w:rPr>
          <w:rFonts w:ascii="Times New Roman" w:hAnsi="Times New Roman" w:cs="Times New Roman"/>
          <w:sz w:val="28"/>
          <w:lang w:val="en-US"/>
        </w:rPr>
        <w:t xml:space="preserve">-383. </w:t>
      </w:r>
    </w:p>
    <w:p w:rsidR="00E02C4B" w:rsidRDefault="00E02C4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02C4B">
        <w:rPr>
          <w:rFonts w:ascii="Times New Roman" w:hAnsi="Times New Roman" w:cs="Times New Roman"/>
          <w:sz w:val="28"/>
          <w:lang w:val="en-US"/>
        </w:rPr>
        <w:t xml:space="preserve">Reddy A.T.,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Janss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A.J., Phillips P.C., Weiss H.L., Packer R.J. Outcome for children with supratentorial primitive neuroectodermal tumors treated with surgery, radiation, and chemotherapy // Cancer. - 2000. - №</w:t>
      </w:r>
      <w:proofErr w:type="gramStart"/>
      <w:r w:rsidRPr="00E02C4B">
        <w:rPr>
          <w:rFonts w:ascii="Times New Roman" w:hAnsi="Times New Roman" w:cs="Times New Roman"/>
          <w:sz w:val="28"/>
          <w:lang w:val="en-US"/>
        </w:rPr>
        <w:t>88(</w:t>
      </w:r>
      <w:proofErr w:type="gramEnd"/>
      <w:r w:rsidRPr="00E02C4B">
        <w:rPr>
          <w:rFonts w:ascii="Times New Roman" w:hAnsi="Times New Roman" w:cs="Times New Roman"/>
          <w:sz w:val="28"/>
          <w:lang w:val="en-US"/>
        </w:rPr>
        <w:t>9). - С. 2189-2193.</w:t>
      </w:r>
      <w:r>
        <w:rPr>
          <w:rFonts w:ascii="Times New Roman" w:hAnsi="Times New Roman" w:cs="Times New Roman"/>
          <w:sz w:val="28"/>
          <w:lang w:val="en-US"/>
        </w:rPr>
        <w:t xml:space="preserve">, doi: </w:t>
      </w:r>
      <w:r w:rsidRPr="00E02C4B">
        <w:rPr>
          <w:rFonts w:ascii="Times New Roman" w:hAnsi="Times New Roman" w:cs="Times New Roman"/>
          <w:sz w:val="28"/>
          <w:lang w:val="en-US"/>
        </w:rPr>
        <w:t>10.1002/(sici)1097-0142(20000501)88:9&lt;2189::aid-cncr27&gt;3.0.co;2-g</w:t>
      </w:r>
    </w:p>
    <w:p w:rsidR="00E02C4B" w:rsidRDefault="00E02C4B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02C4B">
        <w:rPr>
          <w:rFonts w:ascii="Times New Roman" w:hAnsi="Times New Roman" w:cs="Times New Roman"/>
          <w:sz w:val="28"/>
          <w:lang w:val="en-US"/>
        </w:rPr>
        <w:t xml:space="preserve">Dirks P.B., Harris L., Hoffman H.J., Humphreys R.P., Drake J.M.,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Rutka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 xml:space="preserve"> J.T. Supratentorial primitive neuroectodermal tumors in children // J </w:t>
      </w:r>
      <w:proofErr w:type="spellStart"/>
      <w:r w:rsidRPr="00E02C4B">
        <w:rPr>
          <w:rFonts w:ascii="Times New Roman" w:hAnsi="Times New Roman" w:cs="Times New Roman"/>
          <w:sz w:val="28"/>
          <w:lang w:val="en-US"/>
        </w:rPr>
        <w:t>Neurooncol</w:t>
      </w:r>
      <w:proofErr w:type="spellEnd"/>
      <w:r w:rsidRPr="00E02C4B">
        <w:rPr>
          <w:rFonts w:ascii="Times New Roman" w:hAnsi="Times New Roman" w:cs="Times New Roman"/>
          <w:sz w:val="28"/>
          <w:lang w:val="en-US"/>
        </w:rPr>
        <w:t>. - 1996. - №</w:t>
      </w:r>
      <w:proofErr w:type="gramStart"/>
      <w:r w:rsidRPr="00E02C4B">
        <w:rPr>
          <w:rFonts w:ascii="Times New Roman" w:hAnsi="Times New Roman" w:cs="Times New Roman"/>
          <w:sz w:val="28"/>
          <w:lang w:val="en-US"/>
        </w:rPr>
        <w:t>29(</w:t>
      </w:r>
      <w:proofErr w:type="gramEnd"/>
      <w:r w:rsidRPr="00E02C4B">
        <w:rPr>
          <w:rFonts w:ascii="Times New Roman" w:hAnsi="Times New Roman" w:cs="Times New Roman"/>
          <w:sz w:val="28"/>
          <w:lang w:val="en-US"/>
        </w:rPr>
        <w:t xml:space="preserve">1). - </w:t>
      </w:r>
      <w:proofErr w:type="gramStart"/>
      <w:r w:rsidRPr="00E02C4B">
        <w:rPr>
          <w:rFonts w:ascii="Times New Roman" w:hAnsi="Times New Roman" w:cs="Times New Roman"/>
          <w:sz w:val="28"/>
          <w:lang w:val="en-US"/>
        </w:rPr>
        <w:t>С. 75</w:t>
      </w:r>
      <w:proofErr w:type="gramEnd"/>
      <w:r w:rsidRPr="00E02C4B">
        <w:rPr>
          <w:rFonts w:ascii="Times New Roman" w:hAnsi="Times New Roman" w:cs="Times New Roman"/>
          <w:sz w:val="28"/>
          <w:lang w:val="en-US"/>
        </w:rPr>
        <w:t>–84.</w:t>
      </w:r>
    </w:p>
    <w:p w:rsidR="00876B63" w:rsidRPr="005B3AB0" w:rsidRDefault="00B50909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B50909">
        <w:rPr>
          <w:rFonts w:ascii="Times New Roman" w:hAnsi="Times New Roman" w:cs="Times New Roman"/>
          <w:sz w:val="28"/>
          <w:lang w:val="en-US"/>
        </w:rPr>
        <w:t xml:space="preserve">Cohen B.H.,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Zeltzer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P.M.,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Boyett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J.M., Geyer J.R., Allen J.C., Finlay J.L. et al. Prognostic factors and treatment results for supratentorial primitive neuroectodermal tumors in children using radiation and chemotherapy: a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Childrens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Cancer Group randomized trial // J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Clin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>. - 1995. - №</w:t>
      </w:r>
      <w:proofErr w:type="gramStart"/>
      <w:r w:rsidRPr="00B50909">
        <w:rPr>
          <w:rFonts w:ascii="Times New Roman" w:hAnsi="Times New Roman" w:cs="Times New Roman"/>
          <w:sz w:val="28"/>
          <w:lang w:val="en-US"/>
        </w:rPr>
        <w:t>13(</w:t>
      </w:r>
      <w:proofErr w:type="gramEnd"/>
      <w:r w:rsidRPr="00B50909">
        <w:rPr>
          <w:rFonts w:ascii="Times New Roman" w:hAnsi="Times New Roman" w:cs="Times New Roman"/>
          <w:sz w:val="28"/>
          <w:lang w:val="en-US"/>
        </w:rPr>
        <w:t xml:space="preserve">7). - </w:t>
      </w:r>
      <w:proofErr w:type="gramStart"/>
      <w:r w:rsidRPr="00B50909">
        <w:rPr>
          <w:rFonts w:ascii="Times New Roman" w:hAnsi="Times New Roman" w:cs="Times New Roman"/>
          <w:sz w:val="28"/>
          <w:lang w:val="en-US"/>
        </w:rPr>
        <w:t>С. 1687</w:t>
      </w:r>
      <w:proofErr w:type="gramEnd"/>
      <w:r w:rsidRPr="00B50909">
        <w:rPr>
          <w:rFonts w:ascii="Times New Roman" w:hAnsi="Times New Roman" w:cs="Times New Roman"/>
          <w:sz w:val="28"/>
          <w:lang w:val="en-US"/>
        </w:rPr>
        <w:t>–1696.</w:t>
      </w:r>
      <w:r w:rsidR="00876B63" w:rsidRPr="005B3AB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76B63" w:rsidRPr="005B3AB0" w:rsidRDefault="00B50909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B50909">
        <w:rPr>
          <w:rFonts w:ascii="Times New Roman" w:hAnsi="Times New Roman" w:cs="Times New Roman"/>
          <w:sz w:val="28"/>
          <w:lang w:val="en-US"/>
        </w:rPr>
        <w:t xml:space="preserve">McBride S.M.,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Daganzo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S.M., Banerjee A., Gupta N.,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Lamborn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K.R., </w:t>
      </w:r>
      <w:proofErr w:type="spellStart"/>
      <w:r w:rsidRPr="00B50909">
        <w:rPr>
          <w:rFonts w:ascii="Times New Roman" w:hAnsi="Times New Roman" w:cs="Times New Roman"/>
          <w:sz w:val="28"/>
          <w:lang w:val="en-US"/>
        </w:rPr>
        <w:t>Prados</w:t>
      </w:r>
      <w:proofErr w:type="spellEnd"/>
      <w:r w:rsidRPr="00B50909">
        <w:rPr>
          <w:rFonts w:ascii="Times New Roman" w:hAnsi="Times New Roman" w:cs="Times New Roman"/>
          <w:sz w:val="28"/>
          <w:lang w:val="en-US"/>
        </w:rPr>
        <w:t xml:space="preserve"> M.D. et al. Radiation is an important component of multimodality therapy for pediatric non-pineal supratentorial primitive neuroectodermal tumors // International journal of radiation oncology, biology, physics. - 2008. - №</w:t>
      </w:r>
      <w:proofErr w:type="gramStart"/>
      <w:r w:rsidRPr="00B50909">
        <w:rPr>
          <w:rFonts w:ascii="Times New Roman" w:hAnsi="Times New Roman" w:cs="Times New Roman"/>
          <w:sz w:val="28"/>
          <w:lang w:val="en-US"/>
        </w:rPr>
        <w:t>72(</w:t>
      </w:r>
      <w:proofErr w:type="gramEnd"/>
      <w:r w:rsidRPr="00B50909">
        <w:rPr>
          <w:rFonts w:ascii="Times New Roman" w:hAnsi="Times New Roman" w:cs="Times New Roman"/>
          <w:sz w:val="28"/>
          <w:lang w:val="en-US"/>
        </w:rPr>
        <w:t>5). - С. 1319–</w:t>
      </w:r>
      <w:proofErr w:type="gramStart"/>
      <w:r w:rsidRPr="00B50909">
        <w:rPr>
          <w:rFonts w:ascii="Times New Roman" w:hAnsi="Times New Roman" w:cs="Times New Roman"/>
          <w:sz w:val="28"/>
          <w:lang w:val="en-US"/>
        </w:rPr>
        <w:t>1323.</w:t>
      </w:r>
      <w:r>
        <w:rPr>
          <w:rFonts w:ascii="Times New Roman" w:hAnsi="Times New Roman" w:cs="Times New Roman"/>
          <w:sz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doi: </w:t>
      </w:r>
      <w:r w:rsidR="00876B63" w:rsidRPr="005B3AB0">
        <w:rPr>
          <w:rFonts w:ascii="Times New Roman" w:hAnsi="Times New Roman" w:cs="Times New Roman"/>
          <w:sz w:val="28"/>
          <w:lang w:val="en-US"/>
        </w:rPr>
        <w:t>10.1016/j.ijrobp.2008.03.033</w:t>
      </w:r>
      <w:r w:rsidR="00F55DA7" w:rsidRPr="00B50909">
        <w:rPr>
          <w:rFonts w:ascii="Times New Roman" w:hAnsi="Times New Roman" w:cs="Times New Roman"/>
          <w:sz w:val="28"/>
          <w:lang w:val="en-US"/>
        </w:rPr>
        <w:t>.</w:t>
      </w:r>
      <w:r w:rsidR="00876B63" w:rsidRPr="005B3AB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76B63" w:rsidRPr="005B3AB0" w:rsidRDefault="008A057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Timmermann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B.,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Kortmann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R.D.,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Kuhl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J.,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Rutkowski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S.,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Meisner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C.,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Pietsch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T. et al. Role of radiotherapy in supratentorial primitive neuroectodermal tumor in young children: results of the German HIT-SKK87 and HIT-SKK92 trials // J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Clin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Oncol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>. - 2006. - №</w:t>
      </w:r>
      <w:proofErr w:type="gramStart"/>
      <w:r w:rsidRPr="008A0578">
        <w:rPr>
          <w:rFonts w:ascii="Times New Roman" w:hAnsi="Times New Roman" w:cs="Times New Roman"/>
          <w:sz w:val="28"/>
          <w:lang w:val="en-US"/>
        </w:rPr>
        <w:t>24(</w:t>
      </w:r>
      <w:proofErr w:type="gramEnd"/>
      <w:r w:rsidRPr="008A0578">
        <w:rPr>
          <w:rFonts w:ascii="Times New Roman" w:hAnsi="Times New Roman" w:cs="Times New Roman"/>
          <w:sz w:val="28"/>
          <w:lang w:val="en-US"/>
        </w:rPr>
        <w:t>10). - С. 1554–</w:t>
      </w:r>
      <w:proofErr w:type="gramStart"/>
      <w:r w:rsidRPr="008A0578">
        <w:rPr>
          <w:rFonts w:ascii="Times New Roman" w:hAnsi="Times New Roman" w:cs="Times New Roman"/>
          <w:sz w:val="28"/>
          <w:lang w:val="en-US"/>
        </w:rPr>
        <w:t>1560.</w:t>
      </w:r>
      <w:r>
        <w:rPr>
          <w:rFonts w:ascii="Times New Roman" w:hAnsi="Times New Roman" w:cs="Times New Roman"/>
          <w:sz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doi: </w:t>
      </w:r>
      <w:r w:rsidR="00876B63" w:rsidRPr="005B3AB0">
        <w:rPr>
          <w:rFonts w:ascii="Times New Roman" w:hAnsi="Times New Roman" w:cs="Times New Roman"/>
          <w:sz w:val="28"/>
          <w:lang w:val="en-US"/>
        </w:rPr>
        <w:t>10.1200/JCO.2005.04.8074.</w:t>
      </w:r>
    </w:p>
    <w:p w:rsidR="008A0578" w:rsidRDefault="008A057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8A0578">
        <w:rPr>
          <w:rFonts w:ascii="Times New Roman" w:hAnsi="Times New Roman" w:cs="Times New Roman"/>
          <w:sz w:val="28"/>
          <w:lang w:val="en-US"/>
        </w:rPr>
        <w:t xml:space="preserve">Gandhi R.,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Babu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 xml:space="preserve"> R., Cummings T.J., Adamson C. Adult primitive neuroectodermal tumors: the prognostic value of supratentorial location // J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Neurooncol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>. - 2013. - №</w:t>
      </w:r>
      <w:proofErr w:type="gramStart"/>
      <w:r w:rsidRPr="008A0578">
        <w:rPr>
          <w:rFonts w:ascii="Times New Roman" w:hAnsi="Times New Roman" w:cs="Times New Roman"/>
          <w:sz w:val="28"/>
          <w:lang w:val="en-US"/>
        </w:rPr>
        <w:t>114(</w:t>
      </w:r>
      <w:proofErr w:type="gramEnd"/>
      <w:r w:rsidRPr="008A0578">
        <w:rPr>
          <w:rFonts w:ascii="Times New Roman" w:hAnsi="Times New Roman" w:cs="Times New Roman"/>
          <w:sz w:val="28"/>
          <w:lang w:val="en-US"/>
        </w:rPr>
        <w:t>1). - С. 141–148.</w:t>
      </w:r>
      <w:r>
        <w:rPr>
          <w:rFonts w:ascii="Times New Roman" w:hAnsi="Times New Roman" w:cs="Times New Roman"/>
          <w:sz w:val="28"/>
          <w:lang w:val="en-US"/>
        </w:rPr>
        <w:t>,</w:t>
      </w:r>
      <w:r w:rsidRPr="008A0578">
        <w:rPr>
          <w:lang w:val="en-US"/>
        </w:rPr>
        <w:t xml:space="preserve"> </w:t>
      </w:r>
      <w:r w:rsidRPr="008A0578">
        <w:rPr>
          <w:rFonts w:ascii="Times New Roman" w:hAnsi="Times New Roman" w:cs="Times New Roman"/>
          <w:sz w:val="28"/>
          <w:lang w:val="en-US"/>
        </w:rPr>
        <w:t>doi: 10.1007/s11060-013-1163-x.</w:t>
      </w:r>
    </w:p>
    <w:p w:rsidR="00B105ED" w:rsidRPr="008A0578" w:rsidRDefault="008A0578" w:rsidP="00FD2502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8A0578">
        <w:rPr>
          <w:rFonts w:ascii="Times New Roman" w:hAnsi="Times New Roman" w:cs="Times New Roman"/>
          <w:sz w:val="28"/>
          <w:lang w:val="en-US"/>
        </w:rPr>
        <w:lastRenderedPageBreak/>
        <w:t xml:space="preserve">Louis D.N., Hochberg F.H. Cerebral primitive neuroectodermal tumor in an adult, with spinal cord metastasis after 18- year dormancy // J </w:t>
      </w:r>
      <w:proofErr w:type="spellStart"/>
      <w:r w:rsidRPr="008A0578">
        <w:rPr>
          <w:rFonts w:ascii="Times New Roman" w:hAnsi="Times New Roman" w:cs="Times New Roman"/>
          <w:sz w:val="28"/>
          <w:lang w:val="en-US"/>
        </w:rPr>
        <w:t>Neurooncol</w:t>
      </w:r>
      <w:proofErr w:type="spellEnd"/>
      <w:r w:rsidRPr="008A0578">
        <w:rPr>
          <w:rFonts w:ascii="Times New Roman" w:hAnsi="Times New Roman" w:cs="Times New Roman"/>
          <w:sz w:val="28"/>
          <w:lang w:val="en-US"/>
        </w:rPr>
        <w:t>. - 1990. - №</w:t>
      </w:r>
      <w:proofErr w:type="gramStart"/>
      <w:r w:rsidRPr="008A0578">
        <w:rPr>
          <w:rFonts w:ascii="Times New Roman" w:hAnsi="Times New Roman" w:cs="Times New Roman"/>
          <w:sz w:val="28"/>
          <w:lang w:val="en-US"/>
        </w:rPr>
        <w:t>9(</w:t>
      </w:r>
      <w:proofErr w:type="gramEnd"/>
      <w:r w:rsidRPr="008A0578">
        <w:rPr>
          <w:rFonts w:ascii="Times New Roman" w:hAnsi="Times New Roman" w:cs="Times New Roman"/>
          <w:sz w:val="28"/>
          <w:lang w:val="en-US"/>
        </w:rPr>
        <w:t xml:space="preserve">1). - </w:t>
      </w:r>
      <w:proofErr w:type="gramStart"/>
      <w:r w:rsidRPr="008A0578">
        <w:rPr>
          <w:rFonts w:ascii="Times New Roman" w:hAnsi="Times New Roman" w:cs="Times New Roman"/>
          <w:sz w:val="28"/>
          <w:lang w:val="en-US"/>
        </w:rPr>
        <w:t>С. 77</w:t>
      </w:r>
      <w:proofErr w:type="gramEnd"/>
      <w:r w:rsidRPr="008A0578">
        <w:rPr>
          <w:rFonts w:ascii="Times New Roman" w:hAnsi="Times New Roman" w:cs="Times New Roman"/>
          <w:sz w:val="28"/>
          <w:lang w:val="en-US"/>
        </w:rPr>
        <w:t>-80.</w:t>
      </w:r>
    </w:p>
    <w:sectPr w:rsidR="00B105ED" w:rsidRPr="008A0578" w:rsidSect="005B3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02" w:rsidRDefault="00825602" w:rsidP="00BF352E">
      <w:pPr>
        <w:spacing w:after="0" w:line="240" w:lineRule="auto"/>
      </w:pPr>
      <w:r>
        <w:separator/>
      </w:r>
    </w:p>
  </w:endnote>
  <w:endnote w:type="continuationSeparator" w:id="0">
    <w:p w:rsidR="00825602" w:rsidRDefault="00825602" w:rsidP="00BF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02" w:rsidRDefault="00825602" w:rsidP="00BF352E">
      <w:pPr>
        <w:spacing w:after="0" w:line="240" w:lineRule="auto"/>
      </w:pPr>
      <w:r>
        <w:separator/>
      </w:r>
    </w:p>
  </w:footnote>
  <w:footnote w:type="continuationSeparator" w:id="0">
    <w:p w:rsidR="00825602" w:rsidRDefault="00825602" w:rsidP="00BF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0A"/>
    <w:multiLevelType w:val="hybridMultilevel"/>
    <w:tmpl w:val="776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C23"/>
    <w:multiLevelType w:val="hybridMultilevel"/>
    <w:tmpl w:val="E95852B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D353E87"/>
    <w:multiLevelType w:val="hybridMultilevel"/>
    <w:tmpl w:val="685E6FBE"/>
    <w:lvl w:ilvl="0" w:tplc="52BEA0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1572D7C"/>
    <w:multiLevelType w:val="hybridMultilevel"/>
    <w:tmpl w:val="FC1A21E6"/>
    <w:lvl w:ilvl="0" w:tplc="40B261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DEB"/>
    <w:multiLevelType w:val="hybridMultilevel"/>
    <w:tmpl w:val="DE10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32507"/>
    <w:multiLevelType w:val="hybridMultilevel"/>
    <w:tmpl w:val="FEF8FB2A"/>
    <w:lvl w:ilvl="0" w:tplc="9D8A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751515"/>
    <w:multiLevelType w:val="hybridMultilevel"/>
    <w:tmpl w:val="F1E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AFF"/>
    <w:multiLevelType w:val="hybridMultilevel"/>
    <w:tmpl w:val="5A387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376"/>
    <w:multiLevelType w:val="hybridMultilevel"/>
    <w:tmpl w:val="0786DF04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55845F58"/>
    <w:multiLevelType w:val="hybridMultilevel"/>
    <w:tmpl w:val="E80A7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F512D9"/>
    <w:multiLevelType w:val="hybridMultilevel"/>
    <w:tmpl w:val="635AEE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70850C9"/>
    <w:multiLevelType w:val="hybridMultilevel"/>
    <w:tmpl w:val="DCECFC6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B7"/>
    <w:rsid w:val="00000B6E"/>
    <w:rsid w:val="00000D02"/>
    <w:rsid w:val="00012876"/>
    <w:rsid w:val="00014A1A"/>
    <w:rsid w:val="00027078"/>
    <w:rsid w:val="0003194B"/>
    <w:rsid w:val="000479A8"/>
    <w:rsid w:val="000558A1"/>
    <w:rsid w:val="00060AD9"/>
    <w:rsid w:val="00061298"/>
    <w:rsid w:val="00065A10"/>
    <w:rsid w:val="000B7C2D"/>
    <w:rsid w:val="000F2733"/>
    <w:rsid w:val="000F7F9C"/>
    <w:rsid w:val="0010103D"/>
    <w:rsid w:val="00103875"/>
    <w:rsid w:val="0012644D"/>
    <w:rsid w:val="001454CC"/>
    <w:rsid w:val="00153627"/>
    <w:rsid w:val="00177336"/>
    <w:rsid w:val="001B03C0"/>
    <w:rsid w:val="001E0F2D"/>
    <w:rsid w:val="001F0740"/>
    <w:rsid w:val="001F5BCD"/>
    <w:rsid w:val="001F7FA7"/>
    <w:rsid w:val="0022228A"/>
    <w:rsid w:val="00234435"/>
    <w:rsid w:val="0023599F"/>
    <w:rsid w:val="00242818"/>
    <w:rsid w:val="00250397"/>
    <w:rsid w:val="00253345"/>
    <w:rsid w:val="00262760"/>
    <w:rsid w:val="002766CF"/>
    <w:rsid w:val="002A3DEE"/>
    <w:rsid w:val="002A4D3F"/>
    <w:rsid w:val="002D0538"/>
    <w:rsid w:val="00301904"/>
    <w:rsid w:val="00310F2B"/>
    <w:rsid w:val="003117D7"/>
    <w:rsid w:val="00327CFD"/>
    <w:rsid w:val="00335E5F"/>
    <w:rsid w:val="00354E0E"/>
    <w:rsid w:val="003622E4"/>
    <w:rsid w:val="003638B0"/>
    <w:rsid w:val="00371DE8"/>
    <w:rsid w:val="00381857"/>
    <w:rsid w:val="003978F5"/>
    <w:rsid w:val="00400835"/>
    <w:rsid w:val="00456728"/>
    <w:rsid w:val="00473AEE"/>
    <w:rsid w:val="004868D5"/>
    <w:rsid w:val="004910BF"/>
    <w:rsid w:val="004D2738"/>
    <w:rsid w:val="004D7CF7"/>
    <w:rsid w:val="004E30C4"/>
    <w:rsid w:val="004E5B28"/>
    <w:rsid w:val="0054325A"/>
    <w:rsid w:val="0055353C"/>
    <w:rsid w:val="0055438A"/>
    <w:rsid w:val="00593CA2"/>
    <w:rsid w:val="00595D37"/>
    <w:rsid w:val="00596CC9"/>
    <w:rsid w:val="005A08C0"/>
    <w:rsid w:val="005A26F5"/>
    <w:rsid w:val="005A350F"/>
    <w:rsid w:val="005A4AB2"/>
    <w:rsid w:val="005B3AB0"/>
    <w:rsid w:val="005C459F"/>
    <w:rsid w:val="005C4F2C"/>
    <w:rsid w:val="005E279E"/>
    <w:rsid w:val="006058F5"/>
    <w:rsid w:val="00615073"/>
    <w:rsid w:val="00626B84"/>
    <w:rsid w:val="0062750C"/>
    <w:rsid w:val="00651E2C"/>
    <w:rsid w:val="00657105"/>
    <w:rsid w:val="00674F09"/>
    <w:rsid w:val="006A6DFD"/>
    <w:rsid w:val="006C732E"/>
    <w:rsid w:val="006D51A3"/>
    <w:rsid w:val="00701572"/>
    <w:rsid w:val="007321A6"/>
    <w:rsid w:val="00732667"/>
    <w:rsid w:val="0073394E"/>
    <w:rsid w:val="007346D6"/>
    <w:rsid w:val="00743B95"/>
    <w:rsid w:val="00762AA7"/>
    <w:rsid w:val="00763546"/>
    <w:rsid w:val="00766F80"/>
    <w:rsid w:val="00772DD5"/>
    <w:rsid w:val="00775C12"/>
    <w:rsid w:val="00790968"/>
    <w:rsid w:val="0079291F"/>
    <w:rsid w:val="007A2B03"/>
    <w:rsid w:val="007A4335"/>
    <w:rsid w:val="007E1E7C"/>
    <w:rsid w:val="007F335E"/>
    <w:rsid w:val="00801243"/>
    <w:rsid w:val="00825602"/>
    <w:rsid w:val="00876B63"/>
    <w:rsid w:val="00885667"/>
    <w:rsid w:val="008A0578"/>
    <w:rsid w:val="008B5977"/>
    <w:rsid w:val="008C568F"/>
    <w:rsid w:val="008C5E30"/>
    <w:rsid w:val="008E7988"/>
    <w:rsid w:val="009237DB"/>
    <w:rsid w:val="009350C8"/>
    <w:rsid w:val="0096262C"/>
    <w:rsid w:val="009640D5"/>
    <w:rsid w:val="00965670"/>
    <w:rsid w:val="0096640F"/>
    <w:rsid w:val="00990C3E"/>
    <w:rsid w:val="009952DF"/>
    <w:rsid w:val="009A45ED"/>
    <w:rsid w:val="009B19C2"/>
    <w:rsid w:val="009B6A89"/>
    <w:rsid w:val="009B71B7"/>
    <w:rsid w:val="009B7C85"/>
    <w:rsid w:val="009D5788"/>
    <w:rsid w:val="009F12EC"/>
    <w:rsid w:val="00A01273"/>
    <w:rsid w:val="00A16E48"/>
    <w:rsid w:val="00A214D7"/>
    <w:rsid w:val="00A24F72"/>
    <w:rsid w:val="00A302E9"/>
    <w:rsid w:val="00A37F11"/>
    <w:rsid w:val="00A85128"/>
    <w:rsid w:val="00AA1077"/>
    <w:rsid w:val="00AA160C"/>
    <w:rsid w:val="00AB58F9"/>
    <w:rsid w:val="00AC3B81"/>
    <w:rsid w:val="00AC591B"/>
    <w:rsid w:val="00AD0E67"/>
    <w:rsid w:val="00AD26C6"/>
    <w:rsid w:val="00AE3E8C"/>
    <w:rsid w:val="00AF1DA0"/>
    <w:rsid w:val="00AF3668"/>
    <w:rsid w:val="00B105ED"/>
    <w:rsid w:val="00B3211B"/>
    <w:rsid w:val="00B42A60"/>
    <w:rsid w:val="00B50909"/>
    <w:rsid w:val="00B52ADE"/>
    <w:rsid w:val="00B56301"/>
    <w:rsid w:val="00B60B4D"/>
    <w:rsid w:val="00B73C60"/>
    <w:rsid w:val="00B83A93"/>
    <w:rsid w:val="00B851F2"/>
    <w:rsid w:val="00B900DB"/>
    <w:rsid w:val="00BA6990"/>
    <w:rsid w:val="00BB54CE"/>
    <w:rsid w:val="00BF021C"/>
    <w:rsid w:val="00BF2D42"/>
    <w:rsid w:val="00BF352E"/>
    <w:rsid w:val="00C03F54"/>
    <w:rsid w:val="00C238EA"/>
    <w:rsid w:val="00C52CD3"/>
    <w:rsid w:val="00C52F53"/>
    <w:rsid w:val="00C53BCB"/>
    <w:rsid w:val="00C650B6"/>
    <w:rsid w:val="00CA4D09"/>
    <w:rsid w:val="00CD0121"/>
    <w:rsid w:val="00CE0D08"/>
    <w:rsid w:val="00D235C8"/>
    <w:rsid w:val="00D30433"/>
    <w:rsid w:val="00D45DC5"/>
    <w:rsid w:val="00D50F01"/>
    <w:rsid w:val="00D52B24"/>
    <w:rsid w:val="00D6620D"/>
    <w:rsid w:val="00D977BB"/>
    <w:rsid w:val="00DA21FB"/>
    <w:rsid w:val="00DB13E9"/>
    <w:rsid w:val="00DC1716"/>
    <w:rsid w:val="00DC181A"/>
    <w:rsid w:val="00DC68C8"/>
    <w:rsid w:val="00DE60D6"/>
    <w:rsid w:val="00E02C4B"/>
    <w:rsid w:val="00E67E78"/>
    <w:rsid w:val="00E742A5"/>
    <w:rsid w:val="00E833CF"/>
    <w:rsid w:val="00ED6E6A"/>
    <w:rsid w:val="00EF6DD6"/>
    <w:rsid w:val="00F0563F"/>
    <w:rsid w:val="00F07BBD"/>
    <w:rsid w:val="00F15908"/>
    <w:rsid w:val="00F23429"/>
    <w:rsid w:val="00F279EF"/>
    <w:rsid w:val="00F52FB9"/>
    <w:rsid w:val="00F55DA7"/>
    <w:rsid w:val="00F83DC5"/>
    <w:rsid w:val="00FB35FF"/>
    <w:rsid w:val="00FB4DA3"/>
    <w:rsid w:val="00FC4D00"/>
    <w:rsid w:val="00FC6B86"/>
    <w:rsid w:val="00FD2502"/>
    <w:rsid w:val="00FD3C14"/>
    <w:rsid w:val="00FE0E3B"/>
    <w:rsid w:val="00FE294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7D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3DC5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BF35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352E"/>
    <w:rPr>
      <w:sz w:val="20"/>
      <w:szCs w:val="20"/>
    </w:rPr>
  </w:style>
  <w:style w:type="character" w:styleId="a9">
    <w:name w:val="footnote reference"/>
    <w:uiPriority w:val="99"/>
    <w:unhideWhenUsed/>
    <w:rsid w:val="00BF352E"/>
    <w:rPr>
      <w:vertAlign w:val="superscript"/>
    </w:rPr>
  </w:style>
  <w:style w:type="paragraph" w:styleId="aa">
    <w:name w:val="No Spacing"/>
    <w:uiPriority w:val="1"/>
    <w:qFormat/>
    <w:rsid w:val="004D7C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43B9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43B9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43B9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43B95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B95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743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00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0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2D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0538"/>
  </w:style>
  <w:style w:type="paragraph" w:styleId="af3">
    <w:name w:val="footer"/>
    <w:basedOn w:val="a"/>
    <w:link w:val="af4"/>
    <w:uiPriority w:val="99"/>
    <w:unhideWhenUsed/>
    <w:rsid w:val="002D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7D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3DC5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BF35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352E"/>
    <w:rPr>
      <w:sz w:val="20"/>
      <w:szCs w:val="20"/>
    </w:rPr>
  </w:style>
  <w:style w:type="character" w:styleId="a9">
    <w:name w:val="footnote reference"/>
    <w:uiPriority w:val="99"/>
    <w:unhideWhenUsed/>
    <w:rsid w:val="00BF352E"/>
    <w:rPr>
      <w:vertAlign w:val="superscript"/>
    </w:rPr>
  </w:style>
  <w:style w:type="paragraph" w:styleId="aa">
    <w:name w:val="No Spacing"/>
    <w:uiPriority w:val="1"/>
    <w:qFormat/>
    <w:rsid w:val="004D7C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43B9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43B9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43B9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43B95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B95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743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00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0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2D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0538"/>
  </w:style>
  <w:style w:type="paragraph" w:styleId="af3">
    <w:name w:val="footer"/>
    <w:basedOn w:val="a"/>
    <w:link w:val="af4"/>
    <w:uiPriority w:val="99"/>
    <w:unhideWhenUsed/>
    <w:rsid w:val="002D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9E54CA-CAF6-4262-84F6-0E8A50E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8013</TotalTime>
  <Pages>42</Pages>
  <Words>8067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dcterms:created xsi:type="dcterms:W3CDTF">2020-05-01T16:40:00Z</dcterms:created>
  <dcterms:modified xsi:type="dcterms:W3CDTF">2020-05-25T13:27:00Z</dcterms:modified>
</cp:coreProperties>
</file>