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93" w:rsidRDefault="005A2793" w:rsidP="00E14453">
      <w:pPr>
        <w:pStyle w:val="a3"/>
        <w:spacing w:before="0" w:beforeAutospacing="0" w:after="0" w:afterAutospacing="0" w:line="360" w:lineRule="auto"/>
        <w:jc w:val="center"/>
        <w:rPr>
          <w:b/>
          <w:color w:val="0D0D0D" w:themeColor="text1" w:themeTint="F2"/>
          <w:sz w:val="28"/>
          <w:szCs w:val="28"/>
        </w:rPr>
      </w:pPr>
    </w:p>
    <w:p w:rsidR="005A2793" w:rsidRDefault="005A2793" w:rsidP="005A2793">
      <w:pPr>
        <w:pStyle w:val="af"/>
        <w:spacing w:before="67" w:line="242" w:lineRule="auto"/>
        <w:ind w:left="985" w:right="1095"/>
        <w:jc w:val="center"/>
      </w:pPr>
      <w:r>
        <w:t>ФГБОУ ВО «Санкт-Петербургский государственный университет» Направление «Медицина»</w:t>
      </w:r>
    </w:p>
    <w:p w:rsidR="005A2793" w:rsidRDefault="005A2793" w:rsidP="005A2793">
      <w:pPr>
        <w:pStyle w:val="af"/>
        <w:spacing w:line="318" w:lineRule="exact"/>
        <w:ind w:left="614"/>
      </w:pPr>
      <w:r>
        <w:t xml:space="preserve">Кафедра инфекционных болезней, эпидемиологии и </w:t>
      </w:r>
      <w:proofErr w:type="spellStart"/>
      <w:r>
        <w:t>дерматовенерологии</w:t>
      </w:r>
      <w:proofErr w:type="spellEnd"/>
    </w:p>
    <w:p w:rsidR="005A2793" w:rsidRDefault="005A2793" w:rsidP="005A2793">
      <w:pPr>
        <w:pStyle w:val="af"/>
        <w:tabs>
          <w:tab w:val="left" w:pos="1959"/>
        </w:tabs>
        <w:ind w:left="0"/>
        <w:rPr>
          <w:sz w:val="30"/>
        </w:rPr>
      </w:pPr>
      <w:r>
        <w:rPr>
          <w:sz w:val="30"/>
        </w:rPr>
        <w:tab/>
      </w:r>
    </w:p>
    <w:p w:rsidR="005A2793" w:rsidRDefault="005A2793" w:rsidP="005A2793">
      <w:pPr>
        <w:pStyle w:val="af"/>
        <w:ind w:left="0"/>
        <w:rPr>
          <w:sz w:val="30"/>
        </w:rPr>
      </w:pPr>
    </w:p>
    <w:p w:rsidR="005A2793" w:rsidRDefault="005A2793" w:rsidP="005A2793">
      <w:pPr>
        <w:pStyle w:val="af"/>
        <w:spacing w:before="10"/>
        <w:ind w:left="0"/>
        <w:rPr>
          <w:sz w:val="23"/>
        </w:rPr>
      </w:pPr>
    </w:p>
    <w:p w:rsidR="005A2793" w:rsidRDefault="005A2793" w:rsidP="005A2793">
      <w:pPr>
        <w:pStyle w:val="af"/>
        <w:ind w:right="6401"/>
      </w:pPr>
      <w:r>
        <w:t>Допускается к защите Заведующий кафедрой д.м.н., проф. Яковлев А.А.,</w:t>
      </w:r>
    </w:p>
    <w:p w:rsidR="005A2793" w:rsidRDefault="00672DD7" w:rsidP="005A2793">
      <w:pPr>
        <w:pStyle w:val="af"/>
        <w:spacing w:before="8"/>
        <w:ind w:left="0"/>
        <w:rPr>
          <w:sz w:val="23"/>
        </w:rPr>
      </w:pPr>
      <w:r w:rsidRPr="00672DD7">
        <w:rPr>
          <w:noProof/>
          <w:lang w:bidi="ar-SA"/>
        </w:rPr>
        <w:pict>
          <v:line id="Line 50" o:spid="_x0000_s1028" style="position:absolute;z-index:-251658752;visibility:visible;mso-wrap-distance-left:0;mso-wrap-distance-right:0;mso-position-horizontal-relative:page" from="88.6pt,15.9pt" to="256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2D4Hg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" strokeweight=".19811mm">
            <w10:wrap type="topAndBottom" anchorx="page"/>
          </v:line>
        </w:pict>
      </w:r>
    </w:p>
    <w:p w:rsidR="005A2793" w:rsidRDefault="005A2793" w:rsidP="005A2793">
      <w:pPr>
        <w:pStyle w:val="af"/>
        <w:spacing w:line="292" w:lineRule="exact"/>
        <w:ind w:left="551"/>
      </w:pPr>
      <w:r>
        <w:t>(подпись)</w:t>
      </w:r>
    </w:p>
    <w:p w:rsidR="005A2793" w:rsidRDefault="005A2793" w:rsidP="005A2793">
      <w:pPr>
        <w:pStyle w:val="af"/>
        <w:tabs>
          <w:tab w:val="left" w:pos="1180"/>
          <w:tab w:val="left" w:pos="2722"/>
        </w:tabs>
        <w:ind w:left="551"/>
      </w:pPr>
      <w:r>
        <w:t>«</w:t>
      </w:r>
      <w:r>
        <w:tab/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2020 г.</w:t>
      </w:r>
    </w:p>
    <w:p w:rsidR="005A2793" w:rsidRDefault="005A2793" w:rsidP="005A2793">
      <w:pPr>
        <w:pStyle w:val="af"/>
        <w:ind w:left="0"/>
        <w:rPr>
          <w:sz w:val="30"/>
        </w:rPr>
      </w:pPr>
    </w:p>
    <w:p w:rsidR="005A2793" w:rsidRDefault="005A2793" w:rsidP="005A2793">
      <w:pPr>
        <w:pStyle w:val="af"/>
        <w:ind w:left="0"/>
        <w:rPr>
          <w:sz w:val="30"/>
        </w:rPr>
      </w:pPr>
    </w:p>
    <w:p w:rsidR="005A2793" w:rsidRDefault="005A2793" w:rsidP="005A2793">
      <w:pPr>
        <w:pStyle w:val="af"/>
        <w:ind w:left="0"/>
        <w:rPr>
          <w:sz w:val="30"/>
        </w:rPr>
      </w:pPr>
    </w:p>
    <w:p w:rsidR="005A2793" w:rsidRDefault="005A2793" w:rsidP="005A2793">
      <w:pPr>
        <w:pStyle w:val="af"/>
        <w:ind w:left="0"/>
        <w:rPr>
          <w:sz w:val="30"/>
        </w:rPr>
      </w:pPr>
    </w:p>
    <w:p w:rsidR="005A2793" w:rsidRPr="0056607D" w:rsidRDefault="005A2793" w:rsidP="005A2793">
      <w:pPr>
        <w:pStyle w:val="af"/>
        <w:ind w:left="0"/>
        <w:jc w:val="center"/>
        <w:rPr>
          <w:color w:val="0D0D0D" w:themeColor="text1" w:themeTint="F2"/>
          <w:sz w:val="32"/>
          <w:szCs w:val="32"/>
        </w:rPr>
      </w:pPr>
    </w:p>
    <w:p w:rsidR="005A2793" w:rsidRPr="0056607D" w:rsidRDefault="005A2793" w:rsidP="005A2793">
      <w:pPr>
        <w:pStyle w:val="af"/>
        <w:ind w:left="0"/>
        <w:jc w:val="center"/>
        <w:rPr>
          <w:color w:val="0D0D0D" w:themeColor="text1" w:themeTint="F2"/>
          <w:sz w:val="32"/>
          <w:szCs w:val="32"/>
        </w:rPr>
      </w:pPr>
      <w:r w:rsidRPr="0056607D">
        <w:rPr>
          <w:color w:val="0D0D0D" w:themeColor="text1" w:themeTint="F2"/>
          <w:sz w:val="32"/>
          <w:szCs w:val="32"/>
          <w:shd w:val="clear" w:color="auto" w:fill="FFFFFF"/>
        </w:rPr>
        <w:t>Клинико-лабораторная характеристика вирусного гепатита С у пациентов на гемодиализе</w:t>
      </w:r>
    </w:p>
    <w:p w:rsidR="005A2793" w:rsidRDefault="005A2793" w:rsidP="005A2793">
      <w:pPr>
        <w:pStyle w:val="af"/>
        <w:ind w:left="0"/>
        <w:rPr>
          <w:b/>
          <w:sz w:val="34"/>
        </w:rPr>
      </w:pPr>
    </w:p>
    <w:p w:rsidR="005A2793" w:rsidRDefault="005A2793" w:rsidP="005A2793">
      <w:pPr>
        <w:pStyle w:val="af"/>
        <w:ind w:left="0"/>
        <w:rPr>
          <w:b/>
          <w:sz w:val="34"/>
        </w:rPr>
      </w:pPr>
    </w:p>
    <w:p w:rsidR="005A2793" w:rsidRDefault="005A2793" w:rsidP="005A2793">
      <w:pPr>
        <w:pStyle w:val="af"/>
        <w:spacing w:before="5"/>
        <w:ind w:left="0"/>
        <w:rPr>
          <w:b/>
          <w:sz w:val="37"/>
        </w:rPr>
      </w:pPr>
    </w:p>
    <w:p w:rsidR="005A2793" w:rsidRDefault="005A2793" w:rsidP="005A2793">
      <w:pPr>
        <w:pStyle w:val="af"/>
        <w:spacing w:before="5"/>
        <w:ind w:left="0"/>
        <w:rPr>
          <w:b/>
          <w:sz w:val="37"/>
        </w:rPr>
      </w:pPr>
    </w:p>
    <w:p w:rsidR="005A2793" w:rsidRDefault="005A2793" w:rsidP="005A2793">
      <w:pPr>
        <w:pStyle w:val="af"/>
        <w:ind w:left="6144" w:right="587" w:firstLine="1963"/>
        <w:jc w:val="right"/>
      </w:pPr>
      <w:r>
        <w:rPr>
          <w:spacing w:val="-1"/>
        </w:rPr>
        <w:t xml:space="preserve">Выполнила: </w:t>
      </w:r>
      <w:r>
        <w:t>студентка</w:t>
      </w:r>
      <w:r>
        <w:rPr>
          <w:spacing w:val="-5"/>
        </w:rPr>
        <w:t xml:space="preserve"> </w:t>
      </w:r>
      <w:r>
        <w:t>603группы Баскакова Регина Петровна Научный</w:t>
      </w:r>
      <w:r>
        <w:rPr>
          <w:spacing w:val="-8"/>
        </w:rPr>
        <w:t xml:space="preserve"> </w:t>
      </w:r>
      <w:r>
        <w:t>руководитель:</w:t>
      </w:r>
    </w:p>
    <w:p w:rsidR="005A2793" w:rsidRPr="008920C3" w:rsidRDefault="005A2793" w:rsidP="00B61E59">
      <w:pPr>
        <w:pStyle w:val="af"/>
        <w:spacing w:before="1"/>
        <w:ind w:left="4915"/>
      </w:pPr>
      <w:r>
        <w:t>к. м. н.,</w:t>
      </w:r>
      <w:r w:rsidR="008920C3">
        <w:t xml:space="preserve"> доц. Соколова Ольга Игоревна</w:t>
      </w:r>
    </w:p>
    <w:p w:rsidR="005A2793" w:rsidRDefault="005A2793" w:rsidP="005A2793">
      <w:pPr>
        <w:pStyle w:val="af"/>
        <w:ind w:left="0"/>
        <w:rPr>
          <w:sz w:val="30"/>
        </w:rPr>
      </w:pPr>
    </w:p>
    <w:p w:rsidR="005A2793" w:rsidRDefault="005A2793" w:rsidP="005A2793">
      <w:pPr>
        <w:pStyle w:val="af"/>
        <w:ind w:left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</w:t>
      </w:r>
    </w:p>
    <w:p w:rsidR="005A2793" w:rsidRDefault="005A2793" w:rsidP="005A2793">
      <w:pPr>
        <w:pStyle w:val="af"/>
        <w:ind w:left="0"/>
        <w:jc w:val="right"/>
        <w:rPr>
          <w:color w:val="0D0D0D" w:themeColor="text1" w:themeTint="F2"/>
        </w:rPr>
      </w:pPr>
    </w:p>
    <w:p w:rsidR="005A2793" w:rsidRDefault="005A2793" w:rsidP="005A2793">
      <w:pPr>
        <w:pStyle w:val="af"/>
        <w:ind w:left="0"/>
        <w:rPr>
          <w:color w:val="0D0D0D" w:themeColor="text1" w:themeTint="F2"/>
        </w:rPr>
      </w:pPr>
    </w:p>
    <w:p w:rsidR="005A2793" w:rsidRPr="00FA1479" w:rsidRDefault="005A2793" w:rsidP="005A2793">
      <w:pPr>
        <w:pStyle w:val="af"/>
        <w:ind w:left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                                     </w:t>
      </w:r>
      <w:r w:rsidRPr="00FA1479">
        <w:rPr>
          <w:color w:val="0D0D0D" w:themeColor="text1" w:themeTint="F2"/>
        </w:rPr>
        <w:t>Рецензент:</w:t>
      </w:r>
      <w:r>
        <w:rPr>
          <w:color w:val="0D0D0D" w:themeColor="text1" w:themeTint="F2"/>
        </w:rPr>
        <w:t xml:space="preserve"> </w:t>
      </w:r>
      <w:r w:rsidRPr="00FA1479">
        <w:rPr>
          <w:color w:val="0D0D0D" w:themeColor="text1" w:themeTint="F2"/>
        </w:rPr>
        <w:t>к.м.н. доц.</w:t>
      </w:r>
      <w:r w:rsidRPr="00FA1479">
        <w:rPr>
          <w:color w:val="0D0D0D" w:themeColor="text1" w:themeTint="F2"/>
          <w:shd w:val="clear" w:color="auto" w:fill="FFFFFF"/>
        </w:rPr>
        <w:t xml:space="preserve"> Романова Елена Сергеевна</w:t>
      </w:r>
    </w:p>
    <w:p w:rsidR="005A2793" w:rsidRPr="00FA1479" w:rsidRDefault="005A2793" w:rsidP="005A2793">
      <w:pPr>
        <w:pStyle w:val="af"/>
        <w:ind w:left="0"/>
        <w:rPr>
          <w:color w:val="0D0D0D" w:themeColor="text1" w:themeTint="F2"/>
        </w:rPr>
      </w:pPr>
    </w:p>
    <w:p w:rsidR="005A2793" w:rsidRPr="00FA1479" w:rsidRDefault="005A2793" w:rsidP="005A2793">
      <w:pPr>
        <w:pStyle w:val="af"/>
        <w:ind w:left="0"/>
        <w:rPr>
          <w:color w:val="0D0D0D" w:themeColor="text1" w:themeTint="F2"/>
        </w:rPr>
      </w:pPr>
    </w:p>
    <w:p w:rsidR="005A2793" w:rsidRDefault="005A2793" w:rsidP="005A2793">
      <w:pPr>
        <w:pStyle w:val="af"/>
        <w:spacing w:before="184"/>
        <w:ind w:left="3986" w:right="4093"/>
        <w:jc w:val="center"/>
        <w:rPr>
          <w:lang w:val="en-US"/>
        </w:rPr>
      </w:pPr>
    </w:p>
    <w:p w:rsidR="00B61E59" w:rsidRPr="00B61E59" w:rsidRDefault="00B61E59" w:rsidP="005A2793">
      <w:pPr>
        <w:pStyle w:val="af"/>
        <w:spacing w:before="184"/>
        <w:ind w:left="3986" w:right="4093"/>
        <w:jc w:val="center"/>
        <w:rPr>
          <w:lang w:val="en-US"/>
        </w:rPr>
      </w:pPr>
    </w:p>
    <w:p w:rsidR="005A2793" w:rsidRDefault="005A2793" w:rsidP="005A2793">
      <w:pPr>
        <w:pStyle w:val="af"/>
        <w:spacing w:before="184"/>
        <w:ind w:left="3986" w:right="4093"/>
        <w:jc w:val="center"/>
      </w:pPr>
      <w:r>
        <w:t>Санкт-Петербург</w:t>
      </w:r>
    </w:p>
    <w:p w:rsidR="005A2793" w:rsidRDefault="005A2793" w:rsidP="005A2793">
      <w:pPr>
        <w:pStyle w:val="af"/>
        <w:spacing w:before="184"/>
        <w:ind w:left="3986" w:right="4093"/>
        <w:jc w:val="center"/>
        <w:sectPr w:rsidR="005A2793" w:rsidSect="0061414C">
          <w:pgSz w:w="11910" w:h="16840"/>
          <w:pgMar w:top="1040" w:right="540" w:bottom="280" w:left="1220" w:header="720" w:footer="720" w:gutter="0"/>
          <w:cols w:space="720"/>
        </w:sectPr>
      </w:pPr>
      <w:r>
        <w:t>2020</w:t>
      </w:r>
    </w:p>
    <w:p w:rsidR="005A2793" w:rsidRDefault="005A2793" w:rsidP="00E14453">
      <w:pPr>
        <w:pStyle w:val="a3"/>
        <w:spacing w:before="0" w:beforeAutospacing="0" w:after="0" w:afterAutospacing="0" w:line="360" w:lineRule="auto"/>
        <w:jc w:val="center"/>
        <w:rPr>
          <w:b/>
          <w:color w:val="0D0D0D" w:themeColor="text1" w:themeTint="F2"/>
          <w:sz w:val="28"/>
          <w:szCs w:val="28"/>
        </w:rPr>
      </w:pPr>
    </w:p>
    <w:p w:rsidR="008A3A48" w:rsidRPr="00CD6008" w:rsidRDefault="008A3A48" w:rsidP="00E14453">
      <w:pPr>
        <w:pStyle w:val="a3"/>
        <w:spacing w:before="0" w:beforeAutospacing="0" w:after="0" w:afterAutospacing="0"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CD6008">
        <w:rPr>
          <w:b/>
          <w:color w:val="0D0D0D" w:themeColor="text1" w:themeTint="F2"/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09753728"/>
        <w:docPartObj>
          <w:docPartGallery w:val="Table of Contents"/>
          <w:docPartUnique/>
        </w:docPartObj>
      </w:sdtPr>
      <w:sdtContent>
        <w:p w:rsidR="00D12031" w:rsidRPr="00CD6008" w:rsidRDefault="00D12031">
          <w:pPr>
            <w:pStyle w:val="af8"/>
            <w:rPr>
              <w:rFonts w:ascii="Times New Roman" w:hAnsi="Times New Roman" w:cs="Times New Roman"/>
            </w:rPr>
          </w:pPr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r w:rsidRPr="00CD6008">
            <w:rPr>
              <w:rFonts w:cs="Times New Roman"/>
              <w:szCs w:val="28"/>
            </w:rPr>
            <w:fldChar w:fldCharType="begin"/>
          </w:r>
          <w:r w:rsidR="00E30C80" w:rsidRPr="00CD6008">
            <w:rPr>
              <w:rFonts w:cs="Times New Roman"/>
              <w:szCs w:val="28"/>
            </w:rPr>
            <w:instrText xml:space="preserve"> TOC \o "1-3" \h \z \u </w:instrText>
          </w:r>
          <w:r w:rsidRPr="00CD6008">
            <w:rPr>
              <w:rFonts w:cs="Times New Roman"/>
              <w:szCs w:val="28"/>
            </w:rPr>
            <w:fldChar w:fldCharType="separate"/>
          </w:r>
          <w:hyperlink w:anchor="_Toc41210030" w:history="1">
            <w:r w:rsidR="00895692">
              <w:rPr>
                <w:rStyle w:val="a4"/>
                <w:noProof/>
              </w:rPr>
              <w:t>Введение</w:t>
            </w:r>
            <w:r w:rsidR="00895692">
              <w:rPr>
                <w:noProof/>
                <w:webHidden/>
              </w:rPr>
              <w:tab/>
            </w:r>
            <w:r w:rsidR="00424F3C">
              <w:rPr>
                <w:noProof/>
                <w:webHidden/>
              </w:rPr>
              <w:t>4</w:t>
            </w:r>
          </w:hyperlink>
        </w:p>
        <w:p w:rsidR="00895692" w:rsidRPr="00895692" w:rsidRDefault="00672DD7" w:rsidP="005A2793">
          <w:pPr>
            <w:pStyle w:val="11"/>
            <w:spacing w:line="360" w:lineRule="auto"/>
            <w:rPr>
              <w:rFonts w:asciiTheme="minorHAnsi" w:hAnsiTheme="minorHAnsi"/>
              <w:sz w:val="22"/>
              <w:lang w:eastAsia="ru-RU"/>
            </w:rPr>
          </w:pPr>
          <w:hyperlink w:anchor="_Toc41210031" w:history="1">
            <w:r w:rsidR="00895692" w:rsidRPr="00895692">
              <w:rPr>
                <w:rStyle w:val="a4"/>
              </w:rPr>
              <w:t>Глава 1. Обзор литературы</w:t>
            </w:r>
            <w:r w:rsidR="00895692" w:rsidRPr="00895692">
              <w:rPr>
                <w:webHidden/>
              </w:rPr>
              <w:tab/>
            </w:r>
            <w:r w:rsidR="00424F3C">
              <w:rPr>
                <w:webHidden/>
              </w:rPr>
              <w:t>7</w:t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32" w:history="1">
            <w:r w:rsidR="00895692" w:rsidRPr="0055206D">
              <w:rPr>
                <w:rStyle w:val="a4"/>
                <w:rFonts w:cs="Times New Roman"/>
                <w:noProof/>
                <w:u w:color="0D0D0D"/>
              </w:rPr>
              <w:t>1.1.Этиология вирусного гепатита С</w:t>
            </w:r>
            <w:r w:rsidR="00895692">
              <w:rPr>
                <w:noProof/>
                <w:webHidden/>
              </w:rPr>
              <w:tab/>
            </w:r>
            <w:r w:rsidR="00424F3C">
              <w:rPr>
                <w:noProof/>
                <w:webHidden/>
              </w:rPr>
              <w:t>8</w:t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34" w:history="1">
            <w:r w:rsidR="00895692" w:rsidRPr="0055206D">
              <w:rPr>
                <w:rStyle w:val="a4"/>
                <w:noProof/>
                <w:u w:color="0D0D0D"/>
              </w:rPr>
              <w:t>1.2.Эпидемиология и превалентность ви</w:t>
            </w:r>
            <w:r w:rsidR="00895692">
              <w:rPr>
                <w:rStyle w:val="a4"/>
                <w:noProof/>
                <w:u w:color="0D0D0D"/>
              </w:rPr>
              <w:t>русного гепатита С на отделения</w:t>
            </w:r>
            <w:r w:rsidR="00895692">
              <w:rPr>
                <w:noProof/>
                <w:webHidden/>
              </w:rPr>
              <w:t>х</w:t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35" w:history="1">
            <w:r w:rsidR="00895692" w:rsidRPr="0055206D">
              <w:rPr>
                <w:rStyle w:val="a4"/>
                <w:noProof/>
                <w:u w:color="0D0D0D"/>
              </w:rPr>
              <w:t>гемодиализа</w:t>
            </w:r>
            <w:r w:rsidR="00895692">
              <w:rPr>
                <w:noProof/>
                <w:webHidden/>
              </w:rPr>
              <w:tab/>
            </w:r>
            <w:r w:rsidR="00424F3C">
              <w:rPr>
                <w:noProof/>
                <w:webHidden/>
              </w:rPr>
              <w:t>8</w:t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Style w:val="a4"/>
              <w:noProof/>
            </w:rPr>
          </w:pPr>
          <w:hyperlink w:anchor="_Toc41210039" w:history="1">
            <w:r w:rsidR="00895692" w:rsidRPr="0055206D">
              <w:rPr>
                <w:rStyle w:val="a4"/>
                <w:noProof/>
              </w:rPr>
              <w:t>1.3 Передача вирусного гепатита С на отделениях гемодиализа</w:t>
            </w:r>
            <w:r w:rsidR="008956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5692">
              <w:rPr>
                <w:noProof/>
                <w:webHidden/>
              </w:rPr>
              <w:instrText xml:space="preserve"> PAGEREF _Toc41210039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692">
              <w:rPr>
                <w:noProof/>
                <w:webHidden/>
              </w:rPr>
              <w:t>1</w:t>
            </w:r>
            <w:r w:rsidR="00424F3C"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5A6A" w:rsidRPr="002B5A6A" w:rsidRDefault="002B5A6A" w:rsidP="002B5A6A">
          <w:pPr>
            <w:spacing w:line="360" w:lineRule="auto"/>
            <w:jc w:val="both"/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t xml:space="preserve">   </w:t>
          </w:r>
          <w:r w:rsidRPr="00CD6008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t>1.4 Клиническое течение виру</w:t>
          </w:r>
          <w:r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t>сного гепатита С ............................................12</w:t>
          </w:r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40" w:history="1">
            <w:r w:rsidR="00895692" w:rsidRPr="0055206D">
              <w:rPr>
                <w:rStyle w:val="a4"/>
                <w:noProof/>
              </w:rPr>
              <w:t>1.5 Внепеченочные проявления вирусного гепатита С у пациентов на гемодиализе</w:t>
            </w:r>
            <w:r w:rsidR="008956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5692">
              <w:rPr>
                <w:noProof/>
                <w:webHidden/>
              </w:rPr>
              <w:instrText xml:space="preserve"> PAGEREF _Toc41210040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692">
              <w:rPr>
                <w:noProof/>
                <w:webHidden/>
              </w:rPr>
              <w:t>1</w:t>
            </w:r>
            <w:r w:rsidR="00424F3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41" w:history="1">
            <w:r w:rsidR="00895692" w:rsidRPr="0055206D">
              <w:rPr>
                <w:rStyle w:val="a4"/>
                <w:noProof/>
              </w:rPr>
              <w:t>1.6 Диагностика вирусного гепатита С</w:t>
            </w:r>
            <w:r w:rsidR="008956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5692">
              <w:rPr>
                <w:noProof/>
                <w:webHidden/>
              </w:rPr>
              <w:instrText xml:space="preserve"> PAGEREF _Toc41210041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692">
              <w:rPr>
                <w:noProof/>
                <w:webHidden/>
              </w:rPr>
              <w:t>1</w:t>
            </w:r>
            <w:r w:rsidR="00424F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Style w:val="a4"/>
              <w:noProof/>
            </w:rPr>
          </w:pPr>
          <w:hyperlink w:anchor="_Toc41210042" w:history="1">
            <w:r w:rsidR="00895692" w:rsidRPr="0055206D">
              <w:rPr>
                <w:rStyle w:val="a4"/>
                <w:noProof/>
              </w:rPr>
              <w:t>1.7 Лабораторные показатели вирусного гепатита С у пациентов на гемодиализе</w:t>
            </w:r>
            <w:r w:rsidR="00895692">
              <w:rPr>
                <w:noProof/>
                <w:webHidden/>
              </w:rPr>
              <w:tab/>
            </w:r>
            <w:r w:rsidR="00424F3C">
              <w:rPr>
                <w:noProof/>
                <w:webHidden/>
              </w:rPr>
              <w:t>17</w:t>
            </w:r>
          </w:hyperlink>
        </w:p>
        <w:p w:rsidR="005A2793" w:rsidRPr="005A2793" w:rsidRDefault="005A2793" w:rsidP="005A2793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t xml:space="preserve">         </w:t>
          </w:r>
          <w:r w:rsidRPr="005A2793">
            <w:rPr>
              <w:rFonts w:ascii="Times New Roman" w:hAnsi="Times New Roman" w:cs="Times New Roman"/>
              <w:sz w:val="28"/>
              <w:szCs w:val="28"/>
            </w:rPr>
            <w:t>1.7.1.Особенности изменений в клиническом анализе крови............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424F3C">
            <w:rPr>
              <w:rFonts w:ascii="Times New Roman" w:hAnsi="Times New Roman" w:cs="Times New Roman"/>
              <w:sz w:val="28"/>
              <w:szCs w:val="28"/>
            </w:rPr>
            <w:t>.......18</w:t>
          </w:r>
        </w:p>
        <w:p w:rsidR="00895692" w:rsidRPr="005A2793" w:rsidRDefault="00672DD7" w:rsidP="005A2793">
          <w:pPr>
            <w:pStyle w:val="31"/>
            <w:spacing w:line="360" w:lineRule="auto"/>
            <w:rPr>
              <w:rFonts w:cs="Times New Roman"/>
              <w:sz w:val="22"/>
              <w:lang w:eastAsia="ru-RU"/>
            </w:rPr>
          </w:pPr>
          <w:hyperlink w:anchor="_Toc41210043" w:history="1">
            <w:r w:rsidR="00895692" w:rsidRPr="005A2793">
              <w:rPr>
                <w:rStyle w:val="a4"/>
                <w:rFonts w:cs="Times New Roman"/>
              </w:rPr>
              <w:t>1.7.2.Особенности уровней трансаминаз</w:t>
            </w:r>
            <w:r w:rsidR="00895692" w:rsidRPr="005A2793">
              <w:rPr>
                <w:rFonts w:cs="Times New Roman"/>
                <w:webHidden/>
              </w:rPr>
              <w:tab/>
            </w:r>
            <w:r w:rsidR="00424F3C">
              <w:rPr>
                <w:rFonts w:cs="Times New Roman"/>
                <w:webHidden/>
              </w:rPr>
              <w:t>19</w:t>
            </w:r>
          </w:hyperlink>
        </w:p>
        <w:p w:rsidR="00895692" w:rsidRPr="005A2793" w:rsidRDefault="00672DD7" w:rsidP="005A2793">
          <w:pPr>
            <w:pStyle w:val="31"/>
            <w:spacing w:line="360" w:lineRule="auto"/>
            <w:rPr>
              <w:rFonts w:cs="Times New Roman"/>
              <w:sz w:val="22"/>
              <w:lang w:eastAsia="ru-RU"/>
            </w:rPr>
          </w:pPr>
          <w:hyperlink w:anchor="_Toc41210044" w:history="1">
            <w:r w:rsidR="00895692" w:rsidRPr="005A2793">
              <w:rPr>
                <w:rStyle w:val="a4"/>
                <w:rFonts w:cs="Times New Roman"/>
              </w:rPr>
              <w:t>1.7.3. Особенности показателей тромбоцитов</w:t>
            </w:r>
            <w:r w:rsidR="00895692" w:rsidRPr="005A2793">
              <w:rPr>
                <w:rFonts w:cs="Times New Roman"/>
                <w:webHidden/>
              </w:rPr>
              <w:tab/>
            </w:r>
            <w:r w:rsidRPr="005A2793">
              <w:rPr>
                <w:rFonts w:cs="Times New Roman"/>
                <w:webHidden/>
              </w:rPr>
              <w:fldChar w:fldCharType="begin"/>
            </w:r>
            <w:r w:rsidR="00895692" w:rsidRPr="005A2793">
              <w:rPr>
                <w:rFonts w:cs="Times New Roman"/>
                <w:webHidden/>
              </w:rPr>
              <w:instrText xml:space="preserve"> PAGEREF _Toc41210044 \h </w:instrText>
            </w:r>
            <w:r w:rsidRPr="005A2793">
              <w:rPr>
                <w:rFonts w:cs="Times New Roman"/>
                <w:webHidden/>
              </w:rPr>
            </w:r>
            <w:r w:rsidRPr="005A2793">
              <w:rPr>
                <w:rFonts w:cs="Times New Roman"/>
                <w:webHidden/>
              </w:rPr>
              <w:fldChar w:fldCharType="separate"/>
            </w:r>
            <w:r w:rsidR="00895692" w:rsidRPr="005A2793">
              <w:rPr>
                <w:rFonts w:cs="Times New Roman"/>
                <w:webHidden/>
              </w:rPr>
              <w:t>2</w:t>
            </w:r>
            <w:r w:rsidR="00424F3C">
              <w:rPr>
                <w:rFonts w:cs="Times New Roman"/>
                <w:webHidden/>
              </w:rPr>
              <w:t>0</w:t>
            </w:r>
            <w:r w:rsidRPr="005A2793">
              <w:rPr>
                <w:rFonts w:cs="Times New Roman"/>
                <w:webHidden/>
              </w:rPr>
              <w:fldChar w:fldCharType="end"/>
            </w:r>
          </w:hyperlink>
        </w:p>
        <w:p w:rsidR="00895692" w:rsidRPr="005A2793" w:rsidRDefault="00672DD7" w:rsidP="005A2793">
          <w:pPr>
            <w:pStyle w:val="31"/>
            <w:spacing w:line="360" w:lineRule="auto"/>
            <w:rPr>
              <w:rFonts w:cs="Times New Roman"/>
              <w:sz w:val="22"/>
              <w:lang w:eastAsia="ru-RU"/>
            </w:rPr>
          </w:pPr>
          <w:hyperlink w:anchor="_Toc41210045" w:history="1">
            <w:r w:rsidR="00895692" w:rsidRPr="005A2793">
              <w:rPr>
                <w:rStyle w:val="a4"/>
                <w:rFonts w:cs="Times New Roman"/>
              </w:rPr>
              <w:t>1.7.4.Особенности репликативной активности</w:t>
            </w:r>
            <w:r w:rsidR="00895692" w:rsidRPr="005A2793">
              <w:rPr>
                <w:rFonts w:cs="Times New Roman"/>
                <w:webHidden/>
              </w:rPr>
              <w:tab/>
            </w:r>
            <w:r w:rsidRPr="005A2793">
              <w:rPr>
                <w:rFonts w:cs="Times New Roman"/>
                <w:webHidden/>
              </w:rPr>
              <w:fldChar w:fldCharType="begin"/>
            </w:r>
            <w:r w:rsidR="00895692" w:rsidRPr="005A2793">
              <w:rPr>
                <w:rFonts w:cs="Times New Roman"/>
                <w:webHidden/>
              </w:rPr>
              <w:instrText xml:space="preserve"> PAGEREF _Toc41210045 \h </w:instrText>
            </w:r>
            <w:r w:rsidRPr="005A2793">
              <w:rPr>
                <w:rFonts w:cs="Times New Roman"/>
                <w:webHidden/>
              </w:rPr>
            </w:r>
            <w:r w:rsidRPr="005A2793">
              <w:rPr>
                <w:rFonts w:cs="Times New Roman"/>
                <w:webHidden/>
              </w:rPr>
              <w:fldChar w:fldCharType="separate"/>
            </w:r>
            <w:r w:rsidR="00895692" w:rsidRPr="005A2793">
              <w:rPr>
                <w:rFonts w:cs="Times New Roman"/>
                <w:webHidden/>
              </w:rPr>
              <w:t>2</w:t>
            </w:r>
            <w:r w:rsidR="00424F3C">
              <w:rPr>
                <w:rFonts w:cs="Times New Roman"/>
                <w:webHidden/>
              </w:rPr>
              <w:t>1</w:t>
            </w:r>
            <w:r w:rsidRPr="005A2793">
              <w:rPr>
                <w:rFonts w:cs="Times New Roman"/>
                <w:webHidden/>
              </w:rPr>
              <w:fldChar w:fldCharType="end"/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46" w:history="1">
            <w:r w:rsidR="00895692" w:rsidRPr="005A2793">
              <w:rPr>
                <w:rStyle w:val="a4"/>
                <w:rFonts w:cs="Times New Roman"/>
                <w:noProof/>
              </w:rPr>
              <w:t>Глава 2.Материалы и методы</w:t>
            </w:r>
            <w:r w:rsidR="00895692" w:rsidRPr="005A2793">
              <w:rPr>
                <w:rFonts w:cs="Times New Roman"/>
                <w:noProof/>
                <w:webHidden/>
              </w:rPr>
              <w:tab/>
            </w:r>
            <w:r w:rsidRPr="005A2793">
              <w:rPr>
                <w:rFonts w:cs="Times New Roman"/>
                <w:noProof/>
                <w:webHidden/>
              </w:rPr>
              <w:fldChar w:fldCharType="begin"/>
            </w:r>
            <w:r w:rsidR="00895692" w:rsidRPr="005A2793">
              <w:rPr>
                <w:rFonts w:cs="Times New Roman"/>
                <w:noProof/>
                <w:webHidden/>
              </w:rPr>
              <w:instrText xml:space="preserve"> PAGEREF _Toc41210046 \h </w:instrText>
            </w:r>
            <w:r w:rsidRPr="005A2793">
              <w:rPr>
                <w:rFonts w:cs="Times New Roman"/>
                <w:noProof/>
                <w:webHidden/>
              </w:rPr>
            </w:r>
            <w:r w:rsidRPr="005A2793">
              <w:rPr>
                <w:rFonts w:cs="Times New Roman"/>
                <w:noProof/>
                <w:webHidden/>
              </w:rPr>
              <w:fldChar w:fldCharType="separate"/>
            </w:r>
            <w:r w:rsidR="00895692" w:rsidRPr="005A2793">
              <w:rPr>
                <w:rFonts w:cs="Times New Roman"/>
                <w:noProof/>
                <w:webHidden/>
              </w:rPr>
              <w:t>2</w:t>
            </w:r>
            <w:r w:rsidR="00424F3C">
              <w:rPr>
                <w:rFonts w:cs="Times New Roman"/>
                <w:noProof/>
                <w:webHidden/>
              </w:rPr>
              <w:t>3</w:t>
            </w:r>
            <w:r w:rsidRPr="005A279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47" w:history="1">
            <w:r w:rsidR="00895692" w:rsidRPr="0055206D">
              <w:rPr>
                <w:rStyle w:val="a4"/>
                <w:noProof/>
              </w:rPr>
              <w:t>2.1 Материалы исследования</w:t>
            </w:r>
            <w:r w:rsidR="008956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5692">
              <w:rPr>
                <w:noProof/>
                <w:webHidden/>
              </w:rPr>
              <w:instrText xml:space="preserve"> PAGEREF _Toc41210047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692">
              <w:rPr>
                <w:noProof/>
                <w:webHidden/>
              </w:rPr>
              <w:t>2</w:t>
            </w:r>
            <w:r w:rsidR="00424F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48" w:history="1">
            <w:r w:rsidR="00895692" w:rsidRPr="0055206D">
              <w:rPr>
                <w:rStyle w:val="a4"/>
                <w:noProof/>
              </w:rPr>
              <w:t>2.2 Оценка клинических и биохимических показателей</w:t>
            </w:r>
            <w:r w:rsidR="008956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5692">
              <w:rPr>
                <w:noProof/>
                <w:webHidden/>
              </w:rPr>
              <w:instrText xml:space="preserve"> PAGEREF _Toc41210048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69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49" w:history="1">
            <w:r w:rsidR="00895692" w:rsidRPr="0055206D">
              <w:rPr>
                <w:rStyle w:val="a4"/>
                <w:noProof/>
              </w:rPr>
              <w:t>2.3. Статистическая обработка результатов</w:t>
            </w:r>
            <w:r w:rsidR="008956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5692">
              <w:rPr>
                <w:noProof/>
                <w:webHidden/>
              </w:rPr>
              <w:instrText xml:space="preserve"> PAGEREF _Toc41210049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692">
              <w:rPr>
                <w:noProof/>
                <w:webHidden/>
              </w:rPr>
              <w:t>2</w:t>
            </w:r>
            <w:r w:rsidR="00424F3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50" w:history="1">
            <w:r w:rsidR="00895692">
              <w:rPr>
                <w:rStyle w:val="a4"/>
                <w:noProof/>
                <w:shd w:val="clear" w:color="auto" w:fill="FFFFFF"/>
              </w:rPr>
              <w:t>Глава</w:t>
            </w:r>
            <w:r w:rsidR="00895692" w:rsidRPr="0055206D">
              <w:rPr>
                <w:rStyle w:val="a4"/>
                <w:noProof/>
                <w:shd w:val="clear" w:color="auto" w:fill="FFFFFF"/>
              </w:rPr>
              <w:t xml:space="preserve"> 3.Результаты и обсуждения</w:t>
            </w:r>
            <w:r w:rsidR="00895692">
              <w:rPr>
                <w:noProof/>
                <w:webHidden/>
              </w:rPr>
              <w:tab/>
            </w:r>
            <w:r w:rsidR="00424F3C">
              <w:rPr>
                <w:noProof/>
                <w:webHidden/>
              </w:rPr>
              <w:t>29</w:t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51" w:history="1">
            <w:r w:rsidR="00895692" w:rsidRPr="0055206D">
              <w:rPr>
                <w:rStyle w:val="a4"/>
                <w:noProof/>
                <w:shd w:val="clear" w:color="auto" w:fill="FFFFFF"/>
              </w:rPr>
              <w:t>3.1.Результаты</w:t>
            </w:r>
            <w:r w:rsidR="00895692">
              <w:rPr>
                <w:noProof/>
                <w:webHidden/>
              </w:rPr>
              <w:tab/>
            </w:r>
            <w:r w:rsidR="00424F3C">
              <w:rPr>
                <w:noProof/>
                <w:webHidden/>
              </w:rPr>
              <w:t>29</w:t>
            </w:r>
          </w:hyperlink>
        </w:p>
        <w:p w:rsidR="00895692" w:rsidRDefault="00672DD7" w:rsidP="005A2793">
          <w:pPr>
            <w:pStyle w:val="31"/>
            <w:spacing w:line="360" w:lineRule="auto"/>
            <w:rPr>
              <w:rFonts w:asciiTheme="minorHAnsi" w:hAnsiTheme="minorHAnsi"/>
              <w:sz w:val="22"/>
              <w:lang w:eastAsia="ru-RU"/>
            </w:rPr>
          </w:pPr>
          <w:hyperlink w:anchor="_Toc41210052" w:history="1">
            <w:r w:rsidR="00895692" w:rsidRPr="0055206D">
              <w:rPr>
                <w:rStyle w:val="a4"/>
                <w:shd w:val="clear" w:color="auto" w:fill="FFFFFF"/>
              </w:rPr>
              <w:t>3.1.1. Общая характеристика пациентов</w:t>
            </w:r>
            <w:r w:rsidR="0089569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95692">
              <w:rPr>
                <w:webHidden/>
              </w:rPr>
              <w:instrText xml:space="preserve"> PAGEREF _Toc41210052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24F3C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895692" w:rsidRDefault="00672DD7" w:rsidP="005A2793">
          <w:pPr>
            <w:pStyle w:val="31"/>
            <w:spacing w:line="360" w:lineRule="auto"/>
            <w:rPr>
              <w:rFonts w:asciiTheme="minorHAnsi" w:hAnsiTheme="minorHAnsi"/>
              <w:sz w:val="22"/>
              <w:lang w:eastAsia="ru-RU"/>
            </w:rPr>
          </w:pPr>
          <w:hyperlink w:anchor="_Toc41210053" w:history="1">
            <w:r w:rsidR="00895692">
              <w:rPr>
                <w:rStyle w:val="a4"/>
              </w:rPr>
              <w:t>3.1.2</w:t>
            </w:r>
            <w:r w:rsidR="00895692" w:rsidRPr="0055206D">
              <w:rPr>
                <w:rStyle w:val="a4"/>
              </w:rPr>
              <w:t>.Анализ клинического течения.</w:t>
            </w:r>
            <w:r w:rsidR="0089569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95692">
              <w:rPr>
                <w:webHidden/>
              </w:rPr>
              <w:instrText xml:space="preserve"> PAGEREF _Toc41210053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5692">
              <w:rPr>
                <w:webHidden/>
              </w:rPr>
              <w:t>3</w:t>
            </w:r>
            <w:r w:rsidR="003C0491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895692" w:rsidRDefault="00672DD7" w:rsidP="005A2793">
          <w:pPr>
            <w:pStyle w:val="31"/>
            <w:spacing w:line="360" w:lineRule="auto"/>
            <w:rPr>
              <w:rFonts w:asciiTheme="minorHAnsi" w:hAnsiTheme="minorHAnsi"/>
              <w:sz w:val="22"/>
              <w:lang w:eastAsia="ru-RU"/>
            </w:rPr>
          </w:pPr>
          <w:hyperlink w:anchor="_Toc41210055" w:history="1">
            <w:r w:rsidR="00895692">
              <w:rPr>
                <w:rStyle w:val="a4"/>
              </w:rPr>
              <w:t>3.1.3</w:t>
            </w:r>
            <w:r w:rsidR="00895692" w:rsidRPr="0055206D">
              <w:rPr>
                <w:rStyle w:val="a4"/>
              </w:rPr>
              <w:t>. Анализ лабораторных показателей пациентов.</w:t>
            </w:r>
            <w:r w:rsidR="00895692">
              <w:rPr>
                <w:webHidden/>
              </w:rPr>
              <w:tab/>
            </w:r>
            <w:r w:rsidR="005078FD">
              <w:rPr>
                <w:webHidden/>
              </w:rPr>
              <w:t>3</w:t>
            </w:r>
            <w:r w:rsidR="003C0491">
              <w:rPr>
                <w:webHidden/>
              </w:rPr>
              <w:t>9</w:t>
            </w:r>
          </w:hyperlink>
        </w:p>
        <w:p w:rsidR="00895692" w:rsidRDefault="00672DD7" w:rsidP="005A2793">
          <w:pPr>
            <w:pStyle w:val="31"/>
            <w:spacing w:line="360" w:lineRule="auto"/>
            <w:rPr>
              <w:rFonts w:asciiTheme="minorHAnsi" w:hAnsiTheme="minorHAnsi"/>
              <w:sz w:val="22"/>
              <w:lang w:eastAsia="ru-RU"/>
            </w:rPr>
          </w:pPr>
          <w:hyperlink w:anchor="_Toc41210056" w:history="1">
            <w:r w:rsidR="00895692">
              <w:rPr>
                <w:rStyle w:val="a4"/>
              </w:rPr>
              <w:t>3.1.4</w:t>
            </w:r>
            <w:r w:rsidR="00895692" w:rsidRPr="0055206D">
              <w:rPr>
                <w:rStyle w:val="a4"/>
              </w:rPr>
              <w:t>.Анализ репликативной активности</w:t>
            </w:r>
            <w:r w:rsidR="0089569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95692">
              <w:rPr>
                <w:webHidden/>
              </w:rPr>
              <w:instrText xml:space="preserve"> PAGEREF _Toc41210056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5692">
              <w:rPr>
                <w:webHidden/>
              </w:rPr>
              <w:t>4</w:t>
            </w:r>
            <w:r w:rsidR="003C0491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57" w:history="1">
            <w:r w:rsidR="00895692" w:rsidRPr="0055206D">
              <w:rPr>
                <w:rStyle w:val="a4"/>
                <w:noProof/>
              </w:rPr>
              <w:t>3.2 Обсуждение</w:t>
            </w:r>
            <w:r w:rsidR="008956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5692">
              <w:rPr>
                <w:noProof/>
                <w:webHidden/>
              </w:rPr>
              <w:instrText xml:space="preserve"> PAGEREF _Toc41210057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5692">
              <w:rPr>
                <w:noProof/>
                <w:webHidden/>
              </w:rPr>
              <w:t>4</w:t>
            </w:r>
            <w:r w:rsidR="003C049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5692" w:rsidRDefault="00672DD7" w:rsidP="005A2793">
          <w:pPr>
            <w:pStyle w:val="21"/>
            <w:tabs>
              <w:tab w:val="right" w:leader="dot" w:pos="9345"/>
            </w:tabs>
            <w:spacing w:line="360" w:lineRule="auto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1210058" w:history="1">
            <w:r w:rsidR="00895692" w:rsidRPr="0055206D">
              <w:rPr>
                <w:rStyle w:val="a4"/>
                <w:noProof/>
              </w:rPr>
              <w:t>3.3.Выводы</w:t>
            </w:r>
            <w:r w:rsidR="00895692">
              <w:rPr>
                <w:noProof/>
                <w:webHidden/>
              </w:rPr>
              <w:tab/>
            </w:r>
            <w:r w:rsidR="005078FD">
              <w:rPr>
                <w:noProof/>
                <w:webHidden/>
              </w:rPr>
              <w:t>4</w:t>
            </w:r>
            <w:r w:rsidR="00A74562">
              <w:rPr>
                <w:noProof/>
                <w:webHidden/>
              </w:rPr>
              <w:t>6</w:t>
            </w:r>
          </w:hyperlink>
        </w:p>
        <w:p w:rsidR="005A2793" w:rsidRPr="005A2793" w:rsidRDefault="005A2793" w:rsidP="005A2793">
          <w:pPr>
            <w:pStyle w:val="31"/>
            <w:rPr>
              <w:rStyle w:val="a4"/>
              <w:color w:val="0D0D0D" w:themeColor="text1" w:themeTint="F2"/>
              <w:u w:val="none"/>
            </w:rPr>
          </w:pPr>
          <w:r w:rsidRPr="005A2793">
            <w:rPr>
              <w:rStyle w:val="a4"/>
              <w:color w:val="0D0D0D" w:themeColor="text1" w:themeTint="F2"/>
              <w:u w:val="none"/>
            </w:rPr>
            <w:t>Список литературы.........................................................................................</w:t>
          </w:r>
          <w:r w:rsidR="005078FD">
            <w:rPr>
              <w:rStyle w:val="a4"/>
              <w:color w:val="0D0D0D" w:themeColor="text1" w:themeTint="F2"/>
              <w:u w:val="none"/>
            </w:rPr>
            <w:t>4</w:t>
          </w:r>
          <w:r w:rsidR="00A74562">
            <w:rPr>
              <w:rStyle w:val="a4"/>
              <w:color w:val="0D0D0D" w:themeColor="text1" w:themeTint="F2"/>
              <w:u w:val="none"/>
            </w:rPr>
            <w:t>7</w:t>
          </w:r>
        </w:p>
        <w:p w:rsidR="00895692" w:rsidRDefault="00672DD7" w:rsidP="005A2793">
          <w:pPr>
            <w:pStyle w:val="31"/>
            <w:rPr>
              <w:rFonts w:asciiTheme="minorHAnsi" w:hAnsiTheme="minorHAnsi"/>
              <w:sz w:val="22"/>
              <w:lang w:eastAsia="ru-RU"/>
            </w:rPr>
          </w:pPr>
          <w:hyperlink w:anchor="_Toc41210060" w:history="1">
            <w:r w:rsidR="00895692" w:rsidRPr="0055206D">
              <w:rPr>
                <w:rStyle w:val="a4"/>
              </w:rPr>
              <w:t>Список используемых сокращений</w:t>
            </w:r>
            <w:r w:rsidR="0089569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95692">
              <w:rPr>
                <w:webHidden/>
              </w:rPr>
              <w:instrText xml:space="preserve"> PAGEREF _Toc41210060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5692">
              <w:rPr>
                <w:webHidden/>
              </w:rPr>
              <w:t>5</w:t>
            </w:r>
            <w:r w:rsidR="003C0491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1177B8" w:rsidRPr="00895692" w:rsidRDefault="00672DD7" w:rsidP="00895692">
          <w:pPr>
            <w:rPr>
              <w:rFonts w:ascii="Times New Roman" w:hAnsi="Times New Roman" w:cs="Times New Roman"/>
              <w:sz w:val="28"/>
              <w:szCs w:val="28"/>
            </w:rPr>
          </w:pPr>
          <w:r w:rsidRPr="00CD6008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end"/>
          </w:r>
        </w:p>
      </w:sdtContent>
    </w:sdt>
    <w:p w:rsidR="005A2793" w:rsidRDefault="005A2793" w:rsidP="00D74C7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A2793" w:rsidRDefault="005A2793" w:rsidP="00D74C7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A2793" w:rsidRDefault="005A2793" w:rsidP="00D74C7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A2793" w:rsidRDefault="005A2793" w:rsidP="00D74C7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A2793" w:rsidRDefault="005A2793" w:rsidP="00D74C7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A2793" w:rsidRDefault="005A2793" w:rsidP="00D74C7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A2793" w:rsidRDefault="005A2793" w:rsidP="00D74C7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A2793" w:rsidRDefault="005A2793" w:rsidP="00D74C7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A2793" w:rsidRDefault="005A2793" w:rsidP="00D74C7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A2793" w:rsidRDefault="005A2793" w:rsidP="00D74C7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A2793" w:rsidRDefault="005A2793" w:rsidP="00D74C7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D04C4" w:rsidRDefault="00BD04C4" w:rsidP="00BD04C4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D04C4" w:rsidRDefault="00BD04C4" w:rsidP="00BD04C4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D04C4" w:rsidRDefault="00BD04C4" w:rsidP="00BD04C4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D04C4" w:rsidRPr="00076759" w:rsidRDefault="00BD04C4" w:rsidP="00BD04C4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Введение</w:t>
      </w: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Программный гемодиализ был внедрен в клиническую практику в 1960 году, с этого момента он является основным методом заместительной почечной терапии. Считается, что для 80% пациентов с терминальной почечной недостаточностью используется данный тип лечения</w:t>
      </w:r>
      <w:r w:rsidRPr="00CD6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[1]</w:t>
      </w:r>
      <w:r w:rsidRPr="00CD600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BD04C4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Согласно данным статистики в Российской Федерации к началу 2019 года работало 628 отделений/центров заместительной почечной терапии :155 было открыто за период 2016-2018 гг. (в 2016 - 42, в 2017 – 51, в 2018 - 62):571 отделений являлись отделением/центром диализа, в 120 проводился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перитонеальный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диализ, 46 центров функционировали в качестве центров трансплантации почки. Количество пациентов с ХБП 5 ст., получающих  заместительную почечную терапию на 31.12.2018 г составило 54953 человек. Темп прироста больных в 2018 г. по отношению к 2017 году снизился и составил 6,4%. Показатель обеспеченности ЗПТ в целом в пересчете на 1 млн. населения на 31.12.2018 г. в среднем по России составил до 374,4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больн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./млн. Число пациентов, впервые начавших диализ (суммарно ГД и ПД) в течение 2018 г., составило 11070 человек (75,4 чел./млн.): гемодиализ - 10285 чел. (93%),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перитонеальный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диализ - 785 пациентов (7%). Общее количество пациентов, получавших терапию диализом на 31.12.2018 г. составило 45206 человек (82,3% от числа получавших ЗПТ). В среднем по стране обеспеченность диализом (суммарно гемодиализом и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перитонеальным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диализом) составила 308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больн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./млн. (ГД — 290,4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больн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./млн., ПД — 17,6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больн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./млн.)[2]. Таким образом, можно сделать вывод, что с каждым годом пациентов данной категории становится все боль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Лечение аппаратным гемодиализом имеет достаточно осложнений, одним из важнейших является инфицирование пациентов вирусными гепатитами. </w:t>
      </w:r>
    </w:p>
    <w:p w:rsidR="00BD04C4" w:rsidRPr="00CD6008" w:rsidRDefault="002C796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C79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BD04C4" w:rsidRPr="00E91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Согласно данным мировой статистики </w:t>
      </w:r>
      <w:proofErr w:type="spellStart"/>
      <w:r w:rsidR="00BD04C4" w:rsidRPr="00E91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превалентность</w:t>
      </w:r>
      <w:proofErr w:type="spellEnd"/>
      <w:r w:rsidR="00BD04C4" w:rsidRPr="00E91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вирусного гепатита С в мире составляет 3% (200 миллионов человек)[3].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литературе</w:t>
      </w:r>
      <w:r w:rsidR="00BD04C4" w:rsidRPr="00E91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говорится о  2 - 5 </w:t>
      </w:r>
      <w:proofErr w:type="spellStart"/>
      <w:r w:rsidR="00BD04C4" w:rsidRPr="00E91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млн</w:t>
      </w:r>
      <w:proofErr w:type="spellEnd"/>
      <w:r w:rsidR="00BD04C4" w:rsidRPr="00E91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больных ХГC в России. За весь период официальной регистрации в </w:t>
      </w:r>
      <w:r w:rsidR="00BD04C4" w:rsidRPr="00E91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РФ было выявлено более 500 000 случаев хронического вирусного гепатита С  и более 1 800 000 случаев обнаружения только антител к ВГС,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 создает потенциальную опасность для населения групп риска, в том числе и для   пациентов, получающих лечение аппаратным гемодиализом</w:t>
      </w:r>
      <w:r w:rsidR="00BD04C4" w:rsidRPr="00E91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0" w:name="_GoBack"/>
      <w:bookmarkEnd w:id="0"/>
      <w:r w:rsidR="00BD04C4" w:rsidRPr="00E91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данным российского регистра заместительной почечной терапии, частота выявления ВГС у пациентов с хронической болезнью п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очек в России </w:t>
      </w:r>
      <w:r w:rsidR="00BD04C4" w:rsidRPr="00E91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составляет 8,6%[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BD04C4" w:rsidRPr="00E91D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Пациенты, получающие лечение гемодиализом имеют особенности иммунной системы и гомеостаза, что несколько изменяет течение вирусных гепатитов.</w:t>
      </w:r>
    </w:p>
    <w:p w:rsidR="00BD04C4" w:rsidRPr="00CD6008" w:rsidRDefault="00BD04C4" w:rsidP="00BD04C4">
      <w:pPr>
        <w:pStyle w:val="af"/>
        <w:spacing w:line="360" w:lineRule="auto"/>
        <w:ind w:right="590"/>
        <w:jc w:val="both"/>
        <w:rPr>
          <w:color w:val="0D0D0D" w:themeColor="text1" w:themeTint="F2"/>
        </w:rPr>
      </w:pPr>
      <w:r w:rsidRPr="00CD6008">
        <w:rPr>
          <w:b/>
          <w:color w:val="0D0D0D" w:themeColor="text1" w:themeTint="F2"/>
        </w:rPr>
        <w:t xml:space="preserve">Цель работы </w:t>
      </w:r>
      <w:r w:rsidRPr="00CD6008">
        <w:rPr>
          <w:color w:val="0D0D0D" w:themeColor="text1" w:themeTint="F2"/>
        </w:rPr>
        <w:t>– уточнить клинико-лабораторные характеристики  пациентов с вирусным гепатитом С, проходящих лечение аппаратным гемодиализом.</w:t>
      </w:r>
    </w:p>
    <w:p w:rsidR="00BD04C4" w:rsidRPr="00CD6008" w:rsidRDefault="00BD04C4" w:rsidP="00BD04C4">
      <w:pPr>
        <w:pStyle w:val="2"/>
        <w:spacing w:before="199" w:line="360" w:lineRule="auto"/>
        <w:rPr>
          <w:color w:val="0D0D0D" w:themeColor="text1" w:themeTint="F2"/>
          <w:sz w:val="28"/>
          <w:szCs w:val="28"/>
        </w:rPr>
      </w:pPr>
      <w:bookmarkStart w:id="1" w:name="_Toc40707383"/>
      <w:bookmarkStart w:id="2" w:name="_Toc40707957"/>
      <w:bookmarkStart w:id="3" w:name="_Toc40708073"/>
      <w:bookmarkStart w:id="4" w:name="_Toc41210030"/>
      <w:r w:rsidRPr="00CD6008">
        <w:rPr>
          <w:color w:val="0D0D0D" w:themeColor="text1" w:themeTint="F2"/>
          <w:sz w:val="28"/>
          <w:szCs w:val="28"/>
        </w:rPr>
        <w:t>Задачи:</w:t>
      </w:r>
      <w:bookmarkEnd w:id="1"/>
      <w:bookmarkEnd w:id="2"/>
      <w:bookmarkEnd w:id="3"/>
      <w:bookmarkEnd w:id="4"/>
    </w:p>
    <w:p w:rsidR="00BD04C4" w:rsidRPr="00CD6008" w:rsidRDefault="00BD04C4" w:rsidP="00BD04C4">
      <w:pPr>
        <w:pStyle w:val="ae"/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after="0" w:line="360" w:lineRule="auto"/>
        <w:ind w:right="589" w:firstLine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Определить общую распространенность (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серопревалентность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вирусного гепатита С среди пациентов отделений гемодиализа города Санкт-Петербурга.</w:t>
      </w:r>
    </w:p>
    <w:p w:rsidR="00BD04C4" w:rsidRPr="00CD6008" w:rsidRDefault="00BD04C4" w:rsidP="00BD04C4">
      <w:pPr>
        <w:pStyle w:val="ae"/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after="0" w:line="360" w:lineRule="auto"/>
        <w:ind w:right="589" w:firstLine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Уточнить уровень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репликативной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активности вируса гепатита С среди когорты пациентов,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имеющих антитела к вирусу гепатита С  и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находящихся на лечении аппаратным гемодиализом 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СПбГБУЗ</w:t>
      </w:r>
      <w:proofErr w:type="spellEnd"/>
      <w:r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«КИБ им. С. П. Боткина».</w:t>
      </w:r>
    </w:p>
    <w:p w:rsidR="00BD04C4" w:rsidRPr="005048B2" w:rsidRDefault="00BD04C4" w:rsidP="00BD04C4">
      <w:pPr>
        <w:pStyle w:val="ae"/>
        <w:widowControl w:val="0"/>
        <w:numPr>
          <w:ilvl w:val="0"/>
          <w:numId w:val="3"/>
        </w:numPr>
        <w:tabs>
          <w:tab w:val="left" w:pos="883"/>
          <w:tab w:val="left" w:pos="998"/>
        </w:tabs>
        <w:autoSpaceDE w:val="0"/>
        <w:autoSpaceDN w:val="0"/>
        <w:spacing w:before="200" w:after="0" w:line="360" w:lineRule="auto"/>
        <w:ind w:right="596" w:firstLine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048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Проанализировать клинические и лабораторные показатели  пациентов, имеющих антитела к вирусу гепатита С и получающих лечение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аппаратным</w:t>
      </w:r>
      <w:r w:rsidRPr="005048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гемодиализом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5048B2" w:rsidRDefault="00BD04C4" w:rsidP="00BD04C4">
      <w:pPr>
        <w:pStyle w:val="ae"/>
        <w:widowControl w:val="0"/>
        <w:numPr>
          <w:ilvl w:val="0"/>
          <w:numId w:val="3"/>
        </w:numPr>
        <w:tabs>
          <w:tab w:val="left" w:pos="883"/>
          <w:tab w:val="left" w:pos="998"/>
        </w:tabs>
        <w:autoSpaceDE w:val="0"/>
        <w:autoSpaceDN w:val="0"/>
        <w:spacing w:before="200" w:after="0" w:line="360" w:lineRule="auto"/>
        <w:ind w:right="596" w:firstLine="0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048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Сравнить результаты полученные, в ходе изучения </w:t>
      </w:r>
      <w:proofErr w:type="spellStart"/>
      <w:r w:rsidRPr="005048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клинико</w:t>
      </w:r>
      <w:proofErr w:type="spellEnd"/>
      <w:r w:rsidRPr="005048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-лабораторных данных пациентов, им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еющих антитела к вирусу гепатита</w:t>
      </w:r>
      <w:r w:rsidRPr="005048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С, с данными литературы и результатами клинического и лабораторного анализа показателей пациентов, не имеющих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ВГ</w:t>
      </w:r>
      <w:r w:rsidRPr="005048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С. </w:t>
      </w:r>
    </w:p>
    <w:p w:rsidR="00BD04C4" w:rsidRPr="00CD6008" w:rsidRDefault="00BD04C4" w:rsidP="00BD04C4">
      <w:pPr>
        <w:pStyle w:val="af"/>
        <w:spacing w:before="1" w:line="360" w:lineRule="auto"/>
        <w:ind w:right="585" w:firstLine="707"/>
        <w:jc w:val="both"/>
        <w:rPr>
          <w:color w:val="0D0D0D" w:themeColor="text1" w:themeTint="F2"/>
        </w:rPr>
      </w:pPr>
      <w:r w:rsidRPr="00CD6008">
        <w:rPr>
          <w:b/>
          <w:color w:val="0D0D0D" w:themeColor="text1" w:themeTint="F2"/>
        </w:rPr>
        <w:lastRenderedPageBreak/>
        <w:t>Практическая значимость</w:t>
      </w:r>
      <w:r w:rsidRPr="00CD6008">
        <w:rPr>
          <w:color w:val="0D0D0D" w:themeColor="text1" w:themeTint="F2"/>
        </w:rPr>
        <w:t xml:space="preserve">: работа включает анализ случаев выявления вирусного гепатита С среди пациентов центров диализа города Санкт-Петербурга. Определен ряд клинико-лабораторных особенностей течения инфекции у данной категории пациентов. Результаты работы могут быть использованы для разработки принципов профилактики  инфицирования вирусными гепатитами пациентов, находящихся на лечении аппаратным гемодиализом, более ранней диагностики, прогнозирования клинического течения ВГС в данной группе пациентов, а также для совершенствования тактики лечения  данных </w:t>
      </w:r>
      <w:r w:rsidRPr="00CD6008">
        <w:rPr>
          <w:color w:val="0D0D0D" w:themeColor="text1" w:themeTint="F2"/>
          <w:spacing w:val="-10"/>
        </w:rPr>
        <w:t>пациентов</w:t>
      </w:r>
      <w:r w:rsidRPr="00CD6008">
        <w:rPr>
          <w:color w:val="0D0D0D" w:themeColor="text1" w:themeTint="F2"/>
        </w:rPr>
        <w:t>.</w:t>
      </w:r>
      <w:bookmarkStart w:id="5" w:name="_Toc39549600"/>
    </w:p>
    <w:p w:rsidR="00BD04C4" w:rsidRPr="00CD6008" w:rsidRDefault="00BD04C4" w:rsidP="00BD04C4">
      <w:pPr>
        <w:pStyle w:val="1"/>
        <w:rPr>
          <w:rFonts w:ascii="Times New Roman" w:hAnsi="Times New Roman" w:cs="Times New Roman"/>
          <w:color w:val="0D0D0D" w:themeColor="text1" w:themeTint="F2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rPr>
          <w:rFonts w:ascii="Times New Roman" w:hAnsi="Times New Roman" w:cs="Times New Roman"/>
          <w:sz w:val="28"/>
          <w:szCs w:val="28"/>
        </w:rPr>
      </w:pPr>
    </w:p>
    <w:p w:rsidR="00BD04C4" w:rsidRPr="00CD6008" w:rsidRDefault="00BD04C4" w:rsidP="00BD04C4">
      <w:pPr>
        <w:pStyle w:val="1"/>
        <w:jc w:val="center"/>
        <w:rPr>
          <w:rFonts w:ascii="Times New Roman" w:hAnsi="Times New Roman" w:cs="Times New Roman"/>
          <w:b w:val="0"/>
          <w:bCs w:val="0"/>
          <w:color w:val="0D0D0D" w:themeColor="text1" w:themeTint="F2"/>
        </w:rPr>
      </w:pPr>
      <w:bookmarkStart w:id="6" w:name="_Toc41210031"/>
      <w:r w:rsidRPr="00CD6008">
        <w:rPr>
          <w:rFonts w:ascii="Times New Roman" w:hAnsi="Times New Roman" w:cs="Times New Roman"/>
          <w:color w:val="0D0D0D" w:themeColor="text1" w:themeTint="F2"/>
        </w:rPr>
        <w:lastRenderedPageBreak/>
        <w:t>Глава 1. Обзор литератур</w:t>
      </w:r>
      <w:bookmarkEnd w:id="5"/>
      <w:r w:rsidRPr="00CD6008">
        <w:rPr>
          <w:rFonts w:ascii="Times New Roman" w:hAnsi="Times New Roman" w:cs="Times New Roman"/>
          <w:color w:val="0D0D0D" w:themeColor="text1" w:themeTint="F2"/>
        </w:rPr>
        <w:t>ы</w:t>
      </w:r>
      <w:bookmarkEnd w:id="6"/>
    </w:p>
    <w:p w:rsidR="00BD04C4" w:rsidRPr="00CD6008" w:rsidRDefault="00BD04C4" w:rsidP="00BD04C4">
      <w:pPr>
        <w:pStyle w:val="af1"/>
        <w:tabs>
          <w:tab w:val="left" w:pos="2254"/>
        </w:tabs>
        <w:spacing w:line="360" w:lineRule="auto"/>
        <w:ind w:firstLine="851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  <w:u w:color="0D0D0D"/>
        </w:rPr>
      </w:pPr>
      <w:bookmarkStart w:id="7" w:name="_Toc40706883"/>
    </w:p>
    <w:p w:rsidR="00BD04C4" w:rsidRPr="00CD6008" w:rsidRDefault="00BD04C4" w:rsidP="00BD04C4">
      <w:pPr>
        <w:pStyle w:val="af1"/>
        <w:tabs>
          <w:tab w:val="left" w:pos="2254"/>
        </w:tabs>
        <w:spacing w:line="360" w:lineRule="auto"/>
        <w:ind w:firstLine="851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  <w:u w:color="0D0D0D"/>
        </w:rPr>
      </w:pPr>
      <w:bookmarkStart w:id="8" w:name="_Toc41210032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u w:color="0D0D0D"/>
        </w:rPr>
        <w:t>1.1.Этиология вирусного гепатита С</w:t>
      </w:r>
      <w:bookmarkEnd w:id="7"/>
      <w:bookmarkEnd w:id="8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u w:color="0D0D0D"/>
        </w:rPr>
        <w:t xml:space="preserve"> </w:t>
      </w:r>
    </w:p>
    <w:p w:rsidR="00BD04C4" w:rsidRPr="00CD6008" w:rsidRDefault="00BD04C4" w:rsidP="00BD04C4">
      <w:pPr>
        <w:pStyle w:val="af1"/>
        <w:tabs>
          <w:tab w:val="left" w:pos="2254"/>
        </w:tabs>
        <w:spacing w:line="360" w:lineRule="auto"/>
        <w:ind w:firstLine="851"/>
        <w:jc w:val="both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  <w:u w:color="0D0D0D"/>
        </w:rPr>
      </w:pPr>
      <w:bookmarkStart w:id="9" w:name="_Toc40706884"/>
      <w:bookmarkStart w:id="10" w:name="_Toc40707386"/>
      <w:bookmarkStart w:id="11" w:name="_Toc40707960"/>
      <w:bookmarkStart w:id="12" w:name="_Toc40708076"/>
      <w:bookmarkStart w:id="13" w:name="_Toc41210033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Вирус гепатита С впервые был выделен группой ученых во главе с М.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Houghton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Q.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Choo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1989 году. Вирус относится к семейству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Flaviviridae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внутри которого является единственным представителем рода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Hepacivirus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Геном вируса представлен однонитевой линейной РНК размером 9,5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kb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включающей в себя две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нетранслируемые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 (5, UTR и 3, UTR), между которыми расположена транслируемая область. Сигнальные последовательности 5, — и 3, —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нетранслируемых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областей рассматриваются как необходимые для осуществления репликации вирусной РНК. Последовательность нуклеотидов, занимающая большую часть 5, —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нетранслируемой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 и небольшой участок РНК, кодирующий С-протеин, представляет собой IRES (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internal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ribosome-entry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site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). Структурные белки формируют вирусную частицу и представлены ядерным протеином, образующим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нуклеокапсид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двумя поверхностными белками Е1 и Е2. Неструктурные белки (NS) участвуют в репликации гено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 ВГС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процессинге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полипротеина-предшественника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представлены 7 протеинами, выполняющие в основном функции ферментов: p7 (NIS), NS2, NS3, NS4A, NS5A, NS5B. С-белок (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core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— протеин, — 21кDа) формирует внутреннюю часть вириона[5]. Существует 6 основных генотипов ВГС, в каждом генотипе  выделяют несколько (или более) подтипов. Важно отметить, что географическое распространение генотипов довольно разнится в зависимости от стран и континентов, однако  генотип 1 является наиболее распространенным по всему миру. Подтип 1b чаще встречается в Европе и Японии, в то время как подтип 1а преобладает в Соединенных штатах. Генотип 2 наиболее распространен в Северной Америке, Европе, Японии (подтипы А и В) и в северной Италии (подтип С), в остальных частях Италии преобладают подтипы 2а и 3а. Подтип 3а часто встречается в Индии, генотип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4 распространен в Северной Африке и Среднем Востоке. В Российской Федерации наиболее распространен первый генотип. Интересным моментом является то, что пациенты на диализе подвержены смешанным генотипическим инфекциям из-за многократных воздействий в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иализной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среде.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Ранее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смешанные инфекции не выявлялись из-за отсутствия чувствительных молекулярных методов. После совершенствования  методов  диагностики, было обнаружено, что 13% пациентов отделений гемодиализа, инфицированных ВГС, имели смешанную инфекцию, большинство пациентов имело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1a подтип как преобладающий  в смешанной инфекции[6].</w:t>
      </w:r>
      <w:bookmarkEnd w:id="9"/>
      <w:bookmarkEnd w:id="10"/>
      <w:bookmarkEnd w:id="11"/>
      <w:bookmarkEnd w:id="12"/>
      <w:bookmarkEnd w:id="13"/>
    </w:p>
    <w:p w:rsidR="00BD04C4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  <w:u w:color="0D0D0D"/>
        </w:rPr>
      </w:pPr>
      <w:bookmarkStart w:id="14" w:name="_Toc41210034"/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  <w:u w:color="0D0D0D"/>
        </w:rPr>
      </w:pPr>
      <w:r w:rsidRPr="00CD6008">
        <w:rPr>
          <w:b w:val="0"/>
          <w:color w:val="0D0D0D" w:themeColor="text1" w:themeTint="F2"/>
          <w:sz w:val="28"/>
          <w:szCs w:val="28"/>
          <w:u w:color="0D0D0D"/>
        </w:rPr>
        <w:t xml:space="preserve">1.2.Эпидемиология и </w:t>
      </w:r>
      <w:proofErr w:type="spellStart"/>
      <w:r w:rsidRPr="00CD6008">
        <w:rPr>
          <w:b w:val="0"/>
          <w:color w:val="0D0D0D" w:themeColor="text1" w:themeTint="F2"/>
          <w:sz w:val="28"/>
          <w:szCs w:val="28"/>
          <w:u w:color="0D0D0D"/>
        </w:rPr>
        <w:t>превалентность</w:t>
      </w:r>
      <w:proofErr w:type="spellEnd"/>
      <w:r w:rsidRPr="00CD6008">
        <w:rPr>
          <w:b w:val="0"/>
          <w:color w:val="0D0D0D" w:themeColor="text1" w:themeTint="F2"/>
          <w:sz w:val="28"/>
          <w:szCs w:val="28"/>
          <w:u w:color="0D0D0D"/>
        </w:rPr>
        <w:t xml:space="preserve"> вирусного гепатита С на отделениях</w:t>
      </w:r>
      <w:bookmarkEnd w:id="14"/>
      <w:r w:rsidRPr="00CD6008">
        <w:rPr>
          <w:b w:val="0"/>
          <w:color w:val="0D0D0D" w:themeColor="text1" w:themeTint="F2"/>
          <w:sz w:val="28"/>
          <w:szCs w:val="28"/>
          <w:u w:color="0D0D0D"/>
        </w:rPr>
        <w:t xml:space="preserve"> </w:t>
      </w: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  <w:u w:color="0D0D0D"/>
        </w:rPr>
      </w:pPr>
      <w:bookmarkStart w:id="15" w:name="_Toc41210035"/>
      <w:r w:rsidRPr="00CD6008">
        <w:rPr>
          <w:b w:val="0"/>
          <w:color w:val="0D0D0D" w:themeColor="text1" w:themeTint="F2"/>
          <w:sz w:val="28"/>
          <w:szCs w:val="28"/>
          <w:u w:color="0D0D0D"/>
        </w:rPr>
        <w:t>гемодиализа</w:t>
      </w:r>
      <w:bookmarkEnd w:id="15"/>
    </w:p>
    <w:p w:rsidR="00BD04C4" w:rsidRPr="00CD6008" w:rsidRDefault="00BD04C4" w:rsidP="00BD04C4">
      <w:pPr>
        <w:shd w:val="clear" w:color="auto" w:fill="FFFFFF"/>
        <w:spacing w:before="240" w:after="120" w:line="360" w:lineRule="auto"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16" w:name="_Toc41210036"/>
      <w:bookmarkStart w:id="17" w:name="_Toc40706885"/>
      <w:bookmarkStart w:id="18" w:name="_Toc40707388"/>
      <w:bookmarkStart w:id="19" w:name="_Toc40707963"/>
      <w:bookmarkStart w:id="20" w:name="_Toc40708079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Распространенность ВГС во всем мире составляет 3%, всего заражено 200  миллионов человек[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 Диапазон колебаний показателей весьма широк – от 1,0 до 74,4  %. Распространенность в Африке и Юго-Восточной Азии колеблется от 10% до 70 %. В регионах Западной части Тихого океана диапазон распространенности находится между 2,5% и 4,9%, в то время как в некоторых частях Среднего Востока распространенность ВГС достигает 13% [6]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6008">
        <w:rPr>
          <w:rFonts w:ascii="Times New Roman" w:hAnsi="Times New Roman" w:cs="Times New Roman"/>
          <w:sz w:val="28"/>
          <w:szCs w:val="28"/>
        </w:rPr>
        <w:t>В России в 2014 г. показатель заболеваемости вирусным гепатитом С составил 51,68 на 100 тыс. населения[5]</w:t>
      </w: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bookmarkEnd w:id="16"/>
    </w:p>
    <w:p w:rsidR="00BD04C4" w:rsidRPr="00CD6008" w:rsidRDefault="008920C3" w:rsidP="00BD04C4">
      <w:pPr>
        <w:shd w:val="clear" w:color="auto" w:fill="FFFFFF"/>
        <w:spacing w:before="240" w:after="120" w:line="360" w:lineRule="auto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1" w:name="_Toc41210037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proofErr w:type="spellStart"/>
      <w:r w:rsidR="00BD04C4"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Превалентность</w:t>
      </w:r>
      <w:proofErr w:type="spellEnd"/>
      <w:r w:rsidR="00BD04C4"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вирусного гепатита С на отделениях гемодиализа широко варьируется в различных странах и географических регионах. Например,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Северной Европе (5%) показатель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превалентности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значительно меньше чем, в южной Европе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(10%) и Соединенных Штатах(10%)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[11]. В Греции показатель распространенности ВГС на отд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елениях гемодиализа составил 7,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5%, 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это значение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был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получен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ходе обследования  7016 пациентов  ОГД в 2003 году[7].</w:t>
      </w:r>
      <w:bookmarkEnd w:id="17"/>
      <w:bookmarkEnd w:id="18"/>
      <w:bookmarkEnd w:id="19"/>
      <w:bookmarkEnd w:id="20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Важно отметить, что имеются позитивные тенденции по предотвращению появления новых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серопозитивных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пациентов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вирусу гепатита С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Это доказывает большое Европейское многоцентровое исследование, проведенное в 2000 году, в ходе которого изучалась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превалентность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ВГС за 1991-2000 гг.. Было выявлено достоверное снижение инфицированности пациентов в Бельгии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13,5% до 6,5%, Швеции — с 16 % до 9% и Италии — с 28% до 16%. Важно сказать, что об интенсивности распространения ВГС 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отделениях гемодиализа можно судить по частотным показателям регистрации новых случаев инфекции. Известно, что новые случаи ВГС регистрируются с частотой 0,82 на 100 пациентов в год. Аналогичный показатель в Японии, он составил 0,33 на 100 пациентов , Франции — 0,4 на 100, Италии — 2 на 100, Греции — 6,2 на 100 , Канаде — 0,1 на 100[10].</w:t>
      </w:r>
      <w:bookmarkEnd w:id="21"/>
    </w:p>
    <w:p w:rsidR="00BD04C4" w:rsidRPr="00CD6008" w:rsidRDefault="008920C3" w:rsidP="00BD04C4">
      <w:pPr>
        <w:shd w:val="clear" w:color="auto" w:fill="FFFFFF"/>
        <w:spacing w:before="240" w:after="120" w:line="360" w:lineRule="auto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2" w:name="_Toc41210038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04C4" w:rsidRPr="00CD6008">
        <w:rPr>
          <w:rFonts w:ascii="Times New Roman" w:hAnsi="Times New Roman" w:cs="Times New Roman"/>
          <w:sz w:val="28"/>
          <w:szCs w:val="28"/>
        </w:rPr>
        <w:t>В нашей стране по данным российского регистра заместительной почечной терапии, частота выявления ВГС у пациентов с хронической бол</w:t>
      </w:r>
      <w:r w:rsidR="00BD04C4">
        <w:rPr>
          <w:rFonts w:ascii="Times New Roman" w:hAnsi="Times New Roman" w:cs="Times New Roman"/>
          <w:sz w:val="28"/>
          <w:szCs w:val="28"/>
        </w:rPr>
        <w:t>езнью почек составляет 8,6%[4</w:t>
      </w:r>
      <w:r w:rsidR="00BD04C4" w:rsidRPr="00CD6008">
        <w:rPr>
          <w:rFonts w:ascii="Times New Roman" w:hAnsi="Times New Roman" w:cs="Times New Roman"/>
          <w:sz w:val="28"/>
          <w:szCs w:val="28"/>
        </w:rPr>
        <w:t xml:space="preserve">]. Необходимо отметить, что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эпидемиологическая ситуация на отделениях аппаратного гемодиализа активно изучается и в городе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Санкт-Петеребурге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23" w:name="_Toc40706886"/>
      <w:bookmarkStart w:id="24" w:name="_Toc40707389"/>
      <w:bookmarkStart w:id="25" w:name="_Toc40707964"/>
      <w:bookmarkStart w:id="26" w:name="_Toc40708080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исследовании, проведенном в 1997 году [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Федуняк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И.П.] на базе </w:t>
      </w:r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Больницы Петра Великого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были обследованы пациенты отделения гемодиализа (всего 33 человека). В ходе анализа было установлено, что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17(51,1%) пациентов из 33 имели анти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ВГС,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6 пациентов имело сочетанную инфекцию ВГС и ВГВ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[8].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ретроспективном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сследовании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выявлению анти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ВГС за 1999-2007  в четырех центрах гемодиализа Санкт-Петербурга (всего 295 человек), антитела к 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вирусу гепатита С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были выявлены у 87 пациентов (29,5 на 100). Этот показатель превысил соответствующий уровень инфицированности донорской популяции Санкт-Петербурга в 42,1 раза (0,7 на 100 человек). По последни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 наблюдениям </w:t>
      </w:r>
      <w:proofErr w:type="spellStart"/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превалентность</w:t>
      </w:r>
      <w:proofErr w:type="spellEnd"/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ВГС  отделений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гемодиализа в Санкт-Петербурге в 2009 г. осталась примерно такой же, как и в конце 90-х гг. и является достаточно высокой, что свидетельствует о сохранении проблемы ВГС в ОГД [9].</w:t>
      </w:r>
      <w:bookmarkEnd w:id="22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23"/>
      <w:bookmarkEnd w:id="24"/>
      <w:bookmarkEnd w:id="25"/>
      <w:bookmarkEnd w:id="26"/>
    </w:p>
    <w:p w:rsidR="00BD04C4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  <w:bookmarkStart w:id="27" w:name="_Toc41210039"/>
      <w:r w:rsidRPr="00CD6008">
        <w:rPr>
          <w:b w:val="0"/>
          <w:color w:val="0D0D0D" w:themeColor="text1" w:themeTint="F2"/>
          <w:sz w:val="28"/>
          <w:szCs w:val="28"/>
        </w:rPr>
        <w:t>1.3 Передача вирусного гепатита С на отделениях гемодиализа</w:t>
      </w:r>
      <w:bookmarkEnd w:id="27"/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Внутрибольничная передача ВГС между пациентами, находящимися на гемодиализе является сложной проблемой и возможна через повторное использование диализатора, внутреннее загрязнение аппаратов для гемодиализа, загрязнение рук персонала, поверхностей и предметов общих для пациентов. Было подсчитано, что риск передачи инфекции при проведении гемодиализа равняется 2%. Связь между повторным использованием диализатора и последующей положительной реакцией на антитела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 вирусу гепатита С  пациентов была подтверждена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некоторых исследованиях. D. Y.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Lin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[ 1993] проводилось наблюдение за пациентами, которые были не инфицированы, но проходили лечение на тех же установках, что и пациенты, имевшими ВГС, уровень их инфицированности оказался равен 44,0 %[11].</w:t>
      </w:r>
    </w:p>
    <w:p w:rsidR="00BD04C4" w:rsidRPr="00CD6008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Роль внутреннего загрязнения установок для гемодиализа в расп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ространении ВГС среди пациентов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изучалась итальянскими учеными.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Pogam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et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сообщил о 4 случаях передачи ВГС (генотип 4 ВГС), которые произошли в одном из отделений гемодиализа Италии. Филогенетический анализ неструктурной NS-5 области гена ВГС показал, что пациенты с инфекцией ВГС были инфицированы генотипом  вируса, очень похожим на генотип одного из пациентов с ВГС, получающего лечение в данном центре[11]. В настоящее время многие центры аппаратного гемодиализа практикуют разделение потоков пациентов на "чистые" и "грязные". Для этого выделяются специальные залы для пациентов с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гемоконтактными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инфекциями. Считается, что данная стратегия способна снизить риск инфицирования пациентов. Португальское исследование показало, что центры, которые использовали отдельные залы для лечения анти - ВГС - положительных пациентов и анти - ВГС - отрицательных  пациентов имели значительно более низкие показатели заболеваемости по сравнению с теми,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которые не соблюдают никаких конкретных мер предосторожности [11]. Однако в литературе имеются исследования, которые противоречат эффективности данного метода. Бельгийское многоцентровое исследование отметило снижение частоты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сероконверсии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ВГС  до 0% в течение 18 месяцев при строгом соблюдении правил асептики и антисептики персоналом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[11]. Это произошло несмотря на отсутствие разделения потоков пациентов, что позволяет предположить, что внутреннее загрязнение аппаратов не играет главную роль в внутрибольничной передаче ВГС. Таким образом, данная теория является спорной, однако многие страны Европы (25% европейских центров), в том числе и Россия, практикуют раздельные залы для лечения пациентов. Немаловажную роль играет соблюдение правил асептики и антисептики среди персонала.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Okuda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et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</w:t>
      </w:r>
      <w:proofErr w:type="spellEnd"/>
      <w:r w:rsidR="00BD04C4"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.[12]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ходе своего исследования обнаружил, что некоторые медсестры забирали иглы для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диализного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доступа  у нескольких пациентов без смены перчаток между пациентами. После обучения сотрудников и нанесения липкой прокладки во время изъятия иглы, никаких дополнительных случаев ВГС более 1 года у 730 пациентов с хронической недостаточностью почек обнаружено не было выявлено[12]. «Универсальные меры предосторожности» могут полностью предотвратить передачу ВГС пациентам с ГД. Однако данный вопрос является довольно сложным, так как нехватка финансирования, а в последствии и нехватка расходных одноразовых материалов, высокая загруженность среднего медицинского персонала ведет к сложностям выполнения элементарных правил асептики и антисептики.</w:t>
      </w:r>
    </w:p>
    <w:p w:rsidR="00BD04C4" w:rsidRPr="00CD6008" w:rsidRDefault="002C796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C79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Важное значение имеет и общий локальный уровень инфицированности  каждого отделения гемодиализа. "Инфицированным" считается отделение, в котором в течение одного года произошло два и более случаев заражения  пациентов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гемоконтактными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инфекциями</w:t>
      </w:r>
      <w:r w:rsidR="00BD04C4" w:rsidRPr="00B845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[1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BD04C4" w:rsidRPr="00B845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В исследовании итальянских ученых N.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Petrosillo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et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.] (2001), в ходе которого был обобщен материал наблюдений, собранный в 58 центрах гемодиализа Италии (всего 3926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пациентов), ВГС был диагностирован у 434 пациентов. Авторы не выявили очевидных факторов риска заражения ВГС на отделениях, за исключением связи эпидемической ситуации отделений с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превалентностью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них инфекции ВГС и хирургическими процедурами, которые проводились пациентам[11].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Большое значение в распространение вирусного гепатита С среди пациентов, получающих лечение аппаратным гемодиализом, является продолжительность лечения самим 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гемодиализом. Считается, что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антитела 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вирусу гепатита С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обнаруживают у 17,4 % пациентов, находящихся на программном гемодиализе до 1 года, и у 40,6 % с продолжительностью лечения 5 лет и более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[14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 По данным исследования, проведенном в госпитале Марселя, в ходе которого изучался риск инфицирования пациентов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ВГ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в зависимости от длительности лечения диализом, было выявлено, что при проведении диализа в течение 7,5 мес. частота инфицирования составила 2,5 %, а после 50 мес. – 30 %, то есть увеличилась в 12 раз[11]. Поскольку во время процедуры гемодиализа могут быть технологические нарушения, приводящие к заражению, его риск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кумулирует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увеличивается в соответствии с продолжительностью лечения.</w:t>
      </w:r>
    </w:p>
    <w:p w:rsidR="00BD04C4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1.4 Клиническое течение вирусного гепатита С у пациентов на гемодиализе </w:t>
      </w:r>
    </w:p>
    <w:p w:rsidR="00BD04C4" w:rsidRPr="00076759" w:rsidRDefault="00BD04C4" w:rsidP="00BD0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пациентов, получающих лечение аппаратным гемодиализом, инфицирование ВГС может вызывать желтушные 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безжелтушные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формы острого течения инфекции. Инкубационный период у пациентов с желтушной формой острого гепатита С продолжается в среднем 45 дней. Продромальный период в ходе течения инфекции характеризуется возникновением слабости,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анорексии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кожного зуда, артралгий, тошноты, рвоты и дискомфорта в брюшной полости. Длительность данного  периода составляет 10 дней (от 1 до 32 дней). В то же время в ряде случаев продромаль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ный период может отсутствовать.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Желтушный период характеризуется волнообразным течением (волнообразный характер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гипераминотрансфераземии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гипербилирубинемии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коррелирует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клиническим течением процесса). </w:t>
      </w:r>
      <w:r w:rsidRPr="00CD6008">
        <w:rPr>
          <w:rFonts w:ascii="Times New Roman" w:hAnsi="Times New Roman" w:cs="Times New Roman"/>
          <w:sz w:val="28"/>
          <w:szCs w:val="28"/>
        </w:rPr>
        <w:t xml:space="preserve">Время от начала заболевания до появления антител к неструктурным белкам варьирует от 4 до 35 </w:t>
      </w:r>
      <w:proofErr w:type="spellStart"/>
      <w:r w:rsidRPr="00CD6008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CD6008">
        <w:rPr>
          <w:rFonts w:ascii="Times New Roman" w:hAnsi="Times New Roman" w:cs="Times New Roman"/>
          <w:sz w:val="28"/>
          <w:szCs w:val="28"/>
        </w:rPr>
        <w:t xml:space="preserve">. (в среднем 15 </w:t>
      </w:r>
      <w:proofErr w:type="spellStart"/>
      <w:r w:rsidRPr="00CD6008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CD6008">
        <w:rPr>
          <w:rFonts w:ascii="Times New Roman" w:hAnsi="Times New Roman" w:cs="Times New Roman"/>
          <w:sz w:val="28"/>
          <w:szCs w:val="28"/>
        </w:rPr>
        <w:t xml:space="preserve">.), в некоторых случаях </w:t>
      </w:r>
      <w:proofErr w:type="spellStart"/>
      <w:r w:rsidRPr="00CD6008">
        <w:rPr>
          <w:rFonts w:ascii="Times New Roman" w:hAnsi="Times New Roman" w:cs="Times New Roman"/>
          <w:sz w:val="28"/>
          <w:szCs w:val="28"/>
        </w:rPr>
        <w:t>сероконверсия</w:t>
      </w:r>
      <w:proofErr w:type="spellEnd"/>
      <w:r w:rsidRPr="00CD6008">
        <w:rPr>
          <w:rFonts w:ascii="Times New Roman" w:hAnsi="Times New Roman" w:cs="Times New Roman"/>
          <w:sz w:val="28"/>
          <w:szCs w:val="28"/>
        </w:rPr>
        <w:t xml:space="preserve"> происходит через </w:t>
      </w:r>
      <w:r>
        <w:rPr>
          <w:rFonts w:ascii="Times New Roman" w:hAnsi="Times New Roman" w:cs="Times New Roman"/>
          <w:sz w:val="28"/>
          <w:szCs w:val="28"/>
        </w:rPr>
        <w:t>год и более после инфицирования [15</w:t>
      </w:r>
      <w:r w:rsidRPr="005828A4">
        <w:rPr>
          <w:rFonts w:ascii="Times New Roman" w:hAnsi="Times New Roman" w:cs="Times New Roman"/>
          <w:sz w:val="28"/>
          <w:szCs w:val="28"/>
        </w:rPr>
        <w:t>,16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CD6008">
        <w:rPr>
          <w:rFonts w:ascii="Times New Roman" w:hAnsi="Times New Roman" w:cs="Times New Roman"/>
          <w:sz w:val="28"/>
          <w:szCs w:val="28"/>
        </w:rPr>
        <w:t>Пациенты, находящиеся на гемодиализе, продуцируют антитела на крайне низком уровне. При сочетании таких достаточно тяжелых состояний, как вирусный гепатит и хроническая почечная недостаточность, происходит выраженное угнетение иммунитета. Этим можно объяснить наличие РНК ВГС у 4,1 % больных, получающих программный гемодиализ, при отсутствии анти</w:t>
      </w:r>
      <w:r>
        <w:rPr>
          <w:rFonts w:ascii="Times New Roman" w:hAnsi="Times New Roman" w:cs="Times New Roman"/>
          <w:sz w:val="28"/>
          <w:szCs w:val="28"/>
        </w:rPr>
        <w:t xml:space="preserve">тел к вирусу гепатита </w:t>
      </w:r>
      <w:r w:rsidRPr="00CD600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D6008">
        <w:rPr>
          <w:rFonts w:ascii="Times New Roman" w:hAnsi="Times New Roman" w:cs="Times New Roman"/>
          <w:sz w:val="28"/>
          <w:szCs w:val="28"/>
        </w:rPr>
        <w:t>Хронизация</w:t>
      </w:r>
      <w:proofErr w:type="spellEnd"/>
      <w:r w:rsidRPr="00CD6008">
        <w:rPr>
          <w:rFonts w:ascii="Times New Roman" w:hAnsi="Times New Roman" w:cs="Times New Roman"/>
          <w:sz w:val="28"/>
          <w:szCs w:val="28"/>
        </w:rPr>
        <w:t xml:space="preserve"> ВГС у пациентов с хронической почечной недостаточностью происходит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79 – 92 % случаев.  При хроническом течении ВГС пациенты часто предъявляют жалобы на постоянную слабость, тошноту и потерю аппетита. Следует отметить, что часто у пациентов диагностируют анемию и полисерозиты в виде асцита, перикардита и гидроторакса. У пациентов с ВГС на фоне лечения гемодиализом часто наблюдают возникновение отеков, не корригируемых диализом, что, очевидно, связано с нарушением белково-синтетической функции печени у данного контингента больных, также у данной категории пациентов отмечают  увеличение размеров печени и селезенки.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к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линическая картина ВГС у больных с хронической почечной недостаточностью отличается малым количеством симптомов, что затрудняет современную диагностику заболевания и осложняет э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пидемиологическую обстановку [1</w:t>
      </w:r>
      <w:r w:rsidRPr="005828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одном  из индийских исследований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Goel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et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al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(2018) изучалось течение ВГС у пациентов на диализе. Всего участвовало 140 пациентов с ВГС.  Большинство [99/140 (71%)] пациентов не имело симптомов заболевания, ВГС был выявлен либо при обычном скрининге [39/140 (28%)], либо во время проведения исследования [60/140 (43)].79 пациентов из 140 (56%) имели высокие значения АСТ и АЛТ при этом не имели клинических проявлений. Оставшиеся 41/140 (29%) имели симптомы в виде одной желтухи [14/140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(10%)], были случаи возникновения асцита в 7/140 (5%) и желтухи с асцитом в 20/140 (14%). Причина данных симптомов была обусловлена ​​терминальной стадией печеночной недостаточности у 24 пациентов и острой печеночной недостаточностью у 3 пациентов. Также всем пациентам было проведено УЗИ печени. 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44%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пациентов  патологии печени обнаружено не было, у 46 (33%) -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гепатомегалия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 32 (23%) - были обнаружены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цирротические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изменения печени, у 32 из этих 46 пациентов (70%) с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гепатомегалией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был обнаружен жировой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гепатоз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У остальных 14 была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гепатомегалия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из-за ХВГС. У 35 пациентов на УЗИ были признаки асцита. 24 из 35 пациентов с асцитом (69%) на УЗИ были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цирротические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изменения печени (8 из 32 пациентов (25%) не имели асцита). Одиннадцать пациентов из 35 с асцитом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(31%) не имели признаков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цирротичеких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изменений печени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УЗИ. Портальная вена была расширена (&gt; 13 мм) у 22 (16%) пациентов.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Спленомегалия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была обнаружена у 36 (26%) пациентов. Гепатоцеллюлярная карцинома была обнаружена только у двух пациентов. Также было проведено эндоскопическое исследование вен пищевода у 52/140 (37%) пациентов. Были получены следующие результаты: отсутствие варикозных расширений у 25 (48%), небольшие изменения вен пищевода (степень I и II) у 14 (27%) и значительные изменения (степень III и IV) у 13 (25%) пациентов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[1</w:t>
      </w:r>
      <w:r w:rsidRPr="005828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]. Как уже было отмечено, пациенты с вирусным гепатитом С, получающие лечение аппаратным гемодиализом, характеризуются угнетением иммунных механизмов, поэтому данная категория больных </w:t>
      </w:r>
      <w:r w:rsidRPr="00CD6008">
        <w:rPr>
          <w:rFonts w:ascii="Times New Roman" w:hAnsi="Times New Roman" w:cs="Times New Roman"/>
          <w:sz w:val="28"/>
          <w:szCs w:val="28"/>
        </w:rPr>
        <w:t xml:space="preserve"> имеет более низкий риск развития  гепатоцеллюлярной карциномы. Это доказывается исследованием, проведенным </w:t>
      </w:r>
      <w:proofErr w:type="spellStart"/>
      <w:r w:rsidRPr="00CD6008">
        <w:rPr>
          <w:rFonts w:ascii="Times New Roman" w:hAnsi="Times New Roman" w:cs="Times New Roman"/>
          <w:sz w:val="28"/>
          <w:szCs w:val="28"/>
        </w:rPr>
        <w:t>Ishida</w:t>
      </w:r>
      <w:proofErr w:type="spellEnd"/>
      <w:r w:rsidRPr="00CD6008">
        <w:rPr>
          <w:rFonts w:ascii="Times New Roman" w:hAnsi="Times New Roman" w:cs="Times New Roman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CD6008">
        <w:rPr>
          <w:rFonts w:ascii="Times New Roman" w:hAnsi="Times New Roman" w:cs="Times New Roman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6008">
        <w:rPr>
          <w:rFonts w:ascii="Times New Roman" w:hAnsi="Times New Roman" w:cs="Times New Roman"/>
          <w:sz w:val="28"/>
          <w:szCs w:val="28"/>
        </w:rPr>
        <w:t>включавшем пациентов из 314 отделений гемодиализа Японии, частота возникновения гепато</w:t>
      </w:r>
      <w:r>
        <w:rPr>
          <w:rFonts w:ascii="Times New Roman" w:hAnsi="Times New Roman" w:cs="Times New Roman"/>
          <w:sz w:val="28"/>
          <w:szCs w:val="28"/>
        </w:rPr>
        <w:t>целлюлярной карциномы  составила</w:t>
      </w:r>
      <w:r w:rsidRPr="00CD6008">
        <w:rPr>
          <w:rFonts w:ascii="Times New Roman" w:hAnsi="Times New Roman" w:cs="Times New Roman"/>
          <w:sz w:val="28"/>
          <w:szCs w:val="28"/>
        </w:rPr>
        <w:t xml:space="preserve"> 1,8%, данные показатели были ниже, чем у  пациентов с ВГС без поч</w:t>
      </w:r>
      <w:r>
        <w:rPr>
          <w:rFonts w:ascii="Times New Roman" w:hAnsi="Times New Roman" w:cs="Times New Roman"/>
          <w:sz w:val="28"/>
          <w:szCs w:val="28"/>
        </w:rPr>
        <w:t>ечной недостаточности ( 5–28%)[1</w:t>
      </w:r>
      <w:r w:rsidRPr="005828A4">
        <w:rPr>
          <w:rFonts w:ascii="Times New Roman" w:hAnsi="Times New Roman" w:cs="Times New Roman"/>
          <w:sz w:val="28"/>
          <w:szCs w:val="28"/>
        </w:rPr>
        <w:t>9</w:t>
      </w:r>
      <w:r w:rsidRPr="009E5265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sz w:val="28"/>
          <w:szCs w:val="28"/>
        </w:rPr>
        <w:t xml:space="preserve">В  исследовании, проведенном </w:t>
      </w:r>
      <w:r w:rsidRPr="00CD6008">
        <w:rPr>
          <w:rFonts w:ascii="Times New Roman" w:hAnsi="Times New Roman" w:cs="Times New Roman"/>
          <w:sz w:val="28"/>
          <w:szCs w:val="28"/>
          <w:lang w:val="en-US"/>
        </w:rPr>
        <w:t>Okuda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sz w:val="28"/>
          <w:szCs w:val="28"/>
        </w:rPr>
        <w:t xml:space="preserve">(2000) среди 1470 пациентов с хронической болезнью почек </w:t>
      </w:r>
      <w:r>
        <w:rPr>
          <w:rFonts w:ascii="Times New Roman" w:hAnsi="Times New Roman" w:cs="Times New Roman"/>
          <w:sz w:val="28"/>
          <w:szCs w:val="28"/>
        </w:rPr>
        <w:t>в ходе  наблюдения</w:t>
      </w:r>
      <w:r w:rsidRPr="00CD6008">
        <w:rPr>
          <w:rFonts w:ascii="Times New Roman" w:hAnsi="Times New Roman" w:cs="Times New Roman"/>
          <w:sz w:val="28"/>
          <w:szCs w:val="28"/>
        </w:rPr>
        <w:t xml:space="preserve"> в течение 6 лет, частота </w:t>
      </w:r>
      <w:r w:rsidRPr="00CD6008">
        <w:rPr>
          <w:rFonts w:ascii="Times New Roman" w:hAnsi="Times New Roman" w:cs="Times New Roman"/>
          <w:sz w:val="28"/>
          <w:szCs w:val="28"/>
        </w:rPr>
        <w:lastRenderedPageBreak/>
        <w:t>гепатоцеллюлярной карциномы у пациентов на диализе составила а 0,6%, тогда как у пациентов без диализа она достигла 1,2</w:t>
      </w:r>
      <w:r>
        <w:rPr>
          <w:rFonts w:ascii="Times New Roman" w:hAnsi="Times New Roman" w:cs="Times New Roman"/>
          <w:sz w:val="28"/>
          <w:szCs w:val="28"/>
        </w:rPr>
        <w:t>%[</w:t>
      </w:r>
      <w:r w:rsidRPr="005828A4">
        <w:rPr>
          <w:rFonts w:ascii="Times New Roman" w:hAnsi="Times New Roman" w:cs="Times New Roman"/>
          <w:sz w:val="28"/>
          <w:szCs w:val="28"/>
        </w:rPr>
        <w:t>20</w:t>
      </w:r>
      <w:r w:rsidRPr="009E5265">
        <w:rPr>
          <w:rFonts w:ascii="Times New Roman" w:hAnsi="Times New Roman" w:cs="Times New Roman"/>
          <w:sz w:val="28"/>
          <w:szCs w:val="28"/>
        </w:rPr>
        <w:t>]</w:t>
      </w:r>
      <w:r w:rsidRPr="005828A4">
        <w:rPr>
          <w:rFonts w:ascii="Times New Roman" w:hAnsi="Times New Roman" w:cs="Times New Roman"/>
          <w:sz w:val="28"/>
          <w:szCs w:val="28"/>
        </w:rPr>
        <w:t>.</w:t>
      </w:r>
    </w:p>
    <w:p w:rsidR="00BD04C4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  <w:bookmarkStart w:id="28" w:name="_Toc41210040"/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  <w:r w:rsidRPr="00CD6008">
        <w:rPr>
          <w:b w:val="0"/>
          <w:color w:val="0D0D0D" w:themeColor="text1" w:themeTint="F2"/>
          <w:sz w:val="28"/>
          <w:szCs w:val="28"/>
        </w:rPr>
        <w:t>1.5 Внепеченочные проявления вирусного гепатита С у пациентов на гемодиализе</w:t>
      </w:r>
      <w:bookmarkEnd w:id="28"/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исследовании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Zoulim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et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al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.(1999) было обнаружено, что инфекция ВГС  повышает риск возникновения новых хронических заболеваний почек на 27% (коэффициент риска 1,27, 95% доверител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ьный интервал [ДИ] 1,18–1.37)[</w:t>
      </w:r>
      <w:r w:rsidRPr="005828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]. Патогенные механизмы ВГС могут включать возникновение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васкулита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(смешанной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криоглобулинемии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), хронической инфекции, воспаление через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дисрегуляцию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Т-клеток, возникновение и влияние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вирус-опосредованного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диабета 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сердечно-сосудистых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заболеваний. В дополнение к смешанной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криоглобулинемии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инфекция ВГС тесно связана с  повреждениями  клубочков, такими как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мембранопролиферативный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гломерулонефрит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мембранная нефропатия и узловой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полиартериит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Помимо риска возникновения хронической болезни почек, инфекции ВГС может ухудшить прогноз для пациентов с ранее существовавшей почечной недостаточностью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Pr="005828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]. Последние данные указывают на связь между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нелеченной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инфекцией ВГС и прогрессированием ранее существовавшей ХБП. У пациентов с ХБП, ВГС инфекция также была связана с повышенным риском возникновения заболеваний сердечно - сосудистой системы, инсульта, депрессии, снижения качества жизни, сепсиса, пневмонии, острог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инфаркта миокарда и анемии </w:t>
      </w:r>
      <w:r w:rsidRPr="005828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[22].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Другие исследования показали, что пациенты с 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ВГС-инфекцией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хронической болезнью почек имеют более высокий уровень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интактного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сывороточного гормона паращитовидной железы, что ведет к печеночной остеодистрофии (минеральная болезнь костей, описанная у пациентов с заболеваниями печени не на диализе);более низким уровням альбумина и ассоциированной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гипергомоцистеинемии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инсулинорезистентности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стеатозу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печени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Pr="005828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</w:t>
      </w:r>
      <w:r w:rsidRPr="005828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Проспективное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обсервационное исследование DOPPS, в ходе которого было исследовано  16 720 пациентов, установило связь  ВГС  с повышенным риском смертности (скорректированный относительный риск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(ОР) 1,17; P 5 0,0159). Было высказано предположение, что механизм, связывающий ВГС с избыточной заболеваемостью и смертностью у пациентов с хронической болезнью почек  связан с системным воспалением или  прямой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атерогенной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ролью ВГС через обострение метаболического синдрома 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дислипидеми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[2</w:t>
      </w:r>
      <w:r w:rsidRPr="000767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</w:t>
      </w:r>
    </w:p>
    <w:p w:rsidR="00BD04C4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  <w:bookmarkStart w:id="29" w:name="_Toc41210041"/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  <w:r w:rsidRPr="00CD6008">
        <w:rPr>
          <w:b w:val="0"/>
          <w:color w:val="0D0D0D" w:themeColor="text1" w:themeTint="F2"/>
          <w:sz w:val="28"/>
          <w:szCs w:val="28"/>
        </w:rPr>
        <w:t>1.6 Диагностика вирусного гепатита С</w:t>
      </w:r>
      <w:bookmarkEnd w:id="29"/>
    </w:p>
    <w:p w:rsidR="00BD04C4" w:rsidRPr="0017218D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Основой диагностики вирусных гепатитов служат результаты лабораторных исследовании в сочетании с клинико-эпидемиологическими данными. Лабораторная диагностика основывается на: а) выявлении серологических маркеров в иммуноферментном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анализе-ИФА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б) выявлении 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уклеиновых кислот вирусов в ПЦР</w:t>
      </w:r>
      <w:r w:rsidRPr="001721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[25].</w:t>
      </w:r>
    </w:p>
    <w:p w:rsidR="00BD04C4" w:rsidRPr="00CD6008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Иммуноферментный анализ 3-го поколения (EIA) является наиболее часто используемым инст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рументом скрининга инфекции ВГС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Системы третьего поколения обладают высокой чувствительностью (98,8%) и специфичностью (100%).Однако время между заражением ВГС и появлением обнаруживаемых антител (серологическое окно) обычно составляет более 40 дней при использовании тестов треть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его поколения. Скрининг на </w:t>
      </w:r>
      <w:proofErr w:type="spellStart"/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антититела</w:t>
      </w:r>
      <w:proofErr w:type="spellEnd"/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вирусу гепатита С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должен повторяется каждые 6-12 месяцев у пациентов, находящихся на диализе. Часть пациентов на диализе может иметь отрицательный результат на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анти-ВГС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но положительный на персистенцию ВГС-РНК в организме. У пациентов, проходящих лечение гемодиализом возможна задержка выработки  антител, либо их отсутствие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BD04C4" w:rsidRPr="001721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 В исследовании [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EL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Sherif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et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all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2012 ] был проведен анализ 78 сывороток крови пациентов, находящихся на лечении гемодиализом, на наличие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анти-ВГС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РНК-ВГС. У 1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 (18%) было обнаружено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РНК ВГС без наличия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анти-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ВГС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Анти - ВГС были выявлены через 4 месяца у 3(21,4%) пациентов из 14. Для исключения ложноположительных и ложноотрицательных результатов в ИФА необходимо использовать подтверждающие тесты, основанные на индикации анти - ВГС к отдельным а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тигенам вируса. Антитела к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core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E и NS-3 антигенам вы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являются на ранних, а антитела к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NS-4 и NS-5 антигенам на более поздних этапах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сероконверсии</w:t>
      </w:r>
      <w:proofErr w:type="spellEnd"/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[2</w:t>
      </w:r>
      <w:r w:rsidR="00BD04C4" w:rsidRPr="001721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</w:t>
      </w:r>
    </w:p>
    <w:p w:rsidR="00BD04C4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обнаружении анти - ВГС следующим шагом является количественное определение вирусной нагрузки и фенотипа ВГС посредством 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полимеразной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цепной реакции (ПЦР). Кровь для тестирования ВГС РНК должна быть взята до сеанса гемодиализа, потому что наличие гепарина в крови может привести к ложноотрицательному результату. Кроме того, вирусная нагрузка может уменьшиться во время сеанса гемодиализа. Адсорбция вирусных частиц на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диализной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мембране, разрушение вирусных частиц под воздействием гидравлического давления во время сеанса гемодиализа может вызвать снижение вирусной нагрузки с постепенным возвращением к базальному  уровню в течение 48 часов.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Генотипирование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ВГС  также важно для прогнозирования лечения и ответа на него. Золотым стандартом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генотипирования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секвенирование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 NS5B, способное точно определить генотип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E84A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[26]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 исследовании [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Perez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et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2003] сообщалось, что генотип 1А был наиболее распространен у пациентов, находящихся на гемодиализе. Следующим наиболее частым генотипом был 1b, за которым следовал генотип 3, затем 2, 4 и 5</w:t>
      </w:r>
      <w:r w:rsidR="00BD04C4" w:rsidRPr="00C91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[11]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235FDF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  <w:bookmarkStart w:id="30" w:name="_Toc41210042"/>
      <w:r w:rsidRPr="00CD6008">
        <w:rPr>
          <w:b w:val="0"/>
          <w:color w:val="0D0D0D" w:themeColor="text1" w:themeTint="F2"/>
          <w:sz w:val="28"/>
          <w:szCs w:val="28"/>
        </w:rPr>
        <w:t>1.7 Лабораторные показатели вирусного гепатита С у пациентов на гемодиализе</w:t>
      </w:r>
      <w:bookmarkEnd w:id="30"/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лабораторных показателей у данной группы пациентов можно объяснить двумя причинами: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во-пеpвых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 них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pегуляpно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отмечаются сдвиги в метаболическом гомеостазе, обусловленные как азотемией 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сопpяженными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ней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наpушениями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белково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электpолитного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обмена, так 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модифициpующим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действием на обменные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пpоцессы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самого гемодиализа.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Во-втоpых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 них уже на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pанних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сpоках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хронической почечной недостаточности выявляются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пpизнаки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иммунологической недостаточности. Таким образом, таких больных можно назвать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умеpенно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иммунокомпpометиpованными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лицами.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Пеpечисленные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особенности таких пациентов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хаpактеpизуют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специфику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пpемоpбидного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состояния их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оpганизма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отношению к ВГС - инфекции.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Клинико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лабоpатоpые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пpизнаки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такого состояния в условиях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pазвития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виpусных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инфекций могут изменяться,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пpедопpеделяя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этих пациентов клинико-патогенетическое своеобразие течения у них указанных инфекций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[2</w:t>
      </w:r>
      <w:r w:rsidRPr="00E84A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5]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1.7.1. Особенности изменений в клиническом анализе крови</w:t>
      </w:r>
    </w:p>
    <w:p w:rsidR="00BD04C4" w:rsidRPr="00235FDF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большинстве случаев в клиническом анализе крови выявляют признаки анемии. Анемический синдром может быть осложнением течения как вирусного гепатита С, так и хронической почечной недостаточности, которая требует проведения гемодиализа. Главными причинами возникновения анемии при хронической почечной недостаточности является недостаток выработки эндогенного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эритропоэтина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уменьшение срока жизни эритроцитов в условиях увеличения количества уремических метаболитов. Таким образом, почечную анемию можно характеризовать как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гипорегенераторную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эритропоэтин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дефицитную. В кровотоке эритроцит живет примерно 100-120 суток, но при уремии срок его жизни  сокращается примерно до 80 суток. Существенное значение в усилении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анемизации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имеют кровопотери, связанные как с гемодиализом (остатки крови в экстракорпоральном контуре, кровотечения из мест пункции, взятие крови на анализы). Известно, что вирусный гепатит С способен быть причиной анемического синдрома. Было обнаружено, что у 45–62% больных с хроническим вирусным гепатитом С в общем анализе крови на разных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стадиях заболевания выявляются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нормо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и гипохромную анемию, лейкопению, лимфоцитоз, абсолютную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гранулоцитопению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тромбоцитопению. Считается, что вирус гепатита С способен влияет на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гемопоэз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1D46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персистенция вирусного гепатита С в гемопоэтических клетках костного мозга способствует их </w:t>
      </w:r>
      <w:proofErr w:type="spellStart"/>
      <w:r w:rsidRPr="001D46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1D46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тозу</w:t>
      </w:r>
      <w:proofErr w:type="spellEnd"/>
      <w:r w:rsidRPr="001D46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увеличивает продукцию </w:t>
      </w:r>
      <w:r w:rsidRPr="001D463F">
        <w:rPr>
          <w:rFonts w:ascii="Times New Roman" w:hAnsi="Times New Roman" w:cs="Times New Roman"/>
          <w:sz w:val="28"/>
          <w:szCs w:val="28"/>
        </w:rPr>
        <w:t>фактора некроза опухоли-α (ФНО-α)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463F">
        <w:rPr>
          <w:rFonts w:ascii="Times New Roman" w:hAnsi="Times New Roman" w:cs="Times New Roman"/>
          <w:sz w:val="28"/>
          <w:szCs w:val="28"/>
        </w:rPr>
        <w:t>.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данные патологии могут усугублять течение анемии[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0767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,2</w:t>
      </w:r>
      <w:r w:rsidRPr="000767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,2</w:t>
      </w:r>
      <w:r w:rsidRPr="000767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9,30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]. </w:t>
      </w:r>
    </w:p>
    <w:p w:rsidR="00BD04C4" w:rsidRPr="00CD6008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  <w:bookmarkStart w:id="31" w:name="_Toc41210043"/>
      <w:r w:rsidRPr="00CD6008">
        <w:rPr>
          <w:b w:val="0"/>
          <w:color w:val="0D0D0D" w:themeColor="text1" w:themeTint="F2"/>
          <w:sz w:val="28"/>
          <w:szCs w:val="28"/>
        </w:rPr>
        <w:t xml:space="preserve">1.7.2.Особенности уровней </w:t>
      </w:r>
      <w:proofErr w:type="spellStart"/>
      <w:r w:rsidRPr="00CD6008">
        <w:rPr>
          <w:b w:val="0"/>
          <w:color w:val="0D0D0D" w:themeColor="text1" w:themeTint="F2"/>
          <w:sz w:val="28"/>
          <w:szCs w:val="28"/>
        </w:rPr>
        <w:t>трансаминаз</w:t>
      </w:r>
      <w:bookmarkEnd w:id="31"/>
      <w:proofErr w:type="spellEnd"/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Относительно лабораторных показателей пациенты, проходящие процедуру гемодиализа регулярно, имеют более низкие уровни АЛТ / АСТ по сравнению с пациентами с ВГС инфекцией без патологии почек, сывороточные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аминотрансферазы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имеют уровни, которые находятся на верхней границе нормы, однако их показатели выше по сравнению с пациентами на гемодиализе без инфекции ВГС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Pr="00E84A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31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 Повышенная активность АЛТ выявляется лишь у 35 % анти - ВГС - позитивных больных, многие исследователи считают, что именно АЛТ является маркером активной репликации вируса. Это подтверждает  исследование, проведенное в Санкт-Петербурге в 1997 году [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Федуняк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И.П.] на базе </w:t>
      </w:r>
      <w:r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Больницы Петра Великого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где были  обследованы пациенты отделения гемодиализа с маркерами ВГС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всего 17 человек).У пациентов данной группы в показателях биохимического анализа крови было выявлено повышение АЛТ В 5 раз по сравнению с нормальными значениями[8].</w:t>
      </w: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Влияние  гемодиализа на уровень лабораторных показателей было исследовано уже в 1995 году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Yasuda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et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al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., исследователи сравнили уровни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трансаминаз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здоровых пациентов и пациентов, находящихся на лечении гемодиализом, с отрицательными маркерами ВГВ и ВГС, оказалось, что у пациентов на диализе уровень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трансаминаз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был значительно ниже, чем у здоровых испытуемых. Такая же разница обнаружена при сравнении 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ВГС-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положительных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пациентов, находящихся на гемодиализе с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ВГС-положительными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паци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ентами без диализа[3</w:t>
      </w:r>
      <w:r w:rsidRPr="00E84A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]. </w:t>
      </w:r>
    </w:p>
    <w:p w:rsidR="00BD04C4" w:rsidRPr="00CD6008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Интересным является исследование, проведенное в Саудовской Аравии,  в ходе которого изучались особенности течения вирусного гепатита С у пациентов на гемодиализе. Сравнивались лабораторные показатели у исследуемой и контрольной группы. В ходе исследования не было обнаружено  статистически значимых различий относительно возраста (54,92 ± 15,61 года против 51,01 ± 14,81 лет,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= 0,88) и пола между ВГС - положительными и ВГС -</w:t>
      </w:r>
      <w:r w:rsidR="00BD04C4" w:rsidRPr="00C915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отрицательными пациентами. В  результатах биохимических характеристик: не было  обнаружено статистически значимых различий относительно всех изученных биохимических параметров, кроме билирубина, который был значительно выше у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ВГС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-поположительных</w:t>
      </w:r>
      <w:proofErr w:type="spellEnd"/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пациентов (7,74 ± 4,03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ммоль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 л) по сравнению с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ВГС-отрицательными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пациентами (5,47 ± 3,71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ммоль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 л,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= 0,01). Учитывая другие значения общего анализа крови, уровни лейкоцитов и тромбоцитов находились в пределах нормы. Уровни АЛТ и АСТ также были в пределах нормы  33,01 ± 35,09 и 59,67 ± 50,18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 л. Причина нормальных значений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трансаминаз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пациентов на гемодиализе до сих пор не обнаружена. Имеется множество гипотез. Одна из них состоит в том, что данный феномен связан с  дефицитом витамина B6 (типичная характеристика  пациентов, находящихся на диализе), который, как полагают, действует как кофермент в ферментативных реакциях[</w:t>
      </w:r>
      <w:r w:rsidR="00BD04C4" w:rsidRPr="00E84A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33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]. </w:t>
      </w:r>
    </w:p>
    <w:p w:rsidR="00BD04C4" w:rsidRPr="00CD6008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  <w:bookmarkStart w:id="32" w:name="_Toc41210044"/>
      <w:r w:rsidRPr="00CD6008">
        <w:rPr>
          <w:b w:val="0"/>
          <w:color w:val="0D0D0D" w:themeColor="text1" w:themeTint="F2"/>
          <w:sz w:val="28"/>
          <w:szCs w:val="28"/>
        </w:rPr>
        <w:t>1.7.3. Особенности показателей тромбоцитов</w:t>
      </w:r>
      <w:bookmarkEnd w:id="32"/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Количество тромбоцитов  может быть простым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биомаркером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наличия  фиброза печени у пациентов с ВГС. Известно, что в группе пациентов, получающих лечение аппаратным гемодиализом и имеющих ВГС, значения тромбоцитов значительно ниже значений  пациентов без инфекции. Данное убеждение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доказывает исследование китайских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ученых. Были изучены значения 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аланинаминотрансферазы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(АЛТ),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аспартатаминотрансферазы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(AСТ),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гамма-глутамилтранспептидазы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(ГГТП), общего холестерина  и тромбоцитов. Всего в исследовании участвовало 2539 пациен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тов, в исследуемой группе было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100 пациентов, контрольная группа состояла из 154 пациентов, которые не имели маркеров вирусных гепатитов и получали лечение аппаратным гемодиализом. Получены следующие результаты: пожилой возраст,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виремия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ВГС, повышение АСТ, АЛТ и ГГТП  были значительно связаны с тромбоцитопенией. Кроме того,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виремия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ВГС была независимо связана с тромбоцитопенией, мужским полом. 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Виремия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ВГС  была фактором, с которым было связано более чем 20% случаев снижения тромбоцитов. Также была выявлена зависимость тромбоцитопении и наиболее высоких значений ГГТП и АЛТ у пациентов с ВГС и гемодиализом. Имеется предположение, что вирусный гепатит С влияет на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гемопоэз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поэтому  мегакариоциты продуцируются на более низких уровнях в костном мозге, важное значение в количестве тромбоцитов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меет и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уремические метаболиты в крови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лечении аппаратным гемодиализом[</w:t>
      </w:r>
      <w:r w:rsidRPr="002E7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]. </w:t>
      </w:r>
    </w:p>
    <w:p w:rsidR="00BD04C4" w:rsidRPr="00CD6008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  <w:bookmarkStart w:id="33" w:name="_Toc41210045"/>
      <w:r w:rsidRPr="00CD6008">
        <w:rPr>
          <w:b w:val="0"/>
          <w:color w:val="0D0D0D" w:themeColor="text1" w:themeTint="F2"/>
          <w:sz w:val="28"/>
          <w:szCs w:val="28"/>
        </w:rPr>
        <w:t xml:space="preserve">1.7.4.Особенности </w:t>
      </w:r>
      <w:proofErr w:type="spellStart"/>
      <w:r w:rsidRPr="00CD6008">
        <w:rPr>
          <w:b w:val="0"/>
          <w:color w:val="0D0D0D" w:themeColor="text1" w:themeTint="F2"/>
          <w:sz w:val="28"/>
          <w:szCs w:val="28"/>
        </w:rPr>
        <w:t>репликативной</w:t>
      </w:r>
      <w:proofErr w:type="spellEnd"/>
      <w:r w:rsidRPr="00CD6008">
        <w:rPr>
          <w:b w:val="0"/>
          <w:color w:val="0D0D0D" w:themeColor="text1" w:themeTint="F2"/>
          <w:sz w:val="28"/>
          <w:szCs w:val="28"/>
        </w:rPr>
        <w:t xml:space="preserve"> активности</w:t>
      </w:r>
      <w:bookmarkEnd w:id="33"/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литературе имеются данные говорящие о том, что вирусная нагрузка у пациентов на гемодиализе имеет более низкие значения, чем у пациентов, которые не получают лечение гемодиализом. В исследовании, проведенном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Mari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Mizunoa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et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al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.(2001) проводился анализ показателей РНК ВГС, у пациентов, получающих лечение гемодиализом. Использовалось 4 типа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диализных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мембран из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купрофана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гемофана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BFC"/>
        </w:rPr>
        <w:t>полиакрилонитрила и поликарбоната.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Циркулирующую РНК ВГС анализировали количественно до и после сеанса гемодиализа у 22 пациентов. В ходе анализа выяснилось, что при использовании мембраны из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гемофана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уровень ВГС снизился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1,*10</w:t>
      </w:r>
      <w:r w:rsidRPr="00E84AD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 1,*10</w:t>
      </w:r>
      <w:r w:rsidRPr="00E84AD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E84AD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vertAlign w:val="superscript"/>
        </w:rPr>
        <w:t>2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МЕ/мл,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однако между 4 и 8 часами после сеанса диализа РНК ВГС вернулась к исходным уровням и оставалась стабильной до следующего сеанса гемодиализа. Основными механизмами объяснения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интрадиализного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снижения РНК ВГС является прохождение вируса через мембрану в диализат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или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ультрафильтрат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Этот механизм еще недостаточно изучен, имеются предположения, что вирионы ВГС больше (30-40 нм), чем поры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диализной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мембраны (10-20 нм), что тормозит их свободное прохождение через мембрану.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Снижение РНК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ВГС также связывают с факторами, опосредованными особенностями иммунной системы. Основой этой интересной концепции является то, что контакт крови пациентов с экстракорпоральным кровообращением приводит к высвобождению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провоспалительных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цитокинов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таких как IL-6 и TNF-α, а также IFN-α и фактора роста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гепатоцитов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(HGF), факторов с потенциально противовирусные свойства. Однако, влияние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диализной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мембраны или процедуры диализа (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гемофильтрация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гемодиафильтрация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вирусную кинетику ВГС требует дальнейшего изучения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 w:rsidRPr="002E7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35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076759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2C7963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352395" w:rsidRDefault="00BD04C4" w:rsidP="00BD04C4">
      <w:pPr>
        <w:pStyle w:val="2"/>
        <w:jc w:val="center"/>
        <w:rPr>
          <w:color w:val="0D0D0D" w:themeColor="text1" w:themeTint="F2"/>
          <w:sz w:val="28"/>
          <w:szCs w:val="28"/>
        </w:rPr>
      </w:pPr>
      <w:bookmarkStart w:id="34" w:name="_Toc41210046"/>
      <w:r w:rsidRPr="00CD6008">
        <w:rPr>
          <w:color w:val="0D0D0D" w:themeColor="text1" w:themeTint="F2"/>
          <w:sz w:val="28"/>
          <w:szCs w:val="28"/>
        </w:rPr>
        <w:t>ГЛАВА 2.Материалы и методы</w:t>
      </w:r>
      <w:bookmarkEnd w:id="34"/>
    </w:p>
    <w:p w:rsidR="00BD04C4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  <w:bookmarkStart w:id="35" w:name="_Toc41210047"/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  <w:r w:rsidRPr="00CD6008">
        <w:rPr>
          <w:b w:val="0"/>
          <w:color w:val="0D0D0D" w:themeColor="text1" w:themeTint="F2"/>
          <w:sz w:val="28"/>
          <w:szCs w:val="28"/>
        </w:rPr>
        <w:t>2.1 Материалы исследования</w:t>
      </w:r>
      <w:bookmarkEnd w:id="35"/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Был проведен анализ 88 историй болезней пациентов отделений аппаратного гемодиализа следующих баз: </w:t>
      </w:r>
      <w:r w:rsidRPr="00CD6008">
        <w:rPr>
          <w:rFonts w:ascii="Times New Roman" w:hAnsi="Times New Roman" w:cs="Times New Roman"/>
          <w:caps/>
          <w:color w:val="0D0D0D" w:themeColor="text1" w:themeTint="F2"/>
          <w:spacing w:val="14"/>
          <w:sz w:val="28"/>
          <w:szCs w:val="28"/>
          <w:shd w:val="clear" w:color="auto" w:fill="FFFFFF"/>
        </w:rPr>
        <w:t>СПБ ГБУЗ "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Елизаветинская больница",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СПб ГБУЗ «Городская Мариинская больница»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, СПб ГБУЗ "Городская больница №15", Клиника высоких медицинских технологий им. Н.И.Пирогова СПбГУ 1 и 2 отделения, СПб ГБУЗ "Клиническая инфекционная больница им. С.П.Боткина"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в 2019-2020гг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, распределение пациентов представлено в таблице №1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.</w:t>
      </w: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Было сформировано две группы: п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ациенты, имеющие антитела к вирусу гепатита С 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(критерии включения: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 наличие антител к вирусу гепатита С  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(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  <w:lang w:val="en-US"/>
        </w:rPr>
        <w:t>IgG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)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- 44 человека и па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циенты, не имеющие антител к вирусу гепатита С 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(критерии включения: отсутствие соматических проявлений патологий печени по данным историй болезней, отсутствие  диабетической нефропатии, маркеров вирусных гепатитов С и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HBsAg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ВГС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IgG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 и ВИЧ инфекции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)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 - 44 человека.</w:t>
      </w: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Для установления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репликативной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 активности ВГС была сформирована группа пациентов на базе </w:t>
      </w:r>
      <w:proofErr w:type="spellStart"/>
      <w:r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СПбГБУЗ</w:t>
      </w:r>
      <w:proofErr w:type="spellEnd"/>
      <w:r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«КИБ им. С. П. Боткина»(11 че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ловек). Данным пациента</w:t>
      </w:r>
      <w:r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м было выполнено исследование сывороток крови на наличие РНК-ВГС методом </w:t>
      </w:r>
      <w:proofErr w:type="spellStart"/>
      <w:r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полимеразной</w:t>
      </w:r>
      <w:proofErr w:type="spellEnd"/>
      <w:r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цепной реакции(ПЦР).</w:t>
      </w: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Таблица №1.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Распределен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ие пациентов  с антителами к вирусу гепатита С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центрах гемодиализа города Санкт-Петербурга.</w:t>
      </w:r>
    </w:p>
    <w:tbl>
      <w:tblPr>
        <w:tblStyle w:val="af2"/>
        <w:tblW w:w="0" w:type="auto"/>
        <w:tblLook w:val="04A0"/>
      </w:tblPr>
      <w:tblGrid>
        <w:gridCol w:w="4785"/>
        <w:gridCol w:w="4786"/>
      </w:tblGrid>
      <w:tr w:rsidR="00BD04C4" w:rsidRPr="00CD6008" w:rsidTr="008B78A9">
        <w:tc>
          <w:tcPr>
            <w:tcW w:w="4785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 центра</w:t>
            </w:r>
          </w:p>
        </w:tc>
        <w:tc>
          <w:tcPr>
            <w:tcW w:w="4786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Количество пациентов</w:t>
            </w:r>
          </w:p>
        </w:tc>
      </w:tr>
      <w:tr w:rsidR="00BD04C4" w:rsidRPr="00CD6008" w:rsidTr="008B78A9">
        <w:tc>
          <w:tcPr>
            <w:tcW w:w="4785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aps/>
                <w:color w:val="0D0D0D" w:themeColor="text1" w:themeTint="F2"/>
                <w:spacing w:val="14"/>
                <w:sz w:val="28"/>
                <w:szCs w:val="28"/>
                <w:shd w:val="clear" w:color="auto" w:fill="FFFFFF"/>
              </w:rPr>
              <w:t>СПБ ГБУЗ "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pacing w:val="14"/>
                <w:sz w:val="28"/>
                <w:szCs w:val="28"/>
                <w:shd w:val="clear" w:color="auto" w:fill="FFFFFF"/>
              </w:rPr>
              <w:t>Елизаветинская больница"</w:t>
            </w:r>
          </w:p>
        </w:tc>
        <w:tc>
          <w:tcPr>
            <w:tcW w:w="4786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12(27,3%)</w:t>
            </w:r>
          </w:p>
        </w:tc>
      </w:tr>
      <w:tr w:rsidR="00BD04C4" w:rsidRPr="00CD6008" w:rsidTr="008B78A9">
        <w:tc>
          <w:tcPr>
            <w:tcW w:w="4785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pacing w:val="14"/>
                <w:sz w:val="28"/>
                <w:szCs w:val="28"/>
                <w:shd w:val="clear" w:color="auto" w:fill="FFFFFF"/>
              </w:rPr>
              <w:t>СПб ГБУЗ "Городская больница №15</w:t>
            </w:r>
          </w:p>
        </w:tc>
        <w:tc>
          <w:tcPr>
            <w:tcW w:w="4786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9(20,5%)</w:t>
            </w:r>
          </w:p>
        </w:tc>
      </w:tr>
      <w:tr w:rsidR="00BD04C4" w:rsidRPr="00CD6008" w:rsidTr="008B78A9">
        <w:tc>
          <w:tcPr>
            <w:tcW w:w="4785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«Городская Мариинская больница»</w:t>
            </w:r>
          </w:p>
        </w:tc>
        <w:tc>
          <w:tcPr>
            <w:tcW w:w="4786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7(16,0%)</w:t>
            </w:r>
          </w:p>
        </w:tc>
      </w:tr>
      <w:tr w:rsidR="00BD04C4" w:rsidRPr="00CD6008" w:rsidTr="008B78A9">
        <w:tc>
          <w:tcPr>
            <w:tcW w:w="4785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pacing w:val="14"/>
                <w:sz w:val="28"/>
                <w:szCs w:val="28"/>
                <w:shd w:val="clear" w:color="auto" w:fill="FFFFFF"/>
              </w:rPr>
              <w:t>Клиника высоких медицинских технологий им. Н.И.Пирогова СПбГУ 1 и 2 отделения</w:t>
            </w:r>
          </w:p>
        </w:tc>
        <w:tc>
          <w:tcPr>
            <w:tcW w:w="4786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5(11,36%)</w:t>
            </w:r>
          </w:p>
        </w:tc>
      </w:tr>
      <w:tr w:rsidR="00BD04C4" w:rsidRPr="00CD6008" w:rsidTr="008B78A9">
        <w:tc>
          <w:tcPr>
            <w:tcW w:w="4785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pacing w:val="14"/>
                <w:sz w:val="28"/>
                <w:szCs w:val="28"/>
                <w:shd w:val="clear" w:color="auto" w:fill="FFFFFF"/>
              </w:rPr>
              <w:t>СПб ГБУЗ "Клиническая инфекционная больница им. С.П.Боткина"</w:t>
            </w:r>
          </w:p>
        </w:tc>
        <w:tc>
          <w:tcPr>
            <w:tcW w:w="4786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11(25,0%)</w:t>
            </w:r>
          </w:p>
        </w:tc>
      </w:tr>
    </w:tbl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  <w:bookmarkStart w:id="36" w:name="_Toc41210048"/>
      <w:r w:rsidRPr="00CD6008">
        <w:rPr>
          <w:b w:val="0"/>
          <w:color w:val="0D0D0D" w:themeColor="text1" w:themeTint="F2"/>
          <w:sz w:val="28"/>
          <w:szCs w:val="28"/>
        </w:rPr>
        <w:t>2.2 Оценка клинических и биохимических показателей</w:t>
      </w:r>
      <w:bookmarkEnd w:id="36"/>
    </w:p>
    <w:p w:rsidR="00BD04C4" w:rsidRPr="00CD6008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Был проведен анализ историй болезней пациентов. У всех пациентов оценивались следующие показатели: клинический  анализ крови (количество гемоглобина, эритроцитов, лейкоцитов, тромбоцитов и лимфоцитов), биохимический анализа крови (АЛТ, АСТ, общий билирубин,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креатинин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глюкоза, альбумин, щелочная фосфатаза). Кровь пациентов была исследована на наличие маркеров вирусных гепатитов (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HBsAg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ВГС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IgG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и ВИЧ инфекцию.</w:t>
      </w:r>
    </w:p>
    <w:p w:rsidR="00BD04C4" w:rsidRPr="00E76271" w:rsidRDefault="002C796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C79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Кроме того, были изучены месячные эпикризы для установления основных жалоб данных  пациентов.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Все</w:t>
      </w:r>
      <w:r w:rsidR="00BD04C4" w:rsidRPr="00E762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исследования проводились по стандартным методикам.</w:t>
      </w:r>
    </w:p>
    <w:p w:rsidR="00BD04C4" w:rsidRPr="00E76271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7627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проведения гемодиализа в центрах:</w:t>
      </w:r>
    </w:p>
    <w:p w:rsidR="00BD04C4" w:rsidRPr="00E76271" w:rsidRDefault="00BD04C4" w:rsidP="00BD0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0C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6271">
        <w:rPr>
          <w:rFonts w:ascii="Times New Roman" w:hAnsi="Times New Roman" w:cs="Times New Roman"/>
          <w:sz w:val="28"/>
          <w:szCs w:val="28"/>
        </w:rPr>
        <w:t>Лечение аппаратным гемодиализом в</w:t>
      </w:r>
      <w:r w:rsidRPr="00E76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СПб ГБУЗ «Городская Мариинская больница»</w:t>
      </w:r>
      <w:r w:rsidRPr="00E76271">
        <w:rPr>
          <w:rFonts w:ascii="Times New Roman" w:hAnsi="Times New Roman" w:cs="Times New Roman"/>
          <w:sz w:val="28"/>
          <w:szCs w:val="28"/>
        </w:rPr>
        <w:t xml:space="preserve"> проводилось на аппаратах: </w:t>
      </w:r>
      <w:r w:rsidRPr="00E76271">
        <w:rPr>
          <w:rFonts w:ascii="Times New Roman" w:hAnsi="Times New Roman" w:cs="Times New Roman"/>
          <w:sz w:val="28"/>
          <w:szCs w:val="28"/>
          <w:lang w:val="en-US"/>
        </w:rPr>
        <w:t>FRESENIUS</w:t>
      </w:r>
      <w:r w:rsidRPr="00E76271">
        <w:rPr>
          <w:rFonts w:ascii="Times New Roman" w:hAnsi="Times New Roman" w:cs="Times New Roman"/>
          <w:sz w:val="28"/>
          <w:szCs w:val="28"/>
        </w:rPr>
        <w:t xml:space="preserve"> 5008, </w:t>
      </w:r>
      <w:r w:rsidRPr="00E76271">
        <w:rPr>
          <w:rFonts w:ascii="Times New Roman" w:hAnsi="Times New Roman" w:cs="Times New Roman"/>
          <w:sz w:val="28"/>
          <w:szCs w:val="28"/>
          <w:lang w:val="en-US"/>
        </w:rPr>
        <w:t>DIALOG</w:t>
      </w:r>
      <w:r w:rsidRPr="00E76271">
        <w:rPr>
          <w:rFonts w:ascii="Times New Roman" w:hAnsi="Times New Roman" w:cs="Times New Roman"/>
          <w:sz w:val="28"/>
          <w:szCs w:val="28"/>
        </w:rPr>
        <w:t xml:space="preserve"> </w:t>
      </w:r>
      <w:r w:rsidRPr="00E76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76271">
        <w:rPr>
          <w:rFonts w:ascii="Times New Roman" w:hAnsi="Times New Roman" w:cs="Times New Roman"/>
          <w:sz w:val="28"/>
          <w:szCs w:val="28"/>
        </w:rPr>
        <w:t>-</w:t>
      </w:r>
      <w:r w:rsidRPr="00E76271">
        <w:rPr>
          <w:rFonts w:ascii="Times New Roman" w:hAnsi="Times New Roman" w:cs="Times New Roman"/>
          <w:sz w:val="28"/>
          <w:szCs w:val="28"/>
          <w:lang w:val="en-US"/>
        </w:rPr>
        <w:t>BROUN</w:t>
      </w:r>
      <w:r w:rsidRPr="00E76271">
        <w:rPr>
          <w:rFonts w:ascii="Times New Roman" w:hAnsi="Times New Roman" w:cs="Times New Roman"/>
          <w:sz w:val="28"/>
          <w:szCs w:val="28"/>
        </w:rPr>
        <w:t xml:space="preserve">  в бикарбонатном режиме по 3-4 раза в неделю по 3-4,5 часа на капиллярном диализаторе </w:t>
      </w:r>
      <w:r w:rsidRPr="00E76271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E76271">
        <w:rPr>
          <w:rFonts w:ascii="Times New Roman" w:hAnsi="Times New Roman" w:cs="Times New Roman"/>
          <w:sz w:val="28"/>
          <w:szCs w:val="28"/>
        </w:rPr>
        <w:t xml:space="preserve"> 20, Na-138 </w:t>
      </w:r>
      <w:proofErr w:type="spellStart"/>
      <w:r w:rsidRPr="00E7627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E76271">
        <w:rPr>
          <w:rFonts w:ascii="Times New Roman" w:hAnsi="Times New Roman" w:cs="Times New Roman"/>
          <w:sz w:val="28"/>
          <w:szCs w:val="28"/>
        </w:rPr>
        <w:t xml:space="preserve">/л, бикарбонат - 32 </w:t>
      </w:r>
      <w:proofErr w:type="spellStart"/>
      <w:r w:rsidRPr="00E7627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E76271">
        <w:rPr>
          <w:rFonts w:ascii="Times New Roman" w:hAnsi="Times New Roman" w:cs="Times New Roman"/>
          <w:sz w:val="28"/>
          <w:szCs w:val="28"/>
        </w:rPr>
        <w:t>/л.</w:t>
      </w:r>
    </w:p>
    <w:p w:rsidR="00BD04C4" w:rsidRPr="00E76271" w:rsidRDefault="008920C3" w:rsidP="00BD0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04C4" w:rsidRPr="00E76271">
        <w:rPr>
          <w:rFonts w:ascii="Times New Roman" w:hAnsi="Times New Roman" w:cs="Times New Roman"/>
          <w:sz w:val="28"/>
          <w:szCs w:val="28"/>
        </w:rPr>
        <w:t>В</w:t>
      </w:r>
      <w:r w:rsidR="00BD04C4" w:rsidRPr="00E76271">
        <w:rPr>
          <w:rFonts w:ascii="Times New Roman" w:hAnsi="Times New Roman" w:cs="Times New Roman"/>
          <w:caps/>
          <w:spacing w:val="14"/>
          <w:sz w:val="28"/>
          <w:szCs w:val="28"/>
          <w:shd w:val="clear" w:color="auto" w:fill="FFFFFF"/>
        </w:rPr>
        <w:t xml:space="preserve"> СПБ ГБУЗ "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Елизаветинская больница"</w:t>
      </w:r>
      <w:r w:rsidR="00BD04C4" w:rsidRPr="00E76271">
        <w:rPr>
          <w:rFonts w:ascii="Times New Roman" w:hAnsi="Times New Roman" w:cs="Times New Roman"/>
          <w:sz w:val="28"/>
          <w:szCs w:val="28"/>
        </w:rPr>
        <w:t xml:space="preserve"> лечение аппаратным гемодиализом проводилось на аппаратах: </w:t>
      </w:r>
      <w:r w:rsidR="00BD04C4" w:rsidRPr="00E76271">
        <w:rPr>
          <w:rFonts w:ascii="Times New Roman" w:hAnsi="Times New Roman" w:cs="Times New Roman"/>
          <w:sz w:val="28"/>
          <w:szCs w:val="28"/>
          <w:lang w:val="en-US"/>
        </w:rPr>
        <w:t>FRESENIUS</w:t>
      </w:r>
      <w:r w:rsidR="00BD04C4" w:rsidRPr="00E76271">
        <w:rPr>
          <w:rFonts w:ascii="Times New Roman" w:hAnsi="Times New Roman" w:cs="Times New Roman"/>
          <w:sz w:val="28"/>
          <w:szCs w:val="28"/>
        </w:rPr>
        <w:t xml:space="preserve"> 4008/5008, </w:t>
      </w:r>
      <w:r w:rsidR="00BD04C4" w:rsidRPr="00E76271">
        <w:rPr>
          <w:rFonts w:ascii="Times New Roman" w:hAnsi="Times New Roman" w:cs="Times New Roman"/>
          <w:sz w:val="28"/>
          <w:szCs w:val="28"/>
          <w:lang w:val="en-US"/>
        </w:rPr>
        <w:t>DIALOG</w:t>
      </w:r>
      <w:r w:rsidR="00BD04C4" w:rsidRPr="00E76271">
        <w:rPr>
          <w:rFonts w:ascii="Times New Roman" w:hAnsi="Times New Roman" w:cs="Times New Roman"/>
          <w:sz w:val="28"/>
          <w:szCs w:val="28"/>
        </w:rPr>
        <w:t xml:space="preserve"> </w:t>
      </w:r>
      <w:r w:rsidR="00BD04C4" w:rsidRPr="00E76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D04C4" w:rsidRPr="00E76271">
        <w:rPr>
          <w:rFonts w:ascii="Times New Roman" w:hAnsi="Times New Roman" w:cs="Times New Roman"/>
          <w:sz w:val="28"/>
          <w:szCs w:val="28"/>
        </w:rPr>
        <w:t>-</w:t>
      </w:r>
      <w:r w:rsidR="00BD04C4" w:rsidRPr="00E76271">
        <w:rPr>
          <w:rFonts w:ascii="Times New Roman" w:hAnsi="Times New Roman" w:cs="Times New Roman"/>
          <w:sz w:val="28"/>
          <w:szCs w:val="28"/>
          <w:lang w:val="en-US"/>
        </w:rPr>
        <w:t>BROUN</w:t>
      </w:r>
      <w:r w:rsidR="00BD04C4" w:rsidRPr="00E76271">
        <w:rPr>
          <w:rFonts w:ascii="Times New Roman" w:hAnsi="Times New Roman" w:cs="Times New Roman"/>
          <w:sz w:val="28"/>
          <w:szCs w:val="28"/>
        </w:rPr>
        <w:t xml:space="preserve">, диализат- бикарбонат 32 </w:t>
      </w:r>
      <w:proofErr w:type="spellStart"/>
      <w:r w:rsidR="00BD04C4" w:rsidRPr="00E7627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BD04C4" w:rsidRPr="00E76271">
        <w:rPr>
          <w:rFonts w:ascii="Times New Roman" w:hAnsi="Times New Roman" w:cs="Times New Roman"/>
          <w:sz w:val="28"/>
          <w:szCs w:val="28"/>
        </w:rPr>
        <w:t xml:space="preserve">/л, Na-138 </w:t>
      </w:r>
      <w:proofErr w:type="spellStart"/>
      <w:r w:rsidR="00BD04C4" w:rsidRPr="00E7627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BD04C4" w:rsidRPr="00E76271">
        <w:rPr>
          <w:rFonts w:ascii="Times New Roman" w:hAnsi="Times New Roman" w:cs="Times New Roman"/>
          <w:sz w:val="28"/>
          <w:szCs w:val="28"/>
        </w:rPr>
        <w:t xml:space="preserve">/л 3-4 раза в неделю по 3-4,5 часов. Na-138 </w:t>
      </w:r>
      <w:proofErr w:type="spellStart"/>
      <w:r w:rsidR="00BD04C4" w:rsidRPr="00E7627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BD04C4" w:rsidRPr="00E76271">
        <w:rPr>
          <w:rFonts w:ascii="Times New Roman" w:hAnsi="Times New Roman" w:cs="Times New Roman"/>
          <w:sz w:val="28"/>
          <w:szCs w:val="28"/>
        </w:rPr>
        <w:t xml:space="preserve">/л 3-4 раза в неделю по 3-4,5 часов. </w:t>
      </w:r>
    </w:p>
    <w:p w:rsidR="00BD04C4" w:rsidRPr="00E76271" w:rsidRDefault="008920C3" w:rsidP="00BD04C4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04C4" w:rsidRPr="00E76271">
        <w:rPr>
          <w:rFonts w:ascii="Times New Roman" w:hAnsi="Times New Roman" w:cs="Times New Roman"/>
          <w:sz w:val="28"/>
          <w:szCs w:val="28"/>
        </w:rPr>
        <w:t xml:space="preserve">В 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СПб ГБУЗ "Клиническая инфекционная больница им. С.П.Боткина" лечение проводилось с помощью аппарата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  <w:lang w:val="en-US"/>
        </w:rPr>
        <w:t>Bellco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  <w:lang w:val="en-US"/>
        </w:rPr>
        <w:t>Formula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2000+ в бикарбонатном режиме 3-4 раза в неделю по 3-4,5 часа на капиллярном диализаторе(площадь мембраны:1,7 м2,проницаемость мембраны: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низкопоточная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),проводимость 13,8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ммоль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/л, бикарбонат -3,2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ммоль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/л.</w:t>
      </w:r>
    </w:p>
    <w:p w:rsidR="00BD04C4" w:rsidRPr="00E76271" w:rsidRDefault="008920C3" w:rsidP="00BD04C4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        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В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СПбГБУЗ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"Городская больница №15" лечение проводилось с помощью аппарата 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  <w:lang w:val="en-US"/>
        </w:rPr>
        <w:t>DIALOG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  <w:lang w:val="en-US"/>
        </w:rPr>
        <w:t>B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-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  <w:lang w:val="en-US"/>
        </w:rPr>
        <w:t>BROUN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в бикарбонатном режиме 3-4 раза в неделю по 3-4 часа на капиллярном диализаторе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  <w:lang w:val="en-US"/>
        </w:rPr>
        <w:t>Elisio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19 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  <w:lang w:val="en-US"/>
        </w:rPr>
        <w:t>H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, 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  <w:lang w:val="en-US"/>
        </w:rPr>
        <w:t>Na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-137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ммоль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/л, бикарбонат -34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ммоль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/л.</w:t>
      </w:r>
    </w:p>
    <w:p w:rsidR="00BD04C4" w:rsidRPr="00E76271" w:rsidRDefault="008920C3" w:rsidP="00BD04C4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04C4" w:rsidRPr="00E76271">
        <w:rPr>
          <w:rFonts w:ascii="Times New Roman" w:hAnsi="Times New Roman" w:cs="Times New Roman"/>
          <w:sz w:val="28"/>
          <w:szCs w:val="28"/>
        </w:rPr>
        <w:t xml:space="preserve">В 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СПб ГБУЗ "Клиническая инфекционная больница им. С.П.Боткина" лечение проводится с помощью аппарата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  <w:lang w:val="en-US"/>
        </w:rPr>
        <w:t>Bellco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  <w:lang w:val="en-US"/>
        </w:rPr>
        <w:t>Formula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2000+ в бикарбонатном режиме 3-4 раза в неделю по 3-4,5 часа на капиллярном диализаторе(площадь мембраны:1,7 </w:t>
      </w:r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lastRenderedPageBreak/>
        <w:t xml:space="preserve">м2,проницаемость мембраны: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низкопоточная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),проводимость 13,8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ммоль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/л, бикарбонат -3,2 </w:t>
      </w:r>
      <w:proofErr w:type="spellStart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ммоль</w:t>
      </w:r>
      <w:proofErr w:type="spellEnd"/>
      <w:r w:rsidR="00BD04C4" w:rsidRPr="00E76271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/л.</w:t>
      </w:r>
    </w:p>
    <w:p w:rsidR="00BD04C4" w:rsidRPr="00D507AB" w:rsidRDefault="008920C3" w:rsidP="00BD0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      </w:t>
      </w:r>
      <w:r w:rsidR="00BD04C4" w:rsidRPr="00D507AB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В  Клинике высоких медицинских технологий им. Н.И.Пирогова СПбГУ лечение проводилось на аппаратах </w:t>
      </w:r>
      <w:r w:rsidR="00BD04C4" w:rsidRPr="00D507AB">
        <w:rPr>
          <w:rFonts w:ascii="Times New Roman" w:hAnsi="Times New Roman" w:cs="Times New Roman"/>
          <w:sz w:val="28"/>
          <w:szCs w:val="28"/>
          <w:lang w:val="en-US"/>
        </w:rPr>
        <w:t>FRESENIUS</w:t>
      </w:r>
      <w:r w:rsidR="00BD04C4" w:rsidRPr="00D507AB">
        <w:rPr>
          <w:rFonts w:ascii="Times New Roman" w:hAnsi="Times New Roman" w:cs="Times New Roman"/>
          <w:sz w:val="28"/>
          <w:szCs w:val="28"/>
        </w:rPr>
        <w:t xml:space="preserve"> 4008/5008, </w:t>
      </w:r>
      <w:r w:rsidR="00BD04C4" w:rsidRPr="00D507AB">
        <w:rPr>
          <w:rFonts w:ascii="Times New Roman" w:hAnsi="Times New Roman" w:cs="Times New Roman"/>
          <w:sz w:val="28"/>
          <w:szCs w:val="28"/>
          <w:lang w:val="en-US"/>
        </w:rPr>
        <w:t>DIALOG</w:t>
      </w:r>
      <w:r w:rsidR="00BD04C4" w:rsidRPr="00D507AB">
        <w:rPr>
          <w:rFonts w:ascii="Times New Roman" w:hAnsi="Times New Roman" w:cs="Times New Roman"/>
          <w:sz w:val="28"/>
          <w:szCs w:val="28"/>
        </w:rPr>
        <w:t xml:space="preserve"> </w:t>
      </w:r>
      <w:r w:rsidR="00BD04C4" w:rsidRPr="00D507A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D04C4" w:rsidRPr="00D507AB">
        <w:rPr>
          <w:rFonts w:ascii="Times New Roman" w:hAnsi="Times New Roman" w:cs="Times New Roman"/>
          <w:sz w:val="28"/>
          <w:szCs w:val="28"/>
        </w:rPr>
        <w:t>-</w:t>
      </w:r>
      <w:r w:rsidR="00BD04C4" w:rsidRPr="00D507AB">
        <w:rPr>
          <w:rFonts w:ascii="Times New Roman" w:hAnsi="Times New Roman" w:cs="Times New Roman"/>
          <w:sz w:val="28"/>
          <w:szCs w:val="28"/>
          <w:lang w:val="en-US"/>
        </w:rPr>
        <w:t>BROUN</w:t>
      </w:r>
      <w:r w:rsidR="00BD04C4" w:rsidRPr="00D507AB">
        <w:rPr>
          <w:rFonts w:ascii="Times New Roman" w:hAnsi="Times New Roman" w:cs="Times New Roman"/>
          <w:sz w:val="28"/>
          <w:szCs w:val="28"/>
        </w:rPr>
        <w:t xml:space="preserve">, диализат- бикарбонат 32 </w:t>
      </w:r>
      <w:proofErr w:type="spellStart"/>
      <w:r w:rsidR="00BD04C4" w:rsidRPr="00D507AB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BD04C4" w:rsidRPr="00D507AB">
        <w:rPr>
          <w:rFonts w:ascii="Times New Roman" w:hAnsi="Times New Roman" w:cs="Times New Roman"/>
          <w:sz w:val="28"/>
          <w:szCs w:val="28"/>
        </w:rPr>
        <w:t xml:space="preserve">/л, Na-138 </w:t>
      </w:r>
      <w:proofErr w:type="spellStart"/>
      <w:r w:rsidR="00BD04C4" w:rsidRPr="00D507AB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BD04C4" w:rsidRPr="00D507AB">
        <w:rPr>
          <w:rFonts w:ascii="Times New Roman" w:hAnsi="Times New Roman" w:cs="Times New Roman"/>
          <w:sz w:val="28"/>
          <w:szCs w:val="28"/>
        </w:rPr>
        <w:t xml:space="preserve">/л 3-4 раза в неделю по 3-4,5 часов. Na-138 </w:t>
      </w:r>
      <w:proofErr w:type="spellStart"/>
      <w:r w:rsidR="00BD04C4" w:rsidRPr="00D507AB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BD04C4" w:rsidRPr="00D507AB">
        <w:rPr>
          <w:rFonts w:ascii="Times New Roman" w:hAnsi="Times New Roman" w:cs="Times New Roman"/>
          <w:sz w:val="28"/>
          <w:szCs w:val="28"/>
        </w:rPr>
        <w:t>/л 3-4 раза в неделю по 3-4,5 часов.</w:t>
      </w:r>
      <w:bookmarkStart w:id="37" w:name="_Toc39549608"/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  <w:bookmarkStart w:id="38" w:name="_Toc40706888"/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Default="00BD04C4" w:rsidP="00BD04C4">
      <w:pPr>
        <w:rPr>
          <w:rFonts w:ascii="Times New Roman" w:hAnsi="Times New Roman" w:cs="Times New Roman"/>
          <w:b/>
        </w:rPr>
      </w:pPr>
    </w:p>
    <w:p w:rsidR="00BD04C4" w:rsidRDefault="00BD04C4" w:rsidP="00BD04C4">
      <w:pPr>
        <w:rPr>
          <w:rFonts w:ascii="Times New Roman" w:hAnsi="Times New Roman" w:cs="Times New Roman"/>
          <w:b/>
        </w:rPr>
      </w:pPr>
    </w:p>
    <w:p w:rsidR="00BD04C4" w:rsidRDefault="00BD04C4" w:rsidP="00BD04C4">
      <w:pPr>
        <w:rPr>
          <w:rFonts w:ascii="Times New Roman" w:hAnsi="Times New Roman" w:cs="Times New Roman"/>
          <w:b/>
        </w:rPr>
      </w:pPr>
    </w:p>
    <w:p w:rsidR="00BD04C4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D507AB" w:rsidRDefault="00BD04C4" w:rsidP="00BD04C4">
      <w:pPr>
        <w:rPr>
          <w:rFonts w:ascii="Times New Roman" w:hAnsi="Times New Roman" w:cs="Times New Roman"/>
          <w:b/>
        </w:rPr>
      </w:pPr>
    </w:p>
    <w:p w:rsidR="00BD04C4" w:rsidRPr="00076759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  <w:bookmarkStart w:id="39" w:name="_Toc41210049"/>
      <w:r w:rsidRPr="00CD6008">
        <w:rPr>
          <w:b w:val="0"/>
          <w:color w:val="0D0D0D" w:themeColor="text1" w:themeTint="F2"/>
          <w:sz w:val="28"/>
          <w:szCs w:val="28"/>
        </w:rPr>
        <w:lastRenderedPageBreak/>
        <w:t>2.3. Статистическая обработка результатов</w:t>
      </w:r>
      <w:bookmarkEnd w:id="37"/>
      <w:bookmarkEnd w:id="38"/>
      <w:bookmarkEnd w:id="39"/>
    </w:p>
    <w:p w:rsidR="00BD04C4" w:rsidRDefault="00BD04C4" w:rsidP="00BD04C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70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Материалы исследования были подвергнуты статистической обработке с использованием методов параметрического и непараметрического анализа. Накопление, корректировка, систематизация исходной информации осуществлялись в электронных таблицах </w:t>
      </w:r>
      <w:proofErr w:type="spellStart"/>
      <w:r w:rsidRPr="00B470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Microsoft</w:t>
      </w:r>
      <w:proofErr w:type="spellEnd"/>
      <w:r w:rsidRPr="00B470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470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Office</w:t>
      </w:r>
      <w:proofErr w:type="spellEnd"/>
      <w:r w:rsidRPr="00B470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470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Excel</w:t>
      </w:r>
      <w:proofErr w:type="spellEnd"/>
      <w:r w:rsidRPr="00B470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2019. Статистический анализ и визуализация полученных результатов проводились с использованием программы STATISTICA 13.3 (разработчик - </w:t>
      </w:r>
      <w:proofErr w:type="spellStart"/>
      <w:r w:rsidRPr="00B470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StatSoft.Inc</w:t>
      </w:r>
      <w:proofErr w:type="spellEnd"/>
      <w:r w:rsidRPr="00B470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). </w:t>
      </w:r>
    </w:p>
    <w:p w:rsidR="00BD04C4" w:rsidRDefault="00BD04C4" w:rsidP="00BD04C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Количественные показатели оценивались на предмет соответствия нормальному распределению, для этого использовался критерий </w:t>
      </w:r>
      <w:proofErr w:type="spellStart"/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Шапиро-Уилка</w:t>
      </w:r>
      <w:proofErr w:type="spellEnd"/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(при числе исследуемых менее 50). В случае описания количественных показателей, имеющих нормальное распределение, проводился расчет средних арифметических величин (M) и стандартных отклонений (SD).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Совокупности количественных показателей, распределение которых отличалось от нормального, описывались при помощи значений медианы (</w:t>
      </w:r>
      <w:proofErr w:type="spellStart"/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Me</w:t>
      </w:r>
      <w:proofErr w:type="spellEnd"/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 и нижнего и верхнего квартилей (Q1-Q3).</w:t>
      </w:r>
    </w:p>
    <w:p w:rsidR="00BD04C4" w:rsidRDefault="00BD04C4" w:rsidP="00BD04C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сравнении средних величин в нормально распределенных совокупностях количественных данных рассчитывался t-критерий Стьюдента. Полученные значения t-критерия Стьюдента оценивались путем сравнения с критическими значениями. Различия показателей считались статистически значимыми при уровне значимости </w:t>
      </w:r>
      <w:proofErr w:type="spellStart"/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p</w:t>
      </w:r>
      <w:proofErr w:type="spellEnd"/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&lt;0,05.</w:t>
      </w:r>
    </w:p>
    <w:p w:rsidR="00BD04C4" w:rsidRDefault="00BD04C4" w:rsidP="00BD04C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Для сравнения независимых совокупностей в случаях отсутствия признаков нормального распределения данных использовался U-критерий Манна-Уитни. Рассчитанные значения U-критерия Манна-Уитни считались статистически значимыми при уровне значимости </w:t>
      </w:r>
      <w:proofErr w:type="spellStart"/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p</w:t>
      </w:r>
      <w:proofErr w:type="spellEnd"/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&lt;0,05.</w:t>
      </w:r>
    </w:p>
    <w:p w:rsidR="00BD04C4" w:rsidRDefault="00BD04C4" w:rsidP="00BD04C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Сравнение номинальных данных проводилось при помощи критерия χ</w:t>
      </w: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2</w:t>
      </w: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Пирсона, позволяющего оценить значимость различий между фактическим количеством исходов или качественных характеристик выборки, </w:t>
      </w: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попадающих в каждую категорию, и теоретическим количеством, которое можно ожидать в изучаемых группах при справедливости нулевой гипотезы.</w:t>
      </w:r>
    </w:p>
    <w:p w:rsidR="00BD04C4" w:rsidRDefault="00BD04C4" w:rsidP="00BD04C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Вначале рассчитывалось ожидаемое количество наблюдений в каждой из ячеек таблицы сопряженности при условии справедливости нулевой гипотезы об отсутствии взаимосвязи. Для этого перемножались суммы рядов и столбцов (маргинальных итогов) с последующим делением полученного произведения на общее число наблюдений. Затем рассчитывалось значение критерия χ</w:t>
      </w: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2</w:t>
      </w: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D04C4" w:rsidRPr="00E43775" w:rsidRDefault="00BD04C4" w:rsidP="00BD04C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тех случаях, когда число ожидаемых наблюдений в любой из ячеек четырехпольной таблицы было менее 5, для оценки уровня значимости различий использовался точный критерий Фишера. Полученное значение точного критерия Фишера Р более 0,05 свидетельствовало об отсутствии статистически значимых различий. Значение P менее 0,05 – об их наличии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[3</w:t>
      </w:r>
      <w:r w:rsidRPr="000767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].</w:t>
      </w: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pStyle w:val="2"/>
        <w:spacing w:line="360" w:lineRule="auto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bookmarkStart w:id="40" w:name="_Toc41210050"/>
      <w:r w:rsidRPr="00CD6008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ГЛАВА 3.Результаты и обсуждения</w:t>
      </w:r>
      <w:bookmarkEnd w:id="40"/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  <w:shd w:val="clear" w:color="auto" w:fill="FFFFFF"/>
        </w:rPr>
      </w:pPr>
      <w:bookmarkStart w:id="41" w:name="_Toc41210051"/>
      <w:r w:rsidRPr="00CD6008">
        <w:rPr>
          <w:b w:val="0"/>
          <w:color w:val="0D0D0D" w:themeColor="text1" w:themeTint="F2"/>
          <w:sz w:val="28"/>
          <w:szCs w:val="28"/>
          <w:shd w:val="clear" w:color="auto" w:fill="FFFFFF"/>
        </w:rPr>
        <w:t>3.1.Результаты</w:t>
      </w:r>
      <w:bookmarkEnd w:id="41"/>
    </w:p>
    <w:p w:rsidR="00BD04C4" w:rsidRPr="00CD6008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  <w:shd w:val="clear" w:color="auto" w:fill="FFFFFF"/>
        </w:rPr>
      </w:pPr>
      <w:bookmarkStart w:id="42" w:name="_Toc41210052"/>
      <w:r w:rsidRPr="00CD6008">
        <w:rPr>
          <w:b w:val="0"/>
          <w:color w:val="0D0D0D" w:themeColor="text1" w:themeTint="F2"/>
          <w:sz w:val="28"/>
          <w:szCs w:val="28"/>
          <w:shd w:val="clear" w:color="auto" w:fill="FFFFFF"/>
        </w:rPr>
        <w:t>3.1.1. Общая характеристика пациентов</w:t>
      </w:r>
      <w:bookmarkEnd w:id="42"/>
    </w:p>
    <w:p w:rsidR="00BD04C4" w:rsidRPr="00CD6008" w:rsidRDefault="00BD04C4" w:rsidP="00BD0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Всего в 6 центрах гемодиализа по данным сотрудников и проведенного анализа историй болезней лечения получают 550 пациентов, среди них 44 пациента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меют антитела к вирусу гепатита С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что составляет 8,0 % от общего числа проходящих лечение. </w:t>
      </w:r>
    </w:p>
    <w:p w:rsidR="00BD04C4" w:rsidRPr="00636F15" w:rsidRDefault="00BD04C4" w:rsidP="00BD04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F15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Распределение по полу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ациентов, имеющий антитела к вирусу гепатита С-диаграмма №1</w:t>
      </w:r>
      <w:r w:rsidRPr="00636F1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D04C4" w:rsidRPr="00636F15" w:rsidRDefault="00BD04C4" w:rsidP="00BD04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Женщин с антителами к вирусу гепатита </w:t>
      </w:r>
      <w:r w:rsidRPr="00636F15">
        <w:rPr>
          <w:rFonts w:ascii="Times New Roman" w:hAnsi="Times New Roman" w:cs="Times New Roman"/>
          <w:sz w:val="28"/>
          <w:szCs w:val="28"/>
          <w:shd w:val="clear" w:color="auto" w:fill="FFFFFF"/>
        </w:rPr>
        <w:t>С-14(31,8%)</w:t>
      </w:r>
    </w:p>
    <w:p w:rsidR="00BD04C4" w:rsidRPr="00636F15" w:rsidRDefault="00BD04C4" w:rsidP="00BD04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Мужчин с антителами к вирусу гепатита </w:t>
      </w:r>
      <w:r w:rsidRPr="00636F15">
        <w:rPr>
          <w:rFonts w:ascii="Times New Roman" w:hAnsi="Times New Roman" w:cs="Times New Roman"/>
          <w:sz w:val="28"/>
          <w:szCs w:val="28"/>
          <w:shd w:val="clear" w:color="auto" w:fill="FFFFFF"/>
        </w:rPr>
        <w:t>С -30(68,2%)</w:t>
      </w:r>
    </w:p>
    <w:p w:rsidR="00BD04C4" w:rsidRPr="00636F15" w:rsidRDefault="00BD04C4" w:rsidP="00BD04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F15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Распределение по полу пац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иентов, не имеющих антител к вирусу гепатита С</w:t>
      </w:r>
      <w:r w:rsidRPr="00636F1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D04C4" w:rsidRPr="00636F15" w:rsidRDefault="00BD04C4" w:rsidP="00BD04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F15">
        <w:rPr>
          <w:rFonts w:ascii="Times New Roman" w:hAnsi="Times New Roman" w:cs="Times New Roman"/>
          <w:sz w:val="28"/>
          <w:szCs w:val="28"/>
          <w:shd w:val="clear" w:color="auto" w:fill="FFFFFF"/>
        </w:rPr>
        <w:t>Мужчин -25(56,8%)</w:t>
      </w:r>
    </w:p>
    <w:p w:rsidR="00BD04C4" w:rsidRDefault="00BD04C4" w:rsidP="00BD04C4">
      <w:pPr>
        <w:rPr>
          <w:b/>
          <w:color w:val="0D0D0D" w:themeColor="text1" w:themeTint="F2"/>
          <w:sz w:val="28"/>
          <w:szCs w:val="28"/>
        </w:rPr>
      </w:pPr>
      <w:r w:rsidRPr="00636F15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Женщин-19(43,2%)</w:t>
      </w:r>
    </w:p>
    <w:p w:rsidR="00BD04C4" w:rsidRPr="00300AEC" w:rsidRDefault="00BD04C4" w:rsidP="00BD04C4">
      <w:pPr>
        <w:rPr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изучении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социально значимых характеристик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пациентов, имеющих антитела к ВГС,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было выявлено: 2 пациента ранее имело алкогольную зависимость (4,5%), 4 пациента имело наркотическую зависимость(9%), один пациент имел  алкогольную и наркотическую зависимость (2%).Один пациент ранее находился в местах лишения свободы (2%).</w:t>
      </w:r>
    </w:p>
    <w:p w:rsidR="00BD04C4" w:rsidRPr="00CD6008" w:rsidRDefault="00BD04C4" w:rsidP="00BD04C4">
      <w:pPr>
        <w:spacing w:line="360" w:lineRule="auto"/>
        <w:ind w:left="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Трудоспособными были 9 пациентов (20,45%).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Среди 44 пациентов инвалидность у 19 пациентов (43,18%)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ind w:left="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Распределение  по группам инвалидности:</w:t>
      </w:r>
    </w:p>
    <w:p w:rsidR="00BD04C4" w:rsidRPr="00CD6008" w:rsidRDefault="00BD04C4" w:rsidP="00BD04C4">
      <w:pPr>
        <w:tabs>
          <w:tab w:val="left" w:pos="4363"/>
        </w:tabs>
        <w:spacing w:line="360" w:lineRule="auto"/>
        <w:ind w:left="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группа- 5 пациентов(11,36%)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BD04C4" w:rsidRPr="00CD6008" w:rsidRDefault="00BD04C4" w:rsidP="00BD04C4">
      <w:pPr>
        <w:spacing w:line="360" w:lineRule="auto"/>
        <w:ind w:left="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группа-7 пациентов(15,9%)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BD04C4" w:rsidRDefault="00BD04C4" w:rsidP="00BD04C4">
      <w:pPr>
        <w:spacing w:line="360" w:lineRule="auto"/>
        <w:ind w:left="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III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группа-7 пациентов(15,9%)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FB5A08" w:rsidRDefault="00BD04C4" w:rsidP="00BD04C4">
      <w:pPr>
        <w:spacing w:line="360" w:lineRule="auto"/>
        <w:ind w:left="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lastRenderedPageBreak/>
        <w:t>Диаграмма №1.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асп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е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деление по полу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 пациентов с ВГС </w:t>
      </w: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noProof/>
          <w:color w:val="0D0D0D" w:themeColor="text1" w:themeTint="F2"/>
          <w:spacing w:val="1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Структура основных диагнозов па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циентов, имеющих антитела к вирусу гепатита 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С, имеет следующий вид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-диаграмма№2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:</w:t>
      </w:r>
    </w:p>
    <w:p w:rsidR="00BD04C4" w:rsidRPr="00CD6008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х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ронический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гломерулонефрит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14</w:t>
      </w:r>
      <w:r w:rsidRPr="00CD600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пациентов,</w:t>
      </w:r>
    </w:p>
    <w:p w:rsidR="00BD04C4" w:rsidRPr="00CD6008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хронический пиелонефрит-6,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 </w:t>
      </w:r>
    </w:p>
    <w:p w:rsidR="00BD04C4" w:rsidRPr="00CD6008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мочекаменная болезнь-2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, </w:t>
      </w:r>
    </w:p>
    <w:p w:rsidR="00BD04C4" w:rsidRPr="00CD6008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поликистоз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почек-6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,</w:t>
      </w:r>
    </w:p>
    <w:p w:rsidR="00BD04C4" w:rsidRPr="00CD6008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г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ипертоническая болезнь с преимущественным поражением почек-3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,</w:t>
      </w:r>
    </w:p>
    <w:p w:rsidR="00BD04C4" w:rsidRPr="00CD6008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сахарный диабет второго типа с осложнениями-2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, </w:t>
      </w:r>
    </w:p>
    <w:p w:rsidR="00BD04C4" w:rsidRPr="00CD6008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ВИЧ-ассоциированная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нефропатия-2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, </w:t>
      </w:r>
    </w:p>
    <w:p w:rsidR="00BD04C4" w:rsidRPr="00CD6008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подагрическая нефропатия-1,</w:t>
      </w:r>
    </w:p>
    <w:p w:rsidR="00BD04C4" w:rsidRPr="00CD6008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в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рожденная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аномлия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мочевыводящей системы-1,</w:t>
      </w:r>
    </w:p>
    <w:p w:rsidR="00BD04C4" w:rsidRPr="00CD6008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диффузный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мезангиокапиллярный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гломерулонефрит-3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,</w:t>
      </w:r>
    </w:p>
    <w:p w:rsidR="00BD04C4" w:rsidRPr="00CD6008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 нефропатия с гломерулосклерозом-1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,</w:t>
      </w:r>
    </w:p>
    <w:p w:rsidR="00BD04C4" w:rsidRPr="00763FD1" w:rsidRDefault="00BD04C4" w:rsidP="00BD04C4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хронический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мембранозно-пролиферативный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гломерулонефрит</w:t>
      </w:r>
      <w:proofErr w:type="spellEnd"/>
    </w:p>
    <w:p w:rsidR="00BD04C4" w:rsidRDefault="00BD04C4" w:rsidP="00BD04C4">
      <w:pPr>
        <w:spacing w:line="360" w:lineRule="auto"/>
        <w:ind w:left="427"/>
        <w:jc w:val="right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Диаграмма №2.</w:t>
      </w:r>
    </w:p>
    <w:p w:rsidR="00BD04C4" w:rsidRPr="009C52BD" w:rsidRDefault="00BD04C4" w:rsidP="00BD04C4">
      <w:pPr>
        <w:spacing w:line="360" w:lineRule="auto"/>
        <w:ind w:left="427"/>
        <w:jc w:val="right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Структура основных диагнозов пациентов, имеющих антитела к ВГС .</w:t>
      </w:r>
    </w:p>
    <w:p w:rsidR="00BD04C4" w:rsidRPr="00CD6008" w:rsidRDefault="00BD04C4" w:rsidP="00BD04C4">
      <w:pPr>
        <w:pStyle w:val="1"/>
        <w:spacing w:line="360" w:lineRule="auto"/>
        <w:rPr>
          <w:rFonts w:ascii="Times New Roman" w:hAnsi="Times New Roman" w:cs="Times New Roman"/>
          <w:color w:val="0D0D0D" w:themeColor="text1" w:themeTint="F2"/>
          <w:spacing w:val="14"/>
          <w:shd w:val="clear" w:color="auto" w:fill="FFFFFF"/>
        </w:rPr>
      </w:pPr>
      <w:r w:rsidRPr="00CD6008">
        <w:rPr>
          <w:rFonts w:ascii="Times New Roman" w:hAnsi="Times New Roman" w:cs="Times New Roman"/>
          <w:noProof/>
          <w:color w:val="0D0D0D" w:themeColor="text1" w:themeTint="F2"/>
          <w:lang w:eastAsia="ru-RU"/>
        </w:rPr>
        <w:drawing>
          <wp:inline distT="0" distB="0" distL="0" distR="0">
            <wp:extent cx="5457825" cy="737899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04C4" w:rsidRPr="00CD6008" w:rsidRDefault="00BD04C4" w:rsidP="00BD04C4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0F0BF9" w:rsidRDefault="00BD04C4" w:rsidP="00BD04C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структуре осложнений основного диагноза пациентов, имеющих антитела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ВГС</w:t>
      </w:r>
      <w:r w:rsidRPr="000F0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преобладали: вторичная гипертензия, железодефицитная анемия, анемия, вторичный </w:t>
      </w:r>
      <w:proofErr w:type="spellStart"/>
      <w:r w:rsidRPr="000F0BF9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гиперпаратиреоз</w:t>
      </w:r>
      <w:proofErr w:type="spellEnd"/>
      <w:r w:rsidRPr="000F0BF9">
        <w:rPr>
          <w:rFonts w:ascii="Times New Roman" w:hAnsi="Times New Roman" w:cs="Times New Roman"/>
          <w:sz w:val="28"/>
          <w:szCs w:val="28"/>
          <w:shd w:val="clear" w:color="auto" w:fill="FFFFFF"/>
        </w:rPr>
        <w:t>, азотем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и метаболический ацидоз-диаграмма №3.</w:t>
      </w:r>
    </w:p>
    <w:p w:rsidR="00BD04C4" w:rsidRPr="00CD6008" w:rsidRDefault="00BD04C4" w:rsidP="00BD04C4">
      <w:pPr>
        <w:spacing w:line="360" w:lineRule="auto"/>
        <w:ind w:left="427"/>
        <w:jc w:val="right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Диаграмма №3.</w:t>
      </w:r>
    </w:p>
    <w:p w:rsidR="00BD04C4" w:rsidRPr="00CD6008" w:rsidRDefault="00BD04C4" w:rsidP="00BD04C4">
      <w:pPr>
        <w:spacing w:line="360" w:lineRule="auto"/>
        <w:ind w:left="427"/>
        <w:jc w:val="center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Структура осложнений основного диагно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за у пациентов с антителами к вирусу гепатита </w:t>
      </w: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С.</w:t>
      </w:r>
    </w:p>
    <w:p w:rsidR="00BD04C4" w:rsidRDefault="00BD04C4" w:rsidP="00BD04C4">
      <w:pPr>
        <w:spacing w:line="360" w:lineRule="auto"/>
        <w:ind w:left="67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</w:p>
    <w:p w:rsidR="00BD04C4" w:rsidRDefault="00BD04C4" w:rsidP="00BD04C4">
      <w:pPr>
        <w:spacing w:line="360" w:lineRule="auto"/>
        <w:ind w:left="67"/>
        <w:jc w:val="center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noProof/>
          <w:color w:val="0D0D0D" w:themeColor="text1" w:themeTint="F2"/>
          <w:spacing w:val="1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10938" cy="5369442"/>
            <wp:effectExtent l="19050" t="0" r="23112" b="2658"/>
            <wp:docPr id="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04C4" w:rsidRDefault="00BD04C4" w:rsidP="00BD04C4">
      <w:pPr>
        <w:spacing w:line="360" w:lineRule="auto"/>
        <w:ind w:left="67"/>
        <w:jc w:val="center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line="360" w:lineRule="auto"/>
        <w:ind w:left="67"/>
        <w:jc w:val="center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lastRenderedPageBreak/>
        <w:t>Структура сопутствующих за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болеваний пациентов с  ВГС</w:t>
      </w:r>
    </w:p>
    <w:p w:rsidR="00BD04C4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04C4" w:rsidRPr="000F0BF9">
        <w:rPr>
          <w:rFonts w:ascii="Times New Roman" w:hAnsi="Times New Roman" w:cs="Times New Roman"/>
          <w:sz w:val="28"/>
          <w:szCs w:val="28"/>
        </w:rPr>
        <w:t xml:space="preserve">Заболевания желудочно-кишечного тракта были выявлены у 17 пациентов (некоторые имели сочетанную желудочно-кишечную патологию, наиболее часто был диагностирован гастродуоденит), туберкулез был выявлен у 3 пациентов (один пациент имел единовременно туберкулез внутригрудных лимфатических узлов и легких),заболевания сердечно - сосудистой системы имело 3 человека, заболевания опорно-двигательного аппарата имело  4 человека, заболевание верхних дыхательных путей имело 2 пациента, заболевания кожи имело 2 человека, метаболические нарушения имел 1 пациент, ожирение 1 человек, геномную патологию имел 1 человек, </w:t>
      </w:r>
      <w:r w:rsidR="00BD04C4" w:rsidRPr="000F0BF9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тонзиллит имел 1 пациент, гнойное воспаление имел 1 пациент</w:t>
      </w:r>
      <w:r w:rsidR="00BD04C4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 </w:t>
      </w:r>
      <w:r w:rsidR="00BD04C4" w:rsidRPr="009C52BD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-</w:t>
      </w:r>
      <w:r w:rsidR="00BD04C4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д</w:t>
      </w:r>
      <w:r w:rsidR="00BD04C4" w:rsidRPr="000F0BF9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иаграмма№</w:t>
      </w:r>
      <w:r w:rsidR="00BD04C4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4.</w:t>
      </w:r>
    </w:p>
    <w:p w:rsidR="00BD04C4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Диаграмма №4. </w:t>
      </w:r>
    </w:p>
    <w:p w:rsidR="00BD04C4" w:rsidRPr="00CD6008" w:rsidRDefault="00BD04C4" w:rsidP="00BD04C4">
      <w:pPr>
        <w:spacing w:line="360" w:lineRule="auto"/>
        <w:ind w:left="67"/>
        <w:jc w:val="center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Структура сопутствующих заболев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аний  пациентов с  ВГС</w:t>
      </w:r>
    </w:p>
    <w:p w:rsidR="00BD04C4" w:rsidRDefault="00BD04C4" w:rsidP="00BD04C4">
      <w:pPr>
        <w:spacing w:line="360" w:lineRule="auto"/>
        <w:ind w:left="67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noProof/>
          <w:color w:val="0D0D0D" w:themeColor="text1" w:themeTint="F2"/>
          <w:spacing w:val="1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95748" cy="4082902"/>
            <wp:effectExtent l="19050" t="0" r="9702" b="0"/>
            <wp:docPr id="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04C4" w:rsidRPr="00CD6008" w:rsidRDefault="00BD04C4" w:rsidP="00BD04C4">
      <w:pPr>
        <w:spacing w:line="360" w:lineRule="auto"/>
        <w:ind w:left="67"/>
        <w:jc w:val="center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  <w:r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lastRenderedPageBreak/>
        <w:t>Микст инфекци</w:t>
      </w: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я у пациентов с антителами к вирусу гепатита С</w:t>
      </w:r>
    </w:p>
    <w:p w:rsidR="00BD04C4" w:rsidRPr="00352395" w:rsidRDefault="008920C3" w:rsidP="00BD04C4">
      <w:pPr>
        <w:spacing w:line="360" w:lineRule="auto"/>
        <w:ind w:left="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 xml:space="preserve">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Микст - инфекция была выявлена у 15 пациентов (34%)</w:t>
      </w:r>
      <w:r w:rsidR="00BD04C4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, имеющих антитела к вирусу гепатита С</w:t>
      </w:r>
      <w:r w:rsidR="00BD04C4" w:rsidRPr="00CD6008"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  <w:t>.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9 диагностирован хронический вирусный гепатит В (20,5%),у 5 пациентов диагностирована ВИЧ-инфекция (11,4%),у одного пациента сочетание ВИЧ инфекции, вирусного гепатита В и С (2,3%).</w:t>
      </w:r>
      <w:bookmarkStart w:id="43" w:name="_Toc40708097"/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  <w:bookmarkStart w:id="44" w:name="_Toc41210053"/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  <w:r>
        <w:rPr>
          <w:b w:val="0"/>
          <w:color w:val="0D0D0D" w:themeColor="text1" w:themeTint="F2"/>
          <w:sz w:val="28"/>
          <w:szCs w:val="28"/>
        </w:rPr>
        <w:t>3.1.2</w:t>
      </w:r>
      <w:r w:rsidRPr="00CD6008">
        <w:rPr>
          <w:b w:val="0"/>
          <w:color w:val="0D0D0D" w:themeColor="text1" w:themeTint="F2"/>
          <w:sz w:val="28"/>
          <w:szCs w:val="28"/>
        </w:rPr>
        <w:t>.Анализ клинического течения.</w:t>
      </w:r>
      <w:bookmarkEnd w:id="44"/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анализе клинического течения вирусного гепатита С у пациентов, находящихся на гемодиализе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получены следующие результаты: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 пациента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(36,3%) из 44 отмечали появление слабо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сти, среди пациентов, не имеющих антител к ВГС,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 симптом отмечали 19 пациентов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(21,5%).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Статистическая достоверность полученного результата оценивалась с помощью расчета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Хи-квадрата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D6008">
        <w:rPr>
          <w:rFonts w:ascii="Times New Roman" w:hAnsi="Times New Roman" w:cs="Times New Roman"/>
          <w:color w:val="123456"/>
          <w:sz w:val="28"/>
          <w:szCs w:val="28"/>
          <w:shd w:val="clear" w:color="auto" w:fill="FFFFFF"/>
        </w:rPr>
        <w:t>χ</w:t>
      </w:r>
      <w:r w:rsidRPr="00CD6008">
        <w:rPr>
          <w:rFonts w:ascii="Times New Roman" w:hAnsi="Times New Roman" w:cs="Times New Roman"/>
          <w:color w:val="123456"/>
          <w:sz w:val="28"/>
          <w:szCs w:val="28"/>
          <w:shd w:val="clear" w:color="auto" w:fill="FFFFFF"/>
          <w:vertAlign w:val="superscript"/>
        </w:rPr>
        <w:t xml:space="preserve">2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анализ представлен в таблице №2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Таблица № 2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Расчет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Хи-квадрата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CD6008">
        <w:rPr>
          <w:rFonts w:ascii="Times New Roman" w:hAnsi="Times New Roman" w:cs="Times New Roman"/>
          <w:color w:val="123456"/>
          <w:sz w:val="28"/>
          <w:szCs w:val="28"/>
          <w:shd w:val="clear" w:color="auto" w:fill="FFFFFF"/>
        </w:rPr>
        <w:t>χ</w:t>
      </w:r>
      <w:r w:rsidRPr="00CD6008">
        <w:rPr>
          <w:rFonts w:ascii="Times New Roman" w:hAnsi="Times New Roman" w:cs="Times New Roman"/>
          <w:color w:val="123456"/>
          <w:sz w:val="28"/>
          <w:szCs w:val="28"/>
          <w:shd w:val="clear" w:color="auto" w:fill="FFFFFF"/>
          <w:vertAlign w:val="superscript"/>
        </w:rPr>
        <w:t xml:space="preserve">2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для частоты возникновения слабости.</w:t>
      </w:r>
    </w:p>
    <w:tbl>
      <w:tblPr>
        <w:tblStyle w:val="af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 с антителами к ВГС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Слабость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Нет слабости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Всего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 от общего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spacing w:before="100" w:beforeAutospacing="1" w:after="200" w:afterAutospacing="1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bookmarkStart w:id="45" w:name="_Toc40707409"/>
            <w:bookmarkStart w:id="46" w:name="_Toc40708100"/>
            <w:bookmarkStart w:id="47" w:name="_Toc41210054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36,4%</w:t>
            </w:r>
            <w:bookmarkEnd w:id="45"/>
            <w:bookmarkEnd w:id="46"/>
            <w:bookmarkEnd w:id="47"/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13,6%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 без антител к ВГС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 от общего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21,6%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28,4%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Сумма по столбцам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51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88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Хи-квадрат</w:t>
            </w:r>
            <w:proofErr w:type="spellEnd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</w:t>
            </w:r>
            <w:r w:rsidRPr="00CD6008">
              <w:rPr>
                <w:rFonts w:ascii="Times New Roman" w:hAnsi="Times New Roman" w:cs="Times New Roman"/>
                <w:color w:val="123456"/>
                <w:sz w:val="28"/>
                <w:szCs w:val="28"/>
                <w:shd w:val="clear" w:color="auto" w:fill="FFFFFF"/>
              </w:rPr>
              <w:t>χ</w:t>
            </w:r>
            <w:r w:rsidRPr="00CD6008">
              <w:rPr>
                <w:rFonts w:ascii="Times New Roman" w:hAnsi="Times New Roman" w:cs="Times New Roman"/>
                <w:color w:val="123456"/>
                <w:sz w:val="28"/>
                <w:szCs w:val="28"/>
                <w:shd w:val="clear" w:color="auto" w:fill="FFFFFF"/>
                <w:vertAlign w:val="superscript"/>
              </w:rPr>
              <w:t xml:space="preserve">2 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04C4" w:rsidRPr="00CD6008" w:rsidRDefault="00BD04C4" w:rsidP="008B78A9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Р=0,005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BD04C4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сравнении частоты возникновения слабости у пациентов, имеющих антитела к вирусу гепатита С, и пациентов без ВГС, значения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Хи-квадрата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CD6008">
        <w:rPr>
          <w:rFonts w:ascii="Times New Roman" w:hAnsi="Times New Roman" w:cs="Times New Roman"/>
          <w:color w:val="123456"/>
          <w:sz w:val="28"/>
          <w:szCs w:val="28"/>
          <w:shd w:val="clear" w:color="auto" w:fill="FFFFFF"/>
        </w:rPr>
        <w:t>χ</w:t>
      </w:r>
      <w:r w:rsidRPr="00CD6008">
        <w:rPr>
          <w:rFonts w:ascii="Times New Roman" w:hAnsi="Times New Roman" w:cs="Times New Roman"/>
          <w:color w:val="123456"/>
          <w:sz w:val="28"/>
          <w:szCs w:val="28"/>
          <w:shd w:val="clear" w:color="auto" w:fill="FFFFFF"/>
          <w:vertAlign w:val="superscript"/>
        </w:rPr>
        <w:t>2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 соответствует уровню значимости р=0,005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 говорит о более частом возникновении данного симптома у пациентов с вирусным гепатитом С, что подтверждается информацией из литературных источников о клинической симптоматики ВГС</w:t>
      </w:r>
      <w:r w:rsidRPr="00E92A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[15].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2118CA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дальнейшем анализе жалоб  статистическая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достоверность полученных результатов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оценивалась с помощью точного критерия Фишера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данные представлены в таблицах № 3-5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Таблица № 3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Расчет точного критерия Фишера для частоты развития потери аппетита у групп.</w:t>
      </w:r>
    </w:p>
    <w:tbl>
      <w:tblPr>
        <w:tblStyle w:val="af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Потеря аппетита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Нет жалоб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Всего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 с антителами к ВГС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39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%от общего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5,8%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46,2%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 без  антител  к ВГС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ind w:firstLine="7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3,5%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46,5%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%от общего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88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Точный критерий Фишера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Р=0,356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Значение точного критерия Фишера не соответствует уровню значимости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соответственно р=0,356,что говорит об отсутствии разницы в возникновении данного симптома у двух групп.</w:t>
      </w: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Таблица № 4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Расчет точного критерия Фишера для частоты развития тошноты.</w:t>
      </w:r>
    </w:p>
    <w:tbl>
      <w:tblPr>
        <w:tblStyle w:val="af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Тошнота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Нет жалоб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Всего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 с антителами к ВГС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%от общего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4,5%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45,5%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 без антител к ВГС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ind w:firstLine="7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%от общего 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2,3%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47,7%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Сумма по столбцам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82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88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Точный критерий Фишера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Р=0,3382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Значение точного критерия Фишера не соответствует уровню значимости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соответственно р=0,3382,что говорит об отсутствии разницы в возникновении данного симптома у пациентов с нали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чием и отсутствием антител к вирусу гепатита С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Таблица № 5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Расчет точного критерия Фишера для частоты развития зуда.</w:t>
      </w:r>
    </w:p>
    <w:tbl>
      <w:tblPr>
        <w:tblStyle w:val="af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Зуд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Нет жалоб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Всего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 с антителами к ВГС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%от общего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7,9%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42,1%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 без  антител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 ВГС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ind w:firstLine="7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%от общего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2,3%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47,7%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Сумма по столбцам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79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88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Точный критерий Фишера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Р=0,07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2118CA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Значение точного критерия Фишера не соответствует уровню значимости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соответственно р=0,07,что говорит об отсутствии разницы в возникновении данного симптом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у пациентов с антителами к вирусу гепатита С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без.</w:t>
      </w:r>
    </w:p>
    <w:p w:rsidR="00BD04C4" w:rsidRPr="002118CA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2118CA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2118CA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2118CA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2118CA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Таблица № 6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Расчет точного критерия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Хи-квадрата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CD6008">
        <w:rPr>
          <w:rFonts w:ascii="Times New Roman" w:hAnsi="Times New Roman" w:cs="Times New Roman"/>
          <w:color w:val="123456"/>
          <w:sz w:val="28"/>
          <w:szCs w:val="28"/>
          <w:shd w:val="clear" w:color="auto" w:fill="FFFFFF"/>
        </w:rPr>
        <w:t>χ</w:t>
      </w:r>
      <w:r w:rsidRPr="00CD6008">
        <w:rPr>
          <w:rFonts w:ascii="Times New Roman" w:hAnsi="Times New Roman" w:cs="Times New Roman"/>
          <w:color w:val="123456"/>
          <w:sz w:val="28"/>
          <w:szCs w:val="28"/>
          <w:shd w:val="clear" w:color="auto" w:fill="FFFFFF"/>
          <w:vertAlign w:val="superscript"/>
        </w:rPr>
        <w:t xml:space="preserve">2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 для частоты развития повышения артериального давления.</w:t>
      </w:r>
    </w:p>
    <w:tbl>
      <w:tblPr>
        <w:tblStyle w:val="af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Повышение давления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Нет жалоб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Всего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 с антителами к ВГС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%от общего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28,4%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21,6%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 без  антител к ВГС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ind w:firstLine="7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%от общего 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22,7%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27,3%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50%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Сумма по столбцам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88</w:t>
            </w:r>
          </w:p>
        </w:tc>
      </w:tr>
      <w:tr w:rsidR="00BD04C4" w:rsidRPr="00CD6008" w:rsidTr="008B78A9">
        <w:tc>
          <w:tcPr>
            <w:tcW w:w="2392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Хи-квадрат</w:t>
            </w:r>
            <w:proofErr w:type="spellEnd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</w:t>
            </w:r>
            <w:r w:rsidRPr="00CD6008">
              <w:rPr>
                <w:rFonts w:ascii="Times New Roman" w:hAnsi="Times New Roman" w:cs="Times New Roman"/>
                <w:color w:val="123456"/>
                <w:sz w:val="28"/>
                <w:szCs w:val="28"/>
                <w:shd w:val="clear" w:color="auto" w:fill="FFFFFF"/>
              </w:rPr>
              <w:t>χ</w:t>
            </w:r>
            <w:r w:rsidRPr="00CD6008">
              <w:rPr>
                <w:rFonts w:ascii="Times New Roman" w:hAnsi="Times New Roman" w:cs="Times New Roman"/>
                <w:color w:val="123456"/>
                <w:sz w:val="28"/>
                <w:szCs w:val="28"/>
                <w:shd w:val="clear" w:color="auto" w:fill="FFFFFF"/>
                <w:vertAlign w:val="superscript"/>
              </w:rPr>
              <w:t xml:space="preserve">2 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)  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Р=0,2863</w:t>
            </w:r>
          </w:p>
        </w:tc>
        <w:tc>
          <w:tcPr>
            <w:tcW w:w="239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Значение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Хи-квадрата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CD6008">
        <w:rPr>
          <w:rFonts w:ascii="Times New Roman" w:hAnsi="Times New Roman" w:cs="Times New Roman"/>
          <w:color w:val="123456"/>
          <w:sz w:val="28"/>
          <w:szCs w:val="28"/>
          <w:shd w:val="clear" w:color="auto" w:fill="FFFFFF"/>
        </w:rPr>
        <w:t>χ</w:t>
      </w:r>
      <w:r w:rsidRPr="00CD6008">
        <w:rPr>
          <w:rFonts w:ascii="Times New Roman" w:hAnsi="Times New Roman" w:cs="Times New Roman"/>
          <w:color w:val="123456"/>
          <w:sz w:val="28"/>
          <w:szCs w:val="28"/>
          <w:shd w:val="clear" w:color="auto" w:fill="FFFFFF"/>
          <w:vertAlign w:val="superscript"/>
        </w:rPr>
        <w:t xml:space="preserve">2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 не соответствует уровню значимости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р=0,2863 соответственно, что говорит об отсутствии разницы в возникновении данного симптома у 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ациентов с антителами к вирусу гепатита С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без.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bookmarkEnd w:id="43"/>
    <w:p w:rsidR="00BD04C4" w:rsidRPr="00CD6008" w:rsidRDefault="00BD04C4" w:rsidP="00BD04C4">
      <w:pPr>
        <w:spacing w:line="360" w:lineRule="auto"/>
        <w:ind w:left="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  <w:bookmarkStart w:id="48" w:name="_Toc41210055"/>
      <w:r>
        <w:rPr>
          <w:b w:val="0"/>
          <w:color w:val="0D0D0D" w:themeColor="text1" w:themeTint="F2"/>
          <w:sz w:val="28"/>
          <w:szCs w:val="28"/>
        </w:rPr>
        <w:lastRenderedPageBreak/>
        <w:t>3.1.3</w:t>
      </w:r>
      <w:r w:rsidRPr="002118CA">
        <w:rPr>
          <w:b w:val="0"/>
          <w:color w:val="0D0D0D" w:themeColor="text1" w:themeTint="F2"/>
          <w:sz w:val="28"/>
          <w:szCs w:val="28"/>
        </w:rPr>
        <w:t xml:space="preserve">. </w:t>
      </w:r>
      <w:r w:rsidRPr="00CD6008">
        <w:rPr>
          <w:b w:val="0"/>
          <w:color w:val="0D0D0D" w:themeColor="text1" w:themeTint="F2"/>
          <w:sz w:val="28"/>
          <w:szCs w:val="28"/>
        </w:rPr>
        <w:t>Анализ лабораторных показателей пациентов.</w:t>
      </w:r>
      <w:bookmarkEnd w:id="48"/>
    </w:p>
    <w:p w:rsidR="00BD04C4" w:rsidRPr="00CD6008" w:rsidRDefault="00BD04C4" w:rsidP="00BD04C4">
      <w:pPr>
        <w:pStyle w:val="3"/>
        <w:jc w:val="center"/>
        <w:rPr>
          <w:color w:val="0D0D0D" w:themeColor="text1" w:themeTint="F2"/>
          <w:sz w:val="28"/>
          <w:szCs w:val="28"/>
        </w:rPr>
      </w:pPr>
    </w:p>
    <w:p w:rsidR="00BD04C4" w:rsidRPr="00CD6008" w:rsidRDefault="008920C3" w:rsidP="00BD04C4">
      <w:pPr>
        <w:spacing w:line="360" w:lineRule="auto"/>
        <w:ind w:left="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полученные количественные данные были проверены на соответствие нормальному распределению. По результатам проверки при помощи критерия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Шапиро-Уилка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только распределение данных по значениям эритроцитов оказалось нормальным (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&gt;0,05), что отражено в таблице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№7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ind w:left="67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Таблица №7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ind w:firstLine="85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Соответствие выборок данных нормальному распределению.</w:t>
      </w:r>
    </w:p>
    <w:tbl>
      <w:tblPr>
        <w:tblStyle w:val="af2"/>
        <w:tblW w:w="0" w:type="auto"/>
        <w:tblLook w:val="04A0"/>
      </w:tblPr>
      <w:tblGrid>
        <w:gridCol w:w="3190"/>
        <w:gridCol w:w="3190"/>
        <w:gridCol w:w="3191"/>
      </w:tblGrid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Параметр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Критерий </w:t>
            </w:r>
            <w:proofErr w:type="spellStart"/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Шапиро-Уилка</w:t>
            </w:r>
            <w:proofErr w:type="spellEnd"/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P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лет на диализе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0,86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Эритроциты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0,968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0,290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Гемоглобин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0,85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Лимфоциты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0,862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Тромбоциты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0,96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0,008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Лейкоциты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0,941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Альбумин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0,956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0,005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Бидирубин</w:t>
            </w:r>
            <w:proofErr w:type="spellEnd"/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0,454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АЛТ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0,782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АСТ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0,677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щелочная фосфатаза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0,673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Креатинин</w:t>
            </w:r>
            <w:proofErr w:type="spellEnd"/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0,241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Глюкоза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0,613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</w:tbl>
    <w:p w:rsidR="00BD04C4" w:rsidRPr="00CD6008" w:rsidRDefault="00BD04C4" w:rsidP="00BD04C4">
      <w:pPr>
        <w:spacing w:line="360" w:lineRule="auto"/>
        <w:ind w:firstLine="851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ind w:left="67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Выборка с показателями значений эритроцитов имела нормальное распределение, поэтому расчет выполнен с использованием  средних арифметических величин (M) и стандартных отклонений (SD)</w:t>
      </w:r>
      <w:r w:rsidRPr="00CD6008">
        <w:rPr>
          <w:rFonts w:ascii="Times New Roman" w:hAnsi="Times New Roman" w:cs="Times New Roman"/>
          <w:sz w:val="28"/>
          <w:szCs w:val="28"/>
        </w:rPr>
        <w:t xml:space="preserve"> Различия показателей являются статистически значимыми, так как  </w:t>
      </w:r>
      <w:proofErr w:type="spellStart"/>
      <w:r w:rsidRPr="00CD6008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CD6008">
        <w:rPr>
          <w:rFonts w:ascii="Times New Roman" w:hAnsi="Times New Roman" w:cs="Times New Roman"/>
          <w:sz w:val="28"/>
          <w:szCs w:val="28"/>
        </w:rPr>
        <w:t>&lt;0,05</w:t>
      </w:r>
      <w:r>
        <w:rPr>
          <w:rFonts w:ascii="Times New Roman" w:hAnsi="Times New Roman" w:cs="Times New Roman"/>
          <w:sz w:val="28"/>
          <w:szCs w:val="28"/>
        </w:rPr>
        <w:t>, анализ представлен в таблице №8</w:t>
      </w:r>
      <w:r w:rsidRPr="00CD6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Таблица № 8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Сравнение групп по лабораторным показателям(эритроциты)</w:t>
      </w:r>
    </w:p>
    <w:tbl>
      <w:tblPr>
        <w:tblStyle w:val="af2"/>
        <w:tblW w:w="-1" w:type="dxa"/>
        <w:tblLayout w:type="fixed"/>
        <w:tblLook w:val="04A0"/>
      </w:tblPr>
      <w:tblGrid>
        <w:gridCol w:w="2463"/>
        <w:gridCol w:w="2464"/>
        <w:gridCol w:w="2463"/>
        <w:gridCol w:w="2464"/>
      </w:tblGrid>
      <w:tr w:rsidR="00BD04C4" w:rsidRPr="00CD6008" w:rsidTr="008B78A9">
        <w:trPr>
          <w:trHeight w:val="759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Параметр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Пациенты, не имеющие антитела к ВГС </w:t>
            </w: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Пациенты, имеющие антитела к ВГС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</w:t>
            </w:r>
            <w:proofErr w:type="spellEnd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-критерий</w:t>
            </w:r>
          </w:p>
        </w:tc>
      </w:tr>
      <w:tr w:rsidR="00BD04C4" w:rsidRPr="00CD6008" w:rsidTr="008B78A9">
        <w:trPr>
          <w:trHeight w:val="1275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Эритроциты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М ± 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SD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(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min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– 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max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3,8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±0,5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2,6-5,5</w:t>
            </w: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М ± 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SD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(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min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– 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max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3,4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±0,5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2,4-5,1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</w:tbl>
    <w:p w:rsidR="00BD04C4" w:rsidRPr="00CD6008" w:rsidRDefault="00BD04C4" w:rsidP="00BD04C4">
      <w:pPr>
        <w:spacing w:line="36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sz w:val="28"/>
          <w:szCs w:val="28"/>
        </w:rPr>
        <w:t>При обработке остальных лабораторных показателей ,распределение которых отличалось от нормального, значения описывались при помощи  медианы (</w:t>
      </w:r>
      <w:proofErr w:type="spellStart"/>
      <w:r w:rsidRPr="00CD6008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CD6008">
        <w:rPr>
          <w:rFonts w:ascii="Times New Roman" w:hAnsi="Times New Roman" w:cs="Times New Roman"/>
          <w:sz w:val="28"/>
          <w:szCs w:val="28"/>
        </w:rPr>
        <w:t>) и нижнего и верхнего квартилей (Q</w:t>
      </w:r>
      <w:r w:rsidRPr="00CD600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D6008">
        <w:rPr>
          <w:rFonts w:ascii="Times New Roman" w:hAnsi="Times New Roman" w:cs="Times New Roman"/>
          <w:sz w:val="28"/>
          <w:szCs w:val="28"/>
        </w:rPr>
        <w:t>-Q</w:t>
      </w:r>
      <w:r w:rsidRPr="00CD600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6008">
        <w:rPr>
          <w:rFonts w:ascii="Times New Roman" w:hAnsi="Times New Roman" w:cs="Times New Roman"/>
          <w:sz w:val="28"/>
          <w:szCs w:val="28"/>
        </w:rPr>
        <w:t xml:space="preserve">). В ходе анализа установлено, что  значения показателей гемоглобина, тромбоцитов и АСТ  статистически значимы  </w:t>
      </w:r>
      <w:proofErr w:type="spellStart"/>
      <w:r w:rsidRPr="00CD6008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CD6008">
        <w:rPr>
          <w:rFonts w:ascii="Times New Roman" w:hAnsi="Times New Roman" w:cs="Times New Roman"/>
          <w:sz w:val="28"/>
          <w:szCs w:val="28"/>
        </w:rPr>
        <w:t>&lt;0,05</w:t>
      </w:r>
      <w:r>
        <w:rPr>
          <w:rFonts w:ascii="Times New Roman" w:hAnsi="Times New Roman" w:cs="Times New Roman"/>
          <w:sz w:val="28"/>
          <w:szCs w:val="28"/>
        </w:rPr>
        <w:t>-таблица №9.</w:t>
      </w: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Таблица №9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Сравнение групп по лабораторным показателям.</w:t>
      </w:r>
    </w:p>
    <w:tbl>
      <w:tblPr>
        <w:tblStyle w:val="af2"/>
        <w:tblW w:w="9854" w:type="dxa"/>
        <w:tblLayout w:type="fixed"/>
        <w:tblLook w:val="04A0"/>
      </w:tblPr>
      <w:tblGrid>
        <w:gridCol w:w="2463"/>
        <w:gridCol w:w="2464"/>
        <w:gridCol w:w="2463"/>
        <w:gridCol w:w="2464"/>
      </w:tblGrid>
      <w:tr w:rsidR="00BD04C4" w:rsidRPr="00CD6008" w:rsidTr="008B78A9">
        <w:trPr>
          <w:trHeight w:val="759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Параметр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Пациенты, не имеющие антитела к ВГС </w:t>
            </w: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Пациенты, имеющие антитела к ВГС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</w:t>
            </w:r>
            <w:proofErr w:type="spellEnd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-критерий</w:t>
            </w:r>
          </w:p>
        </w:tc>
      </w:tr>
      <w:tr w:rsidR="00BD04C4" w:rsidRPr="00CD6008" w:rsidTr="008B78A9">
        <w:trPr>
          <w:trHeight w:val="765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Ме</w:t>
            </w:r>
            <w:proofErr w:type="spellEnd"/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 xml:space="preserve"> [Q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vertAlign w:val="subscript"/>
                <w:lang w:val="en-US"/>
              </w:rPr>
              <w:t>1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; Q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vertAlign w:val="subscript"/>
                <w:lang w:val="en-US"/>
              </w:rPr>
              <w:t>3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(min – max)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Ме</w:t>
            </w:r>
            <w:proofErr w:type="spellEnd"/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 xml:space="preserve"> [Q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vertAlign w:val="subscript"/>
                <w:lang w:val="en-US"/>
              </w:rPr>
              <w:t>1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; Q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vertAlign w:val="subscript"/>
                <w:lang w:val="en-US"/>
              </w:rPr>
              <w:t>3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(min – max)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p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U</w:t>
            </w:r>
            <w:r w:rsidRPr="00CD600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-тест</w:t>
            </w:r>
          </w:p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</w:tr>
      <w:tr w:rsidR="00BD04C4" w:rsidRPr="00CD6008" w:rsidTr="008B78A9">
        <w:trPr>
          <w:trHeight w:val="1134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Гемоглобин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111,6[109,0-116,0]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(80,0-111,6)</w:t>
            </w: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99,4[89,5;112,0]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(66,1-147,0)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&lt;0,001</w:t>
            </w:r>
          </w:p>
        </w:tc>
      </w:tr>
      <w:tr w:rsidR="00BD04C4" w:rsidRPr="00CD6008" w:rsidTr="008B78A9">
        <w:trPr>
          <w:trHeight w:val="1134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Лимфоциты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21,5[18;24,9]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(1,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-78,7)</w:t>
            </w: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23,7[19,8 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;30,7]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(9,3-44,9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,098</w:t>
            </w:r>
          </w:p>
        </w:tc>
      </w:tr>
      <w:tr w:rsidR="00BD04C4" w:rsidRPr="00CD6008" w:rsidTr="008B78A9">
        <w:trPr>
          <w:trHeight w:val="1134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Тромбоциты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236[172;280,0]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(95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,0-380,0)</w:t>
            </w: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194,0[143;278]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(66,0-579,0)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0,021</w:t>
            </w:r>
          </w:p>
        </w:tc>
      </w:tr>
      <w:tr w:rsidR="00BD04C4" w:rsidRPr="00CD6008" w:rsidTr="008B78A9">
        <w:trPr>
          <w:trHeight w:val="1134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Лейкоциты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6,7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[5,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4;8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,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(3,2-12,5)</w:t>
            </w: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6,4[4,2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;7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,7]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(2,3-16,9)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0,112</w:t>
            </w:r>
          </w:p>
        </w:tc>
      </w:tr>
      <w:tr w:rsidR="00BD04C4" w:rsidRPr="00CD6008" w:rsidTr="008B78A9">
        <w:trPr>
          <w:trHeight w:val="1134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Альбумин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40,7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[36,0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43,9]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(25,9-48,0]</w:t>
            </w:r>
          </w:p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 xml:space="preserve">38,0[35,0 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41,1]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(21,2-48,5)</w:t>
            </w:r>
          </w:p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0,059</w:t>
            </w:r>
          </w:p>
        </w:tc>
      </w:tr>
      <w:tr w:rsidR="00BD04C4" w:rsidRPr="00CD6008" w:rsidTr="008B78A9">
        <w:trPr>
          <w:trHeight w:val="1134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Билирубин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7,0[5,3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10,6]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(3,7-10,6)</w:t>
            </w: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7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,15[5,3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10,6]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(3,6-91,0)</w:t>
            </w:r>
          </w:p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0,812</w:t>
            </w:r>
          </w:p>
        </w:tc>
      </w:tr>
      <w:tr w:rsidR="00BD04C4" w:rsidRPr="00CD6008" w:rsidTr="008B78A9">
        <w:trPr>
          <w:trHeight w:val="1134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АЛТ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13,0[9,9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18,9]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(6,0-68,00</w:t>
            </w: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15,95[11,2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 xml:space="preserve"> 27,3]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(7,3-64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,0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)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0,051</w:t>
            </w:r>
          </w:p>
        </w:tc>
      </w:tr>
      <w:tr w:rsidR="00BD04C4" w:rsidRPr="00CD6008" w:rsidTr="008B78A9">
        <w:trPr>
          <w:trHeight w:val="1134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АСТ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15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 xml:space="preserve">,5[12,0 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19,5]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(3,0-116,0)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 xml:space="preserve">18,85[12,5 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29,5]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(6,0-52,0)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0,049</w:t>
            </w:r>
          </w:p>
        </w:tc>
      </w:tr>
      <w:tr w:rsidR="00BD04C4" w:rsidRPr="00CD6008" w:rsidTr="008B78A9">
        <w:trPr>
          <w:trHeight w:val="1134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Щелочная фосфатаза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121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 xml:space="preserve">,0[72,5 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178,0]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(36,0-1106,0)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137,0[85,5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 xml:space="preserve"> 236,0]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(30,5-879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,0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)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0,173</w:t>
            </w:r>
          </w:p>
        </w:tc>
      </w:tr>
      <w:tr w:rsidR="00BD04C4" w:rsidRPr="00CD6008" w:rsidTr="008B78A9">
        <w:trPr>
          <w:trHeight w:val="1134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Креатинин</w:t>
            </w:r>
            <w:proofErr w:type="spellEnd"/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660,0[498,0 836,0]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(198,0-1202,0)</w:t>
            </w: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729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,0[521,0 929,0]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(29,4-1562,0)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   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0,308</w:t>
            </w:r>
          </w:p>
        </w:tc>
      </w:tr>
      <w:tr w:rsidR="00BD04C4" w:rsidRPr="00CD6008" w:rsidTr="008B78A9">
        <w:trPr>
          <w:trHeight w:val="1242"/>
        </w:trPr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Глюкоза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4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,7[4,0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5,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4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(3,1-13,6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</w:tcPr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5,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1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[4,2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;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5,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9</w:t>
            </w: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]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en-US"/>
              </w:rPr>
              <w:t>(2,4-21,3)</w:t>
            </w:r>
          </w:p>
        </w:tc>
        <w:tc>
          <w:tcPr>
            <w:tcW w:w="2464" w:type="dxa"/>
          </w:tcPr>
          <w:p w:rsidR="00BD04C4" w:rsidRPr="00CD6008" w:rsidRDefault="00BD04C4" w:rsidP="008B78A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</w:p>
          <w:p w:rsidR="00BD04C4" w:rsidRPr="00CD6008" w:rsidRDefault="00BD04C4" w:rsidP="008B78A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,25</w:t>
            </w:r>
          </w:p>
        </w:tc>
      </w:tr>
    </w:tbl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3"/>
        <w:jc w:val="center"/>
        <w:rPr>
          <w:rFonts w:eastAsiaTheme="minorHAnsi"/>
          <w:b w:val="0"/>
          <w:bCs w:val="0"/>
          <w:color w:val="0D0D0D" w:themeColor="text1" w:themeTint="F2"/>
          <w:sz w:val="28"/>
          <w:szCs w:val="28"/>
          <w:lang w:eastAsia="en-US"/>
        </w:rPr>
      </w:pPr>
    </w:p>
    <w:p w:rsidR="00BD04C4" w:rsidRDefault="00BD04C4" w:rsidP="00BD04C4">
      <w:pPr>
        <w:pStyle w:val="3"/>
        <w:jc w:val="center"/>
        <w:rPr>
          <w:rFonts w:eastAsiaTheme="minorHAnsi"/>
          <w:b w:val="0"/>
          <w:bCs w:val="0"/>
          <w:color w:val="0D0D0D" w:themeColor="text1" w:themeTint="F2"/>
          <w:sz w:val="28"/>
          <w:szCs w:val="28"/>
          <w:lang w:eastAsia="en-US"/>
        </w:rPr>
      </w:pPr>
    </w:p>
    <w:p w:rsidR="00BD04C4" w:rsidRPr="00352395" w:rsidRDefault="00BD04C4" w:rsidP="00BD04C4">
      <w:pPr>
        <w:pStyle w:val="3"/>
        <w:jc w:val="center"/>
        <w:rPr>
          <w:rFonts w:eastAsiaTheme="minorHAnsi"/>
          <w:b w:val="0"/>
          <w:bCs w:val="0"/>
          <w:color w:val="0D0D0D" w:themeColor="text1" w:themeTint="F2"/>
          <w:sz w:val="28"/>
          <w:szCs w:val="28"/>
          <w:lang w:eastAsia="en-US"/>
        </w:rPr>
      </w:pPr>
    </w:p>
    <w:p w:rsidR="00BD04C4" w:rsidRPr="00CD6008" w:rsidRDefault="00BD04C4" w:rsidP="00BD04C4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  <w:bookmarkStart w:id="49" w:name="_Toc41210056"/>
      <w:r>
        <w:rPr>
          <w:b w:val="0"/>
          <w:color w:val="0D0D0D" w:themeColor="text1" w:themeTint="F2"/>
          <w:sz w:val="28"/>
          <w:szCs w:val="28"/>
        </w:rPr>
        <w:lastRenderedPageBreak/>
        <w:t>3.1.4</w:t>
      </w:r>
      <w:r w:rsidRPr="00CD6008">
        <w:rPr>
          <w:b w:val="0"/>
          <w:color w:val="0D0D0D" w:themeColor="text1" w:themeTint="F2"/>
          <w:sz w:val="28"/>
          <w:szCs w:val="28"/>
        </w:rPr>
        <w:t xml:space="preserve">.Анализ </w:t>
      </w:r>
      <w:proofErr w:type="spellStart"/>
      <w:r w:rsidRPr="00CD6008">
        <w:rPr>
          <w:b w:val="0"/>
          <w:color w:val="0D0D0D" w:themeColor="text1" w:themeTint="F2"/>
          <w:sz w:val="28"/>
          <w:szCs w:val="28"/>
        </w:rPr>
        <w:t>репликативной</w:t>
      </w:r>
      <w:proofErr w:type="spellEnd"/>
      <w:r w:rsidRPr="00CD6008">
        <w:rPr>
          <w:b w:val="0"/>
          <w:color w:val="0D0D0D" w:themeColor="text1" w:themeTint="F2"/>
          <w:sz w:val="28"/>
          <w:szCs w:val="28"/>
        </w:rPr>
        <w:t xml:space="preserve"> активности</w:t>
      </w:r>
      <w:bookmarkEnd w:id="49"/>
    </w:p>
    <w:p w:rsidR="00BD04C4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2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 11 пациентов  с анти - ВГС</w:t>
      </w:r>
      <w:r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СПбГБУЗ</w:t>
      </w:r>
      <w:proofErr w:type="spellEnd"/>
      <w:r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«КИБ им. С. П. Боткина»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было проведено определение вирусной нагрузки и генотипов ВГС методом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полимеразной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цепной реакции. Получены следующие результаты: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5 пациентов наблюдалась репликация ВГС, в том числе у </w:t>
      </w:r>
      <w:r w:rsidRPr="00E92A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пациентов (</w:t>
      </w:r>
      <w:r w:rsidRPr="00E92A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,4%) –   отмечена высокая вирусная нагрузка (более </w:t>
      </w:r>
      <w:r w:rsidRPr="00CD6008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&gt; 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800 000 </w:t>
      </w:r>
      <w:r w:rsidRPr="00CD6008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МЕ/мл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).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анализе распределения генотипов было вы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явлено, что в данной когорте па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ентов преобладают 1 и 3 генотипы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(таблица №10)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Таблица №10</w:t>
      </w: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Анализ </w:t>
      </w:r>
      <w:proofErr w:type="spellStart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репликативной</w:t>
      </w:r>
      <w:proofErr w:type="spellEnd"/>
      <w:r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активности.</w:t>
      </w:r>
    </w:p>
    <w:tbl>
      <w:tblPr>
        <w:tblStyle w:val="af2"/>
        <w:tblW w:w="0" w:type="auto"/>
        <w:tblLook w:val="04A0"/>
      </w:tblPr>
      <w:tblGrid>
        <w:gridCol w:w="3190"/>
        <w:gridCol w:w="3190"/>
        <w:gridCol w:w="3191"/>
      </w:tblGrid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Количество пациентов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Вирусная нагрузка 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МЕ/мл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Генотип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неопределяемая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Неопределяемый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1,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*10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vertAlign w:val="superscript"/>
                <w:lang w:val="en-US"/>
              </w:rPr>
              <w:t>7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2*10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a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*10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vertAlign w:val="superscript"/>
                <w:lang w:val="en-US"/>
              </w:rPr>
              <w:t>6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a</w:t>
            </w:r>
          </w:p>
        </w:tc>
      </w:tr>
      <w:tr w:rsidR="00BD04C4" w:rsidRPr="00CD6008" w:rsidTr="008B78A9">
        <w:trPr>
          <w:trHeight w:val="109"/>
        </w:trPr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  <w:t>9,64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*10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a</w:t>
            </w:r>
          </w:p>
        </w:tc>
      </w:tr>
      <w:tr w:rsidR="00BD04C4" w:rsidRPr="00CD6008" w:rsidTr="008B78A9"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2*10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3191" w:type="dxa"/>
          </w:tcPr>
          <w:p w:rsidR="00BD04C4" w:rsidRPr="00CD6008" w:rsidRDefault="00BD04C4" w:rsidP="008B78A9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CD600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b</w:t>
            </w:r>
          </w:p>
        </w:tc>
      </w:tr>
    </w:tbl>
    <w:p w:rsidR="00BD04C4" w:rsidRPr="00CD6008" w:rsidRDefault="00BD04C4" w:rsidP="00BD04C4"/>
    <w:p w:rsidR="00BD04C4" w:rsidRPr="00CD6008" w:rsidRDefault="00BD04C4" w:rsidP="00BD04C4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2"/>
        <w:jc w:val="center"/>
        <w:rPr>
          <w:rFonts w:eastAsiaTheme="minorHAnsi"/>
          <w:b w:val="0"/>
          <w:bCs w:val="0"/>
          <w:color w:val="0D0D0D" w:themeColor="text1" w:themeTint="F2"/>
          <w:sz w:val="28"/>
          <w:szCs w:val="28"/>
          <w:lang w:eastAsia="en-US"/>
        </w:rPr>
      </w:pPr>
    </w:p>
    <w:p w:rsidR="00BD04C4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  <w:bookmarkStart w:id="50" w:name="_Toc41210057"/>
      <w:r w:rsidRPr="00CD6008">
        <w:rPr>
          <w:b w:val="0"/>
          <w:color w:val="0D0D0D" w:themeColor="text1" w:themeTint="F2"/>
          <w:sz w:val="28"/>
          <w:szCs w:val="28"/>
        </w:rPr>
        <w:lastRenderedPageBreak/>
        <w:t>3.2 Обсуждение</w:t>
      </w:r>
      <w:bookmarkEnd w:id="50"/>
    </w:p>
    <w:p w:rsidR="00BD04C4" w:rsidRDefault="00BD04C4" w:rsidP="00BD0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0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16A8">
        <w:rPr>
          <w:rFonts w:ascii="Times New Roman" w:hAnsi="Times New Roman" w:cs="Times New Roman"/>
          <w:sz w:val="28"/>
          <w:szCs w:val="28"/>
        </w:rPr>
        <w:t xml:space="preserve">В ходе работы, проведенной на следующих базах: </w:t>
      </w:r>
      <w:r w:rsidRPr="000716A8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СПБ ГБУЗ "</w:t>
      </w:r>
      <w:r w:rsidRPr="00071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Елизаветинская больница", СПб ГБУЗ «Городская Мариинская больница», СПб ГБУЗ "Городская больница №15", Клиника высоких медицинских технологий им. Н.И.Пирогова СПбГУ 1 и 2 отделения, СПб ГБУЗ "Клиническая инфекционная больница им. С.П.Боткина" было проанализировано 88 историй болезней пациентов, имеющих анти - ВГС(44 человека), в качестве контрольной группы были отобраны истории болезней пациентов без наличия маркеров вирусных гепатитов ВГС и ВГВ и ВИЧ-инфекции, также был проведен анализ вирусной нагрузки РНК ВГС у 11 пациентов на базе СПб ГБУЗ "Клиническая инфекционная больница им. С.П.Боткина". </w:t>
      </w:r>
      <w:proofErr w:type="spellStart"/>
      <w:r w:rsidRPr="000716A8">
        <w:rPr>
          <w:rFonts w:ascii="Times New Roman" w:hAnsi="Times New Roman" w:cs="Times New Roman"/>
          <w:sz w:val="28"/>
          <w:szCs w:val="28"/>
          <w:shd w:val="clear" w:color="auto" w:fill="FFFFFF"/>
        </w:rPr>
        <w:t>Превалентность</w:t>
      </w:r>
      <w:proofErr w:type="spellEnd"/>
      <w:r w:rsidRPr="00071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ВГС составила 8,0%. При анализе пациентов, имею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щих антитела к вирусу гепатита С</w:t>
      </w:r>
      <w:r w:rsidRPr="000716A8">
        <w:rPr>
          <w:rFonts w:ascii="Times New Roman" w:hAnsi="Times New Roman" w:cs="Times New Roman"/>
          <w:sz w:val="28"/>
          <w:szCs w:val="28"/>
          <w:shd w:val="clear" w:color="auto" w:fill="FFFFFF"/>
        </w:rPr>
        <w:t>, в структуре основных диагнозов наиболее преобладали: х</w:t>
      </w:r>
      <w:r w:rsidRPr="000716A8">
        <w:rPr>
          <w:rFonts w:ascii="Times New Roman" w:hAnsi="Times New Roman" w:cs="Times New Roman"/>
          <w:sz w:val="28"/>
          <w:szCs w:val="28"/>
        </w:rPr>
        <w:t xml:space="preserve">ронический </w:t>
      </w:r>
      <w:proofErr w:type="spellStart"/>
      <w:r w:rsidRPr="000716A8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0716A8">
        <w:rPr>
          <w:rFonts w:ascii="Times New Roman" w:hAnsi="Times New Roman" w:cs="Times New Roman"/>
          <w:sz w:val="28"/>
          <w:szCs w:val="28"/>
        </w:rPr>
        <w:t>,</w:t>
      </w:r>
      <w:r w:rsidRPr="00071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16A8"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Pr="000716A8">
        <w:rPr>
          <w:rFonts w:ascii="Times New Roman" w:hAnsi="Times New Roman" w:cs="Times New Roman"/>
          <w:sz w:val="28"/>
          <w:szCs w:val="28"/>
        </w:rPr>
        <w:t>пиелонефрит</w:t>
      </w:r>
      <w:proofErr w:type="spellEnd"/>
      <w:r w:rsidRPr="00071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716A8">
        <w:rPr>
          <w:rFonts w:ascii="Times New Roman" w:hAnsi="Times New Roman" w:cs="Times New Roman"/>
          <w:sz w:val="28"/>
          <w:szCs w:val="28"/>
        </w:rPr>
        <w:t>поликистоз</w:t>
      </w:r>
      <w:proofErr w:type="spellEnd"/>
      <w:r w:rsidRPr="000716A8">
        <w:rPr>
          <w:rFonts w:ascii="Times New Roman" w:hAnsi="Times New Roman" w:cs="Times New Roman"/>
          <w:sz w:val="28"/>
          <w:szCs w:val="28"/>
        </w:rPr>
        <w:t xml:space="preserve">  почек.</w:t>
      </w:r>
      <w:r w:rsidRPr="00071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структуре осложнений основного диагноза преобладали следующие нозологии: вторичная гипертензия, анемия, азотемия, вторичный </w:t>
      </w:r>
      <w:proofErr w:type="spellStart"/>
      <w:r w:rsidRPr="000716A8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гиперпаратиреоз</w:t>
      </w:r>
      <w:proofErr w:type="spellEnd"/>
      <w:r w:rsidRPr="00071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метаболический ацидоз. В структуре осложнений основного диагно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у пациентов с антителами к вирусу гепатита </w:t>
      </w:r>
      <w:r w:rsidRPr="00071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преобладали заболевания желудочно-кишечного тракта. </w:t>
      </w:r>
    </w:p>
    <w:p w:rsidR="00BD04C4" w:rsidRPr="000716A8" w:rsidRDefault="008920C3" w:rsidP="00BD0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изучении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социально значимых характеристик  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пациентов, имеющих антитела к вирусу гепатита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С, было установлено, что 2 пациента ранее имело алкогольную зависимость (4,5%), 4 пациента имело наркотическую зависимость(9%), один пациент имел  алкогольную и наркотическую зависимость (2%).Один пациент ранее находился в местах лишения свободы (2%).Трудоспособными были 9 пациентов (20,45%), 19 пациентам (43,18%) была установлена инвалидность.</w:t>
      </w:r>
    </w:p>
    <w:p w:rsidR="00BD04C4" w:rsidRPr="00CD6008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pacing w:val="14"/>
          <w:sz w:val="28"/>
          <w:szCs w:val="28"/>
          <w:shd w:val="clear" w:color="auto" w:fill="FFFFFF"/>
        </w:rPr>
      </w:pPr>
    </w:p>
    <w:p w:rsidR="00BD04C4" w:rsidRPr="000716A8" w:rsidRDefault="00BD04C4" w:rsidP="00BD0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A8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lastRenderedPageBreak/>
        <w:t>При изучении лабораторных</w:t>
      </w:r>
      <w:r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показателей пациентов с антителами к вирусу гепатита С</w:t>
      </w:r>
      <w:r w:rsidRPr="000716A8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 xml:space="preserve"> было выявлено снижение показателей гемоглобина </w:t>
      </w:r>
      <w:proofErr w:type="spellStart"/>
      <w:r w:rsidRPr="000716A8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716A8">
        <w:rPr>
          <w:rFonts w:ascii="Times New Roman" w:hAnsi="Times New Roman" w:cs="Times New Roman"/>
          <w:sz w:val="28"/>
          <w:szCs w:val="28"/>
        </w:rPr>
        <w:t>[</w:t>
      </w:r>
      <w:r w:rsidRPr="000716A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716A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716A8">
        <w:rPr>
          <w:rFonts w:ascii="Times New Roman" w:hAnsi="Times New Roman" w:cs="Times New Roman"/>
          <w:sz w:val="28"/>
          <w:szCs w:val="28"/>
        </w:rPr>
        <w:t>;</w:t>
      </w:r>
      <w:r w:rsidRPr="000716A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716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16A8">
        <w:rPr>
          <w:rFonts w:ascii="Times New Roman" w:hAnsi="Times New Roman" w:cs="Times New Roman"/>
          <w:sz w:val="28"/>
          <w:szCs w:val="28"/>
        </w:rPr>
        <w:t xml:space="preserve">] 99,4[89,5;112,0], эритроцитов М ± </w:t>
      </w:r>
      <w:r w:rsidRPr="000716A8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0716A8">
        <w:rPr>
          <w:rFonts w:ascii="Times New Roman" w:hAnsi="Times New Roman" w:cs="Times New Roman"/>
          <w:sz w:val="28"/>
          <w:szCs w:val="28"/>
        </w:rPr>
        <w:t xml:space="preserve"> 3,4±0,5, и альбумина </w:t>
      </w:r>
      <w:proofErr w:type="spellStart"/>
      <w:r w:rsidRPr="000716A8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716A8">
        <w:rPr>
          <w:rFonts w:ascii="Times New Roman" w:hAnsi="Times New Roman" w:cs="Times New Roman"/>
          <w:sz w:val="28"/>
          <w:szCs w:val="28"/>
        </w:rPr>
        <w:t>[</w:t>
      </w:r>
      <w:r w:rsidRPr="000716A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716A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716A8">
        <w:rPr>
          <w:rFonts w:ascii="Times New Roman" w:hAnsi="Times New Roman" w:cs="Times New Roman"/>
          <w:sz w:val="28"/>
          <w:szCs w:val="28"/>
        </w:rPr>
        <w:t>;</w:t>
      </w:r>
      <w:r w:rsidRPr="000716A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716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16A8">
        <w:rPr>
          <w:rFonts w:ascii="Times New Roman" w:hAnsi="Times New Roman" w:cs="Times New Roman"/>
          <w:sz w:val="28"/>
          <w:szCs w:val="28"/>
        </w:rPr>
        <w:t xml:space="preserve">] 38,0[35,0;41,2], повышение показателей </w:t>
      </w:r>
      <w:proofErr w:type="spellStart"/>
      <w:r w:rsidRPr="000716A8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07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6A8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716A8">
        <w:rPr>
          <w:rFonts w:ascii="Times New Roman" w:hAnsi="Times New Roman" w:cs="Times New Roman"/>
          <w:sz w:val="28"/>
          <w:szCs w:val="28"/>
        </w:rPr>
        <w:t>[</w:t>
      </w:r>
      <w:r w:rsidRPr="000716A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716A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716A8">
        <w:rPr>
          <w:rFonts w:ascii="Times New Roman" w:hAnsi="Times New Roman" w:cs="Times New Roman"/>
          <w:sz w:val="28"/>
          <w:szCs w:val="28"/>
        </w:rPr>
        <w:t xml:space="preserve">; </w:t>
      </w:r>
      <w:r w:rsidRPr="000716A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716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16A8">
        <w:rPr>
          <w:rFonts w:ascii="Times New Roman" w:hAnsi="Times New Roman" w:cs="Times New Roman"/>
          <w:sz w:val="28"/>
          <w:szCs w:val="28"/>
        </w:rPr>
        <w:t xml:space="preserve">] 729,0 [521,0;929,0] по сравнению с нормами, указанными в литературе </w:t>
      </w:r>
      <w:r w:rsidRPr="000716A8">
        <w:rPr>
          <w:rFonts w:ascii="Times New Roman" w:hAnsi="Times New Roman" w:cs="Times New Roman"/>
          <w:sz w:val="28"/>
          <w:szCs w:val="28"/>
          <w:lang w:val="en-US"/>
        </w:rPr>
        <w:t>Chris</w:t>
      </w:r>
      <w:r w:rsidRPr="000716A8">
        <w:rPr>
          <w:rFonts w:ascii="Times New Roman" w:hAnsi="Times New Roman" w:cs="Times New Roman"/>
          <w:sz w:val="28"/>
          <w:szCs w:val="28"/>
        </w:rPr>
        <w:t xml:space="preserve"> </w:t>
      </w:r>
      <w:r w:rsidRPr="000716A8">
        <w:rPr>
          <w:rFonts w:ascii="Times New Roman" w:hAnsi="Times New Roman" w:cs="Times New Roman"/>
          <w:sz w:val="28"/>
          <w:szCs w:val="28"/>
          <w:lang w:val="en-US"/>
        </w:rPr>
        <w:t>Higgins</w:t>
      </w:r>
      <w:r w:rsidRPr="000716A8">
        <w:rPr>
          <w:rFonts w:ascii="Times New Roman" w:hAnsi="Times New Roman" w:cs="Times New Roman"/>
          <w:sz w:val="28"/>
          <w:szCs w:val="28"/>
        </w:rPr>
        <w:t xml:space="preserve"> (2013)[37]. При анализе месячных эпикризов у исследуемой группы чаще были описаны жалобы на слабость( 32 пациента(72,7%)). </w:t>
      </w:r>
    </w:p>
    <w:p w:rsidR="00BD04C4" w:rsidRPr="00CD6008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</w:t>
      </w:r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Было определено, что имеются статистически значимые различия групп в показателях клинического анализа крови: </w:t>
      </w:r>
      <w:r w:rsidR="00BD04C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 пациентов с ВГС </w:t>
      </w:r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количество эритроцитов составило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3,4</w:t>
      </w:r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±0,5,</w:t>
      </w:r>
      <w:r w:rsidR="00BD04C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 пациентов без ВГС </w:t>
      </w:r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3,8</w:t>
      </w:r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±0,5, </w:t>
      </w:r>
      <w:proofErr w:type="spellStart"/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&lt;0,001,что подтверждается данными отечественной литературы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1F4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[27,28,29]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Статистически значимым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являлось различие в показателях 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гемоглобина: у пациентов с ВГС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среднее значение составило </w:t>
      </w:r>
      <w:r w:rsidR="00BD04C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99,4, у пациентов без ВГС</w:t>
      </w:r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111,6,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&lt;0,001, что подтве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ждает более тяжелое течение анемического синдрома у пациентов с ВГС.</w:t>
      </w:r>
    </w:p>
    <w:p w:rsidR="00BD04C4" w:rsidRPr="00CD6008" w:rsidRDefault="008920C3" w:rsidP="00BD04C4">
      <w:pPr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пациентов с ВГС гораздо чаще выявляются более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низкие показатели тромбоцитов в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клиническом анализе крови по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сравнению с пациентами без ВГС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среднее значение тромбоцитов в исследуемой группе  194,0, в контрольной группе 236,0, р=0,021,что отмечае</w:t>
      </w:r>
      <w:r w:rsidR="00BD04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 в работе зарубежных авторов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Nishida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et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al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.(2010)</w:t>
      </w:r>
      <w:r w:rsidR="00BD04C4" w:rsidRPr="000916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[31]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</w:t>
      </w:r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Статистически значимыми оказались различия  групп в показателях АСТ: </w:t>
      </w:r>
      <w:r w:rsidR="00BD04C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 пациентов с антителами к вирусу гепатита С </w:t>
      </w:r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среднее значение составило 18,9</w:t>
      </w:r>
      <w:r w:rsidR="00BD04C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у пациентов без ВГС</w:t>
      </w:r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15,5,р=0,049,что отмечается в работе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J.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Al-Wakee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et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al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.(1996)</w:t>
      </w:r>
      <w:r w:rsidR="00BD04C4" w:rsidRPr="00EE6A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[38]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D04C4" w:rsidRPr="00CD6008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анализе клинического течения ВГС у пациентов, получающих  лечение аппаратным гемодиализом статистически важным критерием являлось наличие жалоб пациентов исследуемой группы на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слабость,р=0,005.При оценке остальных параметров статистически значимых отличий к клинических симптомах между группами не было выявлено.</w:t>
      </w:r>
    </w:p>
    <w:p w:rsidR="00BD04C4" w:rsidRPr="00CD6008" w:rsidRDefault="008920C3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анализе </w:t>
      </w:r>
      <w:proofErr w:type="spellStart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репликативной</w:t>
      </w:r>
      <w:proofErr w:type="spellEnd"/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активности у 6(55,4%) пациентов из 11 была неопределяемая вирусная нагрузка, у одного (9,1%) пациента низкая вирусная нагрузка 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2*10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vertAlign w:val="superscript"/>
        </w:rPr>
        <w:t>5</w:t>
      </w:r>
      <w:r w:rsidR="00BD04C4" w:rsidRPr="00CD600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D04C4" w:rsidRPr="00CD6008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МЕ/мл, у остальных 4(36,4%) пациентов выявлена высокая вирусная нагрузка &gt; 8*10</w:t>
      </w:r>
      <w:r w:rsidR="00BD04C4" w:rsidRPr="00CD6008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vertAlign w:val="superscript"/>
          <w:lang w:eastAsia="ru-RU"/>
        </w:rPr>
        <w:t>5 </w:t>
      </w:r>
      <w:r w:rsidR="00BD04C4" w:rsidRPr="00CD6008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МЕ/мл. Таким образом, 63,6 % пациентов имели неопределяемую и низкую</w:t>
      </w:r>
      <w:r w:rsidR="00BD04C4" w:rsidRPr="00CD600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</w:t>
      </w:r>
      <w:r w:rsidR="00BD04C4" w:rsidRPr="00CD6008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  <w:shd w:val="clear" w:color="auto" w:fill="FFFFFF"/>
        </w:rPr>
        <w:t>&lt; 8*10</w:t>
      </w:r>
      <w:r w:rsidR="00BD04C4" w:rsidRPr="00CD6008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  <w:shd w:val="clear" w:color="auto" w:fill="FFFFFF"/>
          <w:vertAlign w:val="superscript"/>
        </w:rPr>
        <w:t>5 </w:t>
      </w:r>
      <w:r w:rsidR="00BD04C4" w:rsidRPr="00CD6008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  <w:shd w:val="clear" w:color="auto" w:fill="FFFFFF"/>
        </w:rPr>
        <w:t>МЕ/мл) вирусную нагрузку, что также указывается в работах зарубежных авторов</w:t>
      </w:r>
      <w:hyperlink r:id="rId12" w:history="1">
        <w:r w:rsidR="00BD04C4" w:rsidRPr="008654FF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 </w:t>
        </w:r>
        <w:r w:rsidR="00BD04C4" w:rsidRPr="00E9501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val="en-US" w:eastAsia="ru-RU"/>
          </w:rPr>
          <w:t>Kaiser</w:t>
        </w:r>
      </w:hyperlink>
      <w:r w:rsidR="00BD04C4" w:rsidRPr="00E9501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 T</w:t>
      </w:r>
      <w:r w:rsidR="00BD04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D04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et</w:t>
      </w:r>
      <w:r w:rsidR="00BD04C4" w:rsidRPr="008654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D04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al</w:t>
      </w:r>
      <w:r w:rsidR="00BD04C4" w:rsidRPr="008654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.2008</w:t>
      </w:r>
      <w:r w:rsidR="00BD04C4" w:rsidRPr="00CD6008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D04C4" w:rsidRPr="00487C42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[39]</w:t>
      </w:r>
      <w:r w:rsidR="00BD04C4" w:rsidRPr="00CD600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BD04C4" w:rsidRPr="00CD6008" w:rsidRDefault="00BD04C4" w:rsidP="00BD04C4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076759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CD6008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Default="00BD04C4" w:rsidP="00BD04C4">
      <w:pPr>
        <w:pStyle w:val="2"/>
        <w:jc w:val="center"/>
        <w:rPr>
          <w:b w:val="0"/>
          <w:color w:val="0D0D0D" w:themeColor="text1" w:themeTint="F2"/>
          <w:sz w:val="28"/>
          <w:szCs w:val="28"/>
        </w:rPr>
      </w:pPr>
    </w:p>
    <w:p w:rsidR="00BD04C4" w:rsidRPr="00BE58B8" w:rsidRDefault="00BD04C4" w:rsidP="00BD04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4C4" w:rsidRPr="00BE58B8" w:rsidRDefault="00BD04C4" w:rsidP="00BD0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4C4" w:rsidRPr="00BE58B8" w:rsidRDefault="00BD04C4" w:rsidP="00BD04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4C4" w:rsidRPr="00941033" w:rsidRDefault="00BD04C4" w:rsidP="00BD04C4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4103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Выводы</w:t>
      </w:r>
    </w:p>
    <w:p w:rsidR="00BD04C4" w:rsidRPr="00941033" w:rsidRDefault="00BD04C4" w:rsidP="00BD04C4">
      <w:pPr>
        <w:pStyle w:val="a3"/>
        <w:shd w:val="clear" w:color="auto" w:fill="FFFFFF"/>
        <w:spacing w:before="0" w:beforeAutospacing="0" w:after="31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941033">
        <w:rPr>
          <w:color w:val="0D0D0D" w:themeColor="text1" w:themeTint="F2"/>
          <w:sz w:val="28"/>
          <w:szCs w:val="28"/>
        </w:rPr>
        <w:t xml:space="preserve">1. По данным исследования у 8,0% пациентов, получающих лечение гемодиализом в амбулаторных условиях, выявлены антитела к вирусу гепатита </w:t>
      </w:r>
      <w:r w:rsidRPr="00941033">
        <w:rPr>
          <w:color w:val="0D0D0D" w:themeColor="text1" w:themeTint="F2"/>
          <w:sz w:val="28"/>
          <w:szCs w:val="28"/>
          <w:lang w:val="en-US"/>
        </w:rPr>
        <w:t>C</w:t>
      </w:r>
      <w:r w:rsidRPr="00941033">
        <w:rPr>
          <w:color w:val="0D0D0D" w:themeColor="text1" w:themeTint="F2"/>
          <w:sz w:val="28"/>
          <w:szCs w:val="28"/>
        </w:rPr>
        <w:t xml:space="preserve">. </w:t>
      </w:r>
    </w:p>
    <w:p w:rsidR="00BD04C4" w:rsidRPr="00941033" w:rsidRDefault="00BD04C4" w:rsidP="00BD04C4">
      <w:pPr>
        <w:pStyle w:val="a3"/>
        <w:shd w:val="clear" w:color="auto" w:fill="FFFFFF"/>
        <w:spacing w:before="0" w:beforeAutospacing="0" w:after="31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941033">
        <w:rPr>
          <w:color w:val="0D0D0D" w:themeColor="text1" w:themeTint="F2"/>
          <w:sz w:val="28"/>
          <w:szCs w:val="28"/>
        </w:rPr>
        <w:t xml:space="preserve">2. У 15 из 44 больных, имеющих антитела к вирусу гепатита С, диагностированы </w:t>
      </w:r>
      <w:proofErr w:type="spellStart"/>
      <w:r w:rsidRPr="00941033">
        <w:rPr>
          <w:color w:val="0D0D0D" w:themeColor="text1" w:themeTint="F2"/>
          <w:sz w:val="28"/>
          <w:szCs w:val="28"/>
        </w:rPr>
        <w:t>коморбидные</w:t>
      </w:r>
      <w:proofErr w:type="spellEnd"/>
      <w:r w:rsidRPr="00941033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941033">
        <w:rPr>
          <w:color w:val="0D0D0D" w:themeColor="text1" w:themeTint="F2"/>
          <w:sz w:val="28"/>
          <w:szCs w:val="28"/>
        </w:rPr>
        <w:t>гемоконтактные</w:t>
      </w:r>
      <w:proofErr w:type="spellEnd"/>
      <w:r w:rsidRPr="00941033">
        <w:rPr>
          <w:color w:val="0D0D0D" w:themeColor="text1" w:themeTint="F2"/>
          <w:sz w:val="28"/>
          <w:szCs w:val="28"/>
        </w:rPr>
        <w:t xml:space="preserve"> инфекции: у 9 пациентов - хронический вирусный гепатит В (20,5%), у 5 пациентов - ВИЧ-инфекция (11,4%), у одного пациента - сочетание ВИЧ инфекции и вирусного гепатита В (2,3%).</w:t>
      </w:r>
    </w:p>
    <w:p w:rsidR="00BD04C4" w:rsidRPr="00941033" w:rsidRDefault="00BD04C4" w:rsidP="00BD04C4">
      <w:pPr>
        <w:pStyle w:val="a3"/>
        <w:shd w:val="clear" w:color="auto" w:fill="FFFFFF"/>
        <w:spacing w:before="0" w:beforeAutospacing="0" w:after="312" w:afterAutospacing="0" w:line="360" w:lineRule="auto"/>
        <w:jc w:val="both"/>
        <w:rPr>
          <w:sz w:val="28"/>
          <w:szCs w:val="28"/>
        </w:rPr>
      </w:pPr>
      <w:r w:rsidRPr="00941033">
        <w:rPr>
          <w:iCs/>
          <w:color w:val="0D0D0D" w:themeColor="text1" w:themeTint="F2"/>
          <w:sz w:val="28"/>
          <w:szCs w:val="28"/>
        </w:rPr>
        <w:t>3.</w:t>
      </w:r>
      <w:r w:rsidRPr="00941033">
        <w:rPr>
          <w:color w:val="0D0D0D" w:themeColor="text1" w:themeTint="F2"/>
          <w:sz w:val="28"/>
          <w:szCs w:val="28"/>
        </w:rPr>
        <w:t xml:space="preserve"> В ходе работы установлено, что наиболее частым клиническим проявлением у пациентов с антителами к вирусу гепатита С являлась слабость</w:t>
      </w:r>
      <w:r w:rsidRPr="00941033">
        <w:rPr>
          <w:sz w:val="28"/>
          <w:szCs w:val="28"/>
        </w:rPr>
        <w:t xml:space="preserve"> (у 32 из 44 пациентов). При анализе лабораторных показателей больных данной группы отмечено достоверное снижение гемоглобина, эритроцитов и альбумина, повышение </w:t>
      </w:r>
      <w:proofErr w:type="spellStart"/>
      <w:r w:rsidRPr="00941033">
        <w:rPr>
          <w:sz w:val="28"/>
          <w:szCs w:val="28"/>
        </w:rPr>
        <w:t>креатинина</w:t>
      </w:r>
      <w:proofErr w:type="spellEnd"/>
      <w:r w:rsidRPr="00941033">
        <w:rPr>
          <w:sz w:val="28"/>
          <w:szCs w:val="28"/>
        </w:rPr>
        <w:t xml:space="preserve"> по сравнению с пациентами, не имеющими антител к вирусу гепатита С.</w:t>
      </w:r>
    </w:p>
    <w:p w:rsidR="00BD04C4" w:rsidRPr="00941033" w:rsidRDefault="00BD04C4" w:rsidP="00BD04C4">
      <w:pPr>
        <w:pStyle w:val="a3"/>
        <w:shd w:val="clear" w:color="auto" w:fill="FFFFFF"/>
        <w:spacing w:before="0" w:beforeAutospacing="0" w:after="31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941033">
        <w:rPr>
          <w:bCs/>
          <w:color w:val="0D0D0D" w:themeColor="text1" w:themeTint="F2"/>
          <w:sz w:val="28"/>
          <w:szCs w:val="28"/>
        </w:rPr>
        <w:t>4.</w:t>
      </w:r>
      <w:r w:rsidRPr="00941033">
        <w:rPr>
          <w:color w:val="0D0D0D" w:themeColor="text1" w:themeTint="F2"/>
          <w:sz w:val="28"/>
          <w:szCs w:val="28"/>
        </w:rPr>
        <w:t xml:space="preserve"> По данным молекулярно-биологического исследования </w:t>
      </w:r>
      <w:proofErr w:type="spellStart"/>
      <w:r w:rsidRPr="00941033">
        <w:rPr>
          <w:color w:val="0D0D0D" w:themeColor="text1" w:themeTint="F2"/>
          <w:sz w:val="28"/>
          <w:szCs w:val="28"/>
        </w:rPr>
        <w:t>репликативная</w:t>
      </w:r>
      <w:proofErr w:type="spellEnd"/>
      <w:r w:rsidRPr="00941033">
        <w:rPr>
          <w:color w:val="0D0D0D" w:themeColor="text1" w:themeTint="F2"/>
          <w:sz w:val="28"/>
          <w:szCs w:val="28"/>
        </w:rPr>
        <w:t xml:space="preserve"> фаза хронического вирусного гепатита С была выявлена у каждого второго пациента, имеющего антитела к ВГС (5 из 11 пациентов). При этом в 4-х случаях наблюдался высокий уровень вирусной нагрузки вируса гепатита С, что говорит о значимом  риске этих пациентов как потенциальных источников инфекции на отделениях гемодиализа.  </w:t>
      </w:r>
    </w:p>
    <w:p w:rsidR="00BD04C4" w:rsidRPr="00941033" w:rsidRDefault="00BD04C4" w:rsidP="00BD04C4">
      <w:pPr>
        <w:pStyle w:val="a3"/>
        <w:shd w:val="clear" w:color="auto" w:fill="FFFFFF"/>
        <w:spacing w:before="0" w:beforeAutospacing="0" w:after="312" w:afterAutospacing="0" w:line="360" w:lineRule="auto"/>
        <w:jc w:val="both"/>
        <w:rPr>
          <w:bCs/>
          <w:color w:val="0D0D0D" w:themeColor="text1" w:themeTint="F2"/>
          <w:sz w:val="28"/>
          <w:szCs w:val="28"/>
        </w:rPr>
      </w:pPr>
    </w:p>
    <w:p w:rsidR="00BD04C4" w:rsidRPr="00941033" w:rsidRDefault="00BD04C4" w:rsidP="00BD04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4C4" w:rsidRPr="00BE58B8" w:rsidRDefault="00BD04C4" w:rsidP="00BD04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4C4" w:rsidRPr="00BE58B8" w:rsidRDefault="00BD04C4" w:rsidP="00BD04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4C4" w:rsidRPr="00D83546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Список литературы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Строков А.Г. Программный гемодиализ: модификация режимов для коррекции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сердечно-сосудистых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нарушений: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... д-р. мед. наук: 14.01.24 . - М., 2013. - 227 с.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Андрусев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А.М.,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Перегудова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Н.Г., Шинкарев М.Б., Томилина Н.А Заместительная терапия терминальной хронической почечной недостаточности в Российской Федерации 2014-2018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гг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Регистр заместительной почечной терапии Российского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диализного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общества Общероссийская Общественная Организация Нефрологов «Российское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Диализное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Общество». - Москва: 2019. - С. 14.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Mukomolov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S.,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Trifonova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G.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Levakova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I.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Bolsun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D.,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Krivanogova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E. Hepatitis C in the Russian Federation: challenges and future directions // Hepatic Medicine: Evidence and Research. - 2016. - №8. - 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51-60.</w:t>
      </w:r>
    </w:p>
    <w:p w:rsidR="00BD04C4" w:rsidRPr="00D57460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Tomilina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N.A.,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Bikbov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B.T. Renal replacement therapy for ESRD patients in Russian Federation, 1998-2011(Report of the Russian Registry of Renal Replacement Therapy) // Russian Journal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Transplantology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and Artificial Organs. - 2015. - №17. - С. 35-58.</w:t>
      </w:r>
    </w:p>
    <w:p w:rsidR="00BD04C4" w:rsidRPr="00D57460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Галеева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З.М.,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Сайфутдинов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Р.Г.,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Хартынова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И.М. 6.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Галеева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З.М.,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Сайфутдинов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Р.Г.,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Хартынова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И.М. Современные представления о роли вируса гепатита С в развитии патологии почек: эпидемиологические,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морфологические,клинико-лабораторные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патогенетические аспекты(обзор литературы) 2011 г. // Практическая медицина. - 2011. - №51. - С. 38-43.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Mukherjee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R, Burns A,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Rodden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D, Chang F,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Chaum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M, Garcia N,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Bollipalli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N,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Niemz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Diagnosis and Management of Hepatitis C Virus Infection.// Journal of the Association for Laboratory Automation // Journal of the Association for Laboratory Automation . - 2015. - №5. - С. 519-38.</w:t>
      </w:r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</w:t>
      </w:r>
      <w:proofErr w:type="spellStart"/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doi</w:t>
      </w:r>
      <w:proofErr w:type="spellEnd"/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: 10.1177/2211068214563794.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lastRenderedPageBreak/>
        <w:t>Marinaki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S.,Boletis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J.N.,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SakellariouS.,Delladetsima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I.K. Hepatitis C in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hemodialysis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patients // World Journal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Hepatology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- 2015. - №7(3). - 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548-558.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doi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: </w:t>
      </w:r>
      <w:hyperlink r:id="rId13" w:tgtFrame="_self" w:history="1">
        <w:r w:rsidRPr="009C52BD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  <w:lang w:val="en-US"/>
          </w:rPr>
          <w:t>10.4254/wjh.v7.i3.548</w:t>
        </w:r>
      </w:hyperlink>
      <w:r w:rsidRPr="009C52B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Triantos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C.,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Konstantakis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C.,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Tselekouni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Kalafateli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M.,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Aggeletopoulou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I. Epidemiology of Hepatitis C in Greece // World Journal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Hepatology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- 2016. - №22(36). - С. 8094-102.</w:t>
      </w:r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doi:10.3748/wjg.v22.i36.8094.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Федуняк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И.П. Сравнительная клинико-лабораторная и эпидемиологическая характеристика посттрансфузионных вирусных гепатитов и их исходы :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автореф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дис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... д-р. мед. наук: 14.00.10. -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Спб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., 1996. - 20 с.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Мукомолов С.Л.,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Левакова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И.А. 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Синайская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Е.В 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Сулягина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Л.Г. , Кислый П.Н 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Тимаховская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Г.Ю.,Иванова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Н.В. Эпидемиологическая характеристика вирусных гепатитов В и С// // Инфекция и иммунитет. - 2011. - №1(2). - С. 143–150.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«Вирусные гепатиты у больных, подвергающихся диализу. Руководство для врачей» /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Команденко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М.С., Нечаев В.В., Радченко В.В.,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Раснянский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В.Ю, -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Спб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.: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СпецЛит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2016. - 220 с.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Okuda K., Yokosuka O Natural History of Chronic Hepatitis C in Patients on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Hemodialysis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: Case control study with 4-23 years of follow-up // World Journal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Hepatology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- 2004. - №10(15). - 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2209-12.</w:t>
      </w:r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</w:t>
      </w:r>
      <w:proofErr w:type="spellStart"/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doi</w:t>
      </w:r>
      <w:proofErr w:type="spellEnd"/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: 10.3748/wjg.v10.i15.2209.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Галимзянова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А.Х.,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Кладова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И.В., Дубина Д.Ш.,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Кивва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В.Н.,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Ахминеева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А.Х., Горшков Д.А., Андреева А.К. Риск парентеральных инфекций у медицинских работников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диализных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отделений. Можем ли мы его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уменьшить.Фармакоэпидемиологический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анализ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эритропоэтинов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Астраханский медицинский журнал. - 2010. - №5(1). - С. 106-115.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Okuda  K., Hayashi H.,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Yokozeki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K., Kobayashi S., Kashima T.,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Irie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Y. Mode of Hepatitis C Infection Not Associated With Blood Transfusion Among Chronic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Hemodialysis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Patients // Journal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hepatoligy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- 1995. - №23(1). - 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28-31.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lastRenderedPageBreak/>
        <w:t xml:space="preserve">Sun J., Yu R., Zhu B., Wu J., Larsen S., Zhao W. Hepatitis C Infection and Related Factors in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Hemodialysis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Patients in China: Systematic Review and Meta-Analysis //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Informa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Healthcare USA. - 2004. - №15. - 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610-20.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Fabrizi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F.,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Poordad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F.,Martin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P. Hepatitis C Infection and the Patient With End-Stage Renal Disease // Journal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hepatology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- 2002. - №1. - С. 3-6.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Семендяева М.И., Меркулов И.А., Пастухов А.И.,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Гайдашева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Е.В.,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Лесняк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В.Н., Шутова О.В.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Гепатацеллюлярная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карцинома - день сегодняшний // Клиническая практика . - 2013. - №2. - С. 35-48.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Goel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A. Singh D.,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Rakesh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B Hepatitis C virus infection and chronic renal disease // Indian Journal of Gastroenterology Hepatitis C virus infection and chronic renal disease. - 2018. - №37. - 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492–503.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Ishida H. ,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Agishi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T.,Koyama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I.,Sawada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T., Murakami T.,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Utsumi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K., Tsuji K.,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Kawase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T., Ishii Y.,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Ishimori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I., Kaneko I.,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Tojimbara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T., Nakajima I.,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Mineshima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M.,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Fuchinoue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S., Yoshioka T. 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Hemodialysis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Paradox: Survey on the Incidence Rate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Hepatocellular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Carcinoma in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Antihepatitis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Virus C-antibody-positive Chronic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Hemodialysis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Patients // Artificial organs. - 2001. - С. 58-60.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Okuda K.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Hepatocelhlar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carcinoma //Journal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Hepatology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2000; pp. 225-231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Hepatocelhlar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carcinoma // Journal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Hepatology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- 2000. - №32(1). - С. 225-231.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Zoulim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F Hepatitis C virus infection in special groups // Journal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Hepatology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- 1999. - №31. - С. 130-135.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Czepiel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J.,Biesiada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G.,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MachT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Clinical Presentation of Chronic Hepatitis C in Patients with End-Stage Renal Disease and on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Hemodialysis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// American Journal of Gastroenterology. - 2005.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doi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 10.1111/j.1572-0241.2005.51938.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Hans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L.,Tillmann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M..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Manns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P. Hepatitis C Virus Infection: Diagnosis, Natural Course and Therapy // Kidney and Blood Press Res . - 1999. - №19. - С. 2015-2019.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Pisoni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RL, Gillespie BW, Dickinson DM, Chen K,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Kutner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MH, Wolfe RA The Dialysis Outcomes and Practice Patterns Study (DOPPS): design, data 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lastRenderedPageBreak/>
        <w:t>elements, and methodology // American Journal of Kidney Diseases. - 2004. - №44. - С. 7-15.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Dzekova-Vidimliski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Sikole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A. Hepatitis C virus infection in maintenance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hemodialysis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patients: Recommendations for diagnostics and treatment // The International journal of artificial organs.. - 2017. - №39. - С. 590-595.</w:t>
      </w:r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</w:t>
      </w:r>
      <w:proofErr w:type="spellStart"/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doi</w:t>
      </w:r>
      <w:proofErr w:type="spellEnd"/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: 10.5301/ijao.5000548.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Olaby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RR,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Azzazy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HM.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doi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 10.1586/erm.10.101 Hepatitis C virus RNA assays: current and emerging technologies and their clinical applications //  Expert Review of Molecular Diagnostics. - 2011. - №11. - С. 53-64.</w:t>
      </w:r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>doi</w:t>
      </w:r>
      <w:proofErr w:type="spellEnd"/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>: 10.1586/erm.10.101.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Михайлов М.И., Мамедов М.К.,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Дадашева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А.Э. Характеристика инфекций, вызванных вирусами гепатитов В и С больных хронической почечной недостаточностью, находящихся на программном гемодиализе // Вестник Российского Университета Дружбы Народов. - 2013. - №1. - С. 46-51.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Авдеева М.Г., Лысенко И.В К Вопросу о патогенезе анемии при хронической HCV-инфекции // Эпидемиология и инфекционные болезни. - 2014. - №2. - С. 52-56.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Донцов Д.В. Роль иммуногематологических нарушений в патогенезе хронического гепатита С(обзор литературы). //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Modern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problems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science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education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- 2012. - №1.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Шилова Е.М., Смирнова А.В., Козловской Н.Л. Обновленные рекомендации по диагностике и лечению анемии при хронической болезни почек в редакции 2014 года //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ГЭОТАР-Медиа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2014. - С. 856.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outlineLvl w:val="2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Nishida C.,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Uto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H.,Oketani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M., Tokunaga K.,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Nosaki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T.,Fukumoto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M., Oku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M.,Sogabe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A. 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Moriuchi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A.,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Ido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A., Hirohito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Tsubouchi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Clinical significance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alanine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aminotransferase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levels and the effect of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ursodeoxycholic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acid in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hemodialysis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patients with chronic hepatitis C // Journal gastroenterology and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hepatology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- 2010. - №45. - 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326–334 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doi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10.1007/s00535-009-0149-0.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lastRenderedPageBreak/>
        <w:t xml:space="preserve">Sun J., Yu R., Zhu B., Wu J., Larsen S., Zhao W. Hepatitis C Infection and Related Factors in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Hemodialysis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Patients in China: Systematic Review and Meta-Analysis //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Informa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Healthcare USA. - 2009. - №31.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doi: </w:t>
      </w:r>
      <w:hyperlink r:id="rId14" w:tgtFrame="_blank" w:history="1">
        <w:r w:rsidRPr="00D83546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 w:eastAsia="ru-RU"/>
          </w:rPr>
          <w:t>10.1080/08860220903003446</w:t>
        </w:r>
      </w:hyperlink>
      <w:r w:rsidRPr="00D83546">
        <w:rPr>
          <w:color w:val="0D0D0D" w:themeColor="text1" w:themeTint="F2"/>
          <w:lang w:val="en-US"/>
        </w:rPr>
        <w:t>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Almawi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W.Y.,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Qadi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A.A.,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Tamim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H.,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Ameen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G, Bu-Ali A.,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Arrayid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S.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Seroprevalence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of Hepatitis C Virus and Hepatitis B Virus Among Dialysis Patients in Bahrain and Saudi Arabia // Transplant Proceeding. - 2004. - №36(6). - С. 1824-6.</w:t>
      </w:r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>doi</w:t>
      </w:r>
      <w:proofErr w:type="spellEnd"/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>: 10.1016/j.transproceed.2004.07.019.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KurokawaT.,Ohkohchi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N. Platelets in Liver Disease, Cancer and Regeneration // World Journal Gastroenterology. - 2017. - №23(18). - С. 3228-3239.</w:t>
      </w:r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>doi</w:t>
      </w:r>
      <w:proofErr w:type="spellEnd"/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>: 10.3748/wjg.v23.i18.3228.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Mizuno M. , Higuchi T.,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Yanai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M., 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Kanmatsuse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K., 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Esumi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M. 235-42.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doi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: 10.1159/000058398. Dialysis-membrane - dependent Reduction and Adsorption of Circulating Hepatitis C Virus During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Hemodialysis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//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Nephron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- 2002. - №91(2). - С. 235-42.</w:t>
      </w:r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>doi</w:t>
      </w:r>
      <w:proofErr w:type="spellEnd"/>
      <w:r w:rsidRPr="00D83546">
        <w:rPr>
          <w:rFonts w:ascii="Segoe UI" w:hAnsi="Segoe UI" w:cs="Segoe UI"/>
          <w:color w:val="0D0D0D" w:themeColor="text1" w:themeTint="F2"/>
          <w:sz w:val="27"/>
          <w:szCs w:val="27"/>
          <w:shd w:val="clear" w:color="auto" w:fill="FFFFFF"/>
          <w:lang w:val="en-US"/>
        </w:rPr>
        <w:t>: 10.1159/000058398.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Медик В.А. Математическая статистика в медицине /В.А. Медик, М.С.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Токмачев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М.: Финансы и статистика, 2007. – 798 с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Higgins C. Laboratory Investigations: A Guide for Nurses, Midwives and Health Professionals, 3rd Edition / Wiley-Blackwell, 2013. - 424 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al-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Wakeel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J.,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Malik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G., al-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Mohaya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S.,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Mitwalli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A. 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Baroudi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F., el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Gamal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H.,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Kechrid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M Liver Disease in Dialysis Patients With Antibodies to Hepatitis C Virus // Nephrology Dialysis Transplantation. - 1996. - №11. - С. 2265-8.</w:t>
      </w:r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 xml:space="preserve"> </w:t>
      </w:r>
      <w:proofErr w:type="spellStart"/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doi</w:t>
      </w:r>
      <w:proofErr w:type="spellEnd"/>
      <w:r w:rsidRPr="00D835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: 10.1093/oxfordjournals.ndt.a027146.</w:t>
      </w:r>
    </w:p>
    <w:p w:rsidR="00BD04C4" w:rsidRPr="00D83546" w:rsidRDefault="00BD04C4" w:rsidP="00BD04C4">
      <w:pPr>
        <w:pStyle w:val="ae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Kaiser T.,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Damerow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H.C.,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S.Tenckhoff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,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A.Finger,,Böttcher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I ,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Hafer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C.G. Kinetics of hepatitis C viral RNA and HCV</w:t>
      </w:r>
      <w:r w:rsidRPr="00D83546">
        <w:rPr>
          <w:rFonts w:ascii="Cambria Math" w:hAnsi="Cambria Math" w:cs="Cambria Math"/>
          <w:color w:val="0D0D0D" w:themeColor="text1" w:themeTint="F2"/>
          <w:sz w:val="28"/>
          <w:szCs w:val="28"/>
          <w:lang w:val="en-US"/>
        </w:rPr>
        <w:t>‐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antigen during dialysis sessions: Evidence for differential viral load reduction on dialysis/ // Journal of medical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viroligy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 - 2008. - №80(7). - С. 1195-201.</w:t>
      </w:r>
    </w:p>
    <w:p w:rsidR="00BD04C4" w:rsidRPr="00D83546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BD04C4" w:rsidRPr="005A2793" w:rsidRDefault="00BD04C4" w:rsidP="00BD04C4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BD04C4" w:rsidRPr="008920C3" w:rsidRDefault="00BD04C4" w:rsidP="00BD04C4">
      <w:pPr>
        <w:pStyle w:val="3"/>
        <w:jc w:val="center"/>
        <w:rPr>
          <w:color w:val="0D0D0D" w:themeColor="text1" w:themeTint="F2"/>
          <w:sz w:val="28"/>
          <w:szCs w:val="28"/>
          <w:lang w:val="en-US"/>
        </w:rPr>
      </w:pPr>
    </w:p>
    <w:p w:rsidR="00BD04C4" w:rsidRPr="00D83546" w:rsidRDefault="00BD04C4" w:rsidP="00BD04C4">
      <w:pPr>
        <w:pStyle w:val="3"/>
        <w:jc w:val="center"/>
        <w:rPr>
          <w:color w:val="0D0D0D" w:themeColor="text1" w:themeTint="F2"/>
          <w:sz w:val="28"/>
          <w:szCs w:val="28"/>
        </w:rPr>
      </w:pPr>
      <w:r w:rsidRPr="00D83546">
        <w:rPr>
          <w:color w:val="0D0D0D" w:themeColor="text1" w:themeTint="F2"/>
          <w:sz w:val="28"/>
          <w:szCs w:val="28"/>
        </w:rPr>
        <w:t>Список используемых сокращений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АЛТ 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Аланинаминотрансфераза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АСТ 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Аспартатаминотрансфераза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ВГВ  вирусный гепатит А 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ВГС  вирусный гепатит С 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ВИЧ вирус иммунодефицита человека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ГД гемодиализ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ЗПТ заместительная почечная терапия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Анти-ВГС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антитела к  вирусу 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гепа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тита</w:t>
      </w: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(суммарные)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ОГД отделения гемодиализа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ПД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перитонеальный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диализа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ПЦР </w:t>
      </w: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полимеразная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цепная реакция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РНК рибонуклеиновая кислота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РФ Российская Федерация</w:t>
      </w:r>
    </w:p>
    <w:p w:rsidR="00BD04C4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ХБП хроническая болезнь почек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ХВГС хронический вирусный гепатит С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ХПН хроническая почечная недостаточность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Ig</w:t>
      </w:r>
      <w:proofErr w:type="spellEnd"/>
      <w:r w:rsidRPr="00D83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G Иммуноглобулины класса  G</w:t>
      </w:r>
    </w:p>
    <w:p w:rsidR="00BD04C4" w:rsidRPr="00D83546" w:rsidRDefault="00BD04C4" w:rsidP="00BD04C4">
      <w:pPr>
        <w:tabs>
          <w:tab w:val="left" w:pos="5777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04C4" w:rsidRPr="00D83546" w:rsidRDefault="00BD04C4" w:rsidP="00BD04C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50FED" w:rsidRDefault="00150FED" w:rsidP="000716A8"/>
    <w:p w:rsidR="00150FED" w:rsidRDefault="00150FED" w:rsidP="000716A8"/>
    <w:p w:rsidR="009665DF" w:rsidRPr="005A2793" w:rsidRDefault="009665DF" w:rsidP="001866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B7" w:rsidRPr="00CD6008" w:rsidRDefault="00EE13B7" w:rsidP="00CD6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3B7" w:rsidRPr="00CD6008" w:rsidSect="00CD6008">
      <w:foot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ED" w:rsidRDefault="00150FED" w:rsidP="00263F48">
      <w:pPr>
        <w:spacing w:after="0" w:line="240" w:lineRule="auto"/>
      </w:pPr>
      <w:r>
        <w:separator/>
      </w:r>
    </w:p>
  </w:endnote>
  <w:endnote w:type="continuationSeparator" w:id="0">
    <w:p w:rsidR="00150FED" w:rsidRDefault="00150FED" w:rsidP="0026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53677"/>
      <w:docPartObj>
        <w:docPartGallery w:val="Page Numbers (Bottom of Page)"/>
        <w:docPartUnique/>
      </w:docPartObj>
    </w:sdtPr>
    <w:sdtContent>
      <w:p w:rsidR="00150FED" w:rsidRDefault="00672DD7">
        <w:pPr>
          <w:pStyle w:val="af6"/>
          <w:jc w:val="right"/>
        </w:pPr>
        <w:fldSimple w:instr=" PAGE   \* MERGEFORMAT ">
          <w:r w:rsidR="002C7963">
            <w:rPr>
              <w:noProof/>
            </w:rPr>
            <w:t>53</w:t>
          </w:r>
        </w:fldSimple>
      </w:p>
    </w:sdtContent>
  </w:sdt>
  <w:p w:rsidR="00150FED" w:rsidRDefault="00150FE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ED" w:rsidRDefault="00150FED" w:rsidP="00263F48">
      <w:pPr>
        <w:spacing w:after="0" w:line="240" w:lineRule="auto"/>
      </w:pPr>
      <w:r>
        <w:separator/>
      </w:r>
    </w:p>
  </w:footnote>
  <w:footnote w:type="continuationSeparator" w:id="0">
    <w:p w:rsidR="00150FED" w:rsidRDefault="00150FED" w:rsidP="00263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982"/>
    <w:multiLevelType w:val="hybridMultilevel"/>
    <w:tmpl w:val="D26290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9E56B83"/>
    <w:multiLevelType w:val="hybridMultilevel"/>
    <w:tmpl w:val="A07E7F08"/>
    <w:lvl w:ilvl="0" w:tplc="BE8A65CC">
      <w:start w:val="1"/>
      <w:numFmt w:val="decimal"/>
      <w:lvlText w:val="%1."/>
      <w:lvlJc w:val="left"/>
      <w:pPr>
        <w:ind w:left="48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6D67260">
      <w:numFmt w:val="bullet"/>
      <w:lvlText w:val="•"/>
      <w:lvlJc w:val="left"/>
      <w:pPr>
        <w:ind w:left="1446" w:hanging="417"/>
      </w:pPr>
      <w:rPr>
        <w:rFonts w:hint="default"/>
        <w:lang w:val="ru-RU" w:eastAsia="ru-RU" w:bidi="ru-RU"/>
      </w:rPr>
    </w:lvl>
    <w:lvl w:ilvl="2" w:tplc="3A1821BE">
      <w:numFmt w:val="bullet"/>
      <w:lvlText w:val="•"/>
      <w:lvlJc w:val="left"/>
      <w:pPr>
        <w:ind w:left="2413" w:hanging="417"/>
      </w:pPr>
      <w:rPr>
        <w:rFonts w:hint="default"/>
        <w:lang w:val="ru-RU" w:eastAsia="ru-RU" w:bidi="ru-RU"/>
      </w:rPr>
    </w:lvl>
    <w:lvl w:ilvl="3" w:tplc="E612E30C">
      <w:numFmt w:val="bullet"/>
      <w:lvlText w:val="•"/>
      <w:lvlJc w:val="left"/>
      <w:pPr>
        <w:ind w:left="3379" w:hanging="417"/>
      </w:pPr>
      <w:rPr>
        <w:rFonts w:hint="default"/>
        <w:lang w:val="ru-RU" w:eastAsia="ru-RU" w:bidi="ru-RU"/>
      </w:rPr>
    </w:lvl>
    <w:lvl w:ilvl="4" w:tplc="FD2AE62E">
      <w:numFmt w:val="bullet"/>
      <w:lvlText w:val="•"/>
      <w:lvlJc w:val="left"/>
      <w:pPr>
        <w:ind w:left="4346" w:hanging="417"/>
      </w:pPr>
      <w:rPr>
        <w:rFonts w:hint="default"/>
        <w:lang w:val="ru-RU" w:eastAsia="ru-RU" w:bidi="ru-RU"/>
      </w:rPr>
    </w:lvl>
    <w:lvl w:ilvl="5" w:tplc="F56CB9F2">
      <w:numFmt w:val="bullet"/>
      <w:lvlText w:val="•"/>
      <w:lvlJc w:val="left"/>
      <w:pPr>
        <w:ind w:left="5313" w:hanging="417"/>
      </w:pPr>
      <w:rPr>
        <w:rFonts w:hint="default"/>
        <w:lang w:val="ru-RU" w:eastAsia="ru-RU" w:bidi="ru-RU"/>
      </w:rPr>
    </w:lvl>
    <w:lvl w:ilvl="6" w:tplc="2B76BA92">
      <w:numFmt w:val="bullet"/>
      <w:lvlText w:val="•"/>
      <w:lvlJc w:val="left"/>
      <w:pPr>
        <w:ind w:left="6279" w:hanging="417"/>
      </w:pPr>
      <w:rPr>
        <w:rFonts w:hint="default"/>
        <w:lang w:val="ru-RU" w:eastAsia="ru-RU" w:bidi="ru-RU"/>
      </w:rPr>
    </w:lvl>
    <w:lvl w:ilvl="7" w:tplc="F63E5364">
      <w:numFmt w:val="bullet"/>
      <w:lvlText w:val="•"/>
      <w:lvlJc w:val="left"/>
      <w:pPr>
        <w:ind w:left="7246" w:hanging="417"/>
      </w:pPr>
      <w:rPr>
        <w:rFonts w:hint="default"/>
        <w:lang w:val="ru-RU" w:eastAsia="ru-RU" w:bidi="ru-RU"/>
      </w:rPr>
    </w:lvl>
    <w:lvl w:ilvl="8" w:tplc="9D94A4C6">
      <w:numFmt w:val="bullet"/>
      <w:lvlText w:val="•"/>
      <w:lvlJc w:val="left"/>
      <w:pPr>
        <w:ind w:left="8213" w:hanging="417"/>
      </w:pPr>
      <w:rPr>
        <w:rFonts w:hint="default"/>
        <w:lang w:val="ru-RU" w:eastAsia="ru-RU" w:bidi="ru-RU"/>
      </w:rPr>
    </w:lvl>
  </w:abstractNum>
  <w:abstractNum w:abstractNumId="2">
    <w:nsid w:val="2DBF4125"/>
    <w:multiLevelType w:val="hybridMultilevel"/>
    <w:tmpl w:val="86F4B5F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31402E3D"/>
    <w:multiLevelType w:val="hybridMultilevel"/>
    <w:tmpl w:val="09CA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16976"/>
    <w:multiLevelType w:val="hybridMultilevel"/>
    <w:tmpl w:val="D6A4019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46946E1F"/>
    <w:multiLevelType w:val="hybridMultilevel"/>
    <w:tmpl w:val="C7407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B07E3"/>
    <w:multiLevelType w:val="hybridMultilevel"/>
    <w:tmpl w:val="368610BA"/>
    <w:lvl w:ilvl="0" w:tplc="1A1CE73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D73DA"/>
    <w:multiLevelType w:val="multilevel"/>
    <w:tmpl w:val="85E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727E1"/>
    <w:multiLevelType w:val="hybridMultilevel"/>
    <w:tmpl w:val="368610BA"/>
    <w:lvl w:ilvl="0" w:tplc="1A1CE73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C2C8C"/>
    <w:multiLevelType w:val="hybridMultilevel"/>
    <w:tmpl w:val="79261C0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5D123414"/>
    <w:multiLevelType w:val="multilevel"/>
    <w:tmpl w:val="4732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C1437"/>
    <w:multiLevelType w:val="hybridMultilevel"/>
    <w:tmpl w:val="A07E7F08"/>
    <w:lvl w:ilvl="0" w:tplc="BE8A65CC">
      <w:start w:val="1"/>
      <w:numFmt w:val="decimal"/>
      <w:lvlText w:val="%1."/>
      <w:lvlJc w:val="left"/>
      <w:pPr>
        <w:ind w:left="48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6D67260">
      <w:numFmt w:val="bullet"/>
      <w:lvlText w:val="•"/>
      <w:lvlJc w:val="left"/>
      <w:pPr>
        <w:ind w:left="1446" w:hanging="417"/>
      </w:pPr>
      <w:rPr>
        <w:rFonts w:hint="default"/>
        <w:lang w:val="ru-RU" w:eastAsia="ru-RU" w:bidi="ru-RU"/>
      </w:rPr>
    </w:lvl>
    <w:lvl w:ilvl="2" w:tplc="3A1821BE">
      <w:numFmt w:val="bullet"/>
      <w:lvlText w:val="•"/>
      <w:lvlJc w:val="left"/>
      <w:pPr>
        <w:ind w:left="2413" w:hanging="417"/>
      </w:pPr>
      <w:rPr>
        <w:rFonts w:hint="default"/>
        <w:lang w:val="ru-RU" w:eastAsia="ru-RU" w:bidi="ru-RU"/>
      </w:rPr>
    </w:lvl>
    <w:lvl w:ilvl="3" w:tplc="E612E30C">
      <w:numFmt w:val="bullet"/>
      <w:lvlText w:val="•"/>
      <w:lvlJc w:val="left"/>
      <w:pPr>
        <w:ind w:left="3379" w:hanging="417"/>
      </w:pPr>
      <w:rPr>
        <w:rFonts w:hint="default"/>
        <w:lang w:val="ru-RU" w:eastAsia="ru-RU" w:bidi="ru-RU"/>
      </w:rPr>
    </w:lvl>
    <w:lvl w:ilvl="4" w:tplc="FD2AE62E">
      <w:numFmt w:val="bullet"/>
      <w:lvlText w:val="•"/>
      <w:lvlJc w:val="left"/>
      <w:pPr>
        <w:ind w:left="4346" w:hanging="417"/>
      </w:pPr>
      <w:rPr>
        <w:rFonts w:hint="default"/>
        <w:lang w:val="ru-RU" w:eastAsia="ru-RU" w:bidi="ru-RU"/>
      </w:rPr>
    </w:lvl>
    <w:lvl w:ilvl="5" w:tplc="F56CB9F2">
      <w:numFmt w:val="bullet"/>
      <w:lvlText w:val="•"/>
      <w:lvlJc w:val="left"/>
      <w:pPr>
        <w:ind w:left="5313" w:hanging="417"/>
      </w:pPr>
      <w:rPr>
        <w:rFonts w:hint="default"/>
        <w:lang w:val="ru-RU" w:eastAsia="ru-RU" w:bidi="ru-RU"/>
      </w:rPr>
    </w:lvl>
    <w:lvl w:ilvl="6" w:tplc="2B76BA92">
      <w:numFmt w:val="bullet"/>
      <w:lvlText w:val="•"/>
      <w:lvlJc w:val="left"/>
      <w:pPr>
        <w:ind w:left="6279" w:hanging="417"/>
      </w:pPr>
      <w:rPr>
        <w:rFonts w:hint="default"/>
        <w:lang w:val="ru-RU" w:eastAsia="ru-RU" w:bidi="ru-RU"/>
      </w:rPr>
    </w:lvl>
    <w:lvl w:ilvl="7" w:tplc="F63E5364">
      <w:numFmt w:val="bullet"/>
      <w:lvlText w:val="•"/>
      <w:lvlJc w:val="left"/>
      <w:pPr>
        <w:ind w:left="7246" w:hanging="417"/>
      </w:pPr>
      <w:rPr>
        <w:rFonts w:hint="default"/>
        <w:lang w:val="ru-RU" w:eastAsia="ru-RU" w:bidi="ru-RU"/>
      </w:rPr>
    </w:lvl>
    <w:lvl w:ilvl="8" w:tplc="9D94A4C6">
      <w:numFmt w:val="bullet"/>
      <w:lvlText w:val="•"/>
      <w:lvlJc w:val="left"/>
      <w:pPr>
        <w:ind w:left="8213" w:hanging="417"/>
      </w:pPr>
      <w:rPr>
        <w:rFonts w:hint="default"/>
        <w:lang w:val="ru-RU" w:eastAsia="ru-RU" w:bidi="ru-RU"/>
      </w:rPr>
    </w:lvl>
  </w:abstractNum>
  <w:abstractNum w:abstractNumId="12">
    <w:nsid w:val="70720B05"/>
    <w:multiLevelType w:val="hybridMultilevel"/>
    <w:tmpl w:val="442E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27D4D"/>
    <w:multiLevelType w:val="hybridMultilevel"/>
    <w:tmpl w:val="981CF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E68BC"/>
    <w:multiLevelType w:val="hybridMultilevel"/>
    <w:tmpl w:val="A72CEB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595"/>
    <w:rsid w:val="00002C45"/>
    <w:rsid w:val="000132EE"/>
    <w:rsid w:val="00014A23"/>
    <w:rsid w:val="000233D3"/>
    <w:rsid w:val="0002401E"/>
    <w:rsid w:val="0003704F"/>
    <w:rsid w:val="00042EA0"/>
    <w:rsid w:val="00043C75"/>
    <w:rsid w:val="00051956"/>
    <w:rsid w:val="00054935"/>
    <w:rsid w:val="000550BF"/>
    <w:rsid w:val="000650E3"/>
    <w:rsid w:val="000716A8"/>
    <w:rsid w:val="000725FD"/>
    <w:rsid w:val="00072C13"/>
    <w:rsid w:val="000745BB"/>
    <w:rsid w:val="00076759"/>
    <w:rsid w:val="00076BD9"/>
    <w:rsid w:val="00084CC2"/>
    <w:rsid w:val="0009354F"/>
    <w:rsid w:val="000A02CA"/>
    <w:rsid w:val="000A4420"/>
    <w:rsid w:val="000B2219"/>
    <w:rsid w:val="000B26D4"/>
    <w:rsid w:val="000B4048"/>
    <w:rsid w:val="000B6376"/>
    <w:rsid w:val="000E0D4F"/>
    <w:rsid w:val="000E4F39"/>
    <w:rsid w:val="000E5194"/>
    <w:rsid w:val="000F07D7"/>
    <w:rsid w:val="000F0BF9"/>
    <w:rsid w:val="000F3463"/>
    <w:rsid w:val="000F696E"/>
    <w:rsid w:val="001004A2"/>
    <w:rsid w:val="00106566"/>
    <w:rsid w:val="00107664"/>
    <w:rsid w:val="00111F09"/>
    <w:rsid w:val="00117030"/>
    <w:rsid w:val="001177B8"/>
    <w:rsid w:val="001240BC"/>
    <w:rsid w:val="00126262"/>
    <w:rsid w:val="00126BE4"/>
    <w:rsid w:val="0014563B"/>
    <w:rsid w:val="00150FED"/>
    <w:rsid w:val="00154693"/>
    <w:rsid w:val="00166F89"/>
    <w:rsid w:val="001719DC"/>
    <w:rsid w:val="0017218D"/>
    <w:rsid w:val="00177735"/>
    <w:rsid w:val="00186636"/>
    <w:rsid w:val="00192859"/>
    <w:rsid w:val="001B5A96"/>
    <w:rsid w:val="001B6DD1"/>
    <w:rsid w:val="001B7CD5"/>
    <w:rsid w:val="001D2402"/>
    <w:rsid w:val="001D463F"/>
    <w:rsid w:val="001F4912"/>
    <w:rsid w:val="001F5508"/>
    <w:rsid w:val="001F62F5"/>
    <w:rsid w:val="001F6D56"/>
    <w:rsid w:val="002118CA"/>
    <w:rsid w:val="00211B3C"/>
    <w:rsid w:val="00215F87"/>
    <w:rsid w:val="00216CBE"/>
    <w:rsid w:val="00241E49"/>
    <w:rsid w:val="002437A5"/>
    <w:rsid w:val="00246CAA"/>
    <w:rsid w:val="00247A6F"/>
    <w:rsid w:val="002548CA"/>
    <w:rsid w:val="00255D64"/>
    <w:rsid w:val="00256294"/>
    <w:rsid w:val="00263F48"/>
    <w:rsid w:val="002653FA"/>
    <w:rsid w:val="00266CB4"/>
    <w:rsid w:val="00271343"/>
    <w:rsid w:val="0027427B"/>
    <w:rsid w:val="0028199F"/>
    <w:rsid w:val="00281DE8"/>
    <w:rsid w:val="00291DE3"/>
    <w:rsid w:val="00297ECC"/>
    <w:rsid w:val="002A417F"/>
    <w:rsid w:val="002A6042"/>
    <w:rsid w:val="002B5A6A"/>
    <w:rsid w:val="002C19B5"/>
    <w:rsid w:val="002C1E57"/>
    <w:rsid w:val="002C4F91"/>
    <w:rsid w:val="002C6C21"/>
    <w:rsid w:val="002C7963"/>
    <w:rsid w:val="002D686D"/>
    <w:rsid w:val="002E1778"/>
    <w:rsid w:val="002E57CA"/>
    <w:rsid w:val="002E73D7"/>
    <w:rsid w:val="002F06EA"/>
    <w:rsid w:val="002F3124"/>
    <w:rsid w:val="00305777"/>
    <w:rsid w:val="003152CE"/>
    <w:rsid w:val="00317CB4"/>
    <w:rsid w:val="003270BC"/>
    <w:rsid w:val="00337CC2"/>
    <w:rsid w:val="00341E3E"/>
    <w:rsid w:val="00352395"/>
    <w:rsid w:val="003543C2"/>
    <w:rsid w:val="003625B4"/>
    <w:rsid w:val="00367715"/>
    <w:rsid w:val="003728FC"/>
    <w:rsid w:val="00381414"/>
    <w:rsid w:val="00382237"/>
    <w:rsid w:val="003833ED"/>
    <w:rsid w:val="003905A4"/>
    <w:rsid w:val="003A7EAE"/>
    <w:rsid w:val="003B0D08"/>
    <w:rsid w:val="003C0491"/>
    <w:rsid w:val="003C30FF"/>
    <w:rsid w:val="003C3EFA"/>
    <w:rsid w:val="003D304C"/>
    <w:rsid w:val="003E69BF"/>
    <w:rsid w:val="003F651F"/>
    <w:rsid w:val="004027F6"/>
    <w:rsid w:val="00417FE6"/>
    <w:rsid w:val="00424964"/>
    <w:rsid w:val="00424F3C"/>
    <w:rsid w:val="004265C2"/>
    <w:rsid w:val="004354E7"/>
    <w:rsid w:val="004426E0"/>
    <w:rsid w:val="004472B2"/>
    <w:rsid w:val="00451E3F"/>
    <w:rsid w:val="00467A5E"/>
    <w:rsid w:val="0047195F"/>
    <w:rsid w:val="00487C42"/>
    <w:rsid w:val="004A1C7D"/>
    <w:rsid w:val="004B7595"/>
    <w:rsid w:val="004C28DA"/>
    <w:rsid w:val="004C3A22"/>
    <w:rsid w:val="004C4451"/>
    <w:rsid w:val="004C7452"/>
    <w:rsid w:val="004D01DE"/>
    <w:rsid w:val="004D5262"/>
    <w:rsid w:val="004E22BA"/>
    <w:rsid w:val="004F48D1"/>
    <w:rsid w:val="004F4C32"/>
    <w:rsid w:val="004F58C2"/>
    <w:rsid w:val="005078FD"/>
    <w:rsid w:val="00513519"/>
    <w:rsid w:val="00515C10"/>
    <w:rsid w:val="00523C3E"/>
    <w:rsid w:val="005271E7"/>
    <w:rsid w:val="00540945"/>
    <w:rsid w:val="00544B9B"/>
    <w:rsid w:val="005502FD"/>
    <w:rsid w:val="00556FE8"/>
    <w:rsid w:val="00560BD2"/>
    <w:rsid w:val="00561B9B"/>
    <w:rsid w:val="00564B7A"/>
    <w:rsid w:val="0056607D"/>
    <w:rsid w:val="0057342C"/>
    <w:rsid w:val="0057578C"/>
    <w:rsid w:val="005828A4"/>
    <w:rsid w:val="00583DDD"/>
    <w:rsid w:val="00593204"/>
    <w:rsid w:val="005A18E6"/>
    <w:rsid w:val="005A2793"/>
    <w:rsid w:val="005A4252"/>
    <w:rsid w:val="005B33F9"/>
    <w:rsid w:val="005C645E"/>
    <w:rsid w:val="005D6788"/>
    <w:rsid w:val="005E0238"/>
    <w:rsid w:val="005E3606"/>
    <w:rsid w:val="005E5EBC"/>
    <w:rsid w:val="005F3797"/>
    <w:rsid w:val="005F46D1"/>
    <w:rsid w:val="00606F58"/>
    <w:rsid w:val="00612821"/>
    <w:rsid w:val="0061414C"/>
    <w:rsid w:val="00620E0D"/>
    <w:rsid w:val="00636F15"/>
    <w:rsid w:val="006441AD"/>
    <w:rsid w:val="00645575"/>
    <w:rsid w:val="006539C6"/>
    <w:rsid w:val="00672DD7"/>
    <w:rsid w:val="006925B8"/>
    <w:rsid w:val="00694576"/>
    <w:rsid w:val="006B1829"/>
    <w:rsid w:val="006B1FB0"/>
    <w:rsid w:val="006B1FF2"/>
    <w:rsid w:val="006B477B"/>
    <w:rsid w:val="006D2AF3"/>
    <w:rsid w:val="006D3C07"/>
    <w:rsid w:val="006F35BB"/>
    <w:rsid w:val="006F41E3"/>
    <w:rsid w:val="0070223E"/>
    <w:rsid w:val="00706D22"/>
    <w:rsid w:val="0070758B"/>
    <w:rsid w:val="00716BA9"/>
    <w:rsid w:val="007361B8"/>
    <w:rsid w:val="00750E09"/>
    <w:rsid w:val="0075244B"/>
    <w:rsid w:val="0075596C"/>
    <w:rsid w:val="00761289"/>
    <w:rsid w:val="00763FD1"/>
    <w:rsid w:val="007662C8"/>
    <w:rsid w:val="007826CC"/>
    <w:rsid w:val="007868F9"/>
    <w:rsid w:val="007915AE"/>
    <w:rsid w:val="0079588E"/>
    <w:rsid w:val="007B3F7A"/>
    <w:rsid w:val="007D4D17"/>
    <w:rsid w:val="007E5471"/>
    <w:rsid w:val="007E7D1B"/>
    <w:rsid w:val="00804082"/>
    <w:rsid w:val="008056A5"/>
    <w:rsid w:val="00807DE2"/>
    <w:rsid w:val="00813B2C"/>
    <w:rsid w:val="00842D04"/>
    <w:rsid w:val="00855C6E"/>
    <w:rsid w:val="00861334"/>
    <w:rsid w:val="008654FF"/>
    <w:rsid w:val="00871F4D"/>
    <w:rsid w:val="0087284F"/>
    <w:rsid w:val="0087762A"/>
    <w:rsid w:val="0088690B"/>
    <w:rsid w:val="008920C3"/>
    <w:rsid w:val="00894625"/>
    <w:rsid w:val="00895692"/>
    <w:rsid w:val="008965EA"/>
    <w:rsid w:val="00897621"/>
    <w:rsid w:val="008A3A48"/>
    <w:rsid w:val="008A4F67"/>
    <w:rsid w:val="008A63E4"/>
    <w:rsid w:val="008B1E7F"/>
    <w:rsid w:val="008B2522"/>
    <w:rsid w:val="008B6A35"/>
    <w:rsid w:val="008D7356"/>
    <w:rsid w:val="008E5953"/>
    <w:rsid w:val="008E6B16"/>
    <w:rsid w:val="008F2578"/>
    <w:rsid w:val="008F514B"/>
    <w:rsid w:val="008F63CD"/>
    <w:rsid w:val="00902943"/>
    <w:rsid w:val="00913ED0"/>
    <w:rsid w:val="009153CB"/>
    <w:rsid w:val="0092322B"/>
    <w:rsid w:val="0092737A"/>
    <w:rsid w:val="00927596"/>
    <w:rsid w:val="00953D8D"/>
    <w:rsid w:val="00955049"/>
    <w:rsid w:val="0095530B"/>
    <w:rsid w:val="009665DF"/>
    <w:rsid w:val="00973B9B"/>
    <w:rsid w:val="00974353"/>
    <w:rsid w:val="009770E0"/>
    <w:rsid w:val="00985E4D"/>
    <w:rsid w:val="009A3D98"/>
    <w:rsid w:val="009C2D0F"/>
    <w:rsid w:val="009C52BD"/>
    <w:rsid w:val="009C644C"/>
    <w:rsid w:val="009C7843"/>
    <w:rsid w:val="009D1248"/>
    <w:rsid w:val="009E15AF"/>
    <w:rsid w:val="009E18AE"/>
    <w:rsid w:val="009E433C"/>
    <w:rsid w:val="009E5265"/>
    <w:rsid w:val="009E6378"/>
    <w:rsid w:val="009F1E02"/>
    <w:rsid w:val="009F203A"/>
    <w:rsid w:val="00A03EDD"/>
    <w:rsid w:val="00A25959"/>
    <w:rsid w:val="00A34DBA"/>
    <w:rsid w:val="00A435FA"/>
    <w:rsid w:val="00A45D59"/>
    <w:rsid w:val="00A515A2"/>
    <w:rsid w:val="00A520A9"/>
    <w:rsid w:val="00A742AD"/>
    <w:rsid w:val="00A74562"/>
    <w:rsid w:val="00A80401"/>
    <w:rsid w:val="00A87348"/>
    <w:rsid w:val="00AA3909"/>
    <w:rsid w:val="00AA3AC0"/>
    <w:rsid w:val="00AB5FE0"/>
    <w:rsid w:val="00AB6110"/>
    <w:rsid w:val="00AD361D"/>
    <w:rsid w:val="00AE0AE0"/>
    <w:rsid w:val="00AF6734"/>
    <w:rsid w:val="00B20473"/>
    <w:rsid w:val="00B36588"/>
    <w:rsid w:val="00B470FF"/>
    <w:rsid w:val="00B527F1"/>
    <w:rsid w:val="00B54C16"/>
    <w:rsid w:val="00B55681"/>
    <w:rsid w:val="00B56E57"/>
    <w:rsid w:val="00B61E59"/>
    <w:rsid w:val="00B64C29"/>
    <w:rsid w:val="00B669E4"/>
    <w:rsid w:val="00B84574"/>
    <w:rsid w:val="00B87D0E"/>
    <w:rsid w:val="00B90A00"/>
    <w:rsid w:val="00BA30D3"/>
    <w:rsid w:val="00BB77CF"/>
    <w:rsid w:val="00BC03E1"/>
    <w:rsid w:val="00BC19EA"/>
    <w:rsid w:val="00BC5DAC"/>
    <w:rsid w:val="00BC7D54"/>
    <w:rsid w:val="00BD04C4"/>
    <w:rsid w:val="00BD38DD"/>
    <w:rsid w:val="00BD5AE7"/>
    <w:rsid w:val="00BD66C0"/>
    <w:rsid w:val="00BD6727"/>
    <w:rsid w:val="00BE0EA9"/>
    <w:rsid w:val="00BE41E7"/>
    <w:rsid w:val="00BE6CE6"/>
    <w:rsid w:val="00BE6D02"/>
    <w:rsid w:val="00BF242A"/>
    <w:rsid w:val="00BF6FA9"/>
    <w:rsid w:val="00C00CB0"/>
    <w:rsid w:val="00C01701"/>
    <w:rsid w:val="00C01E0B"/>
    <w:rsid w:val="00C0634B"/>
    <w:rsid w:val="00C12627"/>
    <w:rsid w:val="00C1682F"/>
    <w:rsid w:val="00C2409C"/>
    <w:rsid w:val="00C2599C"/>
    <w:rsid w:val="00C26760"/>
    <w:rsid w:val="00C26F4D"/>
    <w:rsid w:val="00C526BA"/>
    <w:rsid w:val="00C617AB"/>
    <w:rsid w:val="00C62315"/>
    <w:rsid w:val="00C6489F"/>
    <w:rsid w:val="00C6560D"/>
    <w:rsid w:val="00C7019B"/>
    <w:rsid w:val="00C91552"/>
    <w:rsid w:val="00CA34EA"/>
    <w:rsid w:val="00CA7142"/>
    <w:rsid w:val="00CB002C"/>
    <w:rsid w:val="00CB15DD"/>
    <w:rsid w:val="00CC561B"/>
    <w:rsid w:val="00CC7F48"/>
    <w:rsid w:val="00CD6008"/>
    <w:rsid w:val="00CD6D61"/>
    <w:rsid w:val="00CE2493"/>
    <w:rsid w:val="00CF594C"/>
    <w:rsid w:val="00CF59EA"/>
    <w:rsid w:val="00CF7CD1"/>
    <w:rsid w:val="00D0357D"/>
    <w:rsid w:val="00D03A6F"/>
    <w:rsid w:val="00D12031"/>
    <w:rsid w:val="00D2155D"/>
    <w:rsid w:val="00D23814"/>
    <w:rsid w:val="00D2571E"/>
    <w:rsid w:val="00D27F96"/>
    <w:rsid w:val="00D30730"/>
    <w:rsid w:val="00D31F17"/>
    <w:rsid w:val="00D334D3"/>
    <w:rsid w:val="00D41C1D"/>
    <w:rsid w:val="00D47A47"/>
    <w:rsid w:val="00D507AB"/>
    <w:rsid w:val="00D57460"/>
    <w:rsid w:val="00D72EDE"/>
    <w:rsid w:val="00D73CF3"/>
    <w:rsid w:val="00D74C7F"/>
    <w:rsid w:val="00D83546"/>
    <w:rsid w:val="00D962CA"/>
    <w:rsid w:val="00D97E8D"/>
    <w:rsid w:val="00DA327C"/>
    <w:rsid w:val="00DB05D7"/>
    <w:rsid w:val="00DB52C4"/>
    <w:rsid w:val="00DB6D60"/>
    <w:rsid w:val="00DB7F64"/>
    <w:rsid w:val="00DC2F8F"/>
    <w:rsid w:val="00DC32C7"/>
    <w:rsid w:val="00DD62FE"/>
    <w:rsid w:val="00DE5CD2"/>
    <w:rsid w:val="00DE6C7E"/>
    <w:rsid w:val="00DF03A8"/>
    <w:rsid w:val="00DF1041"/>
    <w:rsid w:val="00E059EB"/>
    <w:rsid w:val="00E06DCE"/>
    <w:rsid w:val="00E14453"/>
    <w:rsid w:val="00E209A3"/>
    <w:rsid w:val="00E21E3F"/>
    <w:rsid w:val="00E249EA"/>
    <w:rsid w:val="00E26A73"/>
    <w:rsid w:val="00E30C80"/>
    <w:rsid w:val="00E30CD3"/>
    <w:rsid w:val="00E34541"/>
    <w:rsid w:val="00E40CD2"/>
    <w:rsid w:val="00E43775"/>
    <w:rsid w:val="00E64785"/>
    <w:rsid w:val="00E74D29"/>
    <w:rsid w:val="00E75079"/>
    <w:rsid w:val="00E76271"/>
    <w:rsid w:val="00E84AD8"/>
    <w:rsid w:val="00E90F67"/>
    <w:rsid w:val="00E918A9"/>
    <w:rsid w:val="00E91DC0"/>
    <w:rsid w:val="00E92AD3"/>
    <w:rsid w:val="00E94FA4"/>
    <w:rsid w:val="00E95671"/>
    <w:rsid w:val="00E95B99"/>
    <w:rsid w:val="00E9722B"/>
    <w:rsid w:val="00E97874"/>
    <w:rsid w:val="00EA2B6B"/>
    <w:rsid w:val="00EA2C7D"/>
    <w:rsid w:val="00EB4DBB"/>
    <w:rsid w:val="00ED75FE"/>
    <w:rsid w:val="00EE13B7"/>
    <w:rsid w:val="00EE13B8"/>
    <w:rsid w:val="00EE2E34"/>
    <w:rsid w:val="00EE3F1C"/>
    <w:rsid w:val="00EE5F4C"/>
    <w:rsid w:val="00EE6A1B"/>
    <w:rsid w:val="00EF7114"/>
    <w:rsid w:val="00F047C7"/>
    <w:rsid w:val="00F10EB0"/>
    <w:rsid w:val="00F12487"/>
    <w:rsid w:val="00F36562"/>
    <w:rsid w:val="00F43E2A"/>
    <w:rsid w:val="00F70A67"/>
    <w:rsid w:val="00F80947"/>
    <w:rsid w:val="00F835CA"/>
    <w:rsid w:val="00F90FD3"/>
    <w:rsid w:val="00F97BE0"/>
    <w:rsid w:val="00FA40AA"/>
    <w:rsid w:val="00FB42D6"/>
    <w:rsid w:val="00FB5A08"/>
    <w:rsid w:val="00FC0BE6"/>
    <w:rsid w:val="00FC56FF"/>
    <w:rsid w:val="00FD4B0E"/>
    <w:rsid w:val="00FD6FC1"/>
    <w:rsid w:val="00FD798E"/>
    <w:rsid w:val="00FE155E"/>
    <w:rsid w:val="00FF2561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E0"/>
  </w:style>
  <w:style w:type="paragraph" w:styleId="1">
    <w:name w:val="heading 1"/>
    <w:basedOn w:val="a"/>
    <w:next w:val="a"/>
    <w:link w:val="10"/>
    <w:uiPriority w:val="9"/>
    <w:qFormat/>
    <w:rsid w:val="0056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3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3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3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0233D3"/>
    <w:rPr>
      <w:color w:val="0000FF"/>
      <w:u w:val="single"/>
    </w:rPr>
  </w:style>
  <w:style w:type="character" w:styleId="a5">
    <w:name w:val="Emphasis"/>
    <w:basedOn w:val="a0"/>
    <w:uiPriority w:val="20"/>
    <w:qFormat/>
    <w:rsid w:val="000233D3"/>
    <w:rPr>
      <w:i/>
      <w:iCs/>
    </w:rPr>
  </w:style>
  <w:style w:type="character" w:styleId="a6">
    <w:name w:val="Strong"/>
    <w:basedOn w:val="a0"/>
    <w:uiPriority w:val="22"/>
    <w:qFormat/>
    <w:rsid w:val="00985E4D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85E4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5E4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5E4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5E4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5E4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8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5E4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A3AC0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AA3AC0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AA3A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1">
    <w:name w:val="No Spacing"/>
    <w:rsid w:val="007075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2">
    <w:name w:val="Table Grid"/>
    <w:basedOn w:val="a1"/>
    <w:uiPriority w:val="59"/>
    <w:rsid w:val="0056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7868F9"/>
  </w:style>
  <w:style w:type="character" w:customStyle="1" w:styleId="authors-list-item">
    <w:name w:val="authors-list-item"/>
    <w:basedOn w:val="a0"/>
    <w:rsid w:val="007868F9"/>
  </w:style>
  <w:style w:type="character" w:customStyle="1" w:styleId="author-sup-separator">
    <w:name w:val="author-sup-separator"/>
    <w:basedOn w:val="a0"/>
    <w:rsid w:val="007868F9"/>
  </w:style>
  <w:style w:type="character" w:customStyle="1" w:styleId="comma">
    <w:name w:val="comma"/>
    <w:basedOn w:val="a0"/>
    <w:rsid w:val="007868F9"/>
  </w:style>
  <w:style w:type="character" w:customStyle="1" w:styleId="id-label">
    <w:name w:val="id-label"/>
    <w:basedOn w:val="a0"/>
    <w:rsid w:val="007868F9"/>
  </w:style>
  <w:style w:type="character" w:customStyle="1" w:styleId="identifier">
    <w:name w:val="identifier"/>
    <w:basedOn w:val="a0"/>
    <w:rsid w:val="0061414C"/>
  </w:style>
  <w:style w:type="character" w:customStyle="1" w:styleId="cit">
    <w:name w:val="cit"/>
    <w:basedOn w:val="a0"/>
    <w:rsid w:val="0061414C"/>
  </w:style>
  <w:style w:type="paragraph" w:styleId="af3">
    <w:name w:val="Revision"/>
    <w:hidden/>
    <w:uiPriority w:val="99"/>
    <w:semiHidden/>
    <w:rsid w:val="0028199F"/>
    <w:pPr>
      <w:spacing w:after="0" w:line="240" w:lineRule="auto"/>
    </w:pPr>
  </w:style>
  <w:style w:type="paragraph" w:styleId="af4">
    <w:name w:val="header"/>
    <w:basedOn w:val="a"/>
    <w:link w:val="af5"/>
    <w:uiPriority w:val="99"/>
    <w:semiHidden/>
    <w:unhideWhenUsed/>
    <w:rsid w:val="00263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63F48"/>
  </w:style>
  <w:style w:type="paragraph" w:styleId="af6">
    <w:name w:val="footer"/>
    <w:basedOn w:val="a"/>
    <w:link w:val="af7"/>
    <w:uiPriority w:val="99"/>
    <w:unhideWhenUsed/>
    <w:rsid w:val="00263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63F48"/>
  </w:style>
  <w:style w:type="paragraph" w:styleId="af8">
    <w:name w:val="TOC Heading"/>
    <w:basedOn w:val="1"/>
    <w:next w:val="a"/>
    <w:uiPriority w:val="39"/>
    <w:unhideWhenUsed/>
    <w:qFormat/>
    <w:rsid w:val="00606F58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E30C80"/>
    <w:pPr>
      <w:spacing w:after="100"/>
      <w:ind w:left="220"/>
    </w:pPr>
    <w:rPr>
      <w:rFonts w:ascii="Times New Roman" w:eastAsiaTheme="minorEastAsia" w:hAnsi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95692"/>
    <w:pPr>
      <w:tabs>
        <w:tab w:val="right" w:leader="dot" w:pos="9345"/>
      </w:tabs>
      <w:spacing w:after="100"/>
    </w:pPr>
    <w:rPr>
      <w:rFonts w:ascii="Times New Roman" w:eastAsiaTheme="minorEastAsia" w:hAnsi="Times New Roman" w:cs="Times New Roman"/>
      <w:noProof/>
      <w:sz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5A2793"/>
    <w:pPr>
      <w:tabs>
        <w:tab w:val="right" w:leader="dot" w:pos="9345"/>
      </w:tabs>
      <w:spacing w:after="100"/>
      <w:ind w:left="440"/>
    </w:pPr>
    <w:rPr>
      <w:rFonts w:ascii="Times New Roman" w:eastAsiaTheme="minorEastAsia" w:hAnsi="Times New Roman"/>
      <w:noProof/>
      <w:color w:val="0D0D0D" w:themeColor="text1" w:themeTint="F2"/>
      <w:sz w:val="28"/>
    </w:rPr>
  </w:style>
  <w:style w:type="table" w:styleId="2-1">
    <w:name w:val="Medium List 2 Accent 1"/>
    <w:basedOn w:val="a1"/>
    <w:uiPriority w:val="66"/>
    <w:rsid w:val="00B204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itation-doi">
    <w:name w:val="citation-doi"/>
    <w:basedOn w:val="a0"/>
    <w:rsid w:val="009E5265"/>
  </w:style>
  <w:style w:type="character" w:customStyle="1" w:styleId="period">
    <w:name w:val="period"/>
    <w:basedOn w:val="a0"/>
    <w:rsid w:val="00EE6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4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339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250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02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222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dx.doi.org/10.4254/wjh.v7.i3.5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library.wiley.com/action/doSearch?ContribAuthorStored=Kaiser%2C+Thorst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doi.org/10.1080/0886022090300344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полу пациентов с маркерами hcv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мужчины
68,2%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женщины
31,8%</a:t>
                    </a:r>
                  </a:p>
                </c:rich>
              </c:tx>
              <c:showCatName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7B-45FE-A18B-881CC9551E86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 7%</a:t>
                    </a:r>
                  </a:p>
                </c:rich>
              </c:tx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A14C-4C54-A897-7C303A7A117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'Лист1'!$A$2:$A$13</c:f>
              <c:strCache>
                <c:ptCount val="12"/>
                <c:pt idx="0">
                  <c:v>хронический гломкрулонефрит</c:v>
                </c:pt>
                <c:pt idx="1">
                  <c:v>Хронический пиелонефрит</c:v>
                </c:pt>
                <c:pt idx="2">
                  <c:v>Поликистоз почки</c:v>
                </c:pt>
                <c:pt idx="3">
                  <c:v>Мочекаменная болезнь</c:v>
                </c:pt>
                <c:pt idx="4">
                  <c:v>гипертоническая болезнь с преимущественным поражением почекпоражением почек</c:v>
                </c:pt>
                <c:pt idx="5">
                  <c:v>Сахарный диабет 2 типа с осложнениями</c:v>
                </c:pt>
                <c:pt idx="6">
                  <c:v>ВИЧ-ассоциированная нефропатия</c:v>
                </c:pt>
                <c:pt idx="7">
                  <c:v>Подагрическая нефропатия</c:v>
                </c:pt>
                <c:pt idx="8">
                  <c:v>Врожденная аномалия мочевыводящей системы</c:v>
                </c:pt>
                <c:pt idx="9">
                  <c:v>Диффузный мезангиокапиллярный гломерулонефрит</c:v>
                </c:pt>
                <c:pt idx="10">
                  <c:v>IgA-нефропатия с гломерулосклерозом</c:v>
                </c:pt>
                <c:pt idx="11">
                  <c:v>Хронический мембранозно-пролиферативный гломерулонефрит </c:v>
                </c:pt>
              </c:strCache>
            </c:strRef>
          </c:cat>
          <c:val>
            <c:numRef>
              <c:f>'Лист1'!$B$2:$B$13</c:f>
              <c:numCache>
                <c:formatCode>General</c:formatCode>
                <c:ptCount val="12"/>
                <c:pt idx="0">
                  <c:v>14</c:v>
                </c:pt>
                <c:pt idx="1">
                  <c:v>6</c:v>
                </c:pt>
                <c:pt idx="2">
                  <c:v>6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14C-4C54-A897-7C303A7A1175}"/>
            </c:ext>
          </c:extLst>
        </c:ser>
        <c:dLbls>
          <c:showPercent val="1"/>
        </c:dLbls>
        <c:firstSliceAng val="0"/>
      </c:pieChart>
    </c:plotArea>
    <c:legend>
      <c:legendPos val="t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Лист1!$A$2:$A$15</c:f>
              <c:strCache>
                <c:ptCount val="14"/>
                <c:pt idx="0">
                  <c:v>Первичные тромбоцитопении </c:v>
                </c:pt>
                <c:pt idx="1">
                  <c:v>Вторичная гипертензия </c:v>
                </c:pt>
                <c:pt idx="2">
                  <c:v>Аллогенная трупная трансплантация почки </c:v>
                </c:pt>
                <c:pt idx="3">
                  <c:v>Аллотрансплантация донорской почки </c:v>
                </c:pt>
                <c:pt idx="4">
                  <c:v>Железодефицитная анемия  </c:v>
                </c:pt>
                <c:pt idx="5">
                  <c:v>Анемия </c:v>
                </c:pt>
                <c:pt idx="6">
                  <c:v>Азотемия  </c:v>
                </c:pt>
                <c:pt idx="7">
                  <c:v>Метаболический ацидоз </c:v>
                </c:pt>
                <c:pt idx="8">
                  <c:v>Вторичный амилоидоз с поражением почек </c:v>
                </c:pt>
                <c:pt idx="9">
                  <c:v>Дисэлетролитемия </c:v>
                </c:pt>
                <c:pt idx="10">
                  <c:v>Вторичный гиперпаратиреоз </c:v>
                </c:pt>
                <c:pt idx="11">
                  <c:v>Энцефалопатия неуточненная </c:v>
                </c:pt>
                <c:pt idx="12">
                  <c:v>Состояние после паратиреоидэктомии </c:v>
                </c:pt>
                <c:pt idx="13">
                  <c:v>Тотальная хроническая окклюзия верхней полой вены,обних плечеголовных вен ,правой внутренней яремной вен  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19</c:v>
                </c:pt>
                <c:pt idx="2">
                  <c:v>1</c:v>
                </c:pt>
                <c:pt idx="3">
                  <c:v>1</c:v>
                </c:pt>
                <c:pt idx="4">
                  <c:v>11</c:v>
                </c:pt>
                <c:pt idx="5">
                  <c:v>15</c:v>
                </c:pt>
                <c:pt idx="6">
                  <c:v>13</c:v>
                </c:pt>
                <c:pt idx="7">
                  <c:v>9</c:v>
                </c:pt>
                <c:pt idx="8">
                  <c:v>1</c:v>
                </c:pt>
                <c:pt idx="9">
                  <c:v>7</c:v>
                </c:pt>
                <c:pt idx="10">
                  <c:v>16</c:v>
                </c:pt>
                <c:pt idx="11">
                  <c:v>1</c:v>
                </c:pt>
                <c:pt idx="12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заболевания желудочно-кишечного </c:v>
                </c:pt>
                <c:pt idx="1">
                  <c:v>туберкулез заболевания сердечно - сосудистой заболевания опорно-двигательного аппарата имело  </c:v>
                </c:pt>
                <c:pt idx="2">
                  <c:v> заболевание верхних дыхательных путей</c:v>
                </c:pt>
                <c:pt idx="3">
                  <c:v>заболевания кожи </c:v>
                </c:pt>
                <c:pt idx="4">
                  <c:v>метаболические нарушения </c:v>
                </c:pt>
                <c:pt idx="5">
                  <c:v>ожирение </c:v>
                </c:pt>
                <c:pt idx="6">
                  <c:v>тонзиллит</c:v>
                </c:pt>
                <c:pt idx="7">
                  <c:v>геномная патология </c:v>
                </c:pt>
                <c:pt idx="8">
                  <c:v> гнойное воспаление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17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C686-AED1-4A88-AAF3-AA09339B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10069</Words>
  <Characters>57395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2020-06-03T11:04:00Z</dcterms:created>
  <dcterms:modified xsi:type="dcterms:W3CDTF">2020-06-03T11:04:00Z</dcterms:modified>
</cp:coreProperties>
</file>