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line="480" w:lineRule="auto"/>
        <w:ind w:left="0" w:firstLine="0"/>
        <w:jc w:val="center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Санкт-Петербургский Государственный Университет</w:t>
      </w:r>
    </w:p>
    <w:p w:rsidR="00000000" w:rsidDel="00000000" w:rsidP="00000000" w:rsidRDefault="00000000" w:rsidRPr="00000000" w14:paraId="00000002">
      <w:pPr>
        <w:spacing w:line="480" w:lineRule="auto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line="480" w:lineRule="auto"/>
        <w:ind w:left="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spacing w:line="480" w:lineRule="auto"/>
        <w:ind w:left="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line="480" w:lineRule="auto"/>
        <w:ind w:left="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spacing w:line="480" w:lineRule="auto"/>
        <w:ind w:left="0" w:firstLine="0"/>
        <w:jc w:val="center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rtl w:val="0"/>
        </w:rPr>
        <w:t xml:space="preserve">Кошак Петр Константинович</w:t>
      </w:r>
    </w:p>
    <w:p w:rsidR="00000000" w:rsidDel="00000000" w:rsidP="00000000" w:rsidRDefault="00000000" w:rsidRPr="00000000" w14:paraId="00000007">
      <w:pPr>
        <w:spacing w:line="480" w:lineRule="auto"/>
        <w:ind w:left="0" w:firstLine="0"/>
        <w:jc w:val="center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rtl w:val="0"/>
        </w:rPr>
        <w:t xml:space="preserve">Выпускная квалификационная работа</w:t>
      </w:r>
    </w:p>
    <w:p w:rsidR="00000000" w:rsidDel="00000000" w:rsidP="00000000" w:rsidRDefault="00000000" w:rsidRPr="00000000" w14:paraId="00000008">
      <w:pPr>
        <w:widowControl w:val="0"/>
        <w:spacing w:line="480" w:lineRule="auto"/>
        <w:jc w:val="center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Программное обеспечение для системы определения положения пучка в АСУ Tango комплекса NICA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spacing w:line="480" w:lineRule="auto"/>
        <w:ind w:firstLine="1133.858267716535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spacing w:line="480" w:lineRule="auto"/>
        <w:ind w:left="0" w:firstLine="0"/>
        <w:jc w:val="center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Уровень образования: Магистратура</w:t>
      </w:r>
    </w:p>
    <w:p w:rsidR="00000000" w:rsidDel="00000000" w:rsidP="00000000" w:rsidRDefault="00000000" w:rsidRPr="00000000" w14:paraId="0000000B">
      <w:pPr>
        <w:spacing w:line="480" w:lineRule="auto"/>
        <w:ind w:left="0" w:firstLine="0"/>
        <w:jc w:val="center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Направление 03.04.01 “Прикладные математика и физика”</w:t>
      </w:r>
    </w:p>
    <w:p w:rsidR="00000000" w:rsidDel="00000000" w:rsidP="00000000" w:rsidRDefault="00000000" w:rsidRPr="00000000" w14:paraId="0000000C">
      <w:pPr>
        <w:spacing w:line="480" w:lineRule="auto"/>
        <w:ind w:left="0" w:firstLine="0"/>
        <w:jc w:val="center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Основная образовательная программа</w:t>
      </w:r>
    </w:p>
    <w:p w:rsidR="00000000" w:rsidDel="00000000" w:rsidP="00000000" w:rsidRDefault="00000000" w:rsidRPr="00000000" w14:paraId="0000000D">
      <w:pPr>
        <w:spacing w:line="480" w:lineRule="auto"/>
        <w:ind w:left="0" w:firstLine="0"/>
        <w:jc w:val="center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ВМ.5519* ”</w:t>
      </w: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Математические и информационные технологии”</w:t>
      </w:r>
      <w:r w:rsidDel="00000000" w:rsidR="00000000" w:rsidRPr="00000000">
        <w:rPr>
          <w:rtl w:val="0"/>
        </w:rPr>
      </w:r>
    </w:p>
    <w:tbl>
      <w:tblPr>
        <w:tblStyle w:val="Table1"/>
        <w:tblW w:w="9030.0" w:type="dxa"/>
        <w:jc w:val="left"/>
        <w:tblInd w:w="100.0" w:type="pc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9030"/>
        <w:tblGridChange w:id="0">
          <w:tblGrid>
            <w:gridCol w:w="9030"/>
          </w:tblGrid>
        </w:tblGridChange>
      </w:tblGrid>
      <w:tr>
        <w:trPr>
          <w:trHeight w:val="515" w:hRule="atLeast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480" w:lineRule="auto"/>
              <w:ind w:left="0" w:right="0" w:firstLine="0"/>
              <w:jc w:val="left"/>
              <w:rPr>
                <w:rFonts w:ascii="Droid Sans" w:cs="Droid Sans" w:eastAsia="Droid Sans" w:hAnsi="Droid Sans"/>
                <w:color w:val="4a4a4a"/>
                <w:sz w:val="21"/>
                <w:szCs w:val="21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F">
      <w:pPr>
        <w:ind w:left="4320" w:firstLine="72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                    Научный руководитель: </w:t>
      </w:r>
    </w:p>
    <w:p w:rsidR="00000000" w:rsidDel="00000000" w:rsidP="00000000" w:rsidRDefault="00000000" w:rsidRPr="00000000" w14:paraId="00000010">
      <w:pPr>
        <w:ind w:left="4320" w:firstLine="720"/>
        <w:jc w:val="right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доцент, кафедры</w:t>
      </w:r>
    </w:p>
    <w:p w:rsidR="00000000" w:rsidDel="00000000" w:rsidP="00000000" w:rsidRDefault="00000000" w:rsidRPr="00000000" w14:paraId="00000011">
      <w:pPr>
        <w:ind w:left="4320" w:firstLine="720"/>
        <w:jc w:val="right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ИиЯТ ПМ-ПУ,</w:t>
      </w:r>
    </w:p>
    <w:p w:rsidR="00000000" w:rsidDel="00000000" w:rsidP="00000000" w:rsidRDefault="00000000" w:rsidRPr="00000000" w14:paraId="00000012">
      <w:pPr>
        <w:ind w:left="4320" w:firstLine="720"/>
        <w:jc w:val="right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кандидат физ.-мат. наук </w:t>
      </w:r>
    </w:p>
    <w:p w:rsidR="00000000" w:rsidDel="00000000" w:rsidP="00000000" w:rsidRDefault="00000000" w:rsidRPr="00000000" w14:paraId="00000013">
      <w:pPr>
        <w:ind w:left="4320" w:firstLine="720"/>
        <w:jc w:val="right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Сидорин А.О. </w:t>
      </w:r>
    </w:p>
    <w:p w:rsidR="00000000" w:rsidDel="00000000" w:rsidP="00000000" w:rsidRDefault="00000000" w:rsidRPr="00000000" w14:paraId="00000014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</w:t>
      </w:r>
    </w:p>
    <w:p w:rsidR="00000000" w:rsidDel="00000000" w:rsidP="00000000" w:rsidRDefault="00000000" w:rsidRPr="00000000" w14:paraId="00000015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</w:t>
        <w:tab/>
        <w:tab/>
        <w:tab/>
        <w:tab/>
        <w:tab/>
        <w:tab/>
        <w:tab/>
        <w:tab/>
        <w:t xml:space="preserve">        Рецензент:</w:t>
      </w:r>
    </w:p>
    <w:p w:rsidR="00000000" w:rsidDel="00000000" w:rsidP="00000000" w:rsidRDefault="00000000" w:rsidRPr="00000000" w14:paraId="00000016">
      <w:pPr>
        <w:ind w:left="648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гл. инженер Базовой установки  Нуклотрон ЛФВЭ ОИЯИ,</w:t>
      </w:r>
    </w:p>
    <w:p w:rsidR="00000000" w:rsidDel="00000000" w:rsidP="00000000" w:rsidRDefault="00000000" w:rsidRPr="00000000" w14:paraId="00000017">
      <w:pPr>
        <w:ind w:left="648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доктор физ.- мат. наук, профессор </w:t>
      </w:r>
    </w:p>
    <w:p w:rsidR="00000000" w:rsidDel="00000000" w:rsidP="00000000" w:rsidRDefault="00000000" w:rsidRPr="00000000" w14:paraId="00000018">
      <w:pPr>
        <w:ind w:left="648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Сыресин Е.М </w:t>
      </w:r>
    </w:p>
    <w:p w:rsidR="00000000" w:rsidDel="00000000" w:rsidP="00000000" w:rsidRDefault="00000000" w:rsidRPr="00000000" w14:paraId="00000019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</w:t>
      </w:r>
    </w:p>
    <w:p w:rsidR="00000000" w:rsidDel="00000000" w:rsidP="00000000" w:rsidRDefault="00000000" w:rsidRPr="00000000" w14:paraId="0000001A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</w:t>
      </w:r>
    </w:p>
    <w:p w:rsidR="00000000" w:rsidDel="00000000" w:rsidP="00000000" w:rsidRDefault="00000000" w:rsidRPr="00000000" w14:paraId="0000001B">
      <w:pPr>
        <w:jc w:val="center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Санкт-Петербург</w:t>
      </w:r>
    </w:p>
    <w:p w:rsidR="00000000" w:rsidDel="00000000" w:rsidP="00000000" w:rsidRDefault="00000000" w:rsidRPr="00000000" w14:paraId="0000001C">
      <w:pPr>
        <w:jc w:val="center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2019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С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одержание</w:t>
      </w:r>
    </w:p>
    <w:p w:rsidR="00000000" w:rsidDel="00000000" w:rsidP="00000000" w:rsidRDefault="00000000" w:rsidRPr="00000000" w14:paraId="0000001E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9000.0" w:type="dxa"/>
        <w:jc w:val="left"/>
        <w:tblInd w:w="100.0" w:type="pct"/>
        <w:tblBorders>
          <w:top w:color="ffffff" w:space="0" w:sz="8" w:val="single"/>
          <w:left w:color="ffffff" w:space="0" w:sz="8" w:val="single"/>
          <w:bottom w:color="ffffff" w:space="0" w:sz="8" w:val="single"/>
          <w:right w:color="ffffff" w:space="0" w:sz="8" w:val="single"/>
          <w:insideH w:color="ffffff" w:space="0" w:sz="8" w:val="single"/>
          <w:insideV w:color="ffffff" w:space="0" w:sz="8" w:val="single"/>
        </w:tblBorders>
        <w:tblLayout w:type="fixed"/>
        <w:tblLook w:val="0600"/>
      </w:tblPr>
      <w:tblGrid>
        <w:gridCol w:w="8250"/>
        <w:gridCol w:w="750"/>
        <w:tblGridChange w:id="0">
          <w:tblGrid>
            <w:gridCol w:w="8250"/>
            <w:gridCol w:w="750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48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Введение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48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3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spacing w:line="480" w:lineRule="auto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постановка задачи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48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5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spacing w:line="480" w:lineRule="auto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Обзор литературы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48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6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spacing w:line="480" w:lineRule="auto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1. Емкостной датчик положения пучка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48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8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spacing w:line="480" w:lineRule="auto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2. Процессор положения адронного пучка Libera Hadron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48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12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spacing w:line="480" w:lineRule="auto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3. Средства разработки ПО в АСУ Tango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48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16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spacing w:line="480" w:lineRule="auto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4.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Программное обеспечение для системы определения положения пучка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48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21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spacing w:line="480" w:lineRule="auto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4.1 Тестирование Libera Hadron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48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21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spacing w:line="480" w:lineRule="auto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4.2 Регистрация и подключение Libera Hadron к Tango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48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24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spacing w:line="480" w:lineRule="auto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4.3. Описание созданных классов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48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25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3">
            <w:pPr>
              <w:spacing w:line="480" w:lineRule="auto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4.4. Методика тестирования и отладки разработанного ПО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48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27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spacing w:line="480" w:lineRule="auto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Выводы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48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29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spacing w:line="480" w:lineRule="auto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Заключение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48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30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9">
            <w:pPr>
              <w:spacing w:line="480" w:lineRule="auto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Список литературы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48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31</w:t>
            </w:r>
          </w:p>
        </w:tc>
      </w:tr>
    </w:tbl>
    <w:p w:rsidR="00000000" w:rsidDel="00000000" w:rsidP="00000000" w:rsidRDefault="00000000" w:rsidRPr="00000000" w14:paraId="0000003B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spacing w:line="480" w:lineRule="auto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Введение</w:t>
      </w:r>
    </w:p>
    <w:p w:rsidR="00000000" w:rsidDel="00000000" w:rsidP="00000000" w:rsidRDefault="00000000" w:rsidRPr="00000000" w14:paraId="0000003D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color w:val="333333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Данная работа выполнена в Лаборатории физики высоких энергий Объединенного Института Ядерных Исследований в рамках создания “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Комплекса сверхпроводящих колец на встречных пучках тяжелых ионов» (Комплекс NICA - </w:t>
      </w:r>
      <w:r w:rsidDel="00000000" w:rsidR="00000000" w:rsidRPr="00000000">
        <w:rPr>
          <w:rFonts w:ascii="Times New Roman" w:cs="Times New Roman" w:eastAsia="Times New Roman" w:hAnsi="Times New Roman"/>
          <w:b w:val="1"/>
          <w:color w:val="333333"/>
          <w:sz w:val="24"/>
          <w:szCs w:val="24"/>
          <w:rtl w:val="0"/>
        </w:rPr>
        <w:t xml:space="preserve">N</w:t>
      </w:r>
      <w:r w:rsidDel="00000000" w:rsidR="00000000" w:rsidRPr="00000000">
        <w:rPr>
          <w:rFonts w:ascii="Times New Roman" w:cs="Times New Roman" w:eastAsia="Times New Roman" w:hAnsi="Times New Roman"/>
          <w:color w:val="333333"/>
          <w:sz w:val="24"/>
          <w:szCs w:val="24"/>
          <w:rtl w:val="0"/>
        </w:rPr>
        <w:t xml:space="preserve">uclotron based </w:t>
      </w:r>
      <w:r w:rsidDel="00000000" w:rsidR="00000000" w:rsidRPr="00000000">
        <w:rPr>
          <w:rFonts w:ascii="Times New Roman" w:cs="Times New Roman" w:eastAsia="Times New Roman" w:hAnsi="Times New Roman"/>
          <w:b w:val="1"/>
          <w:color w:val="333333"/>
          <w:sz w:val="24"/>
          <w:szCs w:val="24"/>
          <w:rtl w:val="0"/>
        </w:rPr>
        <w:t xml:space="preserve">I</w:t>
      </w:r>
      <w:r w:rsidDel="00000000" w:rsidR="00000000" w:rsidRPr="00000000">
        <w:rPr>
          <w:rFonts w:ascii="Times New Roman" w:cs="Times New Roman" w:eastAsia="Times New Roman" w:hAnsi="Times New Roman"/>
          <w:color w:val="333333"/>
          <w:sz w:val="24"/>
          <w:szCs w:val="24"/>
          <w:rtl w:val="0"/>
        </w:rPr>
        <w:t xml:space="preserve">on </w:t>
      </w:r>
      <w:r w:rsidDel="00000000" w:rsidR="00000000" w:rsidRPr="00000000">
        <w:rPr>
          <w:rFonts w:ascii="Times New Roman" w:cs="Times New Roman" w:eastAsia="Times New Roman" w:hAnsi="Times New Roman"/>
          <w:b w:val="1"/>
          <w:color w:val="333333"/>
          <w:sz w:val="24"/>
          <w:szCs w:val="24"/>
          <w:rtl w:val="0"/>
        </w:rPr>
        <w:t xml:space="preserve">C</w:t>
      </w:r>
      <w:r w:rsidDel="00000000" w:rsidR="00000000" w:rsidRPr="00000000">
        <w:rPr>
          <w:rFonts w:ascii="Times New Roman" w:cs="Times New Roman" w:eastAsia="Times New Roman" w:hAnsi="Times New Roman"/>
          <w:color w:val="333333"/>
          <w:sz w:val="24"/>
          <w:szCs w:val="24"/>
          <w:rtl w:val="0"/>
        </w:rPr>
        <w:t xml:space="preserve">ollider f</w:t>
      </w:r>
      <w:r w:rsidDel="00000000" w:rsidR="00000000" w:rsidRPr="00000000">
        <w:rPr>
          <w:rFonts w:ascii="Times New Roman" w:cs="Times New Roman" w:eastAsia="Times New Roman" w:hAnsi="Times New Roman"/>
          <w:b w:val="1"/>
          <w:color w:val="333333"/>
          <w:sz w:val="24"/>
          <w:szCs w:val="24"/>
          <w:rtl w:val="0"/>
        </w:rPr>
        <w:t xml:space="preserve">A</w:t>
      </w:r>
      <w:r w:rsidDel="00000000" w:rsidR="00000000" w:rsidRPr="00000000">
        <w:rPr>
          <w:rFonts w:ascii="Times New Roman" w:cs="Times New Roman" w:eastAsia="Times New Roman" w:hAnsi="Times New Roman"/>
          <w:color w:val="333333"/>
          <w:sz w:val="24"/>
          <w:szCs w:val="24"/>
          <w:rtl w:val="0"/>
        </w:rPr>
        <w:t xml:space="preserve">cility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), </w:t>
      </w:r>
      <w:r w:rsidDel="00000000" w:rsidR="00000000" w:rsidRPr="00000000">
        <w:rPr>
          <w:rFonts w:ascii="Times New Roman" w:cs="Times New Roman" w:eastAsia="Times New Roman" w:hAnsi="Times New Roman"/>
          <w:color w:val="333333"/>
          <w:sz w:val="24"/>
          <w:szCs w:val="24"/>
          <w:rtl w:val="0"/>
        </w:rPr>
        <w:t xml:space="preserve">предусмотренного государственной программой Российской Федерации «Развитие науки и технологий» на 2013–2020 гг., мероприятие 4.2 «Реализация на территории Российской Федерации проектов создания крупных научных установок класса мегасайенс». Планируемая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программа исследований включает в себя несколько научных направлений: физика тяжелых ионов высоких энергий, радиобиология, радиационная медицина. Выполнение этой программы требует применения современных математических и информационных технологий.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Комплекс NICA включает в себя две вновь создаваемые циклические ускорительные установки:</w:t>
      </w:r>
    </w:p>
    <w:p w:rsidR="00000000" w:rsidDel="00000000" w:rsidP="00000000" w:rsidRDefault="00000000" w:rsidRPr="00000000" w14:paraId="0000003F">
      <w:pPr>
        <w:numPr>
          <w:ilvl w:val="0"/>
          <w:numId w:val="1"/>
        </w:numPr>
        <w:spacing w:line="480" w:lineRule="auto"/>
        <w:ind w:left="1440" w:hanging="360"/>
        <w:jc w:val="both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Бустер Нуклотрона (синхротрон со сверхпроводящей магнитной системой периметром 210 м.)</w:t>
      </w:r>
    </w:p>
    <w:p w:rsidR="00000000" w:rsidDel="00000000" w:rsidP="00000000" w:rsidRDefault="00000000" w:rsidRPr="00000000" w14:paraId="00000040">
      <w:pPr>
        <w:numPr>
          <w:ilvl w:val="0"/>
          <w:numId w:val="1"/>
        </w:numPr>
        <w:spacing w:line="480" w:lineRule="auto"/>
        <w:ind w:left="1440" w:hanging="360"/>
        <w:jc w:val="both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Установку для экспериментов на встречных пучках (два сверхпроводящих кольца коллайдера периметром 500 м.). </w:t>
      </w:r>
    </w:p>
    <w:p w:rsidR="00000000" w:rsidDel="00000000" w:rsidP="00000000" w:rsidRDefault="00000000" w:rsidRPr="00000000" w14:paraId="00000041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Для контроля положения пучка в бустере планируется использовать систему 24-х датчиков положения пучка на основе емкостных электродов, считывание сигнала с которых планируется осуществлять при помощи устройств Libera Hadron компании Instrumentation Technologies. В качестве системы управления ускорительным комплексом NICA используется система автоматического управления высокого уровня Tango Controls, применяемая на многих ускорительных комплексах.</w:t>
      </w:r>
    </w:p>
    <w:p w:rsidR="00000000" w:rsidDel="00000000" w:rsidP="00000000" w:rsidRDefault="00000000" w:rsidRPr="00000000" w14:paraId="00000042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color w:val="333333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color w:val="333333"/>
          <w:sz w:val="24"/>
          <w:szCs w:val="24"/>
          <w:highlight w:val="white"/>
          <w:rtl w:val="0"/>
        </w:rPr>
        <w:t xml:space="preserve">Интегрирование системы датчиков положения пучка в систему управления комплексом является актуальной задачей, имеющей большое практическое значение.</w:t>
      </w:r>
    </w:p>
    <w:p w:rsidR="00000000" w:rsidDel="00000000" w:rsidP="00000000" w:rsidRDefault="00000000" w:rsidRPr="00000000" w14:paraId="00000043">
      <w:pPr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rtl w:val="0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spacing w:line="480" w:lineRule="auto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spacing w:line="480" w:lineRule="auto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Постановка задачи </w:t>
      </w:r>
    </w:p>
    <w:p w:rsidR="00000000" w:rsidDel="00000000" w:rsidP="00000000" w:rsidRDefault="00000000" w:rsidRPr="00000000" w14:paraId="00000046">
      <w:pPr>
        <w:spacing w:line="48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Целью работы является настройка и отладка управления устройством Libera Hadron через систему Tango Controls для получения данных с датчиков положения пучка в Бустере комплекса NICA.</w:t>
      </w:r>
    </w:p>
    <w:p w:rsidR="00000000" w:rsidDel="00000000" w:rsidP="00000000" w:rsidRDefault="00000000" w:rsidRPr="00000000" w14:paraId="00000047">
      <w:pPr>
        <w:spacing w:line="48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Для достижения цели были поставлены следующие задачи:</w:t>
      </w:r>
    </w:p>
    <w:p w:rsidR="00000000" w:rsidDel="00000000" w:rsidP="00000000" w:rsidRDefault="00000000" w:rsidRPr="00000000" w14:paraId="00000048">
      <w:pPr>
        <w:numPr>
          <w:ilvl w:val="0"/>
          <w:numId w:val="2"/>
        </w:numPr>
        <w:spacing w:line="48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Изучить методы диагностики пучков</w:t>
      </w:r>
    </w:p>
    <w:p w:rsidR="00000000" w:rsidDel="00000000" w:rsidP="00000000" w:rsidRDefault="00000000" w:rsidRPr="00000000" w14:paraId="00000049">
      <w:pPr>
        <w:numPr>
          <w:ilvl w:val="0"/>
          <w:numId w:val="2"/>
        </w:numPr>
        <w:spacing w:line="48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Изучить устройство Libera Hadron, его спецификацию, а также внутренние команды управления и настройки.</w:t>
      </w:r>
    </w:p>
    <w:p w:rsidR="00000000" w:rsidDel="00000000" w:rsidP="00000000" w:rsidRDefault="00000000" w:rsidRPr="00000000" w14:paraId="0000004A">
      <w:pPr>
        <w:numPr>
          <w:ilvl w:val="0"/>
          <w:numId w:val="2"/>
        </w:numPr>
        <w:spacing w:line="48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Изучить систему управления Tango Controls.</w:t>
      </w:r>
    </w:p>
    <w:p w:rsidR="00000000" w:rsidDel="00000000" w:rsidP="00000000" w:rsidRDefault="00000000" w:rsidRPr="00000000" w14:paraId="0000004B">
      <w:pPr>
        <w:numPr>
          <w:ilvl w:val="0"/>
          <w:numId w:val="2"/>
        </w:numPr>
        <w:spacing w:line="48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Изучить алгоритм написания приложения для Tango Controls с использованием встроенных утилит.</w:t>
      </w:r>
    </w:p>
    <w:p w:rsidR="00000000" w:rsidDel="00000000" w:rsidP="00000000" w:rsidRDefault="00000000" w:rsidRPr="00000000" w14:paraId="0000004C">
      <w:pPr>
        <w:numPr>
          <w:ilvl w:val="0"/>
          <w:numId w:val="2"/>
        </w:numPr>
        <w:spacing w:line="48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Настроить управление устройством Libera Hadron через систему Tango Controls.</w:t>
      </w:r>
    </w:p>
    <w:p w:rsidR="00000000" w:rsidDel="00000000" w:rsidP="00000000" w:rsidRDefault="00000000" w:rsidRPr="00000000" w14:paraId="0000004D">
      <w:pPr>
        <w:numPr>
          <w:ilvl w:val="0"/>
          <w:numId w:val="2"/>
        </w:numPr>
        <w:spacing w:line="48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На основе изученных материалов написать необходимые классы устройств для работы с  внутренними модулями устройства Libera Hadron на языке программирования С++.</w:t>
      </w:r>
    </w:p>
    <w:p w:rsidR="00000000" w:rsidDel="00000000" w:rsidP="00000000" w:rsidRDefault="00000000" w:rsidRPr="00000000" w14:paraId="0000004E">
      <w:pPr>
        <w:numPr>
          <w:ilvl w:val="0"/>
          <w:numId w:val="2"/>
        </w:numPr>
        <w:spacing w:line="48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Написанные классы интегрировать в систему управления Tango Controls и протестировать их для дальнейшей работы устройства Libera Hadron в автоматической системе управления комплекса NICA.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spacing w:line="48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ind w:firstLine="720"/>
        <w:rPr>
          <w:rFonts w:ascii="Times New Roman" w:cs="Times New Roman" w:eastAsia="Times New Roman" w:hAnsi="Times New Roman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spacing w:line="480" w:lineRule="auto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Обзор литературы</w:t>
      </w:r>
    </w:p>
    <w:p w:rsidR="00000000" w:rsidDel="00000000" w:rsidP="00000000" w:rsidRDefault="00000000" w:rsidRPr="00000000" w14:paraId="00000052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Проект NICA [1] реализуется в ОИЯИ с 2009 года, материалы представлены во многих журнальных публикациях, наиболее полно официальная информация приведена в [2]. Фундаментальные исследования в данном проекте сосредоточены на следующих направлениях:</w:t>
      </w:r>
    </w:p>
    <w:p w:rsidR="00000000" w:rsidDel="00000000" w:rsidP="00000000" w:rsidRDefault="00000000" w:rsidRPr="00000000" w14:paraId="00000053">
      <w:pPr>
        <w:spacing w:line="480" w:lineRule="auto"/>
        <w:ind w:firstLine="72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“-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Природа и свойства сильных взаимодействий между элементарными составляющими Стандартной модели физики частиц — кварками и глюонами</w:t>
      </w:r>
    </w:p>
    <w:p w:rsidR="00000000" w:rsidDel="00000000" w:rsidP="00000000" w:rsidRDefault="00000000" w:rsidRPr="00000000" w14:paraId="00000054">
      <w:p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line="480" w:lineRule="auto"/>
        <w:ind w:left="0" w:firstLine="72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-Поиск признаков фазового перехода между адронной материей и КГП, поиск новых состояний барионной материи</w:t>
      </w:r>
    </w:p>
    <w:p w:rsidR="00000000" w:rsidDel="00000000" w:rsidP="00000000" w:rsidRDefault="00000000" w:rsidRPr="00000000" w14:paraId="00000055">
      <w:p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line="480" w:lineRule="auto"/>
        <w:ind w:left="0" w:firstLine="72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-Изучение основных свойств сильного взаимодействия и КГП-симметрии” [1]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Диагностика пучков в синхротронах рассматривается в некоторых учебниках [3] и в материалах ускорительных школ [4], где приводится принцип действия емкостных датчиков положения пучка. ”Электромагнитный датчик пучка заряженных частиц представляет собой систему проводников, в которых пролетающий пучок, отдавая часть своей энергии, возбуждает электромагнитное поле, являющееся сигналом. Величина и временная зависимость поля несут информацию об интенсивности пучка и его геометрических характеристиках, которая может быть извлечена путем детектировании сигнала. Возбуждаемое поле, в зависимости от устройства системы, может иметь характер поля излучения, стоячих или бегущих волн.”[3]</w:t>
      </w:r>
    </w:p>
    <w:p w:rsidR="00000000" w:rsidDel="00000000" w:rsidP="00000000" w:rsidRDefault="00000000" w:rsidRPr="00000000" w14:paraId="00000057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Для обработки сигналов датчика положения пучка на многих ускорительных комплексах используется устройство Libera Hadron.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Libera Hadron обеспечивает обработку сигналов пучка и высокоточные измерения для адронных и тяжело-ионных синхротронов [5], поэтому оно было выбрано для использования в составе комплекса NICA. Устройство оптимизировано для работы с входными сигналами от пикапов конструкции “обувная коробка” и кнопочных пикапов. Руководство по работе с устройством можно получить, заполнив форму на официальном сайте фирмы [6] . Принцип действия устройства следующий: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“The signal from the pick-ups is processed in the signal processing chain, which is composed of analog signal processing, digitalization on fast ADCs and digital signal processing.”[6]</w:t>
      </w:r>
    </w:p>
    <w:p w:rsidR="00000000" w:rsidDel="00000000" w:rsidP="00000000" w:rsidRDefault="00000000" w:rsidRPr="00000000" w14:paraId="00000058">
      <w:pPr>
        <w:spacing w:line="48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ab/>
        <w:t xml:space="preserve">В качестве основы управления комплекса NICA выбрана система Tango Controls [7-9]. На официальном сайте системы её достоинства характеризуются следующим образом: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”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Tango Controls is a toolkit for connecting hardware and software together. It is a mature software which is used by tens of sites to run highly complicated accelerator complexes and experiments 24 hours a day.”[7] Описание внутренней структуры и утилит приводится в [8], описание программной реализации в [9].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spacing w:line="480" w:lineRule="auto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ab/>
        <w:t xml:space="preserve">Внедрение системы  Tango Controls на ускорительном комплексе ОИЯИ началось в 2013 г.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Этапы развития системы, принятые технические решения неоднократно докладывались на российских и международных специализированных конференциях, например [10]. Наиболее полное описание интеграции системы представлено в журнальной публикации [11]. Реализация диагностики пучков ускорительного комплекса NICA представлена в [12].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spacing w:line="480" w:lineRule="auto"/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1. Емкостной датчик положения пучка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Измерение положения пучка в ускорительных установках необходимо для измерения и коррекции замкнутой орбиты циркулирующего пучка, измерения  и настройки линейной оптики, и некоторых других параметров ускорителя [3,4].</w:t>
      </w:r>
    </w:p>
    <w:p w:rsidR="00000000" w:rsidDel="00000000" w:rsidP="00000000" w:rsidRDefault="00000000" w:rsidRPr="00000000" w14:paraId="00000061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 новых ускорительных установках комплекса NICA в качестве датчиков положения пучка используют емкостные датчики, или пикапы  [12]. Принцип измерения положения центра тяжести пучка заключается в следующем. Внутри заземленной вакуумной камеры по горизонтали и/или вертикали симметрично относительно оси располагаются сигнальные электроды. Движущиеся заряды пучка  индуцируют ток на сигнальный электрод, в цепи которого содержится сопротивление нагрузки. Напряжение, возникающее на этом сопротивлении, является выходным сигналом электрода. Разница напряжений, наведенных пучком на противоположных электродах, нормированная на сумму напряжений с тех же электродов, пропорциональна положению центра тяжести пучка. За счёт конструкции сигнальных электродов можно обеспечить линейную зависимость между изменением положения центра тяжести и сигналом. </w:t>
      </w:r>
    </w:p>
    <w:p w:rsidR="00000000" w:rsidDel="00000000" w:rsidP="00000000" w:rsidRDefault="00000000" w:rsidRPr="00000000" w14:paraId="00000062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 ускорителях используются два основных вида пикапов: ортогональные (Рис.1.1) и диагональные (Рис.1.2).</w:t>
      </w:r>
    </w:p>
    <w:p w:rsidR="00000000" w:rsidDel="00000000" w:rsidP="00000000" w:rsidRDefault="00000000" w:rsidRPr="00000000" w14:paraId="00000063">
      <w:pPr>
        <w:jc w:val="center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</w:rPr>
        <w:drawing>
          <wp:inline distB="114300" distT="114300" distL="114300" distR="114300">
            <wp:extent cx="3971925" cy="2124075"/>
            <wp:effectExtent b="0" l="0" r="0" t="0"/>
            <wp:docPr id="12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21240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Рис.1.1 Схематическое изображение поперечного сечения ортогонального емкостного датчика положения пучка: A,B,C,D - сигнальные электроды, контурная линия - заземленная камера. Пучок движ перпендикулярно плоскости рисунка от нас.</w:t>
      </w:r>
    </w:p>
    <w:p w:rsidR="00000000" w:rsidDel="00000000" w:rsidP="00000000" w:rsidRDefault="00000000" w:rsidRPr="00000000" w14:paraId="00000065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spacing w:line="48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ab/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Координаты центра тяжести пучка по горизонтали (X) и вертикали (Y), для ортогонального пикапа вычисляются по следующим формулам: </w:t>
      </w:r>
    </w:p>
    <w:tbl>
      <w:tblPr>
        <w:tblStyle w:val="Table3"/>
        <w:tblW w:w="8880.0" w:type="dxa"/>
        <w:jc w:val="left"/>
        <w:tblInd w:w="100.0" w:type="pct"/>
        <w:tblBorders>
          <w:top w:color="ffffff" w:space="0" w:sz="8" w:val="single"/>
          <w:left w:color="ffffff" w:space="0" w:sz="8" w:val="single"/>
          <w:bottom w:color="ffffff" w:space="0" w:sz="8" w:val="single"/>
          <w:right w:color="ffffff" w:space="0" w:sz="8" w:val="single"/>
          <w:insideH w:color="ffffff" w:space="0" w:sz="8" w:val="single"/>
          <w:insideV w:color="ffffff" w:space="0" w:sz="8" w:val="single"/>
        </w:tblBorders>
        <w:tblLayout w:type="fixed"/>
        <w:tblLook w:val="0600"/>
      </w:tblPr>
      <w:tblGrid>
        <w:gridCol w:w="6405"/>
        <w:gridCol w:w="2475"/>
        <w:tblGridChange w:id="0">
          <w:tblGrid>
            <w:gridCol w:w="6405"/>
            <w:gridCol w:w="2475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7">
            <w:pPr>
              <w:rPr>
                <w:rFonts w:ascii="Times New Roman" w:cs="Times New Roman" w:eastAsia="Times New Roman" w:hAnsi="Times New Roman"/>
                <w:b w:val="1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</w:rPr>
              <w:drawing>
                <wp:inline distB="114300" distT="114300" distL="114300" distR="114300">
                  <wp:extent cx="2486025" cy="1638300"/>
                  <wp:effectExtent b="0" l="0" r="0" t="0"/>
                  <wp:docPr id="15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7"/>
                          <a:srcRect b="50144" l="0" r="32904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025" cy="1638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,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sz w:val="36"/>
                <w:szCs w:val="3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36"/>
                <w:szCs w:val="36"/>
                <w:rtl w:val="0"/>
              </w:rPr>
              <w:t xml:space="preserve">(1)</w:t>
            </w:r>
          </w:p>
        </w:tc>
      </w:tr>
    </w:tbl>
    <w:p w:rsidR="00000000" w:rsidDel="00000000" w:rsidP="00000000" w:rsidRDefault="00000000" w:rsidRPr="00000000" w14:paraId="0000006D">
      <w:pPr>
        <w:spacing w:line="48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где </w:t>
      </w:r>
      <m:oMath>
        <m:sSub>
          <m:sSubPr>
            <m:ctrlPr>
              <w:rPr>
                <w:rFonts w:ascii="Times New Roman" w:cs="Times New Roman" w:eastAsia="Times New Roman" w:hAnsi="Times New Roman"/>
                <w:sz w:val="24"/>
                <w:szCs w:val="24"/>
              </w:rPr>
            </m:ctrlPr>
          </m:sSubPr>
          <m:e>
            <m:r>
              <w:rPr>
                <w:rFonts w:ascii="Times New Roman" w:cs="Times New Roman" w:eastAsia="Times New Roman" w:hAnsi="Times New Roman"/>
                <w:sz w:val="24"/>
                <w:szCs w:val="24"/>
              </w:rPr>
              <m:t xml:space="preserve">V</m:t>
            </m:r>
          </m:e>
          <m:sub>
            <m:r>
              <w:rPr>
                <w:rFonts w:ascii="Times New Roman" w:cs="Times New Roman" w:eastAsia="Times New Roman" w:hAnsi="Times New Roman"/>
                <w:sz w:val="24"/>
                <w:szCs w:val="24"/>
              </w:rPr>
              <m:t xml:space="preserve">A</m:t>
            </m:r>
          </m:sub>
        </m:sSub>
      </m:oMath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,</w:t>
      </w:r>
      <m:oMath>
        <m:sSub>
          <m:sSubPr>
            <m:ctrlPr>
              <w:rPr>
                <w:rFonts w:ascii="Times New Roman" w:cs="Times New Roman" w:eastAsia="Times New Roman" w:hAnsi="Times New Roman"/>
                <w:sz w:val="24"/>
                <w:szCs w:val="24"/>
              </w:rPr>
            </m:ctrlPr>
          </m:sSubPr>
          <m:e>
            <m:r>
              <w:rPr>
                <w:rFonts w:ascii="Times New Roman" w:cs="Times New Roman" w:eastAsia="Times New Roman" w:hAnsi="Times New Roman"/>
                <w:sz w:val="24"/>
                <w:szCs w:val="24"/>
              </w:rPr>
              <m:t xml:space="preserve">V</m:t>
            </m:r>
          </m:e>
          <m:sub>
            <m:r>
              <w:rPr>
                <w:rFonts w:ascii="Times New Roman" w:cs="Times New Roman" w:eastAsia="Times New Roman" w:hAnsi="Times New Roman"/>
                <w:sz w:val="24"/>
                <w:szCs w:val="24"/>
              </w:rPr>
              <m:t xml:space="preserve">B</m:t>
            </m:r>
          </m:sub>
        </m:sSub>
      </m:oMath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,</w:t>
      </w:r>
      <m:oMath>
        <m:sSub>
          <m:sSubPr>
            <m:ctrlPr>
              <w:rPr>
                <w:rFonts w:ascii="Times New Roman" w:cs="Times New Roman" w:eastAsia="Times New Roman" w:hAnsi="Times New Roman"/>
                <w:sz w:val="24"/>
                <w:szCs w:val="24"/>
              </w:rPr>
            </m:ctrlPr>
          </m:sSubPr>
          <m:e>
            <m:r>
              <w:rPr>
                <w:rFonts w:ascii="Times New Roman" w:cs="Times New Roman" w:eastAsia="Times New Roman" w:hAnsi="Times New Roman"/>
                <w:sz w:val="24"/>
                <w:szCs w:val="24"/>
              </w:rPr>
              <m:t xml:space="preserve">V</m:t>
            </m:r>
          </m:e>
          <m:sub>
            <m:r>
              <w:rPr>
                <w:rFonts w:ascii="Times New Roman" w:cs="Times New Roman" w:eastAsia="Times New Roman" w:hAnsi="Times New Roman"/>
                <w:sz w:val="24"/>
                <w:szCs w:val="24"/>
              </w:rPr>
              <m:t xml:space="preserve">C</m:t>
            </m:r>
          </m:sub>
        </m:sSub>
      </m:oMath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,</w:t>
      </w:r>
      <m:oMath>
        <m:sSub>
          <m:sSubPr>
            <m:ctrlPr>
              <w:rPr>
                <w:rFonts w:ascii="Times New Roman" w:cs="Times New Roman" w:eastAsia="Times New Roman" w:hAnsi="Times New Roman"/>
                <w:sz w:val="24"/>
                <w:szCs w:val="24"/>
              </w:rPr>
            </m:ctrlPr>
          </m:sSubPr>
          <m:e>
            <m:r>
              <w:rPr>
                <w:rFonts w:ascii="Times New Roman" w:cs="Times New Roman" w:eastAsia="Times New Roman" w:hAnsi="Times New Roman"/>
                <w:sz w:val="24"/>
                <w:szCs w:val="24"/>
              </w:rPr>
              <m:t xml:space="preserve">V</m:t>
            </m:r>
          </m:e>
          <m:sub>
            <m:r>
              <w:rPr>
                <w:rFonts w:ascii="Times New Roman" w:cs="Times New Roman" w:eastAsia="Times New Roman" w:hAnsi="Times New Roman"/>
                <w:sz w:val="24"/>
                <w:szCs w:val="24"/>
              </w:rPr>
              <m:t xml:space="preserve">D</m:t>
            </m:r>
          </m:sub>
        </m:sSub>
      </m:oMath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- значения радиосигнала, наведенного на соответствующие электроды, </w:t>
      </w:r>
      <m:oMath>
        <m:sSub>
          <m:sSubPr>
            <m:ctrlPr>
              <w:rPr>
                <w:rFonts w:ascii="Times New Roman" w:cs="Times New Roman" w:eastAsia="Times New Roman" w:hAnsi="Times New Roman"/>
                <w:sz w:val="24"/>
                <w:szCs w:val="24"/>
              </w:rPr>
            </m:ctrlPr>
          </m:sSubPr>
          <m:e>
            <m:r>
              <w:rPr>
                <w:rFonts w:ascii="Times New Roman" w:cs="Times New Roman" w:eastAsia="Times New Roman" w:hAnsi="Times New Roman"/>
                <w:sz w:val="24"/>
                <w:szCs w:val="24"/>
              </w:rPr>
              <m:t xml:space="preserve">K</m:t>
            </m:r>
          </m:e>
          <m:sub>
            <m:r>
              <w:rPr>
                <w:rFonts w:ascii="Times New Roman" w:cs="Times New Roman" w:eastAsia="Times New Roman" w:hAnsi="Times New Roman"/>
                <w:sz w:val="24"/>
                <w:szCs w:val="24"/>
              </w:rPr>
              <m:t xml:space="preserve">X</m:t>
            </m:r>
          </m:sub>
        </m:sSub>
      </m:oMath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, </w:t>
      </w:r>
      <m:oMath>
        <m:sSub>
          <m:sSubPr>
            <m:ctrlPr>
              <w:rPr>
                <w:rFonts w:ascii="Times New Roman" w:cs="Times New Roman" w:eastAsia="Times New Roman" w:hAnsi="Times New Roman"/>
                <w:sz w:val="24"/>
                <w:szCs w:val="24"/>
              </w:rPr>
            </m:ctrlPr>
          </m:sSubPr>
          <m:e>
            <m:r>
              <w:rPr>
                <w:rFonts w:ascii="Times New Roman" w:cs="Times New Roman" w:eastAsia="Times New Roman" w:hAnsi="Times New Roman"/>
                <w:sz w:val="24"/>
                <w:szCs w:val="24"/>
              </w:rPr>
              <m:t xml:space="preserve">K</m:t>
            </m:r>
          </m:e>
          <m:sub>
            <m:r>
              <w:rPr>
                <w:rFonts w:ascii="Times New Roman" w:cs="Times New Roman" w:eastAsia="Times New Roman" w:hAnsi="Times New Roman"/>
                <w:sz w:val="24"/>
                <w:szCs w:val="24"/>
              </w:rPr>
              <m:t xml:space="preserve">Y</m:t>
            </m:r>
          </m:sub>
        </m:sSub>
      </m:oMath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- масштабные коэффициенты, связывающие напряжение со смещением, </w:t>
      </w:r>
      <m:oMath>
        <m:sSub>
          <m:sSubPr>
            <m:ctrlPr>
              <w:rPr>
                <w:rFonts w:ascii="Times New Roman" w:cs="Times New Roman" w:eastAsia="Times New Roman" w:hAnsi="Times New Roman"/>
                <w:sz w:val="24"/>
                <w:szCs w:val="24"/>
              </w:rPr>
            </m:ctrlPr>
          </m:sSubPr>
          <m:e>
            <m:r>
              <w:rPr>
                <w:rFonts w:ascii="Times New Roman" w:cs="Times New Roman" w:eastAsia="Times New Roman" w:hAnsi="Times New Roman"/>
                <w:sz w:val="24"/>
                <w:szCs w:val="24"/>
              </w:rPr>
              <m:t xml:space="preserve">X</m:t>
            </m:r>
          </m:e>
          <m:sub>
            <m:r>
              <w:rPr>
                <w:rFonts w:ascii="Times New Roman" w:cs="Times New Roman" w:eastAsia="Times New Roman" w:hAnsi="Times New Roman"/>
                <w:sz w:val="24"/>
                <w:szCs w:val="24"/>
              </w:rPr>
              <m:t xml:space="preserve">OFFSET</m:t>
            </m:r>
          </m:sub>
        </m:sSub>
      </m:oMath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, </w:t>
      </w:r>
      <m:oMath>
        <m:sSub>
          <m:sSubPr>
            <m:ctrlPr>
              <w:rPr>
                <w:rFonts w:ascii="Times New Roman" w:cs="Times New Roman" w:eastAsia="Times New Roman" w:hAnsi="Times New Roman"/>
                <w:sz w:val="24"/>
                <w:szCs w:val="24"/>
              </w:rPr>
            </m:ctrlPr>
          </m:sSubPr>
          <m:e>
            <m:r>
              <w:rPr>
                <w:rFonts w:ascii="Times New Roman" w:cs="Times New Roman" w:eastAsia="Times New Roman" w:hAnsi="Times New Roman"/>
                <w:sz w:val="24"/>
                <w:szCs w:val="24"/>
              </w:rPr>
              <m:t xml:space="preserve">Y</m:t>
            </m:r>
          </m:e>
          <m:sub>
            <m:r>
              <w:rPr>
                <w:rFonts w:ascii="Times New Roman" w:cs="Times New Roman" w:eastAsia="Times New Roman" w:hAnsi="Times New Roman"/>
                <w:sz w:val="24"/>
                <w:szCs w:val="24"/>
              </w:rPr>
              <m:t xml:space="preserve">OFFSET</m:t>
            </m:r>
          </m:sub>
        </m:sSub>
      </m:oMath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- смещение центра пикапа по отношению к равновесной орбите пучка. </w:t>
      </w:r>
    </w:p>
    <w:p w:rsidR="00000000" w:rsidDel="00000000" w:rsidP="00000000" w:rsidRDefault="00000000" w:rsidRPr="00000000" w14:paraId="0000006E">
      <w:pPr>
        <w:jc w:val="center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</w:rPr>
        <w:drawing>
          <wp:inline distB="114300" distT="114300" distL="114300" distR="114300">
            <wp:extent cx="3503455" cy="2700338"/>
            <wp:effectExtent b="0" l="0" r="0" t="0"/>
            <wp:docPr id="6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03455" cy="27003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Рис.1.2 Схематическое изображение поперечного сечения диагонального емкостного датчика положения пучка: A,B,C,D - сигнальные электроды, контурная линия - заземленная камера. Пучок движ перпендикулярно плоскости рисунка от нас.</w:t>
      </w:r>
    </w:p>
    <w:p w:rsidR="00000000" w:rsidDel="00000000" w:rsidP="00000000" w:rsidRDefault="00000000" w:rsidRPr="00000000" w14:paraId="00000070">
      <w:pPr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spacing w:line="480" w:lineRule="auto"/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ab/>
        <w:t xml:space="preserve">Для вычисления координат центра тяжести пучка в диагональном пикапе формулы преобразуются к следующему виду: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rtl w:val="0"/>
        </w:rPr>
        <w:tab/>
      </w:r>
      <w:r w:rsidDel="00000000" w:rsidR="00000000" w:rsidRPr="00000000">
        <w:rPr>
          <w:rtl w:val="0"/>
        </w:rPr>
      </w:r>
    </w:p>
    <w:tbl>
      <w:tblPr>
        <w:tblStyle w:val="Table4"/>
        <w:tblW w:w="9000.0" w:type="dxa"/>
        <w:jc w:val="left"/>
        <w:tblInd w:w="100.0" w:type="pct"/>
        <w:tblBorders>
          <w:top w:color="ffffff" w:space="0" w:sz="8" w:val="single"/>
          <w:left w:color="ffffff" w:space="0" w:sz="8" w:val="single"/>
          <w:bottom w:color="ffffff" w:space="0" w:sz="8" w:val="single"/>
          <w:right w:color="ffffff" w:space="0" w:sz="8" w:val="single"/>
          <w:insideH w:color="ffffff" w:space="0" w:sz="8" w:val="single"/>
          <w:insideV w:color="ffffff" w:space="0" w:sz="8" w:val="single"/>
        </w:tblBorders>
        <w:tblLayout w:type="fixed"/>
        <w:tblLook w:val="0600"/>
      </w:tblPr>
      <w:tblGrid>
        <w:gridCol w:w="6435"/>
        <w:gridCol w:w="2565"/>
        <w:tblGridChange w:id="0">
          <w:tblGrid>
            <w:gridCol w:w="6435"/>
            <w:gridCol w:w="2565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3">
            <w:pPr>
              <w:rPr>
                <w:rFonts w:ascii="Times New Roman" w:cs="Times New Roman" w:eastAsia="Times New Roman" w:hAnsi="Times New Roman"/>
                <w:b w:val="1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</w:rPr>
              <w:drawing>
                <wp:inline distB="114300" distT="114300" distL="114300" distR="114300">
                  <wp:extent cx="3609975" cy="1581150"/>
                  <wp:effectExtent b="0" l="0" r="0" t="0"/>
                  <wp:docPr id="17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9"/>
                          <a:srcRect b="47798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9975" cy="15811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sz w:val="36"/>
                <w:szCs w:val="3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36"/>
                <w:szCs w:val="36"/>
                <w:rtl w:val="0"/>
              </w:rPr>
              <w:t xml:space="preserve">(2)</w:t>
            </w:r>
          </w:p>
        </w:tc>
      </w:tr>
    </w:tbl>
    <w:p w:rsidR="00000000" w:rsidDel="00000000" w:rsidP="00000000" w:rsidRDefault="00000000" w:rsidRPr="00000000" w14:paraId="00000078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Конструкция пикапа, используемого в Бустере Нуклотрона приведена на Рис.1.3. Он представляет собой сборку двух последовательно расположенных горизонтального и вертикального электродов, и по принципу действия относится к пикапу ортогонального типа.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jc w:val="center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</w:rPr>
        <w:drawing>
          <wp:inline distB="114300" distT="114300" distL="114300" distR="114300">
            <wp:extent cx="5208362" cy="2633663"/>
            <wp:effectExtent b="0" l="0" r="0" t="0"/>
            <wp:docPr id="18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08362" cy="26336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Рис.1.3, Компьютерная 3D-модель пикап-электродов, используемых в Бустере Нуклотрона [12]</w:t>
      </w:r>
    </w:p>
    <w:p w:rsidR="00000000" w:rsidDel="00000000" w:rsidP="00000000" w:rsidRDefault="00000000" w:rsidRPr="00000000" w14:paraId="0000007D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 настоящее время полный комплект из 24-х пикапов изготовлен (Рис.1.4). Для каждого из пикапов на специализированном стенде измеряются масштабные коэффициенты (</w:t>
      </w:r>
      <m:oMath>
        <m:sSub>
          <m:sSubPr>
            <m:ctrlPr>
              <w:rPr>
                <w:rFonts w:ascii="Times New Roman" w:cs="Times New Roman" w:eastAsia="Times New Roman" w:hAnsi="Times New Roman"/>
                <w:sz w:val="24"/>
                <w:szCs w:val="24"/>
              </w:rPr>
            </m:ctrlPr>
          </m:sSubPr>
          <m:e>
            <m:r>
              <w:rPr>
                <w:rFonts w:ascii="Times New Roman" w:cs="Times New Roman" w:eastAsia="Times New Roman" w:hAnsi="Times New Roman"/>
                <w:sz w:val="24"/>
                <w:szCs w:val="24"/>
              </w:rPr>
              <m:t xml:space="preserve">K</m:t>
            </m:r>
          </m:e>
          <m:sub>
            <m:r>
              <w:rPr>
                <w:rFonts w:ascii="Times New Roman" w:cs="Times New Roman" w:eastAsia="Times New Roman" w:hAnsi="Times New Roman"/>
                <w:sz w:val="24"/>
                <w:szCs w:val="24"/>
              </w:rPr>
              <m:t xml:space="preserve">X</m:t>
            </m:r>
          </m:sub>
        </m:sSub>
      </m:oMath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, </w:t>
      </w:r>
      <m:oMath>
        <m:sSub>
          <m:sSubPr>
            <m:ctrlPr>
              <w:rPr>
                <w:rFonts w:ascii="Times New Roman" w:cs="Times New Roman" w:eastAsia="Times New Roman" w:hAnsi="Times New Roman"/>
                <w:sz w:val="24"/>
                <w:szCs w:val="24"/>
              </w:rPr>
            </m:ctrlPr>
          </m:sSubPr>
          <m:e>
            <m:r>
              <w:rPr>
                <w:rFonts w:ascii="Times New Roman" w:cs="Times New Roman" w:eastAsia="Times New Roman" w:hAnsi="Times New Roman"/>
                <w:sz w:val="24"/>
                <w:szCs w:val="24"/>
              </w:rPr>
              <m:t xml:space="preserve">K</m:t>
            </m:r>
          </m:e>
          <m:sub>
            <m:r>
              <w:rPr>
                <w:rFonts w:ascii="Times New Roman" w:cs="Times New Roman" w:eastAsia="Times New Roman" w:hAnsi="Times New Roman"/>
                <w:sz w:val="24"/>
                <w:szCs w:val="24"/>
              </w:rPr>
              <m:t xml:space="preserve">Y</m:t>
            </m:r>
          </m:sub>
        </m:sSub>
      </m:oMath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), необходимые для обработки результатов измерений в соответствии с формулой (1).</w:t>
      </w:r>
    </w:p>
    <w:p w:rsidR="00000000" w:rsidDel="00000000" w:rsidP="00000000" w:rsidRDefault="00000000" w:rsidRPr="00000000" w14:paraId="0000007F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jc w:val="center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</w:rPr>
        <w:drawing>
          <wp:inline distB="114300" distT="114300" distL="114300" distR="114300">
            <wp:extent cx="2471738" cy="2528170"/>
            <wp:effectExtent b="0" l="0" r="0" t="0"/>
            <wp:docPr id="2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71738" cy="252817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Рис.1.4 Пикап-электрод бустера, подготовленный к радиотехническим измерениям.</w:t>
      </w:r>
    </w:p>
    <w:p w:rsidR="00000000" w:rsidDel="00000000" w:rsidP="00000000" w:rsidRDefault="00000000" w:rsidRPr="00000000" w14:paraId="00000082">
      <w:pPr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Смещение центра пикапа по отношению к орбите пучка (</w:t>
      </w:r>
      <m:oMath>
        <m:sSub>
          <m:sSubPr>
            <m:ctrlPr>
              <w:rPr>
                <w:rFonts w:ascii="Times New Roman" w:cs="Times New Roman" w:eastAsia="Times New Roman" w:hAnsi="Times New Roman"/>
                <w:sz w:val="24"/>
                <w:szCs w:val="24"/>
              </w:rPr>
            </m:ctrlPr>
          </m:sSubPr>
          <m:e>
            <m:r>
              <w:rPr>
                <w:rFonts w:ascii="Times New Roman" w:cs="Times New Roman" w:eastAsia="Times New Roman" w:hAnsi="Times New Roman"/>
                <w:sz w:val="24"/>
                <w:szCs w:val="24"/>
              </w:rPr>
              <m:t xml:space="preserve">X</m:t>
            </m:r>
          </m:e>
          <m:sub>
            <m:r>
              <w:rPr>
                <w:rFonts w:ascii="Times New Roman" w:cs="Times New Roman" w:eastAsia="Times New Roman" w:hAnsi="Times New Roman"/>
                <w:sz w:val="24"/>
                <w:szCs w:val="24"/>
              </w:rPr>
              <m:t xml:space="preserve">OFFSET</m:t>
            </m:r>
          </m:sub>
        </m:sSub>
      </m:oMath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, </w:t>
      </w:r>
      <m:oMath>
        <m:sSub>
          <m:sSubPr>
            <m:ctrlPr>
              <w:rPr>
                <w:rFonts w:ascii="Times New Roman" w:cs="Times New Roman" w:eastAsia="Times New Roman" w:hAnsi="Times New Roman"/>
                <w:sz w:val="24"/>
                <w:szCs w:val="24"/>
              </w:rPr>
            </m:ctrlPr>
          </m:sSubPr>
          <m:e>
            <m:r>
              <w:rPr>
                <w:rFonts w:ascii="Times New Roman" w:cs="Times New Roman" w:eastAsia="Times New Roman" w:hAnsi="Times New Roman"/>
                <w:sz w:val="24"/>
                <w:szCs w:val="24"/>
              </w:rPr>
              <m:t xml:space="preserve">Y</m:t>
            </m:r>
          </m:e>
          <m:sub>
            <m:r>
              <w:rPr>
                <w:rFonts w:ascii="Times New Roman" w:cs="Times New Roman" w:eastAsia="Times New Roman" w:hAnsi="Times New Roman"/>
                <w:sz w:val="24"/>
                <w:szCs w:val="24"/>
              </w:rPr>
              <m:t xml:space="preserve">OFFSET</m:t>
            </m:r>
          </m:sub>
        </m:sSub>
      </m:oMath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) будет определяться по результатам экспериментального исследования динамики пучка. </w:t>
      </w:r>
    </w:p>
    <w:p w:rsidR="00000000" w:rsidDel="00000000" w:rsidP="00000000" w:rsidRDefault="00000000" w:rsidRPr="00000000" w14:paraId="00000084">
      <w:pPr>
        <w:spacing w:line="480" w:lineRule="auto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2. Процессор положения адронного пучка Libera Hadron</w:t>
      </w:r>
    </w:p>
    <w:p w:rsidR="00000000" w:rsidDel="00000000" w:rsidP="00000000" w:rsidRDefault="00000000" w:rsidRPr="00000000" w14:paraId="00000085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Процессор положения адронного пучка Libera Hadron компании Instrumentation Technologies (Рис. 1) предназначен для точных и воспроизводимых измерений положения пучка и создания систем быстрой обратной связи.</w:t>
      </w:r>
      <w:r w:rsidDel="00000000" w:rsidR="00000000" w:rsidRPr="00000000">
        <w:rPr>
          <w:rFonts w:ascii="Times New Roman" w:cs="Times New Roman" w:eastAsia="Times New Roman" w:hAnsi="Times New Roman"/>
          <w:b w:val="1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Он состоит из четырех мониторов положения пучка в одном шасси. </w:t>
      </w:r>
    </w:p>
    <w:p w:rsidR="00000000" w:rsidDel="00000000" w:rsidP="00000000" w:rsidRDefault="00000000" w:rsidRPr="00000000" w14:paraId="00000086">
      <w:pPr>
        <w:jc w:val="center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</w:rPr>
        <w:drawing>
          <wp:inline distB="114300" distT="114300" distL="114300" distR="114300">
            <wp:extent cx="4693920" cy="2043113"/>
            <wp:effectExtent b="0" l="0" r="0" t="0"/>
            <wp:docPr id="5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93920" cy="20431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Рис. 2.1. Внешний вид устройства Libera Hadron Beam Position Processor [5].</w:t>
      </w:r>
    </w:p>
    <w:p w:rsidR="00000000" w:rsidDel="00000000" w:rsidP="00000000" w:rsidRDefault="00000000" w:rsidRPr="00000000" w14:paraId="00000088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Устройство Libera Hadron оптимизировано для работы с входными сигналами от пикапов кнопочной конструкции и конструкции типа “обувная коробка”. Сигнал от датчиков обрабатывается в цепочке, которая состоит из аналоговой части, оцифровки на быстрых АЦП и цифровой обработки сигналов. </w:t>
      </w:r>
    </w:p>
    <w:p w:rsidR="00000000" w:rsidDel="00000000" w:rsidP="00000000" w:rsidRDefault="00000000" w:rsidRPr="00000000" w14:paraId="0000008B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Libera Hadron включает в себя 4 типа модулей (Рис.2.2): </w:t>
      </w:r>
    </w:p>
    <w:p w:rsidR="00000000" w:rsidDel="00000000" w:rsidP="00000000" w:rsidRDefault="00000000" w:rsidRPr="00000000" w14:paraId="0000008C">
      <w:pPr>
        <w:numPr>
          <w:ilvl w:val="0"/>
          <w:numId w:val="3"/>
        </w:numPr>
        <w:spacing w:line="48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Модули процессора положения пучка (BPM module 1-4), каждый из которых включает клиентскую сторону к аппаратной части комплекса, на вход которой поступают данные с сигнальных электродов, 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программируемую логическую интегральную схему (FPGA), осуществляющую работу с цифровым сигналом, плату оперативной памяти (RAM). Через CTRL-коннектор можно управлять внешними предусилителями..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numPr>
          <w:ilvl w:val="0"/>
          <w:numId w:val="3"/>
        </w:numPr>
        <w:spacing w:line="48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Межсоединительная плата (ICB) включает в себя как аппаратное, так и программное обеспечение интерфейса для системы управления пользователя.</w:t>
      </w:r>
    </w:p>
    <w:p w:rsidR="00000000" w:rsidDel="00000000" w:rsidP="00000000" w:rsidRDefault="00000000" w:rsidRPr="00000000" w14:paraId="0000008E">
      <w:pPr>
        <w:numPr>
          <w:ilvl w:val="0"/>
          <w:numId w:val="3"/>
        </w:numPr>
        <w:spacing w:line="48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Назначение модуля синхронизации (EVRX) заключается в приеме событий и распределении тактовых и триггерных сигналов по всем платам приложений внутри шасси Libera Hadron.</w:t>
      </w:r>
    </w:p>
    <w:p w:rsidR="00000000" w:rsidDel="00000000" w:rsidP="00000000" w:rsidRDefault="00000000" w:rsidRPr="00000000" w14:paraId="0000008F">
      <w:pPr>
        <w:numPr>
          <w:ilvl w:val="0"/>
          <w:numId w:val="3"/>
        </w:numPr>
        <w:spacing w:line="48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Модуль Gigabit data exchange (GDX) предлагает быстрые соединения (разъемы SFP), через которые данные быстрого сбора (FA) передаются в режиме реального времени.</w:t>
      </w:r>
    </w:p>
    <w:p w:rsidR="00000000" w:rsidDel="00000000" w:rsidP="00000000" w:rsidRDefault="00000000" w:rsidRPr="00000000" w14:paraId="00000090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</w:rPr>
        <w:drawing>
          <wp:inline distB="114300" distT="114300" distL="114300" distR="114300">
            <wp:extent cx="5257800" cy="4248150"/>
            <wp:effectExtent b="0" l="0" r="0" t="0"/>
            <wp:docPr id="1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3"/>
                    <a:srcRect b="11663" l="5149" r="3156" t="1183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42481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Рис 2.2 Блок-схема устройства</w:t>
      </w:r>
    </w:p>
    <w:p w:rsidR="00000000" w:rsidDel="00000000" w:rsidP="00000000" w:rsidRDefault="00000000" w:rsidRPr="00000000" w14:paraId="00000093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94">
      <w:pPr>
        <w:ind w:firstLine="72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Структурная схема обработки данных устройством Libera Hadron приведена на Рис.2.3.</w:t>
      </w:r>
    </w:p>
    <w:p w:rsidR="00000000" w:rsidDel="00000000" w:rsidP="00000000" w:rsidRDefault="00000000" w:rsidRPr="00000000" w14:paraId="00000095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Данные по запросу в блоке процессора цифровой обработки сигнала (DSP), так и необработанные данные АЦП сохраняются в выделенных буферах в соответствии с полученными событиями запуска / остановки запуска. С этого момента данные доступны для наблюдения и последующей обработки.</w:t>
      </w:r>
    </w:p>
    <w:p w:rsidR="00000000" w:rsidDel="00000000" w:rsidP="00000000" w:rsidRDefault="00000000" w:rsidRPr="00000000" w14:paraId="00000097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Необработанные данные АЦП доступны по требованию, с указанием позиции в буфере и объема данных. Данные по группам доступны по требованию, задающему  переменные интервалы времени / групп, требуемые пользователем. Этот интерфейс данных по требованию используется, например, для масштабирования. </w:t>
      </w:r>
    </w:p>
    <w:p w:rsidR="00000000" w:rsidDel="00000000" w:rsidP="00000000" w:rsidRDefault="00000000" w:rsidRPr="00000000" w14:paraId="00000098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Данные быстрого преобразования Фурье (FFT) рассчитываются для фиксированного размера и децимации окна и доступны по требованию, охватывая переменные интервалы времени / групп, требуемые пользователем, с переменной плотностью или децимацией данных, требуемых пользователем (fft), (fft_synth). Для каждого вычисления fft доступны данные (fft_peak). </w:t>
      </w:r>
    </w:p>
    <w:p w:rsidR="00000000" w:rsidDel="00000000" w:rsidP="00000000" w:rsidRDefault="00000000" w:rsidRPr="00000000" w14:paraId="00000099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Объем данных в буфере Raw ADC и буфере Bunch-by-bunch слишком велик, чтобы его можно было получить за одно обращение. Размер каждого буфера составляет 2 ГБ, или около 268 миллионов атомов необработанных данных АЦП, при этом может храниться до 67 миллионов атомов данных. Максимальный объем полученных данных (одноразовое получение) составляет ок. 10% от размера буфера. Память для сбора данных на главной плате компьютера распределяется динамически, поэтому в соответствии с активными процессами это число может изменяться. </w:t>
      </w:r>
    </w:p>
    <w:p w:rsidR="00000000" w:rsidDel="00000000" w:rsidP="00000000" w:rsidRDefault="00000000" w:rsidRPr="00000000" w14:paraId="0000009A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Потоки данных: Быстрый путь данных (FA) - это непрерывный поток данных со скоростью передачи данных приблизительно 10 000 выборок в секунду. Поток данных FA также используется в качестве входа для медленного пути данных (SA), который представляет собой непрерывный поток данных со скоростью передачи данных приблизительно 10 выборок в секунду. </w:t>
      </w:r>
    </w:p>
    <w:p w:rsidR="00000000" w:rsidDel="00000000" w:rsidP="00000000" w:rsidRDefault="00000000" w:rsidRPr="00000000" w14:paraId="0000009B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</w:rPr>
        <w:drawing>
          <wp:inline distB="114300" distT="114300" distL="114300" distR="114300">
            <wp:extent cx="5734050" cy="3876675"/>
            <wp:effectExtent b="0" l="0" r="0" t="0"/>
            <wp:docPr id="8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4"/>
                    <a:srcRect b="8126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8766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Рис 2.3 Схема распределения данных[6]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br w:type="textWrapping"/>
      </w:r>
    </w:p>
    <w:p w:rsidR="00000000" w:rsidDel="00000000" w:rsidP="00000000" w:rsidRDefault="00000000" w:rsidRPr="00000000" w14:paraId="0000009D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Параметры и методы, необходимые для работы с входными сигналами можно задать, как напрямую, через подключаемые дисплей и клавиатуру, так и удаленно, используя установленное на Libera Hadron программное обеспечение, в том числе Tango Device Server, разработанный для управления устройством в среде Tango Controls.</w:t>
      </w:r>
    </w:p>
    <w:p w:rsidR="00000000" w:rsidDel="00000000" w:rsidP="00000000" w:rsidRDefault="00000000" w:rsidRPr="00000000" w14:paraId="0000009E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spacing w:line="480" w:lineRule="auto"/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3. Средства разработки ПО в АСУ Tango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Система управления Tango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(TAco Next Generation Objects) имеет множество достоинств, благодаря которым и получила широкое распространение. Среди них быстрая установка и развертка, хорошая документация, активное сообщество, удобная с точки зрения программирования структура, поддержка структурированных данных и высокая производительность [7]. Также одним из достоинств является наличие широкого набора инструментов для разработки и интеграции в систему собственного ПО.</w:t>
      </w:r>
    </w:p>
    <w:p w:rsidR="00000000" w:rsidDel="00000000" w:rsidP="00000000" w:rsidRDefault="00000000" w:rsidRPr="00000000" w14:paraId="000000A5">
      <w:pPr>
        <w:widowControl w:val="0"/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Для разработки и тестирования Программного обеспечения системы определения положения пучка комплекса Nica использовались утилиты Pogo, Jive, ATKPanel и Astor системы Tango. </w:t>
        <w:tab/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A6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Утилита Pogo (Рис.3.1) служит для создания шаблона будущей программы. С её помощью  создается класс, его описание, а также определяются атрибуты, свойства, команды и состояния, которыми устройства данного класса обладают. После генерации нам доступен шаблон класса, имеющий все заданные нами параметры и защищенные области кода, доступный для работы в любой удобной среде разработки. Что позволяет как настроить каждую из деталей класса под требуемые задачи, так и в любой момент с помощью утилиты Pogo настроить класс под новые условия, изменив структуру класса без нарушения целостности и работоспособности остальных его частей.</w:t>
      </w:r>
    </w:p>
    <w:p w:rsidR="00000000" w:rsidDel="00000000" w:rsidP="00000000" w:rsidRDefault="00000000" w:rsidRPr="00000000" w14:paraId="000000A7">
      <w:pPr>
        <w:jc w:val="center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</w:rPr>
        <w:drawing>
          <wp:inline distB="114300" distT="114300" distL="114300" distR="114300">
            <wp:extent cx="4138613" cy="5707280"/>
            <wp:effectExtent b="0" l="0" r="0" t="0"/>
            <wp:docPr id="20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38613" cy="57072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spacing w:line="276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Рис 3.1 Скриншот Утилиты Pogo(Class Generator). Окно утилиты содержит панель инструментов, с помощью которых заполняется дерево со структурой класса, указатель на родительский класс и др..</w:t>
      </w:r>
    </w:p>
    <w:p w:rsidR="00000000" w:rsidDel="00000000" w:rsidP="00000000" w:rsidRDefault="00000000" w:rsidRPr="00000000" w14:paraId="000000A9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Утилита Jive (Рис.3.2)  служит инструментом для управления и настройки базы данных устройств, а также для редактирования их свойств.</w:t>
      </w:r>
    </w:p>
    <w:p w:rsidR="00000000" w:rsidDel="00000000" w:rsidP="00000000" w:rsidRDefault="00000000" w:rsidRPr="00000000" w14:paraId="000000AB">
      <w:pPr>
        <w:spacing w:line="480" w:lineRule="auto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spacing w:line="480" w:lineRule="auto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spacing w:line="480" w:lineRule="auto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</w:rPr>
        <w:drawing>
          <wp:inline distB="114300" distT="114300" distL="114300" distR="114300">
            <wp:extent cx="6250342" cy="3814763"/>
            <wp:effectExtent b="0" l="0" r="0" t="0"/>
            <wp:docPr id="3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50342" cy="38147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spacing w:line="276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Рис.3.2 Скриншот Утилиты Jive.</w:t>
      </w:r>
    </w:p>
    <w:p w:rsidR="00000000" w:rsidDel="00000000" w:rsidP="00000000" w:rsidRDefault="00000000" w:rsidRPr="00000000" w14:paraId="000000AF">
      <w:pPr>
        <w:spacing w:line="276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spacing w:line="48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ab/>
        <w:t xml:space="preserve">Окно утилиты содержит инструменты для работы с базой данных: закладки, позволяющие ускорить навигацию по структуре базы данных (закладка Server), список зарегистрированных устройств(закладка Device). При выборе устройства в дереве на панели Device Info отображается его основные характеристики и текущий статус. </w:t>
      </w:r>
    </w:p>
    <w:p w:rsidR="00000000" w:rsidDel="00000000" w:rsidP="00000000" w:rsidRDefault="00000000" w:rsidRPr="00000000" w14:paraId="000000B1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Утилита ATKPanel (Рис.3.3) - основной интерфейс для управление устройством в базе данных, который поддерживает большинство функций и типов данных Tango. С  помощью утилиты можно выполнять команды, тестировать устройства, просматривать  и устанавливать значения атрибутов, а также получать доступ к данным диагностики.</w:t>
      </w:r>
    </w:p>
    <w:p w:rsidR="00000000" w:rsidDel="00000000" w:rsidP="00000000" w:rsidRDefault="00000000" w:rsidRPr="00000000" w14:paraId="000000B2">
      <w:pPr>
        <w:spacing w:line="276" w:lineRule="auto"/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3662363" cy="4555622"/>
            <wp:effectExtent b="0" l="0" r="0" t="0"/>
            <wp:docPr id="16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62363" cy="455562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spacing w:line="276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Рис.3.3 Скриншот окна утилиты ATKPanel. Панель содержит 4 закладки, позволяющие как работать с устройством: отправлять ему команды, запрашивать и устанавливать значения атрибутов, настроить автоматические сеансы связи.</w:t>
      </w:r>
    </w:p>
    <w:p w:rsidR="00000000" w:rsidDel="00000000" w:rsidP="00000000" w:rsidRDefault="00000000" w:rsidRPr="00000000" w14:paraId="000000B4">
      <w:pPr>
        <w:spacing w:line="276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Утилита Astor (Рис.3.4) - Графический клиент, соединенный со всеми серверами, и позволяющий: </w:t>
      </w:r>
    </w:p>
    <w:p w:rsidR="00000000" w:rsidDel="00000000" w:rsidP="00000000" w:rsidRDefault="00000000" w:rsidRPr="00000000" w14:paraId="000000B6">
      <w:pPr>
        <w:numPr>
          <w:ilvl w:val="0"/>
          <w:numId w:val="6"/>
        </w:numPr>
        <w:spacing w:line="48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отобразить статус системы управления или её компонентов с помощью цветных иконок;</w:t>
      </w:r>
    </w:p>
    <w:p w:rsidR="00000000" w:rsidDel="00000000" w:rsidP="00000000" w:rsidRDefault="00000000" w:rsidRPr="00000000" w14:paraId="000000B7">
      <w:pPr>
        <w:numPr>
          <w:ilvl w:val="0"/>
          <w:numId w:val="6"/>
        </w:numPr>
        <w:spacing w:line="48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выполнить действие с компонентами (запустить, остановить, протестировать, настроить, отобразить информацию и т.д.);</w:t>
      </w:r>
    </w:p>
    <w:p w:rsidR="00000000" w:rsidDel="00000000" w:rsidP="00000000" w:rsidRDefault="00000000" w:rsidRPr="00000000" w14:paraId="000000B8">
      <w:pPr>
        <w:numPr>
          <w:ilvl w:val="0"/>
          <w:numId w:val="6"/>
        </w:numPr>
        <w:spacing w:line="48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выполнить диагностику компонентов;</w:t>
      </w:r>
    </w:p>
    <w:p w:rsidR="00000000" w:rsidDel="00000000" w:rsidP="00000000" w:rsidRDefault="00000000" w:rsidRPr="00000000" w14:paraId="000000B9">
      <w:pPr>
        <w:numPr>
          <w:ilvl w:val="0"/>
          <w:numId w:val="6"/>
        </w:numPr>
        <w:spacing w:line="48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выполнить глобальный анализ большого числа контейнеров или базы данных.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</w:rPr>
        <w:drawing>
          <wp:inline distB="114300" distT="114300" distL="114300" distR="114300">
            <wp:extent cx="5734050" cy="2197100"/>
            <wp:effectExtent b="0" l="0" r="0" t="0"/>
            <wp:docPr id="9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19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Рис.3.4 Скриншот окна утилиты Astor (слева) и её подменю запуска (справа).</w:t>
      </w:r>
    </w:p>
    <w:p w:rsidR="00000000" w:rsidDel="00000000" w:rsidP="00000000" w:rsidRDefault="00000000" w:rsidRPr="00000000" w14:paraId="000000BC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spacing w:line="480" w:lineRule="auto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spacing w:line="480" w:lineRule="auto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4. Программное обеспечение для системы определения положения пучка</w:t>
      </w:r>
    </w:p>
    <w:p w:rsidR="00000000" w:rsidDel="00000000" w:rsidP="00000000" w:rsidRDefault="00000000" w:rsidRPr="00000000" w14:paraId="000000C4">
      <w:pPr>
        <w:spacing w:line="480" w:lineRule="auto"/>
        <w:ind w:firstLine="72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Разработка программного обеспечения для интеграции устройств в систему управления включает в себя следующие этапы:</w:t>
      </w:r>
    </w:p>
    <w:p w:rsidR="00000000" w:rsidDel="00000000" w:rsidP="00000000" w:rsidRDefault="00000000" w:rsidRPr="00000000" w14:paraId="000000C5">
      <w:pPr>
        <w:numPr>
          <w:ilvl w:val="0"/>
          <w:numId w:val="5"/>
        </w:numPr>
        <w:spacing w:line="480" w:lineRule="auto"/>
        <w:ind w:left="720" w:hanging="360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Тестирование устройства;</w:t>
      </w:r>
    </w:p>
    <w:p w:rsidR="00000000" w:rsidDel="00000000" w:rsidP="00000000" w:rsidRDefault="00000000" w:rsidRPr="00000000" w14:paraId="000000C6">
      <w:pPr>
        <w:numPr>
          <w:ilvl w:val="0"/>
          <w:numId w:val="5"/>
        </w:numPr>
        <w:spacing w:line="480" w:lineRule="auto"/>
        <w:ind w:left="720" w:hanging="360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Регистрация и подключение устройства к системе Tango</w:t>
      </w:r>
    </w:p>
    <w:p w:rsidR="00000000" w:rsidDel="00000000" w:rsidP="00000000" w:rsidRDefault="00000000" w:rsidRPr="00000000" w14:paraId="000000C7">
      <w:pPr>
        <w:numPr>
          <w:ilvl w:val="0"/>
          <w:numId w:val="5"/>
        </w:numPr>
        <w:spacing w:line="480" w:lineRule="auto"/>
        <w:ind w:left="720" w:hanging="360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Написание классов для управления модулями устройства</w:t>
      </w:r>
    </w:p>
    <w:p w:rsidR="00000000" w:rsidDel="00000000" w:rsidP="00000000" w:rsidRDefault="00000000" w:rsidRPr="00000000" w14:paraId="000000C8">
      <w:pPr>
        <w:numPr>
          <w:ilvl w:val="0"/>
          <w:numId w:val="5"/>
        </w:numPr>
        <w:spacing w:line="480" w:lineRule="auto"/>
        <w:ind w:left="720" w:hanging="360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Создание стенда для тестирования и отладки.</w:t>
      </w:r>
    </w:p>
    <w:p w:rsidR="00000000" w:rsidDel="00000000" w:rsidP="00000000" w:rsidRDefault="00000000" w:rsidRPr="00000000" w14:paraId="000000C9">
      <w:pPr>
        <w:spacing w:line="480" w:lineRule="auto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spacing w:line="480" w:lineRule="auto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4.1 Тестирование Libera Hadron</w:t>
      </w:r>
    </w:p>
    <w:p w:rsidR="00000000" w:rsidDel="00000000" w:rsidP="00000000" w:rsidRDefault="00000000" w:rsidRPr="00000000" w14:paraId="000000CB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Для имитации сигнала с сигнальных электродов пикапа использовался генератор сигналов Keysight Trueform 33600A(Рис.4.1 слева). На выходе генератора подавался сигнал трапецеидальной формы с амплитудой не превышающей 3 В (техническое ограничение по амплитуде входного сигнала Libera) с длительностью импульса примерно 0,5 мкс (ожидаемая длительность сигнала пучка от пикапа бустера), частотой повторения 1 МГц. Параметры сигнала контролировались Цифровым запоминающим осциллографом АКИП-76402С (Рис.4.1. справа).Пример Выходного сигнала приведен на Рис.4.2..</w:t>
      </w:r>
    </w:p>
    <w:p w:rsidR="00000000" w:rsidDel="00000000" w:rsidP="00000000" w:rsidRDefault="00000000" w:rsidRPr="00000000" w14:paraId="000000CC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Сигналы с двух выходов генератора сигналов подавались последовательно на входы всех блоков устройства Libera(Рис.4.3.) совместно с сигналом синхроимпульса.</w:t>
      </w:r>
    </w:p>
    <w:p w:rsidR="00000000" w:rsidDel="00000000" w:rsidP="00000000" w:rsidRDefault="00000000" w:rsidRPr="00000000" w14:paraId="000000CD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tbl>
      <w:tblPr>
        <w:tblStyle w:val="Table5"/>
        <w:tblW w:w="9000.0" w:type="dxa"/>
        <w:jc w:val="left"/>
        <w:tblInd w:w="100.0" w:type="pct"/>
        <w:tblBorders>
          <w:top w:color="ffffff" w:space="0" w:sz="8" w:val="single"/>
          <w:left w:color="ffffff" w:space="0" w:sz="8" w:val="single"/>
          <w:bottom w:color="ffffff" w:space="0" w:sz="8" w:val="single"/>
          <w:right w:color="ffffff" w:space="0" w:sz="8" w:val="single"/>
          <w:insideH w:color="ffffff" w:space="0" w:sz="8" w:val="single"/>
          <w:insideV w:color="ffffff" w:space="0" w:sz="8" w:val="single"/>
        </w:tblBorders>
        <w:tblLayout w:type="fixed"/>
        <w:tblLook w:val="0600"/>
      </w:tblPr>
      <w:tblGrid>
        <w:gridCol w:w="5550"/>
        <w:gridCol w:w="3450"/>
        <w:tblGridChange w:id="0">
          <w:tblGrid>
            <w:gridCol w:w="5550"/>
            <w:gridCol w:w="3450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F">
            <w:pPr>
              <w:rPr>
                <w:rFonts w:ascii="Times New Roman" w:cs="Times New Roman" w:eastAsia="Times New Roman" w:hAnsi="Times New Roman"/>
                <w:b w:val="1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</w:rPr>
              <w:drawing>
                <wp:inline distB="114300" distT="114300" distL="114300" distR="114300">
                  <wp:extent cx="3290888" cy="1737497"/>
                  <wp:effectExtent b="0" l="0" r="0" t="0"/>
                  <wp:docPr id="19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0888" cy="173749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0">
            <w:pPr>
              <w:rPr>
                <w:rFonts w:ascii="Times New Roman" w:cs="Times New Roman" w:eastAsia="Times New Roman" w:hAnsi="Times New Roman"/>
                <w:b w:val="1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</w:rPr>
              <w:drawing>
                <wp:inline distB="114300" distT="114300" distL="114300" distR="114300">
                  <wp:extent cx="1995488" cy="1777231"/>
                  <wp:effectExtent b="0" l="0" r="0" t="0"/>
                  <wp:docPr id="21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5488" cy="177723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D1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Рис.4.1. Генератор сигналов Keysight Trueform 33600A(слева) и Цифрового запоминающего осциллографа АКИП-76402С (справа).</w:t>
      </w:r>
    </w:p>
    <w:p w:rsidR="00000000" w:rsidDel="00000000" w:rsidP="00000000" w:rsidRDefault="00000000" w:rsidRPr="00000000" w14:paraId="000000D2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5734050" cy="3657600"/>
            <wp:effectExtent b="0" l="0" r="0" t="0"/>
            <wp:docPr id="4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657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Рис.4.2. Пример выходного сигнала. Цена деления по шкале времени 0,5 мкс.</w:t>
      </w:r>
    </w:p>
    <w:p w:rsidR="00000000" w:rsidDel="00000000" w:rsidP="00000000" w:rsidRDefault="00000000" w:rsidRPr="00000000" w14:paraId="000000D7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jc w:val="center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</w:rPr>
        <w:drawing>
          <wp:inline distB="114300" distT="114300" distL="114300" distR="114300">
            <wp:extent cx="3643313" cy="2736295"/>
            <wp:effectExtent b="0" l="0" r="0" t="0"/>
            <wp:docPr id="11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43313" cy="273629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1"/>
          <w:rtl w:val="0"/>
        </w:rPr>
        <w:br w:type="textWrapping"/>
      </w:r>
    </w:p>
    <w:p w:rsidR="00000000" w:rsidDel="00000000" w:rsidP="00000000" w:rsidRDefault="00000000" w:rsidRPr="00000000" w14:paraId="000000D9">
      <w:pPr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Рис. 4.3. Устройство Libera Hadron с подключённым генератором сигнала, дисплеем, устройством ввода(клавиатурой), сетевым кабелем.</w:t>
      </w:r>
    </w:p>
    <w:p w:rsidR="00000000" w:rsidDel="00000000" w:rsidP="00000000" w:rsidRDefault="00000000" w:rsidRPr="00000000" w14:paraId="000000DA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С помощью внутренних команд устройства проводился опрос выходных сигналов АЦП, соответствующего модуля. На Рис.4.4. приведена результаты опроса в случае, когда сигналы генератора поданы на входы B и D соответствующего модуля. Строки соответствуют разным моментам времени измерения. Сигналы с выходов A и C соответствуют уровню шума. Флуктуации сигналов с выходов B и D соответствуют стабильности плоской вершины импульса генератора.</w:t>
      </w:r>
    </w:p>
    <w:p w:rsidR="00000000" w:rsidDel="00000000" w:rsidP="00000000" w:rsidRDefault="00000000" w:rsidRPr="00000000" w14:paraId="000000DC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rtl w:val="0"/>
        </w:rPr>
        <w:tab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</w:rPr>
        <w:drawing>
          <wp:inline distB="114300" distT="114300" distL="114300" distR="114300">
            <wp:extent cx="5734050" cy="2184400"/>
            <wp:effectExtent b="0" l="0" r="0" t="0"/>
            <wp:docPr id="14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184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Рис. 4.4. Скриншот вывода команды signal.adc, выводящей данные из буфера, поступающие с выхода каналов АЦП.</w:t>
      </w:r>
    </w:p>
    <w:p w:rsidR="00000000" w:rsidDel="00000000" w:rsidP="00000000" w:rsidRDefault="00000000" w:rsidRPr="00000000" w14:paraId="000000DF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spacing w:line="48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rtl w:val="0"/>
        </w:rPr>
        <w:tab/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Кроме того, проводилось тестирование обработки сигналов в соответствии с формулами (2). На Рис.4.4. приведен пример вывода: в колонке Sum приведена интенсивность в относительных единицах, в колонках X и Y - координаты центра тяжести пучка в нанометрах.</w:t>
      </w:r>
    </w:p>
    <w:p w:rsidR="00000000" w:rsidDel="00000000" w:rsidP="00000000" w:rsidRDefault="00000000" w:rsidRPr="00000000" w14:paraId="000000E1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</w:rPr>
        <w:drawing>
          <wp:inline distB="114300" distT="114300" distL="114300" distR="114300">
            <wp:extent cx="5734050" cy="2057400"/>
            <wp:effectExtent b="0" l="0" r="0" t="0"/>
            <wp:docPr id="13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057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Рис. 4.4. Скриншот вывода команды signal.bunch.</w:t>
      </w:r>
    </w:p>
    <w:p w:rsidR="00000000" w:rsidDel="00000000" w:rsidP="00000000" w:rsidRDefault="00000000" w:rsidRPr="00000000" w14:paraId="000000E3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spacing w:line="480" w:lineRule="auto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4.2 Регистрация и подключение Libera Hadron к Tango</w:t>
      </w:r>
    </w:p>
    <w:p w:rsidR="00000000" w:rsidDel="00000000" w:rsidP="00000000" w:rsidRDefault="00000000" w:rsidRPr="00000000" w14:paraId="000000E6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Для подключения Libera Hadron к Tango на промышленном компьютере National Instruments Ni Pxie-1075 (Рис.4.5.) запускается Tango-сервер, на устройстве Libera Hadron запускается утилита Tango Starter. В дополнение используется персональный компьютер для настройки взаимодействия между устройствами.</w:t>
      </w:r>
    </w:p>
    <w:p w:rsidR="00000000" w:rsidDel="00000000" w:rsidP="00000000" w:rsidRDefault="00000000" w:rsidRPr="00000000" w14:paraId="000000E7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 файле настроек утилиты Tango Starter прописывается адрес Tango-сервера, после чего в базе данных Tango регистрируется модуль устройства Libera Hadron (пикап-электрод). После чего с помощью утилиты Astor настраивается автоматический запуск утилиты Tango Starter. В результате базе данных автоматически становятся доступны для редактирования и работы все атрибуты и внутренние методы устройства. Для начала работы с устройством через базу данных требуется выставить номер пикапа и значения по-умолчанию для таких атрибутов как: тип пикапа, режим приема данных.</w:t>
      </w:r>
    </w:p>
    <w:p w:rsidR="00000000" w:rsidDel="00000000" w:rsidP="00000000" w:rsidRDefault="00000000" w:rsidRPr="00000000" w14:paraId="000000E8">
      <w:pPr>
        <w:spacing w:line="480" w:lineRule="auto"/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rtl w:val="0"/>
        </w:rPr>
        <w:t xml:space="preserve"> </w:t>
        <w:tab/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Поскольку устройство Libera Hadron представляет собой технически сложный универсальный прибор с более чем 1500 атрибутов, для большей надёжности и быстродействия в получении данных с пикапа требуются отдельные Tango-устройства, представляющие собой автономные функции, дублирующие аналогичные в устройстве Libera Hadron.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</w:rPr>
        <w:drawing>
          <wp:inline distB="114300" distT="114300" distL="114300" distR="114300">
            <wp:extent cx="5734050" cy="2413000"/>
            <wp:effectExtent b="0" l="0" r="0" t="0"/>
            <wp:docPr id="23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413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Рис.4.5., Промышленный компьютер National Instruments Ni Pxie-1075, используемый для запуска Tango-сервера.</w:t>
      </w:r>
    </w:p>
    <w:p w:rsidR="00000000" w:rsidDel="00000000" w:rsidP="00000000" w:rsidRDefault="00000000" w:rsidRPr="00000000" w14:paraId="000000EC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spacing w:line="480" w:lineRule="auto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4.3. Описание созданных классов устройств</w:t>
      </w:r>
    </w:p>
    <w:p w:rsidR="00000000" w:rsidDel="00000000" w:rsidP="00000000" w:rsidRDefault="00000000" w:rsidRPr="00000000" w14:paraId="000000EE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Создание Tango-устройства подразумевает написание соответствующего класса устройств.</w:t>
      </w:r>
    </w:p>
    <w:p w:rsidR="00000000" w:rsidDel="00000000" w:rsidP="00000000" w:rsidRDefault="00000000" w:rsidRPr="00000000" w14:paraId="000000EF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 рамках данной работы было созданы Tango-устройства, дублирующие методы signal.adc и signal.bunch устройства Libera Hadron.</w:t>
      </w:r>
    </w:p>
    <w:p w:rsidR="00000000" w:rsidDel="00000000" w:rsidP="00000000" w:rsidRDefault="00000000" w:rsidRPr="00000000" w14:paraId="000000F0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Для этого с помощью утилиты Pogo была задана структура класса устройств, их атрибуты и внутренние методы, после чего на C++ был написан и скомпилирован в виде исполняемого приложения код устройства. </w:t>
      </w:r>
    </w:p>
    <w:p w:rsidR="00000000" w:rsidDel="00000000" w:rsidP="00000000" w:rsidRDefault="00000000" w:rsidRPr="00000000" w14:paraId="000000F1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 качестве примера на Рис.4.6. приведен фрагмент кода, выполняющий считывание данных с выхода АЦП сигнального электрода B: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spacing w:line="48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-строка “Tango::DeviceProxy device(liberaDeviceName);”  - определение устройства, с связь с которым мы хотим настроить;</w:t>
      </w:r>
    </w:p>
    <w:p w:rsidR="00000000" w:rsidDel="00000000" w:rsidP="00000000" w:rsidRDefault="00000000" w:rsidRPr="00000000" w14:paraId="000000F3">
      <w:pPr>
        <w:spacing w:line="48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-строка ”adcB.clear();” - очистка параметра;</w:t>
      </w:r>
    </w:p>
    <w:p w:rsidR="00000000" w:rsidDel="00000000" w:rsidP="00000000" w:rsidRDefault="00000000" w:rsidRPr="00000000" w14:paraId="000000F4">
      <w:pPr>
        <w:spacing w:line="48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-строка “Tango::DeviceAttribute att_reply;” - объявление промежуточного атрибута, выступающего в роли “пересадочной станции” для данных, содержащихся в параметре;</w:t>
      </w:r>
    </w:p>
    <w:p w:rsidR="00000000" w:rsidDel="00000000" w:rsidP="00000000" w:rsidRDefault="00000000" w:rsidRPr="00000000" w14:paraId="000000F5">
      <w:pPr>
        <w:spacing w:line="48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-строка “att_reply = device.read_attribute("AdcB");” - чтение и запись данных из атрибута устройства, связь с которым настроена, в “пересадочную станцию”; </w:t>
      </w:r>
    </w:p>
    <w:p w:rsidR="00000000" w:rsidDel="00000000" w:rsidP="00000000" w:rsidRDefault="00000000" w:rsidRPr="00000000" w14:paraId="000000F6">
      <w:pPr>
        <w:spacing w:line="48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-строка “att_reply &gt;&gt; adcB;” - извлечение данных со “станции” в нужный нам атрибут;</w:t>
      </w:r>
    </w:p>
    <w:p w:rsidR="00000000" w:rsidDel="00000000" w:rsidP="00000000" w:rsidRDefault="00000000" w:rsidRPr="00000000" w14:paraId="000000F7">
      <w:pPr>
        <w:spacing w:line="48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-строка ”attr.set_value(adcB.data(), adcB.size(), 0, false);” - запись значения в нужный нам параметр.</w:t>
      </w:r>
    </w:p>
    <w:p w:rsidR="00000000" w:rsidDel="00000000" w:rsidP="00000000" w:rsidRDefault="00000000" w:rsidRPr="00000000" w14:paraId="000000F8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</w:rPr>
        <w:drawing>
          <wp:inline distB="114300" distT="114300" distL="114300" distR="114300">
            <wp:extent cx="5734050" cy="4330700"/>
            <wp:effectExtent b="0" l="0" r="0" t="0"/>
            <wp:docPr id="10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4330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Рис.4.6. Фрагмент кода устройства LiberaADCcontrol.</w:t>
      </w:r>
    </w:p>
    <w:p w:rsidR="00000000" w:rsidDel="00000000" w:rsidP="00000000" w:rsidRDefault="00000000" w:rsidRPr="00000000" w14:paraId="000000FB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spacing w:line="48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rtl w:val="0"/>
        </w:rPr>
        <w:tab/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С помощью утилиты Jive созданные устройства были зарегистрированы в базе данных, после чего запущены в режиме отладки с помощью утилиты ATKPanel (Рис.4.7.).</w:t>
      </w:r>
    </w:p>
    <w:p w:rsidR="00000000" w:rsidDel="00000000" w:rsidP="00000000" w:rsidRDefault="00000000" w:rsidRPr="00000000" w14:paraId="000000FE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</w:rPr>
        <w:drawing>
          <wp:inline distB="114300" distT="114300" distL="114300" distR="114300">
            <wp:extent cx="5734050" cy="3467100"/>
            <wp:effectExtent b="0" l="0" r="0" t="0"/>
            <wp:docPr id="7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Рис.4.7. Скриншот утилиты ATKPanel, в которой запущено устройство LiberaBunchControl.</w:t>
      </w:r>
    </w:p>
    <w:p w:rsidR="00000000" w:rsidDel="00000000" w:rsidP="00000000" w:rsidRDefault="00000000" w:rsidRPr="00000000" w14:paraId="00000100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spacing w:line="480" w:lineRule="auto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4.4. Методика тестирования и отладки разработанного ПО</w:t>
      </w:r>
    </w:p>
    <w:p w:rsidR="00000000" w:rsidDel="00000000" w:rsidP="00000000" w:rsidRDefault="00000000" w:rsidRPr="00000000" w14:paraId="00000102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Для тестирования и отладки написанных устройств использовалась утилиты Jive и ATKPanel, с помощью которых одновременно запускались пикап Libera Hadron и созданные устройства. После чего в режиме реального времени проводилась проверка корректности как чтения, так и записи атрибутов пикапа Libera Hadron.  На Рис.4.8 приведен пример чтения атрибута BunchSum устройства Libera Hadron.</w:t>
      </w:r>
    </w:p>
    <w:p w:rsidR="00000000" w:rsidDel="00000000" w:rsidP="00000000" w:rsidRDefault="00000000" w:rsidRPr="00000000" w14:paraId="00000103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</w:rPr>
        <w:drawing>
          <wp:inline distB="114300" distT="114300" distL="114300" distR="114300">
            <wp:extent cx="5734050" cy="5029200"/>
            <wp:effectExtent b="0" l="0" r="0" t="0"/>
            <wp:docPr id="22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5029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Рис.4.8. Скриншот утилиты ATKPanel запущенного устройства LiberaBunchControl с результатами чтения параметра BunchSum устройства Libera Hadron.</w:t>
      </w:r>
    </w:p>
    <w:p w:rsidR="00000000" w:rsidDel="00000000" w:rsidP="00000000" w:rsidRDefault="00000000" w:rsidRPr="00000000" w14:paraId="00000106">
      <w:pPr>
        <w:spacing w:line="480" w:lineRule="auto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rtl w:val="0"/>
        </w:rPr>
        <w:tab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spacing w:line="48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ab/>
        <w:t xml:space="preserve">В результате отладки достигнута корректность работы созданных устройств, что является базой для работы с другими модулями системы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определения положения пучка комплекса NICA.</w:t>
      </w:r>
    </w:p>
    <w:p w:rsidR="00000000" w:rsidDel="00000000" w:rsidP="00000000" w:rsidRDefault="00000000" w:rsidRPr="00000000" w14:paraId="00000108">
      <w:pPr>
        <w:spacing w:line="480" w:lineRule="auto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spacing w:line="480" w:lineRule="auto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spacing w:line="480" w:lineRule="auto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Выводы</w:t>
      </w:r>
    </w:p>
    <w:p w:rsidR="00000000" w:rsidDel="00000000" w:rsidP="00000000" w:rsidRDefault="00000000" w:rsidRPr="00000000" w14:paraId="0000010B">
      <w:pPr>
        <w:spacing w:line="48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 ходе выполнения работы были изучены:</w:t>
      </w:r>
    </w:p>
    <w:p w:rsidR="00000000" w:rsidDel="00000000" w:rsidP="00000000" w:rsidRDefault="00000000" w:rsidRPr="00000000" w14:paraId="0000010C">
      <w:pPr>
        <w:numPr>
          <w:ilvl w:val="0"/>
          <w:numId w:val="2"/>
        </w:numPr>
        <w:spacing w:line="48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устройства, применяемые в качестве мониторов положения пучка в ионных синхротронах;</w:t>
      </w:r>
    </w:p>
    <w:p w:rsidR="00000000" w:rsidDel="00000000" w:rsidP="00000000" w:rsidRDefault="00000000" w:rsidRPr="00000000" w14:paraId="0000010D">
      <w:pPr>
        <w:numPr>
          <w:ilvl w:val="0"/>
          <w:numId w:val="2"/>
        </w:numPr>
        <w:spacing w:line="48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устройство Libera Hadron, его спецификация, а также внутренние команды управления и настройки;</w:t>
      </w:r>
    </w:p>
    <w:p w:rsidR="00000000" w:rsidDel="00000000" w:rsidP="00000000" w:rsidRDefault="00000000" w:rsidRPr="00000000" w14:paraId="0000010E">
      <w:pPr>
        <w:numPr>
          <w:ilvl w:val="0"/>
          <w:numId w:val="2"/>
        </w:numPr>
        <w:spacing w:line="48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система управления Tango Controls в объеме, необходимом для интеграции устройства Libera Hadron;</w:t>
      </w:r>
    </w:p>
    <w:p w:rsidR="00000000" w:rsidDel="00000000" w:rsidP="00000000" w:rsidRDefault="00000000" w:rsidRPr="00000000" w14:paraId="0000010F">
      <w:pPr>
        <w:numPr>
          <w:ilvl w:val="0"/>
          <w:numId w:val="2"/>
        </w:numPr>
        <w:spacing w:line="48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алгоритм написания приложения для Tango Controls с использованием встроенных утилит.</w:t>
      </w:r>
    </w:p>
    <w:p w:rsidR="00000000" w:rsidDel="00000000" w:rsidP="00000000" w:rsidRDefault="00000000" w:rsidRPr="00000000" w14:paraId="00000110">
      <w:pPr>
        <w:spacing w:line="480" w:lineRule="auto"/>
        <w:ind w:left="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 результате выполнения:</w:t>
      </w:r>
    </w:p>
    <w:p w:rsidR="00000000" w:rsidDel="00000000" w:rsidP="00000000" w:rsidRDefault="00000000" w:rsidRPr="00000000" w14:paraId="00000111">
      <w:pPr>
        <w:numPr>
          <w:ilvl w:val="0"/>
          <w:numId w:val="2"/>
        </w:numPr>
        <w:spacing w:line="48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С помощью генератора импульсов Keysight Trueform 33600A, цифрового запоминающего осциллографа АКИП-76402С, настроено управление устройством Libera Hadron с использованием внутреннего программного обеспечения;</w:t>
      </w:r>
    </w:p>
    <w:p w:rsidR="00000000" w:rsidDel="00000000" w:rsidP="00000000" w:rsidRDefault="00000000" w:rsidRPr="00000000" w14:paraId="00000112">
      <w:pPr>
        <w:numPr>
          <w:ilvl w:val="0"/>
          <w:numId w:val="2"/>
        </w:numPr>
        <w:spacing w:line="48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На языке программирования С++ написано 2 класса, необходимые для работы с  внутренними модулями устройства Libera Hadron через систему управления Tango Controls;</w:t>
      </w:r>
    </w:p>
    <w:p w:rsidR="00000000" w:rsidDel="00000000" w:rsidP="00000000" w:rsidRDefault="00000000" w:rsidRPr="00000000" w14:paraId="00000113">
      <w:pPr>
        <w:numPr>
          <w:ilvl w:val="0"/>
          <w:numId w:val="2"/>
        </w:numPr>
        <w:spacing w:line="48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Написанные классы интегрированы в систему управления Tango Controls и протестированы и отлажены на стенде, включающем в себя генератора импульсов Keysight Trueform 33600A, промышленный компьютер National Instruments Ni Pxie-1075 с запущенным Tango сервером, персональный компьютер для централизованного управления частями стенда.</w:t>
      </w:r>
    </w:p>
    <w:p w:rsidR="00000000" w:rsidDel="00000000" w:rsidP="00000000" w:rsidRDefault="00000000" w:rsidRPr="00000000" w14:paraId="00000114">
      <w:pPr>
        <w:spacing w:line="480" w:lineRule="auto"/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spacing w:line="480" w:lineRule="auto"/>
        <w:ind w:left="0" w:firstLine="0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Заключение</w:t>
      </w:r>
    </w:p>
    <w:p w:rsidR="00000000" w:rsidDel="00000000" w:rsidP="00000000" w:rsidRDefault="00000000" w:rsidRPr="00000000" w14:paraId="00000116">
      <w:pPr>
        <w:spacing w:line="480" w:lineRule="auto"/>
        <w:ind w:firstLine="720"/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 результате выполнения данной работы разработано, протестировано и отлажено программное обеспечение для управления устройством Libera Hadron через систему Tango Controls. Созданное программное обеспечение планируется использовать в качестве одного из модулей системы контроля положения пучков в Бустере Нуклотрона.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spacing w:line="48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spacing w:line="480" w:lineRule="auto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spacing w:line="48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Список литературы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numPr>
          <w:ilvl w:val="0"/>
          <w:numId w:val="4"/>
        </w:numPr>
        <w:spacing w:line="48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Сайт проекта NICA, </w:t>
      </w:r>
      <w:hyperlink r:id="rId29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https://nica.jinr.ru/ru/</w:t>
        </w:r>
      </w:hyperlink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11B">
      <w:pPr>
        <w:numPr>
          <w:ilvl w:val="0"/>
          <w:numId w:val="4"/>
        </w:numPr>
        <w:spacing w:line="48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V.D.Kekelidze, A.D.Kovalenko, R.Lednicky, V.A. Matveev, I.N.Meshkov, A.S.Sorin, G.V.Trubnikov,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Project NICA at JINR, Nuclear Physics A, ISSN:0375-9474, eISSN:1873-1554, Изд:Elsevier B.V. 2013  том 904-905 </w:t>
      </w:r>
    </w:p>
    <w:p w:rsidR="00000000" w:rsidDel="00000000" w:rsidP="00000000" w:rsidRDefault="00000000" w:rsidRPr="00000000" w14:paraId="0000011C">
      <w:pPr>
        <w:numPr>
          <w:ilvl w:val="0"/>
          <w:numId w:val="4"/>
        </w:numPr>
        <w:spacing w:line="48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Смалюк В.В., Диагностика пучков заряженных частиц в ускорителях / Под ред. чл.-корр. РАН Н.С.Диканского. Новосибирск: Параллель, 2009. 294 с.</w:t>
      </w:r>
    </w:p>
    <w:p w:rsidR="00000000" w:rsidDel="00000000" w:rsidP="00000000" w:rsidRDefault="00000000" w:rsidRPr="00000000" w14:paraId="0000011D">
      <w:pPr>
        <w:spacing w:line="480" w:lineRule="auto"/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ISBN 978-5-98901-063-9</w:t>
      </w:r>
    </w:p>
    <w:p w:rsidR="00000000" w:rsidDel="00000000" w:rsidP="00000000" w:rsidRDefault="00000000" w:rsidRPr="00000000" w14:paraId="0000011E">
      <w:pPr>
        <w:numPr>
          <w:ilvl w:val="0"/>
          <w:numId w:val="4"/>
        </w:numPr>
        <w:spacing w:line="48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Michiko G. Minty, Frank Zimmermann, Beam Techniques – Beam Control and Manipulation, Lectures given at the US Particle Accelerator School, University of Chicago and Argonne National Laboratory, June 14–25, 1999</w:t>
      </w:r>
    </w:p>
    <w:p w:rsidR="00000000" w:rsidDel="00000000" w:rsidP="00000000" w:rsidRDefault="00000000" w:rsidRPr="00000000" w14:paraId="0000011F">
      <w:pPr>
        <w:widowControl w:val="0"/>
        <w:numPr>
          <w:ilvl w:val="0"/>
          <w:numId w:val="4"/>
        </w:numPr>
        <w:spacing w:line="480" w:lineRule="auto"/>
        <w:ind w:left="720" w:hanging="360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Официальный сайт производителя устройства, </w:t>
      </w:r>
      <w:hyperlink r:id="rId30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highlight w:val="white"/>
            <w:u w:val="single"/>
            <w:rtl w:val="0"/>
          </w:rPr>
          <w:t xml:space="preserve">https://www.i-tech.si/products/libera-hadron/</w:t>
        </w:r>
      </w:hyperlink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120">
      <w:pPr>
        <w:widowControl w:val="0"/>
        <w:numPr>
          <w:ilvl w:val="0"/>
          <w:numId w:val="4"/>
        </w:numPr>
        <w:spacing w:line="480" w:lineRule="auto"/>
        <w:ind w:left="720" w:hanging="360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Libera Hadron beam position processor user manual, </w:t>
      </w:r>
      <w:hyperlink r:id="rId31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highlight w:val="white"/>
            <w:u w:val="single"/>
            <w:rtl w:val="0"/>
          </w:rPr>
          <w:t xml:space="preserve">https://www.i-tech.si/products/libera-hadron/</w:t>
        </w:r>
      </w:hyperlink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numPr>
          <w:ilvl w:val="0"/>
          <w:numId w:val="4"/>
        </w:numPr>
        <w:spacing w:line="480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Официальный сайт проекта Tango, </w:t>
      </w:r>
      <w:hyperlink r:id="rId32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https://www.tango-controls.org/</w:t>
        </w:r>
      </w:hyperlink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122">
      <w:pPr>
        <w:numPr>
          <w:ilvl w:val="0"/>
          <w:numId w:val="4"/>
        </w:numPr>
        <w:spacing w:line="480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Документация проекта Tango, </w:t>
      </w:r>
      <w:hyperlink r:id="rId33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https://tango-controls.readthedocs.io/en/latest/contents.html</w:t>
        </w:r>
      </w:hyperlink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123">
      <w:pPr>
        <w:numPr>
          <w:ilvl w:val="0"/>
          <w:numId w:val="4"/>
        </w:numPr>
        <w:spacing w:line="480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Материалы для разработчиков, </w:t>
      </w:r>
      <w:hyperlink r:id="rId34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https://tango-controls.github.io/cppTango-docs/index.html</w:t>
        </w:r>
      </w:hyperlink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numPr>
          <w:ilvl w:val="0"/>
          <w:numId w:val="4"/>
        </w:numPr>
        <w:spacing w:line="48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 В. Андреев, В. Волков, Е. Горбачёв, А. Кириченко, Д. Монахов, С. Романов, Г. Седых, Т. Рукояткина, Развитие комплексной системы контроля Нуклотрона и ускорителей NICA, In proceedings of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“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NICA accelerating complex: problems and solutions — 2014”,  Sozopol, Bulgaria</w:t>
      </w:r>
    </w:p>
    <w:p w:rsidR="00000000" w:rsidDel="00000000" w:rsidP="00000000" w:rsidRDefault="00000000" w:rsidRPr="00000000" w14:paraId="00000125">
      <w:pPr>
        <w:numPr>
          <w:ilvl w:val="0"/>
          <w:numId w:val="4"/>
        </w:numPr>
        <w:spacing w:line="48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 E. V. Gorbachev, V. A. Andreev, A. E. Kirichenko, D. V. Monakhov, S. V. Romanov, T. V. Rukoyatkina, G. S. Sedykh, V. I. Volkov, The Nuclotron and Nica control system development status., Physics of Particles and Nuclei Letters, ISSN:1547-4771, eISSN:1531-8567, Изд:MAIK Nauka/Interperiodica distributed exclusively by Springer Science+Business Media LLC. 2016 том 13 журнал 5, </w:t>
      </w:r>
    </w:p>
    <w:p w:rsidR="00000000" w:rsidDel="00000000" w:rsidP="00000000" w:rsidRDefault="00000000" w:rsidRPr="00000000" w14:paraId="00000126">
      <w:pPr>
        <w:widowControl w:val="0"/>
        <w:numPr>
          <w:ilvl w:val="0"/>
          <w:numId w:val="4"/>
        </w:numPr>
        <w:spacing w:line="48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 Андреев В.А., Волков В.И., Горбачев Е.В., Елкин В.Г., Исадов В.А., Кириченко А.Е., Монахов Д.В., Назлев Х.П., Романов С.В., Рукояткина Т.В., Седых Г.С., </w:t>
      </w:r>
    </w:p>
    <w:p w:rsidR="00000000" w:rsidDel="00000000" w:rsidP="00000000" w:rsidRDefault="00000000" w:rsidRPr="00000000" w14:paraId="00000127">
      <w:pPr>
        <w:widowControl w:val="0"/>
        <w:spacing w:line="480" w:lineRule="auto"/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Система управления и диагностики пучка Бустера NICA, Письма в ЭЧАЯ, ISSN:1814-5957, eISSN:1814-5973, Изд:ОИЯИ Передано в печать </w:t>
      </w:r>
    </w:p>
    <w:tbl>
      <w:tblPr>
        <w:tblStyle w:val="Table6"/>
        <w:tblW w:w="8805.0" w:type="dxa"/>
        <w:jc w:val="left"/>
        <w:tblInd w:w="80.0" w:type="pct"/>
        <w:tblBorders>
          <w:top w:color="000000" w:space="0" w:sz="0" w:val="nil"/>
          <w:left w:color="708090" w:space="0" w:sz="6" w:val="single"/>
          <w:bottom w:color="708090" w:space="0" w:sz="12" w:val="single"/>
          <w:right w:color="708090" w:space="0" w:sz="12" w:val="single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8160"/>
        <w:gridCol w:w="645"/>
        <w:tblGridChange w:id="0">
          <w:tblGrid>
            <w:gridCol w:w="8160"/>
            <w:gridCol w:w="645"/>
          </w:tblGrid>
        </w:tblGridChange>
      </w:tblGrid>
      <w:tr>
        <w:trPr>
          <w:trHeight w:val="615" w:hRule="atLeast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  <w:vAlign w:val="top"/>
          </w:tcPr>
          <w:p w:rsidR="00000000" w:rsidDel="00000000" w:rsidP="00000000" w:rsidRDefault="00000000" w:rsidRPr="00000000" w14:paraId="0000012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  <w:vAlign w:val="top"/>
          </w:tcPr>
          <w:p w:rsidR="00000000" w:rsidDel="00000000" w:rsidP="00000000" w:rsidRDefault="00000000" w:rsidRPr="00000000" w14:paraId="0000012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2A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sectPr>
      <w:headerReference r:id="rId35" w:type="first"/>
      <w:footerReference r:id="rId36" w:type="default"/>
      <w:footerReference r:id="rId37" w:type="first"/>
      <w:pgSz w:h="16834" w:w="11909"/>
      <w:pgMar w:bottom="1440" w:top="1440" w:left="1440" w:right="1440" w:header="720" w:footer="720"/>
      <w:pgNumType w:start="1"/>
      <w:titlePg w:val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  <w:font w:name="Droid Sans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2B">
    <w:pPr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2D">
    <w:pPr>
      <w:rPr/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2C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cPr>
      <w:shd w:fill="ffffff" w:val="clear"/>
    </w:tc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cPr>
      <w:shd w:fill="ffffff" w:val="clear"/>
    </w:tc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0.png"/><Relationship Id="rId22" Type="http://schemas.openxmlformats.org/officeDocument/2006/relationships/image" Target="media/image22.png"/><Relationship Id="rId21" Type="http://schemas.openxmlformats.org/officeDocument/2006/relationships/image" Target="media/image13.png"/><Relationship Id="rId24" Type="http://schemas.openxmlformats.org/officeDocument/2006/relationships/image" Target="media/image4.png"/><Relationship Id="rId23" Type="http://schemas.openxmlformats.org/officeDocument/2006/relationships/image" Target="media/image18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1.png"/><Relationship Id="rId26" Type="http://schemas.openxmlformats.org/officeDocument/2006/relationships/image" Target="media/image5.png"/><Relationship Id="rId25" Type="http://schemas.openxmlformats.org/officeDocument/2006/relationships/image" Target="media/image21.png"/><Relationship Id="rId28" Type="http://schemas.openxmlformats.org/officeDocument/2006/relationships/image" Target="media/image16.png"/><Relationship Id="rId27" Type="http://schemas.openxmlformats.org/officeDocument/2006/relationships/image" Target="media/image8.png"/><Relationship Id="rId5" Type="http://schemas.openxmlformats.org/officeDocument/2006/relationships/styles" Target="styles.xml"/><Relationship Id="rId6" Type="http://schemas.openxmlformats.org/officeDocument/2006/relationships/image" Target="media/image14.png"/><Relationship Id="rId29" Type="http://schemas.openxmlformats.org/officeDocument/2006/relationships/hyperlink" Target="https://nica.jinr.ru/ru/" TargetMode="External"/><Relationship Id="rId7" Type="http://schemas.openxmlformats.org/officeDocument/2006/relationships/image" Target="media/image9.png"/><Relationship Id="rId8" Type="http://schemas.openxmlformats.org/officeDocument/2006/relationships/image" Target="media/image1.png"/><Relationship Id="rId31" Type="http://schemas.openxmlformats.org/officeDocument/2006/relationships/hyperlink" Target="https://www.i-tech.si/products/libera-hadron/" TargetMode="External"/><Relationship Id="rId30" Type="http://schemas.openxmlformats.org/officeDocument/2006/relationships/hyperlink" Target="https://www.i-tech.si/products/libera-hadron/" TargetMode="External"/><Relationship Id="rId11" Type="http://schemas.openxmlformats.org/officeDocument/2006/relationships/image" Target="media/image12.png"/><Relationship Id="rId33" Type="http://schemas.openxmlformats.org/officeDocument/2006/relationships/hyperlink" Target="https://tango-controls.readthedocs.io/en/latest/contents.html" TargetMode="External"/><Relationship Id="rId10" Type="http://schemas.openxmlformats.org/officeDocument/2006/relationships/image" Target="media/image15.png"/><Relationship Id="rId32" Type="http://schemas.openxmlformats.org/officeDocument/2006/relationships/hyperlink" Target="https://www.tango-controls.org/" TargetMode="External"/><Relationship Id="rId13" Type="http://schemas.openxmlformats.org/officeDocument/2006/relationships/image" Target="media/image17.png"/><Relationship Id="rId35" Type="http://schemas.openxmlformats.org/officeDocument/2006/relationships/header" Target="header1.xml"/><Relationship Id="rId12" Type="http://schemas.openxmlformats.org/officeDocument/2006/relationships/image" Target="media/image2.png"/><Relationship Id="rId34" Type="http://schemas.openxmlformats.org/officeDocument/2006/relationships/hyperlink" Target="https://tango-controls.github.io/cppTango-docs/index.html" TargetMode="External"/><Relationship Id="rId15" Type="http://schemas.openxmlformats.org/officeDocument/2006/relationships/image" Target="media/image10.png"/><Relationship Id="rId37" Type="http://schemas.openxmlformats.org/officeDocument/2006/relationships/footer" Target="footer2.xml"/><Relationship Id="rId14" Type="http://schemas.openxmlformats.org/officeDocument/2006/relationships/image" Target="media/image7.png"/><Relationship Id="rId36" Type="http://schemas.openxmlformats.org/officeDocument/2006/relationships/footer" Target="footer1.xml"/><Relationship Id="rId17" Type="http://schemas.openxmlformats.org/officeDocument/2006/relationships/image" Target="media/image6.png"/><Relationship Id="rId16" Type="http://schemas.openxmlformats.org/officeDocument/2006/relationships/image" Target="media/image19.png"/><Relationship Id="rId19" Type="http://schemas.openxmlformats.org/officeDocument/2006/relationships/image" Target="media/image23.png"/><Relationship Id="rId1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