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07" w:rsidRPr="00256DC9" w:rsidRDefault="00402B07" w:rsidP="00256DC9">
      <w:pPr>
        <w:spacing w:line="360" w:lineRule="auto"/>
        <w:jc w:val="center"/>
        <w:rPr>
          <w:rFonts w:ascii="Times New Roman" w:hAnsi="Times New Roman" w:cs="Times New Roman"/>
          <w:sz w:val="28"/>
          <w:szCs w:val="28"/>
          <w:shd w:val="clear" w:color="auto" w:fill="FFFFFF"/>
        </w:rPr>
      </w:pPr>
      <w:bookmarkStart w:id="0" w:name="_Hlk41315072"/>
      <w:bookmarkEnd w:id="0"/>
      <w:r w:rsidRPr="00256DC9">
        <w:rPr>
          <w:rFonts w:ascii="Times New Roman" w:hAnsi="Times New Roman" w:cs="Times New Roman"/>
          <w:sz w:val="28"/>
          <w:szCs w:val="28"/>
          <w:shd w:val="clear" w:color="auto" w:fill="FFFFFF"/>
        </w:rPr>
        <w:t>ФГБОУ ВО «Санкт-Петербургский государственный университет»</w:t>
      </w:r>
    </w:p>
    <w:p w:rsidR="00402B07" w:rsidRPr="00256DC9" w:rsidRDefault="00402B07" w:rsidP="00256DC9">
      <w:pPr>
        <w:spacing w:line="360" w:lineRule="auto"/>
        <w:jc w:val="center"/>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Направление «Медицина»</w:t>
      </w:r>
    </w:p>
    <w:p w:rsidR="00402B07" w:rsidRPr="00256DC9" w:rsidRDefault="00402B07" w:rsidP="00256DC9">
      <w:pPr>
        <w:spacing w:line="360" w:lineRule="auto"/>
        <w:jc w:val="center"/>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 xml:space="preserve">Кафедра </w:t>
      </w:r>
      <w:r w:rsidR="006D1855" w:rsidRPr="00256DC9">
        <w:rPr>
          <w:rFonts w:ascii="Times New Roman" w:hAnsi="Times New Roman" w:cs="Times New Roman"/>
          <w:sz w:val="28"/>
          <w:szCs w:val="28"/>
          <w:shd w:val="clear" w:color="auto" w:fill="FFFFFF"/>
        </w:rPr>
        <w:t>факультетской хирургии</w:t>
      </w:r>
    </w:p>
    <w:p w:rsidR="00402B07" w:rsidRPr="00256DC9" w:rsidRDefault="00402B07" w:rsidP="00256DC9">
      <w:pPr>
        <w:spacing w:line="360" w:lineRule="auto"/>
        <w:jc w:val="both"/>
        <w:rPr>
          <w:rFonts w:ascii="Times New Roman" w:hAnsi="Times New Roman" w:cs="Times New Roman"/>
          <w:sz w:val="28"/>
          <w:szCs w:val="28"/>
          <w:shd w:val="clear" w:color="auto" w:fill="FFFFFF"/>
        </w:rPr>
      </w:pPr>
    </w:p>
    <w:p w:rsidR="00402B07" w:rsidRPr="00256DC9" w:rsidRDefault="00402B07" w:rsidP="001A0DFD">
      <w:pPr>
        <w:jc w:val="both"/>
        <w:rPr>
          <w:rFonts w:ascii="Times New Roman" w:hAnsi="Times New Roman" w:cs="Times New Roman"/>
          <w:b/>
          <w:sz w:val="28"/>
          <w:szCs w:val="28"/>
          <w:shd w:val="clear" w:color="auto" w:fill="FFFFFF"/>
        </w:rPr>
      </w:pPr>
      <w:r w:rsidRPr="00256DC9">
        <w:rPr>
          <w:rFonts w:ascii="Times New Roman" w:hAnsi="Times New Roman" w:cs="Times New Roman"/>
          <w:b/>
          <w:sz w:val="28"/>
          <w:szCs w:val="28"/>
          <w:shd w:val="clear" w:color="auto" w:fill="FFFFFF"/>
        </w:rPr>
        <w:t>Допускается к защите</w:t>
      </w:r>
    </w:p>
    <w:p w:rsidR="00402B07" w:rsidRPr="00256DC9" w:rsidRDefault="00402B07" w:rsidP="001A0DFD">
      <w:pPr>
        <w:jc w:val="both"/>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 xml:space="preserve">Заведующий кафедрой </w:t>
      </w:r>
    </w:p>
    <w:p w:rsidR="00402B07" w:rsidRPr="00256DC9" w:rsidRDefault="00402B07" w:rsidP="001A0DFD">
      <w:pPr>
        <w:jc w:val="both"/>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 xml:space="preserve">д.м.н., </w:t>
      </w:r>
      <w:r w:rsidR="006D1855" w:rsidRPr="00256DC9">
        <w:rPr>
          <w:rFonts w:ascii="Times New Roman" w:hAnsi="Times New Roman" w:cs="Times New Roman"/>
          <w:sz w:val="28"/>
          <w:szCs w:val="28"/>
          <w:shd w:val="clear" w:color="auto" w:fill="FFFFFF"/>
        </w:rPr>
        <w:t>проф. Кащенко В.А.</w:t>
      </w:r>
    </w:p>
    <w:p w:rsidR="00402B07" w:rsidRPr="00256DC9" w:rsidRDefault="00402B07" w:rsidP="001A0DFD">
      <w:pPr>
        <w:jc w:val="both"/>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«_</w:t>
      </w:r>
      <w:proofErr w:type="gramStart"/>
      <w:r w:rsidRPr="00256DC9">
        <w:rPr>
          <w:rFonts w:ascii="Times New Roman" w:hAnsi="Times New Roman" w:cs="Times New Roman"/>
          <w:sz w:val="28"/>
          <w:szCs w:val="28"/>
          <w:shd w:val="clear" w:color="auto" w:fill="FFFFFF"/>
        </w:rPr>
        <w:t>_»_</w:t>
      </w:r>
      <w:proofErr w:type="gramEnd"/>
      <w:r w:rsidRPr="00256DC9">
        <w:rPr>
          <w:rFonts w:ascii="Times New Roman" w:hAnsi="Times New Roman" w:cs="Times New Roman"/>
          <w:sz w:val="28"/>
          <w:szCs w:val="28"/>
          <w:shd w:val="clear" w:color="auto" w:fill="FFFFFF"/>
        </w:rPr>
        <w:t>________20__г.</w:t>
      </w:r>
    </w:p>
    <w:p w:rsidR="00845F41" w:rsidRPr="00256DC9" w:rsidRDefault="00845F41" w:rsidP="00256DC9">
      <w:pPr>
        <w:spacing w:line="360" w:lineRule="auto"/>
        <w:jc w:val="both"/>
        <w:rPr>
          <w:rFonts w:ascii="Times New Roman" w:hAnsi="Times New Roman" w:cs="Times New Roman"/>
          <w:sz w:val="28"/>
          <w:szCs w:val="28"/>
          <w:shd w:val="clear" w:color="auto" w:fill="FFFFFF"/>
        </w:rPr>
      </w:pPr>
    </w:p>
    <w:p w:rsidR="00402B07" w:rsidRPr="00256DC9" w:rsidRDefault="00402B07" w:rsidP="00256DC9">
      <w:pPr>
        <w:spacing w:line="360" w:lineRule="auto"/>
        <w:jc w:val="center"/>
        <w:rPr>
          <w:rFonts w:ascii="Times New Roman" w:hAnsi="Times New Roman" w:cs="Times New Roman"/>
          <w:b/>
          <w:sz w:val="28"/>
          <w:szCs w:val="28"/>
          <w:shd w:val="clear" w:color="auto" w:fill="FFFFFF"/>
        </w:rPr>
      </w:pPr>
      <w:r w:rsidRPr="00256DC9">
        <w:rPr>
          <w:rFonts w:ascii="Times New Roman" w:hAnsi="Times New Roman" w:cs="Times New Roman"/>
          <w:b/>
          <w:sz w:val="28"/>
          <w:szCs w:val="28"/>
          <w:shd w:val="clear" w:color="auto" w:fill="FFFFFF"/>
        </w:rPr>
        <w:t>ВЫПУСКНАЯ КВАЛИФИКАЦИОННАЯ РАБОТА</w:t>
      </w:r>
    </w:p>
    <w:p w:rsidR="00402B07" w:rsidRPr="00256DC9" w:rsidRDefault="00402B07" w:rsidP="00256DC9">
      <w:pPr>
        <w:spacing w:line="360" w:lineRule="auto"/>
        <w:jc w:val="center"/>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НА ТЕМУ:</w:t>
      </w:r>
    </w:p>
    <w:p w:rsidR="00402B07" w:rsidRDefault="00A82A9E" w:rsidP="0039312E">
      <w:pPr>
        <w:spacing w:line="360" w:lineRule="auto"/>
        <w:jc w:val="center"/>
        <w:rPr>
          <w:rFonts w:ascii="Times New Roman" w:hAnsi="Times New Roman" w:cs="Times New Roman"/>
          <w:b/>
          <w:sz w:val="28"/>
          <w:szCs w:val="28"/>
          <w:shd w:val="clear" w:color="auto" w:fill="FFFFFF"/>
        </w:rPr>
      </w:pPr>
      <w:r w:rsidRPr="00256DC9">
        <w:rPr>
          <w:rFonts w:ascii="Times New Roman" w:hAnsi="Times New Roman" w:cs="Times New Roman"/>
          <w:b/>
          <w:sz w:val="28"/>
          <w:szCs w:val="28"/>
          <w:shd w:val="clear" w:color="auto" w:fill="FFFFFF"/>
        </w:rPr>
        <w:t>Изучение эффективности инфузионно-трансфузионной терапии у больных язвенной болезнью, осложненной кровотечением из язвы</w:t>
      </w:r>
    </w:p>
    <w:p w:rsidR="001A0DFD" w:rsidRPr="0039312E" w:rsidRDefault="001A0DFD" w:rsidP="001A0DFD">
      <w:pPr>
        <w:jc w:val="center"/>
        <w:rPr>
          <w:rFonts w:ascii="Times New Roman" w:hAnsi="Times New Roman" w:cs="Times New Roman"/>
          <w:b/>
          <w:sz w:val="28"/>
          <w:szCs w:val="28"/>
          <w:shd w:val="clear" w:color="auto" w:fill="FFFFFF"/>
        </w:rPr>
      </w:pPr>
    </w:p>
    <w:p w:rsidR="00402B07" w:rsidRPr="00256DC9" w:rsidRDefault="00402B07" w:rsidP="001A0DFD">
      <w:pPr>
        <w:ind w:left="4678" w:firstLine="425"/>
        <w:jc w:val="both"/>
        <w:rPr>
          <w:rFonts w:ascii="Times New Roman" w:hAnsi="Times New Roman" w:cs="Times New Roman"/>
          <w:sz w:val="28"/>
          <w:szCs w:val="28"/>
        </w:rPr>
      </w:pPr>
      <w:r w:rsidRPr="00256DC9">
        <w:rPr>
          <w:rFonts w:ascii="Times New Roman" w:hAnsi="Times New Roman" w:cs="Times New Roman"/>
          <w:sz w:val="28"/>
          <w:szCs w:val="28"/>
        </w:rPr>
        <w:t>Выполнил:</w:t>
      </w:r>
    </w:p>
    <w:p w:rsidR="00402B07" w:rsidRPr="00256DC9" w:rsidRDefault="00402B07" w:rsidP="001A0DFD">
      <w:pPr>
        <w:ind w:left="4678" w:firstLine="425"/>
        <w:jc w:val="both"/>
        <w:rPr>
          <w:rFonts w:ascii="Times New Roman" w:hAnsi="Times New Roman" w:cs="Times New Roman"/>
          <w:sz w:val="28"/>
          <w:szCs w:val="28"/>
        </w:rPr>
      </w:pPr>
      <w:r w:rsidRPr="00256DC9">
        <w:rPr>
          <w:rFonts w:ascii="Times New Roman" w:hAnsi="Times New Roman" w:cs="Times New Roman"/>
          <w:sz w:val="28"/>
          <w:szCs w:val="28"/>
        </w:rPr>
        <w:t>студент 14.С02-м группы</w:t>
      </w:r>
    </w:p>
    <w:p w:rsidR="00402B07" w:rsidRPr="00256DC9" w:rsidRDefault="006D1855" w:rsidP="001A0DFD">
      <w:pPr>
        <w:ind w:left="4678" w:firstLine="425"/>
        <w:jc w:val="both"/>
        <w:rPr>
          <w:rFonts w:ascii="Times New Roman" w:hAnsi="Times New Roman" w:cs="Times New Roman"/>
          <w:sz w:val="28"/>
          <w:szCs w:val="28"/>
        </w:rPr>
      </w:pPr>
      <w:r w:rsidRPr="00256DC9">
        <w:rPr>
          <w:rFonts w:ascii="Times New Roman" w:hAnsi="Times New Roman" w:cs="Times New Roman"/>
          <w:sz w:val="28"/>
          <w:szCs w:val="28"/>
        </w:rPr>
        <w:t>Коровин Владимир Александрович</w:t>
      </w:r>
    </w:p>
    <w:p w:rsidR="00402B07" w:rsidRPr="00256DC9" w:rsidRDefault="00402B07" w:rsidP="001A0DFD">
      <w:pPr>
        <w:ind w:left="4678" w:firstLine="425"/>
        <w:jc w:val="both"/>
        <w:rPr>
          <w:rFonts w:ascii="Times New Roman" w:hAnsi="Times New Roman" w:cs="Times New Roman"/>
          <w:sz w:val="28"/>
          <w:szCs w:val="28"/>
        </w:rPr>
      </w:pPr>
      <w:r w:rsidRPr="00256DC9">
        <w:rPr>
          <w:rFonts w:ascii="Times New Roman" w:hAnsi="Times New Roman" w:cs="Times New Roman"/>
          <w:sz w:val="28"/>
          <w:szCs w:val="28"/>
        </w:rPr>
        <w:t>Научный руководитель:</w:t>
      </w:r>
    </w:p>
    <w:p w:rsidR="006D1855" w:rsidRPr="00256DC9" w:rsidRDefault="006D1855" w:rsidP="001A0DFD">
      <w:pPr>
        <w:ind w:firstLine="5103"/>
        <w:jc w:val="both"/>
        <w:rPr>
          <w:rFonts w:ascii="Times New Roman" w:hAnsi="Times New Roman" w:cs="Times New Roman"/>
          <w:sz w:val="28"/>
          <w:szCs w:val="28"/>
        </w:rPr>
      </w:pPr>
      <w:r w:rsidRPr="00256DC9">
        <w:rPr>
          <w:rFonts w:ascii="Times New Roman" w:hAnsi="Times New Roman" w:cs="Times New Roman"/>
          <w:sz w:val="28"/>
          <w:szCs w:val="28"/>
        </w:rPr>
        <w:t xml:space="preserve">д.м.н., проф. </w:t>
      </w:r>
    </w:p>
    <w:p w:rsidR="00845F41" w:rsidRPr="00256DC9" w:rsidRDefault="006D1855" w:rsidP="001A0DFD">
      <w:pPr>
        <w:ind w:firstLine="5103"/>
        <w:jc w:val="both"/>
        <w:rPr>
          <w:rFonts w:ascii="Times New Roman" w:hAnsi="Times New Roman" w:cs="Times New Roman"/>
          <w:sz w:val="28"/>
          <w:szCs w:val="28"/>
        </w:rPr>
      </w:pPr>
      <w:r w:rsidRPr="00256DC9">
        <w:rPr>
          <w:rFonts w:ascii="Times New Roman" w:hAnsi="Times New Roman" w:cs="Times New Roman"/>
          <w:sz w:val="28"/>
          <w:szCs w:val="28"/>
        </w:rPr>
        <w:t>Варзин Сергей Александрович</w:t>
      </w:r>
    </w:p>
    <w:p w:rsidR="0039312E" w:rsidRDefault="0039312E" w:rsidP="00256DC9">
      <w:pPr>
        <w:spacing w:line="360" w:lineRule="auto"/>
        <w:jc w:val="center"/>
        <w:rPr>
          <w:rFonts w:ascii="Times New Roman" w:hAnsi="Times New Roman" w:cs="Times New Roman"/>
          <w:sz w:val="28"/>
          <w:szCs w:val="28"/>
        </w:rPr>
      </w:pPr>
    </w:p>
    <w:p w:rsidR="00402B07" w:rsidRPr="00256DC9" w:rsidRDefault="00402B07" w:rsidP="00256DC9">
      <w:pPr>
        <w:spacing w:line="360" w:lineRule="auto"/>
        <w:jc w:val="center"/>
        <w:rPr>
          <w:rFonts w:ascii="Times New Roman" w:hAnsi="Times New Roman" w:cs="Times New Roman"/>
          <w:sz w:val="28"/>
          <w:szCs w:val="28"/>
        </w:rPr>
      </w:pPr>
      <w:r w:rsidRPr="00256DC9">
        <w:rPr>
          <w:rFonts w:ascii="Times New Roman" w:hAnsi="Times New Roman" w:cs="Times New Roman"/>
          <w:sz w:val="28"/>
          <w:szCs w:val="28"/>
        </w:rPr>
        <w:t>Санкт-Петербург</w:t>
      </w:r>
    </w:p>
    <w:p w:rsidR="00402B07" w:rsidRPr="00256DC9" w:rsidRDefault="00402B07" w:rsidP="00256DC9">
      <w:pPr>
        <w:spacing w:line="360" w:lineRule="auto"/>
        <w:jc w:val="center"/>
        <w:rPr>
          <w:rFonts w:ascii="Times New Roman" w:hAnsi="Times New Roman" w:cs="Times New Roman"/>
          <w:sz w:val="28"/>
          <w:szCs w:val="28"/>
        </w:rPr>
      </w:pPr>
      <w:r w:rsidRPr="00256DC9">
        <w:rPr>
          <w:rFonts w:ascii="Times New Roman" w:hAnsi="Times New Roman" w:cs="Times New Roman"/>
          <w:sz w:val="28"/>
          <w:szCs w:val="28"/>
        </w:rPr>
        <w:t>2020 год</w:t>
      </w:r>
    </w:p>
    <w:p w:rsidR="00402B07" w:rsidRPr="00256DC9" w:rsidRDefault="00402B07" w:rsidP="00256DC9">
      <w:pPr>
        <w:spacing w:line="360" w:lineRule="auto"/>
        <w:jc w:val="center"/>
        <w:rPr>
          <w:rFonts w:ascii="Times New Roman" w:hAnsi="Times New Roman" w:cs="Times New Roman"/>
          <w:sz w:val="28"/>
          <w:szCs w:val="28"/>
        </w:rPr>
      </w:pPr>
      <w:r w:rsidRPr="00256DC9">
        <w:rPr>
          <w:rFonts w:ascii="Times New Roman" w:eastAsia="Times New Roman" w:hAnsi="Times New Roman" w:cs="Times New Roman"/>
          <w:b/>
          <w:sz w:val="28"/>
          <w:szCs w:val="28"/>
        </w:rPr>
        <w:br w:type="page"/>
      </w:r>
      <w:r w:rsidRPr="00256DC9">
        <w:rPr>
          <w:rFonts w:ascii="Times New Roman" w:hAnsi="Times New Roman" w:cs="Times New Roman"/>
          <w:sz w:val="28"/>
          <w:szCs w:val="28"/>
        </w:rPr>
        <w:lastRenderedPageBreak/>
        <w:t>ОГЛАВЛЕНИЕ</w:t>
      </w:r>
    </w:p>
    <w:p w:rsidR="00402B07" w:rsidRPr="00256DC9" w:rsidRDefault="00402B07" w:rsidP="00256DC9">
      <w:pPr>
        <w:spacing w:line="360" w:lineRule="auto"/>
        <w:jc w:val="both"/>
        <w:rPr>
          <w:rFonts w:ascii="Times New Roman" w:hAnsi="Times New Roman" w:cs="Times New Roman"/>
          <w:sz w:val="28"/>
          <w:szCs w:val="28"/>
        </w:rPr>
      </w:pPr>
    </w:p>
    <w:p w:rsidR="00402B07" w:rsidRPr="00256DC9" w:rsidRDefault="00402B07"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Перечень условных сокращений и символов</w:t>
      </w:r>
      <w:r w:rsidRPr="00256DC9">
        <w:rPr>
          <w:rFonts w:ascii="Times New Roman" w:hAnsi="Times New Roman" w:cs="Times New Roman"/>
          <w:sz w:val="28"/>
          <w:szCs w:val="28"/>
        </w:rPr>
        <w:ptab w:relativeTo="margin" w:alignment="right" w:leader="dot"/>
      </w:r>
      <w:r w:rsidRPr="00256DC9">
        <w:rPr>
          <w:rFonts w:ascii="Times New Roman" w:hAnsi="Times New Roman" w:cs="Times New Roman"/>
          <w:sz w:val="28"/>
          <w:szCs w:val="28"/>
        </w:rPr>
        <w:t>3</w:t>
      </w:r>
    </w:p>
    <w:p w:rsidR="00402B07" w:rsidRPr="00256DC9" w:rsidRDefault="00402B07"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Введение</w:t>
      </w:r>
      <w:r w:rsidRPr="00256DC9">
        <w:rPr>
          <w:rFonts w:ascii="Times New Roman" w:hAnsi="Times New Roman" w:cs="Times New Roman"/>
          <w:sz w:val="28"/>
          <w:szCs w:val="28"/>
        </w:rPr>
        <w:ptab w:relativeTo="margin" w:alignment="right" w:leader="dot"/>
      </w:r>
      <w:r w:rsidRPr="00256DC9">
        <w:rPr>
          <w:rFonts w:ascii="Times New Roman" w:hAnsi="Times New Roman" w:cs="Times New Roman"/>
          <w:sz w:val="28"/>
          <w:szCs w:val="28"/>
        </w:rPr>
        <w:t>4</w:t>
      </w:r>
    </w:p>
    <w:p w:rsidR="00402B07" w:rsidRPr="00256DC9" w:rsidRDefault="00402B07" w:rsidP="00256DC9">
      <w:pPr>
        <w:spacing w:line="360" w:lineRule="auto"/>
        <w:ind w:left="567" w:hanging="567"/>
        <w:jc w:val="both"/>
        <w:rPr>
          <w:rFonts w:ascii="Times New Roman" w:hAnsi="Times New Roman" w:cs="Times New Roman"/>
          <w:sz w:val="28"/>
          <w:szCs w:val="28"/>
        </w:rPr>
      </w:pPr>
      <w:r w:rsidRPr="00256DC9">
        <w:rPr>
          <w:rFonts w:ascii="Times New Roman" w:hAnsi="Times New Roman" w:cs="Times New Roman"/>
          <w:b/>
          <w:sz w:val="28"/>
          <w:szCs w:val="28"/>
        </w:rPr>
        <w:t>Глава 1. Обзор литературы</w:t>
      </w:r>
      <w:r w:rsidRPr="00256DC9">
        <w:rPr>
          <w:rFonts w:ascii="Times New Roman" w:hAnsi="Times New Roman" w:cs="Times New Roman"/>
          <w:sz w:val="28"/>
          <w:szCs w:val="28"/>
        </w:rPr>
        <w:ptab w:relativeTo="margin" w:alignment="right" w:leader="dot"/>
      </w:r>
      <w:r w:rsidRPr="00256DC9">
        <w:rPr>
          <w:rFonts w:ascii="Times New Roman" w:hAnsi="Times New Roman" w:cs="Times New Roman"/>
          <w:sz w:val="28"/>
          <w:szCs w:val="28"/>
        </w:rPr>
        <w:t>6</w:t>
      </w:r>
    </w:p>
    <w:p w:rsidR="00402B07" w:rsidRPr="00256DC9" w:rsidRDefault="00256DC9" w:rsidP="00372910">
      <w:pPr>
        <w:pStyle w:val="aa"/>
        <w:numPr>
          <w:ilvl w:val="1"/>
          <w:numId w:val="4"/>
        </w:numPr>
        <w:spacing w:line="360" w:lineRule="auto"/>
        <w:ind w:left="1134" w:right="-1" w:hanging="567"/>
        <w:jc w:val="both"/>
        <w:rPr>
          <w:rFonts w:ascii="Times New Roman" w:hAnsi="Times New Roman" w:cs="Times New Roman"/>
          <w:sz w:val="28"/>
          <w:szCs w:val="28"/>
        </w:rPr>
      </w:pPr>
      <w:r w:rsidRPr="00256DC9">
        <w:rPr>
          <w:rFonts w:ascii="Times New Roman" w:hAnsi="Times New Roman" w:cs="Times New Roman"/>
          <w:sz w:val="28"/>
          <w:szCs w:val="28"/>
        </w:rPr>
        <w:t xml:space="preserve">Историческая справка </w:t>
      </w:r>
      <w:r w:rsidR="00845F41" w:rsidRPr="00256DC9">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rsidR="00845F41" w:rsidRPr="00256DC9" w:rsidRDefault="00845F41" w:rsidP="00372910">
      <w:pPr>
        <w:pStyle w:val="aa"/>
        <w:numPr>
          <w:ilvl w:val="1"/>
          <w:numId w:val="4"/>
        </w:numPr>
        <w:spacing w:line="360" w:lineRule="auto"/>
        <w:ind w:left="1134" w:right="-1" w:hanging="567"/>
        <w:jc w:val="both"/>
        <w:rPr>
          <w:rFonts w:ascii="Times New Roman" w:hAnsi="Times New Roman" w:cs="Times New Roman"/>
          <w:sz w:val="28"/>
          <w:szCs w:val="28"/>
        </w:rPr>
      </w:pPr>
      <w:r w:rsidRPr="00256DC9">
        <w:rPr>
          <w:rFonts w:ascii="Times New Roman" w:hAnsi="Times New Roman" w:cs="Times New Roman"/>
          <w:sz w:val="28"/>
          <w:szCs w:val="28"/>
        </w:rPr>
        <w:t>Инфузионная терапия</w:t>
      </w:r>
      <w:r w:rsidRPr="00256DC9">
        <w:rPr>
          <w:rFonts w:ascii="Times New Roman" w:hAnsi="Times New Roman" w:cs="Times New Roman"/>
          <w:sz w:val="28"/>
          <w:szCs w:val="28"/>
        </w:rPr>
        <w:ptab w:relativeTo="margin" w:alignment="right" w:leader="dot"/>
      </w:r>
      <w:r w:rsidR="0012786F">
        <w:rPr>
          <w:rFonts w:ascii="Times New Roman" w:hAnsi="Times New Roman" w:cs="Times New Roman"/>
          <w:sz w:val="28"/>
          <w:szCs w:val="28"/>
        </w:rPr>
        <w:t>9</w:t>
      </w:r>
    </w:p>
    <w:p w:rsidR="00845F41" w:rsidRPr="00256DC9" w:rsidRDefault="00845F41" w:rsidP="00372910">
      <w:pPr>
        <w:pStyle w:val="aa"/>
        <w:numPr>
          <w:ilvl w:val="1"/>
          <w:numId w:val="4"/>
        </w:numPr>
        <w:spacing w:line="360" w:lineRule="auto"/>
        <w:ind w:left="1134" w:right="-1" w:hanging="567"/>
        <w:jc w:val="both"/>
        <w:rPr>
          <w:rFonts w:ascii="Times New Roman" w:hAnsi="Times New Roman" w:cs="Times New Roman"/>
          <w:sz w:val="28"/>
          <w:szCs w:val="28"/>
        </w:rPr>
      </w:pPr>
      <w:proofErr w:type="spellStart"/>
      <w:r w:rsidRPr="00256DC9">
        <w:rPr>
          <w:rFonts w:ascii="Times New Roman" w:hAnsi="Times New Roman" w:cs="Times New Roman"/>
          <w:sz w:val="28"/>
          <w:szCs w:val="28"/>
        </w:rPr>
        <w:t>Трасфузионная</w:t>
      </w:r>
      <w:proofErr w:type="spellEnd"/>
      <w:r w:rsidRPr="00256DC9">
        <w:rPr>
          <w:rFonts w:ascii="Times New Roman" w:hAnsi="Times New Roman" w:cs="Times New Roman"/>
          <w:sz w:val="28"/>
          <w:szCs w:val="28"/>
        </w:rPr>
        <w:t xml:space="preserve"> терапия</w:t>
      </w:r>
      <w:r w:rsidRPr="00256DC9">
        <w:rPr>
          <w:rFonts w:ascii="Times New Roman" w:hAnsi="Times New Roman" w:cs="Times New Roman"/>
          <w:sz w:val="28"/>
          <w:szCs w:val="28"/>
        </w:rPr>
        <w:ptab w:relativeTo="margin" w:alignment="right" w:leader="dot"/>
      </w:r>
      <w:r w:rsidR="00256DC9">
        <w:rPr>
          <w:rFonts w:ascii="Times New Roman" w:hAnsi="Times New Roman" w:cs="Times New Roman"/>
          <w:sz w:val="28"/>
          <w:szCs w:val="28"/>
        </w:rPr>
        <w:t>1</w:t>
      </w:r>
      <w:r w:rsidR="0012786F">
        <w:rPr>
          <w:rFonts w:ascii="Times New Roman" w:hAnsi="Times New Roman" w:cs="Times New Roman"/>
          <w:sz w:val="28"/>
          <w:szCs w:val="28"/>
        </w:rPr>
        <w:t>2</w:t>
      </w:r>
    </w:p>
    <w:p w:rsidR="00402B07" w:rsidRPr="00256DC9" w:rsidRDefault="00402B07" w:rsidP="00256DC9">
      <w:pPr>
        <w:spacing w:line="360" w:lineRule="auto"/>
        <w:ind w:left="567" w:hanging="567"/>
        <w:jc w:val="both"/>
        <w:rPr>
          <w:rFonts w:ascii="Times New Roman" w:hAnsi="Times New Roman" w:cs="Times New Roman"/>
          <w:sz w:val="28"/>
          <w:szCs w:val="28"/>
        </w:rPr>
      </w:pPr>
      <w:r w:rsidRPr="00256DC9">
        <w:rPr>
          <w:rFonts w:ascii="Times New Roman" w:hAnsi="Times New Roman" w:cs="Times New Roman"/>
          <w:b/>
          <w:sz w:val="28"/>
          <w:szCs w:val="28"/>
        </w:rPr>
        <w:t>Глава 2. Материалы и методы исследования</w:t>
      </w:r>
      <w:r w:rsidRPr="00256DC9">
        <w:rPr>
          <w:rFonts w:ascii="Times New Roman" w:hAnsi="Times New Roman" w:cs="Times New Roman"/>
          <w:sz w:val="28"/>
          <w:szCs w:val="28"/>
        </w:rPr>
        <w:ptab w:relativeTo="margin" w:alignment="right" w:leader="dot"/>
      </w:r>
      <w:r w:rsidR="00256DC9">
        <w:rPr>
          <w:rFonts w:ascii="Times New Roman" w:hAnsi="Times New Roman" w:cs="Times New Roman"/>
          <w:sz w:val="28"/>
          <w:szCs w:val="28"/>
        </w:rPr>
        <w:t>2</w:t>
      </w:r>
      <w:r w:rsidR="0012786F">
        <w:rPr>
          <w:rFonts w:ascii="Times New Roman" w:hAnsi="Times New Roman" w:cs="Times New Roman"/>
          <w:sz w:val="28"/>
          <w:szCs w:val="28"/>
        </w:rPr>
        <w:t>3</w:t>
      </w:r>
    </w:p>
    <w:p w:rsidR="00402B07" w:rsidRPr="00256DC9" w:rsidRDefault="00402B07" w:rsidP="00256DC9">
      <w:pPr>
        <w:spacing w:line="360" w:lineRule="auto"/>
        <w:ind w:firstLine="567"/>
        <w:jc w:val="both"/>
        <w:rPr>
          <w:rFonts w:ascii="Times New Roman" w:eastAsia="Times New Roman" w:hAnsi="Times New Roman" w:cs="Times New Roman"/>
          <w:b/>
          <w:sz w:val="28"/>
          <w:szCs w:val="28"/>
        </w:rPr>
      </w:pPr>
      <w:r w:rsidRPr="00256DC9">
        <w:rPr>
          <w:rFonts w:ascii="Times New Roman" w:hAnsi="Times New Roman" w:cs="Times New Roman"/>
          <w:sz w:val="28"/>
          <w:szCs w:val="28"/>
        </w:rPr>
        <w:t xml:space="preserve">2.1. </w:t>
      </w:r>
      <w:r w:rsidR="00845F41" w:rsidRPr="00256DC9">
        <w:rPr>
          <w:rFonts w:ascii="Times New Roman" w:eastAsia="Times New Roman" w:hAnsi="Times New Roman" w:cs="Times New Roman"/>
          <w:sz w:val="28"/>
          <w:szCs w:val="28"/>
        </w:rPr>
        <w:t>Характеристика больных, включенных в исследования</w:t>
      </w:r>
      <w:r w:rsidR="00845F41" w:rsidRPr="00256DC9">
        <w:rPr>
          <w:rFonts w:ascii="Times New Roman" w:eastAsia="Times New Roman" w:hAnsi="Times New Roman" w:cs="Times New Roman"/>
          <w:sz w:val="28"/>
          <w:szCs w:val="28"/>
        </w:rPr>
        <w:ptab w:relativeTo="margin" w:alignment="right" w:leader="dot"/>
      </w:r>
      <w:r w:rsidR="00256DC9">
        <w:rPr>
          <w:rFonts w:ascii="Times New Roman" w:eastAsia="Times New Roman" w:hAnsi="Times New Roman" w:cs="Times New Roman"/>
          <w:sz w:val="28"/>
          <w:szCs w:val="28"/>
        </w:rPr>
        <w:t>2</w:t>
      </w:r>
      <w:r w:rsidR="0012786F">
        <w:rPr>
          <w:rFonts w:ascii="Times New Roman" w:eastAsia="Times New Roman" w:hAnsi="Times New Roman" w:cs="Times New Roman"/>
          <w:sz w:val="28"/>
          <w:szCs w:val="28"/>
        </w:rPr>
        <w:t>3</w:t>
      </w:r>
    </w:p>
    <w:p w:rsidR="00402B07" w:rsidRPr="00256DC9" w:rsidRDefault="00402B07" w:rsidP="00256DC9">
      <w:pPr>
        <w:spacing w:line="360" w:lineRule="auto"/>
        <w:ind w:firstLine="567"/>
        <w:jc w:val="both"/>
        <w:rPr>
          <w:rFonts w:ascii="Times New Roman" w:hAnsi="Times New Roman" w:cs="Times New Roman"/>
          <w:sz w:val="28"/>
          <w:szCs w:val="28"/>
        </w:rPr>
      </w:pPr>
      <w:r w:rsidRPr="00256DC9">
        <w:rPr>
          <w:rFonts w:ascii="Times New Roman" w:hAnsi="Times New Roman" w:cs="Times New Roman"/>
          <w:sz w:val="28"/>
          <w:szCs w:val="28"/>
        </w:rPr>
        <w:t>2.2.</w:t>
      </w:r>
      <w:r w:rsidR="00A82A9E" w:rsidRPr="00256DC9">
        <w:rPr>
          <w:rFonts w:ascii="Times New Roman" w:hAnsi="Times New Roman" w:cs="Times New Roman"/>
          <w:sz w:val="28"/>
          <w:szCs w:val="28"/>
        </w:rPr>
        <w:t xml:space="preserve"> </w:t>
      </w:r>
      <w:r w:rsidRPr="00256DC9">
        <w:rPr>
          <w:rFonts w:ascii="Times New Roman" w:hAnsi="Times New Roman" w:cs="Times New Roman"/>
          <w:sz w:val="28"/>
          <w:szCs w:val="28"/>
        </w:rPr>
        <w:t>Статистический анализ</w:t>
      </w:r>
      <w:r w:rsidRPr="00256DC9">
        <w:rPr>
          <w:rFonts w:ascii="Times New Roman" w:hAnsi="Times New Roman" w:cs="Times New Roman"/>
          <w:sz w:val="28"/>
          <w:szCs w:val="28"/>
        </w:rPr>
        <w:ptab w:relativeTo="margin" w:alignment="right" w:leader="dot"/>
      </w:r>
      <w:r w:rsidR="00256DC9">
        <w:rPr>
          <w:rFonts w:ascii="Times New Roman" w:hAnsi="Times New Roman" w:cs="Times New Roman"/>
          <w:sz w:val="28"/>
          <w:szCs w:val="28"/>
        </w:rPr>
        <w:t>2</w:t>
      </w:r>
      <w:r w:rsidR="0012786F">
        <w:rPr>
          <w:rFonts w:ascii="Times New Roman" w:hAnsi="Times New Roman" w:cs="Times New Roman"/>
          <w:sz w:val="28"/>
          <w:szCs w:val="28"/>
        </w:rPr>
        <w:t>4</w:t>
      </w:r>
    </w:p>
    <w:p w:rsidR="00402B07" w:rsidRPr="00256DC9" w:rsidRDefault="00402B07" w:rsidP="00256DC9">
      <w:pPr>
        <w:spacing w:line="360" w:lineRule="auto"/>
        <w:jc w:val="both"/>
        <w:rPr>
          <w:rFonts w:ascii="Times New Roman" w:hAnsi="Times New Roman" w:cs="Times New Roman"/>
          <w:sz w:val="28"/>
          <w:szCs w:val="28"/>
        </w:rPr>
      </w:pPr>
      <w:r w:rsidRPr="00256DC9">
        <w:rPr>
          <w:rFonts w:ascii="Times New Roman" w:hAnsi="Times New Roman" w:cs="Times New Roman"/>
          <w:b/>
          <w:sz w:val="28"/>
          <w:szCs w:val="28"/>
        </w:rPr>
        <w:t>Глава 3. Полученные результаты</w:t>
      </w:r>
      <w:r w:rsidRPr="00256DC9">
        <w:rPr>
          <w:rFonts w:ascii="Times New Roman" w:hAnsi="Times New Roman" w:cs="Times New Roman"/>
          <w:sz w:val="28"/>
          <w:szCs w:val="28"/>
        </w:rPr>
        <w:ptab w:relativeTo="margin" w:alignment="right" w:leader="dot"/>
      </w:r>
      <w:r w:rsidR="00256DC9">
        <w:rPr>
          <w:rFonts w:ascii="Times New Roman" w:hAnsi="Times New Roman" w:cs="Times New Roman"/>
          <w:sz w:val="28"/>
          <w:szCs w:val="28"/>
        </w:rPr>
        <w:t>2</w:t>
      </w:r>
      <w:r w:rsidR="0012786F">
        <w:rPr>
          <w:rFonts w:ascii="Times New Roman" w:hAnsi="Times New Roman" w:cs="Times New Roman"/>
          <w:sz w:val="28"/>
          <w:szCs w:val="28"/>
        </w:rPr>
        <w:t>5</w:t>
      </w:r>
    </w:p>
    <w:p w:rsidR="000A79D1" w:rsidRPr="00256DC9" w:rsidRDefault="000A79D1" w:rsidP="00256DC9">
      <w:pPr>
        <w:spacing w:line="360" w:lineRule="auto"/>
        <w:ind w:firstLine="567"/>
        <w:jc w:val="both"/>
        <w:rPr>
          <w:rFonts w:ascii="Times New Roman" w:eastAsia="Times New Roman" w:hAnsi="Times New Roman" w:cs="Times New Roman"/>
          <w:sz w:val="28"/>
          <w:szCs w:val="28"/>
        </w:rPr>
      </w:pPr>
      <w:r w:rsidRPr="00256DC9">
        <w:rPr>
          <w:rFonts w:ascii="Times New Roman" w:hAnsi="Times New Roman" w:cs="Times New Roman"/>
          <w:sz w:val="28"/>
          <w:szCs w:val="28"/>
        </w:rPr>
        <w:t xml:space="preserve">3.1. </w:t>
      </w:r>
      <w:r w:rsidRPr="00256DC9">
        <w:rPr>
          <w:rFonts w:ascii="Times New Roman" w:eastAsia="Times New Roman" w:hAnsi="Times New Roman" w:cs="Times New Roman"/>
          <w:sz w:val="28"/>
          <w:szCs w:val="28"/>
        </w:rPr>
        <w:t>Сравнительная характеристика групп</w:t>
      </w:r>
      <w:r w:rsidRPr="00256DC9">
        <w:rPr>
          <w:rFonts w:ascii="Times New Roman" w:eastAsia="Times New Roman" w:hAnsi="Times New Roman" w:cs="Times New Roman"/>
          <w:sz w:val="28"/>
          <w:szCs w:val="28"/>
        </w:rPr>
        <w:ptab w:relativeTo="margin" w:alignment="right" w:leader="dot"/>
      </w:r>
      <w:r w:rsidR="0039312E">
        <w:rPr>
          <w:rFonts w:ascii="Times New Roman" w:eastAsia="Times New Roman" w:hAnsi="Times New Roman" w:cs="Times New Roman"/>
          <w:sz w:val="28"/>
          <w:szCs w:val="28"/>
        </w:rPr>
        <w:t>2</w:t>
      </w:r>
      <w:r w:rsidR="0012786F">
        <w:rPr>
          <w:rFonts w:ascii="Times New Roman" w:eastAsia="Times New Roman" w:hAnsi="Times New Roman" w:cs="Times New Roman"/>
          <w:sz w:val="28"/>
          <w:szCs w:val="28"/>
        </w:rPr>
        <w:t>5</w:t>
      </w:r>
    </w:p>
    <w:p w:rsidR="000A79D1" w:rsidRPr="00256DC9" w:rsidRDefault="000A79D1" w:rsidP="00256DC9">
      <w:pPr>
        <w:spacing w:line="360" w:lineRule="auto"/>
        <w:ind w:firstLine="567"/>
        <w:jc w:val="both"/>
        <w:rPr>
          <w:rFonts w:ascii="Times New Roman" w:hAnsi="Times New Roman" w:cs="Times New Roman"/>
          <w:bCs/>
          <w:sz w:val="28"/>
          <w:szCs w:val="28"/>
        </w:rPr>
      </w:pPr>
      <w:r w:rsidRPr="00256DC9">
        <w:rPr>
          <w:rFonts w:ascii="Times New Roman" w:hAnsi="Times New Roman" w:cs="Times New Roman"/>
          <w:bCs/>
          <w:sz w:val="28"/>
          <w:szCs w:val="28"/>
        </w:rPr>
        <w:t>3.2. Взаимосвязь койко-дней с актами переливания</w:t>
      </w:r>
      <w:r w:rsidRPr="00256DC9">
        <w:rPr>
          <w:rFonts w:ascii="Times New Roman" w:hAnsi="Times New Roman" w:cs="Times New Roman"/>
          <w:bCs/>
          <w:sz w:val="28"/>
          <w:szCs w:val="28"/>
        </w:rPr>
        <w:ptab w:relativeTo="margin" w:alignment="right" w:leader="dot"/>
      </w:r>
      <w:r w:rsidR="0039312E">
        <w:rPr>
          <w:rFonts w:ascii="Times New Roman" w:hAnsi="Times New Roman" w:cs="Times New Roman"/>
          <w:bCs/>
          <w:sz w:val="28"/>
          <w:szCs w:val="28"/>
        </w:rPr>
        <w:t>3</w:t>
      </w:r>
      <w:r w:rsidR="0012786F">
        <w:rPr>
          <w:rFonts w:ascii="Times New Roman" w:hAnsi="Times New Roman" w:cs="Times New Roman"/>
          <w:bCs/>
          <w:sz w:val="28"/>
          <w:szCs w:val="28"/>
        </w:rPr>
        <w:t>0</w:t>
      </w:r>
    </w:p>
    <w:p w:rsidR="000A79D1" w:rsidRPr="00256DC9" w:rsidRDefault="000A79D1" w:rsidP="00256DC9">
      <w:pPr>
        <w:spacing w:line="360" w:lineRule="auto"/>
        <w:ind w:firstLine="567"/>
        <w:jc w:val="both"/>
        <w:rPr>
          <w:rFonts w:ascii="Times New Roman" w:hAnsi="Times New Roman" w:cs="Times New Roman"/>
          <w:bCs/>
          <w:sz w:val="28"/>
          <w:szCs w:val="28"/>
        </w:rPr>
      </w:pPr>
      <w:r w:rsidRPr="00256DC9">
        <w:rPr>
          <w:rFonts w:ascii="Times New Roman" w:hAnsi="Times New Roman" w:cs="Times New Roman"/>
          <w:bCs/>
          <w:sz w:val="28"/>
          <w:szCs w:val="28"/>
        </w:rPr>
        <w:t xml:space="preserve">3.3. Взаимосвязь койко-дней с </w:t>
      </w:r>
      <w:proofErr w:type="spellStart"/>
      <w:r w:rsidRPr="00256DC9">
        <w:rPr>
          <w:rFonts w:ascii="Times New Roman" w:hAnsi="Times New Roman" w:cs="Times New Roman"/>
          <w:bCs/>
          <w:sz w:val="28"/>
          <w:szCs w:val="28"/>
        </w:rPr>
        <w:t>количестовм</w:t>
      </w:r>
      <w:proofErr w:type="spellEnd"/>
      <w:r w:rsidRPr="00256DC9">
        <w:rPr>
          <w:rFonts w:ascii="Times New Roman" w:hAnsi="Times New Roman" w:cs="Times New Roman"/>
          <w:bCs/>
          <w:sz w:val="28"/>
          <w:szCs w:val="28"/>
        </w:rPr>
        <w:t xml:space="preserve"> трансфузий</w:t>
      </w:r>
      <w:r w:rsidRPr="00256DC9">
        <w:rPr>
          <w:rFonts w:ascii="Times New Roman" w:hAnsi="Times New Roman" w:cs="Times New Roman"/>
          <w:bCs/>
          <w:sz w:val="28"/>
          <w:szCs w:val="28"/>
        </w:rPr>
        <w:ptab w:relativeTo="margin" w:alignment="right" w:leader="dot"/>
      </w:r>
      <w:r w:rsidR="0039312E">
        <w:rPr>
          <w:rFonts w:ascii="Times New Roman" w:hAnsi="Times New Roman" w:cs="Times New Roman"/>
          <w:bCs/>
          <w:sz w:val="28"/>
          <w:szCs w:val="28"/>
        </w:rPr>
        <w:t>3</w:t>
      </w:r>
      <w:r w:rsidR="0012786F">
        <w:rPr>
          <w:rFonts w:ascii="Times New Roman" w:hAnsi="Times New Roman" w:cs="Times New Roman"/>
          <w:bCs/>
          <w:sz w:val="28"/>
          <w:szCs w:val="28"/>
        </w:rPr>
        <w:t>1</w:t>
      </w:r>
    </w:p>
    <w:p w:rsidR="000A79D1" w:rsidRPr="00256DC9" w:rsidRDefault="000A79D1" w:rsidP="00256DC9">
      <w:pPr>
        <w:spacing w:line="360" w:lineRule="auto"/>
        <w:ind w:firstLine="567"/>
        <w:jc w:val="both"/>
        <w:rPr>
          <w:rFonts w:ascii="Times New Roman" w:hAnsi="Times New Roman" w:cs="Times New Roman"/>
          <w:bCs/>
          <w:sz w:val="28"/>
          <w:szCs w:val="28"/>
        </w:rPr>
      </w:pPr>
      <w:r w:rsidRPr="00256DC9">
        <w:rPr>
          <w:rFonts w:ascii="Times New Roman" w:hAnsi="Times New Roman" w:cs="Times New Roman"/>
          <w:bCs/>
          <w:sz w:val="28"/>
          <w:szCs w:val="28"/>
        </w:rPr>
        <w:t>3.4. Взаимосвязь койко-дней с объемом СЗП</w:t>
      </w:r>
      <w:r w:rsidRPr="00256DC9">
        <w:rPr>
          <w:rFonts w:ascii="Times New Roman" w:hAnsi="Times New Roman" w:cs="Times New Roman"/>
          <w:bCs/>
          <w:sz w:val="28"/>
          <w:szCs w:val="28"/>
        </w:rPr>
        <w:ptab w:relativeTo="margin" w:alignment="right" w:leader="dot"/>
      </w:r>
      <w:r w:rsidR="0039312E">
        <w:rPr>
          <w:rFonts w:ascii="Times New Roman" w:hAnsi="Times New Roman" w:cs="Times New Roman"/>
          <w:bCs/>
          <w:sz w:val="28"/>
          <w:szCs w:val="28"/>
        </w:rPr>
        <w:t>3</w:t>
      </w:r>
      <w:r w:rsidR="0012786F">
        <w:rPr>
          <w:rFonts w:ascii="Times New Roman" w:hAnsi="Times New Roman" w:cs="Times New Roman"/>
          <w:bCs/>
          <w:sz w:val="28"/>
          <w:szCs w:val="28"/>
        </w:rPr>
        <w:t>2</w:t>
      </w:r>
    </w:p>
    <w:p w:rsidR="000A79D1" w:rsidRDefault="000A79D1" w:rsidP="00256DC9">
      <w:pPr>
        <w:spacing w:line="360" w:lineRule="auto"/>
        <w:ind w:firstLine="567"/>
        <w:jc w:val="both"/>
        <w:rPr>
          <w:rFonts w:ascii="Times New Roman" w:hAnsi="Times New Roman" w:cs="Times New Roman"/>
          <w:bCs/>
          <w:sz w:val="28"/>
          <w:szCs w:val="28"/>
        </w:rPr>
      </w:pPr>
      <w:r w:rsidRPr="00256DC9">
        <w:rPr>
          <w:rFonts w:ascii="Times New Roman" w:hAnsi="Times New Roman" w:cs="Times New Roman"/>
          <w:bCs/>
          <w:sz w:val="28"/>
          <w:szCs w:val="28"/>
        </w:rPr>
        <w:t xml:space="preserve">3.5. Взаимосвязь койко-дней с объемом </w:t>
      </w:r>
      <w:proofErr w:type="spellStart"/>
      <w:r w:rsidRPr="00256DC9">
        <w:rPr>
          <w:rFonts w:ascii="Times New Roman" w:hAnsi="Times New Roman" w:cs="Times New Roman"/>
          <w:bCs/>
          <w:sz w:val="28"/>
          <w:szCs w:val="28"/>
        </w:rPr>
        <w:t>эритроцитарной</w:t>
      </w:r>
      <w:proofErr w:type="spellEnd"/>
      <w:r w:rsidRPr="00256DC9">
        <w:rPr>
          <w:rFonts w:ascii="Times New Roman" w:hAnsi="Times New Roman" w:cs="Times New Roman"/>
          <w:bCs/>
          <w:sz w:val="28"/>
          <w:szCs w:val="28"/>
        </w:rPr>
        <w:t xml:space="preserve"> взвеси</w:t>
      </w:r>
      <w:r w:rsidRPr="00256DC9">
        <w:rPr>
          <w:rFonts w:ascii="Times New Roman" w:hAnsi="Times New Roman" w:cs="Times New Roman"/>
          <w:bCs/>
          <w:sz w:val="28"/>
          <w:szCs w:val="28"/>
        </w:rPr>
        <w:ptab w:relativeTo="margin" w:alignment="right" w:leader="dot"/>
      </w:r>
      <w:r w:rsidR="0039312E">
        <w:rPr>
          <w:rFonts w:ascii="Times New Roman" w:hAnsi="Times New Roman" w:cs="Times New Roman"/>
          <w:bCs/>
          <w:sz w:val="28"/>
          <w:szCs w:val="28"/>
        </w:rPr>
        <w:t>3</w:t>
      </w:r>
      <w:r w:rsidR="0012786F">
        <w:rPr>
          <w:rFonts w:ascii="Times New Roman" w:hAnsi="Times New Roman" w:cs="Times New Roman"/>
          <w:bCs/>
          <w:sz w:val="28"/>
          <w:szCs w:val="28"/>
        </w:rPr>
        <w:t>3</w:t>
      </w:r>
    </w:p>
    <w:p w:rsidR="0039312E" w:rsidRPr="0039312E" w:rsidRDefault="0039312E" w:rsidP="00256DC9">
      <w:pPr>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3.6. </w:t>
      </w:r>
      <w:r w:rsidRPr="0039312E">
        <w:rPr>
          <w:rFonts w:ascii="Times New Roman" w:hAnsi="Times New Roman" w:cs="Times New Roman"/>
          <w:bCs/>
          <w:sz w:val="28"/>
          <w:szCs w:val="28"/>
        </w:rPr>
        <w:t xml:space="preserve">Сравнение количества проведенных койко-дней в стационаре и актов трансфузий при различной локализации язвы  </w:t>
      </w:r>
      <w:r>
        <w:rPr>
          <w:rFonts w:ascii="Times New Roman" w:hAnsi="Times New Roman" w:cs="Times New Roman"/>
          <w:bCs/>
          <w:sz w:val="28"/>
          <w:szCs w:val="28"/>
        </w:rPr>
        <w:ptab w:relativeTo="margin" w:alignment="right" w:leader="dot"/>
      </w:r>
      <w:r>
        <w:rPr>
          <w:rFonts w:ascii="Times New Roman" w:hAnsi="Times New Roman" w:cs="Times New Roman"/>
          <w:bCs/>
          <w:sz w:val="28"/>
          <w:szCs w:val="28"/>
        </w:rPr>
        <w:t>3</w:t>
      </w:r>
      <w:r w:rsidR="0012786F">
        <w:rPr>
          <w:rFonts w:ascii="Times New Roman" w:hAnsi="Times New Roman" w:cs="Times New Roman"/>
          <w:bCs/>
          <w:sz w:val="28"/>
          <w:szCs w:val="28"/>
        </w:rPr>
        <w:t>4</w:t>
      </w:r>
    </w:p>
    <w:p w:rsidR="00402B07" w:rsidRPr="00256DC9" w:rsidRDefault="00402B07"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Заключение</w:t>
      </w:r>
      <w:r w:rsidRPr="00256DC9">
        <w:rPr>
          <w:rFonts w:ascii="Times New Roman" w:hAnsi="Times New Roman" w:cs="Times New Roman"/>
          <w:sz w:val="28"/>
          <w:szCs w:val="28"/>
        </w:rPr>
        <w:ptab w:relativeTo="margin" w:alignment="right" w:leader="dot"/>
      </w:r>
      <w:r w:rsidR="0039312E">
        <w:rPr>
          <w:rFonts w:ascii="Times New Roman" w:hAnsi="Times New Roman" w:cs="Times New Roman"/>
          <w:sz w:val="28"/>
          <w:szCs w:val="28"/>
        </w:rPr>
        <w:t>3</w:t>
      </w:r>
      <w:r w:rsidR="0012786F">
        <w:rPr>
          <w:rFonts w:ascii="Times New Roman" w:hAnsi="Times New Roman" w:cs="Times New Roman"/>
          <w:sz w:val="28"/>
          <w:szCs w:val="28"/>
        </w:rPr>
        <w:t>5</w:t>
      </w:r>
    </w:p>
    <w:p w:rsidR="00402B07" w:rsidRPr="00256DC9" w:rsidRDefault="00402B07"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Выводы</w:t>
      </w:r>
      <w:r w:rsidRPr="00256DC9">
        <w:rPr>
          <w:rFonts w:ascii="Times New Roman" w:hAnsi="Times New Roman" w:cs="Times New Roman"/>
          <w:sz w:val="28"/>
          <w:szCs w:val="28"/>
        </w:rPr>
        <w:ptab w:relativeTo="margin" w:alignment="right" w:leader="dot"/>
      </w:r>
      <w:r w:rsidR="0039312E">
        <w:rPr>
          <w:rFonts w:ascii="Times New Roman" w:hAnsi="Times New Roman" w:cs="Times New Roman"/>
          <w:sz w:val="28"/>
          <w:szCs w:val="28"/>
        </w:rPr>
        <w:t>3</w:t>
      </w:r>
      <w:r w:rsidR="0012786F">
        <w:rPr>
          <w:rFonts w:ascii="Times New Roman" w:hAnsi="Times New Roman" w:cs="Times New Roman"/>
          <w:sz w:val="28"/>
          <w:szCs w:val="28"/>
        </w:rPr>
        <w:t>6</w:t>
      </w:r>
    </w:p>
    <w:p w:rsidR="00402B07" w:rsidRPr="00256DC9" w:rsidRDefault="00402B07"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Список использованной литературы</w:t>
      </w:r>
      <w:r w:rsidRPr="00256DC9">
        <w:rPr>
          <w:rFonts w:ascii="Times New Roman" w:hAnsi="Times New Roman" w:cs="Times New Roman"/>
          <w:sz w:val="28"/>
          <w:szCs w:val="28"/>
        </w:rPr>
        <w:ptab w:relativeTo="margin" w:alignment="right" w:leader="dot"/>
      </w:r>
      <w:r w:rsidR="0039312E">
        <w:rPr>
          <w:rFonts w:ascii="Times New Roman" w:hAnsi="Times New Roman" w:cs="Times New Roman"/>
          <w:sz w:val="28"/>
          <w:szCs w:val="28"/>
        </w:rPr>
        <w:t>3</w:t>
      </w:r>
      <w:r w:rsidR="0012786F">
        <w:rPr>
          <w:rFonts w:ascii="Times New Roman" w:hAnsi="Times New Roman" w:cs="Times New Roman"/>
          <w:sz w:val="28"/>
          <w:szCs w:val="28"/>
        </w:rPr>
        <w:t>7</w:t>
      </w:r>
    </w:p>
    <w:p w:rsidR="00402B07" w:rsidRPr="00256DC9" w:rsidRDefault="00402B07" w:rsidP="00372910">
      <w:pPr>
        <w:spacing w:line="360" w:lineRule="auto"/>
        <w:jc w:val="center"/>
        <w:rPr>
          <w:rFonts w:ascii="Times New Roman" w:hAnsi="Times New Roman" w:cs="Times New Roman"/>
          <w:b/>
          <w:sz w:val="28"/>
          <w:szCs w:val="28"/>
          <w:shd w:val="clear" w:color="auto" w:fill="FFFFFF"/>
        </w:rPr>
      </w:pPr>
      <w:r w:rsidRPr="00256DC9">
        <w:rPr>
          <w:rFonts w:ascii="Times New Roman" w:eastAsia="Times New Roman" w:hAnsi="Times New Roman" w:cs="Times New Roman"/>
          <w:b/>
          <w:sz w:val="28"/>
          <w:szCs w:val="28"/>
        </w:rPr>
        <w:br w:type="page"/>
      </w:r>
      <w:bookmarkStart w:id="1" w:name="_GoBack"/>
      <w:r w:rsidRPr="00256DC9">
        <w:rPr>
          <w:rFonts w:ascii="Times New Roman" w:hAnsi="Times New Roman" w:cs="Times New Roman"/>
          <w:b/>
          <w:sz w:val="28"/>
          <w:szCs w:val="28"/>
          <w:shd w:val="clear" w:color="auto" w:fill="FFFFFF"/>
        </w:rPr>
        <w:lastRenderedPageBreak/>
        <w:t>ПЕРЕЧЕНЬ УСЛОВНЫХ СОКРАЩЕНИЙ И СИМВОЛОВ</w:t>
      </w:r>
    </w:p>
    <w:bookmarkEnd w:id="1"/>
    <w:p w:rsidR="00F95465" w:rsidRPr="00256DC9" w:rsidRDefault="00F95465"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АД – артериальное давление</w:t>
      </w:r>
    </w:p>
    <w:p w:rsidR="00A82A9E" w:rsidRPr="00256DC9" w:rsidRDefault="00A82A9E"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ГШ – геморрагический шок</w:t>
      </w:r>
    </w:p>
    <w:p w:rsidR="00A82A9E" w:rsidRPr="00256DC9" w:rsidRDefault="00A82A9E"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ДПК – двенадцатиперстная кишка</w:t>
      </w:r>
    </w:p>
    <w:p w:rsidR="00845F41" w:rsidRPr="00256DC9" w:rsidRDefault="00845F41"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ОЦК – объем циркулирующей крови</w:t>
      </w:r>
    </w:p>
    <w:p w:rsidR="00ED64BB" w:rsidRPr="00256DC9" w:rsidRDefault="001A5724"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ЖКК </w:t>
      </w:r>
      <w:r w:rsidR="00A82A9E" w:rsidRPr="00256DC9">
        <w:rPr>
          <w:rFonts w:ascii="Times New Roman" w:eastAsia="Times New Roman" w:hAnsi="Times New Roman" w:cs="Times New Roman"/>
          <w:sz w:val="28"/>
          <w:szCs w:val="28"/>
        </w:rPr>
        <w:t>–</w:t>
      </w:r>
      <w:r w:rsidRPr="00256DC9">
        <w:rPr>
          <w:rFonts w:ascii="Times New Roman" w:eastAsia="Times New Roman" w:hAnsi="Times New Roman" w:cs="Times New Roman"/>
          <w:sz w:val="28"/>
          <w:szCs w:val="28"/>
        </w:rPr>
        <w:t xml:space="preserve"> </w:t>
      </w:r>
      <w:r w:rsidR="00ED64BB" w:rsidRPr="00256DC9">
        <w:rPr>
          <w:rFonts w:ascii="Times New Roman" w:eastAsia="Times New Roman" w:hAnsi="Times New Roman" w:cs="Times New Roman"/>
          <w:sz w:val="28"/>
          <w:szCs w:val="28"/>
        </w:rPr>
        <w:t>ж</w:t>
      </w:r>
      <w:r w:rsidRPr="00256DC9">
        <w:rPr>
          <w:rFonts w:ascii="Times New Roman" w:eastAsia="Times New Roman" w:hAnsi="Times New Roman" w:cs="Times New Roman"/>
          <w:sz w:val="28"/>
          <w:szCs w:val="28"/>
        </w:rPr>
        <w:t xml:space="preserve">елудочно-кишечное кровотечение </w:t>
      </w:r>
    </w:p>
    <w:p w:rsidR="00ED64BB" w:rsidRPr="00256DC9" w:rsidRDefault="00ED64BB"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ЖКТ </w:t>
      </w:r>
      <w:r w:rsidR="00A82A9E" w:rsidRPr="00256DC9">
        <w:rPr>
          <w:rFonts w:ascii="Times New Roman" w:eastAsia="Times New Roman" w:hAnsi="Times New Roman" w:cs="Times New Roman"/>
          <w:sz w:val="28"/>
          <w:szCs w:val="28"/>
        </w:rPr>
        <w:t xml:space="preserve">– </w:t>
      </w:r>
      <w:r w:rsidRPr="00256DC9">
        <w:rPr>
          <w:rFonts w:ascii="Times New Roman" w:eastAsia="Times New Roman" w:hAnsi="Times New Roman" w:cs="Times New Roman"/>
          <w:sz w:val="28"/>
          <w:szCs w:val="28"/>
        </w:rPr>
        <w:t>желудочно-кишечный тракт</w:t>
      </w:r>
    </w:p>
    <w:p w:rsidR="00ED64BB" w:rsidRPr="00256DC9" w:rsidRDefault="00ED64BB" w:rsidP="00256DC9">
      <w:pPr>
        <w:spacing w:line="360" w:lineRule="auto"/>
        <w:jc w:val="both"/>
        <w:rPr>
          <w:rFonts w:ascii="Times New Roman" w:hAnsi="Times New Roman" w:cs="Times New Roman"/>
          <w:sz w:val="28"/>
          <w:szCs w:val="28"/>
          <w:shd w:val="clear" w:color="auto" w:fill="FFFFFF"/>
        </w:rPr>
      </w:pPr>
      <w:r w:rsidRPr="00256DC9">
        <w:rPr>
          <w:rFonts w:ascii="Times New Roman" w:hAnsi="Times New Roman" w:cs="Times New Roman"/>
          <w:sz w:val="28"/>
          <w:szCs w:val="28"/>
          <w:shd w:val="clear" w:color="auto" w:fill="FFFFFF"/>
        </w:rPr>
        <w:t xml:space="preserve">САД – систолическое артериальное давление </w:t>
      </w:r>
    </w:p>
    <w:p w:rsidR="00E97016" w:rsidRPr="00256DC9" w:rsidRDefault="00E97016" w:rsidP="00256DC9">
      <w:pPr>
        <w:spacing w:line="360" w:lineRule="auto"/>
        <w:jc w:val="both"/>
        <w:rPr>
          <w:rFonts w:ascii="Times New Roman" w:hAnsi="Times New Roman" w:cs="Times New Roman"/>
          <w:sz w:val="28"/>
          <w:szCs w:val="28"/>
          <w:shd w:val="clear" w:color="auto" w:fill="FFFFFF"/>
        </w:rPr>
      </w:pPr>
      <w:r w:rsidRPr="00256DC9">
        <w:rPr>
          <w:rFonts w:ascii="Times New Roman" w:eastAsia="Times New Roman" w:hAnsi="Times New Roman" w:cs="Times New Roman"/>
          <w:sz w:val="28"/>
          <w:szCs w:val="28"/>
        </w:rPr>
        <w:t xml:space="preserve">СЗП </w:t>
      </w:r>
      <w:r w:rsidRPr="00256DC9">
        <w:rPr>
          <w:rFonts w:ascii="Times New Roman" w:hAnsi="Times New Roman" w:cs="Times New Roman"/>
          <w:sz w:val="28"/>
          <w:szCs w:val="28"/>
          <w:shd w:val="clear" w:color="auto" w:fill="FFFFFF"/>
        </w:rPr>
        <w:t>–</w:t>
      </w:r>
      <w:r w:rsidRPr="00256DC9">
        <w:rPr>
          <w:rFonts w:ascii="Times New Roman" w:eastAsia="Times New Roman" w:hAnsi="Times New Roman" w:cs="Times New Roman"/>
          <w:sz w:val="28"/>
          <w:szCs w:val="28"/>
        </w:rPr>
        <w:t xml:space="preserve"> свежезамороженной плазмы</w:t>
      </w:r>
    </w:p>
    <w:p w:rsidR="00A82A9E" w:rsidRPr="00256DC9" w:rsidRDefault="00ED64BB"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ЧСС – частота сердечных сокращений</w:t>
      </w:r>
    </w:p>
    <w:p w:rsidR="001A5724" w:rsidRPr="00256DC9" w:rsidRDefault="001A5724"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br w:type="page"/>
      </w:r>
    </w:p>
    <w:p w:rsidR="00BA3B0E" w:rsidRPr="00256DC9" w:rsidRDefault="001A5724" w:rsidP="00256DC9">
      <w:pPr>
        <w:spacing w:line="360" w:lineRule="auto"/>
        <w:ind w:firstLine="720"/>
        <w:jc w:val="center"/>
        <w:rPr>
          <w:rFonts w:ascii="Times New Roman" w:eastAsia="Times New Roman" w:hAnsi="Times New Roman" w:cs="Times New Roman"/>
          <w:b/>
          <w:bCs/>
          <w:sz w:val="28"/>
          <w:szCs w:val="28"/>
        </w:rPr>
      </w:pPr>
      <w:bookmarkStart w:id="2" w:name="_Hlk41237552"/>
      <w:r w:rsidRPr="00256DC9">
        <w:rPr>
          <w:rFonts w:ascii="Times New Roman" w:eastAsia="Times New Roman" w:hAnsi="Times New Roman" w:cs="Times New Roman"/>
          <w:b/>
          <w:bCs/>
          <w:sz w:val="28"/>
          <w:szCs w:val="28"/>
        </w:rPr>
        <w:lastRenderedPageBreak/>
        <w:t>ВВЕДЕНИЕ</w:t>
      </w:r>
    </w:p>
    <w:p w:rsidR="00BA3B0E" w:rsidRPr="00256DC9" w:rsidRDefault="00E275A0"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Желудочно-кишечное кровотечение (ЖКК) – распространенное в клинической практике острое нарушение состояния здоровья пациента, характеризующееся скрытым или явным кровотечением из верхних отделов желудочно-кишечного тракта с нарушением показателей гемодинамики (систолическое </w:t>
      </w:r>
      <w:r w:rsidR="001A5724" w:rsidRPr="00256DC9">
        <w:rPr>
          <w:rFonts w:ascii="Times New Roman" w:eastAsia="Times New Roman" w:hAnsi="Times New Roman" w:cs="Times New Roman"/>
          <w:sz w:val="28"/>
          <w:szCs w:val="28"/>
        </w:rPr>
        <w:t>артериальное давление</w:t>
      </w:r>
      <w:r w:rsidR="00ED64BB" w:rsidRPr="00256DC9">
        <w:rPr>
          <w:rFonts w:ascii="Times New Roman" w:eastAsia="Times New Roman" w:hAnsi="Times New Roman" w:cs="Times New Roman"/>
          <w:sz w:val="28"/>
          <w:szCs w:val="28"/>
        </w:rPr>
        <w:t xml:space="preserve"> (САД)</w:t>
      </w:r>
      <w:r w:rsidRPr="00256DC9">
        <w:rPr>
          <w:rFonts w:ascii="Times New Roman" w:eastAsia="Times New Roman" w:hAnsi="Times New Roman" w:cs="Times New Roman"/>
          <w:sz w:val="28"/>
          <w:szCs w:val="28"/>
        </w:rPr>
        <w:t xml:space="preserve">, </w:t>
      </w:r>
      <w:r w:rsidR="00ED64BB" w:rsidRPr="00256DC9">
        <w:rPr>
          <w:rFonts w:ascii="Times New Roman" w:eastAsia="Times New Roman" w:hAnsi="Times New Roman" w:cs="Times New Roman"/>
          <w:sz w:val="28"/>
          <w:szCs w:val="28"/>
        </w:rPr>
        <w:t>частоту сердечных сокращений (</w:t>
      </w:r>
      <w:r w:rsidRPr="00256DC9">
        <w:rPr>
          <w:rFonts w:ascii="Times New Roman" w:eastAsia="Times New Roman" w:hAnsi="Times New Roman" w:cs="Times New Roman"/>
          <w:sz w:val="28"/>
          <w:szCs w:val="28"/>
        </w:rPr>
        <w:t>ЧСС</w:t>
      </w:r>
      <w:r w:rsidR="00ED64BB" w:rsidRPr="00256DC9">
        <w:rPr>
          <w:rFonts w:ascii="Times New Roman" w:eastAsia="Times New Roman" w:hAnsi="Times New Roman" w:cs="Times New Roman"/>
          <w:sz w:val="28"/>
          <w:szCs w:val="28"/>
        </w:rPr>
        <w:t>)</w:t>
      </w:r>
      <w:r w:rsidRPr="00256DC9">
        <w:rPr>
          <w:rFonts w:ascii="Times New Roman" w:eastAsia="Times New Roman" w:hAnsi="Times New Roman" w:cs="Times New Roman"/>
          <w:sz w:val="28"/>
          <w:szCs w:val="28"/>
        </w:rPr>
        <w:t xml:space="preserve">), кислотно-основного равновесия, газов крови, свертываемости крови, гемоглобина, гипотермией и, как следствие, сопровождающееся высокими показателями смертности. Причинами ЖКК зачастую являются язвенная болезнь желудка и двенадцатиперстной кишки, реже синдром </w:t>
      </w:r>
      <w:proofErr w:type="spellStart"/>
      <w:r w:rsidRPr="00256DC9">
        <w:rPr>
          <w:rFonts w:ascii="Times New Roman" w:eastAsia="Times New Roman" w:hAnsi="Times New Roman" w:cs="Times New Roman"/>
          <w:sz w:val="28"/>
          <w:szCs w:val="28"/>
        </w:rPr>
        <w:t>Маллори-Вейсса</w:t>
      </w:r>
      <w:proofErr w:type="spellEnd"/>
      <w:r w:rsidRPr="00256DC9">
        <w:rPr>
          <w:rFonts w:ascii="Times New Roman" w:eastAsia="Times New Roman" w:hAnsi="Times New Roman" w:cs="Times New Roman"/>
          <w:sz w:val="28"/>
          <w:szCs w:val="28"/>
        </w:rPr>
        <w:t xml:space="preserve">, эрозивно-геморрагические поражения ЖКТ, химические ожоги слизистой, онкология, фистулы, дивертикулы, мальформации и т.д. </w:t>
      </w:r>
      <w:r w:rsidR="001A5724" w:rsidRPr="00256DC9">
        <w:rPr>
          <w:rFonts w:ascii="Times New Roman" w:hAnsi="Times New Roman" w:cs="Times New Roman"/>
          <w:sz w:val="28"/>
          <w:szCs w:val="28"/>
        </w:rPr>
        <w:t>[1].</w:t>
      </w:r>
    </w:p>
    <w:p w:rsidR="00110159" w:rsidRPr="00256DC9" w:rsidRDefault="00E275A0"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ЖКК успешно контролируются и/или нивелируются с помощью, как минимум, двух основных методов коррекции жизненно-важных показателей: инфузионной и трансфузионной терапией, в ряде случаев – вазопрессорной и </w:t>
      </w:r>
      <w:proofErr w:type="spellStart"/>
      <w:r w:rsidRPr="00256DC9">
        <w:rPr>
          <w:rFonts w:ascii="Times New Roman" w:eastAsia="Times New Roman" w:hAnsi="Times New Roman" w:cs="Times New Roman"/>
          <w:sz w:val="28"/>
          <w:szCs w:val="28"/>
        </w:rPr>
        <w:t>соматостатической</w:t>
      </w:r>
      <w:proofErr w:type="spellEnd"/>
      <w:r w:rsidRPr="00256DC9">
        <w:rPr>
          <w:rFonts w:ascii="Times New Roman" w:eastAsia="Times New Roman" w:hAnsi="Times New Roman" w:cs="Times New Roman"/>
          <w:sz w:val="28"/>
          <w:szCs w:val="28"/>
        </w:rPr>
        <w:t xml:space="preserve"> терапией, </w:t>
      </w:r>
      <w:proofErr w:type="spellStart"/>
      <w:r w:rsidRPr="00256DC9">
        <w:rPr>
          <w:rFonts w:ascii="Times New Roman" w:eastAsia="Times New Roman" w:hAnsi="Times New Roman" w:cs="Times New Roman"/>
          <w:sz w:val="28"/>
          <w:szCs w:val="28"/>
        </w:rPr>
        <w:t>транексамовой</w:t>
      </w:r>
      <w:proofErr w:type="spellEnd"/>
      <w:r w:rsidRPr="00256DC9">
        <w:rPr>
          <w:rFonts w:ascii="Times New Roman" w:eastAsia="Times New Roman" w:hAnsi="Times New Roman" w:cs="Times New Roman"/>
          <w:sz w:val="28"/>
          <w:szCs w:val="28"/>
        </w:rPr>
        <w:t xml:space="preserve"> кислотой, ингибиторами протонной помпы </w:t>
      </w:r>
      <w:r w:rsidRPr="00256DC9">
        <w:rPr>
          <w:rFonts w:ascii="Times New Roman" w:hAnsi="Times New Roman" w:cs="Times New Roman"/>
          <w:sz w:val="28"/>
          <w:szCs w:val="28"/>
        </w:rPr>
        <w:fldChar w:fldCharType="begin"/>
      </w:r>
      <w:r w:rsidRPr="00256DC9">
        <w:rPr>
          <w:rFonts w:ascii="Times New Roman" w:hAnsi="Times New Roman" w:cs="Times New Roman"/>
          <w:sz w:val="28"/>
          <w:szCs w:val="28"/>
        </w:rPr>
        <w:instrText>ADDIN EN.CITE &lt;EndNote&gt;&lt;Cite&gt;&lt;Author&gt;Morrison&lt;/Author&gt;&lt;Year&gt;1957&lt;/Year&gt;&lt;RecNum&gt;44&lt;/RecNum&gt;&lt;DisplayText&gt;(Morrison 1957)&lt;/DisplayText&gt;&lt;record&gt;&lt;rec-number&gt;44&lt;/rec-number&gt;&lt;foreign-keys&gt;&lt;key app="EN" db-id="txaf2awfae25zserza8pf2acreedwafwrtrw" timestamp="1588682665"&gt;44&lt;/key&gt;&lt;/foreign-keys&gt;&lt;ref-type name="Journal Article"&gt;17&lt;/ref-type&gt;&lt;contributors&gt;&lt;authors&gt;&lt;author&gt;Morrison, S.&lt;/author&gt;&lt;/authors&gt;&lt;/contributors&gt;&lt;titles&gt;&lt;title&gt;A practical approach to the treatment and diagnosis of gastro-intestinal hemorrhage&lt;/title&gt;&lt;secondary-title&gt;Md State Med J&lt;/secondary-title&gt;&lt;/titles&gt;&lt;periodical&gt;&lt;full-title&gt;Md State Med J&lt;/full-title&gt;&lt;/periodical&gt;&lt;pages&gt;380-5&lt;/pages&gt;&lt;volume&gt;6&lt;/volume&gt;&lt;number&gt;7&lt;/number&gt;&lt;edition&gt;1957/07/01&lt;/edition&gt;&lt;keywords&gt;&lt;keyword&gt;*Gastrointestinal Hemorrhage&lt;/keyword&gt;&lt;keyword&gt;*Gastrointestinal Tract&lt;/keyword&gt;&lt;keyword&gt;*Hemorrhage&lt;/keyword&gt;&lt;keyword&gt;*GASTROINTESTINAL SYSTEM/hemorrhage&lt;/keyword&gt;&lt;/keywords&gt;&lt;dates&gt;&lt;year&gt;1957&lt;/year&gt;&lt;pub-dates&gt;&lt;date&gt;Jul&lt;/date&gt;&lt;/pub-dates&gt;&lt;/dates&gt;&lt;isbn&gt;0025-4363 (Print)&amp;#xD;0025-4363 (Linking)&lt;/isbn&gt;&lt;accession-num&gt;13450660&lt;/accession-num&gt;&lt;urls&gt;&lt;related-urls&gt;&lt;url&gt;https://www.ncbi.nlm.nih.gov/pubmed/13450660&lt;/url&gt;&lt;/related-urls&gt;&lt;/urls&gt;&lt;/record&gt;&lt;/Cite&gt;&lt;/EndNote&gt;</w:instrText>
      </w:r>
      <w:r w:rsidRPr="00256DC9">
        <w:rPr>
          <w:rFonts w:ascii="Times New Roman" w:hAnsi="Times New Roman" w:cs="Times New Roman"/>
          <w:sz w:val="28"/>
          <w:szCs w:val="28"/>
        </w:rPr>
        <w:fldChar w:fldCharType="separate"/>
      </w:r>
      <w:bookmarkStart w:id="3" w:name="Bookmark1"/>
      <w:r w:rsidRPr="00256DC9">
        <w:rPr>
          <w:rFonts w:ascii="Times New Roman" w:eastAsia="Times New Roman" w:hAnsi="Times New Roman" w:cs="Times New Roman"/>
          <w:sz w:val="28"/>
          <w:szCs w:val="28"/>
        </w:rPr>
        <w:t>(Morrison 1957)</w:t>
      </w:r>
      <w:r w:rsidRPr="00256DC9">
        <w:rPr>
          <w:rFonts w:ascii="Times New Roman" w:hAnsi="Times New Roman" w:cs="Times New Roman"/>
          <w:sz w:val="28"/>
          <w:szCs w:val="28"/>
        </w:rPr>
        <w:fldChar w:fldCharType="end"/>
      </w:r>
      <w:bookmarkEnd w:id="3"/>
      <w:r w:rsidRPr="00256DC9">
        <w:rPr>
          <w:rFonts w:ascii="Times New Roman" w:eastAsia="Times New Roman" w:hAnsi="Times New Roman" w:cs="Times New Roman"/>
          <w:sz w:val="28"/>
          <w:szCs w:val="28"/>
        </w:rPr>
        <w:t xml:space="preserve">.  Для максимально эффективного лечения пациентов с желудочно-кишечными кровотечениями требуется мультидисциплинарная команда специалистов, мультимодальный подход </w:t>
      </w:r>
      <w:r w:rsidRPr="00256DC9">
        <w:rPr>
          <w:rFonts w:ascii="Times New Roman" w:hAnsi="Times New Roman" w:cs="Times New Roman"/>
          <w:sz w:val="28"/>
          <w:szCs w:val="28"/>
        </w:rPr>
        <w:fldChar w:fldCharType="begin"/>
      </w:r>
      <w:r w:rsidRPr="00256DC9">
        <w:rPr>
          <w:rFonts w:ascii="Times New Roman" w:hAnsi="Times New Roman" w:cs="Times New Roman"/>
          <w:sz w:val="28"/>
          <w:szCs w:val="28"/>
        </w:rPr>
        <w:instrText>ADDIN EN.CITE</w:instrText>
      </w:r>
      <w:r w:rsidRPr="00256DC9">
        <w:rPr>
          <w:rFonts w:ascii="Times New Roman" w:hAnsi="Times New Roman" w:cs="Times New Roman"/>
          <w:sz w:val="28"/>
          <w:szCs w:val="28"/>
        </w:rPr>
        <w:fldChar w:fldCharType="end"/>
      </w:r>
      <w:r w:rsidR="00A8781C" w:rsidRPr="00256DC9">
        <w:rPr>
          <w:rFonts w:ascii="Times New Roman" w:hAnsi="Times New Roman" w:cs="Times New Roman"/>
          <w:sz w:val="28"/>
          <w:szCs w:val="28"/>
        </w:rPr>
        <w:t>[2].</w:t>
      </w:r>
    </w:p>
    <w:p w:rsidR="00BA3B0E" w:rsidRPr="00256DC9" w:rsidRDefault="00E275A0"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Мы решили посмотреть, насколько эффективно будет применяться </w:t>
      </w:r>
      <w:proofErr w:type="spellStart"/>
      <w:r w:rsidRPr="00256DC9">
        <w:rPr>
          <w:rFonts w:ascii="Times New Roman" w:eastAsia="Times New Roman" w:hAnsi="Times New Roman" w:cs="Times New Roman"/>
          <w:sz w:val="28"/>
          <w:szCs w:val="28"/>
        </w:rPr>
        <w:t>трансфузионно</w:t>
      </w:r>
      <w:proofErr w:type="spellEnd"/>
      <w:r w:rsidRPr="00256DC9">
        <w:rPr>
          <w:rFonts w:ascii="Times New Roman" w:eastAsia="Times New Roman" w:hAnsi="Times New Roman" w:cs="Times New Roman"/>
          <w:sz w:val="28"/>
          <w:szCs w:val="28"/>
        </w:rPr>
        <w:t xml:space="preserve">-инфузионная терапия </w:t>
      </w:r>
      <w:proofErr w:type="spellStart"/>
      <w:r w:rsidRPr="00256DC9">
        <w:rPr>
          <w:rFonts w:ascii="Times New Roman" w:eastAsia="Times New Roman" w:hAnsi="Times New Roman" w:cs="Times New Roman"/>
          <w:sz w:val="28"/>
          <w:szCs w:val="28"/>
        </w:rPr>
        <w:t>кристаллоидными</w:t>
      </w:r>
      <w:proofErr w:type="spellEnd"/>
      <w:r w:rsidRPr="00256DC9">
        <w:rPr>
          <w:rFonts w:ascii="Times New Roman" w:eastAsia="Times New Roman" w:hAnsi="Times New Roman" w:cs="Times New Roman"/>
          <w:sz w:val="28"/>
          <w:szCs w:val="28"/>
        </w:rPr>
        <w:t xml:space="preserve"> и коллоидными растворами, свежезамороженной плазмой, эритроцитарной взвесью у пациентов Покровской больницы с острыми желудочно-кишечными кровотечениями, и, как следствие, сможет ли правильно подобранная терапия существенно повлиять на снижение количества летальных исходов.</w:t>
      </w:r>
    </w:p>
    <w:p w:rsidR="00BC6B8D" w:rsidRPr="00256DC9" w:rsidRDefault="00E275A0" w:rsidP="00256DC9">
      <w:pPr>
        <w:spacing w:line="360" w:lineRule="auto"/>
        <w:ind w:firstLine="720"/>
        <w:jc w:val="both"/>
        <w:rPr>
          <w:rFonts w:ascii="Times New Roman" w:eastAsia="Times New Roman" w:hAnsi="Times New Roman" w:cs="Times New Roman"/>
          <w:sz w:val="28"/>
          <w:szCs w:val="28"/>
        </w:rPr>
      </w:pPr>
      <w:bookmarkStart w:id="4" w:name="_Hlk41328949"/>
      <w:bookmarkEnd w:id="2"/>
      <w:r w:rsidRPr="00256DC9">
        <w:rPr>
          <w:rFonts w:ascii="Times New Roman" w:eastAsia="Times New Roman" w:hAnsi="Times New Roman" w:cs="Times New Roman"/>
          <w:b/>
          <w:sz w:val="28"/>
          <w:szCs w:val="28"/>
        </w:rPr>
        <w:t>Цель исследования</w:t>
      </w:r>
      <w:r w:rsidRPr="00256DC9">
        <w:rPr>
          <w:rFonts w:ascii="Times New Roman" w:eastAsia="Times New Roman" w:hAnsi="Times New Roman" w:cs="Times New Roman"/>
          <w:sz w:val="28"/>
          <w:szCs w:val="28"/>
        </w:rPr>
        <w:t xml:space="preserve"> – </w:t>
      </w:r>
      <w:bookmarkStart w:id="5" w:name="_Hlk41330570"/>
      <w:r w:rsidR="00BC6B8D" w:rsidRPr="00256DC9">
        <w:rPr>
          <w:rFonts w:ascii="Times New Roman" w:eastAsia="Times New Roman" w:hAnsi="Times New Roman" w:cs="Times New Roman"/>
          <w:sz w:val="28"/>
          <w:szCs w:val="28"/>
        </w:rPr>
        <w:t>изучить эффективность инфузионно-трансфузионной терапии у больных язвенной болезнью, осложненной кровотечением из язвы, в хирургическом стационаре</w:t>
      </w:r>
      <w:bookmarkEnd w:id="5"/>
      <w:r w:rsidR="00BC6B8D" w:rsidRPr="00256DC9">
        <w:rPr>
          <w:rFonts w:ascii="Times New Roman" w:eastAsia="Times New Roman" w:hAnsi="Times New Roman" w:cs="Times New Roman"/>
          <w:sz w:val="28"/>
          <w:szCs w:val="28"/>
        </w:rPr>
        <w:t>.</w:t>
      </w:r>
    </w:p>
    <w:p w:rsidR="00BA3B0E" w:rsidRPr="00256DC9" w:rsidRDefault="00402B07"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b/>
          <w:sz w:val="28"/>
          <w:szCs w:val="28"/>
        </w:rPr>
        <w:lastRenderedPageBreak/>
        <w:t>Задачи</w:t>
      </w:r>
      <w:r w:rsidRPr="00256DC9">
        <w:rPr>
          <w:rFonts w:ascii="Times New Roman" w:eastAsia="Times New Roman" w:hAnsi="Times New Roman" w:cs="Times New Roman"/>
          <w:sz w:val="28"/>
          <w:szCs w:val="28"/>
        </w:rPr>
        <w:t xml:space="preserve"> исследования:</w:t>
      </w:r>
      <w:r w:rsidR="00E275A0" w:rsidRPr="00256DC9">
        <w:rPr>
          <w:rFonts w:ascii="Times New Roman" w:eastAsia="Times New Roman" w:hAnsi="Times New Roman" w:cs="Times New Roman"/>
          <w:sz w:val="28"/>
          <w:szCs w:val="28"/>
        </w:rPr>
        <w:t xml:space="preserve"> </w:t>
      </w:r>
    </w:p>
    <w:p w:rsidR="009E1669" w:rsidRPr="00256DC9" w:rsidRDefault="009E1669" w:rsidP="00256DC9">
      <w:pPr>
        <w:pStyle w:val="aa"/>
        <w:numPr>
          <w:ilvl w:val="0"/>
          <w:numId w:val="11"/>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сравнить частоту встречаемости язв </w:t>
      </w:r>
      <w:proofErr w:type="spellStart"/>
      <w:r w:rsidRPr="00256DC9">
        <w:rPr>
          <w:rFonts w:ascii="Times New Roman" w:eastAsia="Times New Roman" w:hAnsi="Times New Roman" w:cs="Times New Roman"/>
          <w:sz w:val="28"/>
          <w:szCs w:val="28"/>
        </w:rPr>
        <w:t>гастродуаденальной</w:t>
      </w:r>
      <w:proofErr w:type="spellEnd"/>
      <w:r w:rsidRPr="00256DC9">
        <w:rPr>
          <w:rFonts w:ascii="Times New Roman" w:eastAsia="Times New Roman" w:hAnsi="Times New Roman" w:cs="Times New Roman"/>
          <w:sz w:val="28"/>
          <w:szCs w:val="28"/>
        </w:rPr>
        <w:t xml:space="preserve"> зоны, осложненных кровотечением из в зависимости от пола;</w:t>
      </w:r>
    </w:p>
    <w:p w:rsidR="009E1669" w:rsidRPr="00256DC9" w:rsidRDefault="009E1669" w:rsidP="00256DC9">
      <w:pPr>
        <w:pStyle w:val="aa"/>
        <w:numPr>
          <w:ilvl w:val="0"/>
          <w:numId w:val="11"/>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сравнить частоту встречаемости различных форм язв в зависимости от локализации;</w:t>
      </w:r>
    </w:p>
    <w:p w:rsidR="009E1669" w:rsidRPr="00256DC9" w:rsidRDefault="009E1669" w:rsidP="00256DC9">
      <w:pPr>
        <w:pStyle w:val="aa"/>
        <w:numPr>
          <w:ilvl w:val="0"/>
          <w:numId w:val="11"/>
        </w:numPr>
        <w:spacing w:line="360" w:lineRule="auto"/>
        <w:jc w:val="both"/>
        <w:rPr>
          <w:rFonts w:ascii="Times New Roman" w:eastAsia="Times New Roman" w:hAnsi="Times New Roman" w:cs="Times New Roman"/>
          <w:sz w:val="28"/>
          <w:szCs w:val="28"/>
        </w:rPr>
      </w:pPr>
      <w:r w:rsidRPr="00256DC9">
        <w:rPr>
          <w:rFonts w:ascii="Times New Roman" w:hAnsi="Times New Roman" w:cs="Times New Roman"/>
          <w:sz w:val="28"/>
          <w:szCs w:val="28"/>
        </w:rPr>
        <w:t>исследовать взаимосвязь между группой крови пациента и локализацией кровотечения из язвы;</w:t>
      </w:r>
    </w:p>
    <w:p w:rsidR="009E1669" w:rsidRPr="00256DC9" w:rsidRDefault="00E97016" w:rsidP="00256DC9">
      <w:pPr>
        <w:pStyle w:val="aa"/>
        <w:numPr>
          <w:ilvl w:val="0"/>
          <w:numId w:val="11"/>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определить корреляцию между количеством проведенных в стационаре койко-дней и объемами </w:t>
      </w:r>
      <w:proofErr w:type="spellStart"/>
      <w:r w:rsidRPr="00256DC9">
        <w:rPr>
          <w:rFonts w:ascii="Times New Roman" w:eastAsia="Times New Roman" w:hAnsi="Times New Roman" w:cs="Times New Roman"/>
          <w:sz w:val="28"/>
          <w:szCs w:val="28"/>
        </w:rPr>
        <w:t>трансфузионной</w:t>
      </w:r>
      <w:proofErr w:type="spellEnd"/>
      <w:r w:rsidRPr="00256DC9">
        <w:rPr>
          <w:rFonts w:ascii="Times New Roman" w:eastAsia="Times New Roman" w:hAnsi="Times New Roman" w:cs="Times New Roman"/>
          <w:sz w:val="28"/>
          <w:szCs w:val="28"/>
        </w:rPr>
        <w:t xml:space="preserve"> терапии (количество актов переливания, количество трансфузий, суммарными объемами перелитой свежезамороженной плазмы (СЗП) и </w:t>
      </w:r>
      <w:proofErr w:type="spellStart"/>
      <w:r w:rsidRPr="00256DC9">
        <w:rPr>
          <w:rFonts w:ascii="Times New Roman" w:eastAsia="Times New Roman" w:hAnsi="Times New Roman" w:cs="Times New Roman"/>
          <w:sz w:val="28"/>
          <w:szCs w:val="28"/>
        </w:rPr>
        <w:t>эритроцитарной</w:t>
      </w:r>
      <w:proofErr w:type="spellEnd"/>
      <w:r w:rsidRPr="00256DC9">
        <w:rPr>
          <w:rFonts w:ascii="Times New Roman" w:eastAsia="Times New Roman" w:hAnsi="Times New Roman" w:cs="Times New Roman"/>
          <w:sz w:val="28"/>
          <w:szCs w:val="28"/>
        </w:rPr>
        <w:t xml:space="preserve"> взвеси);</w:t>
      </w:r>
    </w:p>
    <w:p w:rsidR="000A79D1" w:rsidRPr="00256DC9" w:rsidRDefault="000A79D1" w:rsidP="00256DC9">
      <w:pPr>
        <w:pStyle w:val="aa"/>
        <w:numPr>
          <w:ilvl w:val="0"/>
          <w:numId w:val="11"/>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установить связь между локализацией язвенного кровотечения и длительностью госпитализации, а также количеством актов трансфузии. </w:t>
      </w:r>
      <w:bookmarkEnd w:id="4"/>
    </w:p>
    <w:p w:rsidR="000A79D1" w:rsidRPr="00256DC9" w:rsidRDefault="000A79D1" w:rsidP="00256DC9">
      <w:pPr>
        <w:tabs>
          <w:tab w:val="left" w:pos="425"/>
        </w:tabs>
        <w:spacing w:line="360" w:lineRule="auto"/>
        <w:jc w:val="both"/>
        <w:rPr>
          <w:rFonts w:ascii="Times New Roman" w:hAnsi="Times New Roman" w:cs="Times New Roman"/>
          <w:b/>
          <w:sz w:val="28"/>
          <w:szCs w:val="28"/>
        </w:rPr>
      </w:pPr>
      <w:bookmarkStart w:id="6" w:name="_Hlk41330653"/>
      <w:r w:rsidRPr="00256DC9">
        <w:rPr>
          <w:rFonts w:ascii="Times New Roman" w:hAnsi="Times New Roman" w:cs="Times New Roman"/>
          <w:b/>
          <w:sz w:val="28"/>
          <w:szCs w:val="28"/>
        </w:rPr>
        <w:tab/>
      </w:r>
      <w:r w:rsidRPr="00256DC9">
        <w:rPr>
          <w:rFonts w:ascii="Times New Roman" w:eastAsia="Times New Roman" w:hAnsi="Times New Roman" w:cs="Times New Roman"/>
          <w:sz w:val="28"/>
          <w:szCs w:val="28"/>
        </w:rPr>
        <w:t xml:space="preserve">Исследование проводилось на базе СПб ГБУЗ «Городская Покровская больница» в период с сентября 2019 по март 2020 года. Всего было проанализировано 94 истории болезни пациентов с диагнозом </w:t>
      </w:r>
      <w:proofErr w:type="spellStart"/>
      <w:r w:rsidRPr="00256DC9">
        <w:rPr>
          <w:rFonts w:ascii="Times New Roman" w:eastAsia="Times New Roman" w:hAnsi="Times New Roman" w:cs="Times New Roman"/>
          <w:sz w:val="28"/>
          <w:szCs w:val="28"/>
        </w:rPr>
        <w:t>гастро</w:t>
      </w:r>
      <w:proofErr w:type="spellEnd"/>
      <w:r w:rsidRPr="00256DC9">
        <w:rPr>
          <w:rFonts w:ascii="Times New Roman" w:eastAsia="Times New Roman" w:hAnsi="Times New Roman" w:cs="Times New Roman"/>
          <w:sz w:val="28"/>
          <w:szCs w:val="28"/>
        </w:rPr>
        <w:t xml:space="preserve">-дуоденальная язва, осложненная кровотечением из язвы.  </w:t>
      </w:r>
    </w:p>
    <w:bookmarkEnd w:id="6"/>
    <w:p w:rsidR="00256DC9" w:rsidRPr="00256DC9" w:rsidRDefault="00110159" w:rsidP="00256DC9">
      <w:pPr>
        <w:spacing w:line="360" w:lineRule="auto"/>
        <w:ind w:left="567" w:hanging="567"/>
        <w:jc w:val="center"/>
        <w:rPr>
          <w:rFonts w:ascii="Times New Roman" w:hAnsi="Times New Roman" w:cs="Times New Roman"/>
          <w:sz w:val="28"/>
          <w:szCs w:val="28"/>
        </w:rPr>
      </w:pPr>
      <w:r w:rsidRPr="00256DC9">
        <w:rPr>
          <w:rFonts w:ascii="Times New Roman" w:hAnsi="Times New Roman" w:cs="Times New Roman"/>
          <w:sz w:val="28"/>
          <w:szCs w:val="28"/>
        </w:rPr>
        <w:br w:type="page"/>
      </w:r>
      <w:r w:rsidR="00256DC9" w:rsidRPr="00256DC9">
        <w:rPr>
          <w:rFonts w:ascii="Times New Roman" w:hAnsi="Times New Roman" w:cs="Times New Roman"/>
          <w:b/>
          <w:sz w:val="28"/>
          <w:szCs w:val="28"/>
        </w:rPr>
        <w:lastRenderedPageBreak/>
        <w:t>Глава 1. Обзор литературы</w:t>
      </w:r>
    </w:p>
    <w:p w:rsidR="00256DC9" w:rsidRPr="00256DC9" w:rsidRDefault="00256DC9" w:rsidP="00256DC9">
      <w:pPr>
        <w:spacing w:line="360" w:lineRule="auto"/>
        <w:jc w:val="both"/>
        <w:rPr>
          <w:rFonts w:ascii="Times New Roman" w:hAnsi="Times New Roman" w:cs="Times New Roman"/>
          <w:b/>
          <w:sz w:val="28"/>
          <w:szCs w:val="28"/>
        </w:rPr>
      </w:pPr>
      <w:r w:rsidRPr="00256DC9">
        <w:rPr>
          <w:rFonts w:ascii="Times New Roman" w:hAnsi="Times New Roman" w:cs="Times New Roman"/>
          <w:b/>
          <w:sz w:val="28"/>
          <w:szCs w:val="28"/>
        </w:rPr>
        <w:t>1.</w:t>
      </w:r>
      <w:proofErr w:type="gramStart"/>
      <w:r w:rsidRPr="00256DC9">
        <w:rPr>
          <w:rFonts w:ascii="Times New Roman" w:hAnsi="Times New Roman" w:cs="Times New Roman"/>
          <w:b/>
          <w:sz w:val="28"/>
          <w:szCs w:val="28"/>
        </w:rPr>
        <w:t>1.Историческая</w:t>
      </w:r>
      <w:proofErr w:type="gramEnd"/>
      <w:r w:rsidRPr="00256DC9">
        <w:rPr>
          <w:rFonts w:ascii="Times New Roman" w:hAnsi="Times New Roman" w:cs="Times New Roman"/>
          <w:b/>
          <w:sz w:val="28"/>
          <w:szCs w:val="28"/>
        </w:rPr>
        <w:t xml:space="preserve"> справка</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Хирург С.С. Юдин в книге «Этюды желудочной хирургии» еще в 1955 г. отмечал, что кровотечение из желудочно-кишечного тракта (ЖКТ) – </w:t>
      </w:r>
      <w:proofErr w:type="gramStart"/>
      <w:r w:rsidRPr="00256DC9">
        <w:rPr>
          <w:rFonts w:ascii="Times New Roman" w:eastAsia="Times New Roman" w:hAnsi="Times New Roman" w:cs="Times New Roman"/>
          <w:sz w:val="28"/>
          <w:szCs w:val="28"/>
        </w:rPr>
        <w:t>очень  ответственный</w:t>
      </w:r>
      <w:proofErr w:type="gramEnd"/>
      <w:r w:rsidRPr="00256DC9">
        <w:rPr>
          <w:rFonts w:ascii="Times New Roman" w:eastAsia="Times New Roman" w:hAnsi="Times New Roman" w:cs="Times New Roman"/>
          <w:sz w:val="28"/>
          <w:szCs w:val="28"/>
        </w:rPr>
        <w:t xml:space="preserve"> экзамен даже для опытного врача, как в распознавании заболевания, так и в тактике ведения больного. Прошло более полувека, однако кровотечения из пищеварительного тракта остаются наиболее частыми и тяжелыми осложнениями различных заболеваний органов системы пищеварения. Патологические кровоизлияния могут возникать при патологии других органов и систем, что значительно осложняет их диагностику. Трагичность кровотечения, по выражению Н.Н. Бурденко, в том, что «с изливающейся кровью уходит </w:t>
      </w:r>
      <w:proofErr w:type="gramStart"/>
      <w:r w:rsidRPr="00256DC9">
        <w:rPr>
          <w:rFonts w:ascii="Times New Roman" w:eastAsia="Times New Roman" w:hAnsi="Times New Roman" w:cs="Times New Roman"/>
          <w:sz w:val="28"/>
          <w:szCs w:val="28"/>
        </w:rPr>
        <w:t>жизнь»...</w:t>
      </w:r>
      <w:proofErr w:type="gramEnd"/>
      <w:r w:rsidRPr="00256DC9">
        <w:rPr>
          <w:rFonts w:ascii="Times New Roman" w:eastAsia="Times New Roman" w:hAnsi="Times New Roman" w:cs="Times New Roman"/>
          <w:sz w:val="28"/>
          <w:szCs w:val="28"/>
        </w:rPr>
        <w:t xml:space="preserve"> [5].</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В современной медицине лечение желудочно-кишечных кровотечений (ЖКК) является одной из наиболее актуальных проблем неотложной хирургии. Наиболее часто встречающейся причиной таких кровотечений является язвенная болезнь желудка и двенадцатиперстной кишки. Кроме того, кровотечения могут вызывать синдром </w:t>
      </w:r>
      <w:proofErr w:type="spellStart"/>
      <w:r w:rsidRPr="00256DC9">
        <w:rPr>
          <w:rFonts w:ascii="Times New Roman" w:eastAsia="Times New Roman" w:hAnsi="Times New Roman" w:cs="Times New Roman"/>
          <w:sz w:val="28"/>
          <w:szCs w:val="28"/>
        </w:rPr>
        <w:t>Маллори-Вейсса</w:t>
      </w:r>
      <w:proofErr w:type="spellEnd"/>
      <w:r w:rsidRPr="00256DC9">
        <w:rPr>
          <w:rFonts w:ascii="Times New Roman" w:eastAsia="Times New Roman" w:hAnsi="Times New Roman" w:cs="Times New Roman"/>
          <w:sz w:val="28"/>
          <w:szCs w:val="28"/>
        </w:rPr>
        <w:t>, эрозивно-геморрагические поражения ЖКТ, химические ожоги слизистой, раковые опухоли. При этом летальность составляет по разным данным 3,3-35%, а при рецидивных кровотечениях – до 80%. [1, 2, 3].</w:t>
      </w:r>
      <w:r w:rsidRPr="00256DC9">
        <w:rPr>
          <w:rFonts w:ascii="Times New Roman" w:hAnsi="Times New Roman" w:cs="Times New Roman"/>
          <w:sz w:val="28"/>
          <w:szCs w:val="28"/>
        </w:rPr>
        <w:t xml:space="preserve"> </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В развитии клиники острых ЖКК выделяют 2 периода: латентный (скрытый) и явный. Латентный период начинается с поступления первых порций крови из поврежденного сосуда в ЖКТ, а явный – отсчитывается от момента обнаружения крови в рвотных массах (</w:t>
      </w:r>
      <w:proofErr w:type="spellStart"/>
      <w:r w:rsidRPr="00256DC9">
        <w:rPr>
          <w:rFonts w:ascii="Times New Roman" w:eastAsia="Times New Roman" w:hAnsi="Times New Roman" w:cs="Times New Roman"/>
          <w:sz w:val="28"/>
          <w:szCs w:val="28"/>
        </w:rPr>
        <w:t>haematemesia</w:t>
      </w:r>
      <w:proofErr w:type="spellEnd"/>
      <w:r w:rsidRPr="00256DC9">
        <w:rPr>
          <w:rFonts w:ascii="Times New Roman" w:eastAsia="Times New Roman" w:hAnsi="Times New Roman" w:cs="Times New Roman"/>
          <w:sz w:val="28"/>
          <w:szCs w:val="28"/>
        </w:rPr>
        <w:t>), или в кале (</w:t>
      </w:r>
      <w:proofErr w:type="spellStart"/>
      <w:r w:rsidRPr="00256DC9">
        <w:rPr>
          <w:rFonts w:ascii="Times New Roman" w:eastAsia="Times New Roman" w:hAnsi="Times New Roman" w:cs="Times New Roman"/>
          <w:sz w:val="28"/>
          <w:szCs w:val="28"/>
        </w:rPr>
        <w:t>malena</w:t>
      </w:r>
      <w:proofErr w:type="spellEnd"/>
      <w:r w:rsidRPr="00256DC9">
        <w:rPr>
          <w:rFonts w:ascii="Times New Roman" w:eastAsia="Times New Roman" w:hAnsi="Times New Roman" w:cs="Times New Roman"/>
          <w:sz w:val="28"/>
          <w:szCs w:val="28"/>
        </w:rPr>
        <w:t xml:space="preserve"> или </w:t>
      </w:r>
      <w:proofErr w:type="spellStart"/>
      <w:r w:rsidRPr="00256DC9">
        <w:rPr>
          <w:rFonts w:ascii="Times New Roman" w:eastAsia="Times New Roman" w:hAnsi="Times New Roman" w:cs="Times New Roman"/>
          <w:sz w:val="28"/>
          <w:szCs w:val="28"/>
        </w:rPr>
        <w:t>haemateshesia</w:t>
      </w:r>
      <w:proofErr w:type="spellEnd"/>
      <w:r w:rsidRPr="00256DC9">
        <w:rPr>
          <w:rFonts w:ascii="Times New Roman" w:eastAsia="Times New Roman" w:hAnsi="Times New Roman" w:cs="Times New Roman"/>
          <w:sz w:val="28"/>
          <w:szCs w:val="28"/>
        </w:rPr>
        <w:t xml:space="preserve">) или вовремя зондирования желудка, а также при проведении эндоскопического исследования. Выраженность клинических проявлений острого ЖКК имеет чрезвычайно широкий диапазон: от полного </w:t>
      </w:r>
      <w:r w:rsidRPr="00256DC9">
        <w:rPr>
          <w:rFonts w:ascii="Times New Roman" w:eastAsia="Times New Roman" w:hAnsi="Times New Roman" w:cs="Times New Roman"/>
          <w:sz w:val="28"/>
          <w:szCs w:val="28"/>
        </w:rPr>
        <w:lastRenderedPageBreak/>
        <w:t>отсутствия симптомов до проявления тяжелого геморрагического шока. Это зависит от объема и особенно от темпа кровопотери [6, 28].</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Кровотечение, даже быстрое, но с потерей крови до 500,0 мл, как правило, не сопровождается никакими клиническими проявлениями, за исключением возможной непродолжительной тахикардии. Если кровопотеря на протяжении суток превышает 750,0 мл, снижается АД и учащается пульс. Ухудшается общее состояние, появляются жалобы на чувство слабости, головную боль, шум в голове, «мелькание мушек» перед глазами, появление холодного пота, неожиданный обморок. При осмотре больного обращает внимание бледность кожных покровов и слизистых оболочек (конъюнктивы глаза). Чаще эти симптомы </w:t>
      </w:r>
      <w:proofErr w:type="gramStart"/>
      <w:r w:rsidRPr="00256DC9">
        <w:rPr>
          <w:rFonts w:ascii="Times New Roman" w:eastAsia="Times New Roman" w:hAnsi="Times New Roman" w:cs="Times New Roman"/>
          <w:sz w:val="28"/>
          <w:szCs w:val="28"/>
        </w:rPr>
        <w:t>развиваются постепенно</w:t>
      </w:r>
      <w:proofErr w:type="gramEnd"/>
      <w:r w:rsidRPr="00256DC9">
        <w:rPr>
          <w:rFonts w:ascii="Times New Roman" w:eastAsia="Times New Roman" w:hAnsi="Times New Roman" w:cs="Times New Roman"/>
          <w:sz w:val="28"/>
          <w:szCs w:val="28"/>
        </w:rPr>
        <w:t xml:space="preserve"> и больные в первые часы их появления не обращают на них внимания, что не позволяет медицинскому специалисту определить время, когда началось кровотечение. </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Нередко (до 12-16% случаев) проявления кровотечений начинаются с неожиданной потери сознания. Подтверждением кровопотери может быть положительная ортостатическая проба. Когда больного с горизонтального положения переводят в вертикальное, у него темнеет в глазах или возникает обморок, а частота пульса ускоряется более чем на 20 уд/мин. У части больных (10-15%) развиваются признаки геморрагического шока (ГШ), что свидетельствует </w:t>
      </w:r>
      <w:proofErr w:type="gramStart"/>
      <w:r w:rsidRPr="00256DC9">
        <w:rPr>
          <w:rFonts w:ascii="Times New Roman" w:eastAsia="Times New Roman" w:hAnsi="Times New Roman" w:cs="Times New Roman"/>
          <w:sz w:val="28"/>
          <w:szCs w:val="28"/>
        </w:rPr>
        <w:t>о быстрой и значительной потери</w:t>
      </w:r>
      <w:proofErr w:type="gramEnd"/>
      <w:r w:rsidRPr="00256DC9">
        <w:rPr>
          <w:rFonts w:ascii="Times New Roman" w:eastAsia="Times New Roman" w:hAnsi="Times New Roman" w:cs="Times New Roman"/>
          <w:sz w:val="28"/>
          <w:szCs w:val="28"/>
        </w:rPr>
        <w:t xml:space="preserve"> крови [5, 7, 21].</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Тяжесть ГШ находится в прямой зависимости от количества кровопотери и скорости кровотечения. Уровень гемоглобина снижается до 80 г/л, но в первые часы при быстром темпе кровотечения, этот показатель мало изменяется и резко падает во время интенсивной </w:t>
      </w:r>
      <w:proofErr w:type="spellStart"/>
      <w:r w:rsidRPr="00256DC9">
        <w:rPr>
          <w:rFonts w:ascii="Times New Roman" w:eastAsia="Times New Roman" w:hAnsi="Times New Roman" w:cs="Times New Roman"/>
          <w:sz w:val="28"/>
          <w:szCs w:val="28"/>
        </w:rPr>
        <w:t>трансфузионной</w:t>
      </w:r>
      <w:proofErr w:type="spellEnd"/>
      <w:r w:rsidRPr="00256DC9">
        <w:rPr>
          <w:rFonts w:ascii="Times New Roman" w:eastAsia="Times New Roman" w:hAnsi="Times New Roman" w:cs="Times New Roman"/>
          <w:sz w:val="28"/>
          <w:szCs w:val="28"/>
        </w:rPr>
        <w:t xml:space="preserve"> терапии («разведении крови», </w:t>
      </w:r>
      <w:proofErr w:type="spellStart"/>
      <w:r w:rsidRPr="00256DC9">
        <w:rPr>
          <w:rFonts w:ascii="Times New Roman" w:eastAsia="Times New Roman" w:hAnsi="Times New Roman" w:cs="Times New Roman"/>
          <w:sz w:val="28"/>
          <w:szCs w:val="28"/>
        </w:rPr>
        <w:t>дилюции</w:t>
      </w:r>
      <w:proofErr w:type="spellEnd"/>
      <w:r w:rsidRPr="00256DC9">
        <w:rPr>
          <w:rFonts w:ascii="Times New Roman" w:eastAsia="Times New Roman" w:hAnsi="Times New Roman" w:cs="Times New Roman"/>
          <w:sz w:val="28"/>
          <w:szCs w:val="28"/>
        </w:rPr>
        <w:t>). Аналогичные колебания наблюдаются и с показателями эритроцитов и гематокрита [8, 54].</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Основной причиной нарушения гемодинамики является гиповолемия, возникающая в результате кровопотери и проявляющаяся дефицитом ОЦК, </w:t>
      </w:r>
      <w:r w:rsidRPr="00256DC9">
        <w:rPr>
          <w:rFonts w:ascii="Times New Roman" w:eastAsia="Times New Roman" w:hAnsi="Times New Roman" w:cs="Times New Roman"/>
          <w:sz w:val="28"/>
          <w:szCs w:val="28"/>
        </w:rPr>
        <w:lastRenderedPageBreak/>
        <w:t xml:space="preserve">т.е. несоответствием объема циркулирующей крови емкости сосудистого русла. При этом запускается целый каскад патогенетических механизмов, которые в конечном результате заканчиваются патологическими метаболическими процессами в различных органах и </w:t>
      </w:r>
      <w:proofErr w:type="gramStart"/>
      <w:r w:rsidRPr="00256DC9">
        <w:rPr>
          <w:rFonts w:ascii="Times New Roman" w:eastAsia="Times New Roman" w:hAnsi="Times New Roman" w:cs="Times New Roman"/>
          <w:sz w:val="28"/>
          <w:szCs w:val="28"/>
        </w:rPr>
        <w:t>системах  с</w:t>
      </w:r>
      <w:proofErr w:type="gramEnd"/>
      <w:r w:rsidRPr="00256DC9">
        <w:rPr>
          <w:rFonts w:ascii="Times New Roman" w:eastAsia="Times New Roman" w:hAnsi="Times New Roman" w:cs="Times New Roman"/>
          <w:sz w:val="28"/>
          <w:szCs w:val="28"/>
        </w:rPr>
        <w:t xml:space="preserve"> развитием полиорганной недостаточности [9, 11, 55]. </w:t>
      </w:r>
      <w:proofErr w:type="gramStart"/>
      <w:r w:rsidRPr="00256DC9">
        <w:rPr>
          <w:rFonts w:ascii="Times New Roman" w:eastAsia="Times New Roman" w:hAnsi="Times New Roman" w:cs="Times New Roman"/>
          <w:sz w:val="28"/>
          <w:szCs w:val="28"/>
          <w:lang w:val="en-US"/>
        </w:rPr>
        <w:t>N</w:t>
      </w:r>
      <w:r w:rsidRPr="00256DC9">
        <w:rPr>
          <w:rFonts w:ascii="Times New Roman" w:eastAsia="Times New Roman" w:hAnsi="Times New Roman" w:cs="Times New Roman"/>
          <w:sz w:val="28"/>
          <w:szCs w:val="28"/>
        </w:rPr>
        <w:t>.</w:t>
      </w:r>
      <w:r w:rsidRPr="00256DC9">
        <w:rPr>
          <w:rFonts w:ascii="Times New Roman" w:eastAsia="Times New Roman" w:hAnsi="Times New Roman" w:cs="Times New Roman"/>
          <w:sz w:val="28"/>
          <w:szCs w:val="28"/>
          <w:lang w:val="en-US"/>
        </w:rPr>
        <w:t>Wang</w:t>
      </w:r>
      <w:proofErr w:type="gramEnd"/>
      <w:r w:rsidRPr="00256DC9">
        <w:rPr>
          <w:rFonts w:ascii="Times New Roman" w:eastAsia="Times New Roman" w:hAnsi="Times New Roman" w:cs="Times New Roman"/>
          <w:sz w:val="28"/>
          <w:szCs w:val="28"/>
        </w:rPr>
        <w:t xml:space="preserve"> и </w:t>
      </w:r>
      <w:proofErr w:type="spellStart"/>
      <w:r w:rsidRPr="00256DC9">
        <w:rPr>
          <w:rFonts w:ascii="Times New Roman" w:eastAsia="Times New Roman" w:hAnsi="Times New Roman" w:cs="Times New Roman"/>
          <w:sz w:val="28"/>
          <w:szCs w:val="28"/>
        </w:rPr>
        <w:t>соавт</w:t>
      </w:r>
      <w:proofErr w:type="spellEnd"/>
      <w:r w:rsidRPr="00256DC9">
        <w:rPr>
          <w:rFonts w:ascii="Times New Roman" w:eastAsia="Times New Roman" w:hAnsi="Times New Roman" w:cs="Times New Roman"/>
          <w:sz w:val="28"/>
          <w:szCs w:val="28"/>
        </w:rPr>
        <w:t xml:space="preserve">. в 2019 г. указывает на </w:t>
      </w:r>
      <w:proofErr w:type="spellStart"/>
      <w:r w:rsidRPr="00256DC9">
        <w:rPr>
          <w:rFonts w:ascii="Times New Roman" w:eastAsia="Times New Roman" w:hAnsi="Times New Roman" w:cs="Times New Roman"/>
          <w:sz w:val="28"/>
          <w:szCs w:val="28"/>
        </w:rPr>
        <w:t>эндогенизацию</w:t>
      </w:r>
      <w:proofErr w:type="spellEnd"/>
      <w:r w:rsidRPr="00256DC9">
        <w:rPr>
          <w:rFonts w:ascii="Times New Roman" w:eastAsia="Times New Roman" w:hAnsi="Times New Roman" w:cs="Times New Roman"/>
          <w:sz w:val="28"/>
          <w:szCs w:val="28"/>
        </w:rPr>
        <w:t xml:space="preserve"> факторов риска при ЖКК на фоне ишемической болезни сердца [50].</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Медикаментозные меры по восстановлению гемодинамики и транспорта кислорода в ткани проводятся одновременно в четырех направлениях: восстановление ОЦК; улучшение микроциркуляции в органах и тканях; устранение дефицита межклеточной жидкости; повышение уровня переносчиков кислорода в крови [10, 14, 55].</w:t>
      </w:r>
    </w:p>
    <w:p w:rsidR="00256DC9" w:rsidRPr="00256DC9" w:rsidRDefault="00256DC9" w:rsidP="00256DC9">
      <w:pPr>
        <w:spacing w:after="0" w:line="360" w:lineRule="auto"/>
        <w:ind w:firstLine="720"/>
        <w:jc w:val="both"/>
        <w:rPr>
          <w:rFonts w:ascii="Times New Roman" w:eastAsia="Times New Roman" w:hAnsi="Times New Roman" w:cs="Times New Roman"/>
          <w:sz w:val="28"/>
          <w:szCs w:val="28"/>
        </w:rPr>
      </w:pPr>
    </w:p>
    <w:p w:rsidR="00256DC9" w:rsidRPr="00256DC9" w:rsidRDefault="00256DC9" w:rsidP="00256DC9">
      <w:pPr>
        <w:spacing w:line="360" w:lineRule="auto"/>
        <w:jc w:val="both"/>
        <w:rPr>
          <w:rFonts w:ascii="Times New Roman" w:eastAsia="Times New Roman" w:hAnsi="Times New Roman" w:cs="Times New Roman"/>
          <w:b/>
          <w:sz w:val="28"/>
          <w:szCs w:val="28"/>
        </w:rPr>
      </w:pPr>
      <w:r w:rsidRPr="00256DC9">
        <w:rPr>
          <w:rFonts w:ascii="Times New Roman" w:hAnsi="Times New Roman" w:cs="Times New Roman"/>
          <w:sz w:val="28"/>
          <w:szCs w:val="28"/>
        </w:rPr>
        <w:br w:type="page"/>
      </w:r>
    </w:p>
    <w:p w:rsidR="00256DC9" w:rsidRPr="00256DC9" w:rsidRDefault="00256DC9" w:rsidP="00256DC9">
      <w:pPr>
        <w:pStyle w:val="aa"/>
        <w:numPr>
          <w:ilvl w:val="1"/>
          <w:numId w:val="15"/>
        </w:numPr>
        <w:spacing w:line="360" w:lineRule="auto"/>
        <w:ind w:left="-142" w:firstLine="284"/>
        <w:jc w:val="both"/>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lastRenderedPageBreak/>
        <w:t>. Инфузионная терапия</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Восстановление ОЦК производится путем применения инфузионной терапии, объем которой определяется установлением дефицита ОЦК с внесением коэффициента, отражающего тяжесть геморрагического шока. Для быстрой приблизительной оценки кровопотери возможно использовать классификацию W.B. </w:t>
      </w:r>
      <w:proofErr w:type="spellStart"/>
      <w:r w:rsidRPr="00256DC9">
        <w:rPr>
          <w:rFonts w:ascii="Times New Roman" w:eastAsia="Times New Roman" w:hAnsi="Times New Roman" w:cs="Times New Roman"/>
          <w:sz w:val="28"/>
          <w:szCs w:val="28"/>
        </w:rPr>
        <w:t>Saunders</w:t>
      </w:r>
      <w:proofErr w:type="spellEnd"/>
      <w:r w:rsidRPr="00256DC9">
        <w:rPr>
          <w:rFonts w:ascii="Times New Roman" w:eastAsia="Times New Roman" w:hAnsi="Times New Roman" w:cs="Times New Roman"/>
          <w:sz w:val="28"/>
          <w:szCs w:val="28"/>
        </w:rPr>
        <w:t xml:space="preserve"> (1982), которая успешно и эффективно используется многими современными авторами [6, 18].  Для определения дефицита ОЦК пользуются индексом </w:t>
      </w:r>
      <w:proofErr w:type="spellStart"/>
      <w:r w:rsidRPr="00256DC9">
        <w:rPr>
          <w:rFonts w:ascii="Times New Roman" w:eastAsia="Times New Roman" w:hAnsi="Times New Roman" w:cs="Times New Roman"/>
          <w:sz w:val="28"/>
          <w:szCs w:val="28"/>
        </w:rPr>
        <w:t>Альговера-Бурри</w:t>
      </w:r>
      <w:proofErr w:type="spellEnd"/>
      <w:r w:rsidRPr="00256DC9">
        <w:rPr>
          <w:rFonts w:ascii="Times New Roman" w:eastAsia="Times New Roman" w:hAnsi="Times New Roman" w:cs="Times New Roman"/>
          <w:sz w:val="28"/>
          <w:szCs w:val="28"/>
        </w:rPr>
        <w:t xml:space="preserve">, который называют еще индексом шока [6, 39]. Поэтому в диагностике гиповолемии учитываются клинические показатели и симптомы, обусловленные различными проявлениями нарушений периферического кровотока. Принимается во внимание активность больного, его контактность, наличие </w:t>
      </w:r>
      <w:proofErr w:type="spellStart"/>
      <w:r w:rsidRPr="00256DC9">
        <w:rPr>
          <w:rFonts w:ascii="Times New Roman" w:eastAsia="Times New Roman" w:hAnsi="Times New Roman" w:cs="Times New Roman"/>
          <w:sz w:val="28"/>
          <w:szCs w:val="28"/>
        </w:rPr>
        <w:t>акроцианоза</w:t>
      </w:r>
      <w:proofErr w:type="spellEnd"/>
      <w:r w:rsidRPr="00256DC9">
        <w:rPr>
          <w:rFonts w:ascii="Times New Roman" w:eastAsia="Times New Roman" w:hAnsi="Times New Roman" w:cs="Times New Roman"/>
          <w:sz w:val="28"/>
          <w:szCs w:val="28"/>
        </w:rPr>
        <w:t xml:space="preserve"> и изменения температуры периферических тканей, уровень снижения АД, частота пульса и дыхательных движений, снижение диуреза. Имеют значение также лабораторные сведения о содержании гемоглобина в крови, гематокрита, КОС. Информация о количестве крови в рвотных массах и кале должна восприниматься критически, т.к. нередко наличие небольшого количества крови в рвотных массах создает впечатление массивного кровотечения. </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При проведении инфузионной терапии не следует стремиться к восстановлению АД, т.к. это может усилить кровотечение. Лучше поддерживать темп инфузионной терапии, достаточный для увеличения систолического АД до «почечного уровня» (в пределах 80 мм рт. ст.). Лишь после окончательной остановки кровотечения уровень его можно поднять до 100 мм рт. ст. и выше [7, 8].  </w:t>
      </w:r>
      <w:proofErr w:type="spellStart"/>
      <w:r w:rsidRPr="00256DC9">
        <w:rPr>
          <w:rFonts w:ascii="Times New Roman" w:eastAsia="Times New Roman" w:hAnsi="Times New Roman" w:cs="Times New Roman"/>
          <w:sz w:val="28"/>
          <w:szCs w:val="28"/>
        </w:rPr>
        <w:t>Инфузионно-трансфузионная</w:t>
      </w:r>
      <w:proofErr w:type="spellEnd"/>
      <w:r w:rsidRPr="00256DC9">
        <w:rPr>
          <w:rFonts w:ascii="Times New Roman" w:eastAsia="Times New Roman" w:hAnsi="Times New Roman" w:cs="Times New Roman"/>
          <w:sz w:val="28"/>
          <w:szCs w:val="28"/>
        </w:rPr>
        <w:t xml:space="preserve"> интенсивная терапия должна учитывать не только общее количество вводимых растворов, но и </w:t>
      </w:r>
      <w:proofErr w:type="gramStart"/>
      <w:r w:rsidRPr="00256DC9">
        <w:rPr>
          <w:rFonts w:ascii="Times New Roman" w:eastAsia="Times New Roman" w:hAnsi="Times New Roman" w:cs="Times New Roman"/>
          <w:sz w:val="28"/>
          <w:szCs w:val="28"/>
        </w:rPr>
        <w:t>ее отдельных компонентов</w:t>
      </w:r>
      <w:proofErr w:type="gramEnd"/>
      <w:r w:rsidRPr="00256DC9">
        <w:rPr>
          <w:rFonts w:ascii="Times New Roman" w:eastAsia="Times New Roman" w:hAnsi="Times New Roman" w:cs="Times New Roman"/>
          <w:sz w:val="28"/>
          <w:szCs w:val="28"/>
        </w:rPr>
        <w:t xml:space="preserve"> сбалансированных с учетом выше указанных всех четырех направлений, обеспечивающих восстановление гемодинамики и транспорта кислорода в ткани. Существовавшая до семидесятых годов </w:t>
      </w:r>
      <w:r w:rsidRPr="00256DC9">
        <w:rPr>
          <w:rFonts w:ascii="Times New Roman" w:eastAsia="Times New Roman" w:hAnsi="Times New Roman" w:cs="Times New Roman"/>
          <w:sz w:val="28"/>
          <w:szCs w:val="28"/>
        </w:rPr>
        <w:lastRenderedPageBreak/>
        <w:t>прошлого столетия установка о восстановлении ОЦК путем инфузии донорской крови в количестве адекватном ее потерям признана ошибочной [</w:t>
      </w:r>
      <w:bookmarkStart w:id="7" w:name="_Hlk41270061"/>
      <w:r w:rsidRPr="00256DC9">
        <w:rPr>
          <w:rFonts w:ascii="Times New Roman" w:eastAsia="Times New Roman" w:hAnsi="Times New Roman" w:cs="Times New Roman"/>
          <w:sz w:val="28"/>
          <w:szCs w:val="28"/>
        </w:rPr>
        <w:t>8, 9, 1</w:t>
      </w:r>
      <w:bookmarkEnd w:id="7"/>
      <w:r w:rsidRPr="00256DC9">
        <w:rPr>
          <w:rFonts w:ascii="Times New Roman" w:eastAsia="Times New Roman" w:hAnsi="Times New Roman" w:cs="Times New Roman"/>
          <w:sz w:val="28"/>
          <w:szCs w:val="28"/>
        </w:rPr>
        <w:t xml:space="preserve">0]. Это обусловлено тем, что хорошо подобранная по совместимости </w:t>
      </w:r>
      <w:proofErr w:type="spellStart"/>
      <w:r w:rsidRPr="00256DC9">
        <w:rPr>
          <w:rFonts w:ascii="Times New Roman" w:eastAsia="Times New Roman" w:hAnsi="Times New Roman" w:cs="Times New Roman"/>
          <w:sz w:val="28"/>
          <w:szCs w:val="28"/>
        </w:rPr>
        <w:t>одногруппная</w:t>
      </w:r>
      <w:proofErr w:type="spellEnd"/>
      <w:r w:rsidRPr="00256DC9">
        <w:rPr>
          <w:rFonts w:ascii="Times New Roman" w:eastAsia="Times New Roman" w:hAnsi="Times New Roman" w:cs="Times New Roman"/>
          <w:sz w:val="28"/>
          <w:szCs w:val="28"/>
        </w:rPr>
        <w:t xml:space="preserve"> кровь даже в небольшом количестве вызывает аутоиммунный конфликт вследствие выработки антител к белкам донорской крови, </w:t>
      </w:r>
      <w:proofErr w:type="spellStart"/>
      <w:r w:rsidRPr="00256DC9">
        <w:rPr>
          <w:rFonts w:ascii="Times New Roman" w:eastAsia="Times New Roman" w:hAnsi="Times New Roman" w:cs="Times New Roman"/>
          <w:sz w:val="28"/>
          <w:szCs w:val="28"/>
        </w:rPr>
        <w:t>изосенсибилизацию</w:t>
      </w:r>
      <w:proofErr w:type="spellEnd"/>
      <w:r w:rsidRPr="00256DC9">
        <w:rPr>
          <w:rFonts w:ascii="Times New Roman" w:eastAsia="Times New Roman" w:hAnsi="Times New Roman" w:cs="Times New Roman"/>
          <w:sz w:val="28"/>
          <w:szCs w:val="28"/>
        </w:rPr>
        <w:t xml:space="preserve"> к антигенам лейкоцитов, что приводит к межуточному отеку, множественным </w:t>
      </w:r>
      <w:proofErr w:type="spellStart"/>
      <w:r w:rsidRPr="00256DC9">
        <w:rPr>
          <w:rFonts w:ascii="Times New Roman" w:eastAsia="Times New Roman" w:hAnsi="Times New Roman" w:cs="Times New Roman"/>
          <w:sz w:val="28"/>
          <w:szCs w:val="28"/>
        </w:rPr>
        <w:t>периваскулярным</w:t>
      </w:r>
      <w:proofErr w:type="spellEnd"/>
      <w:r w:rsidRPr="00256DC9">
        <w:rPr>
          <w:rFonts w:ascii="Times New Roman" w:eastAsia="Times New Roman" w:hAnsi="Times New Roman" w:cs="Times New Roman"/>
          <w:sz w:val="28"/>
          <w:szCs w:val="28"/>
        </w:rPr>
        <w:t xml:space="preserve"> кровоизлияниям, секвестрации эритроцитов за счет стаза, диапедеза и накопления их в периферических сосудах паренхиматозных органов. Проявления этих нарушений вследствие массивных гемотрансфузий получило название «синдрома гомологической крови». Вливание даже 200,0-300,0 мл донорской крови может вызывать больше вреда, чем пользы. К тому же все препараты крови опасны в связи с возможностью заражения пациента СПИДом, вирусным гепатитом и др. Общепризнано [7, 11, 12], что восстановление ОЦК достигается путем инфузионных растворов, у которых </w:t>
      </w:r>
      <w:proofErr w:type="spellStart"/>
      <w:r w:rsidRPr="00256DC9">
        <w:rPr>
          <w:rFonts w:ascii="Times New Roman" w:eastAsia="Times New Roman" w:hAnsi="Times New Roman" w:cs="Times New Roman"/>
          <w:sz w:val="28"/>
          <w:szCs w:val="28"/>
        </w:rPr>
        <w:t>волемический</w:t>
      </w:r>
      <w:proofErr w:type="spellEnd"/>
      <w:r w:rsidRPr="00256DC9">
        <w:rPr>
          <w:rFonts w:ascii="Times New Roman" w:eastAsia="Times New Roman" w:hAnsi="Times New Roman" w:cs="Times New Roman"/>
          <w:sz w:val="28"/>
          <w:szCs w:val="28"/>
        </w:rPr>
        <w:t xml:space="preserve"> эффект обеспечивается за счет </w:t>
      </w:r>
      <w:proofErr w:type="spellStart"/>
      <w:r w:rsidRPr="00256DC9">
        <w:rPr>
          <w:rFonts w:ascii="Times New Roman" w:eastAsia="Times New Roman" w:hAnsi="Times New Roman" w:cs="Times New Roman"/>
          <w:sz w:val="28"/>
          <w:szCs w:val="28"/>
        </w:rPr>
        <w:t>колоидно</w:t>
      </w:r>
      <w:proofErr w:type="spellEnd"/>
      <w:r w:rsidRPr="00256DC9">
        <w:rPr>
          <w:rFonts w:ascii="Times New Roman" w:eastAsia="Times New Roman" w:hAnsi="Times New Roman" w:cs="Times New Roman"/>
          <w:sz w:val="28"/>
          <w:szCs w:val="28"/>
        </w:rPr>
        <w:t xml:space="preserve">-осмотических свойств. Таким образом, трансфузия крови больным с геморрагическим шоком значительно ограничена, а при легкой степени шока вообще не применяется. При средней тяжести она составляет 400-600 мл и тяжелой до 1000-1500 мл. При этом </w:t>
      </w:r>
      <w:proofErr w:type="spellStart"/>
      <w:r w:rsidRPr="00256DC9">
        <w:rPr>
          <w:rFonts w:ascii="Times New Roman" w:eastAsia="Times New Roman" w:hAnsi="Times New Roman" w:cs="Times New Roman"/>
          <w:sz w:val="28"/>
          <w:szCs w:val="28"/>
        </w:rPr>
        <w:t>инфузионно-трансфузионная</w:t>
      </w:r>
      <w:proofErr w:type="spellEnd"/>
      <w:r w:rsidRPr="00256DC9">
        <w:rPr>
          <w:rFonts w:ascii="Times New Roman" w:eastAsia="Times New Roman" w:hAnsi="Times New Roman" w:cs="Times New Roman"/>
          <w:sz w:val="28"/>
          <w:szCs w:val="28"/>
        </w:rPr>
        <w:t xml:space="preserve"> терапия должна учитывать не только общее количество вводимых растворов, но и ее отдельных компонентов, сбалансированных с учетом всех четырех направлений, обеспечивающих восстановление гемодинамики и транспорта кислорода в ткани. Так, на протяжении многих лет применяется программа сбалансированной </w:t>
      </w:r>
      <w:proofErr w:type="spellStart"/>
      <w:r w:rsidRPr="00256DC9">
        <w:rPr>
          <w:rFonts w:ascii="Times New Roman" w:eastAsia="Times New Roman" w:hAnsi="Times New Roman" w:cs="Times New Roman"/>
          <w:sz w:val="28"/>
          <w:szCs w:val="28"/>
        </w:rPr>
        <w:t>инфузионно-трансфузионной</w:t>
      </w:r>
      <w:proofErr w:type="spellEnd"/>
      <w:r w:rsidRPr="00256DC9">
        <w:rPr>
          <w:rFonts w:ascii="Times New Roman" w:eastAsia="Times New Roman" w:hAnsi="Times New Roman" w:cs="Times New Roman"/>
          <w:sz w:val="28"/>
          <w:szCs w:val="28"/>
        </w:rPr>
        <w:t xml:space="preserve"> терапии, позволившую улучшить результаты лечения ЖКК различной тяжести [5, 8, 20].</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Также для максимально эффективной терапии необходимо определиться с видами лечения, в зависимости от фазы кровотечения. В ранней фазе рекомендовано использование </w:t>
      </w:r>
      <w:proofErr w:type="spellStart"/>
      <w:r w:rsidRPr="00256DC9">
        <w:rPr>
          <w:rFonts w:ascii="Times New Roman" w:eastAsia="Times New Roman" w:hAnsi="Times New Roman" w:cs="Times New Roman"/>
          <w:sz w:val="28"/>
          <w:szCs w:val="28"/>
        </w:rPr>
        <w:t>кристаллоидных</w:t>
      </w:r>
      <w:proofErr w:type="spellEnd"/>
      <w:r w:rsidRPr="00256DC9">
        <w:rPr>
          <w:rFonts w:ascii="Times New Roman" w:eastAsia="Times New Roman" w:hAnsi="Times New Roman" w:cs="Times New Roman"/>
          <w:sz w:val="28"/>
          <w:szCs w:val="28"/>
        </w:rPr>
        <w:t xml:space="preserve"> растворов, затем подключаются коллоидные, после чего может добавляться </w:t>
      </w:r>
      <w:proofErr w:type="spellStart"/>
      <w:r w:rsidRPr="00256DC9">
        <w:rPr>
          <w:rFonts w:ascii="Times New Roman" w:eastAsia="Times New Roman" w:hAnsi="Times New Roman" w:cs="Times New Roman"/>
          <w:sz w:val="28"/>
          <w:szCs w:val="28"/>
        </w:rPr>
        <w:t>эритроцитарная</w:t>
      </w:r>
      <w:proofErr w:type="spellEnd"/>
      <w:r w:rsidRPr="00256DC9">
        <w:rPr>
          <w:rFonts w:ascii="Times New Roman" w:eastAsia="Times New Roman" w:hAnsi="Times New Roman" w:cs="Times New Roman"/>
          <w:sz w:val="28"/>
          <w:szCs w:val="28"/>
        </w:rPr>
        <w:t xml:space="preserve"> взвесь. В поздней фазе успешно применяются плазма, тромбоциты. В ряде </w:t>
      </w:r>
      <w:r w:rsidRPr="00256DC9">
        <w:rPr>
          <w:rFonts w:ascii="Times New Roman" w:eastAsia="Times New Roman" w:hAnsi="Times New Roman" w:cs="Times New Roman"/>
          <w:sz w:val="28"/>
          <w:szCs w:val="28"/>
        </w:rPr>
        <w:lastRenderedPageBreak/>
        <w:t xml:space="preserve">случаев показано применение Копенгагенской концепции – введение плазмы и тромбоцитов одновременно вместе с эритроцитами </w:t>
      </w:r>
      <w:bookmarkStart w:id="8" w:name="__DdeLink__9451_3408072668"/>
      <w:r w:rsidRPr="00256DC9">
        <w:rPr>
          <w:rFonts w:ascii="Times New Roman" w:eastAsia="Times New Roman" w:hAnsi="Times New Roman" w:cs="Times New Roman"/>
          <w:sz w:val="28"/>
          <w:szCs w:val="28"/>
        </w:rPr>
        <w:t>[13, 54, 55].</w:t>
      </w:r>
      <w:bookmarkEnd w:id="8"/>
      <w:r w:rsidRPr="00256DC9">
        <w:rPr>
          <w:rFonts w:ascii="Times New Roman" w:eastAsia="Times New Roman" w:hAnsi="Times New Roman" w:cs="Times New Roman"/>
          <w:sz w:val="28"/>
          <w:szCs w:val="28"/>
        </w:rPr>
        <w:t xml:space="preserve"> </w:t>
      </w:r>
    </w:p>
    <w:p w:rsidR="00256DC9" w:rsidRPr="00256DC9" w:rsidRDefault="00256DC9" w:rsidP="00256DC9">
      <w:pPr>
        <w:spacing w:line="360" w:lineRule="auto"/>
        <w:jc w:val="both"/>
        <w:rPr>
          <w:rFonts w:ascii="Times New Roman" w:eastAsia="Times New Roman" w:hAnsi="Times New Roman" w:cs="Times New Roman"/>
          <w:sz w:val="28"/>
          <w:szCs w:val="28"/>
        </w:rPr>
      </w:pPr>
      <w:r w:rsidRPr="00256DC9">
        <w:rPr>
          <w:rFonts w:ascii="Times New Roman" w:hAnsi="Times New Roman" w:cs="Times New Roman"/>
          <w:sz w:val="28"/>
          <w:szCs w:val="28"/>
        </w:rPr>
        <w:br w:type="page"/>
      </w:r>
    </w:p>
    <w:p w:rsidR="00256DC9" w:rsidRPr="00256DC9" w:rsidRDefault="00256DC9" w:rsidP="001A0DFD">
      <w:pPr>
        <w:pStyle w:val="aa"/>
        <w:numPr>
          <w:ilvl w:val="1"/>
          <w:numId w:val="15"/>
        </w:numPr>
        <w:spacing w:line="360" w:lineRule="auto"/>
        <w:ind w:left="426"/>
        <w:rPr>
          <w:rFonts w:ascii="Times New Roman" w:hAnsi="Times New Roman" w:cs="Times New Roman"/>
          <w:b/>
          <w:sz w:val="28"/>
          <w:szCs w:val="28"/>
        </w:rPr>
      </w:pPr>
      <w:r w:rsidRPr="00256DC9">
        <w:rPr>
          <w:rFonts w:ascii="Times New Roman" w:eastAsia="Times New Roman" w:hAnsi="Times New Roman" w:cs="Times New Roman"/>
          <w:b/>
          <w:sz w:val="28"/>
          <w:szCs w:val="28"/>
        </w:rPr>
        <w:lastRenderedPageBreak/>
        <w:t xml:space="preserve">. </w:t>
      </w:r>
      <w:proofErr w:type="spellStart"/>
      <w:r w:rsidRPr="00256DC9">
        <w:rPr>
          <w:rFonts w:ascii="Times New Roman" w:eastAsia="Times New Roman" w:hAnsi="Times New Roman" w:cs="Times New Roman"/>
          <w:b/>
          <w:sz w:val="28"/>
          <w:szCs w:val="28"/>
        </w:rPr>
        <w:t>Трансфузионная</w:t>
      </w:r>
      <w:proofErr w:type="spellEnd"/>
      <w:r w:rsidRPr="00256DC9">
        <w:rPr>
          <w:rFonts w:ascii="Times New Roman" w:eastAsia="Times New Roman" w:hAnsi="Times New Roman" w:cs="Times New Roman"/>
          <w:b/>
          <w:sz w:val="28"/>
          <w:szCs w:val="28"/>
        </w:rPr>
        <w:t xml:space="preserve"> терапия</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Клиническая трансфузиология — наука о целенаправленном воздействии на организм больного путем восстановления морфофункциональной целостности крови </w:t>
      </w:r>
      <w:proofErr w:type="gramStart"/>
      <w:r w:rsidRPr="00256DC9">
        <w:rPr>
          <w:rFonts w:ascii="Times New Roman" w:eastAsia="Times New Roman" w:hAnsi="Times New Roman" w:cs="Times New Roman"/>
          <w:sz w:val="28"/>
          <w:szCs w:val="28"/>
        </w:rPr>
        <w:t>и  внеклеточной</w:t>
      </w:r>
      <w:proofErr w:type="gramEnd"/>
      <w:r w:rsidRPr="00256DC9">
        <w:rPr>
          <w:rFonts w:ascii="Times New Roman" w:eastAsia="Times New Roman" w:hAnsi="Times New Roman" w:cs="Times New Roman"/>
          <w:sz w:val="28"/>
          <w:szCs w:val="28"/>
        </w:rPr>
        <w:t xml:space="preserve"> жидкости с помощью </w:t>
      </w:r>
      <w:proofErr w:type="spellStart"/>
      <w:r w:rsidRPr="00256DC9">
        <w:rPr>
          <w:rFonts w:ascii="Times New Roman" w:eastAsia="Times New Roman" w:hAnsi="Times New Roman" w:cs="Times New Roman"/>
          <w:sz w:val="28"/>
          <w:szCs w:val="28"/>
        </w:rPr>
        <w:t>инфузионно-трансфузионных</w:t>
      </w:r>
      <w:proofErr w:type="spellEnd"/>
      <w:r w:rsidRPr="00256DC9">
        <w:rPr>
          <w:rFonts w:ascii="Times New Roman" w:eastAsia="Times New Roman" w:hAnsi="Times New Roman" w:cs="Times New Roman"/>
          <w:sz w:val="28"/>
          <w:szCs w:val="28"/>
        </w:rPr>
        <w:t xml:space="preserve"> средств (кровь, ее компоненты и  препараты, кровезамещающие  жидкости) и методов экстракорпоральной </w:t>
      </w:r>
      <w:proofErr w:type="spellStart"/>
      <w:r w:rsidRPr="00256DC9">
        <w:rPr>
          <w:rFonts w:ascii="Times New Roman" w:eastAsia="Times New Roman" w:hAnsi="Times New Roman" w:cs="Times New Roman"/>
          <w:sz w:val="28"/>
          <w:szCs w:val="28"/>
        </w:rPr>
        <w:t>гемокоррекции</w:t>
      </w:r>
      <w:proofErr w:type="spellEnd"/>
      <w:r w:rsidRPr="00256DC9">
        <w:rPr>
          <w:rFonts w:ascii="Times New Roman" w:eastAsia="Times New Roman" w:hAnsi="Times New Roman" w:cs="Times New Roman"/>
          <w:sz w:val="28"/>
          <w:szCs w:val="28"/>
        </w:rPr>
        <w:t xml:space="preserve">. Когда же появляются показания к применению компонентов крови? По мнению некоторых авторов, выбор лечебной тактики во многом определяется исходным состоянием организма, объемом и темпом кровопотери, продолжительностью периода от начала кровотечения до начала лечения. Современные программы лечения острой кровопотери базируются на моделировании и усилении адаптационных механизмов организма в ответ на кровотечение [15, 22, 31]. При этом </w:t>
      </w:r>
      <w:proofErr w:type="gramStart"/>
      <w:r w:rsidRPr="00256DC9">
        <w:rPr>
          <w:rFonts w:ascii="Times New Roman" w:eastAsia="Times New Roman" w:hAnsi="Times New Roman" w:cs="Times New Roman"/>
          <w:sz w:val="28"/>
          <w:szCs w:val="28"/>
        </w:rPr>
        <w:t>в  отечественной</w:t>
      </w:r>
      <w:proofErr w:type="gramEnd"/>
      <w:r w:rsidRPr="00256DC9">
        <w:rPr>
          <w:rFonts w:ascii="Times New Roman" w:eastAsia="Times New Roman" w:hAnsi="Times New Roman" w:cs="Times New Roman"/>
          <w:sz w:val="28"/>
          <w:szCs w:val="28"/>
        </w:rPr>
        <w:t xml:space="preserve"> практике до настоящего времени в плановой  хирургии  компенсация  острой  кровопотери основывается  на  традиционной  величине  «</w:t>
      </w:r>
      <w:proofErr w:type="spellStart"/>
      <w:r w:rsidRPr="00256DC9">
        <w:rPr>
          <w:rFonts w:ascii="Times New Roman" w:eastAsia="Times New Roman" w:hAnsi="Times New Roman" w:cs="Times New Roman"/>
          <w:sz w:val="28"/>
          <w:szCs w:val="28"/>
        </w:rPr>
        <w:t>трансфузионного</w:t>
      </w:r>
      <w:proofErr w:type="spellEnd"/>
      <w:r w:rsidRPr="00256DC9">
        <w:rPr>
          <w:rFonts w:ascii="Times New Roman" w:eastAsia="Times New Roman" w:hAnsi="Times New Roman" w:cs="Times New Roman"/>
          <w:sz w:val="28"/>
          <w:szCs w:val="28"/>
        </w:rPr>
        <w:t xml:space="preserve"> триггера» — 100/30, т. е. уровень гемоглобина (</w:t>
      </w:r>
      <w:proofErr w:type="spellStart"/>
      <w:r w:rsidRPr="00256DC9">
        <w:rPr>
          <w:rFonts w:ascii="Times New Roman" w:eastAsia="Times New Roman" w:hAnsi="Times New Roman" w:cs="Times New Roman"/>
          <w:sz w:val="28"/>
          <w:szCs w:val="28"/>
        </w:rPr>
        <w:t>Hb</w:t>
      </w:r>
      <w:proofErr w:type="spellEnd"/>
      <w:r w:rsidRPr="00256DC9">
        <w:rPr>
          <w:rFonts w:ascii="Times New Roman" w:eastAsia="Times New Roman" w:hAnsi="Times New Roman" w:cs="Times New Roman"/>
          <w:sz w:val="28"/>
          <w:szCs w:val="28"/>
        </w:rPr>
        <w:t>) &lt; 100 г/л и гематокрит (</w:t>
      </w:r>
      <w:proofErr w:type="spellStart"/>
      <w:r w:rsidRPr="00256DC9">
        <w:rPr>
          <w:rFonts w:ascii="Times New Roman" w:eastAsia="Times New Roman" w:hAnsi="Times New Roman" w:cs="Times New Roman"/>
          <w:sz w:val="28"/>
          <w:szCs w:val="28"/>
        </w:rPr>
        <w:t>Ht</w:t>
      </w:r>
      <w:proofErr w:type="spellEnd"/>
      <w:r w:rsidRPr="00256DC9">
        <w:rPr>
          <w:rFonts w:ascii="Times New Roman" w:eastAsia="Times New Roman" w:hAnsi="Times New Roman" w:cs="Times New Roman"/>
          <w:sz w:val="28"/>
          <w:szCs w:val="28"/>
        </w:rPr>
        <w:t xml:space="preserve">) &lt; 30 объемных %. </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В настоящее время ученые-трансфузиологи, сталкиваясь с осложнениями, которые следуют за аллогенными трансфузиями, стараются пересмотреть эти величины </w:t>
      </w:r>
      <w:proofErr w:type="spellStart"/>
      <w:r w:rsidRPr="00256DC9">
        <w:rPr>
          <w:rFonts w:ascii="Times New Roman" w:eastAsia="Times New Roman" w:hAnsi="Times New Roman" w:cs="Times New Roman"/>
          <w:sz w:val="28"/>
          <w:szCs w:val="28"/>
        </w:rPr>
        <w:t>Hb</w:t>
      </w:r>
      <w:proofErr w:type="spellEnd"/>
      <w:r w:rsidRPr="00256DC9">
        <w:rPr>
          <w:rFonts w:ascii="Times New Roman" w:eastAsia="Times New Roman" w:hAnsi="Times New Roman" w:cs="Times New Roman"/>
          <w:sz w:val="28"/>
          <w:szCs w:val="28"/>
        </w:rPr>
        <w:t xml:space="preserve"> и </w:t>
      </w:r>
      <w:proofErr w:type="spellStart"/>
      <w:r w:rsidRPr="00256DC9">
        <w:rPr>
          <w:rFonts w:ascii="Times New Roman" w:eastAsia="Times New Roman" w:hAnsi="Times New Roman" w:cs="Times New Roman"/>
          <w:sz w:val="28"/>
          <w:szCs w:val="28"/>
        </w:rPr>
        <w:t>Ht</w:t>
      </w:r>
      <w:proofErr w:type="spellEnd"/>
      <w:r w:rsidRPr="00256DC9">
        <w:rPr>
          <w:rFonts w:ascii="Times New Roman" w:eastAsia="Times New Roman" w:hAnsi="Times New Roman" w:cs="Times New Roman"/>
          <w:sz w:val="28"/>
          <w:szCs w:val="28"/>
        </w:rPr>
        <w:t xml:space="preserve">. Основой для такого рода решений послужили наблюдения за выздоровлением пациентов — членов секты «Свидетели Иеговы». Эти пациенты </w:t>
      </w:r>
      <w:proofErr w:type="gramStart"/>
      <w:r w:rsidRPr="00256DC9">
        <w:rPr>
          <w:rFonts w:ascii="Times New Roman" w:eastAsia="Times New Roman" w:hAnsi="Times New Roman" w:cs="Times New Roman"/>
          <w:sz w:val="28"/>
          <w:szCs w:val="28"/>
        </w:rPr>
        <w:t>отказывались  от</w:t>
      </w:r>
      <w:proofErr w:type="gramEnd"/>
      <w:r w:rsidRPr="00256DC9">
        <w:rPr>
          <w:rFonts w:ascii="Times New Roman" w:eastAsia="Times New Roman" w:hAnsi="Times New Roman" w:cs="Times New Roman"/>
          <w:sz w:val="28"/>
          <w:szCs w:val="28"/>
        </w:rPr>
        <w:t xml:space="preserve">  переливания  донорской крови и ее компонентов. На основании наблюдений за течением выздоровления различного контингента больных, в том числе и пациентов с сердечно-сосудистой патологией, оперированных </w:t>
      </w:r>
      <w:proofErr w:type="gramStart"/>
      <w:r w:rsidRPr="00256DC9">
        <w:rPr>
          <w:rFonts w:ascii="Times New Roman" w:eastAsia="Times New Roman" w:hAnsi="Times New Roman" w:cs="Times New Roman"/>
          <w:sz w:val="28"/>
          <w:szCs w:val="28"/>
        </w:rPr>
        <w:t>в  условиях</w:t>
      </w:r>
      <w:proofErr w:type="gramEnd"/>
      <w:r w:rsidRPr="00256DC9">
        <w:rPr>
          <w:rFonts w:ascii="Times New Roman" w:eastAsia="Times New Roman" w:hAnsi="Times New Roman" w:cs="Times New Roman"/>
          <w:sz w:val="28"/>
          <w:szCs w:val="28"/>
        </w:rPr>
        <w:t xml:space="preserve"> искусственного кровообращения (ИК), анестезиологами был предложен новый «</w:t>
      </w:r>
      <w:proofErr w:type="spellStart"/>
      <w:r w:rsidRPr="00256DC9">
        <w:rPr>
          <w:rFonts w:ascii="Times New Roman" w:eastAsia="Times New Roman" w:hAnsi="Times New Roman" w:cs="Times New Roman"/>
          <w:sz w:val="28"/>
          <w:szCs w:val="28"/>
        </w:rPr>
        <w:t>трансфузионный</w:t>
      </w:r>
      <w:proofErr w:type="spellEnd"/>
      <w:r w:rsidRPr="00256DC9">
        <w:rPr>
          <w:rFonts w:ascii="Times New Roman" w:eastAsia="Times New Roman" w:hAnsi="Times New Roman" w:cs="Times New Roman"/>
          <w:sz w:val="28"/>
          <w:szCs w:val="28"/>
        </w:rPr>
        <w:t xml:space="preserve"> триггер»  —  60/20,  который  может  служить критерием использования компонентов крови. Следует акцентировать внимание на том, что этот критерий применим к пациентам, у которых поддерживается </w:t>
      </w:r>
      <w:r w:rsidRPr="00256DC9">
        <w:rPr>
          <w:rFonts w:ascii="Times New Roman" w:eastAsia="Times New Roman" w:hAnsi="Times New Roman" w:cs="Times New Roman"/>
          <w:sz w:val="28"/>
          <w:szCs w:val="28"/>
        </w:rPr>
        <w:lastRenderedPageBreak/>
        <w:t xml:space="preserve">должный уровень ОЦК, без выраженных сопутствующих заболеваний и послеоперационных осложнений. Для </w:t>
      </w:r>
      <w:proofErr w:type="gramStart"/>
      <w:r w:rsidRPr="00256DC9">
        <w:rPr>
          <w:rFonts w:ascii="Times New Roman" w:eastAsia="Times New Roman" w:hAnsi="Times New Roman" w:cs="Times New Roman"/>
          <w:sz w:val="28"/>
          <w:szCs w:val="28"/>
        </w:rPr>
        <w:t>пациентов  старческого</w:t>
      </w:r>
      <w:proofErr w:type="gramEnd"/>
      <w:r w:rsidRPr="00256DC9">
        <w:rPr>
          <w:rFonts w:ascii="Times New Roman" w:eastAsia="Times New Roman" w:hAnsi="Times New Roman" w:cs="Times New Roman"/>
          <w:sz w:val="28"/>
          <w:szCs w:val="28"/>
        </w:rPr>
        <w:t xml:space="preserve">  возраста,  сердечная  деятельность которых не может быть компенсирована </w:t>
      </w:r>
      <w:proofErr w:type="spellStart"/>
      <w:r w:rsidRPr="00256DC9">
        <w:rPr>
          <w:rFonts w:ascii="Times New Roman" w:eastAsia="Times New Roman" w:hAnsi="Times New Roman" w:cs="Times New Roman"/>
          <w:sz w:val="28"/>
          <w:szCs w:val="28"/>
        </w:rPr>
        <w:t>гемоделюцией</w:t>
      </w:r>
      <w:proofErr w:type="spellEnd"/>
      <w:r w:rsidRPr="00256DC9">
        <w:rPr>
          <w:rFonts w:ascii="Times New Roman" w:eastAsia="Times New Roman" w:hAnsi="Times New Roman" w:cs="Times New Roman"/>
          <w:sz w:val="28"/>
          <w:szCs w:val="28"/>
        </w:rPr>
        <w:t>, показания к гемотрансфузиям возникают уже при триггере 100/33. Таким образом, окончательно было предложено 2 «</w:t>
      </w:r>
      <w:proofErr w:type="spellStart"/>
      <w:r w:rsidRPr="00256DC9">
        <w:rPr>
          <w:rFonts w:ascii="Times New Roman" w:eastAsia="Times New Roman" w:hAnsi="Times New Roman" w:cs="Times New Roman"/>
          <w:sz w:val="28"/>
          <w:szCs w:val="28"/>
        </w:rPr>
        <w:t>трансфузионных</w:t>
      </w:r>
      <w:proofErr w:type="spellEnd"/>
      <w:r w:rsidRPr="00256DC9">
        <w:rPr>
          <w:rFonts w:ascii="Times New Roman" w:eastAsia="Times New Roman" w:hAnsi="Times New Roman" w:cs="Times New Roman"/>
          <w:sz w:val="28"/>
          <w:szCs w:val="28"/>
        </w:rPr>
        <w:t xml:space="preserve"> триггера»: «ограничительный» — 70–90/23–30 и «либеральный» — 100–120/33–40. Однако противники аллогенных гемотрансфузий отказываются от использования только количественной характеристики «</w:t>
      </w:r>
      <w:proofErr w:type="spellStart"/>
      <w:r w:rsidRPr="00256DC9">
        <w:rPr>
          <w:rFonts w:ascii="Times New Roman" w:eastAsia="Times New Roman" w:hAnsi="Times New Roman" w:cs="Times New Roman"/>
          <w:sz w:val="28"/>
          <w:szCs w:val="28"/>
        </w:rPr>
        <w:t>трансфузионного</w:t>
      </w:r>
      <w:proofErr w:type="spellEnd"/>
      <w:r w:rsidRPr="00256DC9">
        <w:rPr>
          <w:rFonts w:ascii="Times New Roman" w:eastAsia="Times New Roman" w:hAnsi="Times New Roman" w:cs="Times New Roman"/>
          <w:sz w:val="28"/>
          <w:szCs w:val="28"/>
        </w:rPr>
        <w:t xml:space="preserve"> триггера» и считают, что современная тактика </w:t>
      </w:r>
      <w:proofErr w:type="spellStart"/>
      <w:r w:rsidRPr="00256DC9">
        <w:rPr>
          <w:rFonts w:ascii="Times New Roman" w:eastAsia="Times New Roman" w:hAnsi="Times New Roman" w:cs="Times New Roman"/>
          <w:sz w:val="28"/>
          <w:szCs w:val="28"/>
        </w:rPr>
        <w:t>трансфузионной</w:t>
      </w:r>
      <w:proofErr w:type="spellEnd"/>
      <w:r w:rsidRPr="00256DC9">
        <w:rPr>
          <w:rFonts w:ascii="Times New Roman" w:eastAsia="Times New Roman" w:hAnsi="Times New Roman" w:cs="Times New Roman"/>
          <w:sz w:val="28"/>
          <w:szCs w:val="28"/>
        </w:rPr>
        <w:t xml:space="preserve"> терапии должна базироваться на оценке клинического состояния пациента, а кровь ему может </w:t>
      </w:r>
      <w:proofErr w:type="gramStart"/>
      <w:r w:rsidRPr="00256DC9">
        <w:rPr>
          <w:rFonts w:ascii="Times New Roman" w:eastAsia="Times New Roman" w:hAnsi="Times New Roman" w:cs="Times New Roman"/>
          <w:sz w:val="28"/>
          <w:szCs w:val="28"/>
        </w:rPr>
        <w:t>быть  перелита</w:t>
      </w:r>
      <w:proofErr w:type="gramEnd"/>
      <w:r w:rsidRPr="00256DC9">
        <w:rPr>
          <w:rFonts w:ascii="Times New Roman" w:eastAsia="Times New Roman" w:hAnsi="Times New Roman" w:cs="Times New Roman"/>
          <w:sz w:val="28"/>
          <w:szCs w:val="28"/>
        </w:rPr>
        <w:t xml:space="preserve">  только  при  документированном  увеличении потребности в кислороде, если организм не может осуществить покрытие задолженности по кислороду из-за </w:t>
      </w:r>
      <w:proofErr w:type="spellStart"/>
      <w:r w:rsidRPr="00256DC9">
        <w:rPr>
          <w:rFonts w:ascii="Times New Roman" w:eastAsia="Times New Roman" w:hAnsi="Times New Roman" w:cs="Times New Roman"/>
          <w:sz w:val="28"/>
          <w:szCs w:val="28"/>
        </w:rPr>
        <w:t>кардиопульмонарных</w:t>
      </w:r>
      <w:proofErr w:type="spellEnd"/>
      <w:r w:rsidRPr="00256DC9">
        <w:rPr>
          <w:rFonts w:ascii="Times New Roman" w:eastAsia="Times New Roman" w:hAnsi="Times New Roman" w:cs="Times New Roman"/>
          <w:sz w:val="28"/>
          <w:szCs w:val="28"/>
        </w:rPr>
        <w:t xml:space="preserve"> расстройств. Этот принцип определяется важнейшей функцией эритроцитов — обеспечением транспорта кислорода тканям — для коррекции или предупреждения развития тканевой гипоксии [16, 38, 55]. При назначении переливания компонентов донорской крови должны быть учтены возможные осложнения, связанные с аллогенной гемотрансфузией, а именно: 1)  реакцией отторжения в той или иной форме, которой может сопровождаться гемотрансфузия, поскольку последняя является </w:t>
      </w:r>
      <w:proofErr w:type="spellStart"/>
      <w:r w:rsidRPr="00256DC9">
        <w:rPr>
          <w:rFonts w:ascii="Times New Roman" w:eastAsia="Times New Roman" w:hAnsi="Times New Roman" w:cs="Times New Roman"/>
          <w:sz w:val="28"/>
          <w:szCs w:val="28"/>
        </w:rPr>
        <w:t>аллотрансплантацией</w:t>
      </w:r>
      <w:proofErr w:type="spellEnd"/>
      <w:r w:rsidRPr="00256DC9">
        <w:rPr>
          <w:rFonts w:ascii="Times New Roman" w:eastAsia="Times New Roman" w:hAnsi="Times New Roman" w:cs="Times New Roman"/>
          <w:sz w:val="28"/>
          <w:szCs w:val="28"/>
        </w:rPr>
        <w:t xml:space="preserve">; 2)  возможной трансмиссией вирусных заболеваний (особенно вирусов парентеральных гепатитов В и С и ВИЧ-инфекции); 3)  неизбежным нарушением метаболизма, включая развитие </w:t>
      </w:r>
      <w:proofErr w:type="spellStart"/>
      <w:r w:rsidRPr="00256DC9">
        <w:rPr>
          <w:rFonts w:ascii="Times New Roman" w:eastAsia="Times New Roman" w:hAnsi="Times New Roman" w:cs="Times New Roman"/>
          <w:sz w:val="28"/>
          <w:szCs w:val="28"/>
        </w:rPr>
        <w:t>иммуносупрессивного</w:t>
      </w:r>
      <w:proofErr w:type="spellEnd"/>
      <w:r w:rsidRPr="00256DC9">
        <w:rPr>
          <w:rFonts w:ascii="Times New Roman" w:eastAsia="Times New Roman" w:hAnsi="Times New Roman" w:cs="Times New Roman"/>
          <w:sz w:val="28"/>
          <w:szCs w:val="28"/>
        </w:rPr>
        <w:t xml:space="preserve"> эффекта; 4)  нарушением газообмена в легких вследствие развития острого легочного повреждения (TRALI — </w:t>
      </w:r>
      <w:proofErr w:type="spellStart"/>
      <w:r w:rsidRPr="00256DC9">
        <w:rPr>
          <w:rFonts w:ascii="Times New Roman" w:eastAsia="Times New Roman" w:hAnsi="Times New Roman" w:cs="Times New Roman"/>
          <w:sz w:val="28"/>
          <w:szCs w:val="28"/>
        </w:rPr>
        <w:t>Transfusion-related</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acute</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lung</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injury</w:t>
      </w:r>
      <w:proofErr w:type="spellEnd"/>
      <w:r w:rsidRPr="00256DC9">
        <w:rPr>
          <w:rFonts w:ascii="Times New Roman" w:eastAsia="Times New Roman" w:hAnsi="Times New Roman" w:cs="Times New Roman"/>
          <w:sz w:val="28"/>
          <w:szCs w:val="28"/>
        </w:rPr>
        <w:t xml:space="preserve">); 5)  влиянием на свертываемость крови, нарушающим ее </w:t>
      </w:r>
      <w:proofErr w:type="spellStart"/>
      <w:r w:rsidRPr="00256DC9">
        <w:rPr>
          <w:rFonts w:ascii="Times New Roman" w:eastAsia="Times New Roman" w:hAnsi="Times New Roman" w:cs="Times New Roman"/>
          <w:sz w:val="28"/>
          <w:szCs w:val="28"/>
        </w:rPr>
        <w:t>авторегуляцию</w:t>
      </w:r>
      <w:proofErr w:type="spellEnd"/>
      <w:r w:rsidRPr="00256DC9">
        <w:rPr>
          <w:rFonts w:ascii="Times New Roman" w:eastAsia="Times New Roman" w:hAnsi="Times New Roman" w:cs="Times New Roman"/>
          <w:sz w:val="28"/>
          <w:szCs w:val="28"/>
        </w:rPr>
        <w:t xml:space="preserve">; 6)  осложнениями, обусловленными самой процедурой переливания, включая влияние человеческого фактора при определении группы крови и проб на совместимость. По данным английских исследователей, в 90-х годах прошлого века трансфузия от 1 из 5 единиц аллогенной крови сопровождалась какими-либо побочными </w:t>
      </w:r>
      <w:r w:rsidRPr="00256DC9">
        <w:rPr>
          <w:rFonts w:ascii="Times New Roman" w:eastAsia="Times New Roman" w:hAnsi="Times New Roman" w:cs="Times New Roman"/>
          <w:sz w:val="28"/>
          <w:szCs w:val="28"/>
        </w:rPr>
        <w:lastRenderedPageBreak/>
        <w:t xml:space="preserve">неблагоприятными эффектами, которые достаточно серьезно компрометировали результаты </w:t>
      </w:r>
      <w:proofErr w:type="gramStart"/>
      <w:r w:rsidRPr="00256DC9">
        <w:rPr>
          <w:rFonts w:ascii="Times New Roman" w:eastAsia="Times New Roman" w:hAnsi="Times New Roman" w:cs="Times New Roman"/>
          <w:sz w:val="28"/>
          <w:szCs w:val="28"/>
        </w:rPr>
        <w:t>хирургических  вмешательств</w:t>
      </w:r>
      <w:proofErr w:type="gramEnd"/>
      <w:r w:rsidRPr="00256DC9">
        <w:rPr>
          <w:rFonts w:ascii="Times New Roman" w:eastAsia="Times New Roman" w:hAnsi="Times New Roman" w:cs="Times New Roman"/>
          <w:sz w:val="28"/>
          <w:szCs w:val="28"/>
        </w:rPr>
        <w:t xml:space="preserve">.  </w:t>
      </w:r>
      <w:proofErr w:type="gramStart"/>
      <w:r w:rsidRPr="00256DC9">
        <w:rPr>
          <w:rFonts w:ascii="Times New Roman" w:eastAsia="Times New Roman" w:hAnsi="Times New Roman" w:cs="Times New Roman"/>
          <w:sz w:val="28"/>
          <w:szCs w:val="28"/>
        </w:rPr>
        <w:t>По  сообщениям</w:t>
      </w:r>
      <w:proofErr w:type="gramEnd"/>
      <w:r w:rsidRPr="00256DC9">
        <w:rPr>
          <w:rFonts w:ascii="Times New Roman" w:eastAsia="Times New Roman" w:hAnsi="Times New Roman" w:cs="Times New Roman"/>
          <w:sz w:val="28"/>
          <w:szCs w:val="28"/>
        </w:rPr>
        <w:t xml:space="preserve"> других авторов, посттрансфузионные реакции встречаются у 4–6% пациентов, получивших трансфузию аллогенной крови. Несмотря на все более тщательный подход к обследованию доноров и донорской крови, в настоящее время сохраняется высокий риск передачи вирусных инфекций при гемотрансфузии. Среди инфекций, ассоциируемых с гемотрансфузиями, наибольший риск представляют гепатиты В и С, которые при </w:t>
      </w:r>
      <w:proofErr w:type="spellStart"/>
      <w:r w:rsidRPr="00256DC9">
        <w:rPr>
          <w:rFonts w:ascii="Times New Roman" w:eastAsia="Times New Roman" w:hAnsi="Times New Roman" w:cs="Times New Roman"/>
          <w:sz w:val="28"/>
          <w:szCs w:val="28"/>
        </w:rPr>
        <w:t>хронизации</w:t>
      </w:r>
      <w:proofErr w:type="spellEnd"/>
      <w:r w:rsidRPr="00256DC9">
        <w:rPr>
          <w:rFonts w:ascii="Times New Roman" w:eastAsia="Times New Roman" w:hAnsi="Times New Roman" w:cs="Times New Roman"/>
          <w:sz w:val="28"/>
          <w:szCs w:val="28"/>
        </w:rPr>
        <w:t xml:space="preserve"> приводят к циррозу печени и развитию гепатоцеллюлярного рака. Специалисты оценивают риск инфицирования вирусом гепатита С как 1/3000–10 000 трансфузий, а гепатита В как 1/150 000–250 000 трансфузий. При этом частота посттрансфузионных гепатитов на территории России колеблется от 5 до 10% всех случаев заболевания гепатитами, передающимися парентеральным путем. </w:t>
      </w:r>
      <w:proofErr w:type="gramStart"/>
      <w:r w:rsidRPr="00256DC9">
        <w:rPr>
          <w:rFonts w:ascii="Times New Roman" w:eastAsia="Times New Roman" w:hAnsi="Times New Roman" w:cs="Times New Roman"/>
          <w:sz w:val="28"/>
          <w:szCs w:val="28"/>
        </w:rPr>
        <w:t>Причины  столь</w:t>
      </w:r>
      <w:proofErr w:type="gramEnd"/>
      <w:r w:rsidRPr="00256DC9">
        <w:rPr>
          <w:rFonts w:ascii="Times New Roman" w:eastAsia="Times New Roman" w:hAnsi="Times New Roman" w:cs="Times New Roman"/>
          <w:sz w:val="28"/>
          <w:szCs w:val="28"/>
        </w:rPr>
        <w:t xml:space="preserve">  высокой  частоты  заражения  больных гепатитом связаны с широким распространением </w:t>
      </w:r>
      <w:proofErr w:type="spellStart"/>
      <w:r w:rsidRPr="00256DC9">
        <w:rPr>
          <w:rFonts w:ascii="Times New Roman" w:eastAsia="Times New Roman" w:hAnsi="Times New Roman" w:cs="Times New Roman"/>
          <w:sz w:val="28"/>
          <w:szCs w:val="28"/>
        </w:rPr>
        <w:t>вирусоносительства</w:t>
      </w:r>
      <w:proofErr w:type="spellEnd"/>
      <w:r w:rsidRPr="00256DC9">
        <w:rPr>
          <w:rFonts w:ascii="Times New Roman" w:eastAsia="Times New Roman" w:hAnsi="Times New Roman" w:cs="Times New Roman"/>
          <w:sz w:val="28"/>
          <w:szCs w:val="28"/>
        </w:rPr>
        <w:t xml:space="preserve">  и  длительностью  «</w:t>
      </w:r>
      <w:proofErr w:type="spellStart"/>
      <w:r w:rsidRPr="00256DC9">
        <w:rPr>
          <w:rFonts w:ascii="Times New Roman" w:eastAsia="Times New Roman" w:hAnsi="Times New Roman" w:cs="Times New Roman"/>
          <w:sz w:val="28"/>
          <w:szCs w:val="28"/>
        </w:rPr>
        <w:t>серонегативного</w:t>
      </w:r>
      <w:proofErr w:type="spellEnd"/>
      <w:r w:rsidRPr="00256DC9">
        <w:rPr>
          <w:rFonts w:ascii="Times New Roman" w:eastAsia="Times New Roman" w:hAnsi="Times New Roman" w:cs="Times New Roman"/>
          <w:sz w:val="28"/>
          <w:szCs w:val="28"/>
        </w:rPr>
        <w:t xml:space="preserve"> окна», когда серологическая диагностика гепатита невозможна. Не менее реальна вероятность заражения ВИЧ-инфекцией при гемотрансфузии. В настоящее время в мире опасность переноса ВИЧ-инфекции с кровью оценивается как 1/350 000–500 </w:t>
      </w:r>
      <w:proofErr w:type="gramStart"/>
      <w:r w:rsidRPr="00256DC9">
        <w:rPr>
          <w:rFonts w:ascii="Times New Roman" w:eastAsia="Times New Roman" w:hAnsi="Times New Roman" w:cs="Times New Roman"/>
          <w:sz w:val="28"/>
          <w:szCs w:val="28"/>
        </w:rPr>
        <w:t>000  трансфузий</w:t>
      </w:r>
      <w:proofErr w:type="gramEnd"/>
      <w:r w:rsidRPr="00256DC9">
        <w:rPr>
          <w:rFonts w:ascii="Times New Roman" w:eastAsia="Times New Roman" w:hAnsi="Times New Roman" w:cs="Times New Roman"/>
          <w:sz w:val="28"/>
          <w:szCs w:val="28"/>
        </w:rPr>
        <w:t xml:space="preserve">, а в странах, где распространение СПИДа носит эндемичный характер, даже при 99% чувствительности методов выявления </w:t>
      </w:r>
      <w:proofErr w:type="spellStart"/>
      <w:r w:rsidRPr="00256DC9">
        <w:rPr>
          <w:rFonts w:ascii="Times New Roman" w:eastAsia="Times New Roman" w:hAnsi="Times New Roman" w:cs="Times New Roman"/>
          <w:sz w:val="28"/>
          <w:szCs w:val="28"/>
        </w:rPr>
        <w:t>вирусоносительства</w:t>
      </w:r>
      <w:proofErr w:type="spellEnd"/>
      <w:r w:rsidRPr="00256DC9">
        <w:rPr>
          <w:rFonts w:ascii="Times New Roman" w:eastAsia="Times New Roman" w:hAnsi="Times New Roman" w:cs="Times New Roman"/>
          <w:sz w:val="28"/>
          <w:szCs w:val="28"/>
        </w:rPr>
        <w:t xml:space="preserve"> реальным остается риск переливания от 30 до 200 доз инфицированной крови в год в связи с ложноотрицательными результатами скрининг-контроля. Встречаются осложнения, связанные с острой гемолитической реакцией на переливание несовместимой по </w:t>
      </w:r>
      <w:proofErr w:type="gramStart"/>
      <w:r w:rsidRPr="00256DC9">
        <w:rPr>
          <w:rFonts w:ascii="Times New Roman" w:eastAsia="Times New Roman" w:hAnsi="Times New Roman" w:cs="Times New Roman"/>
          <w:sz w:val="28"/>
          <w:szCs w:val="28"/>
        </w:rPr>
        <w:t>групповой</w:t>
      </w:r>
      <w:proofErr w:type="gramEnd"/>
      <w:r w:rsidRPr="00256DC9">
        <w:rPr>
          <w:rFonts w:ascii="Times New Roman" w:eastAsia="Times New Roman" w:hAnsi="Times New Roman" w:cs="Times New Roman"/>
          <w:sz w:val="28"/>
          <w:szCs w:val="28"/>
        </w:rPr>
        <w:t xml:space="preserve"> или резус-принадлежности крови. Частота их достигает 1 на 6000 трансфузий, составляя соответственно 35,8 и 42,8% всех посттрансфузионных осложнений. Следует отметить, что именно эти осложнения являются наиболее частой причиной возникновения синдрома диссеминированного внутрисосудистого свертывания (ДВС-синдрома) и острой почечной недостаточности (ОПН). Ряд </w:t>
      </w:r>
      <w:r w:rsidRPr="00256DC9">
        <w:rPr>
          <w:rFonts w:ascii="Times New Roman" w:eastAsia="Times New Roman" w:hAnsi="Times New Roman" w:cs="Times New Roman"/>
          <w:sz w:val="28"/>
          <w:szCs w:val="28"/>
        </w:rPr>
        <w:lastRenderedPageBreak/>
        <w:t xml:space="preserve">авторов проанализировали влияние гемотрансфузии (в том числе массивной) как независимого фактора риска в развитии полиорганной недостаточности у больных с сочетанной травмой. При этом системный ретроспективный анализ баз данных различных медицинских учреждений подтвердил причинно-следственную связь между гемотрансфузией и развитием посттравматической полиорганной недостаточности. Рядом исследователей подтвержден </w:t>
      </w:r>
      <w:proofErr w:type="spellStart"/>
      <w:r w:rsidRPr="00256DC9">
        <w:rPr>
          <w:rFonts w:ascii="Times New Roman" w:eastAsia="Times New Roman" w:hAnsi="Times New Roman" w:cs="Times New Roman"/>
          <w:sz w:val="28"/>
          <w:szCs w:val="28"/>
        </w:rPr>
        <w:t>иммуносупрессивный</w:t>
      </w:r>
      <w:proofErr w:type="spellEnd"/>
      <w:r w:rsidRPr="00256DC9">
        <w:rPr>
          <w:rFonts w:ascii="Times New Roman" w:eastAsia="Times New Roman" w:hAnsi="Times New Roman" w:cs="Times New Roman"/>
          <w:sz w:val="28"/>
          <w:szCs w:val="28"/>
        </w:rPr>
        <w:t xml:space="preserve"> эффект гемотрансфузии на примерах развития гнойно-септических осложнений после травмы и плановых оперативных вмешательств. Так, по данным P.  </w:t>
      </w:r>
      <w:proofErr w:type="spellStart"/>
      <w:r w:rsidRPr="00256DC9">
        <w:rPr>
          <w:rFonts w:ascii="Times New Roman" w:eastAsia="Times New Roman" w:hAnsi="Times New Roman" w:cs="Times New Roman"/>
          <w:sz w:val="28"/>
          <w:szCs w:val="28"/>
        </w:rPr>
        <w:t>Murphy</w:t>
      </w:r>
      <w:proofErr w:type="spellEnd"/>
      <w:r w:rsidRPr="00256DC9">
        <w:rPr>
          <w:rFonts w:ascii="Times New Roman" w:eastAsia="Times New Roman" w:hAnsi="Times New Roman" w:cs="Times New Roman"/>
          <w:sz w:val="28"/>
          <w:szCs w:val="28"/>
        </w:rPr>
        <w:t xml:space="preserve"> (1992), переливание до 1 л </w:t>
      </w:r>
      <w:proofErr w:type="spellStart"/>
      <w:r w:rsidRPr="00256DC9">
        <w:rPr>
          <w:rFonts w:ascii="Times New Roman" w:eastAsia="Times New Roman" w:hAnsi="Times New Roman" w:cs="Times New Roman"/>
          <w:sz w:val="28"/>
          <w:szCs w:val="28"/>
        </w:rPr>
        <w:t>эритромассы</w:t>
      </w:r>
      <w:proofErr w:type="spellEnd"/>
      <w:r w:rsidRPr="00256DC9">
        <w:rPr>
          <w:rFonts w:ascii="Times New Roman" w:eastAsia="Times New Roman" w:hAnsi="Times New Roman" w:cs="Times New Roman"/>
          <w:sz w:val="28"/>
          <w:szCs w:val="28"/>
        </w:rPr>
        <w:t xml:space="preserve"> при плановом проведении аортокоронарного шунтирования (АКШ) </w:t>
      </w:r>
      <w:proofErr w:type="gramStart"/>
      <w:r w:rsidRPr="00256DC9">
        <w:rPr>
          <w:rFonts w:ascii="Times New Roman" w:eastAsia="Times New Roman" w:hAnsi="Times New Roman" w:cs="Times New Roman"/>
          <w:sz w:val="28"/>
          <w:szCs w:val="28"/>
        </w:rPr>
        <w:t>у  3</w:t>
      </w:r>
      <w:proofErr w:type="gramEnd"/>
      <w:r w:rsidRPr="00256DC9">
        <w:rPr>
          <w:rFonts w:ascii="Times New Roman" w:eastAsia="Times New Roman" w:hAnsi="Times New Roman" w:cs="Times New Roman"/>
          <w:sz w:val="28"/>
          <w:szCs w:val="28"/>
        </w:rPr>
        <w:t xml:space="preserve">,9 % больных обусловливало развитие инфекционных осложнений вследствие иммунодепрессии. При гемотрансфузии более 3 л частота осложнений увеличивалась до 22%. Этот негативный эффект особенно усиливается при переливании консервированной крови или </w:t>
      </w:r>
      <w:proofErr w:type="spellStart"/>
      <w:r w:rsidRPr="00256DC9">
        <w:rPr>
          <w:rFonts w:ascii="Times New Roman" w:eastAsia="Times New Roman" w:hAnsi="Times New Roman" w:cs="Times New Roman"/>
          <w:sz w:val="28"/>
          <w:szCs w:val="28"/>
        </w:rPr>
        <w:t>эритромассы</w:t>
      </w:r>
      <w:proofErr w:type="spellEnd"/>
      <w:r w:rsidRPr="00256DC9">
        <w:rPr>
          <w:rFonts w:ascii="Times New Roman" w:eastAsia="Times New Roman" w:hAnsi="Times New Roman" w:cs="Times New Roman"/>
          <w:sz w:val="28"/>
          <w:szCs w:val="28"/>
        </w:rPr>
        <w:t xml:space="preserve"> длительных сроков хранения.</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Нельзя не принимать во внимание возможность развития таких неблагоприятных явлений воздействия аллогенной крови, как </w:t>
      </w:r>
      <w:proofErr w:type="spellStart"/>
      <w:r w:rsidRPr="00256DC9">
        <w:rPr>
          <w:rFonts w:ascii="Times New Roman" w:eastAsia="Times New Roman" w:hAnsi="Times New Roman" w:cs="Times New Roman"/>
          <w:sz w:val="28"/>
          <w:szCs w:val="28"/>
        </w:rPr>
        <w:t>аллоиммунизация</w:t>
      </w:r>
      <w:proofErr w:type="spellEnd"/>
      <w:r w:rsidRPr="00256DC9">
        <w:rPr>
          <w:rFonts w:ascii="Times New Roman" w:eastAsia="Times New Roman" w:hAnsi="Times New Roman" w:cs="Times New Roman"/>
          <w:sz w:val="28"/>
          <w:szCs w:val="28"/>
        </w:rPr>
        <w:t xml:space="preserve"> к антигенам эритроцитов, лейкоцитов, тромбоцитов. Поскольку в основном врачи используют компонентную </w:t>
      </w:r>
      <w:proofErr w:type="gramStart"/>
      <w:r w:rsidRPr="00256DC9">
        <w:rPr>
          <w:rFonts w:ascii="Times New Roman" w:eastAsia="Times New Roman" w:hAnsi="Times New Roman" w:cs="Times New Roman"/>
          <w:sz w:val="28"/>
          <w:szCs w:val="28"/>
        </w:rPr>
        <w:t>заместительную  терапию</w:t>
      </w:r>
      <w:proofErr w:type="gramEnd"/>
      <w:r w:rsidRPr="00256DC9">
        <w:rPr>
          <w:rFonts w:ascii="Times New Roman" w:eastAsia="Times New Roman" w:hAnsi="Times New Roman" w:cs="Times New Roman"/>
          <w:sz w:val="28"/>
          <w:szCs w:val="28"/>
        </w:rPr>
        <w:t xml:space="preserve">, следует помнить, что эритроциты применяют только для лечения дефицита эритроцитов, плазму — для лечения дефицита плазменных факторов свертывания, а тромбоциты — при дефиците тромбоцитов. </w:t>
      </w:r>
      <w:proofErr w:type="gramStart"/>
      <w:r w:rsidRPr="00256DC9">
        <w:rPr>
          <w:rFonts w:ascii="Times New Roman" w:eastAsia="Times New Roman" w:hAnsi="Times New Roman" w:cs="Times New Roman"/>
          <w:sz w:val="28"/>
          <w:szCs w:val="28"/>
        </w:rPr>
        <w:t>Переливание  переносчиков</w:t>
      </w:r>
      <w:proofErr w:type="gramEnd"/>
      <w:r w:rsidRPr="00256DC9">
        <w:rPr>
          <w:rFonts w:ascii="Times New Roman" w:eastAsia="Times New Roman" w:hAnsi="Times New Roman" w:cs="Times New Roman"/>
          <w:sz w:val="28"/>
          <w:szCs w:val="28"/>
        </w:rPr>
        <w:t xml:space="preserve"> газов крови (</w:t>
      </w:r>
      <w:proofErr w:type="spellStart"/>
      <w:r w:rsidRPr="00256DC9">
        <w:rPr>
          <w:rFonts w:ascii="Times New Roman" w:eastAsia="Times New Roman" w:hAnsi="Times New Roman" w:cs="Times New Roman"/>
          <w:sz w:val="28"/>
          <w:szCs w:val="28"/>
        </w:rPr>
        <w:t>эритроцитсодержащих</w:t>
      </w:r>
      <w:proofErr w:type="spellEnd"/>
      <w:r w:rsidRPr="00256DC9">
        <w:rPr>
          <w:rFonts w:ascii="Times New Roman" w:eastAsia="Times New Roman" w:hAnsi="Times New Roman" w:cs="Times New Roman"/>
          <w:sz w:val="28"/>
          <w:szCs w:val="28"/>
        </w:rPr>
        <w:t xml:space="preserve"> сред — ЭС)  направлено на восполнение объема циркулирующих эритроцитов (глобулярного объема — ГО) и поддержание адекватной кислородтранспортной  функции  крови  у  больных  при  развитии анемии. Переливание коллоидных и </w:t>
      </w:r>
      <w:proofErr w:type="spellStart"/>
      <w:r w:rsidRPr="00256DC9">
        <w:rPr>
          <w:rFonts w:ascii="Times New Roman" w:eastAsia="Times New Roman" w:hAnsi="Times New Roman" w:cs="Times New Roman"/>
          <w:sz w:val="28"/>
          <w:szCs w:val="28"/>
        </w:rPr>
        <w:t>кристаллоидных</w:t>
      </w:r>
      <w:proofErr w:type="spellEnd"/>
      <w:r w:rsidRPr="00256DC9">
        <w:rPr>
          <w:rFonts w:ascii="Times New Roman" w:eastAsia="Times New Roman" w:hAnsi="Times New Roman" w:cs="Times New Roman"/>
          <w:sz w:val="28"/>
          <w:szCs w:val="28"/>
        </w:rPr>
        <w:t xml:space="preserve"> растворов при кровопотере направлено на восполнение ОЦК. При этом объем перелитых растворов в 1,5–2 раза должен превышать объем учтенной кровопотери. При острой кровопотере более 25–30 % ОЦК (&gt; 1200–1500 мл) показано </w:t>
      </w:r>
      <w:proofErr w:type="gramStart"/>
      <w:r w:rsidRPr="00256DC9">
        <w:rPr>
          <w:rFonts w:ascii="Times New Roman" w:eastAsia="Times New Roman" w:hAnsi="Times New Roman" w:cs="Times New Roman"/>
          <w:sz w:val="28"/>
          <w:szCs w:val="28"/>
        </w:rPr>
        <w:t>переливание  донорских</w:t>
      </w:r>
      <w:proofErr w:type="gramEnd"/>
      <w:r w:rsidRPr="00256DC9">
        <w:rPr>
          <w:rFonts w:ascii="Times New Roman" w:eastAsia="Times New Roman" w:hAnsi="Times New Roman" w:cs="Times New Roman"/>
          <w:sz w:val="28"/>
          <w:szCs w:val="28"/>
        </w:rPr>
        <w:t xml:space="preserve"> ЭС, если после восполнения ОЦК </w:t>
      </w:r>
      <w:r w:rsidRPr="00256DC9">
        <w:rPr>
          <w:rFonts w:ascii="Times New Roman" w:eastAsia="Times New Roman" w:hAnsi="Times New Roman" w:cs="Times New Roman"/>
          <w:sz w:val="28"/>
          <w:szCs w:val="28"/>
        </w:rPr>
        <w:lastRenderedPageBreak/>
        <w:t xml:space="preserve">определяется снижение уровня </w:t>
      </w:r>
      <w:proofErr w:type="spellStart"/>
      <w:r w:rsidRPr="00256DC9">
        <w:rPr>
          <w:rFonts w:ascii="Times New Roman" w:eastAsia="Times New Roman" w:hAnsi="Times New Roman" w:cs="Times New Roman"/>
          <w:sz w:val="28"/>
          <w:szCs w:val="28"/>
        </w:rPr>
        <w:t>Hb</w:t>
      </w:r>
      <w:proofErr w:type="spellEnd"/>
      <w:r w:rsidRPr="00256DC9">
        <w:rPr>
          <w:rFonts w:ascii="Times New Roman" w:eastAsia="Times New Roman" w:hAnsi="Times New Roman" w:cs="Times New Roman"/>
          <w:sz w:val="28"/>
          <w:szCs w:val="28"/>
        </w:rPr>
        <w:t xml:space="preserve"> &lt; 70 г/л и </w:t>
      </w:r>
      <w:proofErr w:type="spellStart"/>
      <w:r w:rsidRPr="00256DC9">
        <w:rPr>
          <w:rFonts w:ascii="Times New Roman" w:eastAsia="Times New Roman" w:hAnsi="Times New Roman" w:cs="Times New Roman"/>
          <w:sz w:val="28"/>
          <w:szCs w:val="28"/>
        </w:rPr>
        <w:t>Ht</w:t>
      </w:r>
      <w:proofErr w:type="spellEnd"/>
      <w:r w:rsidRPr="00256DC9">
        <w:rPr>
          <w:rFonts w:ascii="Times New Roman" w:eastAsia="Times New Roman" w:hAnsi="Times New Roman" w:cs="Times New Roman"/>
          <w:sz w:val="28"/>
          <w:szCs w:val="28"/>
        </w:rPr>
        <w:t xml:space="preserve"> &lt; 25 %, сопровождающееся нестабильностью гемодинамики. При проведении </w:t>
      </w:r>
      <w:proofErr w:type="spellStart"/>
      <w:r w:rsidRPr="00256DC9">
        <w:rPr>
          <w:rFonts w:ascii="Times New Roman" w:eastAsia="Times New Roman" w:hAnsi="Times New Roman" w:cs="Times New Roman"/>
          <w:sz w:val="28"/>
          <w:szCs w:val="28"/>
        </w:rPr>
        <w:t>интраоперационной</w:t>
      </w:r>
      <w:proofErr w:type="spellEnd"/>
      <w:r w:rsidRPr="00256DC9">
        <w:rPr>
          <w:rFonts w:ascii="Times New Roman" w:eastAsia="Times New Roman" w:hAnsi="Times New Roman" w:cs="Times New Roman"/>
          <w:sz w:val="28"/>
          <w:szCs w:val="28"/>
        </w:rPr>
        <w:t xml:space="preserve"> аппаратной </w:t>
      </w:r>
      <w:proofErr w:type="spellStart"/>
      <w:r w:rsidRPr="00256DC9">
        <w:rPr>
          <w:rFonts w:ascii="Times New Roman" w:eastAsia="Times New Roman" w:hAnsi="Times New Roman" w:cs="Times New Roman"/>
          <w:sz w:val="28"/>
          <w:szCs w:val="28"/>
        </w:rPr>
        <w:t>реинфузии</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эритромассы</w:t>
      </w:r>
      <w:proofErr w:type="spellEnd"/>
      <w:r w:rsidRPr="00256DC9">
        <w:rPr>
          <w:rFonts w:ascii="Times New Roman" w:eastAsia="Times New Roman" w:hAnsi="Times New Roman" w:cs="Times New Roman"/>
          <w:sz w:val="28"/>
          <w:szCs w:val="28"/>
        </w:rPr>
        <w:t xml:space="preserve"> восполнение ГО должно проводиться только </w:t>
      </w:r>
      <w:proofErr w:type="spellStart"/>
      <w:r w:rsidRPr="00256DC9">
        <w:rPr>
          <w:rFonts w:ascii="Times New Roman" w:eastAsia="Times New Roman" w:hAnsi="Times New Roman" w:cs="Times New Roman"/>
          <w:sz w:val="28"/>
          <w:szCs w:val="28"/>
        </w:rPr>
        <w:t>ауто</w:t>
      </w:r>
      <w:proofErr w:type="spellEnd"/>
      <w:r w:rsidRPr="00256DC9">
        <w:rPr>
          <w:rFonts w:ascii="Times New Roman" w:eastAsia="Times New Roman" w:hAnsi="Times New Roman" w:cs="Times New Roman"/>
          <w:sz w:val="28"/>
          <w:szCs w:val="28"/>
        </w:rPr>
        <w:t xml:space="preserve">-ЭС. Показания к дополнительному переливанию донорских ЭС возникают лишь при неадекватном восполнении ГО. Снижение </w:t>
      </w:r>
      <w:proofErr w:type="gramStart"/>
      <w:r w:rsidRPr="00256DC9">
        <w:rPr>
          <w:rFonts w:ascii="Times New Roman" w:eastAsia="Times New Roman" w:hAnsi="Times New Roman" w:cs="Times New Roman"/>
          <w:sz w:val="28"/>
          <w:szCs w:val="28"/>
        </w:rPr>
        <w:t xml:space="preserve">уровня  </w:t>
      </w:r>
      <w:proofErr w:type="spellStart"/>
      <w:r w:rsidRPr="00256DC9">
        <w:rPr>
          <w:rFonts w:ascii="Times New Roman" w:eastAsia="Times New Roman" w:hAnsi="Times New Roman" w:cs="Times New Roman"/>
          <w:sz w:val="28"/>
          <w:szCs w:val="28"/>
        </w:rPr>
        <w:t>Hb</w:t>
      </w:r>
      <w:proofErr w:type="spellEnd"/>
      <w:proofErr w:type="gramEnd"/>
      <w:r w:rsidRPr="00256DC9">
        <w:rPr>
          <w:rFonts w:ascii="Times New Roman" w:eastAsia="Times New Roman" w:hAnsi="Times New Roman" w:cs="Times New Roman"/>
          <w:sz w:val="28"/>
          <w:szCs w:val="28"/>
        </w:rPr>
        <w:t xml:space="preserve"> &lt; 70 г/л и </w:t>
      </w:r>
      <w:proofErr w:type="spellStart"/>
      <w:r w:rsidRPr="00256DC9">
        <w:rPr>
          <w:rFonts w:ascii="Times New Roman" w:eastAsia="Times New Roman" w:hAnsi="Times New Roman" w:cs="Times New Roman"/>
          <w:sz w:val="28"/>
          <w:szCs w:val="28"/>
        </w:rPr>
        <w:t>Ht</w:t>
      </w:r>
      <w:proofErr w:type="spellEnd"/>
      <w:r w:rsidRPr="00256DC9">
        <w:rPr>
          <w:rFonts w:ascii="Times New Roman" w:eastAsia="Times New Roman" w:hAnsi="Times New Roman" w:cs="Times New Roman"/>
          <w:sz w:val="28"/>
          <w:szCs w:val="28"/>
        </w:rPr>
        <w:t xml:space="preserve"> &lt; 25% следует считать объективными показаниями для дополнительной гемотрансфузии донорских ЭС. Для объективизации показаний к гемотрансфузии необходимо проведение динамического лабораторного мониторинга для подтверждения кислородной задолженности тканей. При острой анемии у пациентов с сопутствующей сердечно-сосудистой патологией переливание донорских ЭС показано при </w:t>
      </w:r>
      <w:proofErr w:type="spellStart"/>
      <w:r w:rsidRPr="00256DC9">
        <w:rPr>
          <w:rFonts w:ascii="Times New Roman" w:eastAsia="Times New Roman" w:hAnsi="Times New Roman" w:cs="Times New Roman"/>
          <w:sz w:val="28"/>
          <w:szCs w:val="28"/>
        </w:rPr>
        <w:t>Hb</w:t>
      </w:r>
      <w:proofErr w:type="spellEnd"/>
      <w:r w:rsidRPr="00256DC9">
        <w:rPr>
          <w:rFonts w:ascii="Times New Roman" w:eastAsia="Times New Roman" w:hAnsi="Times New Roman" w:cs="Times New Roman"/>
          <w:sz w:val="28"/>
          <w:szCs w:val="28"/>
        </w:rPr>
        <w:t xml:space="preserve"> </w:t>
      </w:r>
      <w:proofErr w:type="gramStart"/>
      <w:r w:rsidRPr="00256DC9">
        <w:rPr>
          <w:rFonts w:ascii="Times New Roman" w:eastAsia="Times New Roman" w:hAnsi="Times New Roman" w:cs="Times New Roman"/>
          <w:sz w:val="28"/>
          <w:szCs w:val="28"/>
        </w:rPr>
        <w:t>&lt; 100</w:t>
      </w:r>
      <w:proofErr w:type="gramEnd"/>
      <w:r w:rsidRPr="00256DC9">
        <w:rPr>
          <w:rFonts w:ascii="Times New Roman" w:eastAsia="Times New Roman" w:hAnsi="Times New Roman" w:cs="Times New Roman"/>
          <w:sz w:val="28"/>
          <w:szCs w:val="28"/>
        </w:rPr>
        <w:t xml:space="preserve">/90 г/л и </w:t>
      </w:r>
      <w:proofErr w:type="spellStart"/>
      <w:r w:rsidRPr="00256DC9">
        <w:rPr>
          <w:rFonts w:ascii="Times New Roman" w:eastAsia="Times New Roman" w:hAnsi="Times New Roman" w:cs="Times New Roman"/>
          <w:sz w:val="28"/>
          <w:szCs w:val="28"/>
        </w:rPr>
        <w:t>Ht</w:t>
      </w:r>
      <w:proofErr w:type="spellEnd"/>
      <w:r w:rsidRPr="00256DC9">
        <w:rPr>
          <w:rFonts w:ascii="Times New Roman" w:eastAsia="Times New Roman" w:hAnsi="Times New Roman" w:cs="Times New Roman"/>
          <w:sz w:val="28"/>
          <w:szCs w:val="28"/>
        </w:rPr>
        <w:t xml:space="preserve">  &lt;  28–33%. </w:t>
      </w:r>
      <w:proofErr w:type="gramStart"/>
      <w:r w:rsidRPr="00256DC9">
        <w:rPr>
          <w:rFonts w:ascii="Times New Roman" w:eastAsia="Times New Roman" w:hAnsi="Times New Roman" w:cs="Times New Roman"/>
          <w:sz w:val="28"/>
          <w:szCs w:val="28"/>
        </w:rPr>
        <w:t>При  хронической</w:t>
      </w:r>
      <w:proofErr w:type="gramEnd"/>
      <w:r w:rsidRPr="00256DC9">
        <w:rPr>
          <w:rFonts w:ascii="Times New Roman" w:eastAsia="Times New Roman" w:hAnsi="Times New Roman" w:cs="Times New Roman"/>
          <w:sz w:val="28"/>
          <w:szCs w:val="28"/>
        </w:rPr>
        <w:t xml:space="preserve"> постгеморрагической анемии показанием к трансфузии донорских ЭС  является  выраженная клиническая картина  </w:t>
      </w:r>
      <w:proofErr w:type="spellStart"/>
      <w:r w:rsidRPr="00256DC9">
        <w:rPr>
          <w:rFonts w:ascii="Times New Roman" w:eastAsia="Times New Roman" w:hAnsi="Times New Roman" w:cs="Times New Roman"/>
          <w:sz w:val="28"/>
          <w:szCs w:val="28"/>
        </w:rPr>
        <w:t>гемической</w:t>
      </w:r>
      <w:proofErr w:type="spellEnd"/>
      <w:r w:rsidRPr="00256DC9">
        <w:rPr>
          <w:rFonts w:ascii="Times New Roman" w:eastAsia="Times New Roman" w:hAnsi="Times New Roman" w:cs="Times New Roman"/>
          <w:sz w:val="28"/>
          <w:szCs w:val="28"/>
        </w:rPr>
        <w:t xml:space="preserve"> (тканевой) анемии  (одышка,  </w:t>
      </w:r>
      <w:proofErr w:type="spellStart"/>
      <w:r w:rsidRPr="00256DC9">
        <w:rPr>
          <w:rFonts w:ascii="Times New Roman" w:eastAsia="Times New Roman" w:hAnsi="Times New Roman" w:cs="Times New Roman"/>
          <w:sz w:val="28"/>
          <w:szCs w:val="28"/>
        </w:rPr>
        <w:t>акроцианоз</w:t>
      </w:r>
      <w:proofErr w:type="spellEnd"/>
      <w:r w:rsidRPr="00256DC9">
        <w:rPr>
          <w:rFonts w:ascii="Times New Roman" w:eastAsia="Times New Roman" w:hAnsi="Times New Roman" w:cs="Times New Roman"/>
          <w:sz w:val="28"/>
          <w:szCs w:val="28"/>
        </w:rPr>
        <w:t xml:space="preserve">,  бледность  кожных  покровов и слизистых). При наличии вышеописанной клинической картины возможно проведение гемотрансфузии (причем с учетом тяжести состояния таких пациентов — в основном отмытых эритроцитов). В связи с тем, что такая анемия чаще всего носит характер железодефицитной, таким пациентам необходимо проводить контроль содержания железа в плазме крови. Лечение этих больных должно быть комплексным с применением стимуляторов эритропоэза, препаратов железа, витаминов (витамин В12 и фолиевая кислота). Свежезамороженная донорская плазма (СЗП) должна использоваться только для коррекции </w:t>
      </w:r>
      <w:proofErr w:type="gramStart"/>
      <w:r w:rsidRPr="00256DC9">
        <w:rPr>
          <w:rFonts w:ascii="Times New Roman" w:eastAsia="Times New Roman" w:hAnsi="Times New Roman" w:cs="Times New Roman"/>
          <w:sz w:val="28"/>
          <w:szCs w:val="28"/>
        </w:rPr>
        <w:t>плазменного  звена</w:t>
      </w:r>
      <w:proofErr w:type="gramEnd"/>
      <w:r w:rsidRPr="00256DC9">
        <w:rPr>
          <w:rFonts w:ascii="Times New Roman" w:eastAsia="Times New Roman" w:hAnsi="Times New Roman" w:cs="Times New Roman"/>
          <w:sz w:val="28"/>
          <w:szCs w:val="28"/>
        </w:rPr>
        <w:t xml:space="preserve">  гемостаза  (восполнение  коагуляционного  потенциала  плазмы)  или  восполнения  плазменного объема при острой кровопотере. Показания к переливанию СЗП: </w:t>
      </w:r>
      <w:proofErr w:type="gramStart"/>
      <w:r w:rsidRPr="00256DC9">
        <w:rPr>
          <w:rFonts w:ascii="Times New Roman" w:eastAsia="Times New Roman" w:hAnsi="Times New Roman" w:cs="Times New Roman"/>
          <w:sz w:val="28"/>
          <w:szCs w:val="28"/>
        </w:rPr>
        <w:t>•  Острая</w:t>
      </w:r>
      <w:proofErr w:type="gramEnd"/>
      <w:r w:rsidRPr="00256DC9">
        <w:rPr>
          <w:rFonts w:ascii="Times New Roman" w:eastAsia="Times New Roman" w:hAnsi="Times New Roman" w:cs="Times New Roman"/>
          <w:sz w:val="28"/>
          <w:szCs w:val="28"/>
        </w:rPr>
        <w:t xml:space="preserve"> массивная кровопотеря объемом более 25–30 % ОЦК ( &gt; 1200–1500 мл) — для предотвращения развития </w:t>
      </w:r>
      <w:proofErr w:type="spellStart"/>
      <w:r w:rsidRPr="00256DC9">
        <w:rPr>
          <w:rFonts w:ascii="Times New Roman" w:eastAsia="Times New Roman" w:hAnsi="Times New Roman" w:cs="Times New Roman"/>
          <w:sz w:val="28"/>
          <w:szCs w:val="28"/>
        </w:rPr>
        <w:t>коагулопатии</w:t>
      </w:r>
      <w:proofErr w:type="spellEnd"/>
      <w:r w:rsidRPr="00256DC9">
        <w:rPr>
          <w:rFonts w:ascii="Times New Roman" w:eastAsia="Times New Roman" w:hAnsi="Times New Roman" w:cs="Times New Roman"/>
          <w:sz w:val="28"/>
          <w:szCs w:val="28"/>
        </w:rPr>
        <w:t xml:space="preserve"> потребления и развития ДВС-синдрома. •  Острый ДВС-синдром различной этиологии (вследствие тяжелой травмы с размозжением тканей, обширных операций на легких, крупных </w:t>
      </w:r>
      <w:proofErr w:type="gramStart"/>
      <w:r w:rsidRPr="00256DC9">
        <w:rPr>
          <w:rFonts w:ascii="Times New Roman" w:eastAsia="Times New Roman" w:hAnsi="Times New Roman" w:cs="Times New Roman"/>
          <w:sz w:val="28"/>
          <w:szCs w:val="28"/>
        </w:rPr>
        <w:t>сосудах,  головном</w:t>
      </w:r>
      <w:proofErr w:type="gramEnd"/>
      <w:r w:rsidRPr="00256DC9">
        <w:rPr>
          <w:rFonts w:ascii="Times New Roman" w:eastAsia="Times New Roman" w:hAnsi="Times New Roman" w:cs="Times New Roman"/>
          <w:sz w:val="28"/>
          <w:szCs w:val="28"/>
        </w:rPr>
        <w:t xml:space="preserve"> мозге, септических состояний, синдрома </w:t>
      </w:r>
      <w:r w:rsidRPr="00256DC9">
        <w:rPr>
          <w:rFonts w:ascii="Times New Roman" w:eastAsia="Times New Roman" w:hAnsi="Times New Roman" w:cs="Times New Roman"/>
          <w:sz w:val="28"/>
          <w:szCs w:val="28"/>
        </w:rPr>
        <w:lastRenderedPageBreak/>
        <w:t xml:space="preserve">массивных трансфузий). При этом состоянии СЗП используется как </w:t>
      </w:r>
      <w:proofErr w:type="gramStart"/>
      <w:r w:rsidRPr="00256DC9">
        <w:rPr>
          <w:rFonts w:ascii="Times New Roman" w:eastAsia="Times New Roman" w:hAnsi="Times New Roman" w:cs="Times New Roman"/>
          <w:sz w:val="28"/>
          <w:szCs w:val="28"/>
        </w:rPr>
        <w:t>с  заместительной</w:t>
      </w:r>
      <w:proofErr w:type="gramEnd"/>
      <w:r w:rsidRPr="00256DC9">
        <w:rPr>
          <w:rFonts w:ascii="Times New Roman" w:eastAsia="Times New Roman" w:hAnsi="Times New Roman" w:cs="Times New Roman"/>
          <w:sz w:val="28"/>
          <w:szCs w:val="28"/>
        </w:rPr>
        <w:t xml:space="preserve"> целью при проведении </w:t>
      </w:r>
      <w:proofErr w:type="spellStart"/>
      <w:r w:rsidRPr="00256DC9">
        <w:rPr>
          <w:rFonts w:ascii="Times New Roman" w:eastAsia="Times New Roman" w:hAnsi="Times New Roman" w:cs="Times New Roman"/>
          <w:sz w:val="28"/>
          <w:szCs w:val="28"/>
        </w:rPr>
        <w:t>плазмообмена</w:t>
      </w:r>
      <w:proofErr w:type="spellEnd"/>
      <w:r w:rsidRPr="00256DC9">
        <w:rPr>
          <w:rFonts w:ascii="Times New Roman" w:eastAsia="Times New Roman" w:hAnsi="Times New Roman" w:cs="Times New Roman"/>
          <w:sz w:val="28"/>
          <w:szCs w:val="28"/>
        </w:rPr>
        <w:t xml:space="preserve">, так и с целью лечения </w:t>
      </w:r>
      <w:proofErr w:type="spellStart"/>
      <w:r w:rsidRPr="00256DC9">
        <w:rPr>
          <w:rFonts w:ascii="Times New Roman" w:eastAsia="Times New Roman" w:hAnsi="Times New Roman" w:cs="Times New Roman"/>
          <w:sz w:val="28"/>
          <w:szCs w:val="28"/>
        </w:rPr>
        <w:t>коагулопатии</w:t>
      </w:r>
      <w:proofErr w:type="spellEnd"/>
      <w:r w:rsidRPr="00256DC9">
        <w:rPr>
          <w:rFonts w:ascii="Times New Roman" w:eastAsia="Times New Roman" w:hAnsi="Times New Roman" w:cs="Times New Roman"/>
          <w:sz w:val="28"/>
          <w:szCs w:val="28"/>
        </w:rPr>
        <w:t xml:space="preserve">. Объемы используемой плазмы могут быть до 20–30 мл/кг массы тела пациента в сутки. •  Болезни печени (цирроз, острый гепатит), сопровождающиеся снижением продукции плазменных факторов свертывания. •  Для восполнения плазменного объема крови при </w:t>
      </w:r>
      <w:proofErr w:type="gramStart"/>
      <w:r w:rsidRPr="00256DC9">
        <w:rPr>
          <w:rFonts w:ascii="Times New Roman" w:eastAsia="Times New Roman" w:hAnsi="Times New Roman" w:cs="Times New Roman"/>
          <w:sz w:val="28"/>
          <w:szCs w:val="28"/>
        </w:rPr>
        <w:t>выполнении  процедур</w:t>
      </w:r>
      <w:proofErr w:type="gramEnd"/>
      <w:r w:rsidRPr="00256DC9">
        <w:rPr>
          <w:rFonts w:ascii="Times New Roman" w:eastAsia="Times New Roman" w:hAnsi="Times New Roman" w:cs="Times New Roman"/>
          <w:sz w:val="28"/>
          <w:szCs w:val="28"/>
        </w:rPr>
        <w:t xml:space="preserve"> терапевтического объемного </w:t>
      </w:r>
      <w:proofErr w:type="spellStart"/>
      <w:r w:rsidRPr="00256DC9">
        <w:rPr>
          <w:rFonts w:ascii="Times New Roman" w:eastAsia="Times New Roman" w:hAnsi="Times New Roman" w:cs="Times New Roman"/>
          <w:sz w:val="28"/>
          <w:szCs w:val="28"/>
        </w:rPr>
        <w:t>плазмообмена</w:t>
      </w:r>
      <w:proofErr w:type="spellEnd"/>
      <w:r w:rsidRPr="00256DC9">
        <w:rPr>
          <w:rFonts w:ascii="Times New Roman" w:eastAsia="Times New Roman" w:hAnsi="Times New Roman" w:cs="Times New Roman"/>
          <w:sz w:val="28"/>
          <w:szCs w:val="28"/>
        </w:rPr>
        <w:t xml:space="preserve"> (больные с сепсисом, ДВС-синдромом, краш-синдромом, тяжелыми отравления ми). •  Выраженная </w:t>
      </w:r>
      <w:proofErr w:type="spellStart"/>
      <w:r w:rsidRPr="00256DC9">
        <w:rPr>
          <w:rFonts w:ascii="Times New Roman" w:eastAsia="Times New Roman" w:hAnsi="Times New Roman" w:cs="Times New Roman"/>
          <w:sz w:val="28"/>
          <w:szCs w:val="28"/>
        </w:rPr>
        <w:t>коагулопатия</w:t>
      </w:r>
      <w:proofErr w:type="spellEnd"/>
      <w:r w:rsidRPr="00256DC9">
        <w:rPr>
          <w:rFonts w:ascii="Times New Roman" w:eastAsia="Times New Roman" w:hAnsi="Times New Roman" w:cs="Times New Roman"/>
          <w:sz w:val="28"/>
          <w:szCs w:val="28"/>
        </w:rPr>
        <w:t xml:space="preserve">, вызванная приемом непрямых антикоагулянтов (международное нормализованное </w:t>
      </w:r>
      <w:proofErr w:type="gramStart"/>
      <w:r w:rsidRPr="00256DC9">
        <w:rPr>
          <w:rFonts w:ascii="Times New Roman" w:eastAsia="Times New Roman" w:hAnsi="Times New Roman" w:cs="Times New Roman"/>
          <w:sz w:val="28"/>
          <w:szCs w:val="28"/>
        </w:rPr>
        <w:t>отношение &gt;</w:t>
      </w:r>
      <w:proofErr w:type="gramEnd"/>
      <w:r w:rsidRPr="00256DC9">
        <w:rPr>
          <w:rFonts w:ascii="Times New Roman" w:eastAsia="Times New Roman" w:hAnsi="Times New Roman" w:cs="Times New Roman"/>
          <w:sz w:val="28"/>
          <w:szCs w:val="28"/>
        </w:rPr>
        <w:t xml:space="preserve"> 2, активированное частичное </w:t>
      </w:r>
      <w:proofErr w:type="spellStart"/>
      <w:r w:rsidRPr="00256DC9">
        <w:rPr>
          <w:rFonts w:ascii="Times New Roman" w:eastAsia="Times New Roman" w:hAnsi="Times New Roman" w:cs="Times New Roman"/>
          <w:sz w:val="28"/>
          <w:szCs w:val="28"/>
        </w:rPr>
        <w:t>тромбопластиновое</w:t>
      </w:r>
      <w:proofErr w:type="spellEnd"/>
      <w:r w:rsidRPr="00256DC9">
        <w:rPr>
          <w:rFonts w:ascii="Times New Roman" w:eastAsia="Times New Roman" w:hAnsi="Times New Roman" w:cs="Times New Roman"/>
          <w:sz w:val="28"/>
          <w:szCs w:val="28"/>
        </w:rPr>
        <w:t xml:space="preserve"> время  &gt; 45 с), сопровождающиеся кровоточивостью тканей или кровотечением. Раньше использование </w:t>
      </w:r>
      <w:proofErr w:type="spellStart"/>
      <w:r w:rsidRPr="00256DC9">
        <w:rPr>
          <w:rFonts w:ascii="Times New Roman" w:eastAsia="Times New Roman" w:hAnsi="Times New Roman" w:cs="Times New Roman"/>
          <w:sz w:val="28"/>
          <w:szCs w:val="28"/>
        </w:rPr>
        <w:t>тромбоконцентрата</w:t>
      </w:r>
      <w:proofErr w:type="spellEnd"/>
      <w:r w:rsidRPr="00256DC9">
        <w:rPr>
          <w:rFonts w:ascii="Times New Roman" w:eastAsia="Times New Roman" w:hAnsi="Times New Roman" w:cs="Times New Roman"/>
          <w:sz w:val="28"/>
          <w:szCs w:val="28"/>
        </w:rPr>
        <w:t xml:space="preserve"> было прерогативой гематологических или онкологических клиник, где использовались тромбоциты лишь при тромбоцитопении 20–30 тыс. </w:t>
      </w:r>
      <w:proofErr w:type="spellStart"/>
      <w:proofErr w:type="gramStart"/>
      <w:r w:rsidRPr="00256DC9">
        <w:rPr>
          <w:rFonts w:ascii="Times New Roman" w:eastAsia="Times New Roman" w:hAnsi="Times New Roman" w:cs="Times New Roman"/>
          <w:sz w:val="28"/>
          <w:szCs w:val="28"/>
        </w:rPr>
        <w:t>кл</w:t>
      </w:r>
      <w:proofErr w:type="spellEnd"/>
      <w:r w:rsidRPr="00256DC9">
        <w:rPr>
          <w:rFonts w:ascii="Times New Roman" w:eastAsia="Times New Roman" w:hAnsi="Times New Roman" w:cs="Times New Roman"/>
          <w:sz w:val="28"/>
          <w:szCs w:val="28"/>
        </w:rPr>
        <w:t>./</w:t>
      </w:r>
      <w:proofErr w:type="spellStart"/>
      <w:proofErr w:type="gramEnd"/>
      <w:r w:rsidRPr="00256DC9">
        <w:rPr>
          <w:rFonts w:ascii="Times New Roman" w:eastAsia="Times New Roman" w:hAnsi="Times New Roman" w:cs="Times New Roman"/>
          <w:sz w:val="28"/>
          <w:szCs w:val="28"/>
        </w:rPr>
        <w:t>мкл</w:t>
      </w:r>
      <w:proofErr w:type="spellEnd"/>
      <w:r w:rsidRPr="00256DC9">
        <w:rPr>
          <w:rFonts w:ascii="Times New Roman" w:eastAsia="Times New Roman" w:hAnsi="Times New Roman" w:cs="Times New Roman"/>
          <w:sz w:val="28"/>
          <w:szCs w:val="28"/>
        </w:rPr>
        <w:t xml:space="preserve">. В настоящее время, учитывая получение качественного </w:t>
      </w:r>
      <w:proofErr w:type="spellStart"/>
      <w:r w:rsidRPr="00256DC9">
        <w:rPr>
          <w:rFonts w:ascii="Times New Roman" w:eastAsia="Times New Roman" w:hAnsi="Times New Roman" w:cs="Times New Roman"/>
          <w:sz w:val="28"/>
          <w:szCs w:val="28"/>
        </w:rPr>
        <w:t>тромбоконцентрата</w:t>
      </w:r>
      <w:proofErr w:type="spellEnd"/>
      <w:r w:rsidRPr="00256DC9">
        <w:rPr>
          <w:rFonts w:ascii="Times New Roman" w:eastAsia="Times New Roman" w:hAnsi="Times New Roman" w:cs="Times New Roman"/>
          <w:sz w:val="28"/>
          <w:szCs w:val="28"/>
        </w:rPr>
        <w:t xml:space="preserve"> с помощью афереза, мы расширили показания к трансфузии тромбоцитов в условиях стационара скорой помощи. Мы широко и успешно применяем </w:t>
      </w:r>
      <w:proofErr w:type="spellStart"/>
      <w:r w:rsidRPr="00256DC9">
        <w:rPr>
          <w:rFonts w:ascii="Times New Roman" w:eastAsia="Times New Roman" w:hAnsi="Times New Roman" w:cs="Times New Roman"/>
          <w:sz w:val="28"/>
          <w:szCs w:val="28"/>
        </w:rPr>
        <w:t>тромбоконцентрат</w:t>
      </w:r>
      <w:proofErr w:type="spellEnd"/>
      <w:r w:rsidRPr="00256DC9">
        <w:rPr>
          <w:rFonts w:ascii="Times New Roman" w:eastAsia="Times New Roman" w:hAnsi="Times New Roman" w:cs="Times New Roman"/>
          <w:sz w:val="28"/>
          <w:szCs w:val="28"/>
        </w:rPr>
        <w:t xml:space="preserve"> при массивной кровопотере, в кардиохирургии, при трансплантации и резекции печени при наличии геморрагического синдрома (нехирургического характера), в раннем послеоперационном периоде даже без предварительного исследования количества тромбоцитов. При </w:t>
      </w:r>
      <w:proofErr w:type="gramStart"/>
      <w:r w:rsidRPr="00256DC9">
        <w:rPr>
          <w:rFonts w:ascii="Times New Roman" w:eastAsia="Times New Roman" w:hAnsi="Times New Roman" w:cs="Times New Roman"/>
          <w:sz w:val="28"/>
          <w:szCs w:val="28"/>
        </w:rPr>
        <w:t>плановом  назначении</w:t>
      </w:r>
      <w:proofErr w:type="gram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тромбоконцентрата</w:t>
      </w:r>
      <w:proofErr w:type="spellEnd"/>
      <w:r w:rsidRPr="00256DC9">
        <w:rPr>
          <w:rFonts w:ascii="Times New Roman" w:eastAsia="Times New Roman" w:hAnsi="Times New Roman" w:cs="Times New Roman"/>
          <w:sz w:val="28"/>
          <w:szCs w:val="28"/>
        </w:rPr>
        <w:t xml:space="preserve"> мы  ориентируемся на уровень тромбоцитов у пациентов 40–50 тыс. </w:t>
      </w:r>
      <w:proofErr w:type="spellStart"/>
      <w:r w:rsidRPr="00256DC9">
        <w:rPr>
          <w:rFonts w:ascii="Times New Roman" w:eastAsia="Times New Roman" w:hAnsi="Times New Roman" w:cs="Times New Roman"/>
          <w:sz w:val="28"/>
          <w:szCs w:val="28"/>
        </w:rPr>
        <w:t>кл</w:t>
      </w:r>
      <w:proofErr w:type="spellEnd"/>
      <w:r w:rsidRPr="00256DC9">
        <w:rPr>
          <w:rFonts w:ascii="Times New Roman" w:eastAsia="Times New Roman" w:hAnsi="Times New Roman" w:cs="Times New Roman"/>
          <w:sz w:val="28"/>
          <w:szCs w:val="28"/>
        </w:rPr>
        <w:t>./</w:t>
      </w:r>
      <w:proofErr w:type="spellStart"/>
      <w:r w:rsidRPr="00256DC9">
        <w:rPr>
          <w:rFonts w:ascii="Times New Roman" w:eastAsia="Times New Roman" w:hAnsi="Times New Roman" w:cs="Times New Roman"/>
          <w:sz w:val="28"/>
          <w:szCs w:val="28"/>
        </w:rPr>
        <w:t>мкл</w:t>
      </w:r>
      <w:proofErr w:type="spellEnd"/>
      <w:r w:rsidRPr="00256DC9">
        <w:rPr>
          <w:rFonts w:ascii="Times New Roman" w:eastAsia="Times New Roman" w:hAnsi="Times New Roman" w:cs="Times New Roman"/>
          <w:sz w:val="28"/>
          <w:szCs w:val="28"/>
        </w:rPr>
        <w:t>. Таким образом, при решении вопроса о гемотрансфузии, лечащий врач должен взвесить положительные эффекты, которые он хочет достичь, назначая компоненты донорской крови, и те осложнения, которые могут последовать за гемотрансфузией.</w:t>
      </w:r>
    </w:p>
    <w:p w:rsidR="00256DC9" w:rsidRPr="00256DC9" w:rsidRDefault="00256DC9" w:rsidP="00256DC9">
      <w:pPr>
        <w:spacing w:line="360" w:lineRule="auto"/>
        <w:ind w:firstLine="720"/>
        <w:jc w:val="both"/>
        <w:rPr>
          <w:rFonts w:ascii="Times New Roman" w:hAnsi="Times New Roman" w:cs="Times New Roman"/>
          <w:sz w:val="28"/>
          <w:szCs w:val="28"/>
        </w:rPr>
      </w:pPr>
      <w:r w:rsidRPr="00256DC9">
        <w:rPr>
          <w:rFonts w:ascii="Times New Roman" w:eastAsia="Times New Roman" w:hAnsi="Times New Roman" w:cs="Times New Roman"/>
          <w:sz w:val="28"/>
          <w:szCs w:val="28"/>
        </w:rPr>
        <w:t>Н</w:t>
      </w:r>
      <w:r w:rsidRPr="00256DC9">
        <w:rPr>
          <w:rFonts w:ascii="Times New Roman" w:eastAsia="Arial" w:hAnsi="Times New Roman" w:cs="Times New Roman"/>
          <w:sz w:val="28"/>
          <w:szCs w:val="28"/>
        </w:rPr>
        <w:t xml:space="preserve">есмотря на современные успехи в консервативной терапии пациентов с язвенной болезнью желудка и луковицы двенадцатиперстной кишки, проблема оперативного лечения актуальна при всех вариантах осложненных форм заболевания. Особое место в этой группе занимают больные с </w:t>
      </w:r>
      <w:r w:rsidRPr="00256DC9">
        <w:rPr>
          <w:rFonts w:ascii="Times New Roman" w:eastAsia="Arial" w:hAnsi="Times New Roman" w:cs="Times New Roman"/>
          <w:sz w:val="28"/>
          <w:szCs w:val="28"/>
        </w:rPr>
        <w:lastRenderedPageBreak/>
        <w:t xml:space="preserve">хроническими </w:t>
      </w:r>
      <w:proofErr w:type="spellStart"/>
      <w:r w:rsidRPr="00256DC9">
        <w:rPr>
          <w:rFonts w:ascii="Times New Roman" w:eastAsia="Arial" w:hAnsi="Times New Roman" w:cs="Times New Roman"/>
          <w:sz w:val="28"/>
          <w:szCs w:val="28"/>
        </w:rPr>
        <w:t>гастродуоденальными</w:t>
      </w:r>
      <w:proofErr w:type="spellEnd"/>
      <w:r w:rsidRPr="00256DC9">
        <w:rPr>
          <w:rFonts w:ascii="Times New Roman" w:eastAsia="Arial" w:hAnsi="Times New Roman" w:cs="Times New Roman"/>
          <w:sz w:val="28"/>
          <w:szCs w:val="28"/>
        </w:rPr>
        <w:t xml:space="preserve"> язвами, осложненными кровотечением. При этом у большинства из них требуются экстренное оперативное вмешательство и соответствующая интенсивная предоперационная подготовка, </w:t>
      </w:r>
      <w:proofErr w:type="spellStart"/>
      <w:r w:rsidRPr="00256DC9">
        <w:rPr>
          <w:rFonts w:ascii="Times New Roman" w:eastAsia="Arial" w:hAnsi="Times New Roman" w:cs="Times New Roman"/>
          <w:sz w:val="28"/>
          <w:szCs w:val="28"/>
        </w:rPr>
        <w:t>периоперационная</w:t>
      </w:r>
      <w:proofErr w:type="spellEnd"/>
      <w:r w:rsidRPr="00256DC9">
        <w:rPr>
          <w:rFonts w:ascii="Times New Roman" w:eastAsia="Arial" w:hAnsi="Times New Roman" w:cs="Times New Roman"/>
          <w:sz w:val="28"/>
          <w:szCs w:val="28"/>
        </w:rPr>
        <w:t xml:space="preserve"> и послеоперационная терапия, направленная, прежде всего, на коррекцию гиповолемии и анемии </w:t>
      </w:r>
      <w:r w:rsidRPr="00256DC9">
        <w:rPr>
          <w:rFonts w:ascii="Times New Roman" w:eastAsia="Times New Roman" w:hAnsi="Times New Roman" w:cs="Times New Roman"/>
          <w:sz w:val="28"/>
          <w:szCs w:val="28"/>
        </w:rPr>
        <w:t>[17, 28, 42].</w:t>
      </w:r>
      <w:bookmarkStart w:id="9" w:name="Bookmark9"/>
      <w:bookmarkEnd w:id="9"/>
      <w:r w:rsidRPr="00256DC9">
        <w:rPr>
          <w:rFonts w:ascii="Times New Roman" w:eastAsia="Arial" w:hAnsi="Times New Roman" w:cs="Times New Roman"/>
          <w:sz w:val="28"/>
          <w:szCs w:val="28"/>
        </w:rPr>
        <w:t xml:space="preserve"> Если методы лечения при гиповолемии довольно хорошо поддаются сравнительно простому контролю (динамика пульса, АД, ЦВД, КОС), то выбор адекватных способов коррекции и мониторинга постгеморрагической анемии до сих пор представляет определенные трудности. Также за последние годы в определении показаний к гемотрансфузии решающее значение придается такому показателю, как потребление кислорода тканями (VO2). Именно поддержание его на адекватном уровне является основной целью терапии при острой кровопотере. Показатель потребления кислорода является функцией сердечного выброса (СВ), гемоглобина (</w:t>
      </w:r>
      <w:proofErr w:type="spellStart"/>
      <w:r w:rsidRPr="00256DC9">
        <w:rPr>
          <w:rFonts w:ascii="Times New Roman" w:eastAsia="Arial" w:hAnsi="Times New Roman" w:cs="Times New Roman"/>
          <w:sz w:val="28"/>
          <w:szCs w:val="28"/>
        </w:rPr>
        <w:t>Нb</w:t>
      </w:r>
      <w:proofErr w:type="spellEnd"/>
      <w:r w:rsidRPr="00256DC9">
        <w:rPr>
          <w:rFonts w:ascii="Times New Roman" w:eastAsia="Arial" w:hAnsi="Times New Roman" w:cs="Times New Roman"/>
          <w:sz w:val="28"/>
          <w:szCs w:val="28"/>
        </w:rPr>
        <w:t xml:space="preserve">) и разницы между насыщением гемоглобина артериальной и смешанной венозной крови кислородом </w:t>
      </w:r>
      <w:r w:rsidRPr="00256DC9">
        <w:rPr>
          <w:rFonts w:ascii="Times New Roman" w:eastAsia="Times New Roman" w:hAnsi="Times New Roman" w:cs="Times New Roman"/>
          <w:sz w:val="28"/>
          <w:szCs w:val="28"/>
        </w:rPr>
        <w:t>[13, 54, 55].</w:t>
      </w:r>
    </w:p>
    <w:p w:rsidR="00256DC9" w:rsidRPr="00256DC9" w:rsidRDefault="00256DC9" w:rsidP="00256DC9">
      <w:pPr>
        <w:spacing w:line="360" w:lineRule="auto"/>
        <w:jc w:val="both"/>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tab/>
      </w:r>
      <w:r w:rsidRPr="00256DC9">
        <w:rPr>
          <w:rFonts w:ascii="Times New Roman" w:eastAsia="Times New Roman" w:hAnsi="Times New Roman" w:cs="Times New Roman"/>
          <w:sz w:val="28"/>
          <w:szCs w:val="28"/>
        </w:rPr>
        <w:t>Руководство Европейского общества по гастроинтестинальной эндоскопии (ESGE)</w:t>
      </w:r>
      <w:r w:rsidRPr="00256DC9">
        <w:rPr>
          <w:rFonts w:ascii="Times New Roman" w:eastAsia="Times New Roman" w:hAnsi="Times New Roman" w:cs="Times New Roman"/>
          <w:b/>
          <w:sz w:val="28"/>
          <w:szCs w:val="28"/>
        </w:rPr>
        <w:t xml:space="preserve"> </w:t>
      </w:r>
      <w:r w:rsidRPr="00256DC9">
        <w:rPr>
          <w:rFonts w:ascii="Times New Roman" w:eastAsia="Times New Roman" w:hAnsi="Times New Roman" w:cs="Times New Roman"/>
          <w:sz w:val="28"/>
          <w:szCs w:val="28"/>
        </w:rPr>
        <w:t xml:space="preserve"> рекомендует ограничительную стратегию переливания эритроцитов, которая нацелена на целевой гемоглобин между 7 г / </w:t>
      </w:r>
      <w:proofErr w:type="spellStart"/>
      <w:r w:rsidRPr="00256DC9">
        <w:rPr>
          <w:rFonts w:ascii="Times New Roman" w:eastAsia="Times New Roman" w:hAnsi="Times New Roman" w:cs="Times New Roman"/>
          <w:sz w:val="28"/>
          <w:szCs w:val="28"/>
        </w:rPr>
        <w:t>дл</w:t>
      </w:r>
      <w:proofErr w:type="spellEnd"/>
      <w:r w:rsidRPr="00256DC9">
        <w:rPr>
          <w:rFonts w:ascii="Times New Roman" w:eastAsia="Times New Roman" w:hAnsi="Times New Roman" w:cs="Times New Roman"/>
          <w:sz w:val="28"/>
          <w:szCs w:val="28"/>
        </w:rPr>
        <w:t xml:space="preserve"> и 9 г / дл. Более высокий целевой гемоглобин следует рассматривать у пациентов со значительной сопутствующей патологией (например, ишемическая болезнь сердечно-сосудистой системы) (сильная рекомендация, доказательства среднего качества).</w:t>
      </w:r>
    </w:p>
    <w:p w:rsidR="00256DC9" w:rsidRPr="00256DC9" w:rsidRDefault="00256DC9"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t xml:space="preserve">Использование переливания эритроцитов (RBC) может быть спасительным после массивного UGIH. Однако роль переливания эритроцитов при менее сильном кровотечении в желудочно-кишечном тракте остается противоречивой, поскольку существует неопределенность в отношении уровня гемоглобина, при котором следует начинать переливание крови. Эта неопределенность отражает озабоченность как критической, так и </w:t>
      </w:r>
      <w:r w:rsidRPr="00256DC9">
        <w:rPr>
          <w:rFonts w:ascii="Times New Roman" w:eastAsia="Times New Roman" w:hAnsi="Times New Roman" w:cs="Times New Roman"/>
          <w:sz w:val="28"/>
          <w:szCs w:val="28"/>
        </w:rPr>
        <w:lastRenderedPageBreak/>
        <w:t xml:space="preserve">гастроэнтерологической литературой, предполагающей худшие результаты у пациентов, которым была проведена либеральная стратегия переливания эритроцитов. </w:t>
      </w:r>
    </w:p>
    <w:p w:rsidR="00256DC9" w:rsidRPr="00256DC9" w:rsidRDefault="00256DC9"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t xml:space="preserve">Так, например, в статье «Стратегии трансфузии острого </w:t>
      </w:r>
      <w:proofErr w:type="spellStart"/>
      <w:r w:rsidRPr="00256DC9">
        <w:rPr>
          <w:rFonts w:ascii="Times New Roman" w:eastAsia="Times New Roman" w:hAnsi="Times New Roman" w:cs="Times New Roman"/>
          <w:sz w:val="28"/>
          <w:szCs w:val="28"/>
        </w:rPr>
        <w:t>гастродуоденального</w:t>
      </w:r>
      <w:proofErr w:type="spellEnd"/>
      <w:r w:rsidRPr="00256DC9">
        <w:rPr>
          <w:rFonts w:ascii="Times New Roman" w:eastAsia="Times New Roman" w:hAnsi="Times New Roman" w:cs="Times New Roman"/>
          <w:sz w:val="28"/>
          <w:szCs w:val="28"/>
        </w:rPr>
        <w:t xml:space="preserve"> кровотечения» </w:t>
      </w:r>
      <w:proofErr w:type="spellStart"/>
      <w:r w:rsidRPr="00256DC9">
        <w:rPr>
          <w:rFonts w:ascii="Times New Roman" w:eastAsia="Times New Roman" w:hAnsi="Times New Roman" w:cs="Times New Roman"/>
          <w:sz w:val="28"/>
          <w:szCs w:val="28"/>
        </w:rPr>
        <w:t>Càndid</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Villanueva</w:t>
      </w:r>
      <w:proofErr w:type="spellEnd"/>
      <w:r w:rsidRPr="00256DC9">
        <w:rPr>
          <w:rFonts w:ascii="Times New Roman" w:eastAsia="Times New Roman" w:hAnsi="Times New Roman" w:cs="Times New Roman"/>
          <w:sz w:val="28"/>
          <w:szCs w:val="28"/>
        </w:rPr>
        <w:t xml:space="preserve"> вопрос порога гемоглобина для переливания эритроцитов у пациентов с острым желудочно-кишечным кровотечением является спорным. Авторы сравнили эффективность и безопасность стратегии ограничительного переливания с эффективностью либеральной стратегии переливания. Специалисты зарегистрировали 921 пациента с тяжелым острым желудочно-кишечным кровотечением и случайным образом 461 из них назначили ограничительную стратегию (переливание крови, когда уровень гемоглобина упал ниже 7 г на децилитр) и 460 - либеральную стратегию (переливание крови, когда гемоглобин упал ниже 9 г на децилитр). Рандомизация была стратифицирована по наличию или отсутствию цирроза печени. В общей сложности 225 пациентов, которым назначена ограничительная стратегия (51%), по сравнению с 61 пациентом, назначенным по либеральной стратегии (14%), не получали переливания крови (P &lt;0,001). Вероятность выживания в течение 6 недель была выше в группе с ограничительной стратегией, чем в группе с либеральной стратегией (95% против 91%; отношение рисков для смерти с ограничительной стратегией, 0,55; доверительный интервал 95% [ДИ], 0,33 до 0,92; P = 0,02). Дальнейшее кровотечение возникло у 10% пациентов в группе с ограниченной стратегией по сравнению с 16% пациентов в группе с либеральной стратегией (P = 0,01), а нежелательные явления имели место у 40% по сравнению с 48% (P = 0.02). Вероятность выживания была несколько выше при ограничительной стратегии, чем при либеральной стратегии в подгруппе пациентов, у которых было кровотечение, связанное с пептической язвой (отношение рисков 0,70; 95% ДИ от 0,26 до 1,25), и было значительно выше в подгруппе. пациентов с циррозом и болезнью ребенка или Пью класса A или B (отношение рисков 0,30; 95% ДИ от 0,11 до 0,85), но не у </w:t>
      </w:r>
      <w:r w:rsidRPr="00256DC9">
        <w:rPr>
          <w:rFonts w:ascii="Times New Roman" w:eastAsia="Times New Roman" w:hAnsi="Times New Roman" w:cs="Times New Roman"/>
          <w:sz w:val="28"/>
          <w:szCs w:val="28"/>
        </w:rPr>
        <w:lastRenderedPageBreak/>
        <w:t>пациентов с циррозом печени и болезнью ребенка C класса П (отношение рисков 1,04; 95% ДИ от 0,45 до 2,37). В течение первых 5 дней градиент портального давления значительно увеличивался у пациентов, назначенных по либеральной стратегии (P = 0,03), но не у пациентов, назначенных по ограничительной стратегии. По сравнению с либеральной стратегией переливания, ограничительная стратегия значительно улучшила результаты у пациентов с острым верхним желудочно-кишечным кровотечением.</w:t>
      </w:r>
    </w:p>
    <w:p w:rsidR="00256DC9" w:rsidRPr="00256DC9" w:rsidRDefault="00256DC9"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r>
      <w:proofErr w:type="spellStart"/>
      <w:r w:rsidRPr="00256DC9">
        <w:rPr>
          <w:rFonts w:ascii="Times New Roman" w:eastAsia="Times New Roman" w:hAnsi="Times New Roman" w:cs="Times New Roman"/>
          <w:sz w:val="28"/>
          <w:szCs w:val="28"/>
        </w:rPr>
        <w:t>Коагулопатия</w:t>
      </w:r>
      <w:proofErr w:type="spellEnd"/>
      <w:r w:rsidRPr="00256DC9">
        <w:rPr>
          <w:rFonts w:ascii="Times New Roman" w:eastAsia="Times New Roman" w:hAnsi="Times New Roman" w:cs="Times New Roman"/>
          <w:sz w:val="28"/>
          <w:szCs w:val="28"/>
        </w:rPr>
        <w:t xml:space="preserve"> </w:t>
      </w:r>
      <w:proofErr w:type="gramStart"/>
      <w:r w:rsidRPr="00256DC9">
        <w:rPr>
          <w:rFonts w:ascii="Times New Roman" w:eastAsia="Times New Roman" w:hAnsi="Times New Roman" w:cs="Times New Roman"/>
          <w:sz w:val="28"/>
          <w:szCs w:val="28"/>
        </w:rPr>
        <w:t>во время</w:t>
      </w:r>
      <w:proofErr w:type="gram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неварикозного</w:t>
      </w:r>
      <w:proofErr w:type="spellEnd"/>
      <w:r w:rsidRPr="00256DC9">
        <w:rPr>
          <w:rFonts w:ascii="Times New Roman" w:eastAsia="Times New Roman" w:hAnsi="Times New Roman" w:cs="Times New Roman"/>
          <w:sz w:val="28"/>
          <w:szCs w:val="28"/>
        </w:rPr>
        <w:t xml:space="preserve"> кровотечения из верхних отделов ЖКТ является еще одним частым и неблагоприятным прогностическим фактором. Опубликованные данные по лечению </w:t>
      </w:r>
      <w:proofErr w:type="spellStart"/>
      <w:r w:rsidRPr="00256DC9">
        <w:rPr>
          <w:rFonts w:ascii="Times New Roman" w:eastAsia="Times New Roman" w:hAnsi="Times New Roman" w:cs="Times New Roman"/>
          <w:sz w:val="28"/>
          <w:szCs w:val="28"/>
        </w:rPr>
        <w:t>коагулопатии</w:t>
      </w:r>
      <w:proofErr w:type="spellEnd"/>
      <w:r w:rsidRPr="00256DC9">
        <w:rPr>
          <w:rFonts w:ascii="Times New Roman" w:eastAsia="Times New Roman" w:hAnsi="Times New Roman" w:cs="Times New Roman"/>
          <w:sz w:val="28"/>
          <w:szCs w:val="28"/>
        </w:rPr>
        <w:t xml:space="preserve"> ограничены и неубедительны. Одно небольшое </w:t>
      </w:r>
      <w:proofErr w:type="spellStart"/>
      <w:r w:rsidRPr="00256DC9">
        <w:rPr>
          <w:rFonts w:ascii="Times New Roman" w:eastAsia="Times New Roman" w:hAnsi="Times New Roman" w:cs="Times New Roman"/>
          <w:sz w:val="28"/>
          <w:szCs w:val="28"/>
        </w:rPr>
        <w:t>когортное</w:t>
      </w:r>
      <w:proofErr w:type="spellEnd"/>
      <w:r w:rsidRPr="00256DC9">
        <w:rPr>
          <w:rFonts w:ascii="Times New Roman" w:eastAsia="Times New Roman" w:hAnsi="Times New Roman" w:cs="Times New Roman"/>
          <w:sz w:val="28"/>
          <w:szCs w:val="28"/>
        </w:rPr>
        <w:t xml:space="preserve"> исследование с использованием группы исторического сравнения показало, что агрессивная объемная реанимация, включая коррекцию </w:t>
      </w:r>
      <w:proofErr w:type="spellStart"/>
      <w:r w:rsidRPr="00256DC9">
        <w:rPr>
          <w:rFonts w:ascii="Times New Roman" w:eastAsia="Times New Roman" w:hAnsi="Times New Roman" w:cs="Times New Roman"/>
          <w:sz w:val="28"/>
          <w:szCs w:val="28"/>
        </w:rPr>
        <w:t>коагулопатии</w:t>
      </w:r>
      <w:proofErr w:type="spellEnd"/>
      <w:r w:rsidRPr="00256DC9">
        <w:rPr>
          <w:rFonts w:ascii="Times New Roman" w:eastAsia="Times New Roman" w:hAnsi="Times New Roman" w:cs="Times New Roman"/>
          <w:sz w:val="28"/>
          <w:szCs w:val="28"/>
        </w:rPr>
        <w:t xml:space="preserve"> (международное нормализованное отношение [INR] &lt;1,8), привела к улучшению результатов смертности. В систематическом обзоре, в котором оценивалась релевантность исходного INR до коррекции у пациентов с NVUGIH, INR, по-видимому, не прогнозировал повторное кровотечение, однако после поправки на потенциальных возражающих исходная INR&gt; 1,5 прогнозировала смертность (отношение шансов [OR] 1,96, 95% CI 1.13-3,41). Это может частично отражать наличие основного заболевания печени. Тем не менее, нет доступных данных, которые могли бы помочь в коррекции </w:t>
      </w:r>
      <w:proofErr w:type="spellStart"/>
      <w:r w:rsidRPr="00256DC9">
        <w:rPr>
          <w:rFonts w:ascii="Times New Roman" w:eastAsia="Times New Roman" w:hAnsi="Times New Roman" w:cs="Times New Roman"/>
          <w:sz w:val="28"/>
          <w:szCs w:val="28"/>
        </w:rPr>
        <w:t>коагулопатии</w:t>
      </w:r>
      <w:proofErr w:type="spellEnd"/>
      <w:r w:rsidRPr="00256DC9">
        <w:rPr>
          <w:rFonts w:ascii="Times New Roman" w:eastAsia="Times New Roman" w:hAnsi="Times New Roman" w:cs="Times New Roman"/>
          <w:sz w:val="28"/>
          <w:szCs w:val="28"/>
        </w:rPr>
        <w:t xml:space="preserve"> у критически больных пациентов, и в этой области существуют широкие различия в лечении, что указывает на клиническую неопределенность в отношении оптимальной практики. Не было показано, что количество тромбоцитов является предиктором повторного кровотечения или смертности. В настоящее время нет высококачественных данных для определения порогов переливания тромбоцитов, хотя для большинства пациентов был предложен порог переливания тромбоцитов 50 × 109 / л, с целью 10 × 109 / л для пациентов, у которых подозревается дисфункция тромбоцитов.</w:t>
      </w:r>
    </w:p>
    <w:p w:rsidR="00256DC9" w:rsidRPr="00256DC9" w:rsidRDefault="00256DC9" w:rsidP="00256DC9">
      <w:pPr>
        <w:spacing w:line="360" w:lineRule="auto"/>
        <w:jc w:val="both"/>
        <w:rPr>
          <w:rFonts w:ascii="Times New Roman" w:hAnsi="Times New Roman" w:cs="Times New Roman"/>
          <w:sz w:val="28"/>
          <w:szCs w:val="28"/>
        </w:rPr>
      </w:pPr>
      <w:r w:rsidRPr="00256DC9">
        <w:rPr>
          <w:rFonts w:ascii="Times New Roman" w:eastAsia="Times New Roman" w:hAnsi="Times New Roman" w:cs="Times New Roman"/>
          <w:sz w:val="28"/>
          <w:szCs w:val="28"/>
        </w:rPr>
        <w:lastRenderedPageBreak/>
        <w:tab/>
        <w:t xml:space="preserve">ESGE рекомендует внутривенное введение эритромицина (однократная доза, 250 мг за 30–120 минут до эндоскопии верхних отделов желудочно-кишечного тракта [GI]) пациентам с клинически тяжелой или продолжающейся активной UGIH. У отдельных пациентов </w:t>
      </w:r>
      <w:proofErr w:type="spellStart"/>
      <w:r w:rsidRPr="00256DC9">
        <w:rPr>
          <w:rFonts w:ascii="Times New Roman" w:eastAsia="Times New Roman" w:hAnsi="Times New Roman" w:cs="Times New Roman"/>
          <w:sz w:val="28"/>
          <w:szCs w:val="28"/>
        </w:rPr>
        <w:t>предэндоскопическая</w:t>
      </w:r>
      <w:proofErr w:type="spellEnd"/>
      <w:r w:rsidRPr="00256DC9">
        <w:rPr>
          <w:rFonts w:ascii="Times New Roman" w:eastAsia="Times New Roman" w:hAnsi="Times New Roman" w:cs="Times New Roman"/>
          <w:sz w:val="28"/>
          <w:szCs w:val="28"/>
        </w:rPr>
        <w:t xml:space="preserve"> инфузия эритромицина значительно улучшает эндоскопическую визуализацию, снижает потребность в эндоскопии второго вида, уменьшает количество единиц переливаемой крови и сокращает продолжительность пребывания в стационаре (сильная рекомендация, доказательства высокого качества) [53-55].</w:t>
      </w:r>
    </w:p>
    <w:p w:rsidR="00256DC9" w:rsidRPr="00256DC9" w:rsidRDefault="00256DC9" w:rsidP="00256DC9">
      <w:pPr>
        <w:spacing w:line="360" w:lineRule="auto"/>
        <w:jc w:val="both"/>
        <w:rPr>
          <w:rFonts w:ascii="Times New Roman" w:hAnsi="Times New Roman" w:cs="Times New Roman"/>
          <w:sz w:val="28"/>
          <w:szCs w:val="28"/>
        </w:rPr>
      </w:pPr>
      <w:r w:rsidRPr="00256DC9">
        <w:rPr>
          <w:rFonts w:ascii="Times New Roman" w:eastAsia="inherit" w:hAnsi="Times New Roman" w:cs="Times New Roman"/>
          <w:sz w:val="28"/>
          <w:szCs w:val="28"/>
        </w:rPr>
        <w:tab/>
      </w:r>
      <w:r w:rsidRPr="00256DC9">
        <w:rPr>
          <w:rFonts w:ascii="Times New Roman" w:eastAsia="Times New Roman" w:hAnsi="Times New Roman" w:cs="Times New Roman"/>
          <w:sz w:val="28"/>
          <w:szCs w:val="28"/>
        </w:rPr>
        <w:t xml:space="preserve">Особое внимание уделяется использованию лекарственной терапии ингибиторами протонной помпы при желудочно-кишечных кровотечениях, вызванных эндоскопической </w:t>
      </w:r>
      <w:proofErr w:type="spellStart"/>
      <w:r w:rsidRPr="00256DC9">
        <w:rPr>
          <w:rFonts w:ascii="Times New Roman" w:eastAsia="Times New Roman" w:hAnsi="Times New Roman" w:cs="Times New Roman"/>
          <w:sz w:val="28"/>
          <w:szCs w:val="28"/>
        </w:rPr>
        <w:t>диссекцией</w:t>
      </w:r>
      <w:proofErr w:type="spellEnd"/>
      <w:r w:rsidRPr="00256DC9">
        <w:rPr>
          <w:rFonts w:ascii="Times New Roman" w:eastAsia="Times New Roman" w:hAnsi="Times New Roman" w:cs="Times New Roman"/>
          <w:sz w:val="28"/>
          <w:szCs w:val="28"/>
        </w:rPr>
        <w:t xml:space="preserve"> подслизистой (ESD). Авторы исследования </w:t>
      </w:r>
      <w:proofErr w:type="spellStart"/>
      <w:r w:rsidRPr="00256DC9">
        <w:rPr>
          <w:rFonts w:ascii="Times New Roman" w:eastAsia="Times New Roman" w:hAnsi="Times New Roman" w:cs="Times New Roman"/>
          <w:sz w:val="28"/>
          <w:szCs w:val="28"/>
        </w:rPr>
        <w:t>пантопразола</w:t>
      </w:r>
      <w:proofErr w:type="spellEnd"/>
      <w:r w:rsidRPr="00256DC9">
        <w:rPr>
          <w:rFonts w:ascii="Times New Roman" w:eastAsia="Times New Roman" w:hAnsi="Times New Roman" w:cs="Times New Roman"/>
          <w:sz w:val="28"/>
          <w:szCs w:val="28"/>
        </w:rPr>
        <w:t xml:space="preserve"> в качестве ИПП стремились перспективно сравнить эффекты непрерывного вливания и прерывистого дозирования с </w:t>
      </w:r>
      <w:proofErr w:type="spellStart"/>
      <w:r w:rsidRPr="00256DC9">
        <w:rPr>
          <w:rFonts w:ascii="Times New Roman" w:eastAsia="Times New Roman" w:hAnsi="Times New Roman" w:cs="Times New Roman"/>
          <w:sz w:val="28"/>
          <w:szCs w:val="28"/>
        </w:rPr>
        <w:t>пантопразолом</w:t>
      </w:r>
      <w:proofErr w:type="spellEnd"/>
      <w:r w:rsidRPr="00256DC9">
        <w:rPr>
          <w:rFonts w:ascii="Times New Roman" w:eastAsia="Times New Roman" w:hAnsi="Times New Roman" w:cs="Times New Roman"/>
          <w:sz w:val="28"/>
          <w:szCs w:val="28"/>
        </w:rPr>
        <w:t xml:space="preserve"> на предотвращение желудочно-кишечного кровотечения </w:t>
      </w:r>
      <w:proofErr w:type="gramStart"/>
      <w:r w:rsidRPr="00256DC9">
        <w:rPr>
          <w:rFonts w:ascii="Times New Roman" w:eastAsia="Times New Roman" w:hAnsi="Times New Roman" w:cs="Times New Roman"/>
          <w:sz w:val="28"/>
          <w:szCs w:val="28"/>
        </w:rPr>
        <w:t>и  предотвратить</w:t>
      </w:r>
      <w:proofErr w:type="gramEnd"/>
      <w:r w:rsidRPr="00256DC9">
        <w:rPr>
          <w:rFonts w:ascii="Times New Roman" w:eastAsia="Times New Roman" w:hAnsi="Times New Roman" w:cs="Times New Roman"/>
          <w:sz w:val="28"/>
          <w:szCs w:val="28"/>
        </w:rPr>
        <w:t xml:space="preserve"> факторы риска кровотечений [19, 41, 44].</w:t>
      </w:r>
      <w:bookmarkStart w:id="10" w:name="Bookmark10"/>
      <w:bookmarkEnd w:id="10"/>
      <w:r w:rsidRPr="00256DC9">
        <w:rPr>
          <w:rFonts w:ascii="Times New Roman" w:eastAsia="Times New Roman" w:hAnsi="Times New Roman" w:cs="Times New Roman"/>
          <w:sz w:val="28"/>
          <w:szCs w:val="28"/>
        </w:rPr>
        <w:t xml:space="preserve"> С апреля 2012 г. по май 2013 г. пациенты с эпителиальным новообразованием желудка, назначенным для лечения ОУР в </w:t>
      </w:r>
      <w:proofErr w:type="spellStart"/>
      <w:r w:rsidRPr="00256DC9">
        <w:rPr>
          <w:rFonts w:ascii="Times New Roman" w:eastAsia="Times New Roman" w:hAnsi="Times New Roman" w:cs="Times New Roman"/>
          <w:sz w:val="28"/>
          <w:szCs w:val="28"/>
        </w:rPr>
        <w:t>Пусанской</w:t>
      </w:r>
      <w:proofErr w:type="spellEnd"/>
      <w:r w:rsidRPr="00256DC9">
        <w:rPr>
          <w:rFonts w:ascii="Times New Roman" w:eastAsia="Times New Roman" w:hAnsi="Times New Roman" w:cs="Times New Roman"/>
          <w:sz w:val="28"/>
          <w:szCs w:val="28"/>
        </w:rPr>
        <w:t xml:space="preserve"> национальной университетской больнице, были случайным образом распределены в одну из двух групп в соответствии со схемой введения </w:t>
      </w:r>
      <w:proofErr w:type="spellStart"/>
      <w:r w:rsidRPr="00256DC9">
        <w:rPr>
          <w:rFonts w:ascii="Times New Roman" w:eastAsia="Times New Roman" w:hAnsi="Times New Roman" w:cs="Times New Roman"/>
          <w:sz w:val="28"/>
          <w:szCs w:val="28"/>
        </w:rPr>
        <w:t>пантопразола</w:t>
      </w:r>
      <w:proofErr w:type="spellEnd"/>
      <w:r w:rsidRPr="00256DC9">
        <w:rPr>
          <w:rFonts w:ascii="Times New Roman" w:eastAsia="Times New Roman" w:hAnsi="Times New Roman" w:cs="Times New Roman"/>
          <w:sz w:val="28"/>
          <w:szCs w:val="28"/>
        </w:rPr>
        <w:t xml:space="preserve"> (непрерывная инфузия или прерывистое дозирование). Первичными измеренными результатами были внутри- и </w:t>
      </w:r>
      <w:proofErr w:type="spellStart"/>
      <w:r w:rsidRPr="00256DC9">
        <w:rPr>
          <w:rFonts w:ascii="Times New Roman" w:eastAsia="Times New Roman" w:hAnsi="Times New Roman" w:cs="Times New Roman"/>
          <w:sz w:val="28"/>
          <w:szCs w:val="28"/>
        </w:rPr>
        <w:t>постпроцедурные</w:t>
      </w:r>
      <w:proofErr w:type="spellEnd"/>
      <w:r w:rsidRPr="00256DC9">
        <w:rPr>
          <w:rFonts w:ascii="Times New Roman" w:eastAsia="Times New Roman" w:hAnsi="Times New Roman" w:cs="Times New Roman"/>
          <w:sz w:val="28"/>
          <w:szCs w:val="28"/>
        </w:rPr>
        <w:t xml:space="preserve"> кровотечения. Окончательный анализ включал 401 пациента. Частота значительных </w:t>
      </w:r>
      <w:proofErr w:type="spellStart"/>
      <w:r w:rsidRPr="00256DC9">
        <w:rPr>
          <w:rFonts w:ascii="Times New Roman" w:eastAsia="Times New Roman" w:hAnsi="Times New Roman" w:cs="Times New Roman"/>
          <w:sz w:val="28"/>
          <w:szCs w:val="28"/>
        </w:rPr>
        <w:t>внутрипроцедурных</w:t>
      </w:r>
      <w:proofErr w:type="spellEnd"/>
      <w:r w:rsidRPr="00256DC9">
        <w:rPr>
          <w:rFonts w:ascii="Times New Roman" w:eastAsia="Times New Roman" w:hAnsi="Times New Roman" w:cs="Times New Roman"/>
          <w:sz w:val="28"/>
          <w:szCs w:val="28"/>
        </w:rPr>
        <w:t xml:space="preserve"> кровотечений составила 25,4% в группе С и 24,0% в I группе, без существенной разницы (р = 0,419). Кроме того, не было значительных различий в частоте кровотечений после процедур между группами C и I (11,7% против 10,2%, p = 0,374). Многофакторный анализ показал, что </w:t>
      </w:r>
      <w:proofErr w:type="spellStart"/>
      <w:r w:rsidRPr="00256DC9">
        <w:rPr>
          <w:rFonts w:ascii="Times New Roman" w:eastAsia="Times New Roman" w:hAnsi="Times New Roman" w:cs="Times New Roman"/>
          <w:sz w:val="28"/>
          <w:szCs w:val="28"/>
        </w:rPr>
        <w:t>внутрипроцедурное</w:t>
      </w:r>
      <w:proofErr w:type="spellEnd"/>
      <w:r w:rsidRPr="00256DC9">
        <w:rPr>
          <w:rFonts w:ascii="Times New Roman" w:eastAsia="Times New Roman" w:hAnsi="Times New Roman" w:cs="Times New Roman"/>
          <w:sz w:val="28"/>
          <w:szCs w:val="28"/>
        </w:rPr>
        <w:t xml:space="preserve"> кровотечение было связано с локализацией проксимальной опухоли, наличием фиброза и размером резецированного образца, тогда как </w:t>
      </w:r>
      <w:proofErr w:type="spellStart"/>
      <w:r w:rsidRPr="00256DC9">
        <w:rPr>
          <w:rFonts w:ascii="Times New Roman" w:eastAsia="Times New Roman" w:hAnsi="Times New Roman" w:cs="Times New Roman"/>
          <w:sz w:val="28"/>
          <w:szCs w:val="28"/>
        </w:rPr>
        <w:t>постпроцедурное</w:t>
      </w:r>
      <w:proofErr w:type="spellEnd"/>
      <w:r w:rsidRPr="00256DC9">
        <w:rPr>
          <w:rFonts w:ascii="Times New Roman" w:eastAsia="Times New Roman" w:hAnsi="Times New Roman" w:cs="Times New Roman"/>
          <w:sz w:val="28"/>
          <w:szCs w:val="28"/>
        </w:rPr>
        <w:t xml:space="preserve"> кровотечение было связано с размером резецированного образца и временем процедуры / </w:t>
      </w:r>
      <w:r w:rsidRPr="00256DC9">
        <w:rPr>
          <w:rFonts w:ascii="Times New Roman" w:eastAsia="Times New Roman" w:hAnsi="Times New Roman" w:cs="Times New Roman"/>
          <w:sz w:val="28"/>
          <w:szCs w:val="28"/>
        </w:rPr>
        <w:lastRenderedPageBreak/>
        <w:t xml:space="preserve">коагуляции. Прерывистое дозирование с </w:t>
      </w:r>
      <w:proofErr w:type="spellStart"/>
      <w:r w:rsidRPr="00256DC9">
        <w:rPr>
          <w:rFonts w:ascii="Times New Roman" w:eastAsia="Times New Roman" w:hAnsi="Times New Roman" w:cs="Times New Roman"/>
          <w:sz w:val="28"/>
          <w:szCs w:val="28"/>
        </w:rPr>
        <w:t>пантопразолом</w:t>
      </w:r>
      <w:proofErr w:type="spellEnd"/>
      <w:r w:rsidRPr="00256DC9">
        <w:rPr>
          <w:rFonts w:ascii="Times New Roman" w:eastAsia="Times New Roman" w:hAnsi="Times New Roman" w:cs="Times New Roman"/>
          <w:sz w:val="28"/>
          <w:szCs w:val="28"/>
        </w:rPr>
        <w:t xml:space="preserve"> является достаточным и экономически эффективным для предотвращения желудочного кровотечения, вызванного ОУР. Операторы должны учитывать характеристики опухоли при планировании ОУР, чтобы минимизировать риск </w:t>
      </w:r>
      <w:proofErr w:type="spellStart"/>
      <w:r w:rsidRPr="00256DC9">
        <w:rPr>
          <w:rFonts w:ascii="Times New Roman" w:eastAsia="Times New Roman" w:hAnsi="Times New Roman" w:cs="Times New Roman"/>
          <w:sz w:val="28"/>
          <w:szCs w:val="28"/>
        </w:rPr>
        <w:t>внутрипроцедурного</w:t>
      </w:r>
      <w:proofErr w:type="spellEnd"/>
      <w:r w:rsidRPr="00256DC9">
        <w:rPr>
          <w:rFonts w:ascii="Times New Roman" w:eastAsia="Times New Roman" w:hAnsi="Times New Roman" w:cs="Times New Roman"/>
          <w:sz w:val="28"/>
          <w:szCs w:val="28"/>
        </w:rPr>
        <w:t xml:space="preserve"> кровотечения, а пациенты с большими ятрогенными язвами должны тщательно контролироваться на предмет </w:t>
      </w:r>
      <w:proofErr w:type="spellStart"/>
      <w:r w:rsidRPr="00256DC9">
        <w:rPr>
          <w:rFonts w:ascii="Times New Roman" w:eastAsia="Times New Roman" w:hAnsi="Times New Roman" w:cs="Times New Roman"/>
          <w:sz w:val="28"/>
          <w:szCs w:val="28"/>
        </w:rPr>
        <w:t>постпроцедурного</w:t>
      </w:r>
      <w:proofErr w:type="spellEnd"/>
      <w:r w:rsidRPr="00256DC9">
        <w:rPr>
          <w:rFonts w:ascii="Times New Roman" w:eastAsia="Times New Roman" w:hAnsi="Times New Roman" w:cs="Times New Roman"/>
          <w:sz w:val="28"/>
          <w:szCs w:val="28"/>
        </w:rPr>
        <w:t xml:space="preserve"> кровотечения [20, 43, 48].</w:t>
      </w:r>
      <w:bookmarkStart w:id="11" w:name="Bookmark11"/>
      <w:bookmarkEnd w:id="11"/>
      <w:r w:rsidRPr="00256DC9">
        <w:rPr>
          <w:rFonts w:ascii="Times New Roman" w:eastAsia="Times New Roman" w:hAnsi="Times New Roman" w:cs="Times New Roman"/>
          <w:sz w:val="28"/>
          <w:szCs w:val="28"/>
        </w:rPr>
        <w:t xml:space="preserve"> </w:t>
      </w:r>
    </w:p>
    <w:p w:rsidR="00256DC9" w:rsidRPr="00256DC9" w:rsidRDefault="00256DC9" w:rsidP="00256DC9">
      <w:pPr>
        <w:spacing w:line="360" w:lineRule="auto"/>
        <w:jc w:val="center"/>
        <w:rPr>
          <w:rFonts w:ascii="Times New Roman" w:hAnsi="Times New Roman" w:cs="Times New Roman"/>
          <w:b/>
          <w:sz w:val="28"/>
          <w:szCs w:val="28"/>
        </w:rPr>
      </w:pPr>
      <w:r w:rsidRPr="00256DC9">
        <w:rPr>
          <w:rFonts w:ascii="Times New Roman" w:hAnsi="Times New Roman" w:cs="Times New Roman"/>
          <w:b/>
          <w:sz w:val="28"/>
          <w:szCs w:val="28"/>
        </w:rPr>
        <w:t xml:space="preserve"> </w:t>
      </w:r>
    </w:p>
    <w:p w:rsidR="00256DC9" w:rsidRPr="00256DC9" w:rsidRDefault="00256DC9" w:rsidP="00256DC9">
      <w:pPr>
        <w:spacing w:after="0" w:line="360" w:lineRule="auto"/>
        <w:rPr>
          <w:rFonts w:ascii="Times New Roman" w:hAnsi="Times New Roman" w:cs="Times New Roman"/>
          <w:b/>
          <w:sz w:val="28"/>
          <w:szCs w:val="28"/>
        </w:rPr>
      </w:pPr>
      <w:r w:rsidRPr="00256DC9">
        <w:rPr>
          <w:rFonts w:ascii="Times New Roman" w:hAnsi="Times New Roman" w:cs="Times New Roman"/>
          <w:b/>
          <w:sz w:val="28"/>
          <w:szCs w:val="28"/>
        </w:rPr>
        <w:br w:type="page"/>
      </w:r>
    </w:p>
    <w:p w:rsidR="001130EF" w:rsidRPr="00256DC9" w:rsidRDefault="00845F41" w:rsidP="00256DC9">
      <w:pPr>
        <w:spacing w:line="360" w:lineRule="auto"/>
        <w:jc w:val="center"/>
        <w:rPr>
          <w:rFonts w:ascii="Times New Roman" w:hAnsi="Times New Roman" w:cs="Times New Roman"/>
          <w:b/>
          <w:sz w:val="28"/>
          <w:szCs w:val="28"/>
        </w:rPr>
      </w:pPr>
      <w:r w:rsidRPr="00256DC9">
        <w:rPr>
          <w:rFonts w:ascii="Times New Roman" w:hAnsi="Times New Roman" w:cs="Times New Roman"/>
          <w:b/>
          <w:sz w:val="28"/>
          <w:szCs w:val="28"/>
        </w:rPr>
        <w:lastRenderedPageBreak/>
        <w:t>Глава 2. Материалы и методы исследования</w:t>
      </w:r>
    </w:p>
    <w:p w:rsidR="00845F41" w:rsidRPr="00256DC9" w:rsidRDefault="00845F41" w:rsidP="00256DC9">
      <w:pPr>
        <w:spacing w:line="360" w:lineRule="auto"/>
        <w:jc w:val="both"/>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t>1.</w:t>
      </w:r>
      <w:proofErr w:type="gramStart"/>
      <w:r w:rsidR="001A0DFD">
        <w:rPr>
          <w:rFonts w:ascii="Times New Roman" w:eastAsia="Times New Roman" w:hAnsi="Times New Roman" w:cs="Times New Roman"/>
          <w:b/>
          <w:sz w:val="28"/>
          <w:szCs w:val="28"/>
        </w:rPr>
        <w:t>1</w:t>
      </w:r>
      <w:r w:rsidRPr="00256DC9">
        <w:rPr>
          <w:rFonts w:ascii="Times New Roman" w:eastAsia="Times New Roman" w:hAnsi="Times New Roman" w:cs="Times New Roman"/>
          <w:b/>
          <w:sz w:val="28"/>
          <w:szCs w:val="28"/>
        </w:rPr>
        <w:t>.Характеристика</w:t>
      </w:r>
      <w:proofErr w:type="gramEnd"/>
      <w:r w:rsidRPr="00256DC9">
        <w:rPr>
          <w:rFonts w:ascii="Times New Roman" w:eastAsia="Times New Roman" w:hAnsi="Times New Roman" w:cs="Times New Roman"/>
          <w:b/>
          <w:sz w:val="28"/>
          <w:szCs w:val="28"/>
        </w:rPr>
        <w:t xml:space="preserve"> больных, включенных в исследования</w:t>
      </w:r>
    </w:p>
    <w:p w:rsidR="0004358A" w:rsidRPr="00256DC9" w:rsidRDefault="00E275A0"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r>
      <w:r w:rsidR="0004358A" w:rsidRPr="00256DC9">
        <w:rPr>
          <w:rFonts w:ascii="Times New Roman" w:eastAsia="Times New Roman" w:hAnsi="Times New Roman" w:cs="Times New Roman"/>
          <w:sz w:val="28"/>
          <w:szCs w:val="28"/>
        </w:rPr>
        <w:t xml:space="preserve">Исследование проводилось на базе СПб ГБУЗ «Городская Покровская больница» в период с сентября 2019 по март 2020 года. Всего было проанализировано 94 </w:t>
      </w:r>
      <w:r w:rsidR="000A79D1" w:rsidRPr="00256DC9">
        <w:rPr>
          <w:rFonts w:ascii="Times New Roman" w:eastAsia="Times New Roman" w:hAnsi="Times New Roman" w:cs="Times New Roman"/>
          <w:sz w:val="28"/>
          <w:szCs w:val="28"/>
        </w:rPr>
        <w:t xml:space="preserve">истории болезни пациентов с диагнозом </w:t>
      </w:r>
      <w:proofErr w:type="spellStart"/>
      <w:r w:rsidR="000A79D1" w:rsidRPr="00256DC9">
        <w:rPr>
          <w:rFonts w:ascii="Times New Roman" w:eastAsia="Times New Roman" w:hAnsi="Times New Roman" w:cs="Times New Roman"/>
          <w:sz w:val="28"/>
          <w:szCs w:val="28"/>
        </w:rPr>
        <w:t>гастро</w:t>
      </w:r>
      <w:proofErr w:type="spellEnd"/>
      <w:r w:rsidR="000A79D1" w:rsidRPr="00256DC9">
        <w:rPr>
          <w:rFonts w:ascii="Times New Roman" w:eastAsia="Times New Roman" w:hAnsi="Times New Roman" w:cs="Times New Roman"/>
          <w:sz w:val="28"/>
          <w:szCs w:val="28"/>
        </w:rPr>
        <w:t xml:space="preserve">-дуоденальная язва, осложненная кровотечением из язвы.  </w:t>
      </w:r>
    </w:p>
    <w:p w:rsidR="0004358A" w:rsidRPr="00256DC9" w:rsidRDefault="00E275A0" w:rsidP="00256DC9">
      <w:pPr>
        <w:pStyle w:val="aa"/>
        <w:spacing w:line="360" w:lineRule="auto"/>
        <w:ind w:left="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r>
      <w:r w:rsidR="0004358A" w:rsidRPr="00256DC9">
        <w:rPr>
          <w:rFonts w:ascii="Times New Roman" w:eastAsia="Times New Roman" w:hAnsi="Times New Roman" w:cs="Times New Roman"/>
          <w:sz w:val="28"/>
          <w:szCs w:val="28"/>
        </w:rPr>
        <w:t>Критерием включения являлось наличие кровотечения как осложнение язвенной болезни.</w:t>
      </w:r>
    </w:p>
    <w:p w:rsidR="0004358A" w:rsidRPr="00256DC9" w:rsidRDefault="0004358A" w:rsidP="00256DC9">
      <w:pPr>
        <w:pStyle w:val="aa"/>
        <w:spacing w:line="360" w:lineRule="auto"/>
        <w:ind w:left="0"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Не включались в исследование больные, которым не проводились гемотрансфузии.</w:t>
      </w:r>
    </w:p>
    <w:p w:rsidR="0004358A" w:rsidRPr="00256DC9" w:rsidRDefault="0004358A"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В результате ретроспективном клиническом исследовании приняло участие 50 пациентов с желудочно-кишечным кровотечением – 32 мужчины и 18 женщин в возрасте от 23 до 89 лет. </w:t>
      </w:r>
    </w:p>
    <w:p w:rsidR="0004358A" w:rsidRPr="00256DC9" w:rsidRDefault="000A79D1"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Были</w:t>
      </w:r>
      <w:r w:rsidR="0004358A" w:rsidRPr="00256DC9">
        <w:rPr>
          <w:rFonts w:ascii="Times New Roman" w:eastAsia="Times New Roman" w:hAnsi="Times New Roman" w:cs="Times New Roman"/>
          <w:sz w:val="28"/>
          <w:szCs w:val="28"/>
        </w:rPr>
        <w:t xml:space="preserve"> выдел</w:t>
      </w:r>
      <w:r w:rsidRPr="00256DC9">
        <w:rPr>
          <w:rFonts w:ascii="Times New Roman" w:eastAsia="Times New Roman" w:hAnsi="Times New Roman" w:cs="Times New Roman"/>
          <w:sz w:val="28"/>
          <w:szCs w:val="28"/>
        </w:rPr>
        <w:t>ены</w:t>
      </w:r>
      <w:r w:rsidR="0004358A" w:rsidRPr="00256DC9">
        <w:rPr>
          <w:rFonts w:ascii="Times New Roman" w:eastAsia="Times New Roman" w:hAnsi="Times New Roman" w:cs="Times New Roman"/>
          <w:sz w:val="28"/>
          <w:szCs w:val="28"/>
        </w:rPr>
        <w:t xml:space="preserve"> две группы сравнения: </w:t>
      </w:r>
    </w:p>
    <w:p w:rsidR="0004358A" w:rsidRPr="00256DC9" w:rsidRDefault="0004358A" w:rsidP="00256DC9">
      <w:pPr>
        <w:pStyle w:val="aa"/>
        <w:numPr>
          <w:ilvl w:val="0"/>
          <w:numId w:val="7"/>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пациенты с язвенной болезнью двенадцатиперстной</w:t>
      </w:r>
      <w:r w:rsidRPr="00256DC9">
        <w:rPr>
          <w:rFonts w:ascii="Times New Roman" w:eastAsia="Times New Roman" w:hAnsi="Times New Roman" w:cs="Times New Roman"/>
          <w:sz w:val="28"/>
          <w:szCs w:val="28"/>
        </w:rPr>
        <w:br/>
        <w:t>кишки, осложненной кровотечением – 20 человек;</w:t>
      </w:r>
    </w:p>
    <w:p w:rsidR="0004358A" w:rsidRPr="00256DC9" w:rsidRDefault="0004358A" w:rsidP="00256DC9">
      <w:pPr>
        <w:pStyle w:val="aa"/>
        <w:numPr>
          <w:ilvl w:val="0"/>
          <w:numId w:val="7"/>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пациенты с язвенной болезнью желудка, осложненной кровотечением – 30 человек. </w:t>
      </w:r>
    </w:p>
    <w:p w:rsidR="000A79D1" w:rsidRPr="00256DC9" w:rsidRDefault="000A79D1" w:rsidP="00256DC9">
      <w:pPr>
        <w:pStyle w:val="aa"/>
        <w:spacing w:line="360" w:lineRule="auto"/>
        <w:jc w:val="both"/>
        <w:rPr>
          <w:rFonts w:ascii="Times New Roman" w:eastAsia="Times New Roman" w:hAnsi="Times New Roman" w:cs="Times New Roman"/>
          <w:sz w:val="28"/>
          <w:szCs w:val="28"/>
        </w:rPr>
      </w:pPr>
    </w:p>
    <w:p w:rsidR="0004358A" w:rsidRPr="00256DC9" w:rsidRDefault="0004358A" w:rsidP="00256DC9">
      <w:pPr>
        <w:pStyle w:val="aa"/>
        <w:spacing w:line="360" w:lineRule="auto"/>
        <w:ind w:left="0"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В выделенных группах были проанализированы следующие показатели: </w:t>
      </w:r>
      <w:r w:rsidR="001C1407" w:rsidRPr="00256DC9">
        <w:rPr>
          <w:rFonts w:ascii="Times New Roman" w:eastAsia="Times New Roman" w:hAnsi="Times New Roman" w:cs="Times New Roman"/>
          <w:sz w:val="28"/>
          <w:szCs w:val="28"/>
        </w:rPr>
        <w:t xml:space="preserve">количеством проведенных в стационаре койко-дней, количество актов переливания, количество трансфузий, суммарными объемами перелитой свежезамороженной плазмы и </w:t>
      </w:r>
      <w:proofErr w:type="spellStart"/>
      <w:r w:rsidR="001C1407" w:rsidRPr="00256DC9">
        <w:rPr>
          <w:rFonts w:ascii="Times New Roman" w:eastAsia="Times New Roman" w:hAnsi="Times New Roman" w:cs="Times New Roman"/>
          <w:sz w:val="28"/>
          <w:szCs w:val="28"/>
        </w:rPr>
        <w:t>эритроцитарной</w:t>
      </w:r>
      <w:proofErr w:type="spellEnd"/>
      <w:r w:rsidR="001C1407" w:rsidRPr="00256DC9">
        <w:rPr>
          <w:rFonts w:ascii="Times New Roman" w:eastAsia="Times New Roman" w:hAnsi="Times New Roman" w:cs="Times New Roman"/>
          <w:sz w:val="28"/>
          <w:szCs w:val="28"/>
        </w:rPr>
        <w:t xml:space="preserve"> взвеси. </w:t>
      </w:r>
    </w:p>
    <w:p w:rsidR="0004358A" w:rsidRPr="00256DC9" w:rsidRDefault="0004358A" w:rsidP="00256DC9">
      <w:pPr>
        <w:spacing w:before="240" w:line="360" w:lineRule="auto"/>
        <w:jc w:val="both"/>
        <w:rPr>
          <w:rFonts w:ascii="Times New Roman" w:eastAsia="Times New Roman" w:hAnsi="Times New Roman" w:cs="Times New Roman"/>
          <w:sz w:val="28"/>
          <w:szCs w:val="28"/>
        </w:rPr>
      </w:pPr>
    </w:p>
    <w:p w:rsidR="00BA3B0E" w:rsidRPr="00256DC9" w:rsidRDefault="00E275A0"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r>
    </w:p>
    <w:p w:rsidR="001A5724" w:rsidRPr="00256DC9" w:rsidRDefault="00E275A0" w:rsidP="00256DC9">
      <w:p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ab/>
      </w:r>
    </w:p>
    <w:p w:rsidR="00BA3B0E" w:rsidRPr="00256DC9" w:rsidRDefault="001A5724" w:rsidP="00256DC9">
      <w:pPr>
        <w:spacing w:line="360" w:lineRule="auto"/>
        <w:jc w:val="both"/>
        <w:rPr>
          <w:rFonts w:ascii="Times New Roman" w:eastAsia="Times New Roman" w:hAnsi="Times New Roman" w:cs="Times New Roman"/>
          <w:b/>
          <w:sz w:val="28"/>
          <w:szCs w:val="28"/>
        </w:rPr>
      </w:pPr>
      <w:r w:rsidRPr="00256DC9">
        <w:rPr>
          <w:rFonts w:ascii="Times New Roman" w:eastAsia="Arial" w:hAnsi="Times New Roman" w:cs="Times New Roman"/>
          <w:b/>
          <w:sz w:val="28"/>
          <w:szCs w:val="28"/>
        </w:rPr>
        <w:br w:type="page"/>
      </w:r>
      <w:r w:rsidR="0004380E" w:rsidRPr="00256DC9">
        <w:rPr>
          <w:rFonts w:ascii="Times New Roman" w:eastAsia="Arial" w:hAnsi="Times New Roman" w:cs="Times New Roman"/>
          <w:b/>
          <w:sz w:val="28"/>
          <w:szCs w:val="28"/>
        </w:rPr>
        <w:lastRenderedPageBreak/>
        <w:t xml:space="preserve">1.2 </w:t>
      </w:r>
      <w:r w:rsidR="0004358A" w:rsidRPr="00256DC9">
        <w:rPr>
          <w:rFonts w:ascii="Times New Roman" w:eastAsia="Times New Roman" w:hAnsi="Times New Roman" w:cs="Times New Roman"/>
          <w:b/>
          <w:sz w:val="28"/>
          <w:szCs w:val="28"/>
        </w:rPr>
        <w:t>Статистический анализ</w:t>
      </w:r>
    </w:p>
    <w:p w:rsidR="0004358A" w:rsidRPr="00256DC9" w:rsidRDefault="0004358A"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Статистический анализ проводился на персональном компьютере с использованием программы SPSS v.23. Методы описательной статистики включали оценку среднего арифметического (М), средней ошибки среднего значения (m). Для сравнения исследуемых признаков в группах использовали критерий Манна-Уитни.</w:t>
      </w:r>
    </w:p>
    <w:p w:rsidR="0004358A" w:rsidRPr="00256DC9" w:rsidRDefault="0004358A"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Для выявления наличия статистически значимой корреляции между количественными признаками использовался статистический метод с применением критерия Пирсона (r, в случае нормального распределения) и </w:t>
      </w:r>
      <w:proofErr w:type="spellStart"/>
      <w:r w:rsidRPr="00256DC9">
        <w:rPr>
          <w:rFonts w:ascii="Times New Roman" w:eastAsia="Times New Roman" w:hAnsi="Times New Roman" w:cs="Times New Roman"/>
          <w:sz w:val="28"/>
          <w:szCs w:val="28"/>
        </w:rPr>
        <w:t>Спирмена</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rs</w:t>
      </w:r>
      <w:proofErr w:type="spellEnd"/>
      <w:r w:rsidRPr="00256DC9">
        <w:rPr>
          <w:rFonts w:ascii="Times New Roman" w:eastAsia="Times New Roman" w:hAnsi="Times New Roman" w:cs="Times New Roman"/>
          <w:sz w:val="28"/>
          <w:szCs w:val="28"/>
        </w:rPr>
        <w:t>, в случае ненормального распределения).</w:t>
      </w:r>
    </w:p>
    <w:p w:rsidR="0004358A" w:rsidRPr="00256DC9" w:rsidRDefault="0004358A" w:rsidP="00256DC9">
      <w:pPr>
        <w:spacing w:line="360" w:lineRule="auto"/>
        <w:ind w:firstLine="720"/>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Графическая обработка данных проводилась при помощи программы </w:t>
      </w:r>
      <w:proofErr w:type="spellStart"/>
      <w:r w:rsidRPr="00256DC9">
        <w:rPr>
          <w:rFonts w:ascii="Times New Roman" w:eastAsia="Times New Roman" w:hAnsi="Times New Roman" w:cs="Times New Roman"/>
          <w:sz w:val="28"/>
          <w:szCs w:val="28"/>
        </w:rPr>
        <w:t>Microsoft</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Office</w:t>
      </w:r>
      <w:proofErr w:type="spellEnd"/>
      <w:r w:rsidRPr="00256DC9">
        <w:rPr>
          <w:rFonts w:ascii="Times New Roman" w:eastAsia="Times New Roman" w:hAnsi="Times New Roman" w:cs="Times New Roman"/>
          <w:sz w:val="28"/>
          <w:szCs w:val="28"/>
        </w:rPr>
        <w:t xml:space="preserve"> </w:t>
      </w:r>
      <w:proofErr w:type="spellStart"/>
      <w:r w:rsidRPr="00256DC9">
        <w:rPr>
          <w:rFonts w:ascii="Times New Roman" w:eastAsia="Times New Roman" w:hAnsi="Times New Roman" w:cs="Times New Roman"/>
          <w:sz w:val="28"/>
          <w:szCs w:val="28"/>
        </w:rPr>
        <w:t>Excel</w:t>
      </w:r>
      <w:proofErr w:type="spellEnd"/>
      <w:r w:rsidRPr="00256DC9">
        <w:rPr>
          <w:rFonts w:ascii="Times New Roman" w:eastAsia="Times New Roman" w:hAnsi="Times New Roman" w:cs="Times New Roman"/>
          <w:sz w:val="28"/>
          <w:szCs w:val="28"/>
        </w:rPr>
        <w:t xml:space="preserve"> 2010. Критический уровень достоверности нулевой статистической гипотезы принимали равным 0,05.</w:t>
      </w:r>
    </w:p>
    <w:p w:rsidR="001130EF" w:rsidRPr="00256DC9" w:rsidRDefault="001130EF" w:rsidP="00256DC9">
      <w:pPr>
        <w:spacing w:line="360" w:lineRule="auto"/>
        <w:jc w:val="both"/>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br w:type="page"/>
      </w:r>
    </w:p>
    <w:p w:rsidR="0004380E" w:rsidRPr="00256DC9" w:rsidRDefault="0004380E" w:rsidP="00256DC9">
      <w:pPr>
        <w:spacing w:line="360" w:lineRule="auto"/>
        <w:jc w:val="center"/>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lastRenderedPageBreak/>
        <w:t>Глава 3. Полученные результаты</w:t>
      </w:r>
    </w:p>
    <w:p w:rsidR="0004380E" w:rsidRPr="00256DC9" w:rsidRDefault="0004380E" w:rsidP="00256DC9">
      <w:pPr>
        <w:spacing w:line="360" w:lineRule="auto"/>
        <w:jc w:val="both"/>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t>3.1 Сравнительная характеристика групп</w:t>
      </w:r>
    </w:p>
    <w:p w:rsidR="0004380E" w:rsidRPr="00256DC9" w:rsidRDefault="0004380E"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Гендерные различия пациентов в зависимости от возраста представлены в </w:t>
      </w:r>
      <w:r w:rsidRPr="00256DC9">
        <w:rPr>
          <w:rFonts w:ascii="Times New Roman" w:hAnsi="Times New Roman" w:cs="Times New Roman"/>
          <w:i/>
          <w:iCs/>
          <w:sz w:val="28"/>
          <w:szCs w:val="28"/>
        </w:rPr>
        <w:t>табл.1</w:t>
      </w:r>
      <w:r w:rsidRPr="00256DC9">
        <w:rPr>
          <w:rFonts w:ascii="Times New Roman" w:hAnsi="Times New Roman" w:cs="Times New Roman"/>
          <w:sz w:val="28"/>
          <w:szCs w:val="28"/>
        </w:rPr>
        <w:t>.</w:t>
      </w:r>
    </w:p>
    <w:p w:rsidR="0004380E" w:rsidRPr="00256DC9" w:rsidRDefault="0004380E" w:rsidP="00256DC9">
      <w:pPr>
        <w:spacing w:line="360" w:lineRule="auto"/>
        <w:jc w:val="right"/>
        <w:rPr>
          <w:rFonts w:ascii="Times New Roman" w:hAnsi="Times New Roman" w:cs="Times New Roman"/>
          <w:i/>
          <w:iCs/>
          <w:sz w:val="28"/>
          <w:szCs w:val="28"/>
        </w:rPr>
      </w:pPr>
      <w:bookmarkStart w:id="12" w:name="_Hlk41271005"/>
      <w:r w:rsidRPr="00256DC9">
        <w:rPr>
          <w:rFonts w:ascii="Times New Roman" w:hAnsi="Times New Roman" w:cs="Times New Roman"/>
          <w:i/>
          <w:iCs/>
          <w:sz w:val="28"/>
          <w:szCs w:val="28"/>
        </w:rPr>
        <w:t>Таблица 1</w:t>
      </w:r>
    </w:p>
    <w:p w:rsidR="0004380E" w:rsidRPr="00256DC9" w:rsidRDefault="0004380E" w:rsidP="00256DC9">
      <w:pPr>
        <w:spacing w:line="360" w:lineRule="auto"/>
        <w:jc w:val="center"/>
        <w:rPr>
          <w:rFonts w:ascii="Times New Roman" w:hAnsi="Times New Roman" w:cs="Times New Roman"/>
          <w:sz w:val="28"/>
          <w:szCs w:val="28"/>
        </w:rPr>
      </w:pPr>
      <w:r w:rsidRPr="00256DC9">
        <w:rPr>
          <w:rFonts w:ascii="Times New Roman" w:hAnsi="Times New Roman" w:cs="Times New Roman"/>
          <w:sz w:val="28"/>
          <w:szCs w:val="28"/>
        </w:rPr>
        <w:t>Распределение пациентов разных возрастных групп по полу</w:t>
      </w:r>
    </w:p>
    <w:tbl>
      <w:tblPr>
        <w:tblStyle w:val="ad"/>
        <w:tblW w:w="9599" w:type="dxa"/>
        <w:tblLook w:val="04A0" w:firstRow="1" w:lastRow="0" w:firstColumn="1" w:lastColumn="0" w:noHBand="0" w:noVBand="1"/>
      </w:tblPr>
      <w:tblGrid>
        <w:gridCol w:w="3199"/>
        <w:gridCol w:w="3199"/>
        <w:gridCol w:w="3201"/>
      </w:tblGrid>
      <w:tr w:rsidR="0004380E" w:rsidRPr="00256DC9" w:rsidTr="00F111C5">
        <w:trPr>
          <w:trHeight w:val="592"/>
        </w:trPr>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Возраст (лет)</w:t>
            </w:r>
          </w:p>
        </w:tc>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Мужчины</w:t>
            </w:r>
          </w:p>
        </w:tc>
        <w:tc>
          <w:tcPr>
            <w:tcW w:w="320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Женщины</w:t>
            </w:r>
          </w:p>
        </w:tc>
      </w:tr>
      <w:tr w:rsidR="0004380E" w:rsidRPr="00256DC9" w:rsidTr="00F111C5">
        <w:trPr>
          <w:trHeight w:val="592"/>
        </w:trPr>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Молодой (18-44)</w:t>
            </w:r>
          </w:p>
        </w:tc>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13 (40,63%)</w:t>
            </w:r>
          </w:p>
        </w:tc>
        <w:tc>
          <w:tcPr>
            <w:tcW w:w="320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 (16,67%)</w:t>
            </w:r>
          </w:p>
        </w:tc>
      </w:tr>
      <w:tr w:rsidR="0004380E" w:rsidRPr="00256DC9" w:rsidTr="00F111C5">
        <w:trPr>
          <w:trHeight w:val="592"/>
        </w:trPr>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Средний (45-59)</w:t>
            </w:r>
          </w:p>
        </w:tc>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8 (25,00%)</w:t>
            </w:r>
          </w:p>
        </w:tc>
        <w:tc>
          <w:tcPr>
            <w:tcW w:w="320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 (16,67%)</w:t>
            </w:r>
          </w:p>
        </w:tc>
      </w:tr>
      <w:tr w:rsidR="0004380E" w:rsidRPr="00256DC9" w:rsidTr="00F111C5">
        <w:trPr>
          <w:trHeight w:val="592"/>
        </w:trPr>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Пожилой (60-74)</w:t>
            </w:r>
          </w:p>
        </w:tc>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5 (15,63%)</w:t>
            </w:r>
          </w:p>
        </w:tc>
        <w:tc>
          <w:tcPr>
            <w:tcW w:w="320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 (16,67%)</w:t>
            </w:r>
          </w:p>
        </w:tc>
      </w:tr>
      <w:tr w:rsidR="0004380E" w:rsidRPr="00256DC9" w:rsidTr="00F111C5">
        <w:trPr>
          <w:trHeight w:val="592"/>
        </w:trPr>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Старческий (75-90)</w:t>
            </w:r>
          </w:p>
        </w:tc>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6 (18,75%)</w:t>
            </w:r>
          </w:p>
        </w:tc>
        <w:tc>
          <w:tcPr>
            <w:tcW w:w="320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9 (50,00%)</w:t>
            </w:r>
          </w:p>
        </w:tc>
      </w:tr>
      <w:tr w:rsidR="0004380E" w:rsidRPr="00256DC9" w:rsidTr="00F111C5">
        <w:trPr>
          <w:trHeight w:val="592"/>
        </w:trPr>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Всего</w:t>
            </w:r>
          </w:p>
        </w:tc>
        <w:tc>
          <w:tcPr>
            <w:tcW w:w="319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32 (100,00%)</w:t>
            </w:r>
          </w:p>
        </w:tc>
        <w:tc>
          <w:tcPr>
            <w:tcW w:w="320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18 (100,00%)</w:t>
            </w:r>
          </w:p>
        </w:tc>
      </w:tr>
    </w:tbl>
    <w:p w:rsidR="0004380E" w:rsidRPr="00256DC9" w:rsidRDefault="0004380E" w:rsidP="00256DC9">
      <w:pPr>
        <w:spacing w:line="360" w:lineRule="auto"/>
        <w:ind w:firstLine="709"/>
        <w:jc w:val="both"/>
        <w:rPr>
          <w:rFonts w:ascii="Times New Roman" w:hAnsi="Times New Roman" w:cs="Times New Roman"/>
          <w:sz w:val="28"/>
          <w:szCs w:val="28"/>
        </w:rPr>
      </w:pPr>
      <w:bookmarkStart w:id="13" w:name="_Hlk41271050"/>
      <w:bookmarkEnd w:id="12"/>
    </w:p>
    <w:p w:rsidR="0004380E" w:rsidRPr="00256DC9" w:rsidRDefault="0004380E"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Доля мужчин молодого возраста в нашем исследовании составила 40,63%, среднего возраста — 25%, пожилого — 15,63%, старческого — 18,75%. У женщин распределение по возрасту оказалось следующим: по 3 человека (16,67%) молодого, среднего и пожилого возраста, и при этом половина (50%) &gt;75 лет.</w:t>
      </w:r>
    </w:p>
    <w:p w:rsidR="0004380E" w:rsidRPr="00256DC9" w:rsidRDefault="0004380E" w:rsidP="00256DC9">
      <w:pPr>
        <w:spacing w:line="360" w:lineRule="auto"/>
        <w:ind w:firstLine="709"/>
        <w:jc w:val="both"/>
        <w:rPr>
          <w:rFonts w:ascii="Times New Roman" w:hAnsi="Times New Roman" w:cs="Times New Roman"/>
          <w:sz w:val="28"/>
          <w:szCs w:val="28"/>
        </w:rPr>
      </w:pPr>
      <w:bookmarkStart w:id="14" w:name="_Hlk41271133"/>
      <w:bookmarkEnd w:id="13"/>
      <w:r w:rsidRPr="00256DC9">
        <w:rPr>
          <w:rFonts w:ascii="Times New Roman" w:hAnsi="Times New Roman" w:cs="Times New Roman"/>
          <w:sz w:val="28"/>
          <w:szCs w:val="28"/>
        </w:rPr>
        <w:t>В результате проведения методов описательной статистики выявили, что значительно чаще осложненное кровотечением течение язвенной болезни отмечается у молодых мужчин и женщин старческого возраста</w:t>
      </w:r>
      <w:bookmarkEnd w:id="14"/>
      <w:r w:rsidRPr="00256DC9">
        <w:rPr>
          <w:rFonts w:ascii="Times New Roman" w:hAnsi="Times New Roman" w:cs="Times New Roman"/>
          <w:sz w:val="28"/>
          <w:szCs w:val="28"/>
        </w:rPr>
        <w:t>.</w:t>
      </w:r>
    </w:p>
    <w:p w:rsidR="0004380E" w:rsidRPr="00256DC9" w:rsidRDefault="0004380E"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Также была исследована гендерная характеристика пациентов с различной локализацией язвы (</w:t>
      </w:r>
      <w:r w:rsidRPr="00256DC9">
        <w:rPr>
          <w:rFonts w:ascii="Times New Roman" w:hAnsi="Times New Roman" w:cs="Times New Roman"/>
          <w:i/>
          <w:iCs/>
          <w:sz w:val="28"/>
          <w:szCs w:val="28"/>
        </w:rPr>
        <w:t>таб</w:t>
      </w:r>
      <w:r w:rsidR="009E1669" w:rsidRPr="00256DC9">
        <w:rPr>
          <w:rFonts w:ascii="Times New Roman" w:hAnsi="Times New Roman" w:cs="Times New Roman"/>
          <w:i/>
          <w:iCs/>
          <w:sz w:val="28"/>
          <w:szCs w:val="28"/>
        </w:rPr>
        <w:t>лица</w:t>
      </w:r>
      <w:r w:rsidRPr="00256DC9">
        <w:rPr>
          <w:rFonts w:ascii="Times New Roman" w:hAnsi="Times New Roman" w:cs="Times New Roman"/>
          <w:i/>
          <w:iCs/>
          <w:sz w:val="28"/>
          <w:szCs w:val="28"/>
        </w:rPr>
        <w:t>. 2</w:t>
      </w:r>
      <w:r w:rsidRPr="00256DC9">
        <w:rPr>
          <w:rFonts w:ascii="Times New Roman" w:hAnsi="Times New Roman" w:cs="Times New Roman"/>
          <w:sz w:val="28"/>
          <w:szCs w:val="28"/>
        </w:rPr>
        <w:t>).</w:t>
      </w:r>
    </w:p>
    <w:p w:rsidR="0004380E" w:rsidRPr="00256DC9" w:rsidRDefault="0004380E" w:rsidP="00256DC9">
      <w:pPr>
        <w:spacing w:line="360" w:lineRule="auto"/>
        <w:ind w:left="360"/>
        <w:jc w:val="both"/>
        <w:rPr>
          <w:rFonts w:ascii="Times New Roman" w:hAnsi="Times New Roman" w:cs="Times New Roman"/>
          <w:i/>
          <w:iCs/>
          <w:sz w:val="28"/>
          <w:szCs w:val="28"/>
        </w:rPr>
      </w:pPr>
    </w:p>
    <w:p w:rsidR="0004380E" w:rsidRPr="00256DC9" w:rsidRDefault="0004380E" w:rsidP="00256DC9">
      <w:pPr>
        <w:spacing w:line="360" w:lineRule="auto"/>
        <w:ind w:left="360"/>
        <w:jc w:val="right"/>
        <w:rPr>
          <w:rFonts w:ascii="Times New Roman" w:hAnsi="Times New Roman" w:cs="Times New Roman"/>
          <w:i/>
          <w:iCs/>
          <w:sz w:val="28"/>
          <w:szCs w:val="28"/>
        </w:rPr>
      </w:pPr>
      <w:r w:rsidRPr="00256DC9">
        <w:rPr>
          <w:rFonts w:ascii="Times New Roman" w:hAnsi="Times New Roman" w:cs="Times New Roman"/>
          <w:i/>
          <w:iCs/>
          <w:sz w:val="28"/>
          <w:szCs w:val="28"/>
        </w:rPr>
        <w:lastRenderedPageBreak/>
        <w:t>Таблица 2</w:t>
      </w:r>
    </w:p>
    <w:p w:rsidR="0004380E" w:rsidRPr="00256DC9" w:rsidRDefault="0004380E" w:rsidP="00256DC9">
      <w:pPr>
        <w:spacing w:line="360" w:lineRule="auto"/>
        <w:ind w:left="360"/>
        <w:jc w:val="both"/>
        <w:rPr>
          <w:rFonts w:ascii="Times New Roman" w:hAnsi="Times New Roman" w:cs="Times New Roman"/>
          <w:sz w:val="28"/>
          <w:szCs w:val="28"/>
        </w:rPr>
      </w:pPr>
      <w:r w:rsidRPr="00256DC9">
        <w:rPr>
          <w:rFonts w:ascii="Times New Roman" w:hAnsi="Times New Roman" w:cs="Times New Roman"/>
          <w:sz w:val="28"/>
          <w:szCs w:val="28"/>
        </w:rPr>
        <w:t>Гендерная характеристика пациентов с различной локализацией язвы</w:t>
      </w:r>
    </w:p>
    <w:tbl>
      <w:tblPr>
        <w:tblStyle w:val="ad"/>
        <w:tblpPr w:leftFromText="180" w:rightFromText="180" w:vertAnchor="page" w:horzAnchor="margin" w:tblpY="2506"/>
        <w:tblW w:w="9509" w:type="dxa"/>
        <w:tblLook w:val="04A0" w:firstRow="1" w:lastRow="0" w:firstColumn="1" w:lastColumn="0" w:noHBand="0" w:noVBand="1"/>
      </w:tblPr>
      <w:tblGrid>
        <w:gridCol w:w="3169"/>
        <w:gridCol w:w="3169"/>
        <w:gridCol w:w="3171"/>
      </w:tblGrid>
      <w:tr w:rsidR="0004380E" w:rsidRPr="00256DC9" w:rsidTr="0004380E">
        <w:trPr>
          <w:trHeight w:val="562"/>
        </w:trPr>
        <w:tc>
          <w:tcPr>
            <w:tcW w:w="316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bookmarkStart w:id="15" w:name="_Hlk41271317"/>
            <w:r w:rsidRPr="00256DC9">
              <w:rPr>
                <w:rFonts w:ascii="Times New Roman" w:hAnsi="Times New Roman" w:cs="Times New Roman"/>
                <w:sz w:val="28"/>
                <w:szCs w:val="28"/>
              </w:rPr>
              <w:t>Локализация язвы</w:t>
            </w:r>
          </w:p>
        </w:tc>
        <w:tc>
          <w:tcPr>
            <w:tcW w:w="316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Мужчины</w:t>
            </w:r>
          </w:p>
        </w:tc>
        <w:tc>
          <w:tcPr>
            <w:tcW w:w="317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Женщины</w:t>
            </w:r>
          </w:p>
        </w:tc>
      </w:tr>
      <w:tr w:rsidR="0004380E" w:rsidRPr="00256DC9" w:rsidTr="0004380E">
        <w:trPr>
          <w:trHeight w:val="562"/>
        </w:trPr>
        <w:tc>
          <w:tcPr>
            <w:tcW w:w="316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ДПК</w:t>
            </w:r>
          </w:p>
        </w:tc>
        <w:tc>
          <w:tcPr>
            <w:tcW w:w="316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18 (90,0%)</w:t>
            </w:r>
          </w:p>
        </w:tc>
        <w:tc>
          <w:tcPr>
            <w:tcW w:w="317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2 (10,0%)</w:t>
            </w:r>
          </w:p>
        </w:tc>
      </w:tr>
      <w:tr w:rsidR="0004380E" w:rsidRPr="00256DC9" w:rsidTr="0004380E">
        <w:trPr>
          <w:trHeight w:val="562"/>
        </w:trPr>
        <w:tc>
          <w:tcPr>
            <w:tcW w:w="316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Желудок</w:t>
            </w:r>
          </w:p>
        </w:tc>
        <w:tc>
          <w:tcPr>
            <w:tcW w:w="3169"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14 (46,7%)</w:t>
            </w:r>
          </w:p>
        </w:tc>
        <w:tc>
          <w:tcPr>
            <w:tcW w:w="3171" w:type="dxa"/>
            <w:shd w:val="clear" w:color="auto" w:fill="auto"/>
          </w:tcPr>
          <w:p w:rsidR="0004380E" w:rsidRPr="00256DC9" w:rsidRDefault="0004380E"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16 (53,3%)</w:t>
            </w:r>
          </w:p>
        </w:tc>
      </w:tr>
    </w:tbl>
    <w:p w:rsidR="0004380E" w:rsidRPr="00256DC9" w:rsidRDefault="0004380E" w:rsidP="00256DC9">
      <w:pPr>
        <w:spacing w:line="360" w:lineRule="auto"/>
        <w:jc w:val="both"/>
        <w:rPr>
          <w:rFonts w:ascii="Times New Roman" w:hAnsi="Times New Roman" w:cs="Times New Roman"/>
          <w:sz w:val="28"/>
          <w:szCs w:val="28"/>
        </w:rPr>
      </w:pPr>
    </w:p>
    <w:bookmarkEnd w:id="15"/>
    <w:p w:rsidR="0004380E" w:rsidRPr="00256DC9" w:rsidRDefault="0004380E"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Среди всех историй болезни пациентов с локализацией язвы в ДПК оказалось 20 человек, среди них 18 мужчин (90,0%) и 2 женщины (10,0%). Мужчин с локализацией язвы в желудке было 14 человек, что составило 46,7%, в то время как доля женщин с этой локализацией составила 53,3% (16 человек).</w:t>
      </w:r>
    </w:p>
    <w:p w:rsidR="00746966" w:rsidRPr="00256DC9" w:rsidRDefault="00746966"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В обоих группах пациентов с локализацией язвы в ДПК и желудке были выявлены как хроническая, так и острая форма болезни (</w:t>
      </w:r>
      <w:r w:rsidRPr="00256DC9">
        <w:rPr>
          <w:rFonts w:ascii="Times New Roman" w:hAnsi="Times New Roman" w:cs="Times New Roman"/>
          <w:i/>
          <w:iCs/>
          <w:sz w:val="28"/>
          <w:szCs w:val="28"/>
        </w:rPr>
        <w:t>таблица 3</w:t>
      </w:r>
      <w:r w:rsidRPr="00256DC9">
        <w:rPr>
          <w:rFonts w:ascii="Times New Roman" w:hAnsi="Times New Roman" w:cs="Times New Roman"/>
          <w:sz w:val="28"/>
          <w:szCs w:val="28"/>
        </w:rPr>
        <w:t>).</w:t>
      </w:r>
    </w:p>
    <w:p w:rsidR="00746966" w:rsidRPr="00256DC9" w:rsidRDefault="00746966" w:rsidP="00256DC9">
      <w:pPr>
        <w:spacing w:line="360" w:lineRule="auto"/>
        <w:jc w:val="right"/>
        <w:rPr>
          <w:rFonts w:ascii="Times New Roman" w:hAnsi="Times New Roman" w:cs="Times New Roman"/>
          <w:i/>
          <w:iCs/>
          <w:sz w:val="28"/>
          <w:szCs w:val="28"/>
        </w:rPr>
      </w:pPr>
      <w:r w:rsidRPr="00256DC9">
        <w:rPr>
          <w:rFonts w:ascii="Times New Roman" w:hAnsi="Times New Roman" w:cs="Times New Roman"/>
          <w:i/>
          <w:iCs/>
          <w:sz w:val="28"/>
          <w:szCs w:val="28"/>
        </w:rPr>
        <w:t>Таблица 3</w:t>
      </w:r>
    </w:p>
    <w:p w:rsidR="00746966" w:rsidRPr="00256DC9" w:rsidRDefault="00746966" w:rsidP="00256DC9">
      <w:pPr>
        <w:spacing w:line="360" w:lineRule="auto"/>
        <w:jc w:val="center"/>
        <w:rPr>
          <w:rFonts w:ascii="Times New Roman" w:hAnsi="Times New Roman" w:cs="Times New Roman"/>
          <w:sz w:val="28"/>
          <w:szCs w:val="28"/>
        </w:rPr>
      </w:pPr>
      <w:r w:rsidRPr="00256DC9">
        <w:rPr>
          <w:rFonts w:ascii="Times New Roman" w:hAnsi="Times New Roman" w:cs="Times New Roman"/>
          <w:sz w:val="28"/>
          <w:szCs w:val="28"/>
        </w:rPr>
        <w:t>Распределение формы язвы по локализации язвы</w:t>
      </w:r>
    </w:p>
    <w:tbl>
      <w:tblPr>
        <w:tblStyle w:val="ad"/>
        <w:tblW w:w="0" w:type="auto"/>
        <w:tblLook w:val="04A0" w:firstRow="1" w:lastRow="0" w:firstColumn="1" w:lastColumn="0" w:noHBand="0" w:noVBand="1"/>
      </w:tblPr>
      <w:tblGrid>
        <w:gridCol w:w="3115"/>
        <w:gridCol w:w="3115"/>
        <w:gridCol w:w="3115"/>
      </w:tblGrid>
      <w:tr w:rsidR="00746966" w:rsidRPr="00256DC9" w:rsidTr="00F111C5">
        <w:trPr>
          <w:trHeight w:val="561"/>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Форма язвы</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ДПК</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Желудок</w:t>
            </w:r>
          </w:p>
        </w:tc>
      </w:tr>
      <w:tr w:rsidR="00746966" w:rsidRPr="00256DC9" w:rsidTr="00F111C5">
        <w:trPr>
          <w:trHeight w:val="561"/>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Острая</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4 (20,0%)</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7 (23,3%)</w:t>
            </w:r>
          </w:p>
        </w:tc>
      </w:tr>
      <w:tr w:rsidR="00746966" w:rsidRPr="00256DC9" w:rsidTr="00F111C5">
        <w:trPr>
          <w:trHeight w:val="561"/>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Хроническая</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16 (80,0%)</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23 (76,7%)</w:t>
            </w:r>
          </w:p>
        </w:tc>
      </w:tr>
      <w:tr w:rsidR="00746966" w:rsidRPr="00256DC9" w:rsidTr="00F111C5">
        <w:trPr>
          <w:trHeight w:val="561"/>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Всего</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20 (100,0%)</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30 (100,0%)</w:t>
            </w:r>
          </w:p>
        </w:tc>
      </w:tr>
    </w:tbl>
    <w:p w:rsidR="00746966" w:rsidRPr="00256DC9" w:rsidRDefault="00746966" w:rsidP="00256DC9">
      <w:pPr>
        <w:spacing w:line="360" w:lineRule="auto"/>
        <w:jc w:val="both"/>
        <w:rPr>
          <w:rFonts w:ascii="Times New Roman" w:hAnsi="Times New Roman" w:cs="Times New Roman"/>
          <w:sz w:val="28"/>
          <w:szCs w:val="28"/>
        </w:rPr>
      </w:pPr>
    </w:p>
    <w:p w:rsidR="00746966" w:rsidRPr="00256DC9" w:rsidRDefault="00746966" w:rsidP="00256DC9">
      <w:pPr>
        <w:spacing w:line="360" w:lineRule="auto"/>
        <w:ind w:firstLine="426"/>
        <w:jc w:val="both"/>
        <w:rPr>
          <w:rFonts w:ascii="Times New Roman" w:hAnsi="Times New Roman" w:cs="Times New Roman"/>
          <w:sz w:val="28"/>
          <w:szCs w:val="28"/>
        </w:rPr>
      </w:pPr>
      <w:r w:rsidRPr="00256DC9">
        <w:rPr>
          <w:rFonts w:ascii="Times New Roman" w:hAnsi="Times New Roman" w:cs="Times New Roman"/>
          <w:sz w:val="28"/>
          <w:szCs w:val="28"/>
        </w:rPr>
        <w:t>Доля кровотечений из острых язв ДПК составила 20% с преобладанием хронических язв ДПК – 80%. Аналогичная ситуация сложилась и с желудочной локализацией: 76,7% хронических и 23,3% острых.</w:t>
      </w:r>
    </w:p>
    <w:p w:rsidR="00746966" w:rsidRPr="00256DC9" w:rsidRDefault="00746966"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lastRenderedPageBreak/>
        <w:t>Также было рассмотрен характер распределения формы язвы по полу (</w:t>
      </w:r>
      <w:r w:rsidRPr="00256DC9">
        <w:rPr>
          <w:rFonts w:ascii="Times New Roman" w:hAnsi="Times New Roman" w:cs="Times New Roman"/>
          <w:i/>
          <w:iCs/>
          <w:sz w:val="28"/>
          <w:szCs w:val="28"/>
        </w:rPr>
        <w:t>таблица 4)</w:t>
      </w:r>
      <w:r w:rsidRPr="00256DC9">
        <w:rPr>
          <w:rFonts w:ascii="Times New Roman" w:hAnsi="Times New Roman" w:cs="Times New Roman"/>
          <w:sz w:val="28"/>
          <w:szCs w:val="28"/>
        </w:rPr>
        <w:t>.</w:t>
      </w:r>
    </w:p>
    <w:p w:rsidR="00746966" w:rsidRPr="00256DC9" w:rsidRDefault="00746966" w:rsidP="00256DC9">
      <w:pPr>
        <w:spacing w:line="360" w:lineRule="auto"/>
        <w:jc w:val="right"/>
        <w:rPr>
          <w:rFonts w:ascii="Times New Roman" w:hAnsi="Times New Roman" w:cs="Times New Roman"/>
          <w:i/>
          <w:iCs/>
          <w:sz w:val="28"/>
          <w:szCs w:val="28"/>
        </w:rPr>
      </w:pPr>
      <w:r w:rsidRPr="00256DC9">
        <w:rPr>
          <w:rFonts w:ascii="Times New Roman" w:hAnsi="Times New Roman" w:cs="Times New Roman"/>
          <w:i/>
          <w:iCs/>
          <w:sz w:val="28"/>
          <w:szCs w:val="28"/>
        </w:rPr>
        <w:t>Таблица 4</w:t>
      </w:r>
    </w:p>
    <w:p w:rsidR="00746966" w:rsidRPr="00256DC9" w:rsidRDefault="00746966" w:rsidP="00256DC9">
      <w:pPr>
        <w:spacing w:line="360" w:lineRule="auto"/>
        <w:jc w:val="center"/>
        <w:rPr>
          <w:rFonts w:ascii="Times New Roman" w:hAnsi="Times New Roman" w:cs="Times New Roman"/>
          <w:sz w:val="28"/>
          <w:szCs w:val="28"/>
        </w:rPr>
      </w:pPr>
      <w:r w:rsidRPr="00256DC9">
        <w:rPr>
          <w:rFonts w:ascii="Times New Roman" w:hAnsi="Times New Roman" w:cs="Times New Roman"/>
          <w:sz w:val="28"/>
          <w:szCs w:val="28"/>
        </w:rPr>
        <w:t>Распределение формы язвы по полу</w:t>
      </w:r>
    </w:p>
    <w:tbl>
      <w:tblPr>
        <w:tblStyle w:val="ad"/>
        <w:tblW w:w="9345" w:type="dxa"/>
        <w:jc w:val="center"/>
        <w:tblLook w:val="04A0" w:firstRow="1" w:lastRow="0" w:firstColumn="1" w:lastColumn="0" w:noHBand="0" w:noVBand="1"/>
      </w:tblPr>
      <w:tblGrid>
        <w:gridCol w:w="3115"/>
        <w:gridCol w:w="3115"/>
        <w:gridCol w:w="3115"/>
      </w:tblGrid>
      <w:tr w:rsidR="00746966" w:rsidRPr="00256DC9" w:rsidTr="00746966">
        <w:trPr>
          <w:jc w:val="center"/>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Форма язвы</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Мужчины</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Женщины</w:t>
            </w:r>
          </w:p>
        </w:tc>
      </w:tr>
      <w:tr w:rsidR="00746966" w:rsidRPr="00256DC9" w:rsidTr="00746966">
        <w:trPr>
          <w:jc w:val="center"/>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Острая</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7 (21,9%)</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4 (22,2%)</w:t>
            </w:r>
          </w:p>
        </w:tc>
      </w:tr>
      <w:tr w:rsidR="00746966" w:rsidRPr="00256DC9" w:rsidTr="00746966">
        <w:trPr>
          <w:jc w:val="center"/>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Хроническая</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25 (78,1%)</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14 (77,8%)</w:t>
            </w:r>
          </w:p>
        </w:tc>
      </w:tr>
      <w:tr w:rsidR="00746966" w:rsidRPr="00256DC9" w:rsidTr="00746966">
        <w:trPr>
          <w:jc w:val="center"/>
        </w:trPr>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Всего</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32 (100,0%)</w:t>
            </w:r>
          </w:p>
        </w:tc>
        <w:tc>
          <w:tcPr>
            <w:tcW w:w="3115" w:type="dxa"/>
          </w:tcPr>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18 (100,0%)</w:t>
            </w:r>
          </w:p>
        </w:tc>
      </w:tr>
    </w:tbl>
    <w:p w:rsidR="00746966" w:rsidRPr="00256DC9" w:rsidRDefault="00746966" w:rsidP="00256DC9">
      <w:pPr>
        <w:spacing w:line="360" w:lineRule="auto"/>
        <w:jc w:val="both"/>
        <w:rPr>
          <w:rFonts w:ascii="Times New Roman" w:hAnsi="Times New Roman" w:cs="Times New Roman"/>
          <w:sz w:val="28"/>
          <w:szCs w:val="28"/>
        </w:rPr>
      </w:pPr>
    </w:p>
    <w:p w:rsidR="00746966" w:rsidRPr="00256DC9" w:rsidRDefault="00746966"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Существенных различий по гендерному признаку при исследовании распространенности кровотечений из острых и хронических язв выявлено не было. Доля острых язв у мужчин и женщин была примерно одинакова и составила около 22%, хронических – около 78%.</w:t>
      </w:r>
    </w:p>
    <w:p w:rsidR="00845F41" w:rsidRPr="00256DC9" w:rsidRDefault="00845F41"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Распределение пациентов с разной группой крови по локализации язвы представлено в </w:t>
      </w:r>
      <w:r w:rsidRPr="00256DC9">
        <w:rPr>
          <w:rFonts w:ascii="Times New Roman" w:hAnsi="Times New Roman" w:cs="Times New Roman"/>
          <w:i/>
          <w:sz w:val="28"/>
          <w:szCs w:val="28"/>
        </w:rPr>
        <w:t>таблице 5</w:t>
      </w:r>
      <w:r w:rsidRPr="00256DC9">
        <w:rPr>
          <w:rFonts w:ascii="Times New Roman" w:hAnsi="Times New Roman" w:cs="Times New Roman"/>
          <w:sz w:val="28"/>
          <w:szCs w:val="28"/>
        </w:rPr>
        <w:t>.</w:t>
      </w:r>
    </w:p>
    <w:p w:rsidR="00845F41" w:rsidRPr="00256DC9" w:rsidRDefault="00845F41" w:rsidP="00256DC9">
      <w:pPr>
        <w:spacing w:after="0" w:line="360" w:lineRule="auto"/>
        <w:rPr>
          <w:rFonts w:ascii="Times New Roman" w:hAnsi="Times New Roman" w:cs="Times New Roman"/>
          <w:i/>
          <w:iCs/>
          <w:sz w:val="28"/>
          <w:szCs w:val="28"/>
        </w:rPr>
      </w:pPr>
      <w:r w:rsidRPr="00256DC9">
        <w:rPr>
          <w:rFonts w:ascii="Times New Roman" w:hAnsi="Times New Roman" w:cs="Times New Roman"/>
          <w:i/>
          <w:iCs/>
          <w:sz w:val="28"/>
          <w:szCs w:val="28"/>
        </w:rPr>
        <w:br w:type="page"/>
      </w:r>
    </w:p>
    <w:p w:rsidR="0095047A" w:rsidRPr="00256DC9" w:rsidRDefault="0095047A" w:rsidP="00256DC9">
      <w:pPr>
        <w:spacing w:line="360" w:lineRule="auto"/>
        <w:ind w:firstLine="709"/>
        <w:jc w:val="right"/>
        <w:rPr>
          <w:rFonts w:ascii="Times New Roman" w:hAnsi="Times New Roman" w:cs="Times New Roman"/>
          <w:i/>
          <w:iCs/>
          <w:sz w:val="28"/>
          <w:szCs w:val="28"/>
        </w:rPr>
      </w:pPr>
      <w:r w:rsidRPr="00256DC9">
        <w:rPr>
          <w:rFonts w:ascii="Times New Roman" w:hAnsi="Times New Roman" w:cs="Times New Roman"/>
          <w:i/>
          <w:iCs/>
          <w:sz w:val="28"/>
          <w:szCs w:val="28"/>
        </w:rPr>
        <w:lastRenderedPageBreak/>
        <w:t>Таблица 5</w:t>
      </w:r>
    </w:p>
    <w:p w:rsidR="0095047A" w:rsidRPr="00256DC9" w:rsidRDefault="0095047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Распределение пациентов с разной группой крови по локализации язвы</w:t>
      </w:r>
    </w:p>
    <w:tbl>
      <w:tblPr>
        <w:tblStyle w:val="ad"/>
        <w:tblW w:w="0" w:type="auto"/>
        <w:tblLook w:val="04A0" w:firstRow="1" w:lastRow="0" w:firstColumn="1" w:lastColumn="0" w:noHBand="0" w:noVBand="1"/>
      </w:tblPr>
      <w:tblGrid>
        <w:gridCol w:w="3115"/>
        <w:gridCol w:w="3115"/>
        <w:gridCol w:w="3115"/>
      </w:tblGrid>
      <w:tr w:rsidR="0095047A" w:rsidRPr="00256DC9" w:rsidTr="0095047A">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Группа крови</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ДПК</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Желудок</w:t>
            </w:r>
          </w:p>
        </w:tc>
      </w:tr>
      <w:tr w:rsidR="0095047A" w:rsidRPr="00256DC9" w:rsidTr="0095047A">
        <w:tc>
          <w:tcPr>
            <w:tcW w:w="3115" w:type="dxa"/>
          </w:tcPr>
          <w:p w:rsidR="0095047A" w:rsidRPr="00256DC9" w:rsidRDefault="0095047A" w:rsidP="00256DC9">
            <w:pPr>
              <w:spacing w:line="360" w:lineRule="auto"/>
              <w:jc w:val="both"/>
              <w:rPr>
                <w:rFonts w:ascii="Times New Roman" w:hAnsi="Times New Roman" w:cs="Times New Roman"/>
                <w:sz w:val="28"/>
                <w:szCs w:val="28"/>
                <w:lang w:val="en-US"/>
              </w:rPr>
            </w:pPr>
            <w:r w:rsidRPr="00256DC9">
              <w:rPr>
                <w:rFonts w:ascii="Times New Roman" w:hAnsi="Times New Roman" w:cs="Times New Roman"/>
                <w:sz w:val="28"/>
                <w:szCs w:val="28"/>
              </w:rPr>
              <w:t>0 (</w:t>
            </w:r>
            <w:r w:rsidRPr="00256DC9">
              <w:rPr>
                <w:rFonts w:ascii="Times New Roman" w:hAnsi="Times New Roman" w:cs="Times New Roman"/>
                <w:sz w:val="28"/>
                <w:szCs w:val="28"/>
                <w:lang w:val="en-US"/>
              </w:rPr>
              <w:t>I)</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5</w:t>
            </w:r>
            <w:r w:rsidR="00301715" w:rsidRPr="00256DC9">
              <w:rPr>
                <w:rFonts w:ascii="Times New Roman" w:hAnsi="Times New Roman" w:cs="Times New Roman"/>
                <w:sz w:val="28"/>
                <w:szCs w:val="28"/>
              </w:rPr>
              <w:t xml:space="preserve"> (25,0%)</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13</w:t>
            </w:r>
            <w:r w:rsidR="00301715" w:rsidRPr="00256DC9">
              <w:rPr>
                <w:rFonts w:ascii="Times New Roman" w:hAnsi="Times New Roman" w:cs="Times New Roman"/>
                <w:sz w:val="28"/>
                <w:szCs w:val="28"/>
              </w:rPr>
              <w:t xml:space="preserve"> (43,3%)</w:t>
            </w:r>
          </w:p>
        </w:tc>
      </w:tr>
      <w:tr w:rsidR="0095047A" w:rsidRPr="00256DC9" w:rsidTr="0095047A">
        <w:tc>
          <w:tcPr>
            <w:tcW w:w="3115" w:type="dxa"/>
          </w:tcPr>
          <w:p w:rsidR="0095047A" w:rsidRPr="00256DC9" w:rsidRDefault="0095047A" w:rsidP="00256DC9">
            <w:pPr>
              <w:spacing w:line="360" w:lineRule="auto"/>
              <w:jc w:val="both"/>
              <w:rPr>
                <w:rFonts w:ascii="Times New Roman" w:hAnsi="Times New Roman" w:cs="Times New Roman"/>
                <w:sz w:val="28"/>
                <w:szCs w:val="28"/>
                <w:lang w:val="en-US"/>
              </w:rPr>
            </w:pPr>
            <w:r w:rsidRPr="00256DC9">
              <w:rPr>
                <w:rFonts w:ascii="Times New Roman" w:hAnsi="Times New Roman" w:cs="Times New Roman"/>
                <w:sz w:val="28"/>
                <w:szCs w:val="28"/>
                <w:lang w:val="en-US"/>
              </w:rPr>
              <w:t>A (II)</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10</w:t>
            </w:r>
            <w:r w:rsidR="00301715" w:rsidRPr="00256DC9">
              <w:rPr>
                <w:rFonts w:ascii="Times New Roman" w:hAnsi="Times New Roman" w:cs="Times New Roman"/>
                <w:sz w:val="28"/>
                <w:szCs w:val="28"/>
              </w:rPr>
              <w:t xml:space="preserve"> (50,0%)</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8</w:t>
            </w:r>
            <w:r w:rsidR="00301715" w:rsidRPr="00256DC9">
              <w:rPr>
                <w:rFonts w:ascii="Times New Roman" w:hAnsi="Times New Roman" w:cs="Times New Roman"/>
                <w:sz w:val="28"/>
                <w:szCs w:val="28"/>
              </w:rPr>
              <w:t xml:space="preserve"> (26,7%)</w:t>
            </w:r>
          </w:p>
        </w:tc>
      </w:tr>
      <w:tr w:rsidR="0095047A" w:rsidRPr="00256DC9" w:rsidTr="0095047A">
        <w:tc>
          <w:tcPr>
            <w:tcW w:w="3115" w:type="dxa"/>
          </w:tcPr>
          <w:p w:rsidR="0095047A" w:rsidRPr="00256DC9" w:rsidRDefault="0095047A" w:rsidP="00256DC9">
            <w:pPr>
              <w:spacing w:line="360" w:lineRule="auto"/>
              <w:jc w:val="both"/>
              <w:rPr>
                <w:rFonts w:ascii="Times New Roman" w:hAnsi="Times New Roman" w:cs="Times New Roman"/>
                <w:sz w:val="28"/>
                <w:szCs w:val="28"/>
                <w:lang w:val="en-US"/>
              </w:rPr>
            </w:pPr>
            <w:r w:rsidRPr="00256DC9">
              <w:rPr>
                <w:rFonts w:ascii="Times New Roman" w:hAnsi="Times New Roman" w:cs="Times New Roman"/>
                <w:sz w:val="28"/>
                <w:szCs w:val="28"/>
                <w:lang w:val="en-US"/>
              </w:rPr>
              <w:t>B (III)</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4</w:t>
            </w:r>
            <w:r w:rsidR="00301715" w:rsidRPr="00256DC9">
              <w:rPr>
                <w:rFonts w:ascii="Times New Roman" w:hAnsi="Times New Roman" w:cs="Times New Roman"/>
                <w:sz w:val="28"/>
                <w:szCs w:val="28"/>
              </w:rPr>
              <w:t xml:space="preserve"> (20,0%)</w:t>
            </w:r>
          </w:p>
        </w:tc>
        <w:tc>
          <w:tcPr>
            <w:tcW w:w="3115" w:type="dxa"/>
          </w:tcPr>
          <w:p w:rsidR="0095047A" w:rsidRPr="00256DC9" w:rsidRDefault="00301715" w:rsidP="00256DC9">
            <w:pPr>
              <w:spacing w:line="360" w:lineRule="auto"/>
              <w:jc w:val="both"/>
              <w:rPr>
                <w:rFonts w:ascii="Times New Roman" w:hAnsi="Times New Roman" w:cs="Times New Roman"/>
                <w:sz w:val="28"/>
                <w:szCs w:val="28"/>
                <w:lang w:val="en-US"/>
              </w:rPr>
            </w:pPr>
            <w:r w:rsidRPr="00256DC9">
              <w:rPr>
                <w:rFonts w:ascii="Times New Roman" w:hAnsi="Times New Roman" w:cs="Times New Roman"/>
                <w:sz w:val="28"/>
                <w:szCs w:val="28"/>
                <w:lang w:val="en-US"/>
              </w:rPr>
              <w:t>8</w:t>
            </w:r>
            <w:r w:rsidRPr="00256DC9">
              <w:rPr>
                <w:rFonts w:ascii="Times New Roman" w:hAnsi="Times New Roman" w:cs="Times New Roman"/>
                <w:sz w:val="28"/>
                <w:szCs w:val="28"/>
              </w:rPr>
              <w:t xml:space="preserve"> (26,7%)</w:t>
            </w:r>
          </w:p>
        </w:tc>
      </w:tr>
      <w:tr w:rsidR="0095047A" w:rsidRPr="00256DC9" w:rsidTr="0095047A">
        <w:tc>
          <w:tcPr>
            <w:tcW w:w="3115" w:type="dxa"/>
          </w:tcPr>
          <w:p w:rsidR="0095047A" w:rsidRPr="00256DC9" w:rsidRDefault="0095047A" w:rsidP="00256DC9">
            <w:pPr>
              <w:spacing w:line="360" w:lineRule="auto"/>
              <w:jc w:val="both"/>
              <w:rPr>
                <w:rFonts w:ascii="Times New Roman" w:hAnsi="Times New Roman" w:cs="Times New Roman"/>
                <w:sz w:val="28"/>
                <w:szCs w:val="28"/>
                <w:lang w:val="en-US"/>
              </w:rPr>
            </w:pPr>
            <w:r w:rsidRPr="00256DC9">
              <w:rPr>
                <w:rFonts w:ascii="Times New Roman" w:hAnsi="Times New Roman" w:cs="Times New Roman"/>
                <w:sz w:val="28"/>
                <w:szCs w:val="28"/>
                <w:lang w:val="en-US"/>
              </w:rPr>
              <w:t>AB (IV)</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1</w:t>
            </w:r>
            <w:r w:rsidR="00301715" w:rsidRPr="00256DC9">
              <w:rPr>
                <w:rFonts w:ascii="Times New Roman" w:hAnsi="Times New Roman" w:cs="Times New Roman"/>
                <w:sz w:val="28"/>
                <w:szCs w:val="28"/>
              </w:rPr>
              <w:t xml:space="preserve"> (5,0%)</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lang w:val="en-US"/>
              </w:rPr>
              <w:t>1</w:t>
            </w:r>
            <w:r w:rsidR="00301715" w:rsidRPr="00256DC9">
              <w:rPr>
                <w:rFonts w:ascii="Times New Roman" w:hAnsi="Times New Roman" w:cs="Times New Roman"/>
                <w:sz w:val="28"/>
                <w:szCs w:val="28"/>
              </w:rPr>
              <w:t xml:space="preserve"> (3,3%)</w:t>
            </w:r>
          </w:p>
        </w:tc>
      </w:tr>
      <w:tr w:rsidR="0095047A" w:rsidRPr="00256DC9" w:rsidTr="0095047A">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Всего</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20 (100,0%)</w:t>
            </w:r>
          </w:p>
        </w:tc>
        <w:tc>
          <w:tcPr>
            <w:tcW w:w="3115" w:type="dxa"/>
          </w:tcPr>
          <w:p w:rsidR="0095047A" w:rsidRPr="00256DC9" w:rsidRDefault="0095047A"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t>30 (100,</w:t>
            </w:r>
            <w:r w:rsidR="00301715" w:rsidRPr="00256DC9">
              <w:rPr>
                <w:rFonts w:ascii="Times New Roman" w:hAnsi="Times New Roman" w:cs="Times New Roman"/>
                <w:sz w:val="28"/>
                <w:szCs w:val="28"/>
              </w:rPr>
              <w:t>0</w:t>
            </w:r>
            <w:r w:rsidRPr="00256DC9">
              <w:rPr>
                <w:rFonts w:ascii="Times New Roman" w:hAnsi="Times New Roman" w:cs="Times New Roman"/>
                <w:sz w:val="28"/>
                <w:szCs w:val="28"/>
              </w:rPr>
              <w:t>%)</w:t>
            </w:r>
          </w:p>
        </w:tc>
      </w:tr>
    </w:tbl>
    <w:p w:rsidR="00845F41" w:rsidRPr="00256DC9" w:rsidRDefault="00845F41" w:rsidP="00256DC9">
      <w:pPr>
        <w:spacing w:line="360" w:lineRule="auto"/>
        <w:ind w:firstLine="709"/>
        <w:jc w:val="both"/>
        <w:rPr>
          <w:rFonts w:ascii="Times New Roman" w:hAnsi="Times New Roman" w:cs="Times New Roman"/>
          <w:sz w:val="28"/>
          <w:szCs w:val="28"/>
        </w:rPr>
      </w:pPr>
    </w:p>
    <w:p w:rsidR="0095047A" w:rsidRPr="00256DC9" w:rsidRDefault="00301715"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Среди пациентов с кровотечением из язвы ДПК у половины определялась </w:t>
      </w:r>
      <w:r w:rsidRPr="00256DC9">
        <w:rPr>
          <w:rFonts w:ascii="Times New Roman" w:hAnsi="Times New Roman" w:cs="Times New Roman"/>
          <w:sz w:val="28"/>
          <w:szCs w:val="28"/>
          <w:lang w:val="en-US"/>
        </w:rPr>
        <w:t>A</w:t>
      </w:r>
      <w:r w:rsidRPr="00256DC9">
        <w:rPr>
          <w:rFonts w:ascii="Times New Roman" w:hAnsi="Times New Roman" w:cs="Times New Roman"/>
          <w:sz w:val="28"/>
          <w:szCs w:val="28"/>
        </w:rPr>
        <w:t xml:space="preserve"> (</w:t>
      </w:r>
      <w:r w:rsidRPr="00256DC9">
        <w:rPr>
          <w:rFonts w:ascii="Times New Roman" w:hAnsi="Times New Roman" w:cs="Times New Roman"/>
          <w:sz w:val="28"/>
          <w:szCs w:val="28"/>
          <w:lang w:val="en-US"/>
        </w:rPr>
        <w:t>II</w:t>
      </w:r>
      <w:r w:rsidRPr="00256DC9">
        <w:rPr>
          <w:rFonts w:ascii="Times New Roman" w:hAnsi="Times New Roman" w:cs="Times New Roman"/>
          <w:sz w:val="28"/>
          <w:szCs w:val="28"/>
        </w:rPr>
        <w:t>) группа крови. 0 (</w:t>
      </w:r>
      <w:r w:rsidRPr="00256DC9">
        <w:rPr>
          <w:rFonts w:ascii="Times New Roman" w:hAnsi="Times New Roman" w:cs="Times New Roman"/>
          <w:sz w:val="28"/>
          <w:szCs w:val="28"/>
          <w:lang w:val="en-US"/>
        </w:rPr>
        <w:t>I</w:t>
      </w:r>
      <w:r w:rsidRPr="00256DC9">
        <w:rPr>
          <w:rFonts w:ascii="Times New Roman" w:hAnsi="Times New Roman" w:cs="Times New Roman"/>
          <w:sz w:val="28"/>
          <w:szCs w:val="28"/>
        </w:rPr>
        <w:t xml:space="preserve">) группа определялась у четверти больных. Лишь у одного пациента (5%) была </w:t>
      </w:r>
      <w:r w:rsidRPr="00256DC9">
        <w:rPr>
          <w:rFonts w:ascii="Times New Roman" w:hAnsi="Times New Roman" w:cs="Times New Roman"/>
          <w:sz w:val="28"/>
          <w:szCs w:val="28"/>
          <w:lang w:val="en-US"/>
        </w:rPr>
        <w:t>AB</w:t>
      </w:r>
      <w:r w:rsidRPr="00256DC9">
        <w:rPr>
          <w:rFonts w:ascii="Times New Roman" w:hAnsi="Times New Roman" w:cs="Times New Roman"/>
          <w:sz w:val="28"/>
          <w:szCs w:val="28"/>
        </w:rPr>
        <w:t xml:space="preserve"> (</w:t>
      </w:r>
      <w:r w:rsidRPr="00256DC9">
        <w:rPr>
          <w:rFonts w:ascii="Times New Roman" w:hAnsi="Times New Roman" w:cs="Times New Roman"/>
          <w:sz w:val="28"/>
          <w:szCs w:val="28"/>
          <w:lang w:val="en-US"/>
        </w:rPr>
        <w:t>IV</w:t>
      </w:r>
      <w:r w:rsidRPr="00256DC9">
        <w:rPr>
          <w:rFonts w:ascii="Times New Roman" w:hAnsi="Times New Roman" w:cs="Times New Roman"/>
          <w:sz w:val="28"/>
          <w:szCs w:val="28"/>
        </w:rPr>
        <w:t>) группа крови.</w:t>
      </w:r>
    </w:p>
    <w:p w:rsidR="00301715" w:rsidRPr="00256DC9" w:rsidRDefault="00301715"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При этом у больных с кровотечением из язвы желудка чаще встречалась 0 (</w:t>
      </w:r>
      <w:r w:rsidRPr="00256DC9">
        <w:rPr>
          <w:rFonts w:ascii="Times New Roman" w:hAnsi="Times New Roman" w:cs="Times New Roman"/>
          <w:sz w:val="28"/>
          <w:szCs w:val="28"/>
          <w:lang w:val="en-US"/>
        </w:rPr>
        <w:t>I</w:t>
      </w:r>
      <w:r w:rsidRPr="00256DC9">
        <w:rPr>
          <w:rFonts w:ascii="Times New Roman" w:hAnsi="Times New Roman" w:cs="Times New Roman"/>
          <w:sz w:val="28"/>
          <w:szCs w:val="28"/>
        </w:rPr>
        <w:t>) группа крови (43,33%). Реже встречалась А (</w:t>
      </w:r>
      <w:r w:rsidRPr="00256DC9">
        <w:rPr>
          <w:rFonts w:ascii="Times New Roman" w:hAnsi="Times New Roman" w:cs="Times New Roman"/>
          <w:sz w:val="28"/>
          <w:szCs w:val="28"/>
          <w:lang w:val="en-US"/>
        </w:rPr>
        <w:t>II</w:t>
      </w:r>
      <w:r w:rsidRPr="00256DC9">
        <w:rPr>
          <w:rFonts w:ascii="Times New Roman" w:hAnsi="Times New Roman" w:cs="Times New Roman"/>
          <w:sz w:val="28"/>
          <w:szCs w:val="28"/>
        </w:rPr>
        <w:t xml:space="preserve">) и </w:t>
      </w:r>
      <w:r w:rsidRPr="00256DC9">
        <w:rPr>
          <w:rFonts w:ascii="Times New Roman" w:hAnsi="Times New Roman" w:cs="Times New Roman"/>
          <w:sz w:val="28"/>
          <w:szCs w:val="28"/>
          <w:lang w:val="en-US"/>
        </w:rPr>
        <w:t>B</w:t>
      </w:r>
      <w:r w:rsidRPr="00256DC9">
        <w:rPr>
          <w:rFonts w:ascii="Times New Roman" w:hAnsi="Times New Roman" w:cs="Times New Roman"/>
          <w:sz w:val="28"/>
          <w:szCs w:val="28"/>
        </w:rPr>
        <w:t xml:space="preserve"> (</w:t>
      </w:r>
      <w:r w:rsidRPr="00256DC9">
        <w:rPr>
          <w:rFonts w:ascii="Times New Roman" w:hAnsi="Times New Roman" w:cs="Times New Roman"/>
          <w:sz w:val="28"/>
          <w:szCs w:val="28"/>
          <w:lang w:val="en-US"/>
        </w:rPr>
        <w:t>III</w:t>
      </w:r>
      <w:r w:rsidRPr="00256DC9">
        <w:rPr>
          <w:rFonts w:ascii="Times New Roman" w:hAnsi="Times New Roman" w:cs="Times New Roman"/>
          <w:sz w:val="28"/>
          <w:szCs w:val="28"/>
        </w:rPr>
        <w:t xml:space="preserve">) – по 26,7%. И у одного пациента (3,3%) была обнаружена </w:t>
      </w:r>
      <w:r w:rsidRPr="00256DC9">
        <w:rPr>
          <w:rFonts w:ascii="Times New Roman" w:hAnsi="Times New Roman" w:cs="Times New Roman"/>
          <w:sz w:val="28"/>
          <w:szCs w:val="28"/>
          <w:lang w:val="en-US"/>
        </w:rPr>
        <w:t>AB</w:t>
      </w:r>
      <w:r w:rsidRPr="00256DC9">
        <w:rPr>
          <w:rFonts w:ascii="Times New Roman" w:hAnsi="Times New Roman" w:cs="Times New Roman"/>
          <w:sz w:val="28"/>
          <w:szCs w:val="28"/>
        </w:rPr>
        <w:t xml:space="preserve"> (</w:t>
      </w:r>
      <w:r w:rsidRPr="00256DC9">
        <w:rPr>
          <w:rFonts w:ascii="Times New Roman" w:hAnsi="Times New Roman" w:cs="Times New Roman"/>
          <w:sz w:val="28"/>
          <w:szCs w:val="28"/>
          <w:lang w:val="en-US"/>
        </w:rPr>
        <w:t>IV</w:t>
      </w:r>
      <w:r w:rsidRPr="00256DC9">
        <w:rPr>
          <w:rFonts w:ascii="Times New Roman" w:hAnsi="Times New Roman" w:cs="Times New Roman"/>
          <w:sz w:val="28"/>
          <w:szCs w:val="28"/>
        </w:rPr>
        <w:t>).</w:t>
      </w:r>
    </w:p>
    <w:p w:rsidR="00301715" w:rsidRPr="00256DC9" w:rsidRDefault="00301715"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С целью исследования связи между </w:t>
      </w:r>
      <w:r w:rsidR="00BF42E3" w:rsidRPr="00256DC9">
        <w:rPr>
          <w:rFonts w:ascii="Times New Roman" w:hAnsi="Times New Roman" w:cs="Times New Roman"/>
          <w:sz w:val="28"/>
          <w:szCs w:val="28"/>
        </w:rPr>
        <w:t>г</w:t>
      </w:r>
      <w:r w:rsidRPr="00256DC9">
        <w:rPr>
          <w:rFonts w:ascii="Times New Roman" w:hAnsi="Times New Roman" w:cs="Times New Roman"/>
          <w:sz w:val="28"/>
          <w:szCs w:val="28"/>
        </w:rPr>
        <w:t xml:space="preserve">руппой кровью пациента и локализацией связи был проведен сравнительный анализ двух независимых выборок с использованием </w:t>
      </w:r>
      <w:r w:rsidRPr="00256DC9">
        <w:rPr>
          <w:rFonts w:ascii="Times New Roman" w:hAnsi="Times New Roman" w:cs="Times New Roman"/>
          <w:sz w:val="28"/>
          <w:szCs w:val="28"/>
          <w:lang w:val="en-US"/>
        </w:rPr>
        <w:t>t</w:t>
      </w:r>
      <w:r w:rsidRPr="00256DC9">
        <w:rPr>
          <w:rFonts w:ascii="Times New Roman" w:hAnsi="Times New Roman" w:cs="Times New Roman"/>
          <w:sz w:val="28"/>
          <w:szCs w:val="28"/>
        </w:rPr>
        <w:t xml:space="preserve"> – критерия Стьюдента</w:t>
      </w:r>
      <w:r w:rsidR="00BF42E3" w:rsidRPr="00256DC9">
        <w:rPr>
          <w:rFonts w:ascii="Times New Roman" w:hAnsi="Times New Roman" w:cs="Times New Roman"/>
          <w:sz w:val="28"/>
          <w:szCs w:val="28"/>
        </w:rPr>
        <w:t>. С</w:t>
      </w:r>
      <w:r w:rsidRPr="00256DC9">
        <w:rPr>
          <w:rFonts w:ascii="Times New Roman" w:hAnsi="Times New Roman" w:cs="Times New Roman"/>
          <w:sz w:val="28"/>
          <w:szCs w:val="28"/>
        </w:rPr>
        <w:t>татически значимых различий обнаружено не было (</w:t>
      </w:r>
      <w:r w:rsidRPr="00256DC9">
        <w:rPr>
          <w:rFonts w:ascii="Times New Roman" w:hAnsi="Times New Roman" w:cs="Times New Roman"/>
          <w:sz w:val="28"/>
          <w:szCs w:val="28"/>
          <w:lang w:val="en-US"/>
        </w:rPr>
        <w:t>p</w:t>
      </w:r>
      <w:r w:rsidRPr="00256DC9">
        <w:rPr>
          <w:rFonts w:ascii="Times New Roman" w:hAnsi="Times New Roman" w:cs="Times New Roman"/>
          <w:sz w:val="28"/>
          <w:szCs w:val="28"/>
        </w:rPr>
        <w:t xml:space="preserve">=0,5). </w:t>
      </w:r>
    </w:p>
    <w:p w:rsidR="00746966" w:rsidRPr="00256DC9" w:rsidRDefault="0047330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Распределение мужчин и женщин по форме и локализации язвы представлено на </w:t>
      </w:r>
      <w:r w:rsidRPr="00256DC9">
        <w:rPr>
          <w:rFonts w:ascii="Times New Roman" w:hAnsi="Times New Roman" w:cs="Times New Roman"/>
          <w:i/>
          <w:iCs/>
          <w:sz w:val="28"/>
          <w:szCs w:val="28"/>
        </w:rPr>
        <w:t>рис. 1</w:t>
      </w:r>
      <w:r w:rsidRPr="00256DC9">
        <w:rPr>
          <w:rFonts w:ascii="Times New Roman" w:hAnsi="Times New Roman" w:cs="Times New Roman"/>
          <w:sz w:val="28"/>
          <w:szCs w:val="28"/>
        </w:rPr>
        <w:t>.</w:t>
      </w:r>
    </w:p>
    <w:p w:rsidR="00B44AAE" w:rsidRPr="00256DC9" w:rsidRDefault="00B44AAE" w:rsidP="00256DC9">
      <w:pPr>
        <w:spacing w:line="360" w:lineRule="auto"/>
        <w:ind w:firstLine="709"/>
        <w:jc w:val="both"/>
        <w:rPr>
          <w:rFonts w:ascii="Times New Roman" w:hAnsi="Times New Roman" w:cs="Times New Roman"/>
          <w:sz w:val="28"/>
          <w:szCs w:val="28"/>
        </w:rPr>
      </w:pPr>
    </w:p>
    <w:p w:rsidR="00746966" w:rsidRPr="00256DC9" w:rsidRDefault="0047330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noProof/>
          <w:sz w:val="28"/>
          <w:szCs w:val="28"/>
        </w:rPr>
        <w:lastRenderedPageBreak/>
        <w:drawing>
          <wp:inline distT="0" distB="0" distL="0" distR="0" wp14:anchorId="45EEE023" wp14:editId="78197434">
            <wp:extent cx="4666145" cy="3709670"/>
            <wp:effectExtent l="0" t="0" r="127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2543" cy="3714757"/>
                    </a:xfrm>
                    <a:prstGeom prst="rect">
                      <a:avLst/>
                    </a:prstGeom>
                    <a:noFill/>
                  </pic:spPr>
                </pic:pic>
              </a:graphicData>
            </a:graphic>
          </wp:inline>
        </w:drawing>
      </w:r>
    </w:p>
    <w:p w:rsidR="00746966" w:rsidRPr="00256DC9" w:rsidRDefault="00746966" w:rsidP="00256DC9">
      <w:pPr>
        <w:spacing w:line="360" w:lineRule="auto"/>
        <w:jc w:val="both"/>
        <w:rPr>
          <w:rFonts w:ascii="Times New Roman" w:hAnsi="Times New Roman" w:cs="Times New Roman"/>
          <w:sz w:val="28"/>
          <w:szCs w:val="28"/>
        </w:rPr>
      </w:pPr>
      <w:r w:rsidRPr="00256DC9">
        <w:rPr>
          <w:rFonts w:ascii="Times New Roman" w:hAnsi="Times New Roman" w:cs="Times New Roman"/>
          <w:i/>
          <w:iCs/>
          <w:sz w:val="28"/>
          <w:szCs w:val="28"/>
        </w:rPr>
        <w:t>Рисунок 1</w:t>
      </w:r>
      <w:r w:rsidRPr="00256DC9">
        <w:rPr>
          <w:rFonts w:ascii="Times New Roman" w:hAnsi="Times New Roman" w:cs="Times New Roman"/>
          <w:sz w:val="28"/>
          <w:szCs w:val="28"/>
        </w:rPr>
        <w:t>. Распределение мужчин и женщин по форме и локализации язвы</w:t>
      </w:r>
    </w:p>
    <w:p w:rsidR="0004380E" w:rsidRPr="00256DC9" w:rsidRDefault="0004380E" w:rsidP="00256DC9">
      <w:pPr>
        <w:spacing w:line="360" w:lineRule="auto"/>
        <w:ind w:firstLine="709"/>
        <w:jc w:val="both"/>
        <w:rPr>
          <w:rFonts w:ascii="Times New Roman" w:hAnsi="Times New Roman" w:cs="Times New Roman"/>
          <w:sz w:val="28"/>
          <w:szCs w:val="28"/>
        </w:rPr>
      </w:pPr>
    </w:p>
    <w:p w:rsidR="0047330A" w:rsidRPr="00256DC9" w:rsidRDefault="0047330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Среди мужчин хроническая язва двенадцатиперстной кишки встречалась чаще всего (43,8%). В то время как у женщин эта же форма выявлялась только в 11,1% случаев. Для женщин наиболее характерной формой была хроническая язва с локализацией в желудке (66,7%), а острая язва двенадцатиперстной кишки не встречалась вовсе. Острая язва желудка у мужчин встречалась в 9,4% случаев и в 22,2% случаев у женщин.</w:t>
      </w:r>
    </w:p>
    <w:p w:rsidR="00086C0D" w:rsidRPr="00256DC9" w:rsidRDefault="00086C0D" w:rsidP="00256DC9">
      <w:pPr>
        <w:spacing w:line="360" w:lineRule="auto"/>
        <w:ind w:firstLine="709"/>
        <w:jc w:val="both"/>
        <w:rPr>
          <w:rFonts w:ascii="Times New Roman" w:hAnsi="Times New Roman" w:cs="Times New Roman"/>
          <w:b/>
          <w:bCs/>
          <w:sz w:val="28"/>
          <w:szCs w:val="28"/>
        </w:rPr>
      </w:pPr>
    </w:p>
    <w:p w:rsidR="00086C0D" w:rsidRPr="00256DC9" w:rsidRDefault="00086C0D" w:rsidP="00256DC9">
      <w:pPr>
        <w:spacing w:line="360" w:lineRule="auto"/>
        <w:ind w:firstLine="709"/>
        <w:jc w:val="both"/>
        <w:rPr>
          <w:rFonts w:ascii="Times New Roman" w:hAnsi="Times New Roman" w:cs="Times New Roman"/>
          <w:b/>
          <w:bCs/>
          <w:sz w:val="28"/>
          <w:szCs w:val="28"/>
        </w:rPr>
      </w:pPr>
    </w:p>
    <w:p w:rsidR="00086C0D" w:rsidRPr="00256DC9" w:rsidRDefault="00086C0D" w:rsidP="00256DC9">
      <w:pPr>
        <w:spacing w:line="360" w:lineRule="auto"/>
        <w:ind w:firstLine="709"/>
        <w:jc w:val="both"/>
        <w:rPr>
          <w:rFonts w:ascii="Times New Roman" w:hAnsi="Times New Roman" w:cs="Times New Roman"/>
          <w:b/>
          <w:bCs/>
          <w:sz w:val="28"/>
          <w:szCs w:val="28"/>
        </w:rPr>
      </w:pPr>
    </w:p>
    <w:p w:rsidR="00086C0D" w:rsidRPr="00256DC9" w:rsidRDefault="00086C0D" w:rsidP="00256DC9">
      <w:pPr>
        <w:spacing w:line="360" w:lineRule="auto"/>
        <w:ind w:firstLine="709"/>
        <w:jc w:val="both"/>
        <w:rPr>
          <w:rFonts w:ascii="Times New Roman" w:hAnsi="Times New Roman" w:cs="Times New Roman"/>
          <w:b/>
          <w:bCs/>
          <w:sz w:val="28"/>
          <w:szCs w:val="28"/>
        </w:rPr>
      </w:pPr>
    </w:p>
    <w:p w:rsidR="00086C0D" w:rsidRPr="00256DC9" w:rsidRDefault="00086C0D" w:rsidP="00256DC9">
      <w:pPr>
        <w:spacing w:line="360" w:lineRule="auto"/>
        <w:ind w:firstLine="709"/>
        <w:jc w:val="both"/>
        <w:rPr>
          <w:rFonts w:ascii="Times New Roman" w:hAnsi="Times New Roman" w:cs="Times New Roman"/>
          <w:b/>
          <w:bCs/>
          <w:sz w:val="28"/>
          <w:szCs w:val="28"/>
        </w:rPr>
      </w:pPr>
    </w:p>
    <w:p w:rsidR="00086C0D" w:rsidRPr="00256DC9" w:rsidRDefault="00086C0D" w:rsidP="00256DC9">
      <w:pPr>
        <w:spacing w:line="360" w:lineRule="auto"/>
        <w:ind w:firstLine="709"/>
        <w:jc w:val="both"/>
        <w:rPr>
          <w:rFonts w:ascii="Times New Roman" w:hAnsi="Times New Roman" w:cs="Times New Roman"/>
          <w:b/>
          <w:bCs/>
          <w:sz w:val="28"/>
          <w:szCs w:val="28"/>
        </w:rPr>
      </w:pPr>
    </w:p>
    <w:p w:rsidR="0047330A" w:rsidRPr="00256DC9" w:rsidRDefault="0047330A" w:rsidP="00256DC9">
      <w:pPr>
        <w:spacing w:line="360" w:lineRule="auto"/>
        <w:ind w:firstLine="709"/>
        <w:jc w:val="both"/>
        <w:rPr>
          <w:rFonts w:ascii="Times New Roman" w:hAnsi="Times New Roman" w:cs="Times New Roman"/>
          <w:b/>
          <w:bCs/>
          <w:sz w:val="28"/>
          <w:szCs w:val="28"/>
        </w:rPr>
      </w:pPr>
      <w:r w:rsidRPr="00256DC9">
        <w:rPr>
          <w:rFonts w:ascii="Times New Roman" w:hAnsi="Times New Roman" w:cs="Times New Roman"/>
          <w:b/>
          <w:bCs/>
          <w:sz w:val="28"/>
          <w:szCs w:val="28"/>
        </w:rPr>
        <w:lastRenderedPageBreak/>
        <w:t>3.2 Взаимосвязь койко-дней с актами переливания</w:t>
      </w:r>
    </w:p>
    <w:p w:rsidR="00845F41" w:rsidRPr="00256DC9" w:rsidRDefault="009E1669" w:rsidP="00256DC9">
      <w:pPr>
        <w:spacing w:line="360" w:lineRule="auto"/>
        <w:ind w:firstLine="709"/>
        <w:jc w:val="both"/>
        <w:rPr>
          <w:rFonts w:ascii="Times New Roman" w:hAnsi="Times New Roman" w:cs="Times New Roman"/>
          <w:bCs/>
          <w:sz w:val="28"/>
          <w:szCs w:val="28"/>
        </w:rPr>
      </w:pPr>
      <w:r w:rsidRPr="00256DC9">
        <w:rPr>
          <w:rFonts w:ascii="Times New Roman" w:hAnsi="Times New Roman" w:cs="Times New Roman"/>
          <w:bCs/>
          <w:sz w:val="28"/>
          <w:szCs w:val="28"/>
        </w:rPr>
        <w:t>В задачи исследования входило определение взаимосвязи между количеством проведенных пациентом в стационаре койко-дней и актов переливания крови (</w:t>
      </w:r>
      <w:r w:rsidRPr="00256DC9">
        <w:rPr>
          <w:rFonts w:ascii="Times New Roman" w:hAnsi="Times New Roman" w:cs="Times New Roman"/>
          <w:bCs/>
          <w:i/>
          <w:sz w:val="28"/>
          <w:szCs w:val="28"/>
        </w:rPr>
        <w:t>рис. 2</w:t>
      </w:r>
      <w:r w:rsidRPr="00256DC9">
        <w:rPr>
          <w:rFonts w:ascii="Times New Roman" w:hAnsi="Times New Roman" w:cs="Times New Roman"/>
          <w:bCs/>
          <w:sz w:val="28"/>
          <w:szCs w:val="28"/>
        </w:rPr>
        <w:t>).</w:t>
      </w:r>
    </w:p>
    <w:p w:rsidR="00AD0A19" w:rsidRPr="00256DC9" w:rsidRDefault="00AD0A19" w:rsidP="00256DC9">
      <w:pPr>
        <w:autoSpaceDE w:val="0"/>
        <w:autoSpaceDN w:val="0"/>
        <w:adjustRightInd w:val="0"/>
        <w:spacing w:line="360" w:lineRule="auto"/>
        <w:jc w:val="both"/>
        <w:rPr>
          <w:rFonts w:ascii="Times New Roman" w:hAnsi="Times New Roman" w:cs="Times New Roman"/>
          <w:sz w:val="28"/>
          <w:szCs w:val="28"/>
        </w:rPr>
      </w:pPr>
      <w:r w:rsidRPr="00256DC9">
        <w:rPr>
          <w:rFonts w:ascii="Times New Roman" w:hAnsi="Times New Roman" w:cs="Times New Roman"/>
          <w:noProof/>
          <w:sz w:val="28"/>
          <w:szCs w:val="28"/>
        </w:rPr>
        <w:drawing>
          <wp:inline distT="0" distB="0" distL="0" distR="0" wp14:anchorId="46157F68" wp14:editId="41C582E3">
            <wp:extent cx="5940425" cy="475297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752975"/>
                    </a:xfrm>
                    <a:prstGeom prst="rect">
                      <a:avLst/>
                    </a:prstGeom>
                    <a:noFill/>
                    <a:ln>
                      <a:noFill/>
                    </a:ln>
                  </pic:spPr>
                </pic:pic>
              </a:graphicData>
            </a:graphic>
          </wp:inline>
        </w:drawing>
      </w:r>
    </w:p>
    <w:p w:rsidR="00AD0A19" w:rsidRPr="00256DC9" w:rsidRDefault="00AD0A19" w:rsidP="00256DC9">
      <w:pPr>
        <w:spacing w:line="360" w:lineRule="auto"/>
        <w:jc w:val="center"/>
        <w:rPr>
          <w:rFonts w:ascii="Times New Roman" w:hAnsi="Times New Roman" w:cs="Times New Roman"/>
          <w:sz w:val="28"/>
          <w:szCs w:val="28"/>
        </w:rPr>
      </w:pPr>
      <w:r w:rsidRPr="00256DC9">
        <w:rPr>
          <w:rFonts w:ascii="Times New Roman" w:hAnsi="Times New Roman" w:cs="Times New Roman"/>
          <w:i/>
          <w:iCs/>
          <w:sz w:val="28"/>
          <w:szCs w:val="28"/>
        </w:rPr>
        <w:t>Рисунок 2</w:t>
      </w:r>
      <w:r w:rsidRPr="00256DC9">
        <w:rPr>
          <w:rFonts w:ascii="Times New Roman" w:hAnsi="Times New Roman" w:cs="Times New Roman"/>
          <w:sz w:val="28"/>
          <w:szCs w:val="28"/>
        </w:rPr>
        <w:t>. Корреляция количества койко-дней и актов переливания</w:t>
      </w:r>
    </w:p>
    <w:p w:rsidR="00845F41" w:rsidRPr="00256DC9" w:rsidRDefault="00845F41" w:rsidP="00256DC9">
      <w:pPr>
        <w:spacing w:line="360" w:lineRule="auto"/>
        <w:jc w:val="both"/>
        <w:rPr>
          <w:rFonts w:ascii="Times New Roman" w:hAnsi="Times New Roman" w:cs="Times New Roman"/>
          <w:sz w:val="28"/>
          <w:szCs w:val="28"/>
        </w:rPr>
      </w:pPr>
    </w:p>
    <w:p w:rsidR="0070422C" w:rsidRPr="00256DC9" w:rsidRDefault="0047330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Была выявлена положительная корреляция между количеством койко-дней, проведенных пациентами в стационаре, и числом актов гемотрансфузий </w:t>
      </w:r>
      <w:r w:rsidR="0070422C" w:rsidRPr="00256DC9">
        <w:rPr>
          <w:rFonts w:ascii="Times New Roman" w:hAnsi="Times New Roman" w:cs="Times New Roman"/>
          <w:sz w:val="28"/>
          <w:szCs w:val="28"/>
        </w:rPr>
        <w:t>(</w:t>
      </w:r>
      <w:r w:rsidR="0070422C" w:rsidRPr="00256DC9">
        <w:rPr>
          <w:rFonts w:ascii="Times New Roman" w:hAnsi="Times New Roman" w:cs="Times New Roman"/>
          <w:sz w:val="28"/>
          <w:szCs w:val="28"/>
          <w:lang w:val="en-US"/>
        </w:rPr>
        <w:t>r</w:t>
      </w:r>
      <w:r w:rsidR="0070422C" w:rsidRPr="00256DC9">
        <w:rPr>
          <w:rFonts w:ascii="Times New Roman" w:hAnsi="Times New Roman" w:cs="Times New Roman"/>
          <w:sz w:val="28"/>
          <w:szCs w:val="28"/>
        </w:rPr>
        <w:t xml:space="preserve">=0,612, </w:t>
      </w:r>
      <w:r w:rsidR="0070422C" w:rsidRPr="00256DC9">
        <w:rPr>
          <w:rFonts w:ascii="Times New Roman" w:hAnsi="Times New Roman" w:cs="Times New Roman"/>
          <w:sz w:val="28"/>
          <w:szCs w:val="28"/>
          <w:lang w:val="en-US"/>
        </w:rPr>
        <w:t>p</w:t>
      </w:r>
      <w:r w:rsidR="0070422C" w:rsidRPr="00256DC9">
        <w:rPr>
          <w:rFonts w:ascii="Times New Roman" w:hAnsi="Times New Roman" w:cs="Times New Roman"/>
          <w:sz w:val="28"/>
          <w:szCs w:val="28"/>
        </w:rPr>
        <w:t xml:space="preserve">=0,0001) </w:t>
      </w:r>
      <w:r w:rsidRPr="00256DC9">
        <w:rPr>
          <w:rFonts w:ascii="Times New Roman" w:hAnsi="Times New Roman" w:cs="Times New Roman"/>
          <w:sz w:val="28"/>
          <w:szCs w:val="28"/>
        </w:rPr>
        <w:t>(</w:t>
      </w:r>
      <w:r w:rsidRPr="00256DC9">
        <w:rPr>
          <w:rFonts w:ascii="Times New Roman" w:hAnsi="Times New Roman" w:cs="Times New Roman"/>
          <w:i/>
          <w:iCs/>
          <w:sz w:val="28"/>
          <w:szCs w:val="28"/>
        </w:rPr>
        <w:t>рис. 2</w:t>
      </w:r>
      <w:r w:rsidRPr="00256DC9">
        <w:rPr>
          <w:rFonts w:ascii="Times New Roman" w:hAnsi="Times New Roman" w:cs="Times New Roman"/>
          <w:sz w:val="28"/>
          <w:szCs w:val="28"/>
        </w:rPr>
        <w:t xml:space="preserve">). </w:t>
      </w:r>
    </w:p>
    <w:p w:rsidR="0070422C" w:rsidRPr="00256DC9" w:rsidRDefault="0070422C" w:rsidP="00256DC9">
      <w:pPr>
        <w:spacing w:line="360" w:lineRule="auto"/>
        <w:jc w:val="both"/>
        <w:rPr>
          <w:rFonts w:ascii="Times New Roman" w:hAnsi="Times New Roman" w:cs="Times New Roman"/>
          <w:sz w:val="28"/>
          <w:szCs w:val="28"/>
        </w:rPr>
      </w:pPr>
      <w:r w:rsidRPr="00256DC9">
        <w:rPr>
          <w:rFonts w:ascii="Times New Roman" w:hAnsi="Times New Roman" w:cs="Times New Roman"/>
          <w:sz w:val="28"/>
          <w:szCs w:val="28"/>
        </w:rPr>
        <w:br w:type="page"/>
      </w:r>
    </w:p>
    <w:p w:rsidR="0070422C" w:rsidRPr="00256DC9" w:rsidRDefault="0070422C" w:rsidP="00256DC9">
      <w:pPr>
        <w:spacing w:line="360" w:lineRule="auto"/>
        <w:ind w:firstLine="709"/>
        <w:jc w:val="both"/>
        <w:rPr>
          <w:rFonts w:ascii="Times New Roman" w:hAnsi="Times New Roman" w:cs="Times New Roman"/>
          <w:b/>
          <w:bCs/>
          <w:sz w:val="28"/>
          <w:szCs w:val="28"/>
        </w:rPr>
      </w:pPr>
      <w:r w:rsidRPr="00256DC9">
        <w:rPr>
          <w:rFonts w:ascii="Times New Roman" w:hAnsi="Times New Roman" w:cs="Times New Roman"/>
          <w:b/>
          <w:bCs/>
          <w:sz w:val="28"/>
          <w:szCs w:val="28"/>
        </w:rPr>
        <w:lastRenderedPageBreak/>
        <w:t>3.3 Взаимосвязь койко-дней с количеством трансфузий</w:t>
      </w:r>
    </w:p>
    <w:p w:rsidR="009E1669" w:rsidRPr="00256DC9" w:rsidRDefault="009E1669" w:rsidP="00256DC9">
      <w:pPr>
        <w:spacing w:line="360" w:lineRule="auto"/>
        <w:ind w:firstLine="709"/>
        <w:jc w:val="both"/>
        <w:rPr>
          <w:rFonts w:ascii="Times New Roman" w:hAnsi="Times New Roman" w:cs="Times New Roman"/>
          <w:bCs/>
          <w:sz w:val="28"/>
          <w:szCs w:val="28"/>
        </w:rPr>
      </w:pPr>
      <w:r w:rsidRPr="00256DC9">
        <w:rPr>
          <w:rFonts w:ascii="Times New Roman" w:hAnsi="Times New Roman" w:cs="Times New Roman"/>
          <w:bCs/>
          <w:sz w:val="28"/>
          <w:szCs w:val="28"/>
        </w:rPr>
        <w:t xml:space="preserve">В задачи исследования входило определение взаимосвязи между количеством проведенных пациентом в стационаре койко-дней и </w:t>
      </w:r>
      <w:r w:rsidR="004431B3" w:rsidRPr="00256DC9">
        <w:rPr>
          <w:rFonts w:ascii="Times New Roman" w:hAnsi="Times New Roman" w:cs="Times New Roman"/>
          <w:bCs/>
          <w:sz w:val="28"/>
          <w:szCs w:val="28"/>
        </w:rPr>
        <w:t xml:space="preserve">количеством трансфузий </w:t>
      </w:r>
      <w:r w:rsidRPr="00256DC9">
        <w:rPr>
          <w:rFonts w:ascii="Times New Roman" w:hAnsi="Times New Roman" w:cs="Times New Roman"/>
          <w:bCs/>
          <w:sz w:val="28"/>
          <w:szCs w:val="28"/>
        </w:rPr>
        <w:t>(</w:t>
      </w:r>
      <w:r w:rsidRPr="00256DC9">
        <w:rPr>
          <w:rFonts w:ascii="Times New Roman" w:hAnsi="Times New Roman" w:cs="Times New Roman"/>
          <w:bCs/>
          <w:i/>
          <w:sz w:val="28"/>
          <w:szCs w:val="28"/>
        </w:rPr>
        <w:t>рис. 3</w:t>
      </w:r>
      <w:r w:rsidRPr="00256DC9">
        <w:rPr>
          <w:rFonts w:ascii="Times New Roman" w:hAnsi="Times New Roman" w:cs="Times New Roman"/>
          <w:bCs/>
          <w:sz w:val="28"/>
          <w:szCs w:val="28"/>
        </w:rPr>
        <w:t>).</w:t>
      </w:r>
    </w:p>
    <w:p w:rsidR="00BA3C76" w:rsidRPr="00256DC9" w:rsidRDefault="00BA3C76" w:rsidP="00256DC9">
      <w:pPr>
        <w:autoSpaceDE w:val="0"/>
        <w:autoSpaceDN w:val="0"/>
        <w:adjustRightInd w:val="0"/>
        <w:spacing w:line="360" w:lineRule="auto"/>
        <w:jc w:val="both"/>
        <w:rPr>
          <w:rFonts w:ascii="Times New Roman" w:hAnsi="Times New Roman" w:cs="Times New Roman"/>
          <w:sz w:val="28"/>
          <w:szCs w:val="28"/>
        </w:rPr>
      </w:pPr>
      <w:r w:rsidRPr="00256DC9">
        <w:rPr>
          <w:rFonts w:ascii="Times New Roman" w:hAnsi="Times New Roman" w:cs="Times New Roman"/>
          <w:noProof/>
          <w:sz w:val="28"/>
          <w:szCs w:val="28"/>
        </w:rPr>
        <w:drawing>
          <wp:inline distT="0" distB="0" distL="0" distR="0">
            <wp:extent cx="5940425" cy="475615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756150"/>
                    </a:xfrm>
                    <a:prstGeom prst="rect">
                      <a:avLst/>
                    </a:prstGeom>
                    <a:noFill/>
                    <a:ln>
                      <a:noFill/>
                    </a:ln>
                  </pic:spPr>
                </pic:pic>
              </a:graphicData>
            </a:graphic>
          </wp:inline>
        </w:drawing>
      </w:r>
    </w:p>
    <w:p w:rsidR="0070422C" w:rsidRPr="00256DC9" w:rsidRDefault="0070422C" w:rsidP="00256DC9">
      <w:pPr>
        <w:spacing w:line="360" w:lineRule="auto"/>
        <w:jc w:val="center"/>
        <w:rPr>
          <w:rFonts w:ascii="Times New Roman" w:hAnsi="Times New Roman" w:cs="Times New Roman"/>
          <w:sz w:val="28"/>
          <w:szCs w:val="28"/>
        </w:rPr>
      </w:pPr>
      <w:r w:rsidRPr="00256DC9">
        <w:rPr>
          <w:rFonts w:ascii="Times New Roman" w:hAnsi="Times New Roman" w:cs="Times New Roman"/>
          <w:i/>
          <w:iCs/>
          <w:sz w:val="28"/>
          <w:szCs w:val="28"/>
        </w:rPr>
        <w:t>Рисунок 3</w:t>
      </w:r>
      <w:r w:rsidRPr="00256DC9">
        <w:rPr>
          <w:rFonts w:ascii="Times New Roman" w:hAnsi="Times New Roman" w:cs="Times New Roman"/>
          <w:sz w:val="28"/>
          <w:szCs w:val="28"/>
        </w:rPr>
        <w:t>. Корреляция количества койко-дней и количеством трансфузий</w:t>
      </w:r>
    </w:p>
    <w:p w:rsidR="00BA3C76" w:rsidRPr="00256DC9" w:rsidRDefault="00BA3C76" w:rsidP="00256DC9">
      <w:pPr>
        <w:autoSpaceDE w:val="0"/>
        <w:autoSpaceDN w:val="0"/>
        <w:adjustRightInd w:val="0"/>
        <w:spacing w:line="360" w:lineRule="auto"/>
        <w:jc w:val="both"/>
        <w:rPr>
          <w:rFonts w:ascii="Times New Roman" w:hAnsi="Times New Roman" w:cs="Times New Roman"/>
          <w:sz w:val="28"/>
          <w:szCs w:val="28"/>
        </w:rPr>
      </w:pPr>
    </w:p>
    <w:p w:rsidR="0070422C" w:rsidRPr="00256DC9" w:rsidRDefault="0070422C"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Была выявлена положительная корреляция между количеством койко-дней, проведенных пациентами в стационаре, и количеством гемотрансфузий (</w:t>
      </w:r>
      <w:r w:rsidRPr="00256DC9">
        <w:rPr>
          <w:rFonts w:ascii="Times New Roman" w:hAnsi="Times New Roman" w:cs="Times New Roman"/>
          <w:sz w:val="28"/>
          <w:szCs w:val="28"/>
          <w:lang w:val="en-US"/>
        </w:rPr>
        <w:t>r</w:t>
      </w:r>
      <w:r w:rsidRPr="00256DC9">
        <w:rPr>
          <w:rFonts w:ascii="Times New Roman" w:hAnsi="Times New Roman" w:cs="Times New Roman"/>
          <w:sz w:val="28"/>
          <w:szCs w:val="28"/>
        </w:rPr>
        <w:t xml:space="preserve">=0,606, </w:t>
      </w:r>
      <w:r w:rsidRPr="00256DC9">
        <w:rPr>
          <w:rFonts w:ascii="Times New Roman" w:hAnsi="Times New Roman" w:cs="Times New Roman"/>
          <w:sz w:val="28"/>
          <w:szCs w:val="28"/>
          <w:lang w:val="en-US"/>
        </w:rPr>
        <w:t>p</w:t>
      </w:r>
      <w:r w:rsidRPr="00256DC9">
        <w:rPr>
          <w:rFonts w:ascii="Times New Roman" w:hAnsi="Times New Roman" w:cs="Times New Roman"/>
          <w:sz w:val="28"/>
          <w:szCs w:val="28"/>
        </w:rPr>
        <w:t>=0,0001) (</w:t>
      </w:r>
      <w:r w:rsidRPr="00256DC9">
        <w:rPr>
          <w:rFonts w:ascii="Times New Roman" w:hAnsi="Times New Roman" w:cs="Times New Roman"/>
          <w:i/>
          <w:iCs/>
          <w:sz w:val="28"/>
          <w:szCs w:val="28"/>
        </w:rPr>
        <w:t>рис. 3</w:t>
      </w:r>
      <w:r w:rsidRPr="00256DC9">
        <w:rPr>
          <w:rFonts w:ascii="Times New Roman" w:hAnsi="Times New Roman" w:cs="Times New Roman"/>
          <w:sz w:val="28"/>
          <w:szCs w:val="28"/>
        </w:rPr>
        <w:t xml:space="preserve">). </w:t>
      </w:r>
    </w:p>
    <w:p w:rsidR="0070422C" w:rsidRPr="00256DC9" w:rsidRDefault="0070422C" w:rsidP="00256DC9">
      <w:pPr>
        <w:spacing w:line="360" w:lineRule="auto"/>
        <w:jc w:val="both"/>
        <w:rPr>
          <w:rFonts w:ascii="Times New Roman" w:hAnsi="Times New Roman" w:cs="Times New Roman"/>
          <w:noProof/>
          <w:sz w:val="28"/>
          <w:szCs w:val="28"/>
        </w:rPr>
      </w:pPr>
      <w:r w:rsidRPr="00256DC9">
        <w:rPr>
          <w:rFonts w:ascii="Times New Roman" w:hAnsi="Times New Roman" w:cs="Times New Roman"/>
          <w:noProof/>
          <w:sz w:val="28"/>
          <w:szCs w:val="28"/>
        </w:rPr>
        <w:br w:type="page"/>
      </w:r>
    </w:p>
    <w:p w:rsidR="0070422C" w:rsidRPr="00256DC9" w:rsidRDefault="0070422C" w:rsidP="00256DC9">
      <w:pPr>
        <w:spacing w:line="360" w:lineRule="auto"/>
        <w:ind w:firstLine="709"/>
        <w:jc w:val="both"/>
        <w:rPr>
          <w:rFonts w:ascii="Times New Roman" w:hAnsi="Times New Roman" w:cs="Times New Roman"/>
          <w:b/>
          <w:bCs/>
          <w:sz w:val="28"/>
          <w:szCs w:val="28"/>
        </w:rPr>
      </w:pPr>
      <w:r w:rsidRPr="00256DC9">
        <w:rPr>
          <w:rFonts w:ascii="Times New Roman" w:hAnsi="Times New Roman" w:cs="Times New Roman"/>
          <w:b/>
          <w:bCs/>
          <w:sz w:val="28"/>
          <w:szCs w:val="28"/>
        </w:rPr>
        <w:lastRenderedPageBreak/>
        <w:t>3.</w:t>
      </w:r>
      <w:r w:rsidR="00F72D1C" w:rsidRPr="00256DC9">
        <w:rPr>
          <w:rFonts w:ascii="Times New Roman" w:hAnsi="Times New Roman" w:cs="Times New Roman"/>
          <w:b/>
          <w:bCs/>
          <w:sz w:val="28"/>
          <w:szCs w:val="28"/>
        </w:rPr>
        <w:t>4</w:t>
      </w:r>
      <w:r w:rsidRPr="00256DC9">
        <w:rPr>
          <w:rFonts w:ascii="Times New Roman" w:hAnsi="Times New Roman" w:cs="Times New Roman"/>
          <w:b/>
          <w:bCs/>
          <w:sz w:val="28"/>
          <w:szCs w:val="28"/>
        </w:rPr>
        <w:t xml:space="preserve"> Взаимосвязь койко-дней с объемом СЗП</w:t>
      </w:r>
    </w:p>
    <w:p w:rsidR="009E1669" w:rsidRPr="00256DC9" w:rsidRDefault="009E1669" w:rsidP="00256DC9">
      <w:pPr>
        <w:spacing w:line="360" w:lineRule="auto"/>
        <w:ind w:firstLine="709"/>
        <w:jc w:val="both"/>
        <w:rPr>
          <w:rFonts w:ascii="Times New Roman" w:hAnsi="Times New Roman" w:cs="Times New Roman"/>
          <w:bCs/>
          <w:sz w:val="28"/>
          <w:szCs w:val="28"/>
        </w:rPr>
      </w:pPr>
      <w:r w:rsidRPr="00256DC9">
        <w:rPr>
          <w:rFonts w:ascii="Times New Roman" w:hAnsi="Times New Roman" w:cs="Times New Roman"/>
          <w:bCs/>
          <w:sz w:val="28"/>
          <w:szCs w:val="28"/>
        </w:rPr>
        <w:t xml:space="preserve">В задачи исследования входило определение взаимосвязи между количеством проведенных пациентом в стационаре койко-дней и </w:t>
      </w:r>
      <w:r w:rsidR="004431B3" w:rsidRPr="00256DC9">
        <w:rPr>
          <w:rFonts w:ascii="Times New Roman" w:hAnsi="Times New Roman" w:cs="Times New Roman"/>
          <w:bCs/>
          <w:sz w:val="28"/>
          <w:szCs w:val="28"/>
        </w:rPr>
        <w:t xml:space="preserve">объемом СЗП </w:t>
      </w:r>
      <w:r w:rsidRPr="00256DC9">
        <w:rPr>
          <w:rFonts w:ascii="Times New Roman" w:hAnsi="Times New Roman" w:cs="Times New Roman"/>
          <w:bCs/>
          <w:sz w:val="28"/>
          <w:szCs w:val="28"/>
        </w:rPr>
        <w:t>(</w:t>
      </w:r>
      <w:r w:rsidRPr="00256DC9">
        <w:rPr>
          <w:rFonts w:ascii="Times New Roman" w:hAnsi="Times New Roman" w:cs="Times New Roman"/>
          <w:bCs/>
          <w:i/>
          <w:sz w:val="28"/>
          <w:szCs w:val="28"/>
        </w:rPr>
        <w:t>рис. 4</w:t>
      </w:r>
      <w:r w:rsidRPr="00256DC9">
        <w:rPr>
          <w:rFonts w:ascii="Times New Roman" w:hAnsi="Times New Roman" w:cs="Times New Roman"/>
          <w:bCs/>
          <w:sz w:val="28"/>
          <w:szCs w:val="28"/>
        </w:rPr>
        <w:t>).</w:t>
      </w:r>
    </w:p>
    <w:p w:rsidR="0070422C" w:rsidRPr="00256DC9" w:rsidRDefault="0070422C" w:rsidP="00256DC9">
      <w:pPr>
        <w:autoSpaceDE w:val="0"/>
        <w:autoSpaceDN w:val="0"/>
        <w:adjustRightInd w:val="0"/>
        <w:spacing w:line="360" w:lineRule="auto"/>
        <w:jc w:val="both"/>
        <w:rPr>
          <w:rFonts w:ascii="Times New Roman" w:hAnsi="Times New Roman" w:cs="Times New Roman"/>
          <w:sz w:val="28"/>
          <w:szCs w:val="28"/>
        </w:rPr>
      </w:pPr>
      <w:r w:rsidRPr="00256DC9">
        <w:rPr>
          <w:rFonts w:ascii="Times New Roman" w:hAnsi="Times New Roman" w:cs="Times New Roman"/>
          <w:noProof/>
          <w:sz w:val="28"/>
          <w:szCs w:val="28"/>
        </w:rPr>
        <w:drawing>
          <wp:inline distT="0" distB="0" distL="0" distR="0">
            <wp:extent cx="6208254" cy="4970585"/>
            <wp:effectExtent l="0" t="0" r="254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490" cy="4972375"/>
                    </a:xfrm>
                    <a:prstGeom prst="rect">
                      <a:avLst/>
                    </a:prstGeom>
                    <a:noFill/>
                    <a:ln>
                      <a:noFill/>
                    </a:ln>
                  </pic:spPr>
                </pic:pic>
              </a:graphicData>
            </a:graphic>
          </wp:inline>
        </w:drawing>
      </w:r>
    </w:p>
    <w:p w:rsidR="0070422C" w:rsidRPr="00256DC9" w:rsidRDefault="0070422C"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i/>
          <w:iCs/>
          <w:sz w:val="28"/>
          <w:szCs w:val="28"/>
        </w:rPr>
        <w:t>Рисунок 4</w:t>
      </w:r>
      <w:r w:rsidRPr="00256DC9">
        <w:rPr>
          <w:rFonts w:ascii="Times New Roman" w:hAnsi="Times New Roman" w:cs="Times New Roman"/>
          <w:sz w:val="28"/>
          <w:szCs w:val="28"/>
        </w:rPr>
        <w:t>. Корреляция количества койко-дней и объемом СЗП</w:t>
      </w:r>
    </w:p>
    <w:p w:rsidR="004431B3" w:rsidRPr="00256DC9" w:rsidRDefault="004431B3" w:rsidP="00256DC9">
      <w:pPr>
        <w:spacing w:line="360" w:lineRule="auto"/>
        <w:ind w:firstLine="709"/>
        <w:jc w:val="both"/>
        <w:rPr>
          <w:rFonts w:ascii="Times New Roman" w:hAnsi="Times New Roman" w:cs="Times New Roman"/>
          <w:sz w:val="28"/>
          <w:szCs w:val="28"/>
        </w:rPr>
      </w:pPr>
    </w:p>
    <w:p w:rsidR="00BA3C76" w:rsidRPr="00256DC9" w:rsidRDefault="0070422C"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Была выявлена положительная корреляция между количеством койко-дней, проведенных пациентами в стационаре, и объемом свежезамороженной плазмы (r=0,643, p=0,0001) (</w:t>
      </w:r>
      <w:r w:rsidRPr="00256DC9">
        <w:rPr>
          <w:rFonts w:ascii="Times New Roman" w:hAnsi="Times New Roman" w:cs="Times New Roman"/>
          <w:i/>
          <w:iCs/>
          <w:sz w:val="28"/>
          <w:szCs w:val="28"/>
        </w:rPr>
        <w:t>рис. 4</w:t>
      </w:r>
      <w:r w:rsidRPr="00256DC9">
        <w:rPr>
          <w:rFonts w:ascii="Times New Roman" w:hAnsi="Times New Roman" w:cs="Times New Roman"/>
          <w:sz w:val="28"/>
          <w:szCs w:val="28"/>
        </w:rPr>
        <w:t>).</w:t>
      </w:r>
    </w:p>
    <w:p w:rsidR="00B14797" w:rsidRPr="00256DC9" w:rsidRDefault="00B14797" w:rsidP="00256DC9">
      <w:pPr>
        <w:spacing w:line="360" w:lineRule="auto"/>
        <w:ind w:firstLine="709"/>
        <w:jc w:val="both"/>
        <w:rPr>
          <w:rFonts w:ascii="Times New Roman" w:hAnsi="Times New Roman" w:cs="Times New Roman"/>
          <w:sz w:val="28"/>
          <w:szCs w:val="28"/>
        </w:rPr>
      </w:pPr>
    </w:p>
    <w:p w:rsidR="00B14797" w:rsidRPr="00256DC9" w:rsidRDefault="00B14797" w:rsidP="00256DC9">
      <w:pPr>
        <w:spacing w:line="360" w:lineRule="auto"/>
        <w:ind w:firstLine="709"/>
        <w:jc w:val="both"/>
        <w:rPr>
          <w:rFonts w:ascii="Times New Roman" w:hAnsi="Times New Roman" w:cs="Times New Roman"/>
          <w:sz w:val="28"/>
          <w:szCs w:val="28"/>
        </w:rPr>
      </w:pPr>
    </w:p>
    <w:p w:rsidR="00B14797" w:rsidRPr="00256DC9" w:rsidRDefault="00B14797" w:rsidP="00256DC9">
      <w:pPr>
        <w:spacing w:line="360" w:lineRule="auto"/>
        <w:ind w:firstLine="709"/>
        <w:jc w:val="both"/>
        <w:rPr>
          <w:rFonts w:ascii="Times New Roman" w:hAnsi="Times New Roman" w:cs="Times New Roman"/>
          <w:b/>
          <w:bCs/>
          <w:sz w:val="28"/>
          <w:szCs w:val="28"/>
        </w:rPr>
      </w:pPr>
      <w:r w:rsidRPr="00256DC9">
        <w:rPr>
          <w:rFonts w:ascii="Times New Roman" w:hAnsi="Times New Roman" w:cs="Times New Roman"/>
          <w:b/>
          <w:bCs/>
          <w:sz w:val="28"/>
          <w:szCs w:val="28"/>
        </w:rPr>
        <w:lastRenderedPageBreak/>
        <w:t>3.</w:t>
      </w:r>
      <w:r w:rsidR="00F72D1C" w:rsidRPr="00256DC9">
        <w:rPr>
          <w:rFonts w:ascii="Times New Roman" w:hAnsi="Times New Roman" w:cs="Times New Roman"/>
          <w:b/>
          <w:bCs/>
          <w:sz w:val="28"/>
          <w:szCs w:val="28"/>
        </w:rPr>
        <w:t>5</w:t>
      </w:r>
      <w:r w:rsidRPr="00256DC9">
        <w:rPr>
          <w:rFonts w:ascii="Times New Roman" w:hAnsi="Times New Roman" w:cs="Times New Roman"/>
          <w:b/>
          <w:bCs/>
          <w:sz w:val="28"/>
          <w:szCs w:val="28"/>
        </w:rPr>
        <w:t xml:space="preserve"> Взаимосвязь койко-дней с объемом эритроцитарной взвеси</w:t>
      </w:r>
    </w:p>
    <w:p w:rsidR="004431B3" w:rsidRPr="00256DC9" w:rsidRDefault="004431B3" w:rsidP="00256DC9">
      <w:pPr>
        <w:spacing w:line="360" w:lineRule="auto"/>
        <w:ind w:firstLine="709"/>
        <w:jc w:val="both"/>
        <w:rPr>
          <w:rFonts w:ascii="Times New Roman" w:hAnsi="Times New Roman" w:cs="Times New Roman"/>
          <w:bCs/>
          <w:sz w:val="28"/>
          <w:szCs w:val="28"/>
        </w:rPr>
      </w:pPr>
      <w:r w:rsidRPr="00256DC9">
        <w:rPr>
          <w:rFonts w:ascii="Times New Roman" w:hAnsi="Times New Roman" w:cs="Times New Roman"/>
          <w:bCs/>
          <w:sz w:val="28"/>
          <w:szCs w:val="28"/>
        </w:rPr>
        <w:t xml:space="preserve">В задачи исследования входило определение взаимосвязи между количеством проведенных пациентом в стационаре койко-дней и объемом </w:t>
      </w:r>
      <w:proofErr w:type="spellStart"/>
      <w:r w:rsidRPr="00256DC9">
        <w:rPr>
          <w:rFonts w:ascii="Times New Roman" w:hAnsi="Times New Roman" w:cs="Times New Roman"/>
          <w:bCs/>
          <w:sz w:val="28"/>
          <w:szCs w:val="28"/>
        </w:rPr>
        <w:t>эритроцитарной</w:t>
      </w:r>
      <w:proofErr w:type="spellEnd"/>
      <w:r w:rsidRPr="00256DC9">
        <w:rPr>
          <w:rFonts w:ascii="Times New Roman" w:hAnsi="Times New Roman" w:cs="Times New Roman"/>
          <w:bCs/>
          <w:sz w:val="28"/>
          <w:szCs w:val="28"/>
        </w:rPr>
        <w:t xml:space="preserve"> взвеси (</w:t>
      </w:r>
      <w:r w:rsidRPr="00256DC9">
        <w:rPr>
          <w:rFonts w:ascii="Times New Roman" w:hAnsi="Times New Roman" w:cs="Times New Roman"/>
          <w:bCs/>
          <w:i/>
          <w:sz w:val="28"/>
          <w:szCs w:val="28"/>
        </w:rPr>
        <w:t>рис. 5</w:t>
      </w:r>
      <w:r w:rsidRPr="00256DC9">
        <w:rPr>
          <w:rFonts w:ascii="Times New Roman" w:hAnsi="Times New Roman" w:cs="Times New Roman"/>
          <w:bCs/>
          <w:sz w:val="28"/>
          <w:szCs w:val="28"/>
        </w:rPr>
        <w:t>).</w:t>
      </w:r>
    </w:p>
    <w:p w:rsidR="0070422C" w:rsidRPr="00256DC9" w:rsidRDefault="0070422C" w:rsidP="00256DC9">
      <w:pPr>
        <w:autoSpaceDE w:val="0"/>
        <w:autoSpaceDN w:val="0"/>
        <w:adjustRightInd w:val="0"/>
        <w:spacing w:line="360" w:lineRule="auto"/>
        <w:jc w:val="both"/>
        <w:rPr>
          <w:rFonts w:ascii="Times New Roman" w:hAnsi="Times New Roman" w:cs="Times New Roman"/>
          <w:sz w:val="28"/>
          <w:szCs w:val="28"/>
        </w:rPr>
      </w:pPr>
      <w:r w:rsidRPr="00256DC9">
        <w:rPr>
          <w:rFonts w:ascii="Times New Roman" w:hAnsi="Times New Roman" w:cs="Times New Roman"/>
          <w:noProof/>
          <w:sz w:val="28"/>
          <w:szCs w:val="28"/>
        </w:rPr>
        <w:drawing>
          <wp:inline distT="0" distB="0" distL="0" distR="0">
            <wp:extent cx="5940425" cy="4756150"/>
            <wp:effectExtent l="0" t="0" r="317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756150"/>
                    </a:xfrm>
                    <a:prstGeom prst="rect">
                      <a:avLst/>
                    </a:prstGeom>
                    <a:noFill/>
                    <a:ln>
                      <a:noFill/>
                    </a:ln>
                  </pic:spPr>
                </pic:pic>
              </a:graphicData>
            </a:graphic>
          </wp:inline>
        </w:drawing>
      </w:r>
    </w:p>
    <w:p w:rsidR="0070422C" w:rsidRPr="00256DC9" w:rsidRDefault="0070422C"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i/>
          <w:iCs/>
          <w:sz w:val="28"/>
          <w:szCs w:val="28"/>
        </w:rPr>
        <w:t>Рисунок 5</w:t>
      </w:r>
      <w:r w:rsidRPr="00256DC9">
        <w:rPr>
          <w:rFonts w:ascii="Times New Roman" w:hAnsi="Times New Roman" w:cs="Times New Roman"/>
          <w:sz w:val="28"/>
          <w:szCs w:val="28"/>
        </w:rPr>
        <w:t xml:space="preserve">. Корреляция количества койко-дней и объемом перелитой </w:t>
      </w:r>
      <w:proofErr w:type="spellStart"/>
      <w:r w:rsidRPr="00256DC9">
        <w:rPr>
          <w:rFonts w:ascii="Times New Roman" w:hAnsi="Times New Roman" w:cs="Times New Roman"/>
          <w:sz w:val="28"/>
          <w:szCs w:val="28"/>
        </w:rPr>
        <w:t>эритроцитарной</w:t>
      </w:r>
      <w:proofErr w:type="spellEnd"/>
      <w:r w:rsidRPr="00256DC9">
        <w:rPr>
          <w:rFonts w:ascii="Times New Roman" w:hAnsi="Times New Roman" w:cs="Times New Roman"/>
          <w:sz w:val="28"/>
          <w:szCs w:val="28"/>
        </w:rPr>
        <w:t xml:space="preserve"> взвеси</w:t>
      </w:r>
    </w:p>
    <w:p w:rsidR="004431B3" w:rsidRPr="00256DC9" w:rsidRDefault="004431B3" w:rsidP="00256DC9">
      <w:pPr>
        <w:spacing w:line="360" w:lineRule="auto"/>
        <w:ind w:firstLine="709"/>
        <w:jc w:val="both"/>
        <w:rPr>
          <w:rFonts w:ascii="Times New Roman" w:hAnsi="Times New Roman" w:cs="Times New Roman"/>
          <w:sz w:val="28"/>
          <w:szCs w:val="28"/>
        </w:rPr>
      </w:pPr>
    </w:p>
    <w:p w:rsidR="0070422C" w:rsidRPr="00256DC9" w:rsidRDefault="0070422C"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 xml:space="preserve">Была выявлена </w:t>
      </w:r>
      <w:r w:rsidR="00B14797" w:rsidRPr="00256DC9">
        <w:rPr>
          <w:rFonts w:ascii="Times New Roman" w:hAnsi="Times New Roman" w:cs="Times New Roman"/>
          <w:sz w:val="28"/>
          <w:szCs w:val="28"/>
        </w:rPr>
        <w:t>слабо</w:t>
      </w:r>
      <w:r w:rsidRPr="00256DC9">
        <w:rPr>
          <w:rFonts w:ascii="Times New Roman" w:hAnsi="Times New Roman" w:cs="Times New Roman"/>
          <w:sz w:val="28"/>
          <w:szCs w:val="28"/>
        </w:rPr>
        <w:t xml:space="preserve">положительная корреляция между количеством койко-дней, проведенных пациентами в стационаре, и объемом </w:t>
      </w:r>
      <w:r w:rsidR="00B14797" w:rsidRPr="00256DC9">
        <w:rPr>
          <w:rFonts w:ascii="Times New Roman" w:hAnsi="Times New Roman" w:cs="Times New Roman"/>
          <w:sz w:val="28"/>
          <w:szCs w:val="28"/>
        </w:rPr>
        <w:t>перелитой эритроцитарной взвеси</w:t>
      </w:r>
      <w:r w:rsidRPr="00256DC9">
        <w:rPr>
          <w:rFonts w:ascii="Times New Roman" w:hAnsi="Times New Roman" w:cs="Times New Roman"/>
          <w:sz w:val="28"/>
          <w:szCs w:val="28"/>
        </w:rPr>
        <w:t xml:space="preserve"> (r=0,</w:t>
      </w:r>
      <w:r w:rsidR="00B14797" w:rsidRPr="00256DC9">
        <w:rPr>
          <w:rFonts w:ascii="Times New Roman" w:hAnsi="Times New Roman" w:cs="Times New Roman"/>
          <w:sz w:val="28"/>
          <w:szCs w:val="28"/>
        </w:rPr>
        <w:t>482</w:t>
      </w:r>
      <w:r w:rsidRPr="00256DC9">
        <w:rPr>
          <w:rFonts w:ascii="Times New Roman" w:hAnsi="Times New Roman" w:cs="Times New Roman"/>
          <w:sz w:val="28"/>
          <w:szCs w:val="28"/>
        </w:rPr>
        <w:t>, p=0,0001) (</w:t>
      </w:r>
      <w:r w:rsidRPr="00256DC9">
        <w:rPr>
          <w:rFonts w:ascii="Times New Roman" w:hAnsi="Times New Roman" w:cs="Times New Roman"/>
          <w:i/>
          <w:iCs/>
          <w:sz w:val="28"/>
          <w:szCs w:val="28"/>
        </w:rPr>
        <w:t>рис. 4</w:t>
      </w:r>
      <w:r w:rsidRPr="00256DC9">
        <w:rPr>
          <w:rFonts w:ascii="Times New Roman" w:hAnsi="Times New Roman" w:cs="Times New Roman"/>
          <w:sz w:val="28"/>
          <w:szCs w:val="28"/>
        </w:rPr>
        <w:t>).</w:t>
      </w:r>
    </w:p>
    <w:p w:rsidR="0070422C" w:rsidRPr="00256DC9" w:rsidRDefault="0070422C" w:rsidP="00256DC9">
      <w:pPr>
        <w:autoSpaceDE w:val="0"/>
        <w:autoSpaceDN w:val="0"/>
        <w:adjustRightInd w:val="0"/>
        <w:spacing w:line="360" w:lineRule="auto"/>
        <w:jc w:val="both"/>
        <w:rPr>
          <w:rFonts w:ascii="Times New Roman" w:hAnsi="Times New Roman" w:cs="Times New Roman"/>
          <w:sz w:val="28"/>
          <w:szCs w:val="28"/>
        </w:rPr>
      </w:pPr>
    </w:p>
    <w:p w:rsidR="00F72D1C" w:rsidRPr="00256DC9" w:rsidRDefault="00F72D1C" w:rsidP="00256DC9">
      <w:pPr>
        <w:spacing w:line="360" w:lineRule="auto"/>
        <w:ind w:firstLine="624"/>
        <w:jc w:val="both"/>
        <w:rPr>
          <w:rFonts w:ascii="Times New Roman" w:hAnsi="Times New Roman" w:cs="Times New Roman"/>
          <w:b/>
          <w:bCs/>
          <w:sz w:val="28"/>
          <w:szCs w:val="28"/>
        </w:rPr>
      </w:pPr>
      <w:r w:rsidRPr="00256DC9">
        <w:rPr>
          <w:rFonts w:ascii="Times New Roman" w:hAnsi="Times New Roman" w:cs="Times New Roman"/>
          <w:b/>
          <w:bCs/>
          <w:sz w:val="28"/>
          <w:szCs w:val="28"/>
        </w:rPr>
        <w:lastRenderedPageBreak/>
        <w:t>3.6 Сравнение количества проведенных койко-дней</w:t>
      </w:r>
      <w:r w:rsidR="00E97016" w:rsidRPr="00256DC9">
        <w:rPr>
          <w:rFonts w:ascii="Times New Roman" w:hAnsi="Times New Roman" w:cs="Times New Roman"/>
          <w:b/>
          <w:bCs/>
          <w:sz w:val="28"/>
          <w:szCs w:val="28"/>
        </w:rPr>
        <w:t xml:space="preserve"> </w:t>
      </w:r>
      <w:r w:rsidRPr="00256DC9">
        <w:rPr>
          <w:rFonts w:ascii="Times New Roman" w:hAnsi="Times New Roman" w:cs="Times New Roman"/>
          <w:b/>
          <w:bCs/>
          <w:sz w:val="28"/>
          <w:szCs w:val="28"/>
        </w:rPr>
        <w:t xml:space="preserve">в стационаре </w:t>
      </w:r>
      <w:r w:rsidR="00E97016" w:rsidRPr="00256DC9">
        <w:rPr>
          <w:rFonts w:ascii="Times New Roman" w:hAnsi="Times New Roman" w:cs="Times New Roman"/>
          <w:b/>
          <w:bCs/>
          <w:sz w:val="28"/>
          <w:szCs w:val="28"/>
        </w:rPr>
        <w:t xml:space="preserve">и актов трансфузий </w:t>
      </w:r>
      <w:r w:rsidRPr="00256DC9">
        <w:rPr>
          <w:rFonts w:ascii="Times New Roman" w:hAnsi="Times New Roman" w:cs="Times New Roman"/>
          <w:b/>
          <w:bCs/>
          <w:sz w:val="28"/>
          <w:szCs w:val="28"/>
        </w:rPr>
        <w:t>при различной локализации язвы</w:t>
      </w:r>
      <w:r w:rsidR="00E97016" w:rsidRPr="00256DC9">
        <w:rPr>
          <w:rFonts w:ascii="Times New Roman" w:hAnsi="Times New Roman" w:cs="Times New Roman"/>
          <w:b/>
          <w:bCs/>
          <w:sz w:val="28"/>
          <w:szCs w:val="28"/>
        </w:rPr>
        <w:t xml:space="preserve">  </w:t>
      </w:r>
    </w:p>
    <w:p w:rsidR="00E97016" w:rsidRPr="00256DC9" w:rsidRDefault="0047330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При статистическом анализе с использованием критерия Манна-Уитни при сравнении показателя проведенных в стационаре койко-дней между двумя группами пациентов с локализацией язвы в двенадцатиперстной кишке и желудке не выявили статистически значимых различий (</w:t>
      </w:r>
      <w:r w:rsidRPr="00256DC9">
        <w:rPr>
          <w:rFonts w:ascii="Times New Roman" w:hAnsi="Times New Roman" w:cs="Times New Roman"/>
          <w:sz w:val="28"/>
          <w:szCs w:val="28"/>
          <w:lang w:val="en-US"/>
        </w:rPr>
        <w:t>p</w:t>
      </w:r>
      <w:r w:rsidRPr="00256DC9">
        <w:rPr>
          <w:rFonts w:ascii="Times New Roman" w:hAnsi="Times New Roman" w:cs="Times New Roman"/>
          <w:sz w:val="28"/>
          <w:szCs w:val="28"/>
        </w:rPr>
        <w:t xml:space="preserve">=0,46). </w:t>
      </w:r>
    </w:p>
    <w:p w:rsidR="0047330A" w:rsidRPr="00256DC9" w:rsidRDefault="0047330A"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Также статистически значимые различия не выявлены и при сравнении показател</w:t>
      </w:r>
      <w:r w:rsidR="00B44AAE" w:rsidRPr="00256DC9">
        <w:rPr>
          <w:rFonts w:ascii="Times New Roman" w:hAnsi="Times New Roman" w:cs="Times New Roman"/>
          <w:sz w:val="28"/>
          <w:szCs w:val="28"/>
        </w:rPr>
        <w:t>я</w:t>
      </w:r>
      <w:r w:rsidRPr="00256DC9">
        <w:rPr>
          <w:rFonts w:ascii="Times New Roman" w:hAnsi="Times New Roman" w:cs="Times New Roman"/>
          <w:sz w:val="28"/>
          <w:szCs w:val="28"/>
        </w:rPr>
        <w:t xml:space="preserve"> количества актов гемотрансфузии между исследуемыми группами пациентов (</w:t>
      </w:r>
      <w:r w:rsidRPr="00256DC9">
        <w:rPr>
          <w:rFonts w:ascii="Times New Roman" w:hAnsi="Times New Roman" w:cs="Times New Roman"/>
          <w:sz w:val="28"/>
          <w:szCs w:val="28"/>
          <w:lang w:val="en-US"/>
        </w:rPr>
        <w:t>p</w:t>
      </w:r>
      <w:r w:rsidRPr="00256DC9">
        <w:rPr>
          <w:rFonts w:ascii="Times New Roman" w:hAnsi="Times New Roman" w:cs="Times New Roman"/>
          <w:sz w:val="28"/>
          <w:szCs w:val="28"/>
        </w:rPr>
        <w:t>=0,17).</w:t>
      </w:r>
    </w:p>
    <w:p w:rsidR="0004380E" w:rsidRPr="00256DC9" w:rsidRDefault="0004380E" w:rsidP="00256DC9">
      <w:pPr>
        <w:pStyle w:val="aa"/>
        <w:spacing w:line="360" w:lineRule="auto"/>
        <w:jc w:val="both"/>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br w:type="page"/>
      </w:r>
    </w:p>
    <w:p w:rsidR="00DF157C" w:rsidRPr="00256DC9" w:rsidRDefault="00DF157C" w:rsidP="00256DC9">
      <w:pPr>
        <w:spacing w:line="360" w:lineRule="auto"/>
        <w:ind w:firstLine="567"/>
        <w:jc w:val="center"/>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lastRenderedPageBreak/>
        <w:t>ЗАКЛЮЧЕНИЕ</w:t>
      </w:r>
    </w:p>
    <w:p w:rsidR="000A79D1" w:rsidRPr="00256DC9" w:rsidRDefault="00DF157C" w:rsidP="00256DC9">
      <w:pPr>
        <w:spacing w:line="360" w:lineRule="auto"/>
        <w:ind w:firstLine="709"/>
        <w:jc w:val="both"/>
        <w:rPr>
          <w:rFonts w:ascii="Times New Roman" w:eastAsia="Times New Roman" w:hAnsi="Times New Roman" w:cs="Times New Roman"/>
          <w:bCs/>
          <w:sz w:val="28"/>
          <w:szCs w:val="28"/>
        </w:rPr>
      </w:pPr>
      <w:r w:rsidRPr="00256DC9">
        <w:rPr>
          <w:rFonts w:ascii="Times New Roman" w:eastAsia="Times New Roman" w:hAnsi="Times New Roman" w:cs="Times New Roman"/>
          <w:b/>
          <w:sz w:val="28"/>
          <w:szCs w:val="28"/>
        </w:rPr>
        <w:t xml:space="preserve"> </w:t>
      </w:r>
      <w:r w:rsidRPr="00256DC9">
        <w:rPr>
          <w:rFonts w:ascii="Times New Roman" w:eastAsia="Times New Roman" w:hAnsi="Times New Roman" w:cs="Times New Roman"/>
          <w:bCs/>
          <w:sz w:val="28"/>
          <w:szCs w:val="28"/>
        </w:rPr>
        <w:t xml:space="preserve">Кровотечение является самый частым осложнением язвенной болезни желудка и ДПК. </w:t>
      </w:r>
      <w:r w:rsidR="00877F3D" w:rsidRPr="00256DC9">
        <w:rPr>
          <w:rFonts w:ascii="Times New Roman" w:eastAsia="Times New Roman" w:hAnsi="Times New Roman" w:cs="Times New Roman"/>
          <w:bCs/>
          <w:sz w:val="28"/>
          <w:szCs w:val="28"/>
        </w:rPr>
        <w:t xml:space="preserve"> </w:t>
      </w:r>
      <w:r w:rsidR="000A79D1" w:rsidRPr="00256DC9">
        <w:rPr>
          <w:rFonts w:ascii="Times New Roman" w:eastAsia="Times New Roman" w:hAnsi="Times New Roman" w:cs="Times New Roman"/>
          <w:sz w:val="28"/>
          <w:szCs w:val="28"/>
        </w:rPr>
        <w:t xml:space="preserve">Лечение ЖКК сводится к выбору оптимальной инфузионной замещающей терапии и трансфузионной терапии эритроцитарной массой. Проведение заместительной терапии является основным терапевтическим направлением в лечении больных с кровотечениями из верхних отделов ЖКТ и профилактики рецидивных геморрагий. </w:t>
      </w:r>
    </w:p>
    <w:p w:rsidR="00B66848" w:rsidRPr="00256DC9" w:rsidRDefault="00877F3D" w:rsidP="00256DC9">
      <w:pPr>
        <w:pStyle w:val="aa"/>
        <w:spacing w:line="360" w:lineRule="auto"/>
        <w:ind w:left="0" w:firstLine="709"/>
        <w:jc w:val="both"/>
        <w:rPr>
          <w:rFonts w:ascii="Times New Roman" w:eastAsia="Times New Roman" w:hAnsi="Times New Roman" w:cs="Times New Roman"/>
          <w:sz w:val="28"/>
          <w:szCs w:val="28"/>
        </w:rPr>
      </w:pPr>
      <w:r w:rsidRPr="00256DC9">
        <w:rPr>
          <w:rFonts w:ascii="Times New Roman" w:eastAsia="Times New Roman" w:hAnsi="Times New Roman" w:cs="Times New Roman"/>
          <w:bCs/>
          <w:sz w:val="28"/>
          <w:szCs w:val="28"/>
        </w:rPr>
        <w:t>В результате проведенного исследования были получены данные о преобладании кровотечений из язвы</w:t>
      </w:r>
      <w:r w:rsidR="00B66848" w:rsidRPr="00256DC9">
        <w:rPr>
          <w:rFonts w:ascii="Times New Roman" w:eastAsia="Times New Roman" w:hAnsi="Times New Roman" w:cs="Times New Roman"/>
          <w:bCs/>
          <w:sz w:val="28"/>
          <w:szCs w:val="28"/>
        </w:rPr>
        <w:t xml:space="preserve">, локализованной в </w:t>
      </w:r>
      <w:r w:rsidRPr="00256DC9">
        <w:rPr>
          <w:rFonts w:ascii="Times New Roman" w:eastAsia="Times New Roman" w:hAnsi="Times New Roman" w:cs="Times New Roman"/>
          <w:bCs/>
          <w:sz w:val="28"/>
          <w:szCs w:val="28"/>
        </w:rPr>
        <w:t>ДПК среди пациентов мужского пола</w:t>
      </w:r>
      <w:r w:rsidR="00B66848" w:rsidRPr="00256DC9">
        <w:rPr>
          <w:rFonts w:ascii="Times New Roman" w:eastAsia="Times New Roman" w:hAnsi="Times New Roman" w:cs="Times New Roman"/>
          <w:bCs/>
          <w:sz w:val="28"/>
          <w:szCs w:val="28"/>
        </w:rPr>
        <w:t xml:space="preserve"> (90%), </w:t>
      </w:r>
      <w:r w:rsidR="00B66848" w:rsidRPr="00256DC9">
        <w:rPr>
          <w:rFonts w:ascii="Times New Roman" w:eastAsia="Times New Roman" w:hAnsi="Times New Roman" w:cs="Times New Roman"/>
          <w:sz w:val="28"/>
          <w:szCs w:val="28"/>
        </w:rPr>
        <w:t xml:space="preserve">в то время как кровотечение из язвы, локализованной </w:t>
      </w:r>
      <w:proofErr w:type="gramStart"/>
      <w:r w:rsidR="00B66848" w:rsidRPr="00256DC9">
        <w:rPr>
          <w:rFonts w:ascii="Times New Roman" w:eastAsia="Times New Roman" w:hAnsi="Times New Roman" w:cs="Times New Roman"/>
          <w:sz w:val="28"/>
          <w:szCs w:val="28"/>
        </w:rPr>
        <w:t>в желудке</w:t>
      </w:r>
      <w:proofErr w:type="gramEnd"/>
      <w:r w:rsidR="00B66848" w:rsidRPr="00256DC9">
        <w:rPr>
          <w:rFonts w:ascii="Times New Roman" w:eastAsia="Times New Roman" w:hAnsi="Times New Roman" w:cs="Times New Roman"/>
          <w:sz w:val="28"/>
          <w:szCs w:val="28"/>
        </w:rPr>
        <w:t xml:space="preserve"> одинаково часто встречается и у мужчин (47%) и у женщин (52%). Острая и хроническая формы язвы одинаково часто локализованы и </w:t>
      </w:r>
      <w:proofErr w:type="gramStart"/>
      <w:r w:rsidR="00B66848" w:rsidRPr="00256DC9">
        <w:rPr>
          <w:rFonts w:ascii="Times New Roman" w:eastAsia="Times New Roman" w:hAnsi="Times New Roman" w:cs="Times New Roman"/>
          <w:sz w:val="28"/>
          <w:szCs w:val="28"/>
        </w:rPr>
        <w:t>в двенадцатиперстной кишке</w:t>
      </w:r>
      <w:proofErr w:type="gramEnd"/>
      <w:r w:rsidR="00B66848" w:rsidRPr="00256DC9">
        <w:rPr>
          <w:rFonts w:ascii="Times New Roman" w:eastAsia="Times New Roman" w:hAnsi="Times New Roman" w:cs="Times New Roman"/>
          <w:sz w:val="28"/>
          <w:szCs w:val="28"/>
        </w:rPr>
        <w:t xml:space="preserve"> и в желудке.</w:t>
      </w:r>
    </w:p>
    <w:p w:rsidR="00127F60" w:rsidRPr="00256DC9" w:rsidRDefault="00127F60" w:rsidP="00256DC9">
      <w:pPr>
        <w:spacing w:line="360" w:lineRule="auto"/>
        <w:ind w:firstLine="709"/>
        <w:jc w:val="both"/>
        <w:rPr>
          <w:rFonts w:ascii="Times New Roman" w:hAnsi="Times New Roman" w:cs="Times New Roman"/>
          <w:sz w:val="28"/>
          <w:szCs w:val="28"/>
        </w:rPr>
      </w:pPr>
      <w:r w:rsidRPr="00256DC9">
        <w:rPr>
          <w:rFonts w:ascii="Times New Roman" w:eastAsia="Times New Roman" w:hAnsi="Times New Roman" w:cs="Times New Roman"/>
          <w:sz w:val="28"/>
          <w:szCs w:val="28"/>
        </w:rPr>
        <w:t xml:space="preserve">Взаимосвязи </w:t>
      </w:r>
      <w:r w:rsidRPr="00256DC9">
        <w:rPr>
          <w:rFonts w:ascii="Times New Roman" w:hAnsi="Times New Roman" w:cs="Times New Roman"/>
          <w:sz w:val="28"/>
          <w:szCs w:val="28"/>
        </w:rPr>
        <w:t>между группой крови пациента и локализацией кровотечения из язвы выявлено не было (р=0,5)</w:t>
      </w:r>
    </w:p>
    <w:p w:rsidR="00B66848" w:rsidRPr="00256DC9" w:rsidRDefault="00B66848" w:rsidP="00256DC9">
      <w:pPr>
        <w:spacing w:line="360" w:lineRule="auto"/>
        <w:ind w:firstLine="709"/>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При проведении корреляционного анализа положительная корреляция была определена между количеством койко-дней проведенных в стационаре и количеством актов переливания (</w:t>
      </w:r>
      <w:r w:rsidRPr="00256DC9">
        <w:rPr>
          <w:rFonts w:ascii="Times New Roman" w:eastAsia="Times New Roman" w:hAnsi="Times New Roman" w:cs="Times New Roman"/>
          <w:sz w:val="28"/>
          <w:szCs w:val="28"/>
          <w:lang w:val="en-US"/>
        </w:rPr>
        <w:t>r</w:t>
      </w:r>
      <w:r w:rsidRPr="00256DC9">
        <w:rPr>
          <w:rFonts w:ascii="Times New Roman" w:eastAsia="Times New Roman" w:hAnsi="Times New Roman" w:cs="Times New Roman"/>
          <w:sz w:val="28"/>
          <w:szCs w:val="28"/>
        </w:rPr>
        <w:t xml:space="preserve">=0,612, </w:t>
      </w:r>
      <w:r w:rsidRPr="00256DC9">
        <w:rPr>
          <w:rFonts w:ascii="Times New Roman" w:eastAsia="Times New Roman" w:hAnsi="Times New Roman" w:cs="Times New Roman"/>
          <w:sz w:val="28"/>
          <w:szCs w:val="28"/>
          <w:lang w:val="en-US"/>
        </w:rPr>
        <w:t>p</w:t>
      </w:r>
      <w:r w:rsidRPr="00256DC9">
        <w:rPr>
          <w:rFonts w:ascii="Times New Roman" w:eastAsia="Times New Roman" w:hAnsi="Times New Roman" w:cs="Times New Roman"/>
          <w:sz w:val="28"/>
          <w:szCs w:val="28"/>
        </w:rPr>
        <w:t>=0,0001) количеством гемотрансфузий (</w:t>
      </w:r>
      <w:r w:rsidRPr="00256DC9">
        <w:rPr>
          <w:rFonts w:ascii="Times New Roman" w:eastAsia="Times New Roman" w:hAnsi="Times New Roman" w:cs="Times New Roman"/>
          <w:sz w:val="28"/>
          <w:szCs w:val="28"/>
          <w:lang w:val="en-US"/>
        </w:rPr>
        <w:t>r</w:t>
      </w:r>
      <w:r w:rsidRPr="00256DC9">
        <w:rPr>
          <w:rFonts w:ascii="Times New Roman" w:eastAsia="Times New Roman" w:hAnsi="Times New Roman" w:cs="Times New Roman"/>
          <w:sz w:val="28"/>
          <w:szCs w:val="28"/>
        </w:rPr>
        <w:t xml:space="preserve">=0,606, </w:t>
      </w:r>
      <w:r w:rsidRPr="00256DC9">
        <w:rPr>
          <w:rFonts w:ascii="Times New Roman" w:eastAsia="Times New Roman" w:hAnsi="Times New Roman" w:cs="Times New Roman"/>
          <w:sz w:val="28"/>
          <w:szCs w:val="28"/>
          <w:lang w:val="en-US"/>
        </w:rPr>
        <w:t>p</w:t>
      </w:r>
      <w:r w:rsidRPr="00256DC9">
        <w:rPr>
          <w:rFonts w:ascii="Times New Roman" w:eastAsia="Times New Roman" w:hAnsi="Times New Roman" w:cs="Times New Roman"/>
          <w:sz w:val="28"/>
          <w:szCs w:val="28"/>
        </w:rPr>
        <w:t>=0,0001), суммарными объемами перелитой свежезамороженной плазмы (</w:t>
      </w:r>
      <w:r w:rsidRPr="00256DC9">
        <w:rPr>
          <w:rFonts w:ascii="Times New Roman" w:eastAsia="Times New Roman" w:hAnsi="Times New Roman" w:cs="Times New Roman"/>
          <w:sz w:val="28"/>
          <w:szCs w:val="28"/>
          <w:lang w:val="en-US"/>
        </w:rPr>
        <w:t>r</w:t>
      </w:r>
      <w:r w:rsidRPr="00256DC9">
        <w:rPr>
          <w:rFonts w:ascii="Times New Roman" w:eastAsia="Times New Roman" w:hAnsi="Times New Roman" w:cs="Times New Roman"/>
          <w:sz w:val="28"/>
          <w:szCs w:val="28"/>
        </w:rPr>
        <w:t xml:space="preserve">=0,643, </w:t>
      </w:r>
      <w:r w:rsidRPr="00256DC9">
        <w:rPr>
          <w:rFonts w:ascii="Times New Roman" w:eastAsia="Times New Roman" w:hAnsi="Times New Roman" w:cs="Times New Roman"/>
          <w:sz w:val="28"/>
          <w:szCs w:val="28"/>
          <w:lang w:val="en-US"/>
        </w:rPr>
        <w:t>p</w:t>
      </w:r>
      <w:r w:rsidRPr="00256DC9">
        <w:rPr>
          <w:rFonts w:ascii="Times New Roman" w:eastAsia="Times New Roman" w:hAnsi="Times New Roman" w:cs="Times New Roman"/>
          <w:sz w:val="28"/>
          <w:szCs w:val="28"/>
        </w:rPr>
        <w:t xml:space="preserve">=0,0001), а также слабоположительная корреляция с объемом </w:t>
      </w:r>
      <w:proofErr w:type="spellStart"/>
      <w:r w:rsidRPr="00256DC9">
        <w:rPr>
          <w:rFonts w:ascii="Times New Roman" w:eastAsia="Times New Roman" w:hAnsi="Times New Roman" w:cs="Times New Roman"/>
          <w:sz w:val="28"/>
          <w:szCs w:val="28"/>
        </w:rPr>
        <w:t>эритроцитарной</w:t>
      </w:r>
      <w:proofErr w:type="spellEnd"/>
      <w:r w:rsidRPr="00256DC9">
        <w:rPr>
          <w:rFonts w:ascii="Times New Roman" w:eastAsia="Times New Roman" w:hAnsi="Times New Roman" w:cs="Times New Roman"/>
          <w:sz w:val="28"/>
          <w:szCs w:val="28"/>
        </w:rPr>
        <w:t xml:space="preserve"> взвеси (</w:t>
      </w:r>
      <w:r w:rsidRPr="00256DC9">
        <w:rPr>
          <w:rFonts w:ascii="Times New Roman" w:eastAsia="Times New Roman" w:hAnsi="Times New Roman" w:cs="Times New Roman"/>
          <w:sz w:val="28"/>
          <w:szCs w:val="28"/>
          <w:lang w:val="en-US"/>
        </w:rPr>
        <w:t>r</w:t>
      </w:r>
      <w:r w:rsidRPr="00256DC9">
        <w:rPr>
          <w:rFonts w:ascii="Times New Roman" w:eastAsia="Times New Roman" w:hAnsi="Times New Roman" w:cs="Times New Roman"/>
          <w:sz w:val="28"/>
          <w:szCs w:val="28"/>
        </w:rPr>
        <w:t xml:space="preserve">=0,482, </w:t>
      </w:r>
      <w:r w:rsidRPr="00256DC9">
        <w:rPr>
          <w:rFonts w:ascii="Times New Roman" w:eastAsia="Times New Roman" w:hAnsi="Times New Roman" w:cs="Times New Roman"/>
          <w:sz w:val="28"/>
          <w:szCs w:val="28"/>
          <w:lang w:val="en-US"/>
        </w:rPr>
        <w:t>p</w:t>
      </w:r>
      <w:r w:rsidRPr="00256DC9">
        <w:rPr>
          <w:rFonts w:ascii="Times New Roman" w:eastAsia="Times New Roman" w:hAnsi="Times New Roman" w:cs="Times New Roman"/>
          <w:sz w:val="28"/>
          <w:szCs w:val="28"/>
        </w:rPr>
        <w:t>=0,0001).</w:t>
      </w:r>
    </w:p>
    <w:p w:rsidR="00127F60" w:rsidRPr="00256DC9" w:rsidRDefault="00127F60" w:rsidP="00256DC9">
      <w:pPr>
        <w:pStyle w:val="aa"/>
        <w:spacing w:line="360" w:lineRule="auto"/>
        <w:ind w:left="0" w:firstLine="709"/>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Взаимосвяз</w:t>
      </w:r>
      <w:r w:rsidR="00B66848" w:rsidRPr="00256DC9">
        <w:rPr>
          <w:rFonts w:ascii="Times New Roman" w:eastAsia="Times New Roman" w:hAnsi="Times New Roman" w:cs="Times New Roman"/>
          <w:sz w:val="28"/>
          <w:szCs w:val="28"/>
        </w:rPr>
        <w:t>и</w:t>
      </w:r>
      <w:r w:rsidRPr="00256DC9">
        <w:rPr>
          <w:rFonts w:ascii="Times New Roman" w:eastAsia="Times New Roman" w:hAnsi="Times New Roman" w:cs="Times New Roman"/>
          <w:sz w:val="28"/>
          <w:szCs w:val="28"/>
        </w:rPr>
        <w:t xml:space="preserve"> между локализацией язвенного кровотечения и длительностью госпитализации</w:t>
      </w:r>
      <w:r w:rsidR="00B66848" w:rsidRPr="00256DC9">
        <w:rPr>
          <w:rFonts w:ascii="Times New Roman" w:eastAsia="Times New Roman" w:hAnsi="Times New Roman" w:cs="Times New Roman"/>
          <w:sz w:val="28"/>
          <w:szCs w:val="28"/>
        </w:rPr>
        <w:t xml:space="preserve"> (р=0,46)</w:t>
      </w:r>
      <w:r w:rsidRPr="00256DC9">
        <w:rPr>
          <w:rFonts w:ascii="Times New Roman" w:eastAsia="Times New Roman" w:hAnsi="Times New Roman" w:cs="Times New Roman"/>
          <w:sz w:val="28"/>
          <w:szCs w:val="28"/>
        </w:rPr>
        <w:t>, а также количеством актов трансфузии не о</w:t>
      </w:r>
      <w:r w:rsidR="00B66848" w:rsidRPr="00256DC9">
        <w:rPr>
          <w:rFonts w:ascii="Times New Roman" w:eastAsia="Times New Roman" w:hAnsi="Times New Roman" w:cs="Times New Roman"/>
          <w:sz w:val="28"/>
          <w:szCs w:val="28"/>
        </w:rPr>
        <w:t>бнаружено (р=0,17)</w:t>
      </w:r>
      <w:r w:rsidRPr="00256DC9">
        <w:rPr>
          <w:rFonts w:ascii="Times New Roman" w:eastAsia="Times New Roman" w:hAnsi="Times New Roman" w:cs="Times New Roman"/>
          <w:sz w:val="28"/>
          <w:szCs w:val="28"/>
        </w:rPr>
        <w:t>.</w:t>
      </w:r>
    </w:p>
    <w:p w:rsidR="00C252AB" w:rsidRPr="00256DC9" w:rsidRDefault="00C252AB" w:rsidP="00256DC9">
      <w:pPr>
        <w:spacing w:line="360" w:lineRule="auto"/>
        <w:ind w:firstLine="709"/>
        <w:jc w:val="both"/>
        <w:rPr>
          <w:rFonts w:ascii="Times New Roman" w:hAnsi="Times New Roman" w:cs="Times New Roman"/>
          <w:sz w:val="28"/>
          <w:szCs w:val="28"/>
        </w:rPr>
      </w:pPr>
      <w:r w:rsidRPr="00256DC9">
        <w:rPr>
          <w:rFonts w:ascii="Times New Roman" w:hAnsi="Times New Roman" w:cs="Times New Roman"/>
          <w:sz w:val="28"/>
          <w:szCs w:val="28"/>
        </w:rPr>
        <w:t>Таким образом локализация язвы в желудке или ДПК не оказывает влияние на длительность госпитализации и на количество актов гемотрансфузии.</w:t>
      </w:r>
    </w:p>
    <w:p w:rsidR="00BA3B0E" w:rsidRPr="00256DC9" w:rsidRDefault="00845F41" w:rsidP="00256DC9">
      <w:pPr>
        <w:spacing w:line="360" w:lineRule="auto"/>
        <w:ind w:firstLine="567"/>
        <w:jc w:val="center"/>
        <w:rPr>
          <w:rFonts w:ascii="Times New Roman" w:eastAsia="Times New Roman" w:hAnsi="Times New Roman" w:cs="Times New Roman"/>
          <w:b/>
          <w:sz w:val="28"/>
          <w:szCs w:val="28"/>
        </w:rPr>
      </w:pPr>
      <w:r w:rsidRPr="00256DC9">
        <w:rPr>
          <w:rFonts w:ascii="Times New Roman" w:eastAsia="Times New Roman" w:hAnsi="Times New Roman" w:cs="Times New Roman"/>
          <w:b/>
          <w:sz w:val="28"/>
          <w:szCs w:val="28"/>
        </w:rPr>
        <w:lastRenderedPageBreak/>
        <w:t>ВЫВОДЫ</w:t>
      </w:r>
    </w:p>
    <w:p w:rsidR="00877F3D" w:rsidRPr="00256DC9" w:rsidRDefault="00127F60" w:rsidP="00256DC9">
      <w:pPr>
        <w:pStyle w:val="aa"/>
        <w:numPr>
          <w:ilvl w:val="0"/>
          <w:numId w:val="12"/>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Кровотечение</w:t>
      </w:r>
      <w:r w:rsidR="00877F3D" w:rsidRPr="00256DC9">
        <w:rPr>
          <w:rFonts w:ascii="Times New Roman" w:eastAsia="Times New Roman" w:hAnsi="Times New Roman" w:cs="Times New Roman"/>
          <w:sz w:val="28"/>
          <w:szCs w:val="28"/>
        </w:rPr>
        <w:t xml:space="preserve"> </w:t>
      </w:r>
      <w:r w:rsidR="00F111C5" w:rsidRPr="00256DC9">
        <w:rPr>
          <w:rFonts w:ascii="Times New Roman" w:eastAsia="Times New Roman" w:hAnsi="Times New Roman" w:cs="Times New Roman"/>
          <w:sz w:val="28"/>
          <w:szCs w:val="28"/>
        </w:rPr>
        <w:t>из</w:t>
      </w:r>
      <w:r w:rsidR="00877F3D" w:rsidRPr="00256DC9">
        <w:rPr>
          <w:rFonts w:ascii="Times New Roman" w:eastAsia="Times New Roman" w:hAnsi="Times New Roman" w:cs="Times New Roman"/>
          <w:sz w:val="28"/>
          <w:szCs w:val="28"/>
        </w:rPr>
        <w:t xml:space="preserve"> </w:t>
      </w:r>
      <w:r w:rsidR="00F111C5" w:rsidRPr="00256DC9">
        <w:rPr>
          <w:rFonts w:ascii="Times New Roman" w:eastAsia="Times New Roman" w:hAnsi="Times New Roman" w:cs="Times New Roman"/>
          <w:sz w:val="28"/>
          <w:szCs w:val="28"/>
        </w:rPr>
        <w:t>язв</w:t>
      </w:r>
      <w:r w:rsidRPr="00256DC9">
        <w:rPr>
          <w:rFonts w:ascii="Times New Roman" w:eastAsia="Times New Roman" w:hAnsi="Times New Roman" w:cs="Times New Roman"/>
          <w:sz w:val="28"/>
          <w:szCs w:val="28"/>
        </w:rPr>
        <w:t>ы</w:t>
      </w:r>
      <w:r w:rsidR="00F111C5" w:rsidRPr="00256DC9">
        <w:rPr>
          <w:rFonts w:ascii="Times New Roman" w:eastAsia="Times New Roman" w:hAnsi="Times New Roman" w:cs="Times New Roman"/>
          <w:sz w:val="28"/>
          <w:szCs w:val="28"/>
        </w:rPr>
        <w:t xml:space="preserve">, локализованной </w:t>
      </w:r>
      <w:proofErr w:type="gramStart"/>
      <w:r w:rsidR="00F111C5" w:rsidRPr="00256DC9">
        <w:rPr>
          <w:rFonts w:ascii="Times New Roman" w:eastAsia="Times New Roman" w:hAnsi="Times New Roman" w:cs="Times New Roman"/>
          <w:sz w:val="28"/>
          <w:szCs w:val="28"/>
        </w:rPr>
        <w:t>в двенадцатиперстной кишке</w:t>
      </w:r>
      <w:proofErr w:type="gramEnd"/>
      <w:r w:rsidR="00F111C5" w:rsidRPr="00256DC9">
        <w:rPr>
          <w:rFonts w:ascii="Times New Roman" w:eastAsia="Times New Roman" w:hAnsi="Times New Roman" w:cs="Times New Roman"/>
          <w:sz w:val="28"/>
          <w:szCs w:val="28"/>
        </w:rPr>
        <w:t xml:space="preserve"> </w:t>
      </w:r>
      <w:r w:rsidRPr="00256DC9">
        <w:rPr>
          <w:rFonts w:ascii="Times New Roman" w:eastAsia="Times New Roman" w:hAnsi="Times New Roman" w:cs="Times New Roman"/>
          <w:sz w:val="28"/>
          <w:szCs w:val="28"/>
        </w:rPr>
        <w:t xml:space="preserve">чаще </w:t>
      </w:r>
      <w:r w:rsidR="00F111C5" w:rsidRPr="00256DC9">
        <w:rPr>
          <w:rFonts w:ascii="Times New Roman" w:eastAsia="Times New Roman" w:hAnsi="Times New Roman" w:cs="Times New Roman"/>
          <w:sz w:val="28"/>
          <w:szCs w:val="28"/>
        </w:rPr>
        <w:t xml:space="preserve">встречается </w:t>
      </w:r>
      <w:r w:rsidRPr="00256DC9">
        <w:rPr>
          <w:rFonts w:ascii="Times New Roman" w:eastAsia="Times New Roman" w:hAnsi="Times New Roman" w:cs="Times New Roman"/>
          <w:sz w:val="28"/>
          <w:szCs w:val="28"/>
        </w:rPr>
        <w:t>у мужчин</w:t>
      </w:r>
      <w:r w:rsidR="00F111C5" w:rsidRPr="00256DC9">
        <w:rPr>
          <w:rFonts w:ascii="Times New Roman" w:eastAsia="Times New Roman" w:hAnsi="Times New Roman" w:cs="Times New Roman"/>
          <w:sz w:val="28"/>
          <w:szCs w:val="28"/>
        </w:rPr>
        <w:t>,</w:t>
      </w:r>
      <w:r w:rsidRPr="00256DC9">
        <w:rPr>
          <w:rFonts w:ascii="Times New Roman" w:eastAsia="Times New Roman" w:hAnsi="Times New Roman" w:cs="Times New Roman"/>
          <w:sz w:val="28"/>
          <w:szCs w:val="28"/>
        </w:rPr>
        <w:t xml:space="preserve"> чем у женщин, в то время как кровотечение из язвы, локализованной в желудке одинаково часто встречается и у мужчин и у женщин.</w:t>
      </w:r>
    </w:p>
    <w:p w:rsidR="00127F60" w:rsidRPr="00256DC9" w:rsidRDefault="00127F60" w:rsidP="00256DC9">
      <w:pPr>
        <w:pStyle w:val="aa"/>
        <w:numPr>
          <w:ilvl w:val="0"/>
          <w:numId w:val="12"/>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Острая</w:t>
      </w:r>
      <w:r w:rsidR="00B66848" w:rsidRPr="00256DC9">
        <w:rPr>
          <w:rFonts w:ascii="Times New Roman" w:eastAsia="Times New Roman" w:hAnsi="Times New Roman" w:cs="Times New Roman"/>
          <w:sz w:val="28"/>
          <w:szCs w:val="28"/>
        </w:rPr>
        <w:t xml:space="preserve"> и хроническая</w:t>
      </w:r>
      <w:r w:rsidRPr="00256DC9">
        <w:rPr>
          <w:rFonts w:ascii="Times New Roman" w:eastAsia="Times New Roman" w:hAnsi="Times New Roman" w:cs="Times New Roman"/>
          <w:sz w:val="28"/>
          <w:szCs w:val="28"/>
        </w:rPr>
        <w:t xml:space="preserve"> форм</w:t>
      </w:r>
      <w:r w:rsidR="00B66848" w:rsidRPr="00256DC9">
        <w:rPr>
          <w:rFonts w:ascii="Times New Roman" w:eastAsia="Times New Roman" w:hAnsi="Times New Roman" w:cs="Times New Roman"/>
          <w:sz w:val="28"/>
          <w:szCs w:val="28"/>
        </w:rPr>
        <w:t xml:space="preserve">ы </w:t>
      </w:r>
      <w:r w:rsidRPr="00256DC9">
        <w:rPr>
          <w:rFonts w:ascii="Times New Roman" w:eastAsia="Times New Roman" w:hAnsi="Times New Roman" w:cs="Times New Roman"/>
          <w:sz w:val="28"/>
          <w:szCs w:val="28"/>
        </w:rPr>
        <w:t>язвы одинаково часто локализован</w:t>
      </w:r>
      <w:r w:rsidR="00B66848" w:rsidRPr="00256DC9">
        <w:rPr>
          <w:rFonts w:ascii="Times New Roman" w:eastAsia="Times New Roman" w:hAnsi="Times New Roman" w:cs="Times New Roman"/>
          <w:sz w:val="28"/>
          <w:szCs w:val="28"/>
        </w:rPr>
        <w:t>ы</w:t>
      </w:r>
      <w:r w:rsidRPr="00256DC9">
        <w:rPr>
          <w:rFonts w:ascii="Times New Roman" w:eastAsia="Times New Roman" w:hAnsi="Times New Roman" w:cs="Times New Roman"/>
          <w:sz w:val="28"/>
          <w:szCs w:val="28"/>
        </w:rPr>
        <w:t xml:space="preserve"> и </w:t>
      </w:r>
      <w:proofErr w:type="gramStart"/>
      <w:r w:rsidRPr="00256DC9">
        <w:rPr>
          <w:rFonts w:ascii="Times New Roman" w:eastAsia="Times New Roman" w:hAnsi="Times New Roman" w:cs="Times New Roman"/>
          <w:sz w:val="28"/>
          <w:szCs w:val="28"/>
        </w:rPr>
        <w:t>в двенадцатиперстной кишк</w:t>
      </w:r>
      <w:r w:rsidR="00B66848" w:rsidRPr="00256DC9">
        <w:rPr>
          <w:rFonts w:ascii="Times New Roman" w:eastAsia="Times New Roman" w:hAnsi="Times New Roman" w:cs="Times New Roman"/>
          <w:sz w:val="28"/>
          <w:szCs w:val="28"/>
        </w:rPr>
        <w:t>е</w:t>
      </w:r>
      <w:proofErr w:type="gramEnd"/>
      <w:r w:rsidR="00B66848" w:rsidRPr="00256DC9">
        <w:rPr>
          <w:rFonts w:ascii="Times New Roman" w:eastAsia="Times New Roman" w:hAnsi="Times New Roman" w:cs="Times New Roman"/>
          <w:sz w:val="28"/>
          <w:szCs w:val="28"/>
        </w:rPr>
        <w:t xml:space="preserve"> и </w:t>
      </w:r>
      <w:r w:rsidRPr="00256DC9">
        <w:rPr>
          <w:rFonts w:ascii="Times New Roman" w:eastAsia="Times New Roman" w:hAnsi="Times New Roman" w:cs="Times New Roman"/>
          <w:sz w:val="28"/>
          <w:szCs w:val="28"/>
        </w:rPr>
        <w:t>в желудке.</w:t>
      </w:r>
    </w:p>
    <w:p w:rsidR="00127F60" w:rsidRPr="00256DC9" w:rsidRDefault="00127F60" w:rsidP="00256DC9">
      <w:pPr>
        <w:pStyle w:val="aa"/>
        <w:numPr>
          <w:ilvl w:val="0"/>
          <w:numId w:val="12"/>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 xml:space="preserve">Взаимосвязи </w:t>
      </w:r>
      <w:r w:rsidRPr="00256DC9">
        <w:rPr>
          <w:rFonts w:ascii="Times New Roman" w:hAnsi="Times New Roman" w:cs="Times New Roman"/>
          <w:sz w:val="28"/>
          <w:szCs w:val="28"/>
        </w:rPr>
        <w:t>между группой крови пациента и локализацией кровотечения из язвы выявлено не было.</w:t>
      </w:r>
    </w:p>
    <w:p w:rsidR="00877F3D" w:rsidRPr="00256DC9" w:rsidRDefault="00B66848" w:rsidP="00256DC9">
      <w:pPr>
        <w:pStyle w:val="aa"/>
        <w:numPr>
          <w:ilvl w:val="0"/>
          <w:numId w:val="12"/>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Положительная корреляция о</w:t>
      </w:r>
      <w:r w:rsidR="00127F60" w:rsidRPr="00256DC9">
        <w:rPr>
          <w:rFonts w:ascii="Times New Roman" w:eastAsia="Times New Roman" w:hAnsi="Times New Roman" w:cs="Times New Roman"/>
          <w:sz w:val="28"/>
          <w:szCs w:val="28"/>
        </w:rPr>
        <w:t xml:space="preserve">пределена между количеством </w:t>
      </w:r>
      <w:proofErr w:type="gramStart"/>
      <w:r w:rsidR="00127F60" w:rsidRPr="00256DC9">
        <w:rPr>
          <w:rFonts w:ascii="Times New Roman" w:eastAsia="Times New Roman" w:hAnsi="Times New Roman" w:cs="Times New Roman"/>
          <w:sz w:val="28"/>
          <w:szCs w:val="28"/>
        </w:rPr>
        <w:t>койко-дней</w:t>
      </w:r>
      <w:proofErr w:type="gramEnd"/>
      <w:r w:rsidR="00127F60" w:rsidRPr="00256DC9">
        <w:rPr>
          <w:rFonts w:ascii="Times New Roman" w:eastAsia="Times New Roman" w:hAnsi="Times New Roman" w:cs="Times New Roman"/>
          <w:sz w:val="28"/>
          <w:szCs w:val="28"/>
        </w:rPr>
        <w:t xml:space="preserve"> проведенных в стационаре и количеством гемотрансфузий, суммарными объемами перелитой свежезамороженной плазмы, а также слабоположительная корреляция с объемом </w:t>
      </w:r>
      <w:proofErr w:type="spellStart"/>
      <w:r w:rsidR="00127F60" w:rsidRPr="00256DC9">
        <w:rPr>
          <w:rFonts w:ascii="Times New Roman" w:eastAsia="Times New Roman" w:hAnsi="Times New Roman" w:cs="Times New Roman"/>
          <w:sz w:val="28"/>
          <w:szCs w:val="28"/>
        </w:rPr>
        <w:t>эритроцитарной</w:t>
      </w:r>
      <w:proofErr w:type="spellEnd"/>
      <w:r w:rsidR="00127F60" w:rsidRPr="00256DC9">
        <w:rPr>
          <w:rFonts w:ascii="Times New Roman" w:eastAsia="Times New Roman" w:hAnsi="Times New Roman" w:cs="Times New Roman"/>
          <w:sz w:val="28"/>
          <w:szCs w:val="28"/>
        </w:rPr>
        <w:t xml:space="preserve"> взвеси.</w:t>
      </w:r>
    </w:p>
    <w:p w:rsidR="00877F3D" w:rsidRPr="00256DC9" w:rsidRDefault="00127F60" w:rsidP="00256DC9">
      <w:pPr>
        <w:pStyle w:val="aa"/>
        <w:numPr>
          <w:ilvl w:val="0"/>
          <w:numId w:val="12"/>
        </w:numPr>
        <w:spacing w:line="360" w:lineRule="auto"/>
        <w:jc w:val="both"/>
        <w:rPr>
          <w:rFonts w:ascii="Times New Roman" w:eastAsia="Times New Roman" w:hAnsi="Times New Roman" w:cs="Times New Roman"/>
          <w:sz w:val="28"/>
          <w:szCs w:val="28"/>
        </w:rPr>
      </w:pPr>
      <w:r w:rsidRPr="00256DC9">
        <w:rPr>
          <w:rFonts w:ascii="Times New Roman" w:eastAsia="Times New Roman" w:hAnsi="Times New Roman" w:cs="Times New Roman"/>
          <w:sz w:val="28"/>
          <w:szCs w:val="28"/>
        </w:rPr>
        <w:t>В</w:t>
      </w:r>
      <w:r w:rsidR="00877F3D" w:rsidRPr="00256DC9">
        <w:rPr>
          <w:rFonts w:ascii="Times New Roman" w:eastAsia="Times New Roman" w:hAnsi="Times New Roman" w:cs="Times New Roman"/>
          <w:sz w:val="28"/>
          <w:szCs w:val="28"/>
        </w:rPr>
        <w:t>заимосв</w:t>
      </w:r>
      <w:r w:rsidRPr="00256DC9">
        <w:rPr>
          <w:rFonts w:ascii="Times New Roman" w:eastAsia="Times New Roman" w:hAnsi="Times New Roman" w:cs="Times New Roman"/>
          <w:sz w:val="28"/>
          <w:szCs w:val="28"/>
        </w:rPr>
        <w:t xml:space="preserve">язь </w:t>
      </w:r>
      <w:r w:rsidR="00877F3D" w:rsidRPr="00256DC9">
        <w:rPr>
          <w:rFonts w:ascii="Times New Roman" w:eastAsia="Times New Roman" w:hAnsi="Times New Roman" w:cs="Times New Roman"/>
          <w:sz w:val="28"/>
          <w:szCs w:val="28"/>
        </w:rPr>
        <w:t>между локализацией язвенного кровотечения и длительностью госпитализации, а также количеством актов трансфузии</w:t>
      </w:r>
      <w:r w:rsidRPr="00256DC9">
        <w:rPr>
          <w:rFonts w:ascii="Times New Roman" w:eastAsia="Times New Roman" w:hAnsi="Times New Roman" w:cs="Times New Roman"/>
          <w:sz w:val="28"/>
          <w:szCs w:val="28"/>
        </w:rPr>
        <w:t xml:space="preserve"> не определяется.</w:t>
      </w:r>
    </w:p>
    <w:p w:rsidR="00845F41" w:rsidRPr="00256DC9" w:rsidRDefault="00845F41" w:rsidP="00256DC9">
      <w:pPr>
        <w:spacing w:line="360" w:lineRule="auto"/>
        <w:jc w:val="both"/>
        <w:rPr>
          <w:rFonts w:ascii="Times New Roman" w:eastAsia="Times New Roman" w:hAnsi="Times New Roman" w:cs="Times New Roman"/>
          <w:sz w:val="28"/>
          <w:szCs w:val="28"/>
        </w:rPr>
      </w:pPr>
    </w:p>
    <w:p w:rsidR="00127F60" w:rsidRPr="00256DC9" w:rsidRDefault="00127F60" w:rsidP="00256DC9">
      <w:pPr>
        <w:spacing w:after="0" w:line="360" w:lineRule="auto"/>
        <w:rPr>
          <w:rFonts w:ascii="Times New Roman" w:hAnsi="Times New Roman" w:cs="Times New Roman"/>
          <w:b/>
          <w:bCs/>
          <w:sz w:val="28"/>
          <w:szCs w:val="28"/>
          <w:lang w:eastAsia="en-US"/>
        </w:rPr>
      </w:pPr>
      <w:r w:rsidRPr="00256DC9">
        <w:rPr>
          <w:rFonts w:ascii="Times New Roman" w:hAnsi="Times New Roman" w:cs="Times New Roman"/>
          <w:b/>
          <w:bCs/>
          <w:sz w:val="28"/>
          <w:szCs w:val="28"/>
          <w:lang w:eastAsia="en-US"/>
        </w:rPr>
        <w:br w:type="page"/>
      </w:r>
    </w:p>
    <w:p w:rsidR="00E10624" w:rsidRPr="00256DC9" w:rsidRDefault="00845F41" w:rsidP="00256DC9">
      <w:pPr>
        <w:spacing w:line="360" w:lineRule="auto"/>
        <w:jc w:val="center"/>
        <w:rPr>
          <w:rFonts w:ascii="Times New Roman" w:hAnsi="Times New Roman" w:cs="Times New Roman"/>
          <w:sz w:val="28"/>
          <w:szCs w:val="28"/>
          <w:lang w:eastAsia="en-US"/>
        </w:rPr>
      </w:pPr>
      <w:r w:rsidRPr="00256DC9">
        <w:rPr>
          <w:rFonts w:ascii="Times New Roman" w:hAnsi="Times New Roman" w:cs="Times New Roman"/>
          <w:b/>
          <w:bCs/>
          <w:sz w:val="28"/>
          <w:szCs w:val="28"/>
          <w:lang w:eastAsia="en-US"/>
        </w:rPr>
        <w:lastRenderedPageBreak/>
        <w:t>СПИСОК ИСПОЛЬЗОВАННОЙ ЛИТЕРАТУРЫ</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eastAsia="en-US"/>
        </w:rPr>
        <w:t xml:space="preserve">Абдурахманов Ш. Т., </w:t>
      </w:r>
      <w:proofErr w:type="spellStart"/>
      <w:r w:rsidRPr="00256DC9">
        <w:rPr>
          <w:rFonts w:ascii="Times New Roman" w:hAnsi="Times New Roman" w:cs="Times New Roman"/>
          <w:color w:val="000000" w:themeColor="text1"/>
          <w:sz w:val="28"/>
          <w:szCs w:val="28"/>
          <w:lang w:eastAsia="en-US"/>
        </w:rPr>
        <w:t>Чынгышева</w:t>
      </w:r>
      <w:proofErr w:type="spellEnd"/>
      <w:r w:rsidRPr="00256DC9">
        <w:rPr>
          <w:rFonts w:ascii="Times New Roman" w:hAnsi="Times New Roman" w:cs="Times New Roman"/>
          <w:color w:val="000000" w:themeColor="text1"/>
          <w:sz w:val="28"/>
          <w:szCs w:val="28"/>
          <w:lang w:eastAsia="en-US"/>
        </w:rPr>
        <w:t xml:space="preserve"> Ж. А., </w:t>
      </w:r>
      <w:proofErr w:type="spellStart"/>
      <w:r w:rsidRPr="00256DC9">
        <w:rPr>
          <w:rFonts w:ascii="Times New Roman" w:hAnsi="Times New Roman" w:cs="Times New Roman"/>
          <w:color w:val="000000" w:themeColor="text1"/>
          <w:sz w:val="28"/>
          <w:szCs w:val="28"/>
          <w:lang w:eastAsia="en-US"/>
        </w:rPr>
        <w:t>Мамажусупов</w:t>
      </w:r>
      <w:proofErr w:type="spellEnd"/>
      <w:r w:rsidRPr="00256DC9">
        <w:rPr>
          <w:rFonts w:ascii="Times New Roman" w:hAnsi="Times New Roman" w:cs="Times New Roman"/>
          <w:color w:val="000000" w:themeColor="text1"/>
          <w:sz w:val="28"/>
          <w:szCs w:val="28"/>
          <w:lang w:eastAsia="en-US"/>
        </w:rPr>
        <w:t xml:space="preserve"> Н. А., </w:t>
      </w:r>
      <w:proofErr w:type="spellStart"/>
      <w:r w:rsidRPr="00256DC9">
        <w:rPr>
          <w:rFonts w:ascii="Times New Roman" w:hAnsi="Times New Roman" w:cs="Times New Roman"/>
          <w:color w:val="000000" w:themeColor="text1"/>
          <w:sz w:val="28"/>
          <w:szCs w:val="28"/>
          <w:lang w:eastAsia="en-US"/>
        </w:rPr>
        <w:t>Тилеков</w:t>
      </w:r>
      <w:proofErr w:type="spellEnd"/>
      <w:r w:rsidRPr="00256DC9">
        <w:rPr>
          <w:rFonts w:ascii="Times New Roman" w:hAnsi="Times New Roman" w:cs="Times New Roman"/>
          <w:color w:val="000000" w:themeColor="text1"/>
          <w:sz w:val="28"/>
          <w:szCs w:val="28"/>
          <w:lang w:eastAsia="en-US"/>
        </w:rPr>
        <w:t xml:space="preserve"> Э. А. Адаптированная программа </w:t>
      </w:r>
      <w:proofErr w:type="spellStart"/>
      <w:r w:rsidRPr="00256DC9">
        <w:rPr>
          <w:rFonts w:ascii="Times New Roman" w:hAnsi="Times New Roman" w:cs="Times New Roman"/>
          <w:color w:val="000000" w:themeColor="text1"/>
          <w:sz w:val="28"/>
          <w:szCs w:val="28"/>
          <w:lang w:eastAsia="en-US"/>
        </w:rPr>
        <w:t>интраоперационной</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инфузионно-трансфузионной</w:t>
      </w:r>
      <w:proofErr w:type="spellEnd"/>
      <w:r w:rsidRPr="00256DC9">
        <w:rPr>
          <w:rFonts w:ascii="Times New Roman" w:hAnsi="Times New Roman" w:cs="Times New Roman"/>
          <w:color w:val="000000" w:themeColor="text1"/>
          <w:sz w:val="28"/>
          <w:szCs w:val="28"/>
          <w:lang w:eastAsia="en-US"/>
        </w:rPr>
        <w:t xml:space="preserve"> терапии при критических просветных кровопотерях. Бюллетень</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науки</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и</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практики</w:t>
      </w:r>
      <w:r w:rsidRPr="00256DC9">
        <w:rPr>
          <w:rFonts w:ascii="Times New Roman" w:hAnsi="Times New Roman" w:cs="Times New Roman"/>
          <w:color w:val="000000" w:themeColor="text1"/>
          <w:sz w:val="28"/>
          <w:szCs w:val="28"/>
          <w:lang w:val="en-US" w:eastAsia="en-US"/>
        </w:rPr>
        <w:t>. 2020; 6 (1): 105–113. [</w:t>
      </w:r>
      <w:proofErr w:type="spellStart"/>
      <w:r w:rsidRPr="00256DC9">
        <w:rPr>
          <w:rFonts w:ascii="Times New Roman" w:hAnsi="Times New Roman" w:cs="Times New Roman"/>
          <w:color w:val="000000" w:themeColor="text1"/>
          <w:sz w:val="28"/>
          <w:szCs w:val="28"/>
          <w:lang w:val="en-US" w:eastAsia="en-US"/>
        </w:rPr>
        <w:t>Abdurakhmanov</w:t>
      </w:r>
      <w:proofErr w:type="spellEnd"/>
      <w:r w:rsidRPr="00256DC9">
        <w:rPr>
          <w:rFonts w:ascii="Times New Roman" w:hAnsi="Times New Roman" w:cs="Times New Roman"/>
          <w:color w:val="000000" w:themeColor="text1"/>
          <w:sz w:val="28"/>
          <w:szCs w:val="28"/>
          <w:lang w:val="en-US" w:eastAsia="en-US"/>
        </w:rPr>
        <w:t xml:space="preserve"> Sh. T., </w:t>
      </w:r>
      <w:proofErr w:type="spellStart"/>
      <w:r w:rsidRPr="00256DC9">
        <w:rPr>
          <w:rFonts w:ascii="Times New Roman" w:hAnsi="Times New Roman" w:cs="Times New Roman"/>
          <w:color w:val="000000" w:themeColor="text1"/>
          <w:sz w:val="28"/>
          <w:szCs w:val="28"/>
          <w:lang w:val="en-US" w:eastAsia="en-US"/>
        </w:rPr>
        <w:t>Chyngysheva</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Zh</w:t>
      </w:r>
      <w:proofErr w:type="spellEnd"/>
      <w:r w:rsidRPr="00256DC9">
        <w:rPr>
          <w:rFonts w:ascii="Times New Roman" w:hAnsi="Times New Roman" w:cs="Times New Roman"/>
          <w:color w:val="000000" w:themeColor="text1"/>
          <w:sz w:val="28"/>
          <w:szCs w:val="28"/>
          <w:lang w:val="en-US" w:eastAsia="en-US"/>
        </w:rPr>
        <w:t xml:space="preserve">. A., </w:t>
      </w:r>
      <w:proofErr w:type="spellStart"/>
      <w:r w:rsidRPr="00256DC9">
        <w:rPr>
          <w:rFonts w:ascii="Times New Roman" w:hAnsi="Times New Roman" w:cs="Times New Roman"/>
          <w:color w:val="000000" w:themeColor="text1"/>
          <w:sz w:val="28"/>
          <w:szCs w:val="28"/>
          <w:lang w:val="en-US" w:eastAsia="en-US"/>
        </w:rPr>
        <w:t>Mamazhusupov</w:t>
      </w:r>
      <w:proofErr w:type="spellEnd"/>
      <w:r w:rsidRPr="00256DC9">
        <w:rPr>
          <w:rFonts w:ascii="Times New Roman" w:hAnsi="Times New Roman" w:cs="Times New Roman"/>
          <w:color w:val="000000" w:themeColor="text1"/>
          <w:sz w:val="28"/>
          <w:szCs w:val="28"/>
          <w:lang w:val="en-US" w:eastAsia="en-US"/>
        </w:rPr>
        <w:t xml:space="preserve"> N. A., </w:t>
      </w:r>
      <w:proofErr w:type="spellStart"/>
      <w:r w:rsidRPr="00256DC9">
        <w:rPr>
          <w:rFonts w:ascii="Times New Roman" w:hAnsi="Times New Roman" w:cs="Times New Roman"/>
          <w:color w:val="000000" w:themeColor="text1"/>
          <w:sz w:val="28"/>
          <w:szCs w:val="28"/>
          <w:lang w:val="en-US" w:eastAsia="en-US"/>
        </w:rPr>
        <w:t>Tilekov</w:t>
      </w:r>
      <w:proofErr w:type="spellEnd"/>
      <w:r w:rsidRPr="00256DC9">
        <w:rPr>
          <w:rFonts w:ascii="Times New Roman" w:hAnsi="Times New Roman" w:cs="Times New Roman"/>
          <w:color w:val="000000" w:themeColor="text1"/>
          <w:sz w:val="28"/>
          <w:szCs w:val="28"/>
          <w:lang w:val="en-US" w:eastAsia="en-US"/>
        </w:rPr>
        <w:t xml:space="preserve"> E. A. Adapted intraoperative program infusion-transfusion therapy in critical light bleeding. Bulletin of Science and Practice. 2020; 6 (1): 105–113. https://doi.org/10.33619/2414-2948/50/11 (In Russian)]</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eastAsia="en-US"/>
        </w:rPr>
        <w:t>Королев М. П., Быков А. М. Определение показаний к предоперационной гемотрансфузии у больных с хроническими язвами желудка и двенадцатиперстной кишки, осложненными кровотечением. Вестник</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хирургии</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им</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И</w:t>
      </w:r>
      <w:r w:rsidRPr="00256DC9">
        <w:rPr>
          <w:rFonts w:ascii="Times New Roman" w:hAnsi="Times New Roman" w:cs="Times New Roman"/>
          <w:color w:val="000000" w:themeColor="text1"/>
          <w:sz w:val="28"/>
          <w:szCs w:val="28"/>
          <w:lang w:val="en-US" w:eastAsia="en-US"/>
        </w:rPr>
        <w:t>.</w:t>
      </w:r>
      <w:r w:rsidRPr="00256DC9">
        <w:rPr>
          <w:rFonts w:ascii="Times New Roman" w:hAnsi="Times New Roman" w:cs="Times New Roman"/>
          <w:color w:val="000000" w:themeColor="text1"/>
          <w:sz w:val="28"/>
          <w:szCs w:val="28"/>
          <w:lang w:eastAsia="en-US"/>
        </w:rPr>
        <w:t>И</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Грекова</w:t>
      </w:r>
      <w:r w:rsidRPr="00256DC9">
        <w:rPr>
          <w:rFonts w:ascii="Times New Roman" w:hAnsi="Times New Roman" w:cs="Times New Roman"/>
          <w:color w:val="000000" w:themeColor="text1"/>
          <w:sz w:val="28"/>
          <w:szCs w:val="28"/>
          <w:lang w:val="en-US" w:eastAsia="en-US"/>
        </w:rPr>
        <w:t>. 2000; 4: 74–75. [</w:t>
      </w:r>
      <w:proofErr w:type="spellStart"/>
      <w:r w:rsidRPr="00256DC9">
        <w:rPr>
          <w:rFonts w:ascii="Times New Roman" w:hAnsi="Times New Roman" w:cs="Times New Roman"/>
          <w:color w:val="000000" w:themeColor="text1"/>
          <w:sz w:val="28"/>
          <w:szCs w:val="28"/>
          <w:lang w:val="en-US" w:eastAsia="en-US"/>
        </w:rPr>
        <w:t>Korolyov</w:t>
      </w:r>
      <w:proofErr w:type="spellEnd"/>
      <w:r w:rsidRPr="00256DC9">
        <w:rPr>
          <w:rFonts w:ascii="Times New Roman" w:hAnsi="Times New Roman" w:cs="Times New Roman"/>
          <w:color w:val="000000" w:themeColor="text1"/>
          <w:sz w:val="28"/>
          <w:szCs w:val="28"/>
          <w:lang w:val="en-US" w:eastAsia="en-US"/>
        </w:rPr>
        <w:t xml:space="preserve"> M. P., </w:t>
      </w:r>
      <w:proofErr w:type="spellStart"/>
      <w:r w:rsidRPr="00256DC9">
        <w:rPr>
          <w:rFonts w:ascii="Times New Roman" w:hAnsi="Times New Roman" w:cs="Times New Roman"/>
          <w:color w:val="000000" w:themeColor="text1"/>
          <w:sz w:val="28"/>
          <w:szCs w:val="28"/>
          <w:lang w:val="en-US" w:eastAsia="en-US"/>
        </w:rPr>
        <w:t>Bykov</w:t>
      </w:r>
      <w:proofErr w:type="spellEnd"/>
      <w:r w:rsidRPr="00256DC9">
        <w:rPr>
          <w:rFonts w:ascii="Times New Roman" w:hAnsi="Times New Roman" w:cs="Times New Roman"/>
          <w:color w:val="000000" w:themeColor="text1"/>
          <w:sz w:val="28"/>
          <w:szCs w:val="28"/>
          <w:lang w:val="en-US" w:eastAsia="en-US"/>
        </w:rPr>
        <w:t xml:space="preserve"> A. M. Determination of indications for preoperative blood transfusion in patients with chronic ulcers of the stomach and duodenum complicated by bleeding. </w:t>
      </w:r>
      <w:proofErr w:type="spellStart"/>
      <w:r w:rsidRPr="00256DC9">
        <w:rPr>
          <w:rFonts w:ascii="Times New Roman" w:hAnsi="Times New Roman" w:cs="Times New Roman"/>
          <w:color w:val="000000" w:themeColor="text1"/>
          <w:sz w:val="28"/>
          <w:szCs w:val="28"/>
          <w:lang w:val="en-US" w:eastAsia="en-US"/>
        </w:rPr>
        <w:t>Vestnik</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khirurgii</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im</w:t>
      </w:r>
      <w:proofErr w:type="spellEnd"/>
      <w:r w:rsidRPr="00256DC9">
        <w:rPr>
          <w:rFonts w:ascii="Times New Roman" w:hAnsi="Times New Roman" w:cs="Times New Roman"/>
          <w:color w:val="000000" w:themeColor="text1"/>
          <w:sz w:val="28"/>
          <w:szCs w:val="28"/>
          <w:lang w:val="en-US" w:eastAsia="en-US"/>
        </w:rPr>
        <w:t xml:space="preserve">. I. I. </w:t>
      </w:r>
      <w:proofErr w:type="spellStart"/>
      <w:r w:rsidRPr="00256DC9">
        <w:rPr>
          <w:rFonts w:ascii="Times New Roman" w:hAnsi="Times New Roman" w:cs="Times New Roman"/>
          <w:color w:val="000000" w:themeColor="text1"/>
          <w:sz w:val="28"/>
          <w:szCs w:val="28"/>
          <w:lang w:val="en-US" w:eastAsia="en-US"/>
        </w:rPr>
        <w:t>Grekova</w:t>
      </w:r>
      <w:proofErr w:type="spellEnd"/>
      <w:r w:rsidRPr="00256DC9">
        <w:rPr>
          <w:rFonts w:ascii="Times New Roman" w:hAnsi="Times New Roman" w:cs="Times New Roman"/>
          <w:color w:val="000000" w:themeColor="text1"/>
          <w:sz w:val="28"/>
          <w:szCs w:val="28"/>
          <w:lang w:val="en-US" w:eastAsia="en-US"/>
        </w:rPr>
        <w:t>. 2000; 4: 74</w:t>
      </w:r>
      <w:r w:rsidRPr="00256DC9">
        <w:rPr>
          <w:rFonts w:ascii="Times New Roman" w:hAnsi="Times New Roman" w:cs="Times New Roman"/>
          <w:color w:val="000000" w:themeColor="text1"/>
          <w:sz w:val="28"/>
          <w:szCs w:val="28"/>
          <w:lang w:eastAsia="en-US"/>
        </w:rPr>
        <w:t>–</w:t>
      </w:r>
      <w:r w:rsidRPr="00256DC9">
        <w:rPr>
          <w:rFonts w:ascii="Times New Roman" w:hAnsi="Times New Roman" w:cs="Times New Roman"/>
          <w:color w:val="000000" w:themeColor="text1"/>
          <w:sz w:val="28"/>
          <w:szCs w:val="28"/>
          <w:lang w:val="en-US" w:eastAsia="en-US"/>
        </w:rPr>
        <w:t>75. (In Russian)]</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eastAsia="en-US"/>
        </w:rPr>
        <w:t xml:space="preserve">Малков И. С., Закирова Г. Р., Насруллаев М. Н. Значение </w:t>
      </w:r>
      <w:proofErr w:type="spellStart"/>
      <w:r w:rsidRPr="00256DC9">
        <w:rPr>
          <w:rFonts w:ascii="Times New Roman" w:hAnsi="Times New Roman" w:cs="Times New Roman"/>
          <w:color w:val="000000" w:themeColor="text1"/>
          <w:sz w:val="28"/>
          <w:szCs w:val="28"/>
          <w:lang w:eastAsia="en-US"/>
        </w:rPr>
        <w:t>инфузионно-трансфузионной</w:t>
      </w:r>
      <w:proofErr w:type="spellEnd"/>
      <w:r w:rsidRPr="00256DC9">
        <w:rPr>
          <w:rFonts w:ascii="Times New Roman" w:hAnsi="Times New Roman" w:cs="Times New Roman"/>
          <w:color w:val="000000" w:themeColor="text1"/>
          <w:sz w:val="28"/>
          <w:szCs w:val="28"/>
          <w:lang w:eastAsia="en-US"/>
        </w:rPr>
        <w:t xml:space="preserve"> терапии в лечении больных с острыми </w:t>
      </w:r>
      <w:proofErr w:type="gramStart"/>
      <w:r w:rsidRPr="00256DC9">
        <w:rPr>
          <w:rFonts w:ascii="Times New Roman" w:hAnsi="Times New Roman" w:cs="Times New Roman"/>
          <w:color w:val="000000" w:themeColor="text1"/>
          <w:sz w:val="28"/>
          <w:szCs w:val="28"/>
          <w:lang w:eastAsia="en-US"/>
        </w:rPr>
        <w:t>кровотечениями  из</w:t>
      </w:r>
      <w:proofErr w:type="gramEnd"/>
      <w:r w:rsidRPr="00256DC9">
        <w:rPr>
          <w:rFonts w:ascii="Times New Roman" w:hAnsi="Times New Roman" w:cs="Times New Roman"/>
          <w:color w:val="000000" w:themeColor="text1"/>
          <w:sz w:val="28"/>
          <w:szCs w:val="28"/>
          <w:lang w:eastAsia="en-US"/>
        </w:rPr>
        <w:t xml:space="preserve"> верхних отделов желудочно-кишечного тракта. Вестник</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современной</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клинической</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медицины</w:t>
      </w:r>
      <w:r w:rsidRPr="00256DC9">
        <w:rPr>
          <w:rFonts w:ascii="Times New Roman" w:hAnsi="Times New Roman" w:cs="Times New Roman"/>
          <w:color w:val="000000" w:themeColor="text1"/>
          <w:sz w:val="28"/>
          <w:szCs w:val="28"/>
          <w:lang w:val="en-US" w:eastAsia="en-US"/>
        </w:rPr>
        <w:t>. 2014; 7 (5): 24–29. [</w:t>
      </w:r>
      <w:proofErr w:type="spellStart"/>
      <w:r w:rsidRPr="00256DC9">
        <w:rPr>
          <w:rFonts w:ascii="Times New Roman" w:hAnsi="Times New Roman" w:cs="Times New Roman"/>
          <w:color w:val="000000" w:themeColor="text1"/>
          <w:sz w:val="28"/>
          <w:szCs w:val="28"/>
          <w:lang w:val="en-US" w:eastAsia="en-US"/>
        </w:rPr>
        <w:t>Malkov</w:t>
      </w:r>
      <w:proofErr w:type="spellEnd"/>
      <w:r w:rsidRPr="00256DC9">
        <w:rPr>
          <w:rFonts w:ascii="Times New Roman" w:hAnsi="Times New Roman" w:cs="Times New Roman"/>
          <w:color w:val="000000" w:themeColor="text1"/>
          <w:sz w:val="28"/>
          <w:szCs w:val="28"/>
          <w:lang w:val="en-US" w:eastAsia="en-US"/>
        </w:rPr>
        <w:t xml:space="preserve"> I. S., </w:t>
      </w:r>
      <w:proofErr w:type="spellStart"/>
      <w:r w:rsidRPr="00256DC9">
        <w:rPr>
          <w:rFonts w:ascii="Times New Roman" w:hAnsi="Times New Roman" w:cs="Times New Roman"/>
          <w:color w:val="000000" w:themeColor="text1"/>
          <w:sz w:val="28"/>
          <w:szCs w:val="28"/>
          <w:lang w:val="en-US" w:eastAsia="en-US"/>
        </w:rPr>
        <w:t>Zakirova</w:t>
      </w:r>
      <w:proofErr w:type="spellEnd"/>
      <w:r w:rsidRPr="00256DC9">
        <w:rPr>
          <w:rFonts w:ascii="Times New Roman" w:hAnsi="Times New Roman" w:cs="Times New Roman"/>
          <w:color w:val="000000" w:themeColor="text1"/>
          <w:sz w:val="28"/>
          <w:szCs w:val="28"/>
          <w:lang w:val="en-US" w:eastAsia="en-US"/>
        </w:rPr>
        <w:t xml:space="preserve"> G. R., </w:t>
      </w:r>
      <w:proofErr w:type="spellStart"/>
      <w:r w:rsidRPr="00256DC9">
        <w:rPr>
          <w:rFonts w:ascii="Times New Roman" w:hAnsi="Times New Roman" w:cs="Times New Roman"/>
          <w:color w:val="000000" w:themeColor="text1"/>
          <w:sz w:val="28"/>
          <w:szCs w:val="28"/>
          <w:lang w:val="en-US" w:eastAsia="en-US"/>
        </w:rPr>
        <w:t>Nasrullaev</w:t>
      </w:r>
      <w:proofErr w:type="spellEnd"/>
      <w:r w:rsidRPr="00256DC9">
        <w:rPr>
          <w:rFonts w:ascii="Times New Roman" w:hAnsi="Times New Roman" w:cs="Times New Roman"/>
          <w:color w:val="000000" w:themeColor="text1"/>
          <w:sz w:val="28"/>
          <w:szCs w:val="28"/>
          <w:lang w:val="en-US" w:eastAsia="en-US"/>
        </w:rPr>
        <w:t xml:space="preserve"> M. N. Importance of infusion-transfusion therapy in treatment of patients with acute bleeding from the upper gastrointestinal tract. </w:t>
      </w:r>
      <w:proofErr w:type="spellStart"/>
      <w:r w:rsidRPr="00256DC9">
        <w:rPr>
          <w:rFonts w:ascii="Times New Roman" w:hAnsi="Times New Roman" w:cs="Times New Roman"/>
          <w:color w:val="000000" w:themeColor="text1"/>
          <w:sz w:val="28"/>
          <w:szCs w:val="28"/>
          <w:lang w:eastAsia="en-US"/>
        </w:rPr>
        <w:t>Vestnik</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sovremennoi</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klinicheskoi</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mediciny</w:t>
      </w:r>
      <w:proofErr w:type="spellEnd"/>
      <w:r w:rsidRPr="00256DC9">
        <w:rPr>
          <w:rFonts w:ascii="Times New Roman" w:hAnsi="Times New Roman" w:cs="Times New Roman"/>
          <w:color w:val="000000" w:themeColor="text1"/>
          <w:sz w:val="28"/>
          <w:szCs w:val="28"/>
          <w:lang w:eastAsia="en-US"/>
        </w:rPr>
        <w:t>. 2014; 7 (5): 24–29. (</w:t>
      </w:r>
      <w:proofErr w:type="spellStart"/>
      <w:r w:rsidRPr="00256DC9">
        <w:rPr>
          <w:rFonts w:ascii="Times New Roman" w:hAnsi="Times New Roman" w:cs="Times New Roman"/>
          <w:color w:val="000000" w:themeColor="text1"/>
          <w:sz w:val="28"/>
          <w:szCs w:val="28"/>
          <w:lang w:eastAsia="en-US"/>
        </w:rPr>
        <w:t>In</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Russian</w:t>
      </w:r>
      <w:proofErr w:type="spellEnd"/>
      <w:r w:rsidRPr="00256DC9">
        <w:rPr>
          <w:rFonts w:ascii="Times New Roman" w:hAnsi="Times New Roman" w:cs="Times New Roman"/>
          <w:color w:val="000000" w:themeColor="text1"/>
          <w:sz w:val="28"/>
          <w:szCs w:val="28"/>
          <w:lang w:eastAsia="en-US"/>
        </w:rPr>
        <w:t>)]</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eastAsia="en-US"/>
        </w:rPr>
        <w:t xml:space="preserve">Степанов Ю. В., </w:t>
      </w:r>
      <w:proofErr w:type="spellStart"/>
      <w:r w:rsidRPr="00256DC9">
        <w:rPr>
          <w:rFonts w:ascii="Times New Roman" w:hAnsi="Times New Roman" w:cs="Times New Roman"/>
          <w:color w:val="000000" w:themeColor="text1"/>
          <w:sz w:val="28"/>
          <w:szCs w:val="28"/>
          <w:lang w:eastAsia="en-US"/>
        </w:rPr>
        <w:t>Залевский</w:t>
      </w:r>
      <w:proofErr w:type="spellEnd"/>
      <w:r w:rsidRPr="00256DC9">
        <w:rPr>
          <w:rFonts w:ascii="Times New Roman" w:hAnsi="Times New Roman" w:cs="Times New Roman"/>
          <w:color w:val="000000" w:themeColor="text1"/>
          <w:sz w:val="28"/>
          <w:szCs w:val="28"/>
          <w:lang w:eastAsia="en-US"/>
        </w:rPr>
        <w:t xml:space="preserve"> В. И., Косинский А. В. Практическое руководство: Желудочно-кишечные кровотечения (причины, диагностика, лечение). Днепропетровск: Лира; 2011. [</w:t>
      </w:r>
      <w:proofErr w:type="spellStart"/>
      <w:r w:rsidRPr="00256DC9">
        <w:rPr>
          <w:rFonts w:ascii="Times New Roman" w:hAnsi="Times New Roman" w:cs="Times New Roman"/>
          <w:color w:val="000000" w:themeColor="text1"/>
          <w:sz w:val="28"/>
          <w:szCs w:val="28"/>
          <w:lang w:val="en-US" w:eastAsia="en-US"/>
        </w:rPr>
        <w:t>Stepanov</w:t>
      </w:r>
      <w:proofErr w:type="spellEnd"/>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Yu</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V</w:t>
      </w:r>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val="en-US" w:eastAsia="en-US"/>
        </w:rPr>
        <w:t>Zalevskiy</w:t>
      </w:r>
      <w:proofErr w:type="spellEnd"/>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V</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I</w:t>
      </w:r>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val="en-US" w:eastAsia="en-US"/>
        </w:rPr>
        <w:t>Kosinskiy</w:t>
      </w:r>
      <w:proofErr w:type="spellEnd"/>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A</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V</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Practical guide: Gastrointestinal bleeding (causes, diagnosis, treatment). Dnepropetrovsk: Lira Publisher; 2011. (In Russian)]</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rPr>
        <w:t>Cipolletta</w:t>
      </w:r>
      <w:proofErr w:type="spellEnd"/>
      <w:r w:rsidRPr="00256DC9">
        <w:rPr>
          <w:rFonts w:ascii="Times New Roman" w:hAnsi="Times New Roman" w:cs="Times New Roman"/>
          <w:color w:val="000000" w:themeColor="text1"/>
          <w:sz w:val="28"/>
          <w:szCs w:val="28"/>
          <w:lang w:val="en-US"/>
        </w:rPr>
        <w:t xml:space="preserve"> L., Bianco M.O., </w:t>
      </w:r>
      <w:proofErr w:type="spellStart"/>
      <w:r w:rsidRPr="00256DC9">
        <w:rPr>
          <w:rFonts w:ascii="Times New Roman" w:hAnsi="Times New Roman" w:cs="Times New Roman"/>
          <w:color w:val="000000" w:themeColor="text1"/>
          <w:sz w:val="28"/>
          <w:szCs w:val="28"/>
          <w:lang w:val="en-US"/>
        </w:rPr>
        <w:t>Marmo</w:t>
      </w:r>
      <w:proofErr w:type="spellEnd"/>
      <w:r w:rsidRPr="00256DC9">
        <w:rPr>
          <w:rFonts w:ascii="Times New Roman" w:hAnsi="Times New Roman" w:cs="Times New Roman"/>
          <w:color w:val="000000" w:themeColor="text1"/>
          <w:sz w:val="28"/>
          <w:szCs w:val="28"/>
          <w:lang w:val="en-US"/>
        </w:rPr>
        <w:t xml:space="preserve"> R., </w:t>
      </w:r>
      <w:proofErr w:type="spellStart"/>
      <w:r w:rsidRPr="00256DC9">
        <w:rPr>
          <w:rFonts w:ascii="Times New Roman" w:hAnsi="Times New Roman" w:cs="Times New Roman"/>
          <w:color w:val="000000" w:themeColor="text1"/>
          <w:sz w:val="28"/>
          <w:szCs w:val="28"/>
          <w:lang w:val="en-US"/>
        </w:rPr>
        <w:t>Rotondano</w:t>
      </w:r>
      <w:proofErr w:type="spellEnd"/>
      <w:r w:rsidRPr="00256DC9">
        <w:rPr>
          <w:rFonts w:ascii="Times New Roman" w:hAnsi="Times New Roman" w:cs="Times New Roman"/>
          <w:color w:val="000000" w:themeColor="text1"/>
          <w:sz w:val="28"/>
          <w:szCs w:val="28"/>
          <w:lang w:val="en-US"/>
        </w:rPr>
        <w:t xml:space="preserve"> G., </w:t>
      </w:r>
      <w:proofErr w:type="spellStart"/>
      <w:r w:rsidRPr="00256DC9">
        <w:rPr>
          <w:rFonts w:ascii="Times New Roman" w:hAnsi="Times New Roman" w:cs="Times New Roman"/>
          <w:color w:val="000000" w:themeColor="text1"/>
          <w:sz w:val="28"/>
          <w:szCs w:val="28"/>
          <w:lang w:val="en-US"/>
        </w:rPr>
        <w:t>Piscopo</w:t>
      </w:r>
      <w:proofErr w:type="spellEnd"/>
      <w:r w:rsidRPr="00256DC9">
        <w:rPr>
          <w:rFonts w:ascii="Times New Roman" w:hAnsi="Times New Roman" w:cs="Times New Roman"/>
          <w:color w:val="000000" w:themeColor="text1"/>
          <w:sz w:val="28"/>
          <w:szCs w:val="28"/>
          <w:lang w:val="en-US"/>
        </w:rPr>
        <w:t xml:space="preserve"> R., </w:t>
      </w:r>
      <w:proofErr w:type="spellStart"/>
      <w:r w:rsidRPr="00256DC9">
        <w:rPr>
          <w:rFonts w:ascii="Times New Roman" w:hAnsi="Times New Roman" w:cs="Times New Roman"/>
          <w:color w:val="000000" w:themeColor="text1"/>
          <w:sz w:val="28"/>
          <w:szCs w:val="28"/>
          <w:lang w:val="en-US"/>
        </w:rPr>
        <w:t>Vingiani</w:t>
      </w:r>
      <w:proofErr w:type="spellEnd"/>
      <w:r w:rsidRPr="00256DC9">
        <w:rPr>
          <w:rFonts w:ascii="Times New Roman" w:hAnsi="Times New Roman" w:cs="Times New Roman"/>
          <w:color w:val="000000" w:themeColor="text1"/>
          <w:sz w:val="28"/>
          <w:szCs w:val="28"/>
          <w:lang w:val="en-US"/>
        </w:rPr>
        <w:t xml:space="preserve"> A. M., </w:t>
      </w:r>
      <w:proofErr w:type="spellStart"/>
      <w:r w:rsidRPr="00256DC9">
        <w:rPr>
          <w:rFonts w:ascii="Times New Roman" w:hAnsi="Times New Roman" w:cs="Times New Roman"/>
          <w:color w:val="000000" w:themeColor="text1"/>
          <w:sz w:val="28"/>
          <w:szCs w:val="28"/>
          <w:lang w:val="en-US"/>
        </w:rPr>
        <w:t>Meucci</w:t>
      </w:r>
      <w:proofErr w:type="spellEnd"/>
      <w:r w:rsidRPr="00256DC9">
        <w:rPr>
          <w:rFonts w:ascii="Times New Roman" w:hAnsi="Times New Roman" w:cs="Times New Roman"/>
          <w:color w:val="000000" w:themeColor="text1"/>
          <w:sz w:val="28"/>
          <w:szCs w:val="28"/>
          <w:lang w:val="en-US"/>
        </w:rPr>
        <w:t xml:space="preserve"> C. </w:t>
      </w:r>
      <w:proofErr w:type="spellStart"/>
      <w:r w:rsidRPr="00256DC9">
        <w:rPr>
          <w:rFonts w:ascii="Times New Roman" w:hAnsi="Times New Roman" w:cs="Times New Roman"/>
          <w:color w:val="000000" w:themeColor="text1"/>
          <w:sz w:val="28"/>
          <w:szCs w:val="28"/>
          <w:lang w:val="en-US"/>
        </w:rPr>
        <w:t>Endoclips</w:t>
      </w:r>
      <w:proofErr w:type="spellEnd"/>
      <w:r w:rsidRPr="00256DC9">
        <w:rPr>
          <w:rFonts w:ascii="Times New Roman" w:hAnsi="Times New Roman" w:cs="Times New Roman"/>
          <w:color w:val="000000" w:themeColor="text1"/>
          <w:sz w:val="28"/>
          <w:szCs w:val="28"/>
          <w:lang w:val="en-US"/>
        </w:rPr>
        <w:t xml:space="preserve"> versus heater probe in preventing early recurrent </w:t>
      </w:r>
      <w:r w:rsidRPr="00256DC9">
        <w:rPr>
          <w:rFonts w:ascii="Times New Roman" w:hAnsi="Times New Roman" w:cs="Times New Roman"/>
          <w:color w:val="000000" w:themeColor="text1"/>
          <w:sz w:val="28"/>
          <w:szCs w:val="28"/>
          <w:lang w:val="en-US"/>
        </w:rPr>
        <w:lastRenderedPageBreak/>
        <w:t>bleeding from pe</w:t>
      </w:r>
      <w:r w:rsidRPr="00256DC9">
        <w:rPr>
          <w:rFonts w:ascii="Times New Roman" w:hAnsi="Times New Roman" w:cs="Times New Roman"/>
          <w:color w:val="000000" w:themeColor="text1"/>
          <w:sz w:val="28"/>
          <w:szCs w:val="28"/>
        </w:rPr>
        <w:t>р</w:t>
      </w:r>
      <w:r w:rsidRPr="00256DC9">
        <w:rPr>
          <w:rFonts w:ascii="Times New Roman" w:hAnsi="Times New Roman" w:cs="Times New Roman"/>
          <w:color w:val="000000" w:themeColor="text1"/>
          <w:sz w:val="28"/>
          <w:szCs w:val="28"/>
          <w:lang w:val="en-US"/>
        </w:rPr>
        <w:t xml:space="preserve">tic ulcer. A prospective and randomized trial // </w:t>
      </w:r>
      <w:proofErr w:type="spellStart"/>
      <w:r w:rsidRPr="00256DC9">
        <w:rPr>
          <w:rFonts w:ascii="Times New Roman" w:hAnsi="Times New Roman" w:cs="Times New Roman"/>
          <w:color w:val="000000" w:themeColor="text1"/>
          <w:sz w:val="28"/>
          <w:szCs w:val="28"/>
          <w:lang w:val="en-US"/>
        </w:rPr>
        <w:t>Gastrointest</w:t>
      </w:r>
      <w:proofErr w:type="spellEnd"/>
      <w:r w:rsidRPr="00256DC9">
        <w:rPr>
          <w:rFonts w:ascii="Times New Roman" w:hAnsi="Times New Roman" w:cs="Times New Roman"/>
          <w:color w:val="000000" w:themeColor="text1"/>
          <w:sz w:val="28"/>
          <w:szCs w:val="28"/>
          <w:lang w:val="en-US"/>
        </w:rPr>
        <w:t xml:space="preserve">. </w:t>
      </w:r>
      <w:proofErr w:type="spellStart"/>
      <w:r w:rsidRPr="00256DC9">
        <w:rPr>
          <w:rFonts w:ascii="Times New Roman" w:hAnsi="Times New Roman" w:cs="Times New Roman"/>
          <w:color w:val="000000" w:themeColor="text1"/>
          <w:sz w:val="28"/>
          <w:szCs w:val="28"/>
          <w:lang w:val="en-US"/>
        </w:rPr>
        <w:t>Endosc</w:t>
      </w:r>
      <w:proofErr w:type="spellEnd"/>
      <w:r w:rsidRPr="00256DC9">
        <w:rPr>
          <w:rFonts w:ascii="Times New Roman" w:hAnsi="Times New Roman" w:cs="Times New Roman"/>
          <w:color w:val="000000" w:themeColor="text1"/>
          <w:sz w:val="28"/>
          <w:szCs w:val="28"/>
          <w:lang w:val="en-US"/>
        </w:rPr>
        <w:t>. 2001; 53: 147–151.</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rPr>
        <w:t>Chalasani</w:t>
      </w:r>
      <w:proofErr w:type="spellEnd"/>
      <w:r w:rsidRPr="00256DC9">
        <w:rPr>
          <w:rFonts w:ascii="Times New Roman" w:hAnsi="Times New Roman" w:cs="Times New Roman"/>
          <w:color w:val="000000" w:themeColor="text1"/>
          <w:sz w:val="28"/>
          <w:szCs w:val="28"/>
          <w:lang w:val="en-US"/>
        </w:rPr>
        <w:t xml:space="preserve"> N., </w:t>
      </w:r>
      <w:proofErr w:type="spellStart"/>
      <w:r w:rsidRPr="00256DC9">
        <w:rPr>
          <w:rFonts w:ascii="Times New Roman" w:hAnsi="Times New Roman" w:cs="Times New Roman"/>
          <w:color w:val="000000" w:themeColor="text1"/>
          <w:sz w:val="28"/>
          <w:szCs w:val="28"/>
          <w:lang w:val="en-US"/>
        </w:rPr>
        <w:t>Kahi</w:t>
      </w:r>
      <w:proofErr w:type="spellEnd"/>
      <w:r w:rsidRPr="00256DC9">
        <w:rPr>
          <w:rFonts w:ascii="Times New Roman" w:hAnsi="Times New Roman" w:cs="Times New Roman"/>
          <w:color w:val="000000" w:themeColor="text1"/>
          <w:sz w:val="28"/>
          <w:szCs w:val="28"/>
          <w:lang w:val="en-US"/>
        </w:rPr>
        <w:t xml:space="preserve"> C., Francois F., Pinto A., </w:t>
      </w:r>
      <w:proofErr w:type="spellStart"/>
      <w:r w:rsidRPr="00256DC9">
        <w:rPr>
          <w:rFonts w:ascii="Times New Roman" w:hAnsi="Times New Roman" w:cs="Times New Roman"/>
          <w:color w:val="000000" w:themeColor="text1"/>
          <w:sz w:val="28"/>
          <w:szCs w:val="28"/>
          <w:lang w:val="en-US"/>
        </w:rPr>
        <w:t>Marathe</w:t>
      </w:r>
      <w:proofErr w:type="spellEnd"/>
      <w:r w:rsidRPr="00256DC9">
        <w:rPr>
          <w:rFonts w:ascii="Times New Roman" w:hAnsi="Times New Roman" w:cs="Times New Roman"/>
          <w:color w:val="000000" w:themeColor="text1"/>
          <w:sz w:val="28"/>
          <w:szCs w:val="28"/>
          <w:lang w:val="en-US"/>
        </w:rPr>
        <w:t xml:space="preserve"> A., Bini E. J., Pandya P., </w:t>
      </w:r>
      <w:proofErr w:type="spellStart"/>
      <w:r w:rsidRPr="00256DC9">
        <w:rPr>
          <w:rFonts w:ascii="Times New Roman" w:hAnsi="Times New Roman" w:cs="Times New Roman"/>
          <w:color w:val="000000" w:themeColor="text1"/>
          <w:sz w:val="28"/>
          <w:szCs w:val="28"/>
          <w:lang w:val="en-US"/>
        </w:rPr>
        <w:t>Sitaraman</w:t>
      </w:r>
      <w:proofErr w:type="spellEnd"/>
      <w:r w:rsidRPr="00256DC9">
        <w:rPr>
          <w:rFonts w:ascii="Times New Roman" w:hAnsi="Times New Roman" w:cs="Times New Roman"/>
          <w:color w:val="000000" w:themeColor="text1"/>
          <w:sz w:val="28"/>
          <w:szCs w:val="28"/>
          <w:lang w:val="en-US"/>
        </w:rPr>
        <w:t xml:space="preserve"> S., Shen J. Improved patient survival after acute variceal bleeding: a multicenter, cohort study. Am. J. </w:t>
      </w:r>
      <w:proofErr w:type="spellStart"/>
      <w:r w:rsidRPr="00256DC9">
        <w:rPr>
          <w:rFonts w:ascii="Times New Roman" w:hAnsi="Times New Roman" w:cs="Times New Roman"/>
          <w:color w:val="000000" w:themeColor="text1"/>
          <w:sz w:val="28"/>
          <w:szCs w:val="28"/>
          <w:lang w:val="en-US"/>
        </w:rPr>
        <w:t>Gastrornterol</w:t>
      </w:r>
      <w:proofErr w:type="spellEnd"/>
      <w:r w:rsidRPr="00256DC9">
        <w:rPr>
          <w:rFonts w:ascii="Times New Roman" w:hAnsi="Times New Roman" w:cs="Times New Roman"/>
          <w:color w:val="000000" w:themeColor="text1"/>
          <w:sz w:val="28"/>
          <w:szCs w:val="28"/>
          <w:lang w:val="en-US"/>
        </w:rPr>
        <w:t>. 2003; 98 (3): 653–659.</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eastAsia="en-US"/>
        </w:rPr>
        <w:t>Халикова</w:t>
      </w:r>
      <w:proofErr w:type="spellEnd"/>
      <w:r w:rsidRPr="00256DC9">
        <w:rPr>
          <w:rFonts w:ascii="Times New Roman" w:hAnsi="Times New Roman" w:cs="Times New Roman"/>
          <w:color w:val="000000" w:themeColor="text1"/>
          <w:sz w:val="28"/>
          <w:szCs w:val="28"/>
          <w:lang w:eastAsia="en-US"/>
        </w:rPr>
        <w:t xml:space="preserve"> Г. Р., Малков И. С., Фаттахов В. В., Насруллаев М. Н. </w:t>
      </w:r>
      <w:proofErr w:type="spellStart"/>
      <w:r w:rsidRPr="00256DC9">
        <w:rPr>
          <w:rFonts w:ascii="Times New Roman" w:hAnsi="Times New Roman" w:cs="Times New Roman"/>
          <w:color w:val="000000" w:themeColor="text1"/>
          <w:sz w:val="28"/>
          <w:szCs w:val="28"/>
          <w:lang w:eastAsia="en-US"/>
        </w:rPr>
        <w:t>Инфузионно-трансфузионная</w:t>
      </w:r>
      <w:proofErr w:type="spellEnd"/>
      <w:r w:rsidRPr="00256DC9">
        <w:rPr>
          <w:rFonts w:ascii="Times New Roman" w:hAnsi="Times New Roman" w:cs="Times New Roman"/>
          <w:color w:val="000000" w:themeColor="text1"/>
          <w:sz w:val="28"/>
          <w:szCs w:val="28"/>
          <w:lang w:eastAsia="en-US"/>
        </w:rPr>
        <w:t xml:space="preserve"> терапия в лечении больных с острыми кровотечениями из верхних отделов </w:t>
      </w:r>
      <w:proofErr w:type="spellStart"/>
      <w:r w:rsidRPr="00256DC9">
        <w:rPr>
          <w:rFonts w:ascii="Times New Roman" w:hAnsi="Times New Roman" w:cs="Times New Roman"/>
          <w:color w:val="000000" w:themeColor="text1"/>
          <w:sz w:val="28"/>
          <w:szCs w:val="28"/>
          <w:lang w:eastAsia="en-US"/>
        </w:rPr>
        <w:t>желудочнокишечного</w:t>
      </w:r>
      <w:proofErr w:type="spellEnd"/>
      <w:r w:rsidRPr="00256DC9">
        <w:rPr>
          <w:rFonts w:ascii="Times New Roman" w:hAnsi="Times New Roman" w:cs="Times New Roman"/>
          <w:color w:val="000000" w:themeColor="text1"/>
          <w:sz w:val="28"/>
          <w:szCs w:val="28"/>
          <w:lang w:eastAsia="en-US"/>
        </w:rPr>
        <w:t xml:space="preserve"> тракта. Казанский</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медицинский</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журнал</w:t>
      </w:r>
      <w:r w:rsidRPr="00256DC9">
        <w:rPr>
          <w:rFonts w:ascii="Times New Roman" w:hAnsi="Times New Roman" w:cs="Times New Roman"/>
          <w:color w:val="000000" w:themeColor="text1"/>
          <w:sz w:val="28"/>
          <w:szCs w:val="28"/>
          <w:lang w:val="en-US" w:eastAsia="en-US"/>
        </w:rPr>
        <w:t>. 2012; 93 (2): 390–394. [</w:t>
      </w:r>
      <w:proofErr w:type="spellStart"/>
      <w:r w:rsidRPr="00256DC9">
        <w:rPr>
          <w:rFonts w:ascii="Times New Roman" w:hAnsi="Times New Roman" w:cs="Times New Roman"/>
          <w:color w:val="000000" w:themeColor="text1"/>
          <w:sz w:val="28"/>
          <w:szCs w:val="28"/>
          <w:lang w:val="en-US" w:eastAsia="en-US"/>
        </w:rPr>
        <w:t>Khalikova</w:t>
      </w:r>
      <w:proofErr w:type="spellEnd"/>
      <w:r w:rsidRPr="00256DC9">
        <w:rPr>
          <w:rFonts w:ascii="Times New Roman" w:hAnsi="Times New Roman" w:cs="Times New Roman"/>
          <w:color w:val="000000" w:themeColor="text1"/>
          <w:sz w:val="28"/>
          <w:szCs w:val="28"/>
          <w:lang w:val="en-US" w:eastAsia="en-US"/>
        </w:rPr>
        <w:t xml:space="preserve"> G. R., </w:t>
      </w:r>
      <w:proofErr w:type="spellStart"/>
      <w:r w:rsidRPr="00256DC9">
        <w:rPr>
          <w:rFonts w:ascii="Times New Roman" w:hAnsi="Times New Roman" w:cs="Times New Roman"/>
          <w:color w:val="000000" w:themeColor="text1"/>
          <w:sz w:val="28"/>
          <w:szCs w:val="28"/>
          <w:lang w:val="en-US" w:eastAsia="en-US"/>
        </w:rPr>
        <w:t>Malkov</w:t>
      </w:r>
      <w:proofErr w:type="spellEnd"/>
      <w:r w:rsidRPr="00256DC9">
        <w:rPr>
          <w:rFonts w:ascii="Times New Roman" w:hAnsi="Times New Roman" w:cs="Times New Roman"/>
          <w:color w:val="000000" w:themeColor="text1"/>
          <w:sz w:val="28"/>
          <w:szCs w:val="28"/>
          <w:lang w:val="en-US" w:eastAsia="en-US"/>
        </w:rPr>
        <w:t xml:space="preserve"> I. S., </w:t>
      </w:r>
      <w:proofErr w:type="spellStart"/>
      <w:r w:rsidRPr="00256DC9">
        <w:rPr>
          <w:rFonts w:ascii="Times New Roman" w:hAnsi="Times New Roman" w:cs="Times New Roman"/>
          <w:color w:val="000000" w:themeColor="text1"/>
          <w:sz w:val="28"/>
          <w:szCs w:val="28"/>
          <w:lang w:val="en-US" w:eastAsia="en-US"/>
        </w:rPr>
        <w:t>Fattakhov</w:t>
      </w:r>
      <w:proofErr w:type="spellEnd"/>
      <w:r w:rsidRPr="00256DC9">
        <w:rPr>
          <w:rFonts w:ascii="Times New Roman" w:hAnsi="Times New Roman" w:cs="Times New Roman"/>
          <w:color w:val="000000" w:themeColor="text1"/>
          <w:sz w:val="28"/>
          <w:szCs w:val="28"/>
          <w:lang w:val="en-US" w:eastAsia="en-US"/>
        </w:rPr>
        <w:t xml:space="preserve"> V. V., </w:t>
      </w:r>
      <w:proofErr w:type="spellStart"/>
      <w:r w:rsidRPr="00256DC9">
        <w:rPr>
          <w:rFonts w:ascii="Times New Roman" w:hAnsi="Times New Roman" w:cs="Times New Roman"/>
          <w:color w:val="000000" w:themeColor="text1"/>
          <w:sz w:val="28"/>
          <w:szCs w:val="28"/>
          <w:lang w:val="en-US" w:eastAsia="en-US"/>
        </w:rPr>
        <w:t>Nasrullaev</w:t>
      </w:r>
      <w:proofErr w:type="spellEnd"/>
      <w:r w:rsidRPr="00256DC9">
        <w:rPr>
          <w:rFonts w:ascii="Times New Roman" w:hAnsi="Times New Roman" w:cs="Times New Roman"/>
          <w:color w:val="000000" w:themeColor="text1"/>
          <w:sz w:val="28"/>
          <w:szCs w:val="28"/>
          <w:lang w:val="en-US" w:eastAsia="en-US"/>
        </w:rPr>
        <w:t xml:space="preserve"> M. N. Infusion-transfusion therapy in the treatment of patients with acute bleedings from the upper gastrointestinal tract. Kazan medical </w:t>
      </w:r>
      <w:proofErr w:type="spellStart"/>
      <w:r w:rsidRPr="00256DC9">
        <w:rPr>
          <w:rFonts w:ascii="Times New Roman" w:hAnsi="Times New Roman" w:cs="Times New Roman"/>
          <w:color w:val="000000" w:themeColor="text1"/>
          <w:sz w:val="28"/>
          <w:szCs w:val="28"/>
          <w:lang w:eastAsia="en-US"/>
        </w:rPr>
        <w:t>journal</w:t>
      </w:r>
      <w:proofErr w:type="spellEnd"/>
      <w:r w:rsidRPr="00256DC9">
        <w:rPr>
          <w:rFonts w:ascii="Times New Roman" w:hAnsi="Times New Roman" w:cs="Times New Roman"/>
          <w:color w:val="000000" w:themeColor="text1"/>
          <w:sz w:val="28"/>
          <w:szCs w:val="28"/>
          <w:lang w:eastAsia="en-US"/>
        </w:rPr>
        <w:t>. 2012; 93</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(2): 390</w:t>
      </w:r>
      <w:r w:rsidRPr="00256DC9">
        <w:rPr>
          <w:rFonts w:ascii="Times New Roman" w:hAnsi="Times New Roman" w:cs="Times New Roman"/>
          <w:color w:val="000000" w:themeColor="text1"/>
          <w:sz w:val="28"/>
          <w:szCs w:val="28"/>
          <w:lang w:val="en-US" w:eastAsia="en-US"/>
        </w:rPr>
        <w:t>–</w:t>
      </w:r>
      <w:r w:rsidRPr="00256DC9">
        <w:rPr>
          <w:rFonts w:ascii="Times New Roman" w:hAnsi="Times New Roman" w:cs="Times New Roman"/>
          <w:color w:val="000000" w:themeColor="text1"/>
          <w:sz w:val="28"/>
          <w:szCs w:val="28"/>
          <w:lang w:eastAsia="en-US"/>
        </w:rPr>
        <w:t>394. (</w:t>
      </w:r>
      <w:proofErr w:type="spellStart"/>
      <w:r w:rsidRPr="00256DC9">
        <w:rPr>
          <w:rFonts w:ascii="Times New Roman" w:hAnsi="Times New Roman" w:cs="Times New Roman"/>
          <w:color w:val="000000" w:themeColor="text1"/>
          <w:sz w:val="28"/>
          <w:szCs w:val="28"/>
          <w:lang w:eastAsia="en-US"/>
        </w:rPr>
        <w:t>In</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Russian</w:t>
      </w:r>
      <w:proofErr w:type="spellEnd"/>
      <w:r w:rsidRPr="00256DC9">
        <w:rPr>
          <w:rFonts w:ascii="Times New Roman" w:hAnsi="Times New Roman" w:cs="Times New Roman"/>
          <w:color w:val="000000" w:themeColor="text1"/>
          <w:sz w:val="28"/>
          <w:szCs w:val="28"/>
          <w:lang w:eastAsia="en-US"/>
        </w:rPr>
        <w:t>)]</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eastAsia="en-US"/>
        </w:rPr>
        <w:t>Вербицкий В. Г., Кузьмич А. А. Консервативное лечение желудочно-кишечных кровотечений. В кн.: Хирургическая гастроэнтерология. М.: Медицина; 2001: 94–108. [</w:t>
      </w:r>
      <w:proofErr w:type="spellStart"/>
      <w:r w:rsidRPr="00256DC9">
        <w:rPr>
          <w:rFonts w:ascii="Times New Roman" w:hAnsi="Times New Roman" w:cs="Times New Roman"/>
          <w:color w:val="000000" w:themeColor="text1"/>
          <w:sz w:val="28"/>
          <w:szCs w:val="28"/>
          <w:lang w:val="en-US" w:eastAsia="en-US"/>
        </w:rPr>
        <w:t>Verbitskiy</w:t>
      </w:r>
      <w:proofErr w:type="spellEnd"/>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V</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G</w:t>
      </w:r>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val="en-US" w:eastAsia="en-US"/>
        </w:rPr>
        <w:t>Kuz</w:t>
      </w:r>
      <w:proofErr w:type="spellEnd"/>
      <w:r w:rsidRPr="00256DC9">
        <w:rPr>
          <w:rFonts w:ascii="Times New Roman" w:hAnsi="Times New Roman" w:cs="Times New Roman"/>
          <w:color w:val="000000" w:themeColor="text1"/>
          <w:sz w:val="28"/>
          <w:szCs w:val="28"/>
          <w:lang w:eastAsia="en-US"/>
        </w:rPr>
        <w:t>’</w:t>
      </w:r>
      <w:proofErr w:type="spellStart"/>
      <w:r w:rsidRPr="00256DC9">
        <w:rPr>
          <w:rFonts w:ascii="Times New Roman" w:hAnsi="Times New Roman" w:cs="Times New Roman"/>
          <w:color w:val="000000" w:themeColor="text1"/>
          <w:sz w:val="28"/>
          <w:szCs w:val="28"/>
          <w:lang w:val="en-US" w:eastAsia="en-US"/>
        </w:rPr>
        <w:t>mich</w:t>
      </w:r>
      <w:proofErr w:type="spellEnd"/>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A</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A</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Conservative</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treatment</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of</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gastrointestinal</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bleeding</w:t>
      </w:r>
      <w:r w:rsidRPr="00256DC9">
        <w:rPr>
          <w:rFonts w:ascii="Times New Roman" w:hAnsi="Times New Roman" w:cs="Times New Roman"/>
          <w:color w:val="000000" w:themeColor="text1"/>
          <w:sz w:val="28"/>
          <w:szCs w:val="28"/>
          <w:lang w:eastAsia="en-US"/>
        </w:rPr>
        <w:t xml:space="preserve">. </w:t>
      </w:r>
      <w:r w:rsidRPr="00256DC9">
        <w:rPr>
          <w:rFonts w:ascii="Times New Roman" w:hAnsi="Times New Roman" w:cs="Times New Roman"/>
          <w:color w:val="000000" w:themeColor="text1"/>
          <w:sz w:val="28"/>
          <w:szCs w:val="28"/>
          <w:lang w:val="en-US" w:eastAsia="en-US"/>
        </w:rPr>
        <w:t xml:space="preserve">In: Surgical gastroenterology. Moscow: </w:t>
      </w:r>
      <w:proofErr w:type="spellStart"/>
      <w:r w:rsidRPr="00256DC9">
        <w:rPr>
          <w:rFonts w:ascii="Times New Roman" w:hAnsi="Times New Roman" w:cs="Times New Roman"/>
          <w:color w:val="000000" w:themeColor="text1"/>
          <w:sz w:val="28"/>
          <w:szCs w:val="28"/>
          <w:lang w:val="en-US" w:eastAsia="en-US"/>
        </w:rPr>
        <w:t>Meditsina</w:t>
      </w:r>
      <w:proofErr w:type="spellEnd"/>
      <w:r w:rsidRPr="00256DC9">
        <w:rPr>
          <w:rFonts w:ascii="Times New Roman" w:hAnsi="Times New Roman" w:cs="Times New Roman"/>
          <w:color w:val="000000" w:themeColor="text1"/>
          <w:sz w:val="28"/>
          <w:szCs w:val="28"/>
          <w:lang w:val="en-US" w:eastAsia="en-US"/>
        </w:rPr>
        <w:t xml:space="preserve"> Publisher; 2001: 94-108. </w:t>
      </w:r>
      <w:r w:rsidRPr="00256DC9">
        <w:rPr>
          <w:rFonts w:ascii="Times New Roman" w:hAnsi="Times New Roman" w:cs="Times New Roman"/>
          <w:color w:val="000000" w:themeColor="text1"/>
          <w:sz w:val="28"/>
          <w:szCs w:val="28"/>
          <w:lang w:eastAsia="en-US"/>
        </w:rPr>
        <w:t>(</w:t>
      </w:r>
      <w:proofErr w:type="spellStart"/>
      <w:r w:rsidRPr="00256DC9">
        <w:rPr>
          <w:rFonts w:ascii="Times New Roman" w:hAnsi="Times New Roman" w:cs="Times New Roman"/>
          <w:color w:val="000000" w:themeColor="text1"/>
          <w:sz w:val="28"/>
          <w:szCs w:val="28"/>
          <w:lang w:eastAsia="en-US"/>
        </w:rPr>
        <w:t>In</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Russian</w:t>
      </w:r>
      <w:proofErr w:type="spellEnd"/>
      <w:r w:rsidRPr="00256DC9">
        <w:rPr>
          <w:rFonts w:ascii="Times New Roman" w:hAnsi="Times New Roman" w:cs="Times New Roman"/>
          <w:color w:val="000000" w:themeColor="text1"/>
          <w:sz w:val="28"/>
          <w:szCs w:val="28"/>
          <w:lang w:eastAsia="en-US"/>
        </w:rPr>
        <w:t>)]</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eastAsia="en-US"/>
        </w:rPr>
        <w:t>Чынгыш</w:t>
      </w:r>
      <w:proofErr w:type="spellEnd"/>
      <w:r w:rsidRPr="00256DC9">
        <w:rPr>
          <w:rFonts w:ascii="Times New Roman" w:hAnsi="Times New Roman" w:cs="Times New Roman"/>
          <w:color w:val="000000" w:themeColor="text1"/>
          <w:sz w:val="28"/>
          <w:szCs w:val="28"/>
          <w:lang w:val="en-US" w:eastAsia="en-US"/>
        </w:rPr>
        <w:t>o</w:t>
      </w:r>
      <w:proofErr w:type="spellStart"/>
      <w:proofErr w:type="gramStart"/>
      <w:r w:rsidRPr="00256DC9">
        <w:rPr>
          <w:rFonts w:ascii="Times New Roman" w:hAnsi="Times New Roman" w:cs="Times New Roman"/>
          <w:color w:val="000000" w:themeColor="text1"/>
          <w:sz w:val="28"/>
          <w:szCs w:val="28"/>
          <w:lang w:eastAsia="en-US"/>
        </w:rPr>
        <w:t>ва</w:t>
      </w:r>
      <w:proofErr w:type="spellEnd"/>
      <w:r w:rsidRPr="00256DC9">
        <w:rPr>
          <w:rFonts w:ascii="Times New Roman" w:hAnsi="Times New Roman" w:cs="Times New Roman"/>
          <w:color w:val="000000" w:themeColor="text1"/>
          <w:sz w:val="28"/>
          <w:szCs w:val="28"/>
          <w:lang w:eastAsia="en-US"/>
        </w:rPr>
        <w:t xml:space="preserve">  Ж.</w:t>
      </w:r>
      <w:proofErr w:type="gramEnd"/>
      <w:r w:rsidRPr="00256DC9">
        <w:rPr>
          <w:rFonts w:ascii="Times New Roman" w:hAnsi="Times New Roman" w:cs="Times New Roman"/>
          <w:color w:val="000000" w:themeColor="text1"/>
          <w:sz w:val="28"/>
          <w:szCs w:val="28"/>
          <w:lang w:eastAsia="en-US"/>
        </w:rPr>
        <w:t xml:space="preserve"> А., </w:t>
      </w:r>
      <w:proofErr w:type="spellStart"/>
      <w:r w:rsidRPr="00256DC9">
        <w:rPr>
          <w:rFonts w:ascii="Times New Roman" w:hAnsi="Times New Roman" w:cs="Times New Roman"/>
          <w:color w:val="000000" w:themeColor="text1"/>
          <w:sz w:val="28"/>
          <w:szCs w:val="28"/>
          <w:lang w:eastAsia="en-US"/>
        </w:rPr>
        <w:t>Чапыев</w:t>
      </w:r>
      <w:proofErr w:type="spellEnd"/>
      <w:r w:rsidRPr="00256DC9">
        <w:rPr>
          <w:rFonts w:ascii="Times New Roman" w:hAnsi="Times New Roman" w:cs="Times New Roman"/>
          <w:color w:val="000000" w:themeColor="text1"/>
          <w:sz w:val="28"/>
          <w:szCs w:val="28"/>
          <w:lang w:eastAsia="en-US"/>
        </w:rPr>
        <w:t xml:space="preserve">  М. Б., </w:t>
      </w:r>
      <w:proofErr w:type="spellStart"/>
      <w:r w:rsidRPr="00256DC9">
        <w:rPr>
          <w:rFonts w:ascii="Times New Roman" w:hAnsi="Times New Roman" w:cs="Times New Roman"/>
          <w:color w:val="000000" w:themeColor="text1"/>
          <w:sz w:val="28"/>
          <w:szCs w:val="28"/>
          <w:lang w:eastAsia="en-US"/>
        </w:rPr>
        <w:t>Эраалиев</w:t>
      </w:r>
      <w:proofErr w:type="spellEnd"/>
      <w:r w:rsidRPr="00256DC9">
        <w:rPr>
          <w:rFonts w:ascii="Times New Roman" w:hAnsi="Times New Roman" w:cs="Times New Roman"/>
          <w:color w:val="000000" w:themeColor="text1"/>
          <w:sz w:val="28"/>
          <w:szCs w:val="28"/>
          <w:lang w:eastAsia="en-US"/>
        </w:rPr>
        <w:t xml:space="preserve">  Б. А., </w:t>
      </w:r>
      <w:proofErr w:type="spellStart"/>
      <w:r w:rsidRPr="00256DC9">
        <w:rPr>
          <w:rFonts w:ascii="Times New Roman" w:hAnsi="Times New Roman" w:cs="Times New Roman"/>
          <w:color w:val="000000" w:themeColor="text1"/>
          <w:sz w:val="28"/>
          <w:szCs w:val="28"/>
          <w:lang w:eastAsia="en-US"/>
        </w:rPr>
        <w:t>Мамажусупов</w:t>
      </w:r>
      <w:proofErr w:type="spellEnd"/>
      <w:r w:rsidRPr="00256DC9">
        <w:rPr>
          <w:rFonts w:ascii="Times New Roman" w:hAnsi="Times New Roman" w:cs="Times New Roman"/>
          <w:color w:val="000000" w:themeColor="text1"/>
          <w:sz w:val="28"/>
          <w:szCs w:val="28"/>
          <w:lang w:eastAsia="en-US"/>
        </w:rPr>
        <w:t xml:space="preserve">  Н. А. Пределы обоснования адаптированной программы </w:t>
      </w:r>
      <w:proofErr w:type="spellStart"/>
      <w:r w:rsidRPr="00256DC9">
        <w:rPr>
          <w:rFonts w:ascii="Times New Roman" w:hAnsi="Times New Roman" w:cs="Times New Roman"/>
          <w:color w:val="000000" w:themeColor="text1"/>
          <w:sz w:val="28"/>
          <w:szCs w:val="28"/>
          <w:lang w:eastAsia="en-US"/>
        </w:rPr>
        <w:t>интраоперационной</w:t>
      </w:r>
      <w:proofErr w:type="spellEnd"/>
      <w:r w:rsidRPr="00256DC9">
        <w:rPr>
          <w:rFonts w:ascii="Times New Roman" w:hAnsi="Times New Roman" w:cs="Times New Roman"/>
          <w:color w:val="000000" w:themeColor="text1"/>
          <w:sz w:val="28"/>
          <w:szCs w:val="28"/>
          <w:lang w:eastAsia="en-US"/>
        </w:rPr>
        <w:t xml:space="preserve"> </w:t>
      </w:r>
      <w:proofErr w:type="spellStart"/>
      <w:r w:rsidRPr="00256DC9">
        <w:rPr>
          <w:rFonts w:ascii="Times New Roman" w:hAnsi="Times New Roman" w:cs="Times New Roman"/>
          <w:color w:val="000000" w:themeColor="text1"/>
          <w:sz w:val="28"/>
          <w:szCs w:val="28"/>
          <w:lang w:eastAsia="en-US"/>
        </w:rPr>
        <w:t>инфузионно-трансфузионной</w:t>
      </w:r>
      <w:proofErr w:type="spellEnd"/>
      <w:r w:rsidRPr="00256DC9">
        <w:rPr>
          <w:rFonts w:ascii="Times New Roman" w:hAnsi="Times New Roman" w:cs="Times New Roman"/>
          <w:color w:val="000000" w:themeColor="text1"/>
          <w:sz w:val="28"/>
          <w:szCs w:val="28"/>
          <w:lang w:eastAsia="en-US"/>
        </w:rPr>
        <w:t xml:space="preserve"> терапии при критических просветных кровопотерях в зависимости от скорости кровотечения. Международный</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журнал</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прикладных</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и</w:t>
      </w:r>
      <w:r w:rsidRPr="00256DC9">
        <w:rPr>
          <w:rFonts w:ascii="Times New Roman" w:hAnsi="Times New Roman" w:cs="Times New Roman"/>
          <w:color w:val="000000" w:themeColor="text1"/>
          <w:sz w:val="28"/>
          <w:szCs w:val="28"/>
          <w:lang w:val="en-US" w:eastAsia="en-US"/>
        </w:rPr>
        <w:t xml:space="preserve"> </w:t>
      </w:r>
      <w:proofErr w:type="gramStart"/>
      <w:r w:rsidRPr="00256DC9">
        <w:rPr>
          <w:rFonts w:ascii="Times New Roman" w:hAnsi="Times New Roman" w:cs="Times New Roman"/>
          <w:color w:val="000000" w:themeColor="text1"/>
          <w:sz w:val="28"/>
          <w:szCs w:val="28"/>
          <w:lang w:eastAsia="en-US"/>
        </w:rPr>
        <w:t>фундаментальных</w:t>
      </w: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исследований</w:t>
      </w:r>
      <w:proofErr w:type="gramEnd"/>
      <w:r w:rsidRPr="00256DC9">
        <w:rPr>
          <w:rFonts w:ascii="Times New Roman" w:hAnsi="Times New Roman" w:cs="Times New Roman"/>
          <w:color w:val="000000" w:themeColor="text1"/>
          <w:sz w:val="28"/>
          <w:szCs w:val="28"/>
          <w:lang w:val="en-US" w:eastAsia="en-US"/>
        </w:rPr>
        <w:t>. 2019; 2: 57–61. [</w:t>
      </w:r>
      <w:proofErr w:type="spellStart"/>
      <w:proofErr w:type="gramStart"/>
      <w:r w:rsidRPr="00256DC9">
        <w:rPr>
          <w:rFonts w:ascii="Times New Roman" w:hAnsi="Times New Roman" w:cs="Times New Roman"/>
          <w:color w:val="000000" w:themeColor="text1"/>
          <w:sz w:val="28"/>
          <w:szCs w:val="28"/>
          <w:lang w:val="en-US" w:eastAsia="en-US"/>
        </w:rPr>
        <w:t>Chyngyshova</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Zh</w:t>
      </w:r>
      <w:proofErr w:type="spellEnd"/>
      <w:proofErr w:type="gramEnd"/>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eastAsia="en-US"/>
        </w:rPr>
        <w:t>А</w:t>
      </w:r>
      <w:r w:rsidRPr="00256DC9">
        <w:rPr>
          <w:rFonts w:ascii="Times New Roman" w:hAnsi="Times New Roman" w:cs="Times New Roman"/>
          <w:color w:val="000000" w:themeColor="text1"/>
          <w:sz w:val="28"/>
          <w:szCs w:val="28"/>
          <w:lang w:val="en-US" w:eastAsia="en-US"/>
        </w:rPr>
        <w:t>., </w:t>
      </w:r>
      <w:proofErr w:type="spellStart"/>
      <w:proofErr w:type="gramStart"/>
      <w:r w:rsidRPr="00256DC9">
        <w:rPr>
          <w:rFonts w:ascii="Times New Roman" w:hAnsi="Times New Roman" w:cs="Times New Roman"/>
          <w:color w:val="000000" w:themeColor="text1"/>
          <w:sz w:val="28"/>
          <w:szCs w:val="28"/>
          <w:lang w:val="en-US" w:eastAsia="en-US"/>
        </w:rPr>
        <w:t>Chapyev</w:t>
      </w:r>
      <w:proofErr w:type="spellEnd"/>
      <w:r w:rsidRPr="00256DC9">
        <w:rPr>
          <w:rFonts w:ascii="Times New Roman" w:hAnsi="Times New Roman" w:cs="Times New Roman"/>
          <w:color w:val="000000" w:themeColor="text1"/>
          <w:sz w:val="28"/>
          <w:szCs w:val="28"/>
          <w:lang w:val="en-US" w:eastAsia="en-US"/>
        </w:rPr>
        <w:t>  M.</w:t>
      </w:r>
      <w:proofErr w:type="gramEnd"/>
      <w:r w:rsidRPr="00256DC9">
        <w:rPr>
          <w:rFonts w:ascii="Times New Roman" w:hAnsi="Times New Roman" w:cs="Times New Roman"/>
          <w:color w:val="000000" w:themeColor="text1"/>
          <w:sz w:val="28"/>
          <w:szCs w:val="28"/>
          <w:lang w:val="en-US" w:eastAsia="en-US"/>
        </w:rPr>
        <w:t xml:space="preserve"> B., </w:t>
      </w:r>
      <w:proofErr w:type="spellStart"/>
      <w:r w:rsidRPr="00256DC9">
        <w:rPr>
          <w:rFonts w:ascii="Times New Roman" w:hAnsi="Times New Roman" w:cs="Times New Roman"/>
          <w:color w:val="000000" w:themeColor="text1"/>
          <w:sz w:val="28"/>
          <w:szCs w:val="28"/>
          <w:lang w:val="en-US" w:eastAsia="en-US"/>
        </w:rPr>
        <w:t>Eraaliev</w:t>
      </w:r>
      <w:proofErr w:type="spellEnd"/>
      <w:r w:rsidRPr="00256DC9">
        <w:rPr>
          <w:rFonts w:ascii="Times New Roman" w:hAnsi="Times New Roman" w:cs="Times New Roman"/>
          <w:color w:val="000000" w:themeColor="text1"/>
          <w:sz w:val="28"/>
          <w:szCs w:val="28"/>
          <w:lang w:val="en-US" w:eastAsia="en-US"/>
        </w:rPr>
        <w:t>  B. A., </w:t>
      </w:r>
      <w:proofErr w:type="spellStart"/>
      <w:r w:rsidRPr="00256DC9">
        <w:rPr>
          <w:rFonts w:ascii="Times New Roman" w:hAnsi="Times New Roman" w:cs="Times New Roman"/>
          <w:color w:val="000000" w:themeColor="text1"/>
          <w:sz w:val="28"/>
          <w:szCs w:val="28"/>
          <w:lang w:val="en-US" w:eastAsia="en-US"/>
        </w:rPr>
        <w:t>Mamazhusupov</w:t>
      </w:r>
      <w:proofErr w:type="spellEnd"/>
      <w:r w:rsidRPr="00256DC9">
        <w:rPr>
          <w:rFonts w:ascii="Times New Roman" w:hAnsi="Times New Roman" w:cs="Times New Roman"/>
          <w:color w:val="000000" w:themeColor="text1"/>
          <w:sz w:val="28"/>
          <w:szCs w:val="28"/>
          <w:lang w:val="en-US" w:eastAsia="en-US"/>
        </w:rPr>
        <w:t xml:space="preserve">  N. A. The limits of the justification of adapted  programs of intraoperative infusion-transfusion therapy in critical luminal blood loss depending on the speed bleeding. International journal of applied and fundamental research. 2019; 2: 57–61. (In Russian)]</w:t>
      </w:r>
    </w:p>
    <w:p w:rsidR="00E10624" w:rsidRPr="00256DC9" w:rsidRDefault="00E10624" w:rsidP="00256DC9">
      <w:pPr>
        <w:numPr>
          <w:ilvl w:val="0"/>
          <w:numId w:val="14"/>
        </w:numPr>
        <w:tabs>
          <w:tab w:val="clear" w:pos="720"/>
          <w:tab w:val="num" w:pos="851"/>
        </w:tabs>
        <w:spacing w:line="360" w:lineRule="auto"/>
        <w:ind w:left="284"/>
        <w:contextualSpacing/>
        <w:jc w:val="both"/>
        <w:rPr>
          <w:rFonts w:ascii="Times New Roman" w:hAnsi="Times New Roman" w:cs="Times New Roman"/>
          <w:color w:val="000000" w:themeColor="text1"/>
          <w:sz w:val="28"/>
          <w:szCs w:val="28"/>
          <w:lang w:eastAsia="en-US"/>
        </w:rPr>
      </w:pPr>
      <w:r w:rsidRPr="00256DC9">
        <w:rPr>
          <w:rFonts w:ascii="Times New Roman" w:hAnsi="Times New Roman" w:cs="Times New Roman"/>
          <w:color w:val="000000" w:themeColor="text1"/>
          <w:sz w:val="28"/>
          <w:szCs w:val="28"/>
          <w:lang w:eastAsia="en-US"/>
        </w:rPr>
        <w:t xml:space="preserve"> Горобец Е. С. Проблема массивных кровопотерь в </w:t>
      </w:r>
      <w:proofErr w:type="spellStart"/>
      <w:r w:rsidRPr="00256DC9">
        <w:rPr>
          <w:rFonts w:ascii="Times New Roman" w:hAnsi="Times New Roman" w:cs="Times New Roman"/>
          <w:color w:val="000000" w:themeColor="text1"/>
          <w:sz w:val="28"/>
          <w:szCs w:val="28"/>
          <w:lang w:eastAsia="en-US"/>
        </w:rPr>
        <w:t>онкохирургии</w:t>
      </w:r>
      <w:proofErr w:type="spellEnd"/>
      <w:r w:rsidRPr="00256DC9">
        <w:rPr>
          <w:rFonts w:ascii="Times New Roman" w:hAnsi="Times New Roman" w:cs="Times New Roman"/>
          <w:color w:val="000000" w:themeColor="text1"/>
          <w:sz w:val="28"/>
          <w:szCs w:val="28"/>
          <w:lang w:eastAsia="en-US"/>
        </w:rPr>
        <w:t xml:space="preserve"> (аналитический обзор). Анестезиология и реаниматология. 2011</w:t>
      </w:r>
      <w:r w:rsidRPr="00256DC9">
        <w:rPr>
          <w:rFonts w:ascii="Times New Roman" w:hAnsi="Times New Roman" w:cs="Times New Roman"/>
          <w:color w:val="000000" w:themeColor="text1"/>
          <w:sz w:val="28"/>
          <w:szCs w:val="28"/>
          <w:lang w:val="en-US" w:eastAsia="en-US"/>
        </w:rPr>
        <w:t>;</w:t>
      </w:r>
      <w:r w:rsidRPr="00256DC9">
        <w:rPr>
          <w:rFonts w:ascii="Times New Roman" w:hAnsi="Times New Roman" w:cs="Times New Roman"/>
          <w:color w:val="000000" w:themeColor="text1"/>
          <w:sz w:val="28"/>
          <w:szCs w:val="28"/>
          <w:lang w:eastAsia="en-US"/>
        </w:rPr>
        <w:t xml:space="preserve"> 5</w:t>
      </w:r>
      <w:r w:rsidRPr="00256DC9">
        <w:rPr>
          <w:rFonts w:ascii="Times New Roman" w:hAnsi="Times New Roman" w:cs="Times New Roman"/>
          <w:color w:val="000000" w:themeColor="text1"/>
          <w:sz w:val="28"/>
          <w:szCs w:val="28"/>
          <w:lang w:val="en-US" w:eastAsia="en-US"/>
        </w:rPr>
        <w:t>:</w:t>
      </w:r>
      <w:r w:rsidRPr="00256DC9">
        <w:rPr>
          <w:rFonts w:ascii="Times New Roman" w:hAnsi="Times New Roman" w:cs="Times New Roman"/>
          <w:color w:val="000000" w:themeColor="text1"/>
          <w:sz w:val="28"/>
          <w:szCs w:val="28"/>
          <w:lang w:eastAsia="en-US"/>
        </w:rPr>
        <w:t xml:space="preserve"> 44</w:t>
      </w:r>
      <w:r w:rsidRPr="00256DC9">
        <w:rPr>
          <w:rFonts w:ascii="Times New Roman" w:hAnsi="Times New Roman" w:cs="Times New Roman"/>
          <w:color w:val="000000" w:themeColor="text1"/>
          <w:sz w:val="28"/>
          <w:szCs w:val="28"/>
          <w:lang w:val="en-US" w:eastAsia="en-US"/>
        </w:rPr>
        <w:t>–</w:t>
      </w:r>
      <w:r w:rsidRPr="00256DC9">
        <w:rPr>
          <w:rFonts w:ascii="Times New Roman" w:hAnsi="Times New Roman" w:cs="Times New Roman"/>
          <w:color w:val="000000" w:themeColor="text1"/>
          <w:sz w:val="28"/>
          <w:szCs w:val="28"/>
          <w:lang w:eastAsia="en-US"/>
        </w:rPr>
        <w:t>47.</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eastAsia="en-US"/>
        </w:rPr>
        <w:lastRenderedPageBreak/>
        <w:t xml:space="preserve"> </w:t>
      </w:r>
      <w:r w:rsidRPr="00256DC9">
        <w:rPr>
          <w:rFonts w:ascii="Times New Roman" w:hAnsi="Times New Roman" w:cs="Times New Roman"/>
          <w:color w:val="000000" w:themeColor="text1"/>
          <w:sz w:val="28"/>
          <w:szCs w:val="28"/>
          <w:shd w:val="clear" w:color="auto" w:fill="FFFFFF"/>
        </w:rPr>
        <w:t xml:space="preserve">Воробьев В. М. Выбор тактики </w:t>
      </w:r>
      <w:r w:rsidRPr="00256DC9">
        <w:rPr>
          <w:rFonts w:ascii="Times New Roman" w:hAnsi="Times New Roman" w:cs="Times New Roman"/>
          <w:color w:val="000000" w:themeColor="text1"/>
          <w:sz w:val="28"/>
          <w:szCs w:val="28"/>
          <w:lang w:eastAsia="en-US"/>
        </w:rPr>
        <w:t xml:space="preserve">лечения больных с острыми </w:t>
      </w:r>
      <w:proofErr w:type="spellStart"/>
      <w:r w:rsidRPr="00256DC9">
        <w:rPr>
          <w:rFonts w:ascii="Times New Roman" w:hAnsi="Times New Roman" w:cs="Times New Roman"/>
          <w:color w:val="000000" w:themeColor="text1"/>
          <w:sz w:val="28"/>
          <w:szCs w:val="28"/>
          <w:lang w:eastAsia="en-US"/>
        </w:rPr>
        <w:t>гастродуоденальными</w:t>
      </w:r>
      <w:proofErr w:type="spellEnd"/>
      <w:r w:rsidRPr="00256DC9">
        <w:rPr>
          <w:rFonts w:ascii="Times New Roman" w:hAnsi="Times New Roman" w:cs="Times New Roman"/>
          <w:color w:val="000000" w:themeColor="text1"/>
          <w:sz w:val="28"/>
          <w:szCs w:val="28"/>
          <w:lang w:eastAsia="en-US"/>
        </w:rPr>
        <w:t xml:space="preserve"> кровотечениями язвенной этиологии</w:t>
      </w:r>
      <w:r w:rsidRPr="00256DC9">
        <w:rPr>
          <w:rFonts w:ascii="Times New Roman" w:hAnsi="Times New Roman" w:cs="Times New Roman"/>
          <w:color w:val="000000" w:themeColor="text1"/>
          <w:sz w:val="28"/>
          <w:szCs w:val="28"/>
          <w:shd w:val="clear" w:color="auto" w:fill="FFFFFF"/>
        </w:rPr>
        <w:t xml:space="preserve">: </w:t>
      </w:r>
      <w:proofErr w:type="spellStart"/>
      <w:r w:rsidRPr="00256DC9">
        <w:rPr>
          <w:rFonts w:ascii="Times New Roman" w:hAnsi="Times New Roman" w:cs="Times New Roman"/>
          <w:color w:val="000000" w:themeColor="text1"/>
          <w:sz w:val="28"/>
          <w:szCs w:val="28"/>
          <w:shd w:val="clear" w:color="auto" w:fill="FFFFFF"/>
        </w:rPr>
        <w:t>автореф</w:t>
      </w:r>
      <w:proofErr w:type="spellEnd"/>
      <w:r w:rsidRPr="00256DC9">
        <w:rPr>
          <w:rFonts w:ascii="Times New Roman" w:hAnsi="Times New Roman" w:cs="Times New Roman"/>
          <w:color w:val="000000" w:themeColor="text1"/>
          <w:sz w:val="28"/>
          <w:szCs w:val="28"/>
          <w:shd w:val="clear" w:color="auto" w:fill="FFFFFF"/>
        </w:rPr>
        <w:t xml:space="preserve">. </w:t>
      </w:r>
      <w:proofErr w:type="spellStart"/>
      <w:r w:rsidRPr="00256DC9">
        <w:rPr>
          <w:rFonts w:ascii="Times New Roman" w:hAnsi="Times New Roman" w:cs="Times New Roman"/>
          <w:color w:val="000000" w:themeColor="text1"/>
          <w:sz w:val="28"/>
          <w:szCs w:val="28"/>
          <w:shd w:val="clear" w:color="auto" w:fill="FFFFFF"/>
        </w:rPr>
        <w:t>дис</w:t>
      </w:r>
      <w:proofErr w:type="spellEnd"/>
      <w:r w:rsidRPr="00256DC9">
        <w:rPr>
          <w:rFonts w:ascii="Times New Roman" w:hAnsi="Times New Roman" w:cs="Times New Roman"/>
          <w:color w:val="000000" w:themeColor="text1"/>
          <w:sz w:val="28"/>
          <w:szCs w:val="28"/>
          <w:shd w:val="clear" w:color="auto" w:fill="FFFFFF"/>
        </w:rPr>
        <w:t>. ... канд.. мед. наук</w:t>
      </w:r>
      <w:r w:rsidRPr="00256DC9">
        <w:rPr>
          <w:rFonts w:ascii="Times New Roman" w:hAnsi="Times New Roman" w:cs="Times New Roman"/>
          <w:color w:val="000000" w:themeColor="text1"/>
          <w:sz w:val="28"/>
          <w:szCs w:val="28"/>
          <w:shd w:val="clear" w:color="auto" w:fill="FFFFFF"/>
          <w:lang w:val="en-US"/>
        </w:rPr>
        <w:t>.</w:t>
      </w:r>
      <w:r w:rsidRPr="00256DC9">
        <w:rPr>
          <w:rFonts w:ascii="Times New Roman" w:hAnsi="Times New Roman" w:cs="Times New Roman"/>
          <w:color w:val="000000" w:themeColor="text1"/>
          <w:sz w:val="28"/>
          <w:szCs w:val="28"/>
          <w:shd w:val="clear" w:color="auto" w:fill="FFFFFF"/>
        </w:rPr>
        <w:t xml:space="preserve"> Новосибирск</w:t>
      </w:r>
      <w:r w:rsidRPr="00256DC9">
        <w:rPr>
          <w:rFonts w:ascii="Times New Roman" w:hAnsi="Times New Roman" w:cs="Times New Roman"/>
          <w:color w:val="000000" w:themeColor="text1"/>
          <w:sz w:val="28"/>
          <w:szCs w:val="28"/>
          <w:shd w:val="clear" w:color="auto" w:fill="FFFFFF"/>
          <w:lang w:val="en-US"/>
        </w:rPr>
        <w:t>;</w:t>
      </w:r>
      <w:r w:rsidRPr="00256DC9">
        <w:rPr>
          <w:rFonts w:ascii="Times New Roman" w:hAnsi="Times New Roman" w:cs="Times New Roman"/>
          <w:color w:val="000000" w:themeColor="text1"/>
          <w:sz w:val="28"/>
          <w:szCs w:val="28"/>
          <w:shd w:val="clear" w:color="auto" w:fill="FFFFFF"/>
        </w:rPr>
        <w:t xml:space="preserve"> 2006. 21.</w:t>
      </w:r>
      <w:r w:rsidRPr="00256DC9">
        <w:rPr>
          <w:rFonts w:ascii="Times New Roman" w:hAnsi="Times New Roman" w:cs="Times New Roman"/>
          <w:color w:val="000000" w:themeColor="text1"/>
          <w:sz w:val="28"/>
          <w:szCs w:val="28"/>
          <w:lang w:eastAsia="en-US"/>
        </w:rPr>
        <w:t xml:space="preserve">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Callum</w:t>
      </w:r>
      <w:proofErr w:type="spellEnd"/>
      <w:r w:rsidRPr="00256DC9">
        <w:rPr>
          <w:rFonts w:ascii="Times New Roman" w:hAnsi="Times New Roman" w:cs="Times New Roman"/>
          <w:color w:val="000000" w:themeColor="text1"/>
          <w:sz w:val="28"/>
          <w:szCs w:val="28"/>
          <w:lang w:val="en-US" w:eastAsia="en-US"/>
        </w:rPr>
        <w:t xml:space="preserve"> J. L., </w:t>
      </w:r>
      <w:proofErr w:type="spellStart"/>
      <w:r w:rsidRPr="00256DC9">
        <w:rPr>
          <w:rFonts w:ascii="Times New Roman" w:hAnsi="Times New Roman" w:cs="Times New Roman"/>
          <w:color w:val="000000" w:themeColor="text1"/>
          <w:sz w:val="28"/>
          <w:szCs w:val="28"/>
          <w:lang w:val="en-US" w:eastAsia="en-US"/>
        </w:rPr>
        <w:t>Rizoli</w:t>
      </w:r>
      <w:proofErr w:type="spellEnd"/>
      <w:r w:rsidRPr="00256DC9">
        <w:rPr>
          <w:rFonts w:ascii="Times New Roman" w:hAnsi="Times New Roman" w:cs="Times New Roman"/>
          <w:color w:val="000000" w:themeColor="text1"/>
          <w:sz w:val="28"/>
          <w:szCs w:val="28"/>
          <w:lang w:val="en-US" w:eastAsia="en-US"/>
        </w:rPr>
        <w:t xml:space="preserve"> S. Plasma Transfusion for Patients with Severe Hemorrhage: What Is the Evidence? Transfusion. 2012; 52 (Suppl 1): 30-37.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Chen T., Xu G., Tan D., Wu C. Effects of Platelet Infusion, Anticoagulant and Other Risk Factors on the </w:t>
      </w:r>
      <w:proofErr w:type="spellStart"/>
      <w:r w:rsidRPr="00256DC9">
        <w:rPr>
          <w:rFonts w:ascii="Times New Roman" w:hAnsi="Times New Roman" w:cs="Times New Roman"/>
          <w:color w:val="000000" w:themeColor="text1"/>
          <w:sz w:val="28"/>
          <w:szCs w:val="28"/>
          <w:lang w:val="en-US" w:eastAsia="en-US"/>
        </w:rPr>
        <w:t>Rehaemorrhagia</w:t>
      </w:r>
      <w:proofErr w:type="spellEnd"/>
      <w:r w:rsidRPr="00256DC9">
        <w:rPr>
          <w:rFonts w:ascii="Times New Roman" w:hAnsi="Times New Roman" w:cs="Times New Roman"/>
          <w:color w:val="000000" w:themeColor="text1"/>
          <w:sz w:val="28"/>
          <w:szCs w:val="28"/>
          <w:lang w:val="en-US" w:eastAsia="en-US"/>
        </w:rPr>
        <w:t xml:space="preserve"> after Surgery of Hypertensive Cerebral Hemorrhage. Eur. Rev. Med. </w:t>
      </w:r>
      <w:proofErr w:type="spellStart"/>
      <w:r w:rsidRPr="00256DC9">
        <w:rPr>
          <w:rFonts w:ascii="Times New Roman" w:hAnsi="Times New Roman" w:cs="Times New Roman"/>
          <w:color w:val="000000" w:themeColor="text1"/>
          <w:sz w:val="28"/>
          <w:szCs w:val="28"/>
          <w:lang w:val="en-US" w:eastAsia="en-US"/>
        </w:rPr>
        <w:t>Pharmacol</w:t>
      </w:r>
      <w:proofErr w:type="spellEnd"/>
      <w:r w:rsidRPr="00256DC9">
        <w:rPr>
          <w:rFonts w:ascii="Times New Roman" w:hAnsi="Times New Roman" w:cs="Times New Roman"/>
          <w:color w:val="000000" w:themeColor="text1"/>
          <w:sz w:val="28"/>
          <w:szCs w:val="28"/>
          <w:lang w:val="en-US" w:eastAsia="en-US"/>
        </w:rPr>
        <w:t xml:space="preserve">. Sci. 2015; 19 (5): 795–799.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Fernandez-Hinojosa E., Murillo-Cabezas F., </w:t>
      </w:r>
      <w:proofErr w:type="spellStart"/>
      <w:r w:rsidRPr="00256DC9">
        <w:rPr>
          <w:rFonts w:ascii="Times New Roman" w:hAnsi="Times New Roman" w:cs="Times New Roman"/>
          <w:color w:val="000000" w:themeColor="text1"/>
          <w:sz w:val="28"/>
          <w:szCs w:val="28"/>
          <w:lang w:val="en-US" w:eastAsia="en-US"/>
        </w:rPr>
        <w:t>Puppo</w:t>
      </w:r>
      <w:proofErr w:type="spellEnd"/>
      <w:r w:rsidRPr="00256DC9">
        <w:rPr>
          <w:rFonts w:ascii="Times New Roman" w:hAnsi="Times New Roman" w:cs="Times New Roman"/>
          <w:color w:val="000000" w:themeColor="text1"/>
          <w:sz w:val="28"/>
          <w:szCs w:val="28"/>
          <w:lang w:val="en-US" w:eastAsia="en-US"/>
        </w:rPr>
        <w:t>-Moreno A., Leal-</w:t>
      </w:r>
      <w:proofErr w:type="spellStart"/>
      <w:r w:rsidRPr="00256DC9">
        <w:rPr>
          <w:rFonts w:ascii="Times New Roman" w:hAnsi="Times New Roman" w:cs="Times New Roman"/>
          <w:color w:val="000000" w:themeColor="text1"/>
          <w:sz w:val="28"/>
          <w:szCs w:val="28"/>
          <w:lang w:val="en-US" w:eastAsia="en-US"/>
        </w:rPr>
        <w:t>Noval</w:t>
      </w:r>
      <w:proofErr w:type="spellEnd"/>
      <w:r w:rsidRPr="00256DC9">
        <w:rPr>
          <w:rFonts w:ascii="Times New Roman" w:hAnsi="Times New Roman" w:cs="Times New Roman"/>
          <w:color w:val="000000" w:themeColor="text1"/>
          <w:sz w:val="28"/>
          <w:szCs w:val="28"/>
          <w:lang w:val="en-US" w:eastAsia="en-US"/>
        </w:rPr>
        <w:t xml:space="preserve"> S. R. Treatment Alternatives in Massive Hemorrhage. Med </w:t>
      </w:r>
      <w:proofErr w:type="spellStart"/>
      <w:r w:rsidRPr="00256DC9">
        <w:rPr>
          <w:rFonts w:ascii="Times New Roman" w:hAnsi="Times New Roman" w:cs="Times New Roman"/>
          <w:color w:val="000000" w:themeColor="text1"/>
          <w:sz w:val="28"/>
          <w:szCs w:val="28"/>
          <w:lang w:val="en-US" w:eastAsia="en-US"/>
        </w:rPr>
        <w:t>Intensiva</w:t>
      </w:r>
      <w:proofErr w:type="spellEnd"/>
      <w:r w:rsidRPr="00256DC9">
        <w:rPr>
          <w:rFonts w:ascii="Times New Roman" w:hAnsi="Times New Roman" w:cs="Times New Roman"/>
          <w:i/>
          <w:color w:val="000000" w:themeColor="text1"/>
          <w:sz w:val="28"/>
          <w:szCs w:val="28"/>
          <w:lang w:val="en-US" w:eastAsia="en-US"/>
        </w:rPr>
        <w:t xml:space="preserve">. </w:t>
      </w:r>
      <w:r w:rsidRPr="00256DC9">
        <w:rPr>
          <w:rFonts w:ascii="Times New Roman" w:hAnsi="Times New Roman" w:cs="Times New Roman"/>
          <w:color w:val="000000" w:themeColor="text1"/>
          <w:sz w:val="28"/>
          <w:szCs w:val="28"/>
          <w:lang w:val="en-US" w:eastAsia="en-US"/>
        </w:rPr>
        <w:t xml:space="preserve">2012; 36 (7): 496–503. </w:t>
      </w:r>
      <w:proofErr w:type="spellStart"/>
      <w:r w:rsidRPr="00256DC9">
        <w:rPr>
          <w:rFonts w:ascii="Times New Roman" w:hAnsi="Times New Roman" w:cs="Times New Roman"/>
          <w:color w:val="000000" w:themeColor="text1"/>
          <w:sz w:val="28"/>
          <w:szCs w:val="28"/>
          <w:lang w:val="en-US" w:eastAsia="en-US"/>
        </w:rPr>
        <w:t>Alternativas</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terapeuticas</w:t>
      </w:r>
      <w:proofErr w:type="spellEnd"/>
      <w:r w:rsidRPr="00256DC9">
        <w:rPr>
          <w:rFonts w:ascii="Times New Roman" w:hAnsi="Times New Roman" w:cs="Times New Roman"/>
          <w:color w:val="000000" w:themeColor="text1"/>
          <w:sz w:val="28"/>
          <w:szCs w:val="28"/>
          <w:lang w:val="en-US" w:eastAsia="en-US"/>
        </w:rPr>
        <w:t xml:space="preserve"> de la </w:t>
      </w:r>
      <w:proofErr w:type="spellStart"/>
      <w:r w:rsidRPr="00256DC9">
        <w:rPr>
          <w:rFonts w:ascii="Times New Roman" w:hAnsi="Times New Roman" w:cs="Times New Roman"/>
          <w:color w:val="000000" w:themeColor="text1"/>
          <w:sz w:val="28"/>
          <w:szCs w:val="28"/>
          <w:lang w:val="en-US" w:eastAsia="en-US"/>
        </w:rPr>
        <w:t>hemorragia</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masiva</w:t>
      </w:r>
      <w:proofErr w:type="spellEnd"/>
      <w:r w:rsidRPr="00256DC9">
        <w:rPr>
          <w:rFonts w:ascii="Times New Roman" w:hAnsi="Times New Roman" w:cs="Times New Roman"/>
          <w:color w:val="000000" w:themeColor="text1"/>
          <w:sz w:val="28"/>
          <w:szCs w:val="28"/>
          <w:lang w:val="en-US" w:eastAsia="en-US"/>
        </w:rPr>
        <w:t xml:space="preserve">.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Bolliger</w:t>
      </w:r>
      <w:proofErr w:type="spellEnd"/>
      <w:r w:rsidRPr="00256DC9">
        <w:rPr>
          <w:rFonts w:ascii="Times New Roman" w:hAnsi="Times New Roman" w:cs="Times New Roman"/>
          <w:color w:val="000000" w:themeColor="text1"/>
          <w:sz w:val="28"/>
          <w:szCs w:val="28"/>
          <w:lang w:val="en-US" w:eastAsia="en-US"/>
        </w:rPr>
        <w:t xml:space="preserve"> D., </w:t>
      </w:r>
      <w:proofErr w:type="spellStart"/>
      <w:r w:rsidRPr="00256DC9">
        <w:rPr>
          <w:rFonts w:ascii="Times New Roman" w:hAnsi="Times New Roman" w:cs="Times New Roman"/>
          <w:color w:val="000000" w:themeColor="text1"/>
          <w:sz w:val="28"/>
          <w:szCs w:val="28"/>
          <w:lang w:val="en-US" w:eastAsia="en-US"/>
        </w:rPr>
        <w:t>Szlam</w:t>
      </w:r>
      <w:proofErr w:type="spellEnd"/>
      <w:r w:rsidRPr="00256DC9">
        <w:rPr>
          <w:rFonts w:ascii="Times New Roman" w:hAnsi="Times New Roman" w:cs="Times New Roman"/>
          <w:color w:val="000000" w:themeColor="text1"/>
          <w:sz w:val="28"/>
          <w:szCs w:val="28"/>
          <w:lang w:val="en-US" w:eastAsia="en-US"/>
        </w:rPr>
        <w:t xml:space="preserve"> F., Levy J. H., Molinaro R. J., Tanaka K. A. </w:t>
      </w:r>
      <w:proofErr w:type="spellStart"/>
      <w:r w:rsidRPr="00256DC9">
        <w:rPr>
          <w:rFonts w:ascii="Times New Roman" w:hAnsi="Times New Roman" w:cs="Times New Roman"/>
          <w:color w:val="000000" w:themeColor="text1"/>
          <w:sz w:val="28"/>
          <w:szCs w:val="28"/>
          <w:lang w:val="en-US" w:eastAsia="en-US"/>
        </w:rPr>
        <w:t>Haemodilution</w:t>
      </w:r>
      <w:proofErr w:type="spellEnd"/>
      <w:r w:rsidRPr="00256DC9">
        <w:rPr>
          <w:rFonts w:ascii="Times New Roman" w:hAnsi="Times New Roman" w:cs="Times New Roman"/>
          <w:color w:val="000000" w:themeColor="text1"/>
          <w:sz w:val="28"/>
          <w:szCs w:val="28"/>
          <w:lang w:val="en-US" w:eastAsia="en-US"/>
        </w:rPr>
        <w:t xml:space="preserve">-induced Profibrinolytic State Is Mitigated by Fresh-Frozen Plasma: Implications for Early </w:t>
      </w:r>
      <w:proofErr w:type="spellStart"/>
      <w:r w:rsidRPr="00256DC9">
        <w:rPr>
          <w:rFonts w:ascii="Times New Roman" w:hAnsi="Times New Roman" w:cs="Times New Roman"/>
          <w:color w:val="000000" w:themeColor="text1"/>
          <w:sz w:val="28"/>
          <w:szCs w:val="28"/>
          <w:lang w:val="en-US" w:eastAsia="en-US"/>
        </w:rPr>
        <w:t>Haemostatic</w:t>
      </w:r>
      <w:proofErr w:type="spellEnd"/>
      <w:r w:rsidRPr="00256DC9">
        <w:rPr>
          <w:rFonts w:ascii="Times New Roman" w:hAnsi="Times New Roman" w:cs="Times New Roman"/>
          <w:color w:val="000000" w:themeColor="text1"/>
          <w:sz w:val="28"/>
          <w:szCs w:val="28"/>
          <w:lang w:val="en-US" w:eastAsia="en-US"/>
        </w:rPr>
        <w:t xml:space="preserve"> Intervention in Massive </w:t>
      </w:r>
      <w:proofErr w:type="spellStart"/>
      <w:r w:rsidRPr="00256DC9">
        <w:rPr>
          <w:rFonts w:ascii="Times New Roman" w:hAnsi="Times New Roman" w:cs="Times New Roman"/>
          <w:color w:val="000000" w:themeColor="text1"/>
          <w:sz w:val="28"/>
          <w:szCs w:val="28"/>
          <w:lang w:val="en-US" w:eastAsia="en-US"/>
        </w:rPr>
        <w:t>Haemorrhage</w:t>
      </w:r>
      <w:proofErr w:type="spellEnd"/>
      <w:r w:rsidRPr="00256DC9">
        <w:rPr>
          <w:rFonts w:ascii="Times New Roman" w:hAnsi="Times New Roman" w:cs="Times New Roman"/>
          <w:color w:val="000000" w:themeColor="text1"/>
          <w:sz w:val="28"/>
          <w:szCs w:val="28"/>
          <w:lang w:val="en-US" w:eastAsia="en-US"/>
        </w:rPr>
        <w:t xml:space="preserve">. Br. J. </w:t>
      </w:r>
      <w:proofErr w:type="spellStart"/>
      <w:r w:rsidRPr="00256DC9">
        <w:rPr>
          <w:rFonts w:ascii="Times New Roman" w:hAnsi="Times New Roman" w:cs="Times New Roman"/>
          <w:color w:val="000000" w:themeColor="text1"/>
          <w:sz w:val="28"/>
          <w:szCs w:val="28"/>
          <w:lang w:val="en-US" w:eastAsia="en-US"/>
        </w:rPr>
        <w:t>Anaesth</w:t>
      </w:r>
      <w:proofErr w:type="spellEnd"/>
      <w:r w:rsidRPr="00256DC9">
        <w:rPr>
          <w:rFonts w:ascii="Times New Roman" w:hAnsi="Times New Roman" w:cs="Times New Roman"/>
          <w:color w:val="000000" w:themeColor="text1"/>
          <w:sz w:val="28"/>
          <w:szCs w:val="28"/>
          <w:lang w:val="en-US" w:eastAsia="en-US"/>
        </w:rPr>
        <w:t>. 2010; 104: 318–325.</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 Johansson P. I., </w:t>
      </w:r>
      <w:proofErr w:type="spellStart"/>
      <w:r w:rsidRPr="00256DC9">
        <w:rPr>
          <w:rFonts w:ascii="Times New Roman" w:hAnsi="Times New Roman" w:cs="Times New Roman"/>
          <w:color w:val="000000" w:themeColor="text1"/>
          <w:sz w:val="28"/>
          <w:szCs w:val="28"/>
          <w:lang w:val="en-US" w:eastAsia="en-US"/>
        </w:rPr>
        <w:t>Stensballe</w:t>
      </w:r>
      <w:proofErr w:type="spellEnd"/>
      <w:r w:rsidRPr="00256DC9">
        <w:rPr>
          <w:rFonts w:ascii="Times New Roman" w:hAnsi="Times New Roman" w:cs="Times New Roman"/>
          <w:color w:val="000000" w:themeColor="text1"/>
          <w:sz w:val="28"/>
          <w:szCs w:val="28"/>
          <w:lang w:val="en-US" w:eastAsia="en-US"/>
        </w:rPr>
        <w:t xml:space="preserve"> J. Hemostatic Resuscitation for Massive Bleeding: The Paradigm of Plasma and Platelets – A Review of the Current Literature. Transfusion. 2010; 50 (3): 701–710.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Gao J. Y., Chen J. F., </w:t>
      </w:r>
      <w:proofErr w:type="spellStart"/>
      <w:r w:rsidRPr="00256DC9">
        <w:rPr>
          <w:rFonts w:ascii="Times New Roman" w:hAnsi="Times New Roman" w:cs="Times New Roman"/>
          <w:color w:val="000000" w:themeColor="text1"/>
          <w:sz w:val="28"/>
          <w:szCs w:val="28"/>
          <w:lang w:val="en-US" w:eastAsia="en-US"/>
        </w:rPr>
        <w:t>Su</w:t>
      </w:r>
      <w:proofErr w:type="spellEnd"/>
      <w:r w:rsidRPr="00256DC9">
        <w:rPr>
          <w:rFonts w:ascii="Times New Roman" w:hAnsi="Times New Roman" w:cs="Times New Roman"/>
          <w:color w:val="000000" w:themeColor="text1"/>
          <w:sz w:val="28"/>
          <w:szCs w:val="28"/>
          <w:lang w:val="en-US" w:eastAsia="en-US"/>
        </w:rPr>
        <w:t xml:space="preserve"> H., Fang H. Y., Wu L. P., Han Y. J., Wang X. M. Acute Massive Gastrointestinal Bleeding in the Elderly. </w:t>
      </w:r>
      <w:r w:rsidRPr="00256DC9">
        <w:rPr>
          <w:rFonts w:ascii="Times New Roman" w:hAnsi="Times New Roman" w:cs="Times New Roman"/>
          <w:i/>
          <w:color w:val="000000" w:themeColor="text1"/>
          <w:sz w:val="28"/>
          <w:szCs w:val="28"/>
          <w:lang w:val="en-US" w:eastAsia="en-US"/>
        </w:rPr>
        <w:t xml:space="preserve">J. </w:t>
      </w:r>
      <w:proofErr w:type="spellStart"/>
      <w:r w:rsidRPr="00256DC9">
        <w:rPr>
          <w:rFonts w:ascii="Times New Roman" w:hAnsi="Times New Roman" w:cs="Times New Roman"/>
          <w:i/>
          <w:color w:val="000000" w:themeColor="text1"/>
          <w:sz w:val="28"/>
          <w:szCs w:val="28"/>
          <w:lang w:val="en-US" w:eastAsia="en-US"/>
        </w:rPr>
        <w:t>Col.l</w:t>
      </w:r>
      <w:proofErr w:type="spellEnd"/>
      <w:r w:rsidRPr="00256DC9">
        <w:rPr>
          <w:rFonts w:ascii="Times New Roman" w:hAnsi="Times New Roman" w:cs="Times New Roman"/>
          <w:i/>
          <w:color w:val="000000" w:themeColor="text1"/>
          <w:sz w:val="28"/>
          <w:szCs w:val="28"/>
          <w:lang w:val="en-US" w:eastAsia="en-US"/>
        </w:rPr>
        <w:t xml:space="preserve"> </w:t>
      </w:r>
      <w:proofErr w:type="spellStart"/>
      <w:r w:rsidRPr="00256DC9">
        <w:rPr>
          <w:rFonts w:ascii="Times New Roman" w:hAnsi="Times New Roman" w:cs="Times New Roman"/>
          <w:i/>
          <w:color w:val="000000" w:themeColor="text1"/>
          <w:sz w:val="28"/>
          <w:szCs w:val="28"/>
          <w:lang w:val="en-US" w:eastAsia="en-US"/>
        </w:rPr>
        <w:t>Physician.s</w:t>
      </w:r>
      <w:proofErr w:type="spellEnd"/>
      <w:r w:rsidRPr="00256DC9">
        <w:rPr>
          <w:rFonts w:ascii="Times New Roman" w:hAnsi="Times New Roman" w:cs="Times New Roman"/>
          <w:i/>
          <w:color w:val="000000" w:themeColor="text1"/>
          <w:sz w:val="28"/>
          <w:szCs w:val="28"/>
          <w:lang w:val="en-US" w:eastAsia="en-US"/>
        </w:rPr>
        <w:t xml:space="preserve"> Surg. Pak.</w:t>
      </w:r>
      <w:r w:rsidRPr="00256DC9">
        <w:rPr>
          <w:rFonts w:ascii="Times New Roman" w:hAnsi="Times New Roman" w:cs="Times New Roman"/>
          <w:color w:val="000000" w:themeColor="text1"/>
          <w:sz w:val="28"/>
          <w:szCs w:val="28"/>
          <w:lang w:val="en-US" w:eastAsia="en-US"/>
        </w:rPr>
        <w:t xml:space="preserve"> 2018; 28 (6): 78–80.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Gralnek</w:t>
      </w:r>
      <w:proofErr w:type="spellEnd"/>
      <w:r w:rsidRPr="00256DC9">
        <w:rPr>
          <w:rFonts w:ascii="Times New Roman" w:hAnsi="Times New Roman" w:cs="Times New Roman"/>
          <w:color w:val="000000" w:themeColor="text1"/>
          <w:sz w:val="28"/>
          <w:szCs w:val="28"/>
          <w:lang w:val="en-US" w:eastAsia="en-US"/>
        </w:rPr>
        <w:t xml:space="preserve"> I. M., </w:t>
      </w:r>
      <w:proofErr w:type="spellStart"/>
      <w:r w:rsidRPr="00256DC9">
        <w:rPr>
          <w:rFonts w:ascii="Times New Roman" w:hAnsi="Times New Roman" w:cs="Times New Roman"/>
          <w:color w:val="000000" w:themeColor="text1"/>
          <w:sz w:val="28"/>
          <w:szCs w:val="28"/>
          <w:lang w:val="en-US" w:eastAsia="en-US"/>
        </w:rPr>
        <w:t>Dumonceau</w:t>
      </w:r>
      <w:proofErr w:type="spellEnd"/>
      <w:r w:rsidRPr="00256DC9">
        <w:rPr>
          <w:rFonts w:ascii="Times New Roman" w:hAnsi="Times New Roman" w:cs="Times New Roman"/>
          <w:color w:val="000000" w:themeColor="text1"/>
          <w:sz w:val="28"/>
          <w:szCs w:val="28"/>
          <w:lang w:val="en-US" w:eastAsia="en-US"/>
        </w:rPr>
        <w:t xml:space="preserve"> J. M., </w:t>
      </w:r>
      <w:proofErr w:type="spellStart"/>
      <w:r w:rsidRPr="00256DC9">
        <w:rPr>
          <w:rFonts w:ascii="Times New Roman" w:hAnsi="Times New Roman" w:cs="Times New Roman"/>
          <w:color w:val="000000" w:themeColor="text1"/>
          <w:sz w:val="28"/>
          <w:szCs w:val="28"/>
          <w:lang w:val="en-US" w:eastAsia="en-US"/>
        </w:rPr>
        <w:t>Kuipers</w:t>
      </w:r>
      <w:proofErr w:type="spellEnd"/>
      <w:r w:rsidRPr="00256DC9">
        <w:rPr>
          <w:rFonts w:ascii="Times New Roman" w:hAnsi="Times New Roman" w:cs="Times New Roman"/>
          <w:color w:val="000000" w:themeColor="text1"/>
          <w:sz w:val="28"/>
          <w:szCs w:val="28"/>
          <w:lang w:val="en-US" w:eastAsia="en-US"/>
        </w:rPr>
        <w:t xml:space="preserve"> E. J., </w:t>
      </w:r>
      <w:proofErr w:type="spellStart"/>
      <w:r w:rsidRPr="00256DC9">
        <w:rPr>
          <w:rFonts w:ascii="Times New Roman" w:hAnsi="Times New Roman" w:cs="Times New Roman"/>
          <w:color w:val="000000" w:themeColor="text1"/>
          <w:sz w:val="28"/>
          <w:szCs w:val="28"/>
          <w:lang w:val="en-US" w:eastAsia="en-US"/>
        </w:rPr>
        <w:t>Lanas</w:t>
      </w:r>
      <w:proofErr w:type="spellEnd"/>
      <w:r w:rsidRPr="00256DC9">
        <w:rPr>
          <w:rFonts w:ascii="Times New Roman" w:hAnsi="Times New Roman" w:cs="Times New Roman"/>
          <w:color w:val="000000" w:themeColor="text1"/>
          <w:sz w:val="28"/>
          <w:szCs w:val="28"/>
          <w:lang w:val="en-US" w:eastAsia="en-US"/>
        </w:rPr>
        <w:t xml:space="preserve"> A., Sanders D. S., </w:t>
      </w:r>
      <w:proofErr w:type="spellStart"/>
      <w:r w:rsidRPr="00256DC9">
        <w:rPr>
          <w:rFonts w:ascii="Times New Roman" w:hAnsi="Times New Roman" w:cs="Times New Roman"/>
          <w:color w:val="000000" w:themeColor="text1"/>
          <w:sz w:val="28"/>
          <w:szCs w:val="28"/>
          <w:lang w:val="en-US" w:eastAsia="en-US"/>
        </w:rPr>
        <w:t>Kurien</w:t>
      </w:r>
      <w:proofErr w:type="spellEnd"/>
      <w:r w:rsidRPr="00256DC9">
        <w:rPr>
          <w:rFonts w:ascii="Times New Roman" w:hAnsi="Times New Roman" w:cs="Times New Roman"/>
          <w:color w:val="000000" w:themeColor="text1"/>
          <w:sz w:val="28"/>
          <w:szCs w:val="28"/>
          <w:lang w:val="en-US" w:eastAsia="en-US"/>
        </w:rPr>
        <w:t xml:space="preserve"> M., </w:t>
      </w:r>
      <w:proofErr w:type="spellStart"/>
      <w:r w:rsidRPr="00256DC9">
        <w:rPr>
          <w:rFonts w:ascii="Times New Roman" w:hAnsi="Times New Roman" w:cs="Times New Roman"/>
          <w:color w:val="000000" w:themeColor="text1"/>
          <w:sz w:val="28"/>
          <w:szCs w:val="28"/>
          <w:lang w:val="en-US" w:eastAsia="en-US"/>
        </w:rPr>
        <w:t>Rotondano</w:t>
      </w:r>
      <w:proofErr w:type="spellEnd"/>
      <w:r w:rsidRPr="00256DC9">
        <w:rPr>
          <w:rFonts w:ascii="Times New Roman" w:hAnsi="Times New Roman" w:cs="Times New Roman"/>
          <w:color w:val="000000" w:themeColor="text1"/>
          <w:sz w:val="28"/>
          <w:szCs w:val="28"/>
          <w:lang w:val="en-US" w:eastAsia="en-US"/>
        </w:rPr>
        <w:t xml:space="preserve"> G., </w:t>
      </w:r>
      <w:proofErr w:type="spellStart"/>
      <w:r w:rsidRPr="00256DC9">
        <w:rPr>
          <w:rFonts w:ascii="Times New Roman" w:hAnsi="Times New Roman" w:cs="Times New Roman"/>
          <w:color w:val="000000" w:themeColor="text1"/>
          <w:sz w:val="28"/>
          <w:szCs w:val="28"/>
          <w:lang w:val="en-US" w:eastAsia="en-US"/>
        </w:rPr>
        <w:t>Hucl</w:t>
      </w:r>
      <w:proofErr w:type="spellEnd"/>
      <w:r w:rsidRPr="00256DC9">
        <w:rPr>
          <w:rFonts w:ascii="Times New Roman" w:hAnsi="Times New Roman" w:cs="Times New Roman"/>
          <w:color w:val="000000" w:themeColor="text1"/>
          <w:sz w:val="28"/>
          <w:szCs w:val="28"/>
          <w:lang w:val="en-US" w:eastAsia="en-US"/>
        </w:rPr>
        <w:t xml:space="preserve"> T., </w:t>
      </w:r>
      <w:proofErr w:type="spellStart"/>
      <w:r w:rsidRPr="00256DC9">
        <w:rPr>
          <w:rFonts w:ascii="Times New Roman" w:hAnsi="Times New Roman" w:cs="Times New Roman"/>
          <w:color w:val="000000" w:themeColor="text1"/>
          <w:sz w:val="28"/>
          <w:szCs w:val="28"/>
          <w:lang w:val="en-US" w:eastAsia="en-US"/>
        </w:rPr>
        <w:t>Dinis</w:t>
      </w:r>
      <w:proofErr w:type="spellEnd"/>
      <w:r w:rsidRPr="00256DC9">
        <w:rPr>
          <w:rFonts w:ascii="Times New Roman" w:hAnsi="Times New Roman" w:cs="Times New Roman"/>
          <w:color w:val="000000" w:themeColor="text1"/>
          <w:sz w:val="28"/>
          <w:szCs w:val="28"/>
          <w:lang w:val="en-US" w:eastAsia="en-US"/>
        </w:rPr>
        <w:t xml:space="preserve">-Ribeiro M., </w:t>
      </w:r>
      <w:proofErr w:type="spellStart"/>
      <w:r w:rsidRPr="00256DC9">
        <w:rPr>
          <w:rFonts w:ascii="Times New Roman" w:hAnsi="Times New Roman" w:cs="Times New Roman"/>
          <w:color w:val="000000" w:themeColor="text1"/>
          <w:sz w:val="28"/>
          <w:szCs w:val="28"/>
          <w:lang w:val="en-US" w:eastAsia="en-US"/>
        </w:rPr>
        <w:t>Marmo</w:t>
      </w:r>
      <w:proofErr w:type="spellEnd"/>
      <w:r w:rsidRPr="00256DC9">
        <w:rPr>
          <w:rFonts w:ascii="Times New Roman" w:hAnsi="Times New Roman" w:cs="Times New Roman"/>
          <w:color w:val="000000" w:themeColor="text1"/>
          <w:sz w:val="28"/>
          <w:szCs w:val="28"/>
          <w:lang w:val="en-US" w:eastAsia="en-US"/>
        </w:rPr>
        <w:t xml:space="preserve"> R., </w:t>
      </w:r>
      <w:proofErr w:type="spellStart"/>
      <w:r w:rsidRPr="00256DC9">
        <w:rPr>
          <w:rFonts w:ascii="Times New Roman" w:hAnsi="Times New Roman" w:cs="Times New Roman"/>
          <w:color w:val="000000" w:themeColor="text1"/>
          <w:sz w:val="28"/>
          <w:szCs w:val="28"/>
          <w:lang w:val="en-US" w:eastAsia="en-US"/>
        </w:rPr>
        <w:t>Racz</w:t>
      </w:r>
      <w:proofErr w:type="spellEnd"/>
      <w:r w:rsidRPr="00256DC9">
        <w:rPr>
          <w:rFonts w:ascii="Times New Roman" w:hAnsi="Times New Roman" w:cs="Times New Roman"/>
          <w:color w:val="000000" w:themeColor="text1"/>
          <w:sz w:val="28"/>
          <w:szCs w:val="28"/>
          <w:lang w:val="en-US" w:eastAsia="en-US"/>
        </w:rPr>
        <w:t xml:space="preserve"> I., Arezzo A., Hoffmann R. T., </w:t>
      </w:r>
      <w:proofErr w:type="spellStart"/>
      <w:r w:rsidRPr="00256DC9">
        <w:rPr>
          <w:rFonts w:ascii="Times New Roman" w:hAnsi="Times New Roman" w:cs="Times New Roman"/>
          <w:color w:val="000000" w:themeColor="text1"/>
          <w:sz w:val="28"/>
          <w:szCs w:val="28"/>
          <w:lang w:val="en-US" w:eastAsia="en-US"/>
        </w:rPr>
        <w:t>Lesur</w:t>
      </w:r>
      <w:proofErr w:type="spellEnd"/>
      <w:r w:rsidRPr="00256DC9">
        <w:rPr>
          <w:rFonts w:ascii="Times New Roman" w:hAnsi="Times New Roman" w:cs="Times New Roman"/>
          <w:color w:val="000000" w:themeColor="text1"/>
          <w:sz w:val="28"/>
          <w:szCs w:val="28"/>
          <w:lang w:val="en-US" w:eastAsia="en-US"/>
        </w:rPr>
        <w:t xml:space="preserve"> G., </w:t>
      </w:r>
      <w:proofErr w:type="spellStart"/>
      <w:r w:rsidRPr="00256DC9">
        <w:rPr>
          <w:rFonts w:ascii="Times New Roman" w:hAnsi="Times New Roman" w:cs="Times New Roman"/>
          <w:color w:val="000000" w:themeColor="text1"/>
          <w:sz w:val="28"/>
          <w:szCs w:val="28"/>
          <w:lang w:val="en-US" w:eastAsia="en-US"/>
        </w:rPr>
        <w:t>Franchis</w:t>
      </w:r>
      <w:proofErr w:type="spellEnd"/>
      <w:r w:rsidRPr="00256DC9">
        <w:rPr>
          <w:rFonts w:ascii="Times New Roman" w:hAnsi="Times New Roman" w:cs="Times New Roman"/>
          <w:color w:val="000000" w:themeColor="text1"/>
          <w:sz w:val="28"/>
          <w:szCs w:val="28"/>
          <w:lang w:val="en-US" w:eastAsia="en-US"/>
        </w:rPr>
        <w:t xml:space="preserve"> de R., </w:t>
      </w:r>
      <w:proofErr w:type="spellStart"/>
      <w:r w:rsidRPr="00256DC9">
        <w:rPr>
          <w:rFonts w:ascii="Times New Roman" w:hAnsi="Times New Roman" w:cs="Times New Roman"/>
          <w:color w:val="000000" w:themeColor="text1"/>
          <w:sz w:val="28"/>
          <w:szCs w:val="28"/>
          <w:lang w:val="en-US" w:eastAsia="en-US"/>
        </w:rPr>
        <w:t>Aabakken</w:t>
      </w:r>
      <w:proofErr w:type="spellEnd"/>
      <w:r w:rsidRPr="00256DC9">
        <w:rPr>
          <w:rFonts w:ascii="Times New Roman" w:hAnsi="Times New Roman" w:cs="Times New Roman"/>
          <w:color w:val="000000" w:themeColor="text1"/>
          <w:sz w:val="28"/>
          <w:szCs w:val="28"/>
          <w:lang w:val="en-US" w:eastAsia="en-US"/>
        </w:rPr>
        <w:t xml:space="preserve"> L., Veitch A., </w:t>
      </w:r>
      <w:proofErr w:type="spellStart"/>
      <w:r w:rsidRPr="00256DC9">
        <w:rPr>
          <w:rFonts w:ascii="Times New Roman" w:hAnsi="Times New Roman" w:cs="Times New Roman"/>
          <w:color w:val="000000" w:themeColor="text1"/>
          <w:sz w:val="28"/>
          <w:szCs w:val="28"/>
          <w:lang w:val="en-US" w:eastAsia="en-US"/>
        </w:rPr>
        <w:t>Radaelli</w:t>
      </w:r>
      <w:proofErr w:type="spellEnd"/>
      <w:r w:rsidRPr="00256DC9">
        <w:rPr>
          <w:rFonts w:ascii="Times New Roman" w:hAnsi="Times New Roman" w:cs="Times New Roman"/>
          <w:color w:val="000000" w:themeColor="text1"/>
          <w:sz w:val="28"/>
          <w:szCs w:val="28"/>
          <w:lang w:val="en-US" w:eastAsia="en-US"/>
        </w:rPr>
        <w:t xml:space="preserve"> F., </w:t>
      </w:r>
      <w:proofErr w:type="spellStart"/>
      <w:r w:rsidRPr="00256DC9">
        <w:rPr>
          <w:rFonts w:ascii="Times New Roman" w:hAnsi="Times New Roman" w:cs="Times New Roman"/>
          <w:color w:val="000000" w:themeColor="text1"/>
          <w:sz w:val="28"/>
          <w:szCs w:val="28"/>
          <w:lang w:val="en-US" w:eastAsia="en-US"/>
        </w:rPr>
        <w:t>Salgueiro</w:t>
      </w:r>
      <w:proofErr w:type="spellEnd"/>
      <w:r w:rsidRPr="00256DC9">
        <w:rPr>
          <w:rFonts w:ascii="Times New Roman" w:hAnsi="Times New Roman" w:cs="Times New Roman"/>
          <w:color w:val="000000" w:themeColor="text1"/>
          <w:sz w:val="28"/>
          <w:szCs w:val="28"/>
          <w:lang w:val="en-US" w:eastAsia="en-US"/>
        </w:rPr>
        <w:t xml:space="preserve"> P., Cardoso R., Maia L., </w:t>
      </w:r>
      <w:proofErr w:type="spellStart"/>
      <w:r w:rsidRPr="00256DC9">
        <w:rPr>
          <w:rFonts w:ascii="Times New Roman" w:hAnsi="Times New Roman" w:cs="Times New Roman"/>
          <w:color w:val="000000" w:themeColor="text1"/>
          <w:sz w:val="28"/>
          <w:szCs w:val="28"/>
          <w:lang w:val="en-US" w:eastAsia="en-US"/>
        </w:rPr>
        <w:t>Zullo</w:t>
      </w:r>
      <w:proofErr w:type="spellEnd"/>
      <w:r w:rsidRPr="00256DC9">
        <w:rPr>
          <w:rFonts w:ascii="Times New Roman" w:hAnsi="Times New Roman" w:cs="Times New Roman"/>
          <w:color w:val="000000" w:themeColor="text1"/>
          <w:sz w:val="28"/>
          <w:szCs w:val="28"/>
          <w:lang w:val="en-US" w:eastAsia="en-US"/>
        </w:rPr>
        <w:t xml:space="preserve"> A., </w:t>
      </w:r>
      <w:proofErr w:type="spellStart"/>
      <w:r w:rsidRPr="00256DC9">
        <w:rPr>
          <w:rFonts w:ascii="Times New Roman" w:hAnsi="Times New Roman" w:cs="Times New Roman"/>
          <w:color w:val="000000" w:themeColor="text1"/>
          <w:sz w:val="28"/>
          <w:szCs w:val="28"/>
          <w:lang w:val="en-US" w:eastAsia="en-US"/>
        </w:rPr>
        <w:t>Cipolletta</w:t>
      </w:r>
      <w:proofErr w:type="spellEnd"/>
      <w:r w:rsidRPr="00256DC9">
        <w:rPr>
          <w:rFonts w:ascii="Times New Roman" w:hAnsi="Times New Roman" w:cs="Times New Roman"/>
          <w:color w:val="000000" w:themeColor="text1"/>
          <w:sz w:val="28"/>
          <w:szCs w:val="28"/>
          <w:lang w:val="en-US" w:eastAsia="en-US"/>
        </w:rPr>
        <w:t xml:space="preserve"> L., Hassan C. Diagnosis and management of nonvariceal upper gastrointestinal hemorrhage: European </w:t>
      </w:r>
      <w:r w:rsidRPr="00256DC9">
        <w:rPr>
          <w:rFonts w:ascii="Times New Roman" w:hAnsi="Times New Roman" w:cs="Times New Roman"/>
          <w:color w:val="000000" w:themeColor="text1"/>
          <w:sz w:val="28"/>
          <w:szCs w:val="28"/>
          <w:lang w:val="en-US" w:eastAsia="en-US"/>
        </w:rPr>
        <w:lastRenderedPageBreak/>
        <w:t>Society of Gastrointestinal Endoscopy (ESGE) Guideline. Endoscopy. 2015; 47 (10): a1-a46. (accessed 30.04.2020).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shd w:val="clear" w:color="auto" w:fill="FFFFFF"/>
          <w:lang w:val="en-US"/>
        </w:rPr>
        <w:t xml:space="preserve">Istvan, R., </w:t>
      </w:r>
      <w:proofErr w:type="spellStart"/>
      <w:r w:rsidRPr="00256DC9">
        <w:rPr>
          <w:rFonts w:ascii="Times New Roman" w:hAnsi="Times New Roman" w:cs="Times New Roman"/>
          <w:color w:val="000000" w:themeColor="text1"/>
          <w:sz w:val="28"/>
          <w:szCs w:val="28"/>
          <w:shd w:val="clear" w:color="auto" w:fill="FFFFFF"/>
          <w:lang w:val="en-US"/>
        </w:rPr>
        <w:t>Szalai</w:t>
      </w:r>
      <w:proofErr w:type="spellEnd"/>
      <w:r w:rsidRPr="00256DC9">
        <w:rPr>
          <w:rFonts w:ascii="Times New Roman" w:hAnsi="Times New Roman" w:cs="Times New Roman"/>
          <w:color w:val="000000" w:themeColor="text1"/>
          <w:sz w:val="28"/>
          <w:szCs w:val="28"/>
          <w:shd w:val="clear" w:color="auto" w:fill="FFFFFF"/>
          <w:lang w:val="en-US"/>
        </w:rPr>
        <w:t xml:space="preserve"> M., </w:t>
      </w:r>
      <w:proofErr w:type="spellStart"/>
      <w:r w:rsidRPr="00256DC9">
        <w:rPr>
          <w:rFonts w:ascii="Times New Roman" w:hAnsi="Times New Roman" w:cs="Times New Roman"/>
          <w:color w:val="000000" w:themeColor="text1"/>
          <w:sz w:val="28"/>
          <w:szCs w:val="28"/>
          <w:shd w:val="clear" w:color="auto" w:fill="FFFFFF"/>
          <w:lang w:val="en-US"/>
        </w:rPr>
        <w:t>Dancs</w:t>
      </w:r>
      <w:proofErr w:type="spellEnd"/>
      <w:r w:rsidRPr="00256DC9">
        <w:rPr>
          <w:rFonts w:ascii="Times New Roman" w:hAnsi="Times New Roman" w:cs="Times New Roman"/>
          <w:color w:val="000000" w:themeColor="text1"/>
          <w:sz w:val="28"/>
          <w:szCs w:val="28"/>
          <w:shd w:val="clear" w:color="auto" w:fill="FFFFFF"/>
          <w:lang w:val="en-US"/>
        </w:rPr>
        <w:t xml:space="preserve"> N., </w:t>
      </w:r>
      <w:proofErr w:type="spellStart"/>
      <w:r w:rsidRPr="00256DC9">
        <w:rPr>
          <w:rFonts w:ascii="Times New Roman" w:hAnsi="Times New Roman" w:cs="Times New Roman"/>
          <w:color w:val="000000" w:themeColor="text1"/>
          <w:sz w:val="28"/>
          <w:szCs w:val="28"/>
          <w:shd w:val="clear" w:color="auto" w:fill="FFFFFF"/>
          <w:lang w:val="en-US"/>
        </w:rPr>
        <w:t>Kárász</w:t>
      </w:r>
      <w:proofErr w:type="spellEnd"/>
      <w:r w:rsidRPr="00256DC9">
        <w:rPr>
          <w:rFonts w:ascii="Times New Roman" w:hAnsi="Times New Roman" w:cs="Times New Roman"/>
          <w:color w:val="000000" w:themeColor="text1"/>
          <w:sz w:val="28"/>
          <w:szCs w:val="28"/>
          <w:shd w:val="clear" w:color="auto" w:fill="FFFFFF"/>
          <w:lang w:val="en-US"/>
        </w:rPr>
        <w:t xml:space="preserve"> T., </w:t>
      </w:r>
      <w:proofErr w:type="spellStart"/>
      <w:r w:rsidRPr="00256DC9">
        <w:rPr>
          <w:rFonts w:ascii="Times New Roman" w:hAnsi="Times New Roman" w:cs="Times New Roman"/>
          <w:color w:val="000000" w:themeColor="text1"/>
          <w:sz w:val="28"/>
          <w:szCs w:val="28"/>
          <w:shd w:val="clear" w:color="auto" w:fill="FFFFFF"/>
          <w:lang w:val="en-US"/>
        </w:rPr>
        <w:t>Szabó</w:t>
      </w:r>
      <w:proofErr w:type="spellEnd"/>
      <w:r w:rsidRPr="00256DC9">
        <w:rPr>
          <w:rFonts w:ascii="Times New Roman" w:hAnsi="Times New Roman" w:cs="Times New Roman"/>
          <w:color w:val="000000" w:themeColor="text1"/>
          <w:sz w:val="28"/>
          <w:szCs w:val="28"/>
          <w:shd w:val="clear" w:color="auto" w:fill="FFFFFF"/>
          <w:lang w:val="en-US"/>
        </w:rPr>
        <w:t xml:space="preserve"> A., </w:t>
      </w:r>
      <w:proofErr w:type="spellStart"/>
      <w:r w:rsidRPr="00256DC9">
        <w:rPr>
          <w:rFonts w:ascii="Times New Roman" w:hAnsi="Times New Roman" w:cs="Times New Roman"/>
          <w:color w:val="000000" w:themeColor="text1"/>
          <w:sz w:val="28"/>
          <w:szCs w:val="28"/>
          <w:shd w:val="clear" w:color="auto" w:fill="FFFFFF"/>
          <w:lang w:val="en-US"/>
        </w:rPr>
        <w:t>Csöndes</w:t>
      </w:r>
      <w:proofErr w:type="spellEnd"/>
      <w:r w:rsidRPr="00256DC9">
        <w:rPr>
          <w:rFonts w:ascii="Times New Roman" w:hAnsi="Times New Roman" w:cs="Times New Roman"/>
          <w:color w:val="000000" w:themeColor="text1"/>
          <w:sz w:val="28"/>
          <w:szCs w:val="28"/>
          <w:shd w:val="clear" w:color="auto" w:fill="FFFFFF"/>
          <w:lang w:val="en-US"/>
        </w:rPr>
        <w:t xml:space="preserve"> M., </w:t>
      </w:r>
      <w:proofErr w:type="spellStart"/>
      <w:r w:rsidRPr="00256DC9">
        <w:rPr>
          <w:rFonts w:ascii="Times New Roman" w:hAnsi="Times New Roman" w:cs="Times New Roman"/>
          <w:color w:val="000000" w:themeColor="text1"/>
          <w:sz w:val="28"/>
          <w:szCs w:val="28"/>
          <w:shd w:val="clear" w:color="auto" w:fill="FFFFFF"/>
          <w:lang w:val="en-US"/>
        </w:rPr>
        <w:t>Horváth</w:t>
      </w:r>
      <w:proofErr w:type="spellEnd"/>
      <w:r w:rsidRPr="00256DC9">
        <w:rPr>
          <w:rFonts w:ascii="Times New Roman" w:hAnsi="Times New Roman" w:cs="Times New Roman"/>
          <w:color w:val="000000" w:themeColor="text1"/>
          <w:sz w:val="28"/>
          <w:szCs w:val="28"/>
          <w:shd w:val="clear" w:color="auto" w:fill="FFFFFF"/>
          <w:lang w:val="en-US"/>
        </w:rPr>
        <w:t xml:space="preserve"> Z. Pantoprazole before Endoscopy in Patients with Gastroduodenal Ulcer Bleeding: Does the duration of Infusion and Ulcer Location Influence the Effects? Gastroenterol. Res. </w:t>
      </w:r>
      <w:proofErr w:type="spellStart"/>
      <w:r w:rsidRPr="00256DC9">
        <w:rPr>
          <w:rFonts w:ascii="Times New Roman" w:hAnsi="Times New Roman" w:cs="Times New Roman"/>
          <w:color w:val="000000" w:themeColor="text1"/>
          <w:sz w:val="28"/>
          <w:szCs w:val="28"/>
          <w:shd w:val="clear" w:color="auto" w:fill="FFFFFF"/>
          <w:lang w:val="en-US"/>
        </w:rPr>
        <w:t>Pract</w:t>
      </w:r>
      <w:proofErr w:type="spellEnd"/>
      <w:r w:rsidRPr="00256DC9">
        <w:rPr>
          <w:rFonts w:ascii="Times New Roman" w:hAnsi="Times New Roman" w:cs="Times New Roman"/>
          <w:color w:val="000000" w:themeColor="text1"/>
          <w:sz w:val="28"/>
          <w:szCs w:val="28"/>
          <w:shd w:val="clear" w:color="auto" w:fill="FFFFFF"/>
          <w:lang w:val="en-US"/>
        </w:rPr>
        <w:t xml:space="preserve">. 2012.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shd w:val="clear" w:color="auto" w:fill="FFFFFF"/>
          <w:lang w:val="en-US"/>
        </w:rPr>
        <w:t xml:space="preserve"> </w:t>
      </w:r>
      <w:proofErr w:type="spellStart"/>
      <w:r w:rsidRPr="00256DC9">
        <w:rPr>
          <w:rFonts w:ascii="Times New Roman" w:hAnsi="Times New Roman" w:cs="Times New Roman"/>
          <w:color w:val="000000" w:themeColor="text1"/>
          <w:sz w:val="28"/>
          <w:szCs w:val="28"/>
          <w:shd w:val="clear" w:color="auto" w:fill="FFFFFF"/>
          <w:lang w:val="en-US"/>
        </w:rPr>
        <w:t>Ghassemi</w:t>
      </w:r>
      <w:proofErr w:type="spellEnd"/>
      <w:r w:rsidRPr="00256DC9">
        <w:rPr>
          <w:rFonts w:ascii="Times New Roman" w:hAnsi="Times New Roman" w:cs="Times New Roman"/>
          <w:color w:val="000000" w:themeColor="text1"/>
          <w:sz w:val="28"/>
          <w:szCs w:val="28"/>
          <w:shd w:val="clear" w:color="auto" w:fill="FFFFFF"/>
          <w:lang w:val="en-US"/>
        </w:rPr>
        <w:t xml:space="preserve">, K. A., Kovacs T. O. G., Jensen D. M. Gastric acid inhibition in the treatment of peptic ulcer </w:t>
      </w:r>
      <w:proofErr w:type="spellStart"/>
      <w:r w:rsidRPr="00256DC9">
        <w:rPr>
          <w:rFonts w:ascii="Times New Roman" w:hAnsi="Times New Roman" w:cs="Times New Roman"/>
          <w:color w:val="000000" w:themeColor="text1"/>
          <w:sz w:val="28"/>
          <w:szCs w:val="28"/>
          <w:shd w:val="clear" w:color="auto" w:fill="FFFFFF"/>
          <w:lang w:val="en-US"/>
        </w:rPr>
        <w:t>haemorrhage</w:t>
      </w:r>
      <w:proofErr w:type="spellEnd"/>
      <w:r w:rsidRPr="00256DC9">
        <w:rPr>
          <w:rFonts w:ascii="Times New Roman" w:hAnsi="Times New Roman" w:cs="Times New Roman"/>
          <w:color w:val="000000" w:themeColor="text1"/>
          <w:sz w:val="28"/>
          <w:szCs w:val="28"/>
          <w:shd w:val="clear" w:color="auto" w:fill="FFFFFF"/>
          <w:lang w:val="en-US"/>
        </w:rPr>
        <w:t xml:space="preserve">. </w:t>
      </w:r>
      <w:proofErr w:type="spellStart"/>
      <w:r w:rsidRPr="00256DC9">
        <w:rPr>
          <w:rFonts w:ascii="Times New Roman" w:hAnsi="Times New Roman" w:cs="Times New Roman"/>
          <w:color w:val="000000" w:themeColor="text1"/>
          <w:sz w:val="28"/>
          <w:szCs w:val="28"/>
          <w:shd w:val="clear" w:color="auto" w:fill="FFFFFF"/>
          <w:lang w:val="en-US"/>
        </w:rPr>
        <w:t>Curr</w:t>
      </w:r>
      <w:proofErr w:type="spellEnd"/>
      <w:r w:rsidRPr="00256DC9">
        <w:rPr>
          <w:rFonts w:ascii="Times New Roman" w:hAnsi="Times New Roman" w:cs="Times New Roman"/>
          <w:color w:val="000000" w:themeColor="text1"/>
          <w:sz w:val="28"/>
          <w:szCs w:val="28"/>
          <w:shd w:val="clear" w:color="auto" w:fill="FFFFFF"/>
          <w:lang w:val="en-US"/>
        </w:rPr>
        <w:t>. Gastroenterol. Rep. 2009; 11: 462–469.</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shd w:val="clear" w:color="auto" w:fill="FFFFFF"/>
          <w:lang w:val="en-US"/>
        </w:rPr>
        <w:t xml:space="preserve"> </w:t>
      </w:r>
      <w:proofErr w:type="spellStart"/>
      <w:r w:rsidRPr="00256DC9">
        <w:rPr>
          <w:rFonts w:ascii="Times New Roman" w:hAnsi="Times New Roman" w:cs="Times New Roman"/>
          <w:color w:val="000000" w:themeColor="text1"/>
          <w:sz w:val="28"/>
          <w:szCs w:val="28"/>
          <w:shd w:val="clear" w:color="auto" w:fill="FFFFFF"/>
          <w:lang w:val="en-US"/>
        </w:rPr>
        <w:t>Marmo</w:t>
      </w:r>
      <w:proofErr w:type="spellEnd"/>
      <w:r w:rsidRPr="00256DC9">
        <w:rPr>
          <w:rFonts w:ascii="Times New Roman" w:hAnsi="Times New Roman" w:cs="Times New Roman"/>
          <w:color w:val="000000" w:themeColor="text1"/>
          <w:sz w:val="28"/>
          <w:szCs w:val="28"/>
          <w:shd w:val="clear" w:color="auto" w:fill="FFFFFF"/>
          <w:lang w:val="en-US"/>
        </w:rPr>
        <w:t xml:space="preserve"> R., Piano M. D., </w:t>
      </w:r>
      <w:proofErr w:type="spellStart"/>
      <w:r w:rsidRPr="00256DC9">
        <w:rPr>
          <w:rFonts w:ascii="Times New Roman" w:hAnsi="Times New Roman" w:cs="Times New Roman"/>
          <w:color w:val="000000" w:themeColor="text1"/>
          <w:sz w:val="28"/>
          <w:szCs w:val="28"/>
          <w:shd w:val="clear" w:color="auto" w:fill="FFFFFF"/>
          <w:lang w:val="en-US"/>
        </w:rPr>
        <w:t>Rotondano</w:t>
      </w:r>
      <w:proofErr w:type="spellEnd"/>
      <w:r w:rsidRPr="00256DC9">
        <w:rPr>
          <w:rFonts w:ascii="Times New Roman" w:hAnsi="Times New Roman" w:cs="Times New Roman"/>
          <w:color w:val="000000" w:themeColor="text1"/>
          <w:sz w:val="28"/>
          <w:szCs w:val="28"/>
          <w:shd w:val="clear" w:color="auto" w:fill="FFFFFF"/>
          <w:lang w:val="en-US"/>
        </w:rPr>
        <w:t xml:space="preserve"> G. Mortality </w:t>
      </w:r>
      <w:proofErr w:type="gramStart"/>
      <w:r w:rsidRPr="00256DC9">
        <w:rPr>
          <w:rFonts w:ascii="Times New Roman" w:hAnsi="Times New Roman" w:cs="Times New Roman"/>
          <w:color w:val="000000" w:themeColor="text1"/>
          <w:sz w:val="28"/>
          <w:szCs w:val="28"/>
          <w:shd w:val="clear" w:color="auto" w:fill="FFFFFF"/>
          <w:lang w:val="en-US"/>
        </w:rPr>
        <w:t>From</w:t>
      </w:r>
      <w:proofErr w:type="gramEnd"/>
      <w:r w:rsidRPr="00256DC9">
        <w:rPr>
          <w:rFonts w:ascii="Times New Roman" w:hAnsi="Times New Roman" w:cs="Times New Roman"/>
          <w:color w:val="000000" w:themeColor="text1"/>
          <w:sz w:val="28"/>
          <w:szCs w:val="28"/>
          <w:shd w:val="clear" w:color="auto" w:fill="FFFFFF"/>
          <w:lang w:val="en-US"/>
        </w:rPr>
        <w:t xml:space="preserve"> Nonvariceal Upper Gastrointestinal Bleeding: Is It Time to Differentiate the Timing of Endoscopy? </w:t>
      </w:r>
      <w:proofErr w:type="spellStart"/>
      <w:r w:rsidRPr="00256DC9">
        <w:rPr>
          <w:rFonts w:ascii="Times New Roman" w:hAnsi="Times New Roman" w:cs="Times New Roman"/>
          <w:color w:val="000000" w:themeColor="text1"/>
          <w:sz w:val="28"/>
          <w:szCs w:val="28"/>
          <w:shd w:val="clear" w:color="auto" w:fill="FFFFFF"/>
          <w:lang w:val="en-US"/>
        </w:rPr>
        <w:t>Gastrointest</w:t>
      </w:r>
      <w:proofErr w:type="spellEnd"/>
      <w:r w:rsidRPr="00256DC9">
        <w:rPr>
          <w:rFonts w:ascii="Times New Roman" w:hAnsi="Times New Roman" w:cs="Times New Roman"/>
          <w:color w:val="000000" w:themeColor="text1"/>
          <w:sz w:val="28"/>
          <w:szCs w:val="28"/>
          <w:shd w:val="clear" w:color="auto" w:fill="FFFFFF"/>
          <w:lang w:val="en-US"/>
        </w:rPr>
        <w:t xml:space="preserve">. </w:t>
      </w:r>
      <w:proofErr w:type="spellStart"/>
      <w:r w:rsidRPr="00256DC9">
        <w:rPr>
          <w:rFonts w:ascii="Times New Roman" w:hAnsi="Times New Roman" w:cs="Times New Roman"/>
          <w:color w:val="000000" w:themeColor="text1"/>
          <w:sz w:val="28"/>
          <w:szCs w:val="28"/>
          <w:shd w:val="clear" w:color="auto" w:fill="FFFFFF"/>
          <w:lang w:val="en-US"/>
        </w:rPr>
        <w:t>Endosc</w:t>
      </w:r>
      <w:proofErr w:type="spellEnd"/>
      <w:r w:rsidRPr="00256DC9">
        <w:rPr>
          <w:rFonts w:ascii="Times New Roman" w:hAnsi="Times New Roman" w:cs="Times New Roman"/>
          <w:color w:val="000000" w:themeColor="text1"/>
          <w:sz w:val="28"/>
          <w:szCs w:val="28"/>
          <w:shd w:val="clear" w:color="auto" w:fill="FFFFFF"/>
          <w:lang w:val="en-US"/>
        </w:rPr>
        <w:t>. 2011; 73</w:t>
      </w:r>
      <w:r w:rsidRPr="00256DC9">
        <w:rPr>
          <w:rFonts w:ascii="Times New Roman" w:hAnsi="Times New Roman" w:cs="Times New Roman"/>
          <w:color w:val="000000" w:themeColor="text1"/>
          <w:sz w:val="28"/>
          <w:szCs w:val="28"/>
          <w:lang w:val="en-US"/>
        </w:rPr>
        <w:t>: 23–</w:t>
      </w:r>
      <w:r w:rsidRPr="00256DC9">
        <w:rPr>
          <w:rFonts w:ascii="Times New Roman" w:hAnsi="Times New Roman" w:cs="Times New Roman"/>
          <w:color w:val="000000" w:themeColor="text1"/>
          <w:sz w:val="28"/>
          <w:szCs w:val="28"/>
        </w:rPr>
        <w:t>29.</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shd w:val="clear" w:color="auto" w:fill="FFFFFF"/>
          <w:lang w:val="en-US"/>
        </w:rPr>
        <w:t xml:space="preserve"> </w:t>
      </w:r>
      <w:proofErr w:type="spellStart"/>
      <w:r w:rsidRPr="00256DC9">
        <w:rPr>
          <w:rFonts w:ascii="Times New Roman" w:hAnsi="Times New Roman" w:cs="Times New Roman"/>
          <w:color w:val="000000" w:themeColor="text1"/>
          <w:sz w:val="28"/>
          <w:szCs w:val="28"/>
          <w:shd w:val="clear" w:color="auto" w:fill="FFFFFF"/>
          <w:lang w:val="en-US"/>
        </w:rPr>
        <w:t>Jairath</w:t>
      </w:r>
      <w:proofErr w:type="spellEnd"/>
      <w:r w:rsidRPr="00256DC9">
        <w:rPr>
          <w:rFonts w:ascii="Times New Roman" w:hAnsi="Times New Roman" w:cs="Times New Roman"/>
          <w:color w:val="000000" w:themeColor="text1"/>
          <w:sz w:val="28"/>
          <w:szCs w:val="28"/>
          <w:shd w:val="clear" w:color="auto" w:fill="FFFFFF"/>
          <w:lang w:val="en-US"/>
        </w:rPr>
        <w:t xml:space="preserve"> V., </w:t>
      </w:r>
      <w:proofErr w:type="spellStart"/>
      <w:r w:rsidRPr="00256DC9">
        <w:rPr>
          <w:rFonts w:ascii="Times New Roman" w:hAnsi="Times New Roman" w:cs="Times New Roman"/>
          <w:color w:val="000000" w:themeColor="text1"/>
          <w:sz w:val="28"/>
          <w:szCs w:val="28"/>
          <w:shd w:val="clear" w:color="auto" w:fill="FFFFFF"/>
          <w:lang w:val="en-US"/>
        </w:rPr>
        <w:t>Kakan</w:t>
      </w:r>
      <w:proofErr w:type="spellEnd"/>
      <w:r w:rsidRPr="00256DC9">
        <w:rPr>
          <w:rFonts w:ascii="Times New Roman" w:hAnsi="Times New Roman" w:cs="Times New Roman"/>
          <w:color w:val="000000" w:themeColor="text1"/>
          <w:sz w:val="28"/>
          <w:szCs w:val="28"/>
          <w:shd w:val="clear" w:color="auto" w:fill="FFFFFF"/>
          <w:lang w:val="en-US"/>
        </w:rPr>
        <w:t xml:space="preserve"> B. C., Logan R. F. Outcomes following acute nonvariceal upper gastrointestinal bleeding in relation to time to endoscopy: results from a nationwide study. Endoscopy. 2012; 44: </w:t>
      </w:r>
      <w:bookmarkStart w:id="16" w:name="__DdeLink__6759_3408072668"/>
      <w:r w:rsidRPr="00256DC9">
        <w:rPr>
          <w:rFonts w:ascii="Times New Roman" w:hAnsi="Times New Roman" w:cs="Times New Roman"/>
          <w:color w:val="000000" w:themeColor="text1"/>
          <w:sz w:val="28"/>
          <w:szCs w:val="28"/>
          <w:shd w:val="clear" w:color="auto" w:fill="FFFFFF"/>
          <w:lang w:val="en-US"/>
        </w:rPr>
        <w:t>723–730</w:t>
      </w:r>
      <w:bookmarkEnd w:id="16"/>
      <w:r w:rsidRPr="00256DC9">
        <w:rPr>
          <w:rFonts w:ascii="Times New Roman" w:hAnsi="Times New Roman" w:cs="Times New Roman"/>
          <w:color w:val="000000" w:themeColor="text1"/>
          <w:sz w:val="28"/>
          <w:szCs w:val="28"/>
          <w:shd w:val="clear" w:color="auto" w:fill="FFFFFF"/>
          <w:lang w:val="en-US"/>
        </w:rPr>
        <w:t xml:space="preserve">.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 Hui A. J., Sung J. J. Y. Gastrointestinal Bleeding. Endoscopy. 2013; 45:</w:t>
      </w:r>
      <w:r w:rsidRPr="00256DC9">
        <w:rPr>
          <w:rFonts w:ascii="Times New Roman" w:hAnsi="Times New Roman" w:cs="Times New Roman"/>
          <w:color w:val="000000" w:themeColor="text1"/>
          <w:sz w:val="28"/>
          <w:szCs w:val="28"/>
          <w:shd w:val="clear" w:color="auto" w:fill="FFFFFF"/>
          <w:lang w:val="en-US"/>
        </w:rPr>
        <w:t xml:space="preserve"> </w:t>
      </w:r>
      <w:r w:rsidRPr="00256DC9">
        <w:rPr>
          <w:rFonts w:ascii="Times New Roman" w:hAnsi="Times New Roman" w:cs="Times New Roman"/>
          <w:color w:val="000000" w:themeColor="text1"/>
          <w:sz w:val="28"/>
          <w:szCs w:val="28"/>
          <w:lang w:val="en-US" w:eastAsia="en-US"/>
        </w:rPr>
        <w:t>276–280.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Cappell</w:t>
      </w:r>
      <w:proofErr w:type="spellEnd"/>
      <w:r w:rsidRPr="00256DC9">
        <w:rPr>
          <w:rFonts w:ascii="Times New Roman" w:hAnsi="Times New Roman" w:cs="Times New Roman"/>
          <w:color w:val="000000" w:themeColor="text1"/>
          <w:sz w:val="28"/>
          <w:szCs w:val="28"/>
          <w:lang w:val="en-US" w:eastAsia="en-US"/>
        </w:rPr>
        <w:t xml:space="preserve"> M. S., Friedel D. Initial Management of Acute Upper Gastrointestinal Bleeding: From Initial Evaluation up to Gastrointestinal Endoscopy. Medical Clinics of North America. 2008; 92: 491–509.</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Gorbashko</w:t>
      </w:r>
      <w:proofErr w:type="spellEnd"/>
      <w:r w:rsidRPr="00256DC9">
        <w:rPr>
          <w:rFonts w:ascii="Times New Roman" w:hAnsi="Times New Roman" w:cs="Times New Roman"/>
          <w:color w:val="000000" w:themeColor="text1"/>
          <w:sz w:val="28"/>
          <w:szCs w:val="28"/>
          <w:lang w:val="en-US" w:eastAsia="en-US"/>
        </w:rPr>
        <w:t xml:space="preserve"> A. I. Ways to improve the results of the treatment of acute gastro- intestinal hemorrhage. </w:t>
      </w:r>
      <w:proofErr w:type="spellStart"/>
      <w:r w:rsidRPr="00256DC9">
        <w:rPr>
          <w:rFonts w:ascii="Times New Roman" w:hAnsi="Times New Roman" w:cs="Times New Roman"/>
          <w:color w:val="000000" w:themeColor="text1"/>
          <w:sz w:val="28"/>
          <w:szCs w:val="28"/>
          <w:lang w:val="en-US" w:eastAsia="en-US"/>
        </w:rPr>
        <w:t>Vestn</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Khir</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Im</w:t>
      </w:r>
      <w:proofErr w:type="spellEnd"/>
      <w:r w:rsidRPr="00256DC9">
        <w:rPr>
          <w:rFonts w:ascii="Times New Roman" w:hAnsi="Times New Roman" w:cs="Times New Roman"/>
          <w:color w:val="000000" w:themeColor="text1"/>
          <w:sz w:val="28"/>
          <w:szCs w:val="28"/>
          <w:lang w:val="en-US" w:eastAsia="en-US"/>
        </w:rPr>
        <w:t xml:space="preserve">. I. I. </w:t>
      </w:r>
      <w:proofErr w:type="spellStart"/>
      <w:r w:rsidRPr="00256DC9">
        <w:rPr>
          <w:rFonts w:ascii="Times New Roman" w:hAnsi="Times New Roman" w:cs="Times New Roman"/>
          <w:color w:val="000000" w:themeColor="text1"/>
          <w:sz w:val="28"/>
          <w:szCs w:val="28"/>
          <w:lang w:val="en-US" w:eastAsia="en-US"/>
        </w:rPr>
        <w:t>Grek</w:t>
      </w:r>
      <w:proofErr w:type="spellEnd"/>
      <w:r w:rsidRPr="00256DC9">
        <w:rPr>
          <w:rFonts w:ascii="Times New Roman" w:hAnsi="Times New Roman" w:cs="Times New Roman"/>
          <w:color w:val="000000" w:themeColor="text1"/>
          <w:sz w:val="28"/>
          <w:szCs w:val="28"/>
          <w:lang w:val="en-US" w:eastAsia="en-US"/>
        </w:rPr>
        <w:t>. 1989; 142 (6): 16–21.</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Gotz</w:t>
      </w:r>
      <w:proofErr w:type="spellEnd"/>
      <w:r w:rsidRPr="00256DC9">
        <w:rPr>
          <w:rFonts w:ascii="Times New Roman" w:hAnsi="Times New Roman" w:cs="Times New Roman"/>
          <w:color w:val="000000" w:themeColor="text1"/>
          <w:sz w:val="28"/>
          <w:szCs w:val="28"/>
          <w:lang w:val="en-US" w:eastAsia="en-US"/>
        </w:rPr>
        <w:t xml:space="preserve"> M., </w:t>
      </w:r>
      <w:proofErr w:type="spellStart"/>
      <w:r w:rsidRPr="00256DC9">
        <w:rPr>
          <w:rFonts w:ascii="Times New Roman" w:hAnsi="Times New Roman" w:cs="Times New Roman"/>
          <w:color w:val="000000" w:themeColor="text1"/>
          <w:sz w:val="28"/>
          <w:szCs w:val="28"/>
          <w:lang w:val="en-US" w:eastAsia="en-US"/>
        </w:rPr>
        <w:t>Nitschmann</w:t>
      </w:r>
      <w:proofErr w:type="spellEnd"/>
      <w:r w:rsidRPr="00256DC9">
        <w:rPr>
          <w:rFonts w:ascii="Times New Roman" w:hAnsi="Times New Roman" w:cs="Times New Roman"/>
          <w:color w:val="000000" w:themeColor="text1"/>
          <w:sz w:val="28"/>
          <w:szCs w:val="28"/>
          <w:lang w:val="en-US" w:eastAsia="en-US"/>
        </w:rPr>
        <w:t xml:space="preserve"> S. Prevention of gastrointestinal bleeding by means of proton pump inhibitors. Internist. (</w:t>
      </w:r>
      <w:proofErr w:type="spellStart"/>
      <w:r w:rsidRPr="00256DC9">
        <w:rPr>
          <w:rFonts w:ascii="Times New Roman" w:hAnsi="Times New Roman" w:cs="Times New Roman"/>
          <w:color w:val="000000" w:themeColor="text1"/>
          <w:sz w:val="28"/>
          <w:szCs w:val="28"/>
          <w:lang w:val="en-US" w:eastAsia="en-US"/>
        </w:rPr>
        <w:t>Berl</w:t>
      </w:r>
      <w:proofErr w:type="spellEnd"/>
      <w:r w:rsidRPr="00256DC9">
        <w:rPr>
          <w:rFonts w:ascii="Times New Roman" w:hAnsi="Times New Roman" w:cs="Times New Roman"/>
          <w:color w:val="000000" w:themeColor="text1"/>
          <w:sz w:val="28"/>
          <w:szCs w:val="28"/>
          <w:lang w:val="en-US" w:eastAsia="en-US"/>
        </w:rPr>
        <w:t>.) 2019; 60 (5): 545–548.</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bookmarkStart w:id="17" w:name="_Hlk41234224"/>
      <w:proofErr w:type="spellStart"/>
      <w:r w:rsidRPr="00256DC9">
        <w:rPr>
          <w:rFonts w:ascii="Times New Roman" w:hAnsi="Times New Roman" w:cs="Times New Roman"/>
          <w:color w:val="000000" w:themeColor="text1"/>
          <w:sz w:val="28"/>
          <w:szCs w:val="28"/>
          <w:lang w:val="en-US" w:eastAsia="en-US"/>
        </w:rPr>
        <w:t>Heidet</w:t>
      </w:r>
      <w:proofErr w:type="spellEnd"/>
      <w:r w:rsidRPr="00256DC9">
        <w:rPr>
          <w:rFonts w:ascii="Times New Roman" w:hAnsi="Times New Roman" w:cs="Times New Roman"/>
          <w:color w:val="000000" w:themeColor="text1"/>
          <w:sz w:val="28"/>
          <w:szCs w:val="28"/>
          <w:lang w:val="en-US" w:eastAsia="en-US"/>
        </w:rPr>
        <w:t xml:space="preserve"> M.</w:t>
      </w:r>
      <w:bookmarkEnd w:id="17"/>
      <w:r w:rsidRPr="00256DC9">
        <w:rPr>
          <w:rFonts w:ascii="Times New Roman" w:hAnsi="Times New Roman" w:cs="Times New Roman"/>
          <w:color w:val="000000" w:themeColor="text1"/>
          <w:sz w:val="28"/>
          <w:szCs w:val="28"/>
          <w:lang w:val="en-US" w:eastAsia="en-US"/>
        </w:rPr>
        <w:t xml:space="preserve">, </w:t>
      </w:r>
      <w:bookmarkStart w:id="18" w:name="_Hlk41234307"/>
      <w:proofErr w:type="spellStart"/>
      <w:r w:rsidRPr="00256DC9">
        <w:rPr>
          <w:rFonts w:ascii="Times New Roman" w:hAnsi="Times New Roman" w:cs="Times New Roman"/>
          <w:color w:val="000000" w:themeColor="text1"/>
          <w:sz w:val="28"/>
          <w:szCs w:val="28"/>
          <w:lang w:val="en-US" w:eastAsia="en-US"/>
        </w:rPr>
        <w:t>Amathieu</w:t>
      </w:r>
      <w:proofErr w:type="spellEnd"/>
      <w:r w:rsidRPr="00256DC9">
        <w:rPr>
          <w:rFonts w:ascii="Times New Roman" w:hAnsi="Times New Roman" w:cs="Times New Roman"/>
          <w:color w:val="000000" w:themeColor="text1"/>
          <w:sz w:val="28"/>
          <w:szCs w:val="28"/>
          <w:lang w:val="en-US" w:eastAsia="en-US"/>
        </w:rPr>
        <w:t xml:space="preserve"> R., </w:t>
      </w:r>
      <w:proofErr w:type="spellStart"/>
      <w:r w:rsidRPr="00256DC9">
        <w:rPr>
          <w:rFonts w:ascii="Times New Roman" w:hAnsi="Times New Roman" w:cs="Times New Roman"/>
          <w:color w:val="000000" w:themeColor="text1"/>
          <w:sz w:val="28"/>
          <w:szCs w:val="28"/>
          <w:lang w:val="en-US" w:eastAsia="en-US"/>
        </w:rPr>
        <w:t>Audureau</w:t>
      </w:r>
      <w:proofErr w:type="spellEnd"/>
      <w:r w:rsidRPr="00256DC9">
        <w:rPr>
          <w:rFonts w:ascii="Times New Roman" w:hAnsi="Times New Roman" w:cs="Times New Roman"/>
          <w:color w:val="000000" w:themeColor="text1"/>
          <w:sz w:val="28"/>
          <w:szCs w:val="28"/>
          <w:lang w:val="en-US" w:eastAsia="en-US"/>
        </w:rPr>
        <w:t xml:space="preserve"> E., Augusto O., </w:t>
      </w:r>
      <w:proofErr w:type="spellStart"/>
      <w:r w:rsidRPr="00256DC9">
        <w:rPr>
          <w:rFonts w:ascii="Times New Roman" w:hAnsi="Times New Roman" w:cs="Times New Roman"/>
          <w:color w:val="000000" w:themeColor="text1"/>
          <w:sz w:val="28"/>
          <w:szCs w:val="28"/>
          <w:lang w:val="en-US" w:eastAsia="en-US"/>
        </w:rPr>
        <w:t>Nicolazo</w:t>
      </w:r>
      <w:proofErr w:type="spellEnd"/>
      <w:r w:rsidRPr="00256DC9">
        <w:rPr>
          <w:rFonts w:ascii="Times New Roman" w:hAnsi="Times New Roman" w:cs="Times New Roman"/>
          <w:color w:val="000000" w:themeColor="text1"/>
          <w:sz w:val="28"/>
          <w:szCs w:val="28"/>
          <w:lang w:val="en-US" w:eastAsia="en-US"/>
        </w:rPr>
        <w:t xml:space="preserve"> de </w:t>
      </w:r>
      <w:proofErr w:type="spellStart"/>
      <w:r w:rsidRPr="00256DC9">
        <w:rPr>
          <w:rFonts w:ascii="Times New Roman" w:hAnsi="Times New Roman" w:cs="Times New Roman"/>
          <w:color w:val="000000" w:themeColor="text1"/>
          <w:sz w:val="28"/>
          <w:szCs w:val="28"/>
          <w:lang w:val="en-US" w:eastAsia="en-US"/>
        </w:rPr>
        <w:t>Barmon</w:t>
      </w:r>
      <w:bookmarkEnd w:id="18"/>
      <w:proofErr w:type="spellEnd"/>
      <w:r w:rsidRPr="00256DC9">
        <w:rPr>
          <w:rFonts w:ascii="Times New Roman" w:hAnsi="Times New Roman" w:cs="Times New Roman"/>
          <w:color w:val="000000" w:themeColor="text1"/>
          <w:sz w:val="28"/>
          <w:szCs w:val="28"/>
          <w:lang w:val="en-US" w:eastAsia="en-US"/>
        </w:rPr>
        <w:t xml:space="preserve"> V., </w:t>
      </w:r>
      <w:proofErr w:type="spellStart"/>
      <w:r w:rsidRPr="00256DC9">
        <w:rPr>
          <w:rFonts w:ascii="Times New Roman" w:hAnsi="Times New Roman" w:cs="Times New Roman"/>
          <w:color w:val="000000" w:themeColor="text1"/>
          <w:sz w:val="28"/>
          <w:szCs w:val="28"/>
          <w:lang w:val="en-US" w:eastAsia="en-US"/>
        </w:rPr>
        <w:t>Rialland</w:t>
      </w:r>
      <w:proofErr w:type="spellEnd"/>
      <w:r w:rsidRPr="00256DC9">
        <w:rPr>
          <w:rFonts w:ascii="Times New Roman" w:hAnsi="Times New Roman" w:cs="Times New Roman"/>
          <w:color w:val="000000" w:themeColor="text1"/>
          <w:sz w:val="28"/>
          <w:szCs w:val="28"/>
          <w:lang w:val="en-US" w:eastAsia="en-US"/>
        </w:rPr>
        <w:t xml:space="preserve"> A., Schmitz D., </w:t>
      </w:r>
      <w:proofErr w:type="spellStart"/>
      <w:r w:rsidRPr="00256DC9">
        <w:rPr>
          <w:rFonts w:ascii="Times New Roman" w:hAnsi="Times New Roman" w:cs="Times New Roman"/>
          <w:color w:val="000000" w:themeColor="text1"/>
          <w:sz w:val="28"/>
          <w:szCs w:val="28"/>
          <w:lang w:val="en-US" w:eastAsia="en-US"/>
        </w:rPr>
        <w:t>Pierrang</w:t>
      </w:r>
      <w:proofErr w:type="spellEnd"/>
      <w:r w:rsidRPr="00256DC9">
        <w:rPr>
          <w:rFonts w:ascii="Times New Roman" w:hAnsi="Times New Roman" w:cs="Times New Roman"/>
          <w:color w:val="000000" w:themeColor="text1"/>
          <w:sz w:val="28"/>
          <w:szCs w:val="28"/>
          <w:lang w:val="en-US" w:eastAsia="en-US"/>
        </w:rPr>
        <w:t xml:space="preserve"> F., Marty J., </w:t>
      </w:r>
      <w:proofErr w:type="spellStart"/>
      <w:r w:rsidRPr="00256DC9">
        <w:rPr>
          <w:rFonts w:ascii="Times New Roman" w:hAnsi="Times New Roman" w:cs="Times New Roman"/>
          <w:color w:val="000000" w:themeColor="text1"/>
          <w:sz w:val="28"/>
          <w:szCs w:val="28"/>
          <w:lang w:val="en-US" w:eastAsia="en-US"/>
        </w:rPr>
        <w:t>Chollet-Xemard</w:t>
      </w:r>
      <w:proofErr w:type="spellEnd"/>
      <w:r w:rsidRPr="00256DC9">
        <w:rPr>
          <w:rFonts w:ascii="Times New Roman" w:hAnsi="Times New Roman" w:cs="Times New Roman"/>
          <w:color w:val="000000" w:themeColor="text1"/>
          <w:sz w:val="28"/>
          <w:szCs w:val="28"/>
          <w:lang w:val="en-US" w:eastAsia="en-US"/>
        </w:rPr>
        <w:t xml:space="preserve"> C., </w:t>
      </w:r>
      <w:proofErr w:type="spellStart"/>
      <w:r w:rsidRPr="00256DC9">
        <w:rPr>
          <w:rFonts w:ascii="Times New Roman" w:hAnsi="Times New Roman" w:cs="Times New Roman"/>
          <w:color w:val="000000" w:themeColor="text1"/>
          <w:sz w:val="28"/>
          <w:szCs w:val="28"/>
          <w:lang w:val="en-US" w:eastAsia="en-US"/>
        </w:rPr>
        <w:t>Thirion</w:t>
      </w:r>
      <w:proofErr w:type="spellEnd"/>
      <w:r w:rsidRPr="00256DC9">
        <w:rPr>
          <w:rFonts w:ascii="Times New Roman" w:hAnsi="Times New Roman" w:cs="Times New Roman"/>
          <w:color w:val="000000" w:themeColor="text1"/>
          <w:sz w:val="28"/>
          <w:szCs w:val="28"/>
          <w:lang w:val="en-US" w:eastAsia="en-US"/>
        </w:rPr>
        <w:t xml:space="preserve"> O., </w:t>
      </w:r>
      <w:r w:rsidRPr="00256DC9">
        <w:rPr>
          <w:rFonts w:ascii="Times New Roman" w:hAnsi="Times New Roman" w:cs="Times New Roman"/>
          <w:color w:val="000000" w:themeColor="text1"/>
          <w:sz w:val="28"/>
          <w:szCs w:val="28"/>
          <w:lang w:val="en-US" w:eastAsia="en-US"/>
        </w:rPr>
        <w:lastRenderedPageBreak/>
        <w:t>Jacob</w:t>
      </w:r>
      <w:bookmarkStart w:id="19" w:name="_Hlk41234252"/>
      <w:r w:rsidRPr="00256DC9">
        <w:rPr>
          <w:rFonts w:ascii="Times New Roman" w:hAnsi="Times New Roman" w:cs="Times New Roman"/>
          <w:color w:val="000000" w:themeColor="text1"/>
          <w:sz w:val="28"/>
          <w:szCs w:val="28"/>
          <w:lang w:val="en-US" w:eastAsia="en-US"/>
        </w:rPr>
        <w:t xml:space="preserve"> L. Efficacy and Tolerance of Early Administration of Tranexamic Acid in Patients with Cirrhosis Presenting with Acute Upper Gastrointestinal Bleeding: A Study Protocol for a </w:t>
      </w:r>
      <w:proofErr w:type="spellStart"/>
      <w:r w:rsidRPr="00256DC9">
        <w:rPr>
          <w:rFonts w:ascii="Times New Roman" w:hAnsi="Times New Roman" w:cs="Times New Roman"/>
          <w:color w:val="000000" w:themeColor="text1"/>
          <w:sz w:val="28"/>
          <w:szCs w:val="28"/>
          <w:lang w:val="en-US" w:eastAsia="en-US"/>
        </w:rPr>
        <w:t>Multicentre</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Randomised</w:t>
      </w:r>
      <w:proofErr w:type="spellEnd"/>
      <w:r w:rsidRPr="00256DC9">
        <w:rPr>
          <w:rFonts w:ascii="Times New Roman" w:hAnsi="Times New Roman" w:cs="Times New Roman"/>
          <w:color w:val="000000" w:themeColor="text1"/>
          <w:sz w:val="28"/>
          <w:szCs w:val="28"/>
          <w:lang w:val="en-US" w:eastAsia="en-US"/>
        </w:rPr>
        <w:t>, Double-Blind, Placebo-Controlled Trial</w:t>
      </w:r>
      <w:bookmarkEnd w:id="19"/>
      <w:r w:rsidRPr="00256DC9">
        <w:rPr>
          <w:rFonts w:ascii="Times New Roman" w:hAnsi="Times New Roman" w:cs="Times New Roman"/>
          <w:color w:val="000000" w:themeColor="text1"/>
          <w:sz w:val="28"/>
          <w:szCs w:val="28"/>
          <w:lang w:val="en-US" w:eastAsia="en-US"/>
        </w:rPr>
        <w:t xml:space="preserve"> (the </w:t>
      </w:r>
      <w:proofErr w:type="spellStart"/>
      <w:r w:rsidRPr="00256DC9">
        <w:rPr>
          <w:rFonts w:ascii="Times New Roman" w:hAnsi="Times New Roman" w:cs="Times New Roman"/>
          <w:color w:val="000000" w:themeColor="text1"/>
          <w:sz w:val="28"/>
          <w:szCs w:val="28"/>
          <w:lang w:val="en-US" w:eastAsia="en-US"/>
        </w:rPr>
        <w:t>Exarhose</w:t>
      </w:r>
      <w:proofErr w:type="spellEnd"/>
      <w:r w:rsidRPr="00256DC9">
        <w:rPr>
          <w:rFonts w:ascii="Times New Roman" w:hAnsi="Times New Roman" w:cs="Times New Roman"/>
          <w:color w:val="000000" w:themeColor="text1"/>
          <w:sz w:val="28"/>
          <w:szCs w:val="28"/>
          <w:lang w:val="en-US" w:eastAsia="en-US"/>
        </w:rPr>
        <w:t xml:space="preserve"> Study). </w:t>
      </w:r>
      <w:bookmarkStart w:id="20" w:name="_Hlk41234340"/>
      <w:r w:rsidRPr="00256DC9">
        <w:rPr>
          <w:rFonts w:ascii="Times New Roman" w:hAnsi="Times New Roman" w:cs="Times New Roman"/>
          <w:i/>
          <w:color w:val="000000" w:themeColor="text1"/>
          <w:sz w:val="28"/>
          <w:szCs w:val="28"/>
          <w:lang w:val="en-US" w:eastAsia="en-US"/>
        </w:rPr>
        <w:t xml:space="preserve">BMJ Open. </w:t>
      </w:r>
      <w:r w:rsidRPr="00256DC9">
        <w:rPr>
          <w:rFonts w:ascii="Times New Roman" w:hAnsi="Times New Roman" w:cs="Times New Roman"/>
          <w:color w:val="000000" w:themeColor="text1"/>
          <w:sz w:val="28"/>
          <w:szCs w:val="28"/>
          <w:lang w:val="en-US" w:eastAsia="en-US"/>
        </w:rPr>
        <w:t xml:space="preserve">2018; </w:t>
      </w:r>
      <w:bookmarkEnd w:id="20"/>
      <w:r w:rsidRPr="00256DC9">
        <w:rPr>
          <w:rFonts w:ascii="Times New Roman" w:hAnsi="Times New Roman" w:cs="Times New Roman"/>
          <w:color w:val="000000" w:themeColor="text1"/>
          <w:sz w:val="28"/>
          <w:szCs w:val="28"/>
          <w:lang w:val="en-US" w:eastAsia="en-US"/>
        </w:rPr>
        <w:t xml:space="preserve">8 (8): e021943.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Hoerr</w:t>
      </w:r>
      <w:proofErr w:type="spellEnd"/>
      <w:r w:rsidRPr="00256DC9">
        <w:rPr>
          <w:rFonts w:ascii="Times New Roman" w:hAnsi="Times New Roman" w:cs="Times New Roman"/>
          <w:color w:val="000000" w:themeColor="text1"/>
          <w:sz w:val="28"/>
          <w:szCs w:val="28"/>
          <w:lang w:val="en-US" w:eastAsia="en-US"/>
        </w:rPr>
        <w:t xml:space="preserve"> S. O., et al. The place of surgery in the emergency treatment of acute massive, upper gastro-intestinal hemorrhage. Surg </w:t>
      </w:r>
      <w:proofErr w:type="spellStart"/>
      <w:r w:rsidRPr="00256DC9">
        <w:rPr>
          <w:rFonts w:ascii="Times New Roman" w:hAnsi="Times New Roman" w:cs="Times New Roman"/>
          <w:color w:val="000000" w:themeColor="text1"/>
          <w:sz w:val="28"/>
          <w:szCs w:val="28"/>
          <w:lang w:val="en-US" w:eastAsia="en-US"/>
        </w:rPr>
        <w:t>Gynecol</w:t>
      </w:r>
      <w:proofErr w:type="spellEnd"/>
      <w:r w:rsidRPr="00256DC9">
        <w:rPr>
          <w:rFonts w:ascii="Times New Roman" w:hAnsi="Times New Roman" w:cs="Times New Roman"/>
          <w:color w:val="000000" w:themeColor="text1"/>
          <w:sz w:val="28"/>
          <w:szCs w:val="28"/>
          <w:lang w:val="en-US" w:eastAsia="en-US"/>
        </w:rPr>
        <w:t xml:space="preserve"> Obstet. 1948; 87 (3): 338–342.</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Johansson, P. I., </w:t>
      </w:r>
      <w:proofErr w:type="spellStart"/>
      <w:r w:rsidRPr="00256DC9">
        <w:rPr>
          <w:rFonts w:ascii="Times New Roman" w:hAnsi="Times New Roman" w:cs="Times New Roman"/>
          <w:color w:val="000000" w:themeColor="text1"/>
          <w:sz w:val="28"/>
          <w:szCs w:val="28"/>
          <w:lang w:val="en-US" w:eastAsia="en-US"/>
        </w:rPr>
        <w:t>Stensballe</w:t>
      </w:r>
      <w:proofErr w:type="spellEnd"/>
      <w:r w:rsidRPr="00256DC9">
        <w:rPr>
          <w:rFonts w:ascii="Times New Roman" w:hAnsi="Times New Roman" w:cs="Times New Roman"/>
          <w:color w:val="000000" w:themeColor="text1"/>
          <w:sz w:val="28"/>
          <w:szCs w:val="28"/>
          <w:lang w:val="en-US" w:eastAsia="en-US"/>
        </w:rPr>
        <w:t xml:space="preserve"> J., </w:t>
      </w:r>
      <w:proofErr w:type="spellStart"/>
      <w:r w:rsidRPr="00256DC9">
        <w:rPr>
          <w:rFonts w:ascii="Times New Roman" w:hAnsi="Times New Roman" w:cs="Times New Roman"/>
          <w:color w:val="000000" w:themeColor="text1"/>
          <w:sz w:val="28"/>
          <w:szCs w:val="28"/>
          <w:lang w:val="en-US" w:eastAsia="en-US"/>
        </w:rPr>
        <w:t>Oliveri</w:t>
      </w:r>
      <w:proofErr w:type="spellEnd"/>
      <w:r w:rsidRPr="00256DC9">
        <w:rPr>
          <w:rFonts w:ascii="Times New Roman" w:hAnsi="Times New Roman" w:cs="Times New Roman"/>
          <w:color w:val="000000" w:themeColor="text1"/>
          <w:sz w:val="28"/>
          <w:szCs w:val="28"/>
          <w:lang w:val="en-US" w:eastAsia="en-US"/>
        </w:rPr>
        <w:t xml:space="preserve"> R., Wade C. E., Ostrowski S. R., Holcomb J. B. How I Treat Patients with Massive Hemorrhage. Blood. 2014; 124 (20): 3052–3058.</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Khan S., Davenport R., Raza I., Glasgow S., </w:t>
      </w:r>
      <w:proofErr w:type="spellStart"/>
      <w:r w:rsidRPr="00256DC9">
        <w:rPr>
          <w:rFonts w:ascii="Times New Roman" w:hAnsi="Times New Roman" w:cs="Times New Roman"/>
          <w:color w:val="000000" w:themeColor="text1"/>
          <w:sz w:val="28"/>
          <w:szCs w:val="28"/>
          <w:lang w:val="en-US" w:eastAsia="en-US"/>
        </w:rPr>
        <w:t>De'Ath</w:t>
      </w:r>
      <w:proofErr w:type="spellEnd"/>
      <w:r w:rsidRPr="00256DC9">
        <w:rPr>
          <w:rFonts w:ascii="Times New Roman" w:hAnsi="Times New Roman" w:cs="Times New Roman"/>
          <w:color w:val="000000" w:themeColor="text1"/>
          <w:sz w:val="28"/>
          <w:szCs w:val="28"/>
          <w:lang w:val="en-US" w:eastAsia="en-US"/>
        </w:rPr>
        <w:t xml:space="preserve"> H. D., Johansson P. I., Curry N., Stanworth S., </w:t>
      </w:r>
      <w:proofErr w:type="spellStart"/>
      <w:r w:rsidRPr="00256DC9">
        <w:rPr>
          <w:rFonts w:ascii="Times New Roman" w:hAnsi="Times New Roman" w:cs="Times New Roman"/>
          <w:color w:val="000000" w:themeColor="text1"/>
          <w:sz w:val="28"/>
          <w:szCs w:val="28"/>
          <w:lang w:val="en-US" w:eastAsia="en-US"/>
        </w:rPr>
        <w:t>Gaarder</w:t>
      </w:r>
      <w:proofErr w:type="spellEnd"/>
      <w:r w:rsidRPr="00256DC9">
        <w:rPr>
          <w:rFonts w:ascii="Times New Roman" w:hAnsi="Times New Roman" w:cs="Times New Roman"/>
          <w:color w:val="000000" w:themeColor="text1"/>
          <w:sz w:val="28"/>
          <w:szCs w:val="28"/>
          <w:lang w:val="en-US" w:eastAsia="en-US"/>
        </w:rPr>
        <w:t xml:space="preserve"> C., </w:t>
      </w:r>
      <w:proofErr w:type="spellStart"/>
      <w:r w:rsidRPr="00256DC9">
        <w:rPr>
          <w:rFonts w:ascii="Times New Roman" w:hAnsi="Times New Roman" w:cs="Times New Roman"/>
          <w:color w:val="000000" w:themeColor="text1"/>
          <w:sz w:val="28"/>
          <w:szCs w:val="28"/>
          <w:lang w:val="en-US" w:eastAsia="en-US"/>
        </w:rPr>
        <w:t>Brohi</w:t>
      </w:r>
      <w:proofErr w:type="spellEnd"/>
      <w:r w:rsidRPr="00256DC9">
        <w:rPr>
          <w:rFonts w:ascii="Times New Roman" w:hAnsi="Times New Roman" w:cs="Times New Roman"/>
          <w:color w:val="000000" w:themeColor="text1"/>
          <w:sz w:val="28"/>
          <w:szCs w:val="28"/>
          <w:lang w:val="en-US" w:eastAsia="en-US"/>
        </w:rPr>
        <w:t xml:space="preserve"> K. Damage Control Resuscitation Using Blood Component Therapy in Standard Doses Has a Limited Effect on Coagulopathy During Trauma Hemorrhage. Intensive Care Med</w:t>
      </w:r>
      <w:r w:rsidRPr="00256DC9">
        <w:rPr>
          <w:rFonts w:ascii="Times New Roman" w:hAnsi="Times New Roman" w:cs="Times New Roman"/>
          <w:i/>
          <w:color w:val="000000" w:themeColor="text1"/>
          <w:sz w:val="28"/>
          <w:szCs w:val="28"/>
          <w:lang w:val="en-US" w:eastAsia="en-US"/>
        </w:rPr>
        <w:t>.</w:t>
      </w:r>
      <w:r w:rsidRPr="00256DC9">
        <w:rPr>
          <w:rFonts w:ascii="Times New Roman" w:hAnsi="Times New Roman" w:cs="Times New Roman"/>
          <w:color w:val="000000" w:themeColor="text1"/>
          <w:sz w:val="28"/>
          <w:szCs w:val="28"/>
          <w:lang w:val="en-US" w:eastAsia="en-US"/>
        </w:rPr>
        <w:t xml:space="preserve"> 2015; 41 (2): 239–247.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Lee B. E., Kim G. H., Song G. A., </w:t>
      </w:r>
      <w:proofErr w:type="spellStart"/>
      <w:r w:rsidRPr="00256DC9">
        <w:rPr>
          <w:rFonts w:ascii="Times New Roman" w:hAnsi="Times New Roman" w:cs="Times New Roman"/>
          <w:color w:val="000000" w:themeColor="text1"/>
          <w:sz w:val="28"/>
          <w:szCs w:val="28"/>
          <w:lang w:val="en-US" w:eastAsia="en-US"/>
        </w:rPr>
        <w:t>Seo</w:t>
      </w:r>
      <w:proofErr w:type="spellEnd"/>
      <w:r w:rsidRPr="00256DC9">
        <w:rPr>
          <w:rFonts w:ascii="Times New Roman" w:hAnsi="Times New Roman" w:cs="Times New Roman"/>
          <w:color w:val="000000" w:themeColor="text1"/>
          <w:sz w:val="28"/>
          <w:szCs w:val="28"/>
          <w:lang w:val="en-US" w:eastAsia="en-US"/>
        </w:rPr>
        <w:t xml:space="preserve"> J. H., Jeon H. K., </w:t>
      </w:r>
      <w:proofErr w:type="spellStart"/>
      <w:r w:rsidRPr="00256DC9">
        <w:rPr>
          <w:rFonts w:ascii="Times New Roman" w:hAnsi="Times New Roman" w:cs="Times New Roman"/>
          <w:color w:val="000000" w:themeColor="text1"/>
          <w:sz w:val="28"/>
          <w:szCs w:val="28"/>
          <w:lang w:val="en-US" w:eastAsia="en-US"/>
        </w:rPr>
        <w:t>Baek</w:t>
      </w:r>
      <w:proofErr w:type="spellEnd"/>
      <w:r w:rsidRPr="00256DC9">
        <w:rPr>
          <w:rFonts w:ascii="Times New Roman" w:hAnsi="Times New Roman" w:cs="Times New Roman"/>
          <w:color w:val="000000" w:themeColor="text1"/>
          <w:sz w:val="28"/>
          <w:szCs w:val="28"/>
          <w:lang w:val="en-US" w:eastAsia="en-US"/>
        </w:rPr>
        <w:t xml:space="preserve"> D. H., Kim D. U. Continuous Infusion versus Intermittent Dosing with Pantoprazole for Gastric Endoscopic Submucosal Dissection. Gut and Liver. 2019; 13 (1): 40–47. (accessed 30.04.2020)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Li J. P., Tang G. S., Huang Y. H., Chen W., Yang J. Y. Application of Digital Subtraction Angiography and Interventional Treatment in Gastrointestinal Arterial Hemorrhage. </w:t>
      </w:r>
      <w:proofErr w:type="spellStart"/>
      <w:r w:rsidRPr="00256DC9">
        <w:rPr>
          <w:rFonts w:ascii="Times New Roman" w:hAnsi="Times New Roman" w:cs="Times New Roman"/>
          <w:color w:val="000000" w:themeColor="text1"/>
          <w:sz w:val="28"/>
          <w:szCs w:val="28"/>
          <w:lang w:val="en-US" w:eastAsia="en-US"/>
        </w:rPr>
        <w:t>Zhonghua</w:t>
      </w:r>
      <w:proofErr w:type="spellEnd"/>
      <w:r w:rsidRPr="00256DC9">
        <w:rPr>
          <w:rFonts w:ascii="Times New Roman" w:hAnsi="Times New Roman" w:cs="Times New Roman"/>
          <w:color w:val="000000" w:themeColor="text1"/>
          <w:sz w:val="28"/>
          <w:szCs w:val="28"/>
          <w:lang w:val="en-US" w:eastAsia="en-US"/>
        </w:rPr>
        <w:t xml:space="preserve"> Wei Chang Wai </w:t>
      </w:r>
      <w:proofErr w:type="spellStart"/>
      <w:r w:rsidRPr="00256DC9">
        <w:rPr>
          <w:rFonts w:ascii="Times New Roman" w:hAnsi="Times New Roman" w:cs="Times New Roman"/>
          <w:color w:val="000000" w:themeColor="text1"/>
          <w:sz w:val="28"/>
          <w:szCs w:val="28"/>
          <w:lang w:val="en-US" w:eastAsia="en-US"/>
        </w:rPr>
        <w:t>Ke</w:t>
      </w:r>
      <w:proofErr w:type="spellEnd"/>
      <w:r w:rsidRPr="00256DC9">
        <w:rPr>
          <w:rFonts w:ascii="Times New Roman" w:hAnsi="Times New Roman" w:cs="Times New Roman"/>
          <w:color w:val="000000" w:themeColor="text1"/>
          <w:sz w:val="28"/>
          <w:szCs w:val="28"/>
          <w:lang w:val="en-US" w:eastAsia="en-US"/>
        </w:rPr>
        <w:t xml:space="preserve"> Za </w:t>
      </w:r>
      <w:proofErr w:type="spellStart"/>
      <w:r w:rsidRPr="00256DC9">
        <w:rPr>
          <w:rFonts w:ascii="Times New Roman" w:hAnsi="Times New Roman" w:cs="Times New Roman"/>
          <w:color w:val="000000" w:themeColor="text1"/>
          <w:sz w:val="28"/>
          <w:szCs w:val="28"/>
          <w:lang w:val="en-US" w:eastAsia="en-US"/>
        </w:rPr>
        <w:t>Zhi</w:t>
      </w:r>
      <w:proofErr w:type="spellEnd"/>
      <w:r w:rsidRPr="00256DC9">
        <w:rPr>
          <w:rFonts w:ascii="Times New Roman" w:hAnsi="Times New Roman" w:cs="Times New Roman"/>
          <w:color w:val="000000" w:themeColor="text1"/>
          <w:sz w:val="28"/>
          <w:szCs w:val="28"/>
          <w:lang w:val="en-US" w:eastAsia="en-US"/>
        </w:rPr>
        <w:t xml:space="preserve">. 2009; 12 (3): 252–256.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Morrison S. A practical approach to the treatment and diagnosis of gastro-intestinal hemorrhage. Md State Med. J. 1957; 6 (7): 380–385.</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Sinha R., Roxby D. Any Changes in Recent Massive Transfusion Practices in a Tertiary Level Institution? </w:t>
      </w:r>
      <w:proofErr w:type="spellStart"/>
      <w:r w:rsidRPr="00256DC9">
        <w:rPr>
          <w:rFonts w:ascii="Times New Roman" w:hAnsi="Times New Roman" w:cs="Times New Roman"/>
          <w:color w:val="000000" w:themeColor="text1"/>
          <w:sz w:val="28"/>
          <w:szCs w:val="28"/>
          <w:lang w:val="en-US" w:eastAsia="en-US"/>
        </w:rPr>
        <w:t>Transfus</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Apher</w:t>
      </w:r>
      <w:proofErr w:type="spellEnd"/>
      <w:r w:rsidRPr="00256DC9">
        <w:rPr>
          <w:rFonts w:ascii="Times New Roman" w:hAnsi="Times New Roman" w:cs="Times New Roman"/>
          <w:color w:val="000000" w:themeColor="text1"/>
          <w:sz w:val="28"/>
          <w:szCs w:val="28"/>
          <w:lang w:val="en-US" w:eastAsia="en-US"/>
        </w:rPr>
        <w:t xml:space="preserve">. Sci. 2017; 56 (4): 558–562.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lastRenderedPageBreak/>
        <w:t xml:space="preserve"> </w:t>
      </w:r>
      <w:proofErr w:type="spellStart"/>
      <w:r w:rsidRPr="00256DC9">
        <w:rPr>
          <w:rFonts w:ascii="Times New Roman" w:hAnsi="Times New Roman" w:cs="Times New Roman"/>
          <w:color w:val="000000" w:themeColor="text1"/>
          <w:sz w:val="28"/>
          <w:szCs w:val="28"/>
          <w:lang w:val="en-US" w:eastAsia="en-US"/>
        </w:rPr>
        <w:t>Mesar</w:t>
      </w:r>
      <w:proofErr w:type="spellEnd"/>
      <w:r w:rsidRPr="00256DC9">
        <w:rPr>
          <w:rFonts w:ascii="Times New Roman" w:hAnsi="Times New Roman" w:cs="Times New Roman"/>
          <w:color w:val="000000" w:themeColor="text1"/>
          <w:sz w:val="28"/>
          <w:szCs w:val="28"/>
          <w:lang w:val="en-US" w:eastAsia="en-US"/>
        </w:rPr>
        <w:t xml:space="preserve"> T., </w:t>
      </w:r>
      <w:proofErr w:type="spellStart"/>
      <w:r w:rsidRPr="00256DC9">
        <w:rPr>
          <w:rFonts w:ascii="Times New Roman" w:hAnsi="Times New Roman" w:cs="Times New Roman"/>
          <w:color w:val="000000" w:themeColor="text1"/>
          <w:sz w:val="28"/>
          <w:szCs w:val="28"/>
          <w:lang w:val="en-US" w:eastAsia="en-US"/>
        </w:rPr>
        <w:t>Larentzakis</w:t>
      </w:r>
      <w:proofErr w:type="spellEnd"/>
      <w:r w:rsidRPr="00256DC9">
        <w:rPr>
          <w:rFonts w:ascii="Times New Roman" w:hAnsi="Times New Roman" w:cs="Times New Roman"/>
          <w:color w:val="000000" w:themeColor="text1"/>
          <w:sz w:val="28"/>
          <w:szCs w:val="28"/>
          <w:lang w:val="en-US" w:eastAsia="en-US"/>
        </w:rPr>
        <w:t xml:space="preserve"> A., Dzik W., Chang Y. Association Between Ratio of Fresh Frozen Plasma to Red Blood Cells During Massive Transfusion and Survival Among Patients Without Traumatic Injury. JAMA Surg. 2017; 152: 574–580.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Tutchenko</w:t>
      </w:r>
      <w:proofErr w:type="spellEnd"/>
      <w:r w:rsidRPr="00256DC9">
        <w:rPr>
          <w:rFonts w:ascii="Times New Roman" w:hAnsi="Times New Roman" w:cs="Times New Roman"/>
          <w:color w:val="000000" w:themeColor="text1"/>
          <w:sz w:val="28"/>
          <w:szCs w:val="28"/>
          <w:lang w:val="en-US" w:eastAsia="en-US"/>
        </w:rPr>
        <w:t xml:space="preserve"> M. I., </w:t>
      </w:r>
      <w:proofErr w:type="spellStart"/>
      <w:r w:rsidRPr="00256DC9">
        <w:rPr>
          <w:rFonts w:ascii="Times New Roman" w:hAnsi="Times New Roman" w:cs="Times New Roman"/>
          <w:color w:val="000000" w:themeColor="text1"/>
          <w:sz w:val="28"/>
          <w:szCs w:val="28"/>
          <w:lang w:val="en-US" w:eastAsia="en-US"/>
        </w:rPr>
        <w:t>Rudyk</w:t>
      </w:r>
      <w:proofErr w:type="spellEnd"/>
      <w:r w:rsidRPr="00256DC9">
        <w:rPr>
          <w:rFonts w:ascii="Times New Roman" w:hAnsi="Times New Roman" w:cs="Times New Roman"/>
          <w:color w:val="000000" w:themeColor="text1"/>
          <w:sz w:val="28"/>
          <w:szCs w:val="28"/>
          <w:lang w:val="en-US" w:eastAsia="en-US"/>
        </w:rPr>
        <w:t xml:space="preserve"> D. V., </w:t>
      </w:r>
      <w:proofErr w:type="spellStart"/>
      <w:r w:rsidRPr="00256DC9">
        <w:rPr>
          <w:rFonts w:ascii="Times New Roman" w:hAnsi="Times New Roman" w:cs="Times New Roman"/>
          <w:color w:val="000000" w:themeColor="text1"/>
          <w:sz w:val="28"/>
          <w:szCs w:val="28"/>
          <w:lang w:val="en-US" w:eastAsia="en-US"/>
        </w:rPr>
        <w:t>Iskra</w:t>
      </w:r>
      <w:proofErr w:type="spellEnd"/>
      <w:r w:rsidRPr="00256DC9">
        <w:rPr>
          <w:rFonts w:ascii="Times New Roman" w:hAnsi="Times New Roman" w:cs="Times New Roman"/>
          <w:color w:val="000000" w:themeColor="text1"/>
          <w:sz w:val="28"/>
          <w:szCs w:val="28"/>
          <w:lang w:val="en-US" w:eastAsia="en-US"/>
        </w:rPr>
        <w:t xml:space="preserve"> N. I., </w:t>
      </w:r>
      <w:proofErr w:type="spellStart"/>
      <w:r w:rsidRPr="00256DC9">
        <w:rPr>
          <w:rFonts w:ascii="Times New Roman" w:hAnsi="Times New Roman" w:cs="Times New Roman"/>
          <w:color w:val="000000" w:themeColor="text1"/>
          <w:sz w:val="28"/>
          <w:szCs w:val="28"/>
          <w:lang w:val="en-US" w:eastAsia="en-US"/>
        </w:rPr>
        <w:t>Trofimenko</w:t>
      </w:r>
      <w:proofErr w:type="spellEnd"/>
      <w:r w:rsidRPr="00256DC9">
        <w:rPr>
          <w:rFonts w:ascii="Times New Roman" w:hAnsi="Times New Roman" w:cs="Times New Roman"/>
          <w:color w:val="000000" w:themeColor="text1"/>
          <w:sz w:val="28"/>
          <w:szCs w:val="28"/>
          <w:lang w:val="en-US" w:eastAsia="en-US"/>
        </w:rPr>
        <w:t xml:space="preserve"> S. P., </w:t>
      </w:r>
      <w:proofErr w:type="spellStart"/>
      <w:r w:rsidRPr="00256DC9">
        <w:rPr>
          <w:rFonts w:ascii="Times New Roman" w:hAnsi="Times New Roman" w:cs="Times New Roman"/>
          <w:color w:val="000000" w:themeColor="text1"/>
          <w:sz w:val="28"/>
          <w:szCs w:val="28"/>
          <w:lang w:val="en-US" w:eastAsia="en-US"/>
        </w:rPr>
        <w:t>Shchur</w:t>
      </w:r>
      <w:proofErr w:type="spellEnd"/>
      <w:r w:rsidRPr="00256DC9">
        <w:rPr>
          <w:rFonts w:ascii="Times New Roman" w:hAnsi="Times New Roman" w:cs="Times New Roman"/>
          <w:color w:val="000000" w:themeColor="text1"/>
          <w:sz w:val="28"/>
          <w:szCs w:val="28"/>
          <w:lang w:val="en-US" w:eastAsia="en-US"/>
        </w:rPr>
        <w:t xml:space="preserve"> I. V. Modern View on Intensive Therapy of Gastro-Intestinal Hemorrhage. </w:t>
      </w:r>
      <w:proofErr w:type="spellStart"/>
      <w:r w:rsidRPr="00256DC9">
        <w:rPr>
          <w:rFonts w:ascii="Times New Roman" w:hAnsi="Times New Roman" w:cs="Times New Roman"/>
          <w:color w:val="000000" w:themeColor="text1"/>
          <w:sz w:val="28"/>
          <w:szCs w:val="28"/>
          <w:lang w:val="en-US" w:eastAsia="en-US"/>
        </w:rPr>
        <w:t>Klin</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Khir</w:t>
      </w:r>
      <w:proofErr w:type="spellEnd"/>
      <w:r w:rsidRPr="00256DC9">
        <w:rPr>
          <w:rFonts w:ascii="Times New Roman" w:hAnsi="Times New Roman" w:cs="Times New Roman"/>
          <w:color w:val="000000" w:themeColor="text1"/>
          <w:sz w:val="28"/>
          <w:szCs w:val="28"/>
          <w:lang w:val="en-US" w:eastAsia="en-US"/>
        </w:rPr>
        <w:t xml:space="preserve">. 2015; 10: 11–14. </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proofErr w:type="spellStart"/>
      <w:r w:rsidRPr="00256DC9">
        <w:rPr>
          <w:rFonts w:ascii="Times New Roman" w:hAnsi="Times New Roman" w:cs="Times New Roman"/>
          <w:color w:val="000000" w:themeColor="text1"/>
          <w:sz w:val="28"/>
          <w:szCs w:val="28"/>
          <w:lang w:val="en-US" w:eastAsia="en-US"/>
        </w:rPr>
        <w:t>Twum-Barimah</w:t>
      </w:r>
      <w:proofErr w:type="spellEnd"/>
      <w:r w:rsidRPr="00256DC9">
        <w:rPr>
          <w:rFonts w:ascii="Times New Roman" w:hAnsi="Times New Roman" w:cs="Times New Roman"/>
          <w:color w:val="000000" w:themeColor="text1"/>
          <w:sz w:val="28"/>
          <w:szCs w:val="28"/>
          <w:lang w:val="en-US" w:eastAsia="en-US"/>
        </w:rPr>
        <w:t xml:space="preserve">, E. et al. Systematic review with meta-analysis: the efficacy of tranexamic acid in upper gastrointestinal bleeding. Aliment. </w:t>
      </w:r>
      <w:proofErr w:type="spellStart"/>
      <w:r w:rsidRPr="00256DC9">
        <w:rPr>
          <w:rFonts w:ascii="Times New Roman" w:hAnsi="Times New Roman" w:cs="Times New Roman"/>
          <w:color w:val="000000" w:themeColor="text1"/>
          <w:sz w:val="28"/>
          <w:szCs w:val="28"/>
          <w:lang w:val="en-US" w:eastAsia="en-US"/>
        </w:rPr>
        <w:t>Pharmacol</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Ther</w:t>
      </w:r>
      <w:proofErr w:type="spellEnd"/>
      <w:r w:rsidRPr="00256DC9">
        <w:rPr>
          <w:rFonts w:ascii="Times New Roman" w:hAnsi="Times New Roman" w:cs="Times New Roman"/>
          <w:color w:val="000000" w:themeColor="text1"/>
          <w:sz w:val="28"/>
          <w:szCs w:val="28"/>
          <w:lang w:val="en-US" w:eastAsia="en-US"/>
        </w:rPr>
        <w:t>.</w:t>
      </w:r>
      <w:bookmarkStart w:id="21" w:name="_Hlk41233994"/>
      <w:bookmarkEnd w:id="21"/>
      <w:r w:rsidRPr="00256DC9">
        <w:rPr>
          <w:rFonts w:ascii="Times New Roman" w:hAnsi="Times New Roman" w:cs="Times New Roman"/>
          <w:color w:val="000000" w:themeColor="text1"/>
          <w:sz w:val="28"/>
          <w:szCs w:val="28"/>
          <w:lang w:val="en-US" w:eastAsia="en-US"/>
        </w:rPr>
        <w:t xml:space="preserve"> 2020; </w:t>
      </w:r>
      <w:r w:rsidRPr="00256DC9">
        <w:rPr>
          <w:rFonts w:ascii="Times New Roman" w:hAnsi="Times New Roman" w:cs="Times New Roman"/>
          <w:color w:val="000000" w:themeColor="text1"/>
          <w:sz w:val="28"/>
          <w:szCs w:val="28"/>
          <w:lang w:eastAsia="en-US"/>
        </w:rPr>
        <w:t>3: 21-27</w:t>
      </w:r>
      <w:r w:rsidRPr="00256DC9">
        <w:rPr>
          <w:rFonts w:ascii="Times New Roman" w:hAnsi="Times New Roman" w:cs="Times New Roman"/>
          <w:color w:val="000000" w:themeColor="text1"/>
          <w:sz w:val="28"/>
          <w:szCs w:val="28"/>
          <w:lang w:val="en-US" w:eastAsia="en-US"/>
        </w:rPr>
        <w:t>.</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proofErr w:type="spellStart"/>
      <w:r w:rsidRPr="00256DC9">
        <w:rPr>
          <w:rFonts w:ascii="Times New Roman" w:hAnsi="Times New Roman" w:cs="Times New Roman"/>
          <w:color w:val="000000" w:themeColor="text1"/>
          <w:sz w:val="28"/>
          <w:szCs w:val="28"/>
          <w:lang w:val="en-US" w:eastAsia="en-US"/>
        </w:rPr>
        <w:t>Valizadeh</w:t>
      </w:r>
      <w:proofErr w:type="spellEnd"/>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Toosi</w:t>
      </w:r>
      <w:proofErr w:type="spellEnd"/>
      <w:r w:rsidRPr="00256DC9">
        <w:rPr>
          <w:rFonts w:ascii="Times New Roman" w:hAnsi="Times New Roman" w:cs="Times New Roman"/>
          <w:color w:val="000000" w:themeColor="text1"/>
          <w:sz w:val="28"/>
          <w:szCs w:val="28"/>
          <w:lang w:val="en-US" w:eastAsia="en-US"/>
        </w:rPr>
        <w:t xml:space="preserve"> S. M. et al. Comparison of Oral versus Intravenous Proton Pump Inhibitors in Preventing Re-bleeding from Peptic Ulcer after Successful Endoscopic Therapy. Middle East J. Dig. Dis</w:t>
      </w:r>
      <w:r w:rsidRPr="00256DC9">
        <w:rPr>
          <w:rFonts w:ascii="Times New Roman" w:hAnsi="Times New Roman" w:cs="Times New Roman"/>
          <w:color w:val="000000" w:themeColor="text1"/>
          <w:sz w:val="28"/>
          <w:szCs w:val="28"/>
          <w:u w:val="single"/>
          <w:lang w:val="en-US" w:eastAsia="en-US"/>
        </w:rPr>
        <w:t>.</w:t>
      </w:r>
      <w:r w:rsidRPr="00256DC9">
        <w:rPr>
          <w:rFonts w:ascii="Times New Roman" w:hAnsi="Times New Roman" w:cs="Times New Roman"/>
          <w:color w:val="000000" w:themeColor="text1"/>
          <w:sz w:val="28"/>
          <w:szCs w:val="28"/>
          <w:lang w:val="en-US" w:eastAsia="en-US"/>
        </w:rPr>
        <w:t xml:space="preserve"> 2018; 10 (4): 236–241.</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eastAsia="en-US"/>
        </w:rPr>
      </w:pPr>
      <w:r w:rsidRPr="00256DC9">
        <w:rPr>
          <w:rFonts w:ascii="Times New Roman" w:hAnsi="Times New Roman" w:cs="Times New Roman"/>
          <w:color w:val="000000" w:themeColor="text1"/>
          <w:sz w:val="28"/>
          <w:szCs w:val="28"/>
          <w:lang w:val="en-US" w:eastAsia="en-US"/>
        </w:rPr>
        <w:t xml:space="preserve">Villanueva C., </w:t>
      </w:r>
      <w:proofErr w:type="spellStart"/>
      <w:r w:rsidRPr="00256DC9">
        <w:rPr>
          <w:rFonts w:ascii="Times New Roman" w:hAnsi="Times New Roman" w:cs="Times New Roman"/>
          <w:color w:val="000000" w:themeColor="text1"/>
          <w:sz w:val="28"/>
          <w:szCs w:val="28"/>
          <w:lang w:val="en-US" w:eastAsia="en-US"/>
        </w:rPr>
        <w:t>Colomo</w:t>
      </w:r>
      <w:proofErr w:type="spellEnd"/>
      <w:r w:rsidRPr="00256DC9">
        <w:rPr>
          <w:rFonts w:ascii="Times New Roman" w:hAnsi="Times New Roman" w:cs="Times New Roman"/>
          <w:color w:val="000000" w:themeColor="text1"/>
          <w:sz w:val="28"/>
          <w:szCs w:val="28"/>
          <w:lang w:val="en-US" w:eastAsia="en-US"/>
        </w:rPr>
        <w:t xml:space="preserve"> A., Bosch A., Concepcion M., Hernandez-</w:t>
      </w:r>
      <w:proofErr w:type="spellStart"/>
      <w:r w:rsidRPr="00256DC9">
        <w:rPr>
          <w:rFonts w:ascii="Times New Roman" w:hAnsi="Times New Roman" w:cs="Times New Roman"/>
          <w:color w:val="000000" w:themeColor="text1"/>
          <w:sz w:val="28"/>
          <w:szCs w:val="28"/>
          <w:lang w:val="en-US" w:eastAsia="en-US"/>
        </w:rPr>
        <w:t>Gea</w:t>
      </w:r>
      <w:proofErr w:type="spellEnd"/>
      <w:r w:rsidRPr="00256DC9">
        <w:rPr>
          <w:rFonts w:ascii="Times New Roman" w:hAnsi="Times New Roman" w:cs="Times New Roman"/>
          <w:color w:val="000000" w:themeColor="text1"/>
          <w:sz w:val="28"/>
          <w:szCs w:val="28"/>
          <w:lang w:val="en-US" w:eastAsia="en-US"/>
        </w:rPr>
        <w:t xml:space="preserve"> V., </w:t>
      </w:r>
      <w:proofErr w:type="spellStart"/>
      <w:r w:rsidRPr="00256DC9">
        <w:rPr>
          <w:rFonts w:ascii="Times New Roman" w:hAnsi="Times New Roman" w:cs="Times New Roman"/>
          <w:color w:val="000000" w:themeColor="text1"/>
          <w:sz w:val="28"/>
          <w:szCs w:val="28"/>
          <w:lang w:val="en-US" w:eastAsia="en-US"/>
        </w:rPr>
        <w:t>Aracil</w:t>
      </w:r>
      <w:proofErr w:type="spellEnd"/>
      <w:r w:rsidRPr="00256DC9">
        <w:rPr>
          <w:rFonts w:ascii="Times New Roman" w:hAnsi="Times New Roman" w:cs="Times New Roman"/>
          <w:color w:val="000000" w:themeColor="text1"/>
          <w:sz w:val="28"/>
          <w:szCs w:val="28"/>
          <w:lang w:val="en-US" w:eastAsia="en-US"/>
        </w:rPr>
        <w:t xml:space="preserve"> C., </w:t>
      </w:r>
      <w:proofErr w:type="spellStart"/>
      <w:r w:rsidRPr="00256DC9">
        <w:rPr>
          <w:rFonts w:ascii="Times New Roman" w:hAnsi="Times New Roman" w:cs="Times New Roman"/>
          <w:color w:val="000000" w:themeColor="text1"/>
          <w:sz w:val="28"/>
          <w:szCs w:val="28"/>
          <w:lang w:val="en-US" w:eastAsia="en-US"/>
        </w:rPr>
        <w:t>Graupera</w:t>
      </w:r>
      <w:proofErr w:type="spellEnd"/>
      <w:r w:rsidRPr="00256DC9">
        <w:rPr>
          <w:rFonts w:ascii="Times New Roman" w:hAnsi="Times New Roman" w:cs="Times New Roman"/>
          <w:color w:val="000000" w:themeColor="text1"/>
          <w:sz w:val="28"/>
          <w:szCs w:val="28"/>
          <w:lang w:val="en-US" w:eastAsia="en-US"/>
        </w:rPr>
        <w:t xml:space="preserve"> I., </w:t>
      </w:r>
      <w:proofErr w:type="spellStart"/>
      <w:r w:rsidRPr="00256DC9">
        <w:rPr>
          <w:rFonts w:ascii="Times New Roman" w:hAnsi="Times New Roman" w:cs="Times New Roman"/>
          <w:color w:val="000000" w:themeColor="text1"/>
          <w:sz w:val="28"/>
          <w:szCs w:val="28"/>
          <w:lang w:val="en-US" w:eastAsia="en-US"/>
        </w:rPr>
        <w:t>Poca</w:t>
      </w:r>
      <w:proofErr w:type="spellEnd"/>
      <w:r w:rsidRPr="00256DC9">
        <w:rPr>
          <w:rFonts w:ascii="Times New Roman" w:hAnsi="Times New Roman" w:cs="Times New Roman"/>
          <w:color w:val="000000" w:themeColor="text1"/>
          <w:sz w:val="28"/>
          <w:szCs w:val="28"/>
          <w:lang w:val="en-US" w:eastAsia="en-US"/>
        </w:rPr>
        <w:t xml:space="preserve"> M., Alvarez-</w:t>
      </w:r>
      <w:proofErr w:type="spellStart"/>
      <w:r w:rsidRPr="00256DC9">
        <w:rPr>
          <w:rFonts w:ascii="Times New Roman" w:hAnsi="Times New Roman" w:cs="Times New Roman"/>
          <w:color w:val="000000" w:themeColor="text1"/>
          <w:sz w:val="28"/>
          <w:szCs w:val="28"/>
          <w:lang w:val="en-US" w:eastAsia="en-US"/>
        </w:rPr>
        <w:t>Urturi</w:t>
      </w:r>
      <w:proofErr w:type="spellEnd"/>
      <w:r w:rsidRPr="00256DC9">
        <w:rPr>
          <w:rFonts w:ascii="Times New Roman" w:hAnsi="Times New Roman" w:cs="Times New Roman"/>
          <w:color w:val="000000" w:themeColor="text1"/>
          <w:sz w:val="28"/>
          <w:szCs w:val="28"/>
          <w:lang w:val="en-US" w:eastAsia="en-US"/>
        </w:rPr>
        <w:t xml:space="preserve"> C., Gordillo J., </w:t>
      </w:r>
      <w:proofErr w:type="spellStart"/>
      <w:r w:rsidRPr="00256DC9">
        <w:rPr>
          <w:rFonts w:ascii="Times New Roman" w:hAnsi="Times New Roman" w:cs="Times New Roman"/>
          <w:color w:val="000000" w:themeColor="text1"/>
          <w:sz w:val="28"/>
          <w:szCs w:val="28"/>
          <w:lang w:val="en-US" w:eastAsia="en-US"/>
        </w:rPr>
        <w:t>Guarner-Argente</w:t>
      </w:r>
      <w:proofErr w:type="spellEnd"/>
      <w:r w:rsidRPr="00256DC9">
        <w:rPr>
          <w:rFonts w:ascii="Times New Roman" w:hAnsi="Times New Roman" w:cs="Times New Roman"/>
          <w:color w:val="000000" w:themeColor="text1"/>
          <w:sz w:val="28"/>
          <w:szCs w:val="28"/>
          <w:lang w:val="en-US" w:eastAsia="en-US"/>
        </w:rPr>
        <w:t xml:space="preserve"> C., </w:t>
      </w:r>
      <w:proofErr w:type="spellStart"/>
      <w:r w:rsidRPr="00256DC9">
        <w:rPr>
          <w:rFonts w:ascii="Times New Roman" w:hAnsi="Times New Roman" w:cs="Times New Roman"/>
          <w:color w:val="000000" w:themeColor="text1"/>
          <w:sz w:val="28"/>
          <w:szCs w:val="28"/>
          <w:lang w:val="en-US" w:eastAsia="en-US"/>
        </w:rPr>
        <w:t>Santalo</w:t>
      </w:r>
      <w:proofErr w:type="spellEnd"/>
      <w:r w:rsidRPr="00256DC9">
        <w:rPr>
          <w:rFonts w:ascii="Times New Roman" w:hAnsi="Times New Roman" w:cs="Times New Roman"/>
          <w:color w:val="000000" w:themeColor="text1"/>
          <w:sz w:val="28"/>
          <w:szCs w:val="28"/>
          <w:lang w:val="en-US" w:eastAsia="en-US"/>
        </w:rPr>
        <w:t xml:space="preserve"> M., Muniz E., </w:t>
      </w:r>
      <w:proofErr w:type="spellStart"/>
      <w:r w:rsidRPr="00256DC9">
        <w:rPr>
          <w:rFonts w:ascii="Times New Roman" w:hAnsi="Times New Roman" w:cs="Times New Roman"/>
          <w:color w:val="000000" w:themeColor="text1"/>
          <w:sz w:val="28"/>
          <w:szCs w:val="28"/>
          <w:lang w:val="en-US" w:eastAsia="en-US"/>
        </w:rPr>
        <w:t>Guarner</w:t>
      </w:r>
      <w:proofErr w:type="spellEnd"/>
      <w:r w:rsidRPr="00256DC9">
        <w:rPr>
          <w:rFonts w:ascii="Times New Roman" w:hAnsi="Times New Roman" w:cs="Times New Roman"/>
          <w:color w:val="000000" w:themeColor="text1"/>
          <w:sz w:val="28"/>
          <w:szCs w:val="28"/>
          <w:lang w:val="en-US" w:eastAsia="en-US"/>
        </w:rPr>
        <w:t xml:space="preserve"> C. Transfusion Strategies for Acute Upper Gastrointestinal Bleeding. The New English Journal of Medicine. 2013; 368: 11–21.  (accessed 30.04.2020)</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 </w:t>
      </w:r>
      <w:proofErr w:type="spellStart"/>
      <w:r w:rsidRPr="00256DC9">
        <w:rPr>
          <w:rFonts w:ascii="Times New Roman" w:hAnsi="Times New Roman" w:cs="Times New Roman"/>
          <w:color w:val="000000" w:themeColor="text1"/>
          <w:sz w:val="28"/>
          <w:szCs w:val="28"/>
          <w:lang w:val="en-US" w:eastAsia="en-US"/>
        </w:rPr>
        <w:t>Maltz</w:t>
      </w:r>
      <w:proofErr w:type="spellEnd"/>
      <w:r w:rsidRPr="00256DC9">
        <w:rPr>
          <w:rFonts w:ascii="Times New Roman" w:hAnsi="Times New Roman" w:cs="Times New Roman"/>
          <w:color w:val="000000" w:themeColor="text1"/>
          <w:sz w:val="28"/>
          <w:szCs w:val="28"/>
          <w:lang w:val="en-US" w:eastAsia="en-US"/>
        </w:rPr>
        <w:t xml:space="preserve"> G. S., Siegel J. E., Carson J. L. Hematologic Management of Gastrointestinal Bleeding. Gastroenterol. Clin. North. Am. 2000; 29: 169–187.</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eastAsia="en-US"/>
        </w:rPr>
      </w:pPr>
      <w:r w:rsidRPr="00256DC9">
        <w:rPr>
          <w:rFonts w:ascii="Times New Roman" w:hAnsi="Times New Roman" w:cs="Times New Roman"/>
          <w:color w:val="000000" w:themeColor="text1"/>
          <w:sz w:val="28"/>
          <w:szCs w:val="28"/>
          <w:lang w:val="en-US" w:eastAsia="en-US"/>
        </w:rPr>
        <w:t xml:space="preserve">Yamaguchi S., Kojima Y., Kitamura J. Case in Which Massive </w:t>
      </w:r>
      <w:proofErr w:type="spellStart"/>
      <w:r w:rsidRPr="00256DC9">
        <w:rPr>
          <w:rFonts w:ascii="Times New Roman" w:hAnsi="Times New Roman" w:cs="Times New Roman"/>
          <w:color w:val="000000" w:themeColor="text1"/>
          <w:sz w:val="28"/>
          <w:szCs w:val="28"/>
          <w:lang w:val="en-US" w:eastAsia="en-US"/>
        </w:rPr>
        <w:t>Hydroxyethylated</w:t>
      </w:r>
      <w:proofErr w:type="spellEnd"/>
      <w:r w:rsidRPr="00256DC9">
        <w:rPr>
          <w:rFonts w:ascii="Times New Roman" w:hAnsi="Times New Roman" w:cs="Times New Roman"/>
          <w:color w:val="000000" w:themeColor="text1"/>
          <w:sz w:val="28"/>
          <w:szCs w:val="28"/>
          <w:lang w:val="en-US" w:eastAsia="en-US"/>
        </w:rPr>
        <w:t xml:space="preserve"> Starch (</w:t>
      </w:r>
      <w:proofErr w:type="spellStart"/>
      <w:r w:rsidRPr="00256DC9">
        <w:rPr>
          <w:rFonts w:ascii="Times New Roman" w:hAnsi="Times New Roman" w:cs="Times New Roman"/>
          <w:color w:val="000000" w:themeColor="text1"/>
          <w:sz w:val="28"/>
          <w:szCs w:val="28"/>
          <w:lang w:val="en-US" w:eastAsia="en-US"/>
        </w:rPr>
        <w:t>Hes</w:t>
      </w:r>
      <w:proofErr w:type="spellEnd"/>
      <w:r w:rsidRPr="00256DC9">
        <w:rPr>
          <w:rFonts w:ascii="Times New Roman" w:hAnsi="Times New Roman" w:cs="Times New Roman"/>
          <w:color w:val="000000" w:themeColor="text1"/>
          <w:sz w:val="28"/>
          <w:szCs w:val="28"/>
          <w:lang w:val="en-US" w:eastAsia="en-US"/>
        </w:rPr>
        <w:t>) Infusion Was Useful for Massive Hemorrhage in Spite of Progressive Hemodilution. Masui. 2012; 61 (2): 206–209.</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val="en-US" w:eastAsia="en-US"/>
        </w:rPr>
        <w:t xml:space="preserve"> </w:t>
      </w:r>
      <w:r w:rsidRPr="00256DC9">
        <w:rPr>
          <w:rFonts w:ascii="Times New Roman" w:hAnsi="Times New Roman" w:cs="Times New Roman"/>
          <w:color w:val="000000" w:themeColor="text1"/>
          <w:sz w:val="28"/>
          <w:szCs w:val="28"/>
          <w:shd w:val="clear" w:color="auto" w:fill="FFFFFF"/>
          <w:lang w:val="en-US"/>
        </w:rPr>
        <w:t>Adrian J. S., Laine L. Management of Acute Upper Gastrointestinal Bleeding. BMJ. 2019; 364:</w:t>
      </w:r>
      <w:r w:rsidRPr="00256DC9">
        <w:rPr>
          <w:rFonts w:ascii="Times New Roman" w:hAnsi="Times New Roman" w:cs="Times New Roman"/>
          <w:color w:val="000000" w:themeColor="text1"/>
          <w:sz w:val="28"/>
          <w:szCs w:val="28"/>
          <w:shd w:val="clear" w:color="auto" w:fill="FFFFFF"/>
        </w:rPr>
        <w:t xml:space="preserve"> 14-22.</w:t>
      </w:r>
    </w:p>
    <w:p w:rsidR="00E10624" w:rsidRPr="00256DC9" w:rsidRDefault="00E10624" w:rsidP="00256DC9">
      <w:pPr>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rPr>
      </w:pPr>
      <w:proofErr w:type="spellStart"/>
      <w:r w:rsidRPr="00256DC9">
        <w:rPr>
          <w:rFonts w:ascii="Times New Roman" w:hAnsi="Times New Roman" w:cs="Times New Roman"/>
          <w:color w:val="000000" w:themeColor="text1"/>
          <w:sz w:val="28"/>
          <w:szCs w:val="28"/>
          <w:lang w:val="en-US"/>
        </w:rPr>
        <w:t>Denicola</w:t>
      </w:r>
      <w:proofErr w:type="spellEnd"/>
      <w:r w:rsidRPr="00256DC9">
        <w:rPr>
          <w:rFonts w:ascii="Times New Roman" w:hAnsi="Times New Roman" w:cs="Times New Roman"/>
          <w:color w:val="000000" w:themeColor="text1"/>
          <w:sz w:val="28"/>
          <w:szCs w:val="28"/>
          <w:lang w:val="en-US"/>
        </w:rPr>
        <w:t xml:space="preserve"> R. P. et al. Acute Gastrointestinal Hemorrhage due to Epstein-Barr Virus Colitis. ACG Case Rep. J. 2019; 6</w:t>
      </w:r>
      <w:r w:rsidRPr="00256DC9">
        <w:rPr>
          <w:rFonts w:ascii="Times New Roman" w:hAnsi="Times New Roman" w:cs="Times New Roman"/>
          <w:b/>
          <w:color w:val="000000" w:themeColor="text1"/>
          <w:sz w:val="28"/>
          <w:szCs w:val="28"/>
          <w:lang w:val="en-US"/>
        </w:rPr>
        <w:t xml:space="preserve"> </w:t>
      </w:r>
      <w:r w:rsidRPr="00256DC9">
        <w:rPr>
          <w:rFonts w:ascii="Times New Roman" w:hAnsi="Times New Roman" w:cs="Times New Roman"/>
          <w:color w:val="000000" w:themeColor="text1"/>
          <w:sz w:val="28"/>
          <w:szCs w:val="28"/>
          <w:lang w:val="en-US"/>
        </w:rPr>
        <w:t>(10): e00238.</w:t>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rPr>
      </w:pPr>
      <w:r w:rsidRPr="00256DC9">
        <w:rPr>
          <w:rFonts w:ascii="Times New Roman" w:hAnsi="Times New Roman" w:cs="Times New Roman"/>
          <w:color w:val="000000" w:themeColor="text1"/>
          <w:sz w:val="28"/>
          <w:szCs w:val="28"/>
          <w:lang w:val="en-US"/>
        </w:rPr>
        <w:lastRenderedPageBreak/>
        <w:t xml:space="preserve">Fleming S. A., Keenan A. M. Intravenous blood pool activity masquerading as gastrointestinal hemorrhage. </w:t>
      </w:r>
      <w:proofErr w:type="spellStart"/>
      <w:r w:rsidRPr="00256DC9">
        <w:rPr>
          <w:rFonts w:ascii="Times New Roman" w:hAnsi="Times New Roman" w:cs="Times New Roman"/>
          <w:color w:val="000000" w:themeColor="text1"/>
          <w:sz w:val="28"/>
          <w:szCs w:val="28"/>
        </w:rPr>
        <w:t>World</w:t>
      </w:r>
      <w:proofErr w:type="spellEnd"/>
      <w:r w:rsidRPr="00256DC9">
        <w:rPr>
          <w:rFonts w:ascii="Times New Roman" w:hAnsi="Times New Roman" w:cs="Times New Roman"/>
          <w:color w:val="000000" w:themeColor="text1"/>
          <w:sz w:val="28"/>
          <w:szCs w:val="28"/>
        </w:rPr>
        <w:t xml:space="preserve"> J. </w:t>
      </w:r>
      <w:proofErr w:type="spellStart"/>
      <w:r w:rsidRPr="00256DC9">
        <w:rPr>
          <w:rFonts w:ascii="Times New Roman" w:hAnsi="Times New Roman" w:cs="Times New Roman"/>
          <w:color w:val="000000" w:themeColor="text1"/>
          <w:sz w:val="28"/>
          <w:szCs w:val="28"/>
        </w:rPr>
        <w:t>Nucl</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Med</w:t>
      </w:r>
      <w:proofErr w:type="spellEnd"/>
      <w:r w:rsidRPr="00256DC9">
        <w:rPr>
          <w:rFonts w:ascii="Times New Roman" w:hAnsi="Times New Roman" w:cs="Times New Roman"/>
          <w:color w:val="000000" w:themeColor="text1"/>
          <w:sz w:val="28"/>
          <w:szCs w:val="28"/>
        </w:rPr>
        <w:t>. 2020; 19 (1): 59–60.</w:t>
      </w:r>
      <w:r w:rsidRPr="00256DC9">
        <w:rPr>
          <w:rFonts w:ascii="Times New Roman" w:hAnsi="Times New Roman" w:cs="Times New Roman"/>
          <w:color w:val="000000" w:themeColor="text1"/>
          <w:sz w:val="28"/>
          <w:szCs w:val="28"/>
        </w:rPr>
        <w:tab/>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val="en-US"/>
        </w:rPr>
        <w:t xml:space="preserve">Gupta, A. et al. Weekend Effect in Patients </w:t>
      </w:r>
      <w:proofErr w:type="gramStart"/>
      <w:r w:rsidRPr="00256DC9">
        <w:rPr>
          <w:rFonts w:ascii="Times New Roman" w:hAnsi="Times New Roman" w:cs="Times New Roman"/>
          <w:color w:val="000000" w:themeColor="text1"/>
          <w:sz w:val="28"/>
          <w:szCs w:val="28"/>
          <w:lang w:val="en-US"/>
        </w:rPr>
        <w:t>With</w:t>
      </w:r>
      <w:proofErr w:type="gramEnd"/>
      <w:r w:rsidRPr="00256DC9">
        <w:rPr>
          <w:rFonts w:ascii="Times New Roman" w:hAnsi="Times New Roman" w:cs="Times New Roman"/>
          <w:color w:val="000000" w:themeColor="text1"/>
          <w:sz w:val="28"/>
          <w:szCs w:val="28"/>
          <w:lang w:val="en-US"/>
        </w:rPr>
        <w:t xml:space="preserve"> Upper Gastrointestinal Hemorrhage: A Systematic Review and Meta-analysis. </w:t>
      </w:r>
      <w:proofErr w:type="spellStart"/>
      <w:r w:rsidRPr="00256DC9">
        <w:rPr>
          <w:rFonts w:ascii="Times New Roman" w:hAnsi="Times New Roman" w:cs="Times New Roman"/>
          <w:color w:val="000000" w:themeColor="text1"/>
          <w:sz w:val="28"/>
          <w:szCs w:val="28"/>
        </w:rPr>
        <w:t>Am</w:t>
      </w:r>
      <w:proofErr w:type="spellEnd"/>
      <w:r w:rsidRPr="00256DC9">
        <w:rPr>
          <w:rFonts w:ascii="Times New Roman" w:hAnsi="Times New Roman" w:cs="Times New Roman"/>
          <w:color w:val="000000" w:themeColor="text1"/>
          <w:sz w:val="28"/>
          <w:szCs w:val="28"/>
        </w:rPr>
        <w:t xml:space="preserve">. J. </w:t>
      </w:r>
      <w:proofErr w:type="spellStart"/>
      <w:r w:rsidRPr="00256DC9">
        <w:rPr>
          <w:rFonts w:ascii="Times New Roman" w:hAnsi="Times New Roman" w:cs="Times New Roman"/>
          <w:color w:val="000000" w:themeColor="text1"/>
          <w:sz w:val="28"/>
          <w:szCs w:val="28"/>
        </w:rPr>
        <w:t>Gastroenterol</w:t>
      </w:r>
      <w:proofErr w:type="spellEnd"/>
      <w:r w:rsidRPr="00256DC9">
        <w:rPr>
          <w:rFonts w:ascii="Times New Roman" w:hAnsi="Times New Roman" w:cs="Times New Roman"/>
          <w:color w:val="000000" w:themeColor="text1"/>
          <w:sz w:val="28"/>
          <w:szCs w:val="28"/>
        </w:rPr>
        <w:t>.</w:t>
      </w:r>
      <w:r w:rsidRPr="00256DC9">
        <w:rPr>
          <w:rFonts w:ascii="Times New Roman" w:hAnsi="Times New Roman" w:cs="Times New Roman"/>
          <w:color w:val="000000" w:themeColor="text1"/>
          <w:sz w:val="28"/>
          <w:szCs w:val="28"/>
          <w:u w:val="single"/>
        </w:rPr>
        <w:t xml:space="preserve"> </w:t>
      </w:r>
      <w:r w:rsidRPr="00256DC9">
        <w:rPr>
          <w:rFonts w:ascii="Times New Roman" w:hAnsi="Times New Roman" w:cs="Times New Roman"/>
          <w:color w:val="000000" w:themeColor="text1"/>
          <w:sz w:val="28"/>
          <w:szCs w:val="28"/>
        </w:rPr>
        <w:t>2018; 113 (1): 13–21.</w:t>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proofErr w:type="spellStart"/>
      <w:r w:rsidRPr="00256DC9">
        <w:rPr>
          <w:rFonts w:ascii="Times New Roman" w:hAnsi="Times New Roman" w:cs="Times New Roman"/>
          <w:color w:val="000000" w:themeColor="text1"/>
          <w:sz w:val="28"/>
          <w:szCs w:val="28"/>
          <w:lang w:val="en-US"/>
        </w:rPr>
        <w:t>Karstensen</w:t>
      </w:r>
      <w:proofErr w:type="spellEnd"/>
      <w:r w:rsidRPr="00256DC9">
        <w:rPr>
          <w:rFonts w:ascii="Times New Roman" w:hAnsi="Times New Roman" w:cs="Times New Roman"/>
          <w:color w:val="000000" w:themeColor="text1"/>
          <w:sz w:val="28"/>
          <w:szCs w:val="28"/>
          <w:lang w:val="en-US"/>
        </w:rPr>
        <w:t xml:space="preserve"> J. G. et al. Nonvariceal upper gastrointestinal hemorrhage: European Society of Gastrointestinal Endoscopy (ESGE) Cascade Guideline. </w:t>
      </w:r>
      <w:proofErr w:type="spellStart"/>
      <w:r w:rsidRPr="00256DC9">
        <w:rPr>
          <w:rFonts w:ascii="Times New Roman" w:hAnsi="Times New Roman" w:cs="Times New Roman"/>
          <w:color w:val="000000" w:themeColor="text1"/>
          <w:sz w:val="28"/>
          <w:szCs w:val="28"/>
        </w:rPr>
        <w:t>Endosc</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Int</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Open</w:t>
      </w:r>
      <w:proofErr w:type="spellEnd"/>
      <w:r w:rsidRPr="00256DC9">
        <w:rPr>
          <w:rFonts w:ascii="Times New Roman" w:hAnsi="Times New Roman" w:cs="Times New Roman"/>
          <w:color w:val="000000" w:themeColor="text1"/>
          <w:sz w:val="28"/>
          <w:szCs w:val="28"/>
        </w:rPr>
        <w:t>.</w:t>
      </w:r>
      <w:r w:rsidRPr="00256DC9">
        <w:rPr>
          <w:rFonts w:ascii="Times New Roman" w:hAnsi="Times New Roman" w:cs="Times New Roman"/>
          <w:color w:val="000000" w:themeColor="text1"/>
          <w:sz w:val="28"/>
          <w:szCs w:val="28"/>
          <w:u w:val="single"/>
        </w:rPr>
        <w:t xml:space="preserve"> </w:t>
      </w:r>
      <w:r w:rsidRPr="00256DC9">
        <w:rPr>
          <w:rFonts w:ascii="Times New Roman" w:hAnsi="Times New Roman" w:cs="Times New Roman"/>
          <w:color w:val="000000" w:themeColor="text1"/>
          <w:sz w:val="28"/>
          <w:szCs w:val="28"/>
        </w:rPr>
        <w:t>2018; 6 (10): E1256–E1263.</w:t>
      </w:r>
      <w:r w:rsidRPr="00256DC9">
        <w:rPr>
          <w:rFonts w:ascii="Times New Roman" w:hAnsi="Times New Roman" w:cs="Times New Roman"/>
          <w:color w:val="000000" w:themeColor="text1"/>
          <w:sz w:val="28"/>
          <w:szCs w:val="28"/>
        </w:rPr>
        <w:tab/>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val="en-US"/>
        </w:rPr>
        <w:t xml:space="preserve">Li J. J. et al. Octreotide for Gastrointestinal Hemorrhage from Esophageal Varices. </w:t>
      </w:r>
      <w:proofErr w:type="spellStart"/>
      <w:r w:rsidRPr="00256DC9">
        <w:rPr>
          <w:rFonts w:ascii="Times New Roman" w:hAnsi="Times New Roman" w:cs="Times New Roman"/>
          <w:color w:val="000000" w:themeColor="text1"/>
          <w:sz w:val="28"/>
          <w:szCs w:val="28"/>
        </w:rPr>
        <w:t>Acad</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Emerg</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Med</w:t>
      </w:r>
      <w:proofErr w:type="spellEnd"/>
      <w:r w:rsidRPr="00256DC9">
        <w:rPr>
          <w:rFonts w:ascii="Times New Roman" w:hAnsi="Times New Roman" w:cs="Times New Roman"/>
          <w:color w:val="000000" w:themeColor="text1"/>
          <w:sz w:val="28"/>
          <w:szCs w:val="28"/>
        </w:rPr>
        <w:t>. 2020; 27 (4): 339–340.</w:t>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proofErr w:type="spellStart"/>
      <w:r w:rsidRPr="00256DC9">
        <w:rPr>
          <w:rFonts w:ascii="Times New Roman" w:hAnsi="Times New Roman" w:cs="Times New Roman"/>
          <w:color w:val="000000" w:themeColor="text1"/>
          <w:sz w:val="28"/>
          <w:szCs w:val="28"/>
          <w:lang w:val="en-US"/>
        </w:rPr>
        <w:t>Serur</w:t>
      </w:r>
      <w:proofErr w:type="spellEnd"/>
      <w:r w:rsidRPr="00256DC9">
        <w:rPr>
          <w:rFonts w:ascii="Times New Roman" w:hAnsi="Times New Roman" w:cs="Times New Roman"/>
          <w:color w:val="000000" w:themeColor="text1"/>
          <w:sz w:val="28"/>
          <w:szCs w:val="28"/>
          <w:lang w:val="en-US"/>
        </w:rPr>
        <w:t xml:space="preserve"> A., et al. Current Nonoperative Therapeutic Interventions for Lower Gastrointestinal Hemorrhage. Clin. </w:t>
      </w:r>
      <w:proofErr w:type="spellStart"/>
      <w:r w:rsidRPr="00256DC9">
        <w:rPr>
          <w:rFonts w:ascii="Times New Roman" w:hAnsi="Times New Roman" w:cs="Times New Roman"/>
          <w:color w:val="000000" w:themeColor="text1"/>
          <w:sz w:val="28"/>
          <w:szCs w:val="28"/>
        </w:rPr>
        <w:t>Colon</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Rectal</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Surg</w:t>
      </w:r>
      <w:proofErr w:type="spellEnd"/>
      <w:r w:rsidRPr="00256DC9">
        <w:rPr>
          <w:rFonts w:ascii="Times New Roman" w:hAnsi="Times New Roman" w:cs="Times New Roman"/>
          <w:color w:val="000000" w:themeColor="text1"/>
          <w:sz w:val="28"/>
          <w:szCs w:val="28"/>
        </w:rPr>
        <w:t>. 2020; 33 (1): 22–27.</w:t>
      </w:r>
      <w:r w:rsidRPr="00256DC9">
        <w:rPr>
          <w:rFonts w:ascii="Times New Roman" w:hAnsi="Times New Roman" w:cs="Times New Roman"/>
          <w:color w:val="000000" w:themeColor="text1"/>
          <w:sz w:val="28"/>
          <w:szCs w:val="28"/>
        </w:rPr>
        <w:tab/>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val="en-US"/>
        </w:rPr>
        <w:t xml:space="preserve">Siddiqui M. T. et al. Endoscopy Is Relatively Safe in Patients with Acute Ischemic Stroke and Gastrointestinal Hemorrhage. </w:t>
      </w:r>
      <w:proofErr w:type="spellStart"/>
      <w:r w:rsidRPr="00256DC9">
        <w:rPr>
          <w:rFonts w:ascii="Times New Roman" w:hAnsi="Times New Roman" w:cs="Times New Roman"/>
          <w:color w:val="000000" w:themeColor="text1"/>
          <w:sz w:val="28"/>
          <w:szCs w:val="28"/>
        </w:rPr>
        <w:t>Dig</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Dis</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Sci</w:t>
      </w:r>
      <w:proofErr w:type="spellEnd"/>
      <w:r w:rsidRPr="00256DC9">
        <w:rPr>
          <w:rFonts w:ascii="Times New Roman" w:hAnsi="Times New Roman" w:cs="Times New Roman"/>
          <w:color w:val="000000" w:themeColor="text1"/>
          <w:sz w:val="28"/>
          <w:szCs w:val="28"/>
        </w:rPr>
        <w:t>. 2019; 64 (6): 1588–1598.</w:t>
      </w:r>
      <w:r w:rsidRPr="00256DC9">
        <w:rPr>
          <w:rFonts w:ascii="Times New Roman" w:hAnsi="Times New Roman" w:cs="Times New Roman"/>
          <w:color w:val="000000" w:themeColor="text1"/>
          <w:sz w:val="28"/>
          <w:szCs w:val="28"/>
        </w:rPr>
        <w:tab/>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val="en-US"/>
        </w:rPr>
        <w:t xml:space="preserve">Wang N. et al. Risk factors of upper gastrointestinal hemorrhage with acute coronary syndrome. </w:t>
      </w:r>
      <w:proofErr w:type="spellStart"/>
      <w:r w:rsidRPr="00256DC9">
        <w:rPr>
          <w:rFonts w:ascii="Times New Roman" w:hAnsi="Times New Roman" w:cs="Times New Roman"/>
          <w:color w:val="000000" w:themeColor="text1"/>
          <w:sz w:val="28"/>
          <w:szCs w:val="28"/>
        </w:rPr>
        <w:t>Am</w:t>
      </w:r>
      <w:proofErr w:type="spellEnd"/>
      <w:r w:rsidRPr="00256DC9">
        <w:rPr>
          <w:rFonts w:ascii="Times New Roman" w:hAnsi="Times New Roman" w:cs="Times New Roman"/>
          <w:color w:val="000000" w:themeColor="text1"/>
          <w:sz w:val="28"/>
          <w:szCs w:val="28"/>
        </w:rPr>
        <w:t xml:space="preserve">. J. </w:t>
      </w:r>
      <w:proofErr w:type="spellStart"/>
      <w:r w:rsidRPr="00256DC9">
        <w:rPr>
          <w:rFonts w:ascii="Times New Roman" w:hAnsi="Times New Roman" w:cs="Times New Roman"/>
          <w:color w:val="000000" w:themeColor="text1"/>
          <w:sz w:val="28"/>
          <w:szCs w:val="28"/>
        </w:rPr>
        <w:t>Emerg</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Med</w:t>
      </w:r>
      <w:proofErr w:type="spellEnd"/>
      <w:r w:rsidRPr="00256DC9">
        <w:rPr>
          <w:rFonts w:ascii="Times New Roman" w:hAnsi="Times New Roman" w:cs="Times New Roman"/>
          <w:color w:val="000000" w:themeColor="text1"/>
          <w:sz w:val="28"/>
          <w:szCs w:val="28"/>
        </w:rPr>
        <w:t>. 2019; 37 (4): 615–619.</w:t>
      </w:r>
      <w:r w:rsidRPr="00256DC9">
        <w:rPr>
          <w:rFonts w:ascii="Times New Roman" w:hAnsi="Times New Roman" w:cs="Times New Roman"/>
          <w:color w:val="000000" w:themeColor="text1"/>
          <w:sz w:val="28"/>
          <w:szCs w:val="28"/>
        </w:rPr>
        <w:tab/>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proofErr w:type="spellStart"/>
      <w:r w:rsidRPr="00256DC9">
        <w:rPr>
          <w:rFonts w:ascii="Times New Roman" w:hAnsi="Times New Roman" w:cs="Times New Roman"/>
          <w:color w:val="000000" w:themeColor="text1"/>
          <w:sz w:val="28"/>
          <w:szCs w:val="28"/>
          <w:lang w:val="en-US"/>
        </w:rPr>
        <w:t>Wuerth</w:t>
      </w:r>
      <w:proofErr w:type="spellEnd"/>
      <w:r w:rsidRPr="00256DC9">
        <w:rPr>
          <w:rFonts w:ascii="Times New Roman" w:hAnsi="Times New Roman" w:cs="Times New Roman"/>
          <w:color w:val="000000" w:themeColor="text1"/>
          <w:sz w:val="28"/>
          <w:szCs w:val="28"/>
          <w:lang w:val="en-US"/>
        </w:rPr>
        <w:t xml:space="preserve"> B. A., </w:t>
      </w:r>
      <w:proofErr w:type="spellStart"/>
      <w:r w:rsidRPr="00256DC9">
        <w:rPr>
          <w:rFonts w:ascii="Times New Roman" w:hAnsi="Times New Roman" w:cs="Times New Roman"/>
          <w:color w:val="000000" w:themeColor="text1"/>
          <w:sz w:val="28"/>
          <w:szCs w:val="28"/>
          <w:lang w:val="en-US"/>
        </w:rPr>
        <w:t>Rockey</w:t>
      </w:r>
      <w:proofErr w:type="spellEnd"/>
      <w:r w:rsidRPr="00256DC9">
        <w:rPr>
          <w:rFonts w:ascii="Times New Roman" w:hAnsi="Times New Roman" w:cs="Times New Roman"/>
          <w:color w:val="000000" w:themeColor="text1"/>
          <w:sz w:val="28"/>
          <w:szCs w:val="28"/>
          <w:lang w:val="en-US"/>
        </w:rPr>
        <w:t xml:space="preserve"> D. C. Changing Epidemiology of Upper Gastrointestinal Hemorrhage in the Last Decade: A Nationwide Analysis. </w:t>
      </w:r>
      <w:proofErr w:type="spellStart"/>
      <w:r w:rsidRPr="00256DC9">
        <w:rPr>
          <w:rFonts w:ascii="Times New Roman" w:hAnsi="Times New Roman" w:cs="Times New Roman"/>
          <w:color w:val="000000" w:themeColor="text1"/>
          <w:sz w:val="28"/>
          <w:szCs w:val="28"/>
        </w:rPr>
        <w:t>Dig</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Dis</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Sci</w:t>
      </w:r>
      <w:proofErr w:type="spellEnd"/>
      <w:r w:rsidRPr="00256DC9">
        <w:rPr>
          <w:rFonts w:ascii="Times New Roman" w:hAnsi="Times New Roman" w:cs="Times New Roman"/>
          <w:color w:val="000000" w:themeColor="text1"/>
          <w:sz w:val="28"/>
          <w:szCs w:val="28"/>
        </w:rPr>
        <w:t>. 2018; 63 (5): 1286–1293.</w:t>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r w:rsidRPr="00256DC9">
        <w:rPr>
          <w:rFonts w:ascii="Times New Roman" w:hAnsi="Times New Roman" w:cs="Times New Roman"/>
          <w:color w:val="000000" w:themeColor="text1"/>
          <w:sz w:val="28"/>
          <w:szCs w:val="28"/>
          <w:lang w:val="en-US"/>
        </w:rPr>
        <w:t xml:space="preserve">Xia X. F. et al. The effect of off-hours hospital admission on mortality and clinical outcomes for patients with upper gastrointestinal hemorrhage: A systematic review and meta-analysis of 20 cohorts. </w:t>
      </w:r>
      <w:proofErr w:type="spellStart"/>
      <w:r w:rsidRPr="00256DC9">
        <w:rPr>
          <w:rFonts w:ascii="Times New Roman" w:hAnsi="Times New Roman" w:cs="Times New Roman"/>
          <w:color w:val="000000" w:themeColor="text1"/>
          <w:sz w:val="28"/>
          <w:szCs w:val="28"/>
        </w:rPr>
        <w:t>United</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European</w:t>
      </w:r>
      <w:proofErr w:type="spellEnd"/>
      <w:r w:rsidRPr="00256DC9">
        <w:rPr>
          <w:rFonts w:ascii="Times New Roman" w:hAnsi="Times New Roman" w:cs="Times New Roman"/>
          <w:color w:val="000000" w:themeColor="text1"/>
          <w:sz w:val="28"/>
          <w:szCs w:val="28"/>
        </w:rPr>
        <w:t xml:space="preserve"> </w:t>
      </w:r>
      <w:proofErr w:type="spellStart"/>
      <w:r w:rsidRPr="00256DC9">
        <w:rPr>
          <w:rFonts w:ascii="Times New Roman" w:hAnsi="Times New Roman" w:cs="Times New Roman"/>
          <w:color w:val="000000" w:themeColor="text1"/>
          <w:sz w:val="28"/>
          <w:szCs w:val="28"/>
        </w:rPr>
        <w:t>Gastroenterol</w:t>
      </w:r>
      <w:proofErr w:type="spellEnd"/>
      <w:r w:rsidRPr="00256DC9">
        <w:rPr>
          <w:rFonts w:ascii="Times New Roman" w:hAnsi="Times New Roman" w:cs="Times New Roman"/>
          <w:color w:val="000000" w:themeColor="text1"/>
          <w:sz w:val="28"/>
          <w:szCs w:val="28"/>
        </w:rPr>
        <w:t xml:space="preserve"> J. 2018; 6 (3): 367–381.</w:t>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rPr>
      </w:pPr>
      <w:proofErr w:type="spellStart"/>
      <w:r w:rsidRPr="00256DC9">
        <w:rPr>
          <w:rFonts w:ascii="Times New Roman" w:hAnsi="Times New Roman" w:cs="Times New Roman"/>
          <w:color w:val="000000" w:themeColor="text1"/>
          <w:sz w:val="28"/>
          <w:szCs w:val="28"/>
        </w:rPr>
        <w:lastRenderedPageBreak/>
        <w:t>Аксельрод</w:t>
      </w:r>
      <w:proofErr w:type="spellEnd"/>
      <w:r w:rsidRPr="00256DC9">
        <w:rPr>
          <w:rFonts w:ascii="Times New Roman" w:hAnsi="Times New Roman" w:cs="Times New Roman"/>
          <w:color w:val="000000" w:themeColor="text1"/>
          <w:sz w:val="28"/>
          <w:szCs w:val="28"/>
        </w:rPr>
        <w:t xml:space="preserve"> Б. А., Балашова Е. Н., </w:t>
      </w:r>
      <w:proofErr w:type="spellStart"/>
      <w:r w:rsidRPr="00256DC9">
        <w:rPr>
          <w:rFonts w:ascii="Times New Roman" w:hAnsi="Times New Roman" w:cs="Times New Roman"/>
          <w:color w:val="000000" w:themeColor="text1"/>
          <w:sz w:val="28"/>
          <w:szCs w:val="28"/>
        </w:rPr>
        <w:t>Баутин</w:t>
      </w:r>
      <w:proofErr w:type="spellEnd"/>
      <w:r w:rsidRPr="00256DC9">
        <w:rPr>
          <w:rFonts w:ascii="Times New Roman" w:hAnsi="Times New Roman" w:cs="Times New Roman"/>
          <w:color w:val="000000" w:themeColor="text1"/>
          <w:sz w:val="28"/>
          <w:szCs w:val="28"/>
        </w:rPr>
        <w:t xml:space="preserve"> А. Е. и др. Клиническое использование </w:t>
      </w:r>
      <w:proofErr w:type="spellStart"/>
      <w:r w:rsidRPr="00256DC9">
        <w:rPr>
          <w:rFonts w:ascii="Times New Roman" w:hAnsi="Times New Roman" w:cs="Times New Roman"/>
          <w:color w:val="000000" w:themeColor="text1"/>
          <w:sz w:val="28"/>
          <w:szCs w:val="28"/>
        </w:rPr>
        <w:t>эритроцитсодержащих</w:t>
      </w:r>
      <w:proofErr w:type="spellEnd"/>
      <w:r w:rsidRPr="00256DC9">
        <w:rPr>
          <w:rFonts w:ascii="Times New Roman" w:hAnsi="Times New Roman" w:cs="Times New Roman"/>
          <w:color w:val="000000" w:themeColor="text1"/>
          <w:sz w:val="28"/>
          <w:szCs w:val="28"/>
        </w:rPr>
        <w:t xml:space="preserve"> компонентов донорской крови. Гематология и трансфузиология. 2018. 372–475. DOI 10.25837/HAT.2019.62.39.006</w:t>
      </w:r>
    </w:p>
    <w:p w:rsidR="00E10624" w:rsidRPr="00256DC9" w:rsidRDefault="00E10624" w:rsidP="00256DC9">
      <w:pPr>
        <w:pStyle w:val="EndNoteBibliography0"/>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rPr>
      </w:pPr>
      <w:r w:rsidRPr="00256DC9">
        <w:rPr>
          <w:rFonts w:ascii="Times New Roman" w:hAnsi="Times New Roman" w:cs="Times New Roman"/>
          <w:color w:val="000000" w:themeColor="text1"/>
          <w:sz w:val="28"/>
          <w:szCs w:val="28"/>
          <w:lang w:val="en-US"/>
        </w:rPr>
        <w:t xml:space="preserve"> Joy L., ed. A Compendium of Transfusion Practice Guidelines. Third Edition. American National Red Cross. </w:t>
      </w:r>
      <w:r w:rsidRPr="00256DC9">
        <w:rPr>
          <w:rFonts w:ascii="Times New Roman" w:hAnsi="Times New Roman" w:cs="Times New Roman"/>
          <w:color w:val="000000" w:themeColor="text1"/>
          <w:sz w:val="28"/>
          <w:szCs w:val="28"/>
        </w:rPr>
        <w:t>2017. 157.</w:t>
      </w:r>
    </w:p>
    <w:p w:rsidR="00E10624" w:rsidRPr="00256DC9" w:rsidRDefault="00E10624" w:rsidP="00256DC9">
      <w:pPr>
        <w:pStyle w:val="aa"/>
        <w:numPr>
          <w:ilvl w:val="0"/>
          <w:numId w:val="14"/>
        </w:numPr>
        <w:tabs>
          <w:tab w:val="clear" w:pos="720"/>
          <w:tab w:val="num" w:pos="851"/>
        </w:tabs>
        <w:spacing w:line="360" w:lineRule="auto"/>
        <w:ind w:left="284"/>
        <w:jc w:val="both"/>
        <w:rPr>
          <w:rFonts w:ascii="Times New Roman" w:hAnsi="Times New Roman" w:cs="Times New Roman"/>
          <w:color w:val="000000" w:themeColor="text1"/>
          <w:sz w:val="28"/>
          <w:szCs w:val="28"/>
          <w:lang w:val="en-US"/>
        </w:rPr>
      </w:pPr>
      <w:r w:rsidRPr="00256DC9">
        <w:rPr>
          <w:rFonts w:ascii="Times New Roman" w:hAnsi="Times New Roman" w:cs="Times New Roman"/>
          <w:color w:val="000000" w:themeColor="text1"/>
          <w:sz w:val="28"/>
          <w:szCs w:val="28"/>
          <w:lang w:val="en-US"/>
        </w:rPr>
        <w:t>Clinical Transfusion Practice. Guidelines for Medical Interns. World Health Organization. 2002. 42.</w:t>
      </w:r>
    </w:p>
    <w:p w:rsidR="00E10624" w:rsidRPr="00256DC9" w:rsidRDefault="00E10624" w:rsidP="00256DC9">
      <w:pPr>
        <w:pStyle w:val="EndNoteBibliography0"/>
        <w:spacing w:line="360" w:lineRule="auto"/>
        <w:ind w:left="720"/>
        <w:jc w:val="both"/>
        <w:rPr>
          <w:rFonts w:ascii="Times New Roman" w:hAnsi="Times New Roman" w:cs="Times New Roman"/>
          <w:sz w:val="28"/>
          <w:szCs w:val="28"/>
          <w:lang w:val="en-US"/>
        </w:rPr>
      </w:pPr>
    </w:p>
    <w:p w:rsidR="00E10624" w:rsidRPr="00256DC9" w:rsidRDefault="00E10624" w:rsidP="00256DC9">
      <w:pPr>
        <w:spacing w:line="360" w:lineRule="auto"/>
        <w:rPr>
          <w:rFonts w:ascii="Times New Roman" w:hAnsi="Times New Roman" w:cs="Times New Roman"/>
          <w:sz w:val="28"/>
          <w:szCs w:val="28"/>
        </w:rPr>
      </w:pPr>
    </w:p>
    <w:p w:rsidR="00845F41" w:rsidRPr="00256DC9" w:rsidRDefault="00845F41" w:rsidP="00256DC9">
      <w:pPr>
        <w:spacing w:line="360" w:lineRule="auto"/>
        <w:jc w:val="center"/>
        <w:rPr>
          <w:rFonts w:ascii="Times New Roman" w:hAnsi="Times New Roman" w:cs="Times New Roman"/>
          <w:sz w:val="28"/>
          <w:szCs w:val="28"/>
          <w:lang w:eastAsia="en-US"/>
        </w:rPr>
      </w:pPr>
    </w:p>
    <w:sectPr w:rsidR="00845F41" w:rsidRPr="00256DC9" w:rsidSect="000A79D1">
      <w:footerReference w:type="default" r:id="rId13"/>
      <w:pgSz w:w="11906" w:h="16838"/>
      <w:pgMar w:top="1134" w:right="850" w:bottom="1134" w:left="1701" w:header="0" w:footer="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1F0" w:rsidRDefault="001F31F0" w:rsidP="000A79D1">
      <w:pPr>
        <w:spacing w:after="0" w:line="240" w:lineRule="auto"/>
      </w:pPr>
      <w:r>
        <w:separator/>
      </w:r>
    </w:p>
  </w:endnote>
  <w:endnote w:type="continuationSeparator" w:id="0">
    <w:p w:rsidR="001F31F0" w:rsidRDefault="001F31F0" w:rsidP="000A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Cambria"/>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80289"/>
      <w:docPartObj>
        <w:docPartGallery w:val="Page Numbers (Bottom of Page)"/>
        <w:docPartUnique/>
      </w:docPartObj>
    </w:sdtPr>
    <w:sdtEndPr/>
    <w:sdtContent>
      <w:p w:rsidR="00F111C5" w:rsidRDefault="00F111C5">
        <w:pPr>
          <w:pStyle w:val="af0"/>
          <w:jc w:val="right"/>
        </w:pPr>
        <w:r>
          <w:fldChar w:fldCharType="begin"/>
        </w:r>
        <w:r>
          <w:instrText>PAGE   \* MERGEFORMAT</w:instrText>
        </w:r>
        <w:r>
          <w:fldChar w:fldCharType="separate"/>
        </w:r>
        <w:r>
          <w:t>2</w:t>
        </w:r>
        <w:r>
          <w:fldChar w:fldCharType="end"/>
        </w:r>
      </w:p>
    </w:sdtContent>
  </w:sdt>
  <w:p w:rsidR="00F111C5" w:rsidRDefault="00F111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1F0" w:rsidRDefault="001F31F0" w:rsidP="000A79D1">
      <w:pPr>
        <w:spacing w:after="0" w:line="240" w:lineRule="auto"/>
      </w:pPr>
      <w:r>
        <w:separator/>
      </w:r>
    </w:p>
  </w:footnote>
  <w:footnote w:type="continuationSeparator" w:id="0">
    <w:p w:rsidR="001F31F0" w:rsidRDefault="001F31F0" w:rsidP="000A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737"/>
    <w:multiLevelType w:val="multilevel"/>
    <w:tmpl w:val="15AA87BE"/>
    <w:lvl w:ilvl="0">
      <w:start w:val="1"/>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062DE"/>
    <w:multiLevelType w:val="hybridMultilevel"/>
    <w:tmpl w:val="6E66D24E"/>
    <w:lvl w:ilvl="0" w:tplc="CE4E1E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A972AC"/>
    <w:multiLevelType w:val="multilevel"/>
    <w:tmpl w:val="F0EC3B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B03A91"/>
    <w:multiLevelType w:val="hybridMultilevel"/>
    <w:tmpl w:val="0386850A"/>
    <w:lvl w:ilvl="0" w:tplc="189A3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2A6B56"/>
    <w:multiLevelType w:val="multilevel"/>
    <w:tmpl w:val="FCA62C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23A6392"/>
    <w:multiLevelType w:val="multilevel"/>
    <w:tmpl w:val="5EC897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6E7CFF"/>
    <w:multiLevelType w:val="multilevel"/>
    <w:tmpl w:val="15D26B8E"/>
    <w:lvl w:ilvl="0">
      <w:start w:val="1"/>
      <w:numFmt w:val="decimal"/>
      <w:lvlText w:val="%1"/>
      <w:lvlJc w:val="left"/>
      <w:pPr>
        <w:ind w:left="360" w:hanging="360"/>
      </w:pPr>
      <w:rPr>
        <w:rFonts w:hint="default"/>
      </w:rPr>
    </w:lvl>
    <w:lvl w:ilvl="1">
      <w:start w:val="2"/>
      <w:numFmt w:val="decimal"/>
      <w:lvlText w:val="%1.%2"/>
      <w:lvlJc w:val="left"/>
      <w:pPr>
        <w:ind w:left="1453" w:hanging="360"/>
      </w:pPr>
      <w:rPr>
        <w:rFonts w:hint="default"/>
      </w:rPr>
    </w:lvl>
    <w:lvl w:ilvl="2">
      <w:start w:val="1"/>
      <w:numFmt w:val="decimal"/>
      <w:lvlText w:val="%1.%2.%3"/>
      <w:lvlJc w:val="left"/>
      <w:pPr>
        <w:ind w:left="2906" w:hanging="720"/>
      </w:pPr>
      <w:rPr>
        <w:rFonts w:hint="default"/>
      </w:rPr>
    </w:lvl>
    <w:lvl w:ilvl="3">
      <w:start w:val="1"/>
      <w:numFmt w:val="decimal"/>
      <w:lvlText w:val="%1.%2.%3.%4"/>
      <w:lvlJc w:val="left"/>
      <w:pPr>
        <w:ind w:left="4359" w:hanging="1080"/>
      </w:pPr>
      <w:rPr>
        <w:rFonts w:hint="default"/>
      </w:rPr>
    </w:lvl>
    <w:lvl w:ilvl="4">
      <w:start w:val="1"/>
      <w:numFmt w:val="decimal"/>
      <w:lvlText w:val="%1.%2.%3.%4.%5"/>
      <w:lvlJc w:val="left"/>
      <w:pPr>
        <w:ind w:left="5452" w:hanging="1080"/>
      </w:pPr>
      <w:rPr>
        <w:rFonts w:hint="default"/>
      </w:rPr>
    </w:lvl>
    <w:lvl w:ilvl="5">
      <w:start w:val="1"/>
      <w:numFmt w:val="decimal"/>
      <w:lvlText w:val="%1.%2.%3.%4.%5.%6"/>
      <w:lvlJc w:val="left"/>
      <w:pPr>
        <w:ind w:left="6905" w:hanging="1440"/>
      </w:pPr>
      <w:rPr>
        <w:rFonts w:hint="default"/>
      </w:rPr>
    </w:lvl>
    <w:lvl w:ilvl="6">
      <w:start w:val="1"/>
      <w:numFmt w:val="decimal"/>
      <w:lvlText w:val="%1.%2.%3.%4.%5.%6.%7"/>
      <w:lvlJc w:val="left"/>
      <w:pPr>
        <w:ind w:left="7998" w:hanging="1440"/>
      </w:pPr>
      <w:rPr>
        <w:rFonts w:hint="default"/>
      </w:rPr>
    </w:lvl>
    <w:lvl w:ilvl="7">
      <w:start w:val="1"/>
      <w:numFmt w:val="decimal"/>
      <w:lvlText w:val="%1.%2.%3.%4.%5.%6.%7.%8"/>
      <w:lvlJc w:val="left"/>
      <w:pPr>
        <w:ind w:left="9451" w:hanging="1800"/>
      </w:pPr>
      <w:rPr>
        <w:rFonts w:hint="default"/>
      </w:rPr>
    </w:lvl>
    <w:lvl w:ilvl="8">
      <w:start w:val="1"/>
      <w:numFmt w:val="decimal"/>
      <w:lvlText w:val="%1.%2.%3.%4.%5.%6.%7.%8.%9"/>
      <w:lvlJc w:val="left"/>
      <w:pPr>
        <w:ind w:left="10904" w:hanging="2160"/>
      </w:pPr>
      <w:rPr>
        <w:rFonts w:hint="default"/>
      </w:rPr>
    </w:lvl>
  </w:abstractNum>
  <w:abstractNum w:abstractNumId="7" w15:restartNumberingAfterBreak="0">
    <w:nsid w:val="4B1B1392"/>
    <w:multiLevelType w:val="multilevel"/>
    <w:tmpl w:val="E8106A6C"/>
    <w:lvl w:ilvl="0">
      <w:start w:val="1"/>
      <w:numFmt w:val="decimal"/>
      <w:lvlText w:val="%1"/>
      <w:lvlJc w:val="left"/>
      <w:pPr>
        <w:ind w:left="360" w:hanging="360"/>
      </w:pPr>
    </w:lvl>
    <w:lvl w:ilvl="1">
      <w:start w:val="2"/>
      <w:numFmt w:val="decimal"/>
      <w:lvlText w:val="%1.%2"/>
      <w:lvlJc w:val="left"/>
      <w:pPr>
        <w:ind w:left="1453" w:hanging="360"/>
      </w:pPr>
    </w:lvl>
    <w:lvl w:ilvl="2">
      <w:start w:val="1"/>
      <w:numFmt w:val="decimal"/>
      <w:lvlText w:val="%1.%2.%3"/>
      <w:lvlJc w:val="left"/>
      <w:pPr>
        <w:ind w:left="2906" w:hanging="720"/>
      </w:pPr>
    </w:lvl>
    <w:lvl w:ilvl="3">
      <w:start w:val="1"/>
      <w:numFmt w:val="decimal"/>
      <w:lvlText w:val="%1.%2.%3.%4"/>
      <w:lvlJc w:val="left"/>
      <w:pPr>
        <w:ind w:left="4359" w:hanging="1080"/>
      </w:pPr>
    </w:lvl>
    <w:lvl w:ilvl="4">
      <w:start w:val="1"/>
      <w:numFmt w:val="decimal"/>
      <w:lvlText w:val="%1.%2.%3.%4.%5"/>
      <w:lvlJc w:val="left"/>
      <w:pPr>
        <w:ind w:left="5452" w:hanging="1080"/>
      </w:pPr>
    </w:lvl>
    <w:lvl w:ilvl="5">
      <w:start w:val="1"/>
      <w:numFmt w:val="decimal"/>
      <w:lvlText w:val="%1.%2.%3.%4.%5.%6"/>
      <w:lvlJc w:val="left"/>
      <w:pPr>
        <w:ind w:left="6905" w:hanging="1440"/>
      </w:pPr>
    </w:lvl>
    <w:lvl w:ilvl="6">
      <w:start w:val="1"/>
      <w:numFmt w:val="decimal"/>
      <w:lvlText w:val="%1.%2.%3.%4.%5.%6.%7"/>
      <w:lvlJc w:val="left"/>
      <w:pPr>
        <w:ind w:left="7998" w:hanging="1440"/>
      </w:pPr>
    </w:lvl>
    <w:lvl w:ilvl="7">
      <w:start w:val="1"/>
      <w:numFmt w:val="decimal"/>
      <w:lvlText w:val="%1.%2.%3.%4.%5.%6.%7.%8"/>
      <w:lvlJc w:val="left"/>
      <w:pPr>
        <w:ind w:left="9451" w:hanging="1800"/>
      </w:pPr>
    </w:lvl>
    <w:lvl w:ilvl="8">
      <w:start w:val="1"/>
      <w:numFmt w:val="decimal"/>
      <w:lvlText w:val="%1.%2.%3.%4.%5.%6.%7.%8.%9"/>
      <w:lvlJc w:val="left"/>
      <w:pPr>
        <w:ind w:left="10904" w:hanging="2160"/>
      </w:pPr>
    </w:lvl>
  </w:abstractNum>
  <w:abstractNum w:abstractNumId="8" w15:restartNumberingAfterBreak="0">
    <w:nsid w:val="4BC45B2E"/>
    <w:multiLevelType w:val="hybridMultilevel"/>
    <w:tmpl w:val="5ED8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956E0F"/>
    <w:multiLevelType w:val="hybridMultilevel"/>
    <w:tmpl w:val="6E66D24E"/>
    <w:lvl w:ilvl="0" w:tplc="CE4E1E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4D067D5"/>
    <w:multiLevelType w:val="hybridMultilevel"/>
    <w:tmpl w:val="195C2688"/>
    <w:lvl w:ilvl="0" w:tplc="81D8C9C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42147B"/>
    <w:multiLevelType w:val="multilevel"/>
    <w:tmpl w:val="C570DC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A665009"/>
    <w:multiLevelType w:val="hybridMultilevel"/>
    <w:tmpl w:val="7C52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486287"/>
    <w:multiLevelType w:val="multilevel"/>
    <w:tmpl w:val="637868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50D4F31"/>
    <w:multiLevelType w:val="hybridMultilevel"/>
    <w:tmpl w:val="2C808E7A"/>
    <w:lvl w:ilvl="0" w:tplc="604A8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7250C70"/>
    <w:multiLevelType w:val="hybridMultilevel"/>
    <w:tmpl w:val="0D5A7F54"/>
    <w:lvl w:ilvl="0" w:tplc="3E001AF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0"/>
  </w:num>
  <w:num w:numId="5">
    <w:abstractNumId w:val="6"/>
  </w:num>
  <w:num w:numId="6">
    <w:abstractNumId w:val="3"/>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4"/>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0E"/>
    <w:rsid w:val="0004358A"/>
    <w:rsid w:val="0004380E"/>
    <w:rsid w:val="00086C0D"/>
    <w:rsid w:val="000A79D1"/>
    <w:rsid w:val="000B6EE3"/>
    <w:rsid w:val="000D1DF7"/>
    <w:rsid w:val="000E211B"/>
    <w:rsid w:val="00110159"/>
    <w:rsid w:val="001130EF"/>
    <w:rsid w:val="0012786F"/>
    <w:rsid w:val="00127F60"/>
    <w:rsid w:val="001A0DFD"/>
    <w:rsid w:val="001A5724"/>
    <w:rsid w:val="001C1407"/>
    <w:rsid w:val="001C6050"/>
    <w:rsid w:val="001F31F0"/>
    <w:rsid w:val="00256DC9"/>
    <w:rsid w:val="002D7A2F"/>
    <w:rsid w:val="00301715"/>
    <w:rsid w:val="003137B4"/>
    <w:rsid w:val="00323E47"/>
    <w:rsid w:val="00357AB5"/>
    <w:rsid w:val="00372910"/>
    <w:rsid w:val="0039312E"/>
    <w:rsid w:val="003A6111"/>
    <w:rsid w:val="00402B07"/>
    <w:rsid w:val="00411B04"/>
    <w:rsid w:val="0043650C"/>
    <w:rsid w:val="004431B3"/>
    <w:rsid w:val="0047330A"/>
    <w:rsid w:val="005A287F"/>
    <w:rsid w:val="005A42B1"/>
    <w:rsid w:val="005A7B73"/>
    <w:rsid w:val="005E5CD0"/>
    <w:rsid w:val="00633D76"/>
    <w:rsid w:val="006D1855"/>
    <w:rsid w:val="006D4B0D"/>
    <w:rsid w:val="0070422C"/>
    <w:rsid w:val="00746966"/>
    <w:rsid w:val="00772AEC"/>
    <w:rsid w:val="007930B3"/>
    <w:rsid w:val="007B4403"/>
    <w:rsid w:val="008423B0"/>
    <w:rsid w:val="00845F41"/>
    <w:rsid w:val="008602A6"/>
    <w:rsid w:val="0086211D"/>
    <w:rsid w:val="0086501F"/>
    <w:rsid w:val="00877F3D"/>
    <w:rsid w:val="008E4405"/>
    <w:rsid w:val="008F6EDD"/>
    <w:rsid w:val="009141C4"/>
    <w:rsid w:val="0095047A"/>
    <w:rsid w:val="009D2CB1"/>
    <w:rsid w:val="009E1669"/>
    <w:rsid w:val="009F1BA8"/>
    <w:rsid w:val="00A82A9E"/>
    <w:rsid w:val="00A8781C"/>
    <w:rsid w:val="00A95A73"/>
    <w:rsid w:val="00AD0A19"/>
    <w:rsid w:val="00B14797"/>
    <w:rsid w:val="00B17576"/>
    <w:rsid w:val="00B44AAE"/>
    <w:rsid w:val="00B66848"/>
    <w:rsid w:val="00BA3B0E"/>
    <w:rsid w:val="00BA3C76"/>
    <w:rsid w:val="00BC6B8D"/>
    <w:rsid w:val="00BF42E3"/>
    <w:rsid w:val="00C252AB"/>
    <w:rsid w:val="00D07F54"/>
    <w:rsid w:val="00DE4FD9"/>
    <w:rsid w:val="00DF157C"/>
    <w:rsid w:val="00E10624"/>
    <w:rsid w:val="00E275A0"/>
    <w:rsid w:val="00E324E8"/>
    <w:rsid w:val="00E475B6"/>
    <w:rsid w:val="00E97016"/>
    <w:rsid w:val="00ED64BB"/>
    <w:rsid w:val="00F111C5"/>
    <w:rsid w:val="00F2338A"/>
    <w:rsid w:val="00F46D82"/>
    <w:rsid w:val="00F72D1C"/>
    <w:rsid w:val="00F95465"/>
    <w:rsid w:val="00FB0E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E4202-0465-4B04-AC44-B0CCDD38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paragraph" w:styleId="1">
    <w:name w:val="heading 1"/>
    <w:basedOn w:val="a"/>
    <w:next w:val="a"/>
    <w:qFormat/>
    <w:pPr>
      <w:widowControl w:val="0"/>
      <w:spacing w:after="0" w:line="240" w:lineRule="auto"/>
      <w:ind w:left="113"/>
      <w:outlineLvl w:val="0"/>
    </w:pPr>
    <w:rPr>
      <w:b/>
      <w:sz w:val="24"/>
      <w:szCs w:val="24"/>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Title">
    <w:name w:val="EndNote Bibliography Title Знак"/>
    <w:basedOn w:val="a0"/>
    <w:link w:val="EndNoteBibliographyTitle"/>
    <w:qFormat/>
    <w:rsid w:val="00AF140B"/>
  </w:style>
  <w:style w:type="character" w:customStyle="1" w:styleId="EndNoteBibliography">
    <w:name w:val="EndNote Bibliography Знак"/>
    <w:basedOn w:val="a0"/>
    <w:link w:val="EndNoteBibliography"/>
    <w:qFormat/>
    <w:rsid w:val="00AF140B"/>
  </w:style>
  <w:style w:type="character" w:customStyle="1" w:styleId="-">
    <w:name w:val="Интернет-ссылка"/>
    <w:basedOn w:val="a0"/>
    <w:uiPriority w:val="99"/>
    <w:unhideWhenUsed/>
    <w:rsid w:val="00AF140B"/>
    <w:rPr>
      <w:color w:val="0000FF" w:themeColor="hyperlink"/>
      <w:u w:val="single"/>
    </w:rPr>
  </w:style>
  <w:style w:type="character" w:customStyle="1" w:styleId="a3">
    <w:name w:val="Текст выноски Знак"/>
    <w:basedOn w:val="a0"/>
    <w:uiPriority w:val="99"/>
    <w:semiHidden/>
    <w:qFormat/>
    <w:rsid w:val="002F797F"/>
    <w:rPr>
      <w:rFonts w:ascii="Tahoma" w:hAnsi="Tahoma" w:cs="Tahoma"/>
      <w:sz w:val="16"/>
      <w:szCs w:val="16"/>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ascii="Times New Roman" w:eastAsia="Times New Roman" w:hAnsi="Times New Roman" w:cs="Times New Roman"/>
      <w:lang w:val="en-US"/>
    </w:rPr>
  </w:style>
  <w:style w:type="paragraph" w:styleId="a4">
    <w:name w:val="Title"/>
    <w:basedOn w:val="a"/>
    <w:next w:val="a5"/>
    <w:qFormat/>
    <w:pPr>
      <w:keepNext/>
      <w:keepLines/>
      <w:spacing w:before="480" w:after="120"/>
    </w:pPr>
    <w:rPr>
      <w:b/>
      <w:sz w:val="72"/>
      <w:szCs w:val="72"/>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EndNoteBibliographyTitle0">
    <w:name w:val="EndNote Bibliography Title"/>
    <w:basedOn w:val="a"/>
    <w:qFormat/>
    <w:rsid w:val="00AF140B"/>
    <w:pPr>
      <w:spacing w:after="0"/>
      <w:jc w:val="center"/>
    </w:pPr>
  </w:style>
  <w:style w:type="paragraph" w:customStyle="1" w:styleId="EndNoteBibliography0">
    <w:name w:val="EndNote Bibliography"/>
    <w:basedOn w:val="a"/>
    <w:qFormat/>
    <w:rsid w:val="00AF140B"/>
    <w:pPr>
      <w:spacing w:line="240" w:lineRule="auto"/>
    </w:pPr>
  </w:style>
  <w:style w:type="paragraph" w:styleId="aa">
    <w:name w:val="List Paragraph"/>
    <w:basedOn w:val="a"/>
    <w:uiPriority w:val="34"/>
    <w:qFormat/>
    <w:rsid w:val="003F59DB"/>
    <w:pPr>
      <w:ind w:left="720"/>
      <w:contextualSpacing/>
    </w:pPr>
  </w:style>
  <w:style w:type="paragraph" w:styleId="ab">
    <w:name w:val="Balloon Text"/>
    <w:basedOn w:val="a"/>
    <w:uiPriority w:val="99"/>
    <w:semiHidden/>
    <w:unhideWhenUsed/>
    <w:qFormat/>
    <w:rsid w:val="002F797F"/>
    <w:pPr>
      <w:spacing w:after="0" w:line="240" w:lineRule="auto"/>
    </w:pPr>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ac">
    <w:name w:val="Hyperlink"/>
    <w:basedOn w:val="a0"/>
    <w:uiPriority w:val="99"/>
    <w:semiHidden/>
    <w:unhideWhenUsed/>
    <w:rsid w:val="00A8781C"/>
    <w:rPr>
      <w:color w:val="0000FF"/>
      <w:u w:val="single"/>
    </w:rPr>
  </w:style>
  <w:style w:type="table" w:styleId="ad">
    <w:name w:val="Table Grid"/>
    <w:basedOn w:val="a1"/>
    <w:uiPriority w:val="39"/>
    <w:rsid w:val="0004380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A79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A79D1"/>
  </w:style>
  <w:style w:type="paragraph" w:styleId="af0">
    <w:name w:val="footer"/>
    <w:basedOn w:val="a"/>
    <w:link w:val="af1"/>
    <w:uiPriority w:val="99"/>
    <w:unhideWhenUsed/>
    <w:rsid w:val="000A79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646">
      <w:bodyDiv w:val="1"/>
      <w:marLeft w:val="0"/>
      <w:marRight w:val="0"/>
      <w:marTop w:val="0"/>
      <w:marBottom w:val="0"/>
      <w:divBdr>
        <w:top w:val="none" w:sz="0" w:space="0" w:color="auto"/>
        <w:left w:val="none" w:sz="0" w:space="0" w:color="auto"/>
        <w:bottom w:val="none" w:sz="0" w:space="0" w:color="auto"/>
        <w:right w:val="none" w:sz="0" w:space="0" w:color="auto"/>
      </w:divBdr>
    </w:div>
    <w:div w:id="377438893">
      <w:bodyDiv w:val="1"/>
      <w:marLeft w:val="0"/>
      <w:marRight w:val="0"/>
      <w:marTop w:val="0"/>
      <w:marBottom w:val="0"/>
      <w:divBdr>
        <w:top w:val="none" w:sz="0" w:space="0" w:color="auto"/>
        <w:left w:val="none" w:sz="0" w:space="0" w:color="auto"/>
        <w:bottom w:val="none" w:sz="0" w:space="0" w:color="auto"/>
        <w:right w:val="none" w:sz="0" w:space="0" w:color="auto"/>
      </w:divBdr>
    </w:div>
    <w:div w:id="556668445">
      <w:bodyDiv w:val="1"/>
      <w:marLeft w:val="0"/>
      <w:marRight w:val="0"/>
      <w:marTop w:val="0"/>
      <w:marBottom w:val="0"/>
      <w:divBdr>
        <w:top w:val="none" w:sz="0" w:space="0" w:color="auto"/>
        <w:left w:val="none" w:sz="0" w:space="0" w:color="auto"/>
        <w:bottom w:val="none" w:sz="0" w:space="0" w:color="auto"/>
        <w:right w:val="none" w:sz="0" w:space="0" w:color="auto"/>
      </w:divBdr>
    </w:div>
    <w:div w:id="657271259">
      <w:bodyDiv w:val="1"/>
      <w:marLeft w:val="0"/>
      <w:marRight w:val="0"/>
      <w:marTop w:val="0"/>
      <w:marBottom w:val="0"/>
      <w:divBdr>
        <w:top w:val="none" w:sz="0" w:space="0" w:color="auto"/>
        <w:left w:val="none" w:sz="0" w:space="0" w:color="auto"/>
        <w:bottom w:val="none" w:sz="0" w:space="0" w:color="auto"/>
        <w:right w:val="none" w:sz="0" w:space="0" w:color="auto"/>
      </w:divBdr>
    </w:div>
    <w:div w:id="865286611">
      <w:bodyDiv w:val="1"/>
      <w:marLeft w:val="0"/>
      <w:marRight w:val="0"/>
      <w:marTop w:val="0"/>
      <w:marBottom w:val="0"/>
      <w:divBdr>
        <w:top w:val="none" w:sz="0" w:space="0" w:color="auto"/>
        <w:left w:val="none" w:sz="0" w:space="0" w:color="auto"/>
        <w:bottom w:val="none" w:sz="0" w:space="0" w:color="auto"/>
        <w:right w:val="none" w:sz="0" w:space="0" w:color="auto"/>
      </w:divBdr>
    </w:div>
    <w:div w:id="165441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A3CA-3AEB-4C81-8D78-406D025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8577</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dc:description/>
  <cp:lastModifiedBy>Александра Асеева</cp:lastModifiedBy>
  <cp:revision>8</cp:revision>
  <dcterms:created xsi:type="dcterms:W3CDTF">2020-05-25T17:27:00Z</dcterms:created>
  <dcterms:modified xsi:type="dcterms:W3CDTF">2020-05-25T17:55:00Z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