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05" w:rsidRPr="00FF3F4C" w:rsidRDefault="009F4274">
      <w:pPr>
        <w:spacing w:after="261" w:line="259" w:lineRule="auto"/>
        <w:ind w:left="0" w:right="3" w:firstLine="0"/>
        <w:jc w:val="center"/>
        <w:rPr>
          <w:lang w:val="ru-RU"/>
        </w:rPr>
      </w:pPr>
      <w:r w:rsidRPr="00FF3F4C">
        <w:rPr>
          <w:b/>
          <w:lang w:val="ru-RU"/>
        </w:rPr>
        <w:t xml:space="preserve">ОТЗЫВ НАУЧНОГО РУКОВОДИТЕЛЯ </w:t>
      </w:r>
    </w:p>
    <w:p w:rsidR="00FF3F4C" w:rsidRPr="00FF3F4C" w:rsidRDefault="009F4274" w:rsidP="00C12889">
      <w:pPr>
        <w:spacing w:after="133" w:line="259" w:lineRule="auto"/>
        <w:jc w:val="center"/>
        <w:rPr>
          <w:lang w:val="ru-RU"/>
        </w:rPr>
      </w:pPr>
      <w:r w:rsidRPr="00FF3F4C">
        <w:rPr>
          <w:lang w:val="ru-RU"/>
        </w:rPr>
        <w:t xml:space="preserve">на выпускную квалификационную работу студентки 2-го курса магистратуры </w:t>
      </w:r>
      <w:r w:rsidR="00FF3F4C" w:rsidRPr="00912CAB">
        <w:rPr>
          <w:lang w:val="ru-RU"/>
        </w:rPr>
        <w:t xml:space="preserve">Артамоновой </w:t>
      </w:r>
      <w:r w:rsidRPr="00912CAB">
        <w:rPr>
          <w:lang w:val="ru-RU"/>
        </w:rPr>
        <w:t>И.В. «</w:t>
      </w:r>
      <w:r w:rsidR="00FF3F4C" w:rsidRPr="00912CAB">
        <w:rPr>
          <w:lang w:val="ru-RU"/>
        </w:rPr>
        <w:t xml:space="preserve"> Соотношение</w:t>
      </w:r>
      <w:r w:rsidR="00FF3F4C" w:rsidRPr="00FF3F4C">
        <w:rPr>
          <w:lang w:val="ru-RU"/>
        </w:rPr>
        <w:t xml:space="preserve"> косвенной экспроприации и права на регулирование при обеспечении защиты иностранных инвестиций</w:t>
      </w:r>
      <w:r w:rsidR="00FF3F4C">
        <w:rPr>
          <w:lang w:val="ru-RU"/>
        </w:rPr>
        <w:t>»</w:t>
      </w:r>
    </w:p>
    <w:p w:rsidR="004A2505" w:rsidRPr="00FF3F4C" w:rsidRDefault="004A2505">
      <w:pPr>
        <w:spacing w:after="216" w:line="259" w:lineRule="auto"/>
        <w:ind w:left="0" w:firstLine="0"/>
        <w:jc w:val="left"/>
        <w:rPr>
          <w:lang w:val="ru-RU"/>
        </w:rPr>
      </w:pPr>
    </w:p>
    <w:p w:rsidR="00FF3F4C" w:rsidRDefault="009F4274">
      <w:pPr>
        <w:ind w:left="-10" w:firstLine="708"/>
        <w:rPr>
          <w:lang w:val="ru-RU"/>
        </w:rPr>
      </w:pPr>
      <w:r w:rsidRPr="00FF3F4C">
        <w:rPr>
          <w:lang w:val="ru-RU"/>
        </w:rPr>
        <w:t xml:space="preserve">Выпускная квалификационная работа </w:t>
      </w:r>
      <w:r w:rsidR="00FF3F4C">
        <w:rPr>
          <w:lang w:val="ru-RU"/>
        </w:rPr>
        <w:t xml:space="preserve">Артамоновой И.В. </w:t>
      </w:r>
      <w:r w:rsidRPr="00FF3F4C">
        <w:rPr>
          <w:lang w:val="ru-RU"/>
        </w:rPr>
        <w:t xml:space="preserve">посвящена чрезвычайно актуальной теме – </w:t>
      </w:r>
      <w:r w:rsidR="00912CAB">
        <w:rPr>
          <w:lang w:val="ru-RU"/>
        </w:rPr>
        <w:t>анализу</w:t>
      </w:r>
      <w:r w:rsidR="000D00DB" w:rsidRPr="000D00DB">
        <w:rPr>
          <w:lang w:val="ru-RU"/>
        </w:rPr>
        <w:t xml:space="preserve"> </w:t>
      </w:r>
      <w:r w:rsidR="00F72277">
        <w:rPr>
          <w:lang w:val="ru-RU"/>
        </w:rPr>
        <w:t xml:space="preserve">косвенной экспроприации и ее отличий от правомерной деятельности государства, направленной на установление регулирования в определенных сферах. В течение последних двадцати лет имели место многочисленные споры иностранных инвесторов с государствами, принимающими инвестиции. Во многих из них основым вопросом было, как разграничить меры государства, негативно влияющие на возможность осуществления иностранных инвестиций: а) которые представляют собой косвенную экспроприацию (за которую полагается выплата компенсации), и 2) </w:t>
      </w:r>
      <w:r w:rsidR="008605B8">
        <w:rPr>
          <w:lang w:val="ru-RU"/>
        </w:rPr>
        <w:t>меры, которые такой</w:t>
      </w:r>
      <w:r w:rsidR="00F72277">
        <w:rPr>
          <w:lang w:val="ru-RU"/>
        </w:rPr>
        <w:t xml:space="preserve"> экспроприацией не являются, так как они признаются нормальной регулятивной деятельностью государства, за которую не полагается выплата компенсации.</w:t>
      </w:r>
    </w:p>
    <w:p w:rsidR="00244779" w:rsidRDefault="00A304D3">
      <w:pPr>
        <w:ind w:left="-10" w:firstLine="708"/>
        <w:rPr>
          <w:lang w:val="ru-RU"/>
        </w:rPr>
      </w:pPr>
      <w:r>
        <w:rPr>
          <w:lang w:val="ru-RU"/>
        </w:rPr>
        <w:t>Следует отметить новизну темы представленного исследования: несмотря на то, что вопрос</w:t>
      </w:r>
      <w:r w:rsidR="009F4274" w:rsidRPr="00FF3F4C">
        <w:rPr>
          <w:lang w:val="ru-RU"/>
        </w:rPr>
        <w:t xml:space="preserve"> </w:t>
      </w:r>
      <w:r>
        <w:rPr>
          <w:lang w:val="ru-RU"/>
        </w:rPr>
        <w:t xml:space="preserve">разграничения </w:t>
      </w:r>
      <w:r w:rsidR="00244779">
        <w:rPr>
          <w:lang w:val="ru-RU"/>
        </w:rPr>
        <w:t xml:space="preserve">косвенной экспроприации и права государств на осуществление регулятивной деятельности </w:t>
      </w:r>
      <w:r>
        <w:rPr>
          <w:lang w:val="ru-RU"/>
        </w:rPr>
        <w:t xml:space="preserve">были расмотрены рядом </w:t>
      </w:r>
      <w:r w:rsidR="009F4274" w:rsidRPr="00FF3F4C">
        <w:rPr>
          <w:lang w:val="ru-RU"/>
        </w:rPr>
        <w:t xml:space="preserve">зарубежных юристов-международников, </w:t>
      </w:r>
      <w:r w:rsidR="00244779">
        <w:rPr>
          <w:lang w:val="ru-RU"/>
        </w:rPr>
        <w:t>в</w:t>
      </w:r>
      <w:r>
        <w:rPr>
          <w:lang w:val="ru-RU"/>
        </w:rPr>
        <w:t xml:space="preserve"> отечественной литературе данный вопрос был </w:t>
      </w:r>
      <w:r w:rsidR="000D00DB">
        <w:rPr>
          <w:lang w:val="ru-RU"/>
        </w:rPr>
        <w:t xml:space="preserve">лишь </w:t>
      </w:r>
      <w:r w:rsidR="00B3243E">
        <w:rPr>
          <w:lang w:val="ru-RU"/>
        </w:rPr>
        <w:t xml:space="preserve">в некоторой степени </w:t>
      </w:r>
      <w:r>
        <w:rPr>
          <w:lang w:val="ru-RU"/>
        </w:rPr>
        <w:t>затронут в нескольких работах</w:t>
      </w:r>
      <w:r w:rsidR="000D00DB">
        <w:rPr>
          <w:lang w:val="ru-RU"/>
        </w:rPr>
        <w:t xml:space="preserve"> и </w:t>
      </w:r>
      <w:r w:rsidR="00244779">
        <w:rPr>
          <w:lang w:val="ru-RU"/>
        </w:rPr>
        <w:t xml:space="preserve">еще не был предметом всестороннего </w:t>
      </w:r>
      <w:r>
        <w:rPr>
          <w:lang w:val="ru-RU"/>
        </w:rPr>
        <w:t xml:space="preserve">научного </w:t>
      </w:r>
      <w:r w:rsidR="00244779">
        <w:rPr>
          <w:lang w:val="ru-RU"/>
        </w:rPr>
        <w:t xml:space="preserve">исследования. </w:t>
      </w:r>
      <w:r>
        <w:rPr>
          <w:lang w:val="ru-RU"/>
        </w:rPr>
        <w:t xml:space="preserve">Представленная работа вносит существенный вклад </w:t>
      </w:r>
      <w:r w:rsidR="00B25760">
        <w:rPr>
          <w:lang w:val="ru-RU"/>
        </w:rPr>
        <w:t>в изучение данного вопроса и развитие дискуссии в отечественной науке.</w:t>
      </w:r>
    </w:p>
    <w:p w:rsidR="004A2505" w:rsidRPr="00FF3F4C" w:rsidRDefault="00B25760">
      <w:pPr>
        <w:ind w:left="-10" w:firstLine="708"/>
        <w:rPr>
          <w:lang w:val="ru-RU"/>
        </w:rPr>
      </w:pPr>
      <w:r>
        <w:rPr>
          <w:lang w:val="ru-RU"/>
        </w:rPr>
        <w:t xml:space="preserve">В </w:t>
      </w:r>
      <w:r w:rsidR="004857F8">
        <w:rPr>
          <w:lang w:val="ru-RU"/>
        </w:rPr>
        <w:t xml:space="preserve">последние годы </w:t>
      </w:r>
      <w:r w:rsidR="009F4274" w:rsidRPr="00FF3F4C">
        <w:rPr>
          <w:lang w:val="ru-RU"/>
        </w:rPr>
        <w:t xml:space="preserve">в мире наблюдается рост числа </w:t>
      </w:r>
      <w:r>
        <w:rPr>
          <w:lang w:val="ru-RU"/>
        </w:rPr>
        <w:t xml:space="preserve">международных инвестиционных </w:t>
      </w:r>
      <w:r w:rsidR="009F4274" w:rsidRPr="00FF3F4C">
        <w:rPr>
          <w:lang w:val="ru-RU"/>
        </w:rPr>
        <w:t xml:space="preserve">соглашений, которые заключаются как развитыми, так и развивающимися государствами, </w:t>
      </w:r>
      <w:r>
        <w:rPr>
          <w:lang w:val="ru-RU"/>
        </w:rPr>
        <w:t>при этом многие государства стремятся заключать соглашения «нового поколения», в которых</w:t>
      </w:r>
      <w:r w:rsidR="00C510DD">
        <w:rPr>
          <w:lang w:val="ru-RU"/>
        </w:rPr>
        <w:t xml:space="preserve"> находит отражение </w:t>
      </w:r>
      <w:r>
        <w:rPr>
          <w:lang w:val="ru-RU"/>
        </w:rPr>
        <w:t xml:space="preserve">более сбалансированный подход к правам иностранного инвестора и государства, принимающего инвестиции. </w:t>
      </w:r>
      <w:r w:rsidR="00D16A90">
        <w:rPr>
          <w:lang w:val="ru-RU"/>
        </w:rPr>
        <w:t>Этот</w:t>
      </w:r>
      <w:r w:rsidR="00C510DD">
        <w:rPr>
          <w:lang w:val="ru-RU"/>
        </w:rPr>
        <w:t xml:space="preserve"> процесс </w:t>
      </w:r>
      <w:r w:rsidR="009F4274" w:rsidRPr="00FF3F4C">
        <w:rPr>
          <w:lang w:val="ru-RU"/>
        </w:rPr>
        <w:t xml:space="preserve">с уверенностью можно назвать общемировым. Россия также </w:t>
      </w:r>
      <w:r w:rsidR="00C510DD">
        <w:rPr>
          <w:lang w:val="ru-RU"/>
        </w:rPr>
        <w:t xml:space="preserve">разделяет новый подход, подтверждением чему </w:t>
      </w:r>
      <w:r w:rsidR="00D16A90">
        <w:rPr>
          <w:lang w:val="ru-RU"/>
        </w:rPr>
        <w:t>являю</w:t>
      </w:r>
      <w:r w:rsidR="009F4274" w:rsidRPr="00FF3F4C">
        <w:rPr>
          <w:lang w:val="ru-RU"/>
        </w:rPr>
        <w:t xml:space="preserve">тся, например, </w:t>
      </w:r>
      <w:r w:rsidR="00D16A90">
        <w:rPr>
          <w:lang w:val="ru-RU"/>
        </w:rPr>
        <w:t>соответствующие положения Соглашения</w:t>
      </w:r>
      <w:r w:rsidR="009F4274" w:rsidRPr="00FF3F4C">
        <w:rPr>
          <w:lang w:val="ru-RU"/>
        </w:rPr>
        <w:t xml:space="preserve"> о зоне свободной торговли между </w:t>
      </w:r>
      <w:r w:rsidR="009F4274" w:rsidRPr="00805D02">
        <w:rPr>
          <w:lang w:val="ru-RU"/>
        </w:rPr>
        <w:t>ЕАЭС и Вьетнамом</w:t>
      </w:r>
      <w:r w:rsidR="00C510DD">
        <w:rPr>
          <w:rStyle w:val="Funotenzeichen"/>
          <w:lang w:val="ru-RU"/>
        </w:rPr>
        <w:footnoteReference w:id="1"/>
      </w:r>
      <w:r w:rsidR="00912CAB">
        <w:rPr>
          <w:lang w:val="ru-RU"/>
        </w:rPr>
        <w:t>.</w:t>
      </w:r>
      <w:r w:rsidR="00B61721">
        <w:rPr>
          <w:lang w:val="ru-RU"/>
        </w:rPr>
        <w:t xml:space="preserve"> Это подтверждает, </w:t>
      </w:r>
      <w:r w:rsidR="00B61721">
        <w:rPr>
          <w:lang w:val="ru-RU"/>
        </w:rPr>
        <w:lastRenderedPageBreak/>
        <w:t>что т</w:t>
      </w:r>
      <w:r w:rsidR="009F4274" w:rsidRPr="00FF3F4C">
        <w:rPr>
          <w:lang w:val="ru-RU"/>
        </w:rPr>
        <w:t xml:space="preserve">ема работы </w:t>
      </w:r>
      <w:r w:rsidR="0061191D">
        <w:rPr>
          <w:lang w:val="ru-RU"/>
        </w:rPr>
        <w:t>является</w:t>
      </w:r>
      <w:r w:rsidR="009F4274" w:rsidRPr="00FF3F4C">
        <w:rPr>
          <w:lang w:val="ru-RU"/>
        </w:rPr>
        <w:t xml:space="preserve"> </w:t>
      </w:r>
      <w:r w:rsidR="0061191D">
        <w:rPr>
          <w:lang w:val="ru-RU"/>
        </w:rPr>
        <w:t>весьма</w:t>
      </w:r>
      <w:r w:rsidR="009F4274" w:rsidRPr="00FF3F4C">
        <w:rPr>
          <w:lang w:val="ru-RU"/>
        </w:rPr>
        <w:t xml:space="preserve"> актуальной</w:t>
      </w:r>
      <w:r w:rsidR="0061191D">
        <w:rPr>
          <w:lang w:val="ru-RU"/>
        </w:rPr>
        <w:t xml:space="preserve">, а результаты настоящего исследования </w:t>
      </w:r>
      <w:r w:rsidR="009F4274" w:rsidRPr="00FF3F4C">
        <w:rPr>
          <w:lang w:val="ru-RU"/>
        </w:rPr>
        <w:t xml:space="preserve"> </w:t>
      </w:r>
      <w:r w:rsidR="0061191D">
        <w:rPr>
          <w:lang w:val="ru-RU"/>
        </w:rPr>
        <w:t>могут использоваться при подготовке новых инвестиционных соглашений и представляют большой интерес не только с теоретической, но и с практической точки зрения.</w:t>
      </w:r>
    </w:p>
    <w:p w:rsidR="00C12889" w:rsidRDefault="009F4274" w:rsidP="001235BB">
      <w:pPr>
        <w:ind w:left="-10" w:firstLine="708"/>
        <w:rPr>
          <w:lang w:val="ru-RU"/>
        </w:rPr>
      </w:pPr>
      <w:r w:rsidRPr="00FF3F4C">
        <w:rPr>
          <w:lang w:val="ru-RU"/>
        </w:rPr>
        <w:t>Автор использовал большое количество отечественных и иностранных источников, в которых рассмотрены вопросы, относящиеся к теме настоящего исследования. Важно отметить также то, что для проведения данного исследования автор обратился к целому ряду документов международных организаций</w:t>
      </w:r>
      <w:r w:rsidR="0054496A">
        <w:rPr>
          <w:lang w:val="ru-RU"/>
        </w:rPr>
        <w:t xml:space="preserve"> (например, </w:t>
      </w:r>
      <w:r w:rsidR="0061191D">
        <w:rPr>
          <w:lang w:val="ru-RU"/>
        </w:rPr>
        <w:t xml:space="preserve">к документам </w:t>
      </w:r>
      <w:r w:rsidR="0054496A">
        <w:rPr>
          <w:lang w:val="ru-RU"/>
        </w:rPr>
        <w:t>ЮНКТАД)</w:t>
      </w:r>
      <w:r w:rsidRPr="00FF3F4C">
        <w:rPr>
          <w:lang w:val="ru-RU"/>
        </w:rPr>
        <w:t xml:space="preserve">, некоторые из которых были практически не исследованы в отечественной литературе. </w:t>
      </w:r>
    </w:p>
    <w:p w:rsidR="00C12889" w:rsidRPr="00912CAB" w:rsidRDefault="00C12889" w:rsidP="001235BB">
      <w:pPr>
        <w:ind w:left="-10" w:firstLine="708"/>
        <w:rPr>
          <w:lang w:val="ru-RU"/>
        </w:rPr>
      </w:pPr>
      <w:r>
        <w:rPr>
          <w:lang w:val="ru-RU"/>
        </w:rPr>
        <w:t xml:space="preserve">Впервые в отечественной литературе представлен </w:t>
      </w:r>
      <w:r w:rsidR="0061191D">
        <w:rPr>
          <w:lang w:val="ru-RU"/>
        </w:rPr>
        <w:t xml:space="preserve">также </w:t>
      </w:r>
      <w:r>
        <w:rPr>
          <w:lang w:val="ru-RU"/>
        </w:rPr>
        <w:t xml:space="preserve">анализ положений о косвенной экспроприации новейших мега-региональных соглашений, таких, </w:t>
      </w:r>
      <w:r w:rsidRPr="00912CAB">
        <w:rPr>
          <w:lang w:val="ru-RU"/>
        </w:rPr>
        <w:t xml:space="preserve">как </w:t>
      </w:r>
      <w:r w:rsidR="004857F8">
        <w:rPr>
          <w:lang w:val="ru-RU"/>
        </w:rPr>
        <w:t>Всеобъемлющее и прогрессивное соглашение для транстихоокеанского партнерства (</w:t>
      </w:r>
      <w:r w:rsidRPr="00912CAB">
        <w:rPr>
          <w:lang w:val="de-DE"/>
        </w:rPr>
        <w:t>CPTPP</w:t>
      </w:r>
      <w:r w:rsidR="004857F8">
        <w:rPr>
          <w:lang w:val="ru-RU"/>
        </w:rPr>
        <w:t>)</w:t>
      </w:r>
      <w:r w:rsidR="00D16A90">
        <w:rPr>
          <w:rStyle w:val="Funotenzeichen"/>
          <w:lang w:val="ru-RU"/>
        </w:rPr>
        <w:footnoteReference w:id="2"/>
      </w:r>
      <w:r w:rsidR="004857F8">
        <w:rPr>
          <w:lang w:val="ru-RU"/>
        </w:rPr>
        <w:t xml:space="preserve"> или Всеобъемлющее экономическое и торговое соглашение между ЕС и Канадой (</w:t>
      </w:r>
      <w:r w:rsidRPr="00912CAB">
        <w:rPr>
          <w:lang w:val="de-DE"/>
        </w:rPr>
        <w:t>CETA</w:t>
      </w:r>
      <w:r w:rsidR="004857F8">
        <w:rPr>
          <w:lang w:val="ru-RU"/>
        </w:rPr>
        <w:t>)</w:t>
      </w:r>
      <w:r w:rsidR="00D16A90">
        <w:rPr>
          <w:rStyle w:val="Funotenzeichen"/>
          <w:lang w:val="ru-RU"/>
        </w:rPr>
        <w:footnoteReference w:id="3"/>
      </w:r>
      <w:r w:rsidRPr="00912CAB">
        <w:rPr>
          <w:lang w:val="ru-RU"/>
        </w:rPr>
        <w:t>.</w:t>
      </w:r>
    </w:p>
    <w:p w:rsidR="001235BB" w:rsidRPr="00912CAB" w:rsidRDefault="009F4274" w:rsidP="001235BB">
      <w:pPr>
        <w:ind w:left="-10" w:firstLine="708"/>
        <w:rPr>
          <w:lang w:val="ru-RU"/>
        </w:rPr>
      </w:pPr>
      <w:r w:rsidRPr="00912CAB">
        <w:rPr>
          <w:lang w:val="ru-RU"/>
        </w:rPr>
        <w:t xml:space="preserve">Несомненным достоинством работы является </w:t>
      </w:r>
      <w:r w:rsidR="00C12889" w:rsidRPr="00912CAB">
        <w:rPr>
          <w:lang w:val="ru-RU"/>
        </w:rPr>
        <w:t xml:space="preserve">также </w:t>
      </w:r>
      <w:r w:rsidRPr="00912CAB">
        <w:rPr>
          <w:lang w:val="ru-RU"/>
        </w:rPr>
        <w:t xml:space="preserve">осуществленный И.В. </w:t>
      </w:r>
      <w:r w:rsidR="001235BB" w:rsidRPr="00912CAB">
        <w:rPr>
          <w:lang w:val="ru-RU"/>
        </w:rPr>
        <w:t xml:space="preserve">Артамоновой обширный анализ практики международных инвестиционных арбитражей </w:t>
      </w:r>
    </w:p>
    <w:p w:rsidR="004A2505" w:rsidRPr="00FF3F4C" w:rsidRDefault="009F4274" w:rsidP="00C12889">
      <w:pPr>
        <w:rPr>
          <w:lang w:val="ru-RU"/>
        </w:rPr>
      </w:pPr>
      <w:r w:rsidRPr="00912CAB">
        <w:rPr>
          <w:lang w:val="ru-RU"/>
        </w:rPr>
        <w:t xml:space="preserve">(например, решения по спорам </w:t>
      </w:r>
      <w:r w:rsidR="00A70111" w:rsidRPr="004C4E9D">
        <w:rPr>
          <w:rFonts w:eastAsia="MS Mincho"/>
          <w:iCs/>
          <w:szCs w:val="24"/>
          <w:lang w:eastAsia="ja-JP"/>
        </w:rPr>
        <w:t>Metalclad</w:t>
      </w:r>
      <w:r w:rsidR="00A70111" w:rsidRPr="004C4E9D">
        <w:rPr>
          <w:rFonts w:eastAsia="MS Mincho"/>
          <w:iCs/>
          <w:szCs w:val="24"/>
          <w:lang w:val="ru-RU" w:eastAsia="ja-JP"/>
        </w:rPr>
        <w:t xml:space="preserve"> </w:t>
      </w:r>
      <w:r w:rsidR="00A70111" w:rsidRPr="004C4E9D">
        <w:rPr>
          <w:rFonts w:eastAsia="MS Mincho"/>
          <w:iCs/>
          <w:szCs w:val="24"/>
          <w:lang w:eastAsia="ja-JP"/>
        </w:rPr>
        <w:t>v</w:t>
      </w:r>
      <w:r w:rsidR="00A70111" w:rsidRPr="004C4E9D">
        <w:rPr>
          <w:rFonts w:eastAsia="MS Mincho"/>
          <w:iCs/>
          <w:szCs w:val="24"/>
          <w:lang w:val="ru-RU" w:eastAsia="ja-JP"/>
        </w:rPr>
        <w:t xml:space="preserve"> </w:t>
      </w:r>
      <w:r w:rsidR="00A70111" w:rsidRPr="004C4E9D">
        <w:rPr>
          <w:rFonts w:eastAsia="MS Mincho"/>
          <w:iCs/>
          <w:szCs w:val="24"/>
          <w:lang w:eastAsia="ja-JP"/>
        </w:rPr>
        <w:t>Mexic</w:t>
      </w:r>
      <w:r w:rsidR="00A70111" w:rsidRPr="004C4E9D">
        <w:rPr>
          <w:rFonts w:eastAsia="MS Mincho"/>
          <w:iCs/>
          <w:sz w:val="28"/>
          <w:szCs w:val="28"/>
          <w:lang w:eastAsia="ja-JP"/>
        </w:rPr>
        <w:t>o</w:t>
      </w:r>
      <w:r w:rsidR="007C6091" w:rsidRPr="004C4E9D">
        <w:rPr>
          <w:rStyle w:val="Funotenzeichen"/>
          <w:rFonts w:eastAsia="MS Mincho"/>
          <w:iCs/>
          <w:sz w:val="28"/>
          <w:szCs w:val="28"/>
          <w:lang w:eastAsia="ja-JP"/>
        </w:rPr>
        <w:footnoteReference w:id="4"/>
      </w:r>
      <w:r w:rsidR="00A70111" w:rsidRPr="004C4E9D">
        <w:rPr>
          <w:rFonts w:eastAsia="MS Mincho"/>
          <w:iCs/>
          <w:sz w:val="28"/>
          <w:szCs w:val="28"/>
          <w:lang w:val="ru-RU" w:eastAsia="ja-JP"/>
        </w:rPr>
        <w:t>,</w:t>
      </w:r>
      <w:r w:rsidR="001012AB" w:rsidRPr="004C4E9D">
        <w:rPr>
          <w:lang w:val="ru-RU"/>
        </w:rPr>
        <w:t xml:space="preserve"> </w:t>
      </w:r>
      <w:proofErr w:type="spellStart"/>
      <w:r w:rsidR="001012AB" w:rsidRPr="004C4E9D">
        <w:rPr>
          <w:iCs/>
          <w:szCs w:val="24"/>
        </w:rPr>
        <w:t>Methanex</w:t>
      </w:r>
      <w:proofErr w:type="spellEnd"/>
      <w:r w:rsidR="001012AB" w:rsidRPr="004C4E9D">
        <w:rPr>
          <w:iCs/>
          <w:szCs w:val="24"/>
          <w:lang w:val="ru-RU"/>
        </w:rPr>
        <w:t xml:space="preserve"> </w:t>
      </w:r>
      <w:r w:rsidR="001012AB" w:rsidRPr="004C4E9D">
        <w:rPr>
          <w:iCs/>
          <w:szCs w:val="24"/>
        </w:rPr>
        <w:t>v</w:t>
      </w:r>
      <w:r w:rsidR="001012AB" w:rsidRPr="004C4E9D">
        <w:rPr>
          <w:iCs/>
          <w:szCs w:val="24"/>
          <w:lang w:val="ru-RU"/>
        </w:rPr>
        <w:t xml:space="preserve"> </w:t>
      </w:r>
      <w:r w:rsidR="001012AB" w:rsidRPr="004C4E9D">
        <w:rPr>
          <w:iCs/>
          <w:szCs w:val="24"/>
        </w:rPr>
        <w:t>USA</w:t>
      </w:r>
      <w:r w:rsidR="001012AB" w:rsidRPr="004C4E9D">
        <w:rPr>
          <w:rStyle w:val="Funotenzeichen"/>
          <w:sz w:val="28"/>
          <w:szCs w:val="28"/>
        </w:rPr>
        <w:footnoteReference w:id="5"/>
      </w:r>
      <w:r w:rsidRPr="004C4E9D">
        <w:rPr>
          <w:lang w:val="ru-RU"/>
        </w:rPr>
        <w:t>),</w:t>
      </w:r>
      <w:r w:rsidRPr="00912CAB">
        <w:rPr>
          <w:lang w:val="ru-RU"/>
        </w:rPr>
        <w:t xml:space="preserve"> что является очень важным для понимания норм </w:t>
      </w:r>
      <w:r w:rsidR="00A70111" w:rsidRPr="00912CAB">
        <w:rPr>
          <w:lang w:val="ru-RU"/>
        </w:rPr>
        <w:t>международных инвестиционных</w:t>
      </w:r>
      <w:r w:rsidR="00D16A90">
        <w:rPr>
          <w:lang w:val="ru-RU"/>
        </w:rPr>
        <w:t xml:space="preserve"> соглашений о косвенной экспроприации</w:t>
      </w:r>
      <w:r w:rsidRPr="00FF3F4C">
        <w:rPr>
          <w:lang w:val="ru-RU"/>
        </w:rPr>
        <w:t xml:space="preserve">.  </w:t>
      </w:r>
    </w:p>
    <w:p w:rsidR="004C4E9D" w:rsidRPr="004C4E9D" w:rsidRDefault="009F4274" w:rsidP="004C4E9D">
      <w:pPr>
        <w:ind w:left="-10" w:firstLine="708"/>
        <w:rPr>
          <w:rFonts w:ascii="Arial" w:hAnsi="Arial" w:cs="Arial"/>
          <w:sz w:val="28"/>
          <w:szCs w:val="28"/>
          <w:lang w:val="ru-RU"/>
        </w:rPr>
      </w:pPr>
      <w:r w:rsidRPr="00FF3F4C">
        <w:rPr>
          <w:lang w:val="ru-RU"/>
        </w:rPr>
        <w:t>Выводы автора отличаются новизной, актуальностью, научной самостоятельностью и аргументированностью. Представленная работа полностью удовлетворяет требованиям, которые предъявляются к выпускным квалификационным работам</w:t>
      </w:r>
      <w:r w:rsidR="004C4E9D">
        <w:rPr>
          <w:lang w:val="ru-RU"/>
        </w:rPr>
        <w:t xml:space="preserve"> и может быть допущена до защиты.</w:t>
      </w:r>
      <w:bookmarkStart w:id="0" w:name="_GoBack"/>
      <w:bookmarkEnd w:id="0"/>
      <w:r w:rsidR="004C4E9D" w:rsidRPr="004C4E9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857F8" w:rsidRDefault="004857F8" w:rsidP="005B417B">
      <w:pPr>
        <w:spacing w:after="160" w:line="259" w:lineRule="auto"/>
        <w:ind w:left="0" w:firstLine="0"/>
        <w:jc w:val="left"/>
        <w:rPr>
          <w:lang w:val="ru-RU"/>
        </w:rPr>
      </w:pPr>
    </w:p>
    <w:p w:rsidR="004857F8" w:rsidRDefault="009F4274" w:rsidP="005B417B">
      <w:pPr>
        <w:spacing w:after="160" w:line="259" w:lineRule="auto"/>
        <w:ind w:left="0" w:firstLine="0"/>
        <w:jc w:val="left"/>
        <w:rPr>
          <w:lang w:val="ru-RU"/>
        </w:rPr>
      </w:pPr>
      <w:r w:rsidRPr="00FF3F4C">
        <w:rPr>
          <w:lang w:val="ru-RU"/>
        </w:rPr>
        <w:t>Научный руководитель</w:t>
      </w:r>
      <w:r w:rsidR="004857F8">
        <w:rPr>
          <w:lang w:val="ru-RU"/>
        </w:rPr>
        <w:t xml:space="preserve">: </w:t>
      </w:r>
      <w:r w:rsidRPr="00FF3F4C">
        <w:rPr>
          <w:lang w:val="ru-RU"/>
        </w:rPr>
        <w:t xml:space="preserve">канд. юрид. наук, доцент </w:t>
      </w:r>
      <w:r w:rsidR="004857F8">
        <w:rPr>
          <w:lang w:val="ru-RU"/>
        </w:rPr>
        <w:t>кафедры административного и финансового права</w:t>
      </w:r>
    </w:p>
    <w:p w:rsidR="004A2505" w:rsidRDefault="009F4274" w:rsidP="005B417B">
      <w:pPr>
        <w:spacing w:after="160" w:line="259" w:lineRule="auto"/>
        <w:ind w:left="0" w:firstLine="0"/>
        <w:jc w:val="left"/>
        <w:rPr>
          <w:lang w:val="ru-RU"/>
        </w:rPr>
      </w:pPr>
      <w:r w:rsidRPr="00FF3F4C">
        <w:rPr>
          <w:lang w:val="ru-RU"/>
        </w:rPr>
        <w:t xml:space="preserve">М.П. Трунк-Федорова </w:t>
      </w:r>
    </w:p>
    <w:p w:rsidR="004857F8" w:rsidRPr="004857F8" w:rsidRDefault="004857F8" w:rsidP="005B417B">
      <w:pPr>
        <w:spacing w:after="160" w:line="259" w:lineRule="auto"/>
        <w:ind w:left="0" w:firstLine="0"/>
        <w:jc w:val="left"/>
      </w:pPr>
    </w:p>
    <w:sectPr w:rsidR="004857F8" w:rsidRPr="004857F8">
      <w:pgSz w:w="11906" w:h="16838"/>
      <w:pgMar w:top="1457" w:right="1414" w:bottom="70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45" w:rsidRDefault="00EB7845" w:rsidP="00C510DD">
      <w:pPr>
        <w:spacing w:after="0" w:line="240" w:lineRule="auto"/>
      </w:pPr>
      <w:r>
        <w:separator/>
      </w:r>
    </w:p>
  </w:endnote>
  <w:endnote w:type="continuationSeparator" w:id="0">
    <w:p w:rsidR="00EB7845" w:rsidRDefault="00EB7845" w:rsidP="00C5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45" w:rsidRDefault="00EB7845" w:rsidP="00C510DD">
      <w:pPr>
        <w:spacing w:after="0" w:line="240" w:lineRule="auto"/>
      </w:pPr>
      <w:r>
        <w:separator/>
      </w:r>
    </w:p>
  </w:footnote>
  <w:footnote w:type="continuationSeparator" w:id="0">
    <w:p w:rsidR="00EB7845" w:rsidRDefault="00EB7845" w:rsidP="00C510DD">
      <w:pPr>
        <w:spacing w:after="0" w:line="240" w:lineRule="auto"/>
      </w:pPr>
      <w:r>
        <w:continuationSeparator/>
      </w:r>
    </w:p>
  </w:footnote>
  <w:footnote w:id="1">
    <w:p w:rsidR="00C510DD" w:rsidRPr="00805D02" w:rsidRDefault="00C510DD" w:rsidP="00805D02">
      <w:pPr>
        <w:pStyle w:val="Funotentext"/>
        <w:rPr>
          <w:lang w:val="ru-RU"/>
        </w:rPr>
      </w:pPr>
      <w:r>
        <w:rPr>
          <w:rStyle w:val="Funotenzeichen"/>
        </w:rPr>
        <w:footnoteRef/>
      </w:r>
      <w:r w:rsidRPr="00C510DD">
        <w:rPr>
          <w:lang w:val="ru-RU"/>
        </w:rPr>
        <w:t xml:space="preserve"> </w:t>
      </w:r>
      <w:r w:rsidR="00805D02">
        <w:rPr>
          <w:lang w:val="ru-RU"/>
        </w:rPr>
        <w:t xml:space="preserve">Соглашение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от 29 мая 2015 г. </w:t>
      </w:r>
      <w:r>
        <w:rPr>
          <w:lang w:val="ru-RU"/>
        </w:rPr>
        <w:t xml:space="preserve">Положения главы, регулирующей иностранные инвестиции, применяется только между Россией и Вьетнамом. </w:t>
      </w:r>
    </w:p>
  </w:footnote>
  <w:footnote w:id="2">
    <w:p w:rsidR="00D16A90" w:rsidRPr="00D16A90" w:rsidRDefault="00D16A9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16A90">
        <w:t>CPTPP – Comprehensive and Progressive Agreement for Trans</w:t>
      </w:r>
      <w:r>
        <w:t>-P</w:t>
      </w:r>
      <w:r w:rsidRPr="00D16A90">
        <w:t>acific Partnership</w:t>
      </w:r>
      <w:r w:rsidR="005F67DA">
        <w:t xml:space="preserve"> of 8 March 2018</w:t>
      </w:r>
      <w:r>
        <w:t>.</w:t>
      </w:r>
    </w:p>
  </w:footnote>
  <w:footnote w:id="3">
    <w:p w:rsidR="00D16A90" w:rsidRPr="00D16A90" w:rsidRDefault="00D16A90" w:rsidP="005F67DA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 w:rsidRPr="007C6091">
        <w:t>CETA</w:t>
      </w:r>
      <w:r w:rsidR="004C13A3">
        <w:t xml:space="preserve"> – Comprehensive Economic </w:t>
      </w:r>
      <w:r w:rsidR="007C6091">
        <w:t>and Trade Agreement</w:t>
      </w:r>
      <w:r w:rsidR="005F67DA">
        <w:t xml:space="preserve"> </w:t>
      </w:r>
      <w:r w:rsidR="005F67DA" w:rsidRPr="00805D02">
        <w:t>of 30 October 2016</w:t>
      </w:r>
      <w:r w:rsidR="007C6091">
        <w:t>.</w:t>
      </w:r>
    </w:p>
  </w:footnote>
  <w:footnote w:id="4">
    <w:p w:rsidR="007C6091" w:rsidRPr="007C6091" w:rsidRDefault="007C6091" w:rsidP="007C609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C6091">
        <w:t>M</w:t>
      </w:r>
      <w:r w:rsidRPr="0011166E">
        <w:t>etalclad Corporation v. The United Mexican States, ICSID Case No. ARB(AF)/</w:t>
      </w:r>
      <w:r w:rsidRPr="007C6091">
        <w:t>9</w:t>
      </w:r>
      <w:r w:rsidRPr="007C6091">
        <w:rPr>
          <w:bCs/>
        </w:rPr>
        <w:t>7/1, Award of 30 August 2000.</w:t>
      </w:r>
    </w:p>
  </w:footnote>
  <w:footnote w:id="5">
    <w:p w:rsidR="001012AB" w:rsidRPr="0061191D" w:rsidRDefault="001012AB" w:rsidP="001012AB">
      <w:pPr>
        <w:pStyle w:val="Funotentext"/>
      </w:pPr>
      <w:r w:rsidRPr="004B6281">
        <w:rPr>
          <w:rStyle w:val="Funotenzeichen"/>
        </w:rPr>
        <w:footnoteRef/>
      </w:r>
      <w:r w:rsidRPr="004B6281">
        <w:t xml:space="preserve"> </w:t>
      </w:r>
      <w:proofErr w:type="spellStart"/>
      <w:r w:rsidRPr="004B6281">
        <w:t>Methanex</w:t>
      </w:r>
      <w:proofErr w:type="spellEnd"/>
      <w:r w:rsidRPr="004B6281">
        <w:t xml:space="preserve"> Corporation </w:t>
      </w:r>
      <w:proofErr w:type="gramStart"/>
      <w:r w:rsidRPr="004B6281">
        <w:t>v.</w:t>
      </w:r>
      <w:proofErr w:type="gramEnd"/>
      <w:r w:rsidRPr="004B6281">
        <w:t xml:space="preserve"> United States of America, UNCITRAL, Fi</w:t>
      </w:r>
      <w:r w:rsidR="00C12889">
        <w:t>nal Award, 3 August 2005</w:t>
      </w:r>
      <w:r w:rsidR="0061191D" w:rsidRPr="0061191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5"/>
    <w:rsid w:val="000D00DB"/>
    <w:rsid w:val="000F7365"/>
    <w:rsid w:val="001012AB"/>
    <w:rsid w:val="001235BB"/>
    <w:rsid w:val="00244779"/>
    <w:rsid w:val="004857F8"/>
    <w:rsid w:val="004A2505"/>
    <w:rsid w:val="004C13A3"/>
    <w:rsid w:val="004C4E9D"/>
    <w:rsid w:val="0054496A"/>
    <w:rsid w:val="005B417B"/>
    <w:rsid w:val="005F67DA"/>
    <w:rsid w:val="0061191D"/>
    <w:rsid w:val="007C6091"/>
    <w:rsid w:val="007F7643"/>
    <w:rsid w:val="00805D02"/>
    <w:rsid w:val="008605B8"/>
    <w:rsid w:val="008A5273"/>
    <w:rsid w:val="00912CAB"/>
    <w:rsid w:val="009F4274"/>
    <w:rsid w:val="00A304D3"/>
    <w:rsid w:val="00A70111"/>
    <w:rsid w:val="00B25760"/>
    <w:rsid w:val="00B3243E"/>
    <w:rsid w:val="00B61721"/>
    <w:rsid w:val="00C12889"/>
    <w:rsid w:val="00C510DD"/>
    <w:rsid w:val="00D16A90"/>
    <w:rsid w:val="00EB7845"/>
    <w:rsid w:val="00F7227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B078"/>
  <w15:docId w15:val="{1D0F26BF-E482-4F66-8D96-DF37FB5F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376" w:lineRule="auto"/>
      <w:ind w:lef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aliases w:val="1-tason otsikko"/>
    <w:basedOn w:val="Standard"/>
    <w:next w:val="Standard"/>
    <w:link w:val="berschrift1Zchn"/>
    <w:uiPriority w:val="99"/>
    <w:qFormat/>
    <w:rsid w:val="00A70111"/>
    <w:pPr>
      <w:keepNext/>
      <w:spacing w:after="0" w:line="240" w:lineRule="auto"/>
      <w:ind w:left="0" w:firstLine="0"/>
      <w:jc w:val="left"/>
      <w:outlineLvl w:val="0"/>
    </w:pPr>
    <w:rPr>
      <w:rFonts w:ascii="Cambria" w:eastAsia="Calibri" w:hAnsi="Cambria" w:cs="Cambria"/>
      <w:b/>
      <w:bCs/>
      <w:color w:val="auto"/>
      <w:kern w:val="32"/>
      <w:sz w:val="32"/>
      <w:szCs w:val="32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C510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510D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510DD"/>
    <w:rPr>
      <w:vertAlign w:val="superscript"/>
    </w:rPr>
  </w:style>
  <w:style w:type="character" w:customStyle="1" w:styleId="berschrift1Zchn">
    <w:name w:val="Überschrift 1 Zchn"/>
    <w:aliases w:val="1-tason otsikko Zchn"/>
    <w:basedOn w:val="Absatz-Standardschriftart"/>
    <w:link w:val="berschrift1"/>
    <w:uiPriority w:val="99"/>
    <w:rsid w:val="00A70111"/>
    <w:rPr>
      <w:rFonts w:ascii="Cambria" w:eastAsia="Calibri" w:hAnsi="Cambria" w:cs="Cambria"/>
      <w:b/>
      <w:bCs/>
      <w:kern w:val="32"/>
      <w:sz w:val="32"/>
      <w:szCs w:val="32"/>
      <w:lang w:val="ru-RU"/>
    </w:rPr>
  </w:style>
  <w:style w:type="character" w:styleId="Hyperlink">
    <w:name w:val="Hyperlink"/>
    <w:basedOn w:val="Absatz-Standardschriftart"/>
    <w:uiPriority w:val="99"/>
    <w:unhideWhenUsed/>
    <w:rsid w:val="007C6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6470-20F4-4E44-8EBB-DDB77B5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MTF</cp:lastModifiedBy>
  <cp:revision>2</cp:revision>
  <dcterms:created xsi:type="dcterms:W3CDTF">2019-05-25T17:20:00Z</dcterms:created>
  <dcterms:modified xsi:type="dcterms:W3CDTF">2019-05-25T17:20:00Z</dcterms:modified>
</cp:coreProperties>
</file>