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1" w:type="dxa"/>
        <w:tblLook w:val="04A0" w:firstRow="1" w:lastRow="0" w:firstColumn="1" w:lastColumn="0" w:noHBand="0" w:noVBand="1"/>
      </w:tblPr>
      <w:tblGrid>
        <w:gridCol w:w="2093"/>
        <w:gridCol w:w="142"/>
        <w:gridCol w:w="6804"/>
        <w:gridCol w:w="142"/>
      </w:tblGrid>
      <w:tr w:rsidR="0030081B">
        <w:trPr>
          <w:gridAfter w:val="1"/>
          <w:wAfter w:w="142" w:type="dxa"/>
        </w:trPr>
        <w:tc>
          <w:tcPr>
            <w:tcW w:w="2235" w:type="dxa"/>
            <w:gridSpan w:val="2"/>
          </w:tcPr>
          <w:p w:rsidR="0030081B" w:rsidRDefault="00C34326">
            <w:pPr>
              <w:ind w:hanging="3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892175" cy="113411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0081B" w:rsidRDefault="0030081B">
            <w:pPr>
              <w:rPr>
                <w:rFonts w:ascii="Times New Roman" w:hAnsi="Times New Roman"/>
                <w:b/>
              </w:rPr>
            </w:pPr>
          </w:p>
          <w:p w:rsidR="0030081B" w:rsidRDefault="00C34326">
            <w:pPr>
              <w:ind w:left="-108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ЭКСПЕРТНОЕ ЗАКЛЮЧЕНИЕ </w:t>
            </w:r>
          </w:p>
          <w:p w:rsidR="0030081B" w:rsidRDefault="00C34326">
            <w:pPr>
              <w:ind w:left="-108"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информационным материалам запроса                  Верховного Суда Российской Федерации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 xml:space="preserve"> от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19.11.2020</w:t>
            </w:r>
            <w:r>
              <w:t xml:space="preserve"> </w:t>
            </w:r>
          </w:p>
        </w:tc>
      </w:tr>
      <w:tr w:rsidR="0030081B">
        <w:trPr>
          <w:gridAfter w:val="1"/>
          <w:wAfter w:w="142" w:type="dxa"/>
        </w:trPr>
        <w:tc>
          <w:tcPr>
            <w:tcW w:w="2235" w:type="dxa"/>
            <w:gridSpan w:val="2"/>
          </w:tcPr>
          <w:p w:rsidR="0030081B" w:rsidRDefault="0030081B">
            <w:pPr>
              <w:jc w:val="center"/>
              <w:rPr>
                <w:rFonts w:ascii="Times New Roman" w:hAnsi="Times New Roman"/>
                <w:noProof/>
              </w:rPr>
            </w:pPr>
          </w:p>
          <w:p w:rsidR="0030081B" w:rsidRDefault="00C34326">
            <w:pPr>
              <w:ind w:hanging="3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Санкт-Петербург</w:t>
            </w:r>
          </w:p>
        </w:tc>
        <w:tc>
          <w:tcPr>
            <w:tcW w:w="6804" w:type="dxa"/>
          </w:tcPr>
          <w:p w:rsidR="0030081B" w:rsidRDefault="0030081B">
            <w:pPr>
              <w:rPr>
                <w:rFonts w:ascii="Times New Roman" w:hAnsi="Times New Roman"/>
                <w:b/>
              </w:rPr>
            </w:pPr>
          </w:p>
          <w:p w:rsidR="0030081B" w:rsidRDefault="00C3432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 января 2021 г.</w:t>
            </w:r>
          </w:p>
          <w:p w:rsidR="0030081B" w:rsidRDefault="0030081B">
            <w:pPr>
              <w:jc w:val="right"/>
              <w:rPr>
                <w:rFonts w:ascii="Times New Roman" w:hAnsi="Times New Roman"/>
              </w:rPr>
            </w:pPr>
          </w:p>
        </w:tc>
      </w:tr>
      <w:tr w:rsidR="0030081B">
        <w:tblPrEx>
          <w:tblLook w:val="01E0" w:firstRow="1" w:lastRow="1" w:firstColumn="1" w:lastColumn="1" w:noHBand="0" w:noVBand="0"/>
        </w:tblPrEx>
        <w:tc>
          <w:tcPr>
            <w:tcW w:w="2093" w:type="dxa"/>
          </w:tcPr>
          <w:p w:rsidR="0030081B" w:rsidRDefault="0030081B">
            <w:pPr>
              <w:spacing w:line="276" w:lineRule="auto"/>
              <w:ind w:hanging="30"/>
              <w:jc w:val="left"/>
              <w:rPr>
                <w:rFonts w:ascii="Times New Roman" w:hAnsi="Times New Roman"/>
                <w:u w:val="single"/>
              </w:rPr>
            </w:pPr>
          </w:p>
          <w:p w:rsidR="0030081B" w:rsidRDefault="00C34326">
            <w:pPr>
              <w:spacing w:line="276" w:lineRule="auto"/>
              <w:ind w:hanging="3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Адресат:</w:t>
            </w:r>
            <w:r>
              <w:rPr>
                <w:rFonts w:ascii="Times New Roman" w:hAnsi="Times New Roman"/>
              </w:rPr>
              <w:t> </w:t>
            </w:r>
          </w:p>
          <w:p w:rsidR="0030081B" w:rsidRDefault="0030081B">
            <w:pPr>
              <w:spacing w:line="276" w:lineRule="auto"/>
              <w:ind w:hanging="30"/>
              <w:jc w:val="lef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8" w:type="dxa"/>
            <w:gridSpan w:val="3"/>
          </w:tcPr>
          <w:p w:rsidR="0030081B" w:rsidRDefault="0030081B">
            <w:pPr>
              <w:spacing w:line="276" w:lineRule="auto"/>
              <w:ind w:hanging="15"/>
              <w:jc w:val="left"/>
              <w:rPr>
                <w:rFonts w:ascii="Times New Roman" w:hAnsi="Times New Roman"/>
                <w:b/>
              </w:rPr>
            </w:pPr>
          </w:p>
          <w:p w:rsidR="0030081B" w:rsidRDefault="00C34326">
            <w:pPr>
              <w:spacing w:line="276" w:lineRule="auto"/>
              <w:ind w:hanging="15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Верховный Суд Российской Федерации. </w:t>
            </w:r>
          </w:p>
        </w:tc>
      </w:tr>
      <w:tr w:rsidR="0030081B">
        <w:tblPrEx>
          <w:tblLook w:val="01E0" w:firstRow="1" w:lastRow="1" w:firstColumn="1" w:lastColumn="1" w:noHBand="0" w:noVBand="0"/>
        </w:tblPrEx>
        <w:tc>
          <w:tcPr>
            <w:tcW w:w="2093" w:type="dxa"/>
          </w:tcPr>
          <w:p w:rsidR="0030081B" w:rsidRDefault="00C34326">
            <w:pPr>
              <w:spacing w:before="120" w:after="120" w:line="276" w:lineRule="auto"/>
              <w:ind w:hanging="3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Экспертная организация:</w:t>
            </w:r>
          </w:p>
        </w:tc>
        <w:tc>
          <w:tcPr>
            <w:tcW w:w="7088" w:type="dxa"/>
            <w:gridSpan w:val="3"/>
          </w:tcPr>
          <w:p w:rsidR="0030081B" w:rsidRDefault="00C34326">
            <w:pPr>
              <w:spacing w:before="120" w:after="120" w:line="276" w:lineRule="auto"/>
              <w:ind w:hanging="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университет». </w:t>
            </w:r>
          </w:p>
          <w:p w:rsidR="0030081B" w:rsidRDefault="00C34326">
            <w:pPr>
              <w:spacing w:before="120" w:after="120" w:line="276" w:lineRule="auto"/>
              <w:ind w:hanging="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нахождения: Россия, 199034, Санкт-Петербург,</w:t>
            </w:r>
            <w:r>
              <w:rPr>
                <w:rFonts w:ascii="Times New Roman" w:hAnsi="Times New Roman"/>
              </w:rPr>
              <w:br/>
              <w:t>Университетская наб. д.7-9.</w:t>
            </w:r>
            <w:r>
              <w:rPr>
                <w:rFonts w:ascii="Times New Roman" w:hAnsi="Times New Roman"/>
              </w:rPr>
              <w:br/>
              <w:t>Тел: +7 (812) 328-20-00</w:t>
            </w:r>
            <w:r>
              <w:rPr>
                <w:rFonts w:ascii="Times New Roman" w:hAnsi="Times New Roman"/>
              </w:rPr>
              <w:br/>
              <w:t xml:space="preserve">Эл.почта: </w:t>
            </w:r>
            <w:hyperlink r:id="rId7" w:history="1">
              <w:r>
                <w:rPr>
                  <w:rStyle w:val="af"/>
                  <w:rFonts w:ascii="Times New Roman" w:hAnsi="Times New Roman"/>
                  <w:color w:val="auto"/>
                </w:rPr>
                <w:t>spbu@spbu.ru</w:t>
              </w:r>
            </w:hyperlink>
            <w:r>
              <w:rPr>
                <w:rFonts w:ascii="Times New Roman" w:hAnsi="Times New Roman"/>
              </w:rPr>
              <w:br/>
              <w:t xml:space="preserve">сайт: </w:t>
            </w:r>
            <w:hyperlink r:id="rId8" w:history="1">
              <w:r>
                <w:rPr>
                  <w:rStyle w:val="af"/>
                  <w:rFonts w:ascii="Times New Roman" w:hAnsi="Times New Roman"/>
                  <w:color w:val="auto"/>
                </w:rPr>
                <w:t>spbu.ru</w:t>
              </w:r>
            </w:hyperlink>
          </w:p>
        </w:tc>
      </w:tr>
      <w:tr w:rsidR="0030081B">
        <w:tblPrEx>
          <w:tblLook w:val="01E0" w:firstRow="1" w:lastRow="1" w:firstColumn="1" w:lastColumn="1" w:noHBand="0" w:noVBand="0"/>
        </w:tblPrEx>
        <w:tc>
          <w:tcPr>
            <w:tcW w:w="2093" w:type="dxa"/>
          </w:tcPr>
          <w:p w:rsidR="0030081B" w:rsidRDefault="00C34326">
            <w:pPr>
              <w:pStyle w:val="a3"/>
              <w:spacing w:beforeAutospacing="0" w:afterAutospacing="0" w:line="276" w:lineRule="auto"/>
              <w:ind w:hanging="30"/>
              <w:jc w:val="left"/>
              <w:rPr>
                <w:u w:val="single"/>
              </w:rPr>
            </w:pPr>
            <w:r>
              <w:rPr>
                <w:u w:val="single"/>
              </w:rPr>
              <w:t>Информационные материалы,  представленные для проведения исследования: </w:t>
            </w:r>
          </w:p>
        </w:tc>
        <w:tc>
          <w:tcPr>
            <w:tcW w:w="7088" w:type="dxa"/>
            <w:gridSpan w:val="3"/>
          </w:tcPr>
          <w:p w:rsidR="0030081B" w:rsidRDefault="00C34326">
            <w:pPr>
              <w:spacing w:before="120" w:after="120"/>
              <w:ind w:hanging="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Пленума Верховного Суда РФ «О некоторых вопросах разрешения споров о поручительстве»          на 26 л.</w:t>
            </w:r>
          </w:p>
          <w:p w:rsidR="0030081B" w:rsidRDefault="0030081B">
            <w:pPr>
              <w:pStyle w:val="a3"/>
              <w:spacing w:before="0" w:beforeAutospacing="0" w:after="0" w:afterAutospacing="0" w:line="276" w:lineRule="auto"/>
              <w:ind w:hanging="15"/>
              <w:jc w:val="left"/>
            </w:pPr>
          </w:p>
        </w:tc>
      </w:tr>
    </w:tbl>
    <w:p w:rsidR="0030081B" w:rsidRDefault="0030081B">
      <w:pPr>
        <w:spacing w:line="276" w:lineRule="auto"/>
        <w:ind w:firstLine="708"/>
        <w:rPr>
          <w:rFonts w:ascii="Times New Roman" w:hAnsi="Times New Roman"/>
          <w:sz w:val="28"/>
          <w:u w:val="single"/>
        </w:rPr>
      </w:pPr>
    </w:p>
    <w:p w:rsidR="0030081B" w:rsidRDefault="00C34326">
      <w:pPr>
        <w:spacing w:before="120" w:after="120"/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Общие положения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Ответственность за подготовку информационных материалов, предоставленных для экспертного исследования (далее – исходные материалы), несет лицо, направившее запрос.  Эксперт отвечает за выражение профессионального мнения по поставленным перед ним вопросам в</w:t>
      </w:r>
      <w:r>
        <w:rPr>
          <w:rFonts w:ascii="Times New Roman" w:hAnsi="Times New Roman"/>
          <w:color w:val="auto"/>
        </w:rPr>
        <w:t xml:space="preserve"> соответствии с законодательством Российской Федерации.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Экспертное исследование проведено в соответствии с законодательством РФ, внутренними правилами, действующими в СПбГУ. Экспертное исследование было спланировано, проведено с учетом обеспечения разумной</w:t>
      </w:r>
      <w:r>
        <w:rPr>
          <w:rFonts w:ascii="Times New Roman" w:hAnsi="Times New Roman"/>
          <w:color w:val="auto"/>
        </w:rPr>
        <w:t xml:space="preserve"> уверенности в полноте и достоверности исходных материалов для выражения экспертного суждения и, в том числе, включало в себя: а) изучение доказательств, подтверждающих значение и раскрытие информации в предоставленных исходных  материалах; б) оценку принц</w:t>
      </w:r>
      <w:r>
        <w:rPr>
          <w:rFonts w:ascii="Times New Roman" w:hAnsi="Times New Roman"/>
          <w:color w:val="auto"/>
        </w:rPr>
        <w:t xml:space="preserve">ипов и методов создания исходных материалов; в) определение главных оценочных значений, представленных в исходных материалов; г) оценку общего представления об исходных материалах.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Датой экспертного заключения является дата окончания экспертного исследова</w:t>
      </w:r>
      <w:r>
        <w:rPr>
          <w:rFonts w:ascii="Times New Roman" w:hAnsi="Times New Roman"/>
          <w:color w:val="auto"/>
        </w:rPr>
        <w:t>ния. По изменениям состава и содержания исходных материалов, которые могут иметь место после окончания экспертного исследования, экспертная организация ответственности не несет.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Вопросы, поставленные перед экспертной организацией</w:t>
      </w:r>
    </w:p>
    <w:p w:rsidR="0030081B" w:rsidRDefault="00C34326">
      <w:pPr>
        <w:spacing w:before="120" w:after="120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Экспертное исследование на</w:t>
      </w:r>
      <w:r>
        <w:rPr>
          <w:rFonts w:ascii="Times New Roman" w:hAnsi="Times New Roman"/>
        </w:rPr>
        <w:t xml:space="preserve">правлено на выражение мнения во всех существенных отношениях по поставленному перед экспертной организацией вопросу: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Высказать замечания и предложения </w:t>
      </w:r>
      <w:bookmarkStart w:id="0" w:name="_GoBack"/>
      <w:r>
        <w:rPr>
          <w:rFonts w:ascii="Times New Roman" w:hAnsi="Times New Roman"/>
        </w:rPr>
        <w:t>по проекту постановления Пленума Верховного Суда РФ «О некоторых вопросах разрешения споров о поручитель</w:t>
      </w:r>
      <w:r>
        <w:rPr>
          <w:rFonts w:ascii="Times New Roman" w:hAnsi="Times New Roman"/>
        </w:rPr>
        <w:t>стве»</w:t>
      </w:r>
      <w:bookmarkEnd w:id="0"/>
      <w:r>
        <w:rPr>
          <w:rFonts w:ascii="Times New Roman" w:hAnsi="Times New Roman"/>
        </w:rPr>
        <w:t>.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Перечень научных и иных источников, использованных для ответа на поставленный вопрос: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Конституция РФ;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Гражданский кодекс Российской Федерации;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Гражданский процессуальный кодекс Российской Федерации;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Арбитражный процессуальный кодекс Российской Федерации;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конституционный закон от 31.12.1996 № 1-ФКЗ «О судебной системе Российской Федерации»;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конституционный закон от  05.02.2014 № 3-ФКЗ «О Верховном Суде Российской Федерации»;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едеральный закон от  21.12.2013 № 353-ФЗ «О потребительском кредите (займе)»;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Пленума Высшего Арбитражного Суда Российской Федерации от 12.07.2012 № 42 «О некоторых вопросах разрешения споров, связанных с поручительством»;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Постановление Плену</w:t>
      </w:r>
      <w:r>
        <w:t xml:space="preserve">ма Верховного Суда Российской Федерации и Пленума Высшего Арбитражного Суда Российской Федерации от 8 октября 1998 года № 13/14 </w:t>
      </w:r>
      <w:r>
        <w:t>«</w:t>
      </w:r>
      <w:r>
        <w:t>О практике применения положений Гражданского кодекса Российской Федерации о процентах за пользование чужими денежными средствам</w:t>
      </w:r>
      <w:r>
        <w:t>и</w:t>
      </w:r>
      <w:r>
        <w:t>»</w:t>
      </w:r>
      <w:r>
        <w:t>;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 xml:space="preserve">Постановление Пленума Верховного Суда Российской Федерации от 29 мая 2012 года № 9 </w:t>
      </w:r>
      <w:r>
        <w:t>«</w:t>
      </w:r>
      <w:r>
        <w:t>О судебной практике по делам о наследовании</w:t>
      </w:r>
      <w:r>
        <w:t>»</w:t>
      </w:r>
      <w:r>
        <w:t>;</w:t>
      </w:r>
    </w:p>
    <w:p w:rsidR="0030081B" w:rsidRDefault="00C34326">
      <w:pPr>
        <w:pStyle w:val="ConsPlusTitle"/>
        <w:spacing w:before="120" w:after="120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Информационное письмо Президиума Высшего Арбитражного Суда Российской Федерации от 20 января 1998 г. № 28 «Обзор практики </w:t>
      </w:r>
      <w:r>
        <w:rPr>
          <w:rFonts w:ascii="Times New Roman" w:hAnsi="Times New Roman"/>
          <w:b w:val="0"/>
          <w:sz w:val="24"/>
        </w:rPr>
        <w:t>разрешения споров, связанных с применением арбитражными судами норм Гражданского кодекса Российской Федерации о поручительстве»;</w:t>
      </w:r>
    </w:p>
    <w:p w:rsidR="0030081B" w:rsidRDefault="00C34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Постановление Пленума Верховного Суда РФ от 24.12.2020 № 45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color w:val="auto"/>
        </w:rPr>
        <w:t>О некоторых вопросах разрешения споров о поручительстве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color w:val="auto"/>
        </w:rPr>
        <w:t>;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Коммента</w:t>
      </w:r>
      <w:r>
        <w:rPr>
          <w:rFonts w:ascii="Times New Roman" w:hAnsi="Times New Roman"/>
        </w:rPr>
        <w:t>рий к Гражданскому кодексу Российской Федерации: В 3 т. Комментарий к Гражданскому кодексу Российской Федерации, части первой (постатейный) (том 1) (3-е издание, переработанное и дополненное) (под ред. Т.Е. Абовой, А.Ю. Кабалкина) ("Юрайт-Издат", 2007).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Основные понятия, использованные в ходе исследования (в соответствии с перечисленными в Экспертном заключении научными и иными источниками):</w:t>
      </w:r>
    </w:p>
    <w:p w:rsidR="0030081B" w:rsidRDefault="00C34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>Поручительство</w:t>
      </w:r>
      <w:r>
        <w:rPr>
          <w:rFonts w:ascii="Times New Roman" w:hAnsi="Times New Roman"/>
          <w:color w:val="auto"/>
        </w:rPr>
        <w:t xml:space="preserve"> - договорный способ обеспечения исполнения гражданско-</w:t>
      </w:r>
      <w:r>
        <w:rPr>
          <w:rFonts w:ascii="Times New Roman" w:hAnsi="Times New Roman"/>
          <w:color w:val="auto"/>
          <w:shd w:val="clear" w:color="auto" w:fill="FFFFFF"/>
        </w:rPr>
        <w:t>правового обязательства, в соответствии с кото</w:t>
      </w:r>
      <w:r>
        <w:rPr>
          <w:rFonts w:ascii="Times New Roman" w:hAnsi="Times New Roman"/>
          <w:color w:val="auto"/>
          <w:shd w:val="clear" w:color="auto" w:fill="FFFFFF"/>
        </w:rPr>
        <w:t xml:space="preserve">рым поручитель обязывается перед </w:t>
      </w:r>
      <w:r>
        <w:rPr>
          <w:rFonts w:ascii="Times New Roman" w:hAnsi="Times New Roman"/>
          <w:color w:val="auto"/>
        </w:rPr>
        <w:t xml:space="preserve">кредитором другого лица отвечать за исполнение последним его обязательства полностью или в части (п. 1 ст. 329, п. 1 ст. 361 ГК РФ). 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Содержание исследования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126 Конституции РФ, ст. 19 Федерального конституционного закона от 31.12.1996 № 1-ФКЗ «О судебной системе Российской Федерации», ст. 2 и 5 Федерального конституционного закона от  05.02.2014 № 3-ФКЗ "О Верховном Суде Российской Федера</w:t>
      </w:r>
      <w:r>
        <w:rPr>
          <w:rFonts w:ascii="Times New Roman" w:hAnsi="Times New Roman"/>
        </w:rPr>
        <w:t>ции" Верховный Суд РФ дает разъяснения по вопросам судебной практики, которые имеют целью «обеспечение единообразного применения законодательства Российской Федерации».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период подготовки настоящего экспертного заключения (далее – Заключение) по Проекту П</w:t>
      </w:r>
      <w:r>
        <w:rPr>
          <w:rFonts w:ascii="Times New Roman" w:hAnsi="Times New Roman"/>
        </w:rPr>
        <w:t>ленумом  Верховного Суда РФ 24 декабря 2020 г. принято постановление № 45 «О некоторых вопросах  разрешения споров о поручительстве» (далее – Постановление). Правовые позиции, изложенные в Проекте и в Постановлении, совпадают в основных положениях. В связи</w:t>
      </w:r>
      <w:r>
        <w:rPr>
          <w:rFonts w:ascii="Times New Roman" w:hAnsi="Times New Roman"/>
        </w:rPr>
        <w:t xml:space="preserve"> с этим в Заключении, помимо общей характеристики Постановления, содержится мнение экспертов преимущественно по тем положениям Постановления, которые могут вызвать разночтения при их толковании, и поэтому, во избежание затруднений в процессе дальнейшего пр</w:t>
      </w:r>
      <w:r>
        <w:rPr>
          <w:rFonts w:ascii="Times New Roman" w:hAnsi="Times New Roman"/>
        </w:rPr>
        <w:t xml:space="preserve">авоприменения, могут нуждаться в дополнительном уточнении.     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Комментируемые разъяснения ВС РФ по вопросам применения норм о поручительстве целесообразно условно разделить на три группы положений (пунктов):</w:t>
      </w:r>
    </w:p>
    <w:p w:rsidR="0030081B" w:rsidRDefault="00C34326">
      <w:pPr>
        <w:tabs>
          <w:tab w:val="left" w:pos="1125"/>
        </w:tabs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ab/>
        <w:t xml:space="preserve">содержащие абстрактное толкование </w:t>
      </w:r>
      <w:r>
        <w:rPr>
          <w:rFonts w:ascii="Times New Roman" w:hAnsi="Times New Roman"/>
        </w:rPr>
        <w:t>законодательства;</w:t>
      </w:r>
    </w:p>
    <w:p w:rsidR="0030081B" w:rsidRDefault="00C34326">
      <w:pPr>
        <w:tabs>
          <w:tab w:val="left" w:pos="1125"/>
        </w:tabs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2)  содержащие не разъяснения закона, а новые правила, не предусмотренные законом;</w:t>
      </w:r>
    </w:p>
    <w:p w:rsidR="0030081B" w:rsidRDefault="00C34326">
      <w:pPr>
        <w:tabs>
          <w:tab w:val="left" w:pos="1125"/>
        </w:tabs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3)  повторяющие текст закона без каких-либо содержательных разъяснений по его применению.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0081B" w:rsidRDefault="00C34326">
      <w:pPr>
        <w:spacing w:before="120" w:after="120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Предложения по пунктам Проекта и Постановления, содержащим абст</w:t>
      </w:r>
      <w:r>
        <w:rPr>
          <w:rFonts w:ascii="Times New Roman" w:hAnsi="Times New Roman"/>
          <w:b/>
        </w:rPr>
        <w:t>рактное толкование законодательства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Положения, которые целесообразно уточнить или дополнить примерами 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 2, абзац 3.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Необходимо уточнить судьбу поручительства, в силу которого поручитель принял обязанность исполнить за должника неденежное обязател</w:t>
      </w:r>
      <w:r>
        <w:rPr>
          <w:rFonts w:ascii="Times New Roman" w:hAnsi="Times New Roman"/>
        </w:rPr>
        <w:t>ьство в натуре: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если обязанность поручителя </w:t>
      </w:r>
      <w:r>
        <w:rPr>
          <w:rFonts w:ascii="Times New Roman" w:hAnsi="Times New Roman"/>
          <w:i/>
        </w:rPr>
        <w:t xml:space="preserve">субсидиарная </w:t>
      </w:r>
      <w:r>
        <w:rPr>
          <w:rFonts w:ascii="Times New Roman" w:hAnsi="Times New Roman"/>
        </w:rPr>
        <w:t>(в Постановлении упоминается только случай с солидарной ответственностью)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>2) допустимо ли такое поручительство в отношениях, не связанных с осуществлением предпринимательской деятельности (нормы с</w:t>
      </w:r>
      <w:r>
        <w:rPr>
          <w:rFonts w:ascii="Times New Roman" w:hAnsi="Times New Roman"/>
        </w:rPr>
        <w:t xml:space="preserve">т. 391 ГК РФ, к которым </w:t>
      </w:r>
      <w:r>
        <w:rPr>
          <w:rFonts w:ascii="Times New Roman" w:hAnsi="Times New Roman"/>
        </w:rPr>
        <w:lastRenderedPageBreak/>
        <w:t>отсылает п. 2 Постановления, распространяются только на обязательства, связанные с осуществлением его сторонами предпринимательской деятельности).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Постановлении предлагается ограничительное толкование п. 1 ст. 361 ГК РФ. Поскольку</w:t>
      </w:r>
      <w:r>
        <w:rPr>
          <w:rFonts w:ascii="Times New Roman" w:hAnsi="Times New Roman"/>
        </w:rPr>
        <w:t xml:space="preserve"> такое толкование ограничивает свободу воли сторон, целесообразно объяснить его мотивы. 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 4, абзац 1.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Целесообразно привести примеры установления поручительства во вред должнику.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 5, абзац 2.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Целесообразно привести примеры заключения договора по</w:t>
      </w:r>
      <w:r>
        <w:rPr>
          <w:rFonts w:ascii="Times New Roman" w:hAnsi="Times New Roman"/>
        </w:rPr>
        <w:t>ручительства в порядке п. 3 ст. 434 ГК РФ.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Пункт 13 – пункт 15.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Разъяснения, включенные в эти пункты, посвящены множественности поручителей и залогодержателей. Некоторые сходные по предмету разъяснения помещены в разные места текста.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Целесообразно было бы</w:t>
      </w:r>
      <w:r>
        <w:rPr>
          <w:rFonts w:ascii="Times New Roman" w:hAnsi="Times New Roman"/>
        </w:rPr>
        <w:t xml:space="preserve"> разместить разъяснения в тексте пунктов более логично.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абзаце 3 п. 13 говорится о совместном поручительстве, но его определение включено в п. 15.  Разъяснения о совместном поручительстве должны следовать после его определения.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п. 13 было бы целесообр</w:t>
      </w:r>
      <w:r>
        <w:rPr>
          <w:rFonts w:ascii="Times New Roman" w:hAnsi="Times New Roman"/>
        </w:rPr>
        <w:t>азно переместить абзац 1 п. 14, поскольку это общая презумпция.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Пункт 15, абзац 2: разъяснение подчеркивает, что норма п. 3 ст. 363 ГК РФ является диспозитивной. Целесообразно подчеркнуть именно это, поскольку в остальной части пункт повторяет текст закон</w:t>
      </w:r>
      <w:r>
        <w:rPr>
          <w:rFonts w:ascii="Times New Roman" w:hAnsi="Times New Roman"/>
        </w:rPr>
        <w:t>а.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 17, абзац 2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Разъяснение не находит прямого подтверждения в нормах закона; оно ограничивает свободу договора, а потому нуждается в пояснениях в свете принципа, изложенного в п. 2 ст. 1 ГК РФ: 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Чем опасно ограничение возражений поручителя?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Почему разъяснение применяется одинаково ко всем поручителям (и гражданам-потребителям, и предпринимателям)?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 18, абзац 2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Разъяснение необходимо довести до логического конца. 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Из закона не следует, что норма п. 1 ст. 365 ГК РФ устанавливает исключени</w:t>
      </w:r>
      <w:r>
        <w:rPr>
          <w:rFonts w:ascii="Times New Roman" w:hAnsi="Times New Roman"/>
        </w:rPr>
        <w:t xml:space="preserve">е из общего правила п. 1 ст. 387 ГК РФ о суброгации, хотя по воззрениям практики поручитель в порядке п. 1 ст. 365 ГК РФ приобретает регрессное требование к должнику. 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учетом правоприменительной практики в Постановление было бы </w:t>
      </w:r>
      <w:r>
        <w:rPr>
          <w:rFonts w:ascii="Times New Roman" w:hAnsi="Times New Roman"/>
          <w:shd w:val="clear" w:color="auto" w:fill="FFFFFF"/>
        </w:rPr>
        <w:t xml:space="preserve">целесообразно включить пояснения: при применении нормы п. 1 ст. 365 ГК РФ, у </w:t>
      </w:r>
      <w:r>
        <w:rPr>
          <w:rFonts w:ascii="Times New Roman" w:hAnsi="Times New Roman"/>
        </w:rPr>
        <w:t>поручителя нет прав, которые возникли бы у него в результате суброгации требования к должнику (не начисляются регулятивные проценты на сумму долга, не применяются правила о запрет</w:t>
      </w:r>
      <w:r>
        <w:rPr>
          <w:rFonts w:ascii="Times New Roman" w:hAnsi="Times New Roman"/>
        </w:rPr>
        <w:t>е начисления процентов на проценты).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Пункт 25, абзац 1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пояснить, почему бремя доказывания нарушения прав поручителя возлагается на него.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Логике гражданского права в целом, и отношений поручительства в частности, соответствует установление презум</w:t>
      </w:r>
      <w:r>
        <w:rPr>
          <w:rFonts w:ascii="Times New Roman" w:hAnsi="Times New Roman"/>
        </w:rPr>
        <w:t>пции нарушения прав поручителя сепаратным соглашением между должником и кредитором.</w:t>
      </w:r>
    </w:p>
    <w:p w:rsidR="0030081B" w:rsidRDefault="00C34326">
      <w:pPr>
        <w:pStyle w:val="ConsPlusNormal"/>
        <w:spacing w:before="120" w:after="120"/>
        <w:ind w:firstLine="708"/>
        <w:jc w:val="both"/>
        <w:rPr>
          <w:b/>
        </w:rPr>
      </w:pPr>
      <w:r>
        <w:rPr>
          <w:b/>
        </w:rPr>
        <w:t>Пункт 31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Как следует из текста Постановления, «После расторжения договора, из которого возникло основное обязательство (статьи 310, 450 ГК РФ), поручительство продолжает об</w:t>
      </w:r>
      <w:r>
        <w:t xml:space="preserve">еспечивать обязанности, которые сохраняются при расторжении такого договора (например, обязанность по возврату основной суммы долга и процентов по кредитному договору, по внесению арендной платы) либо связаны с его расторжением (например, обязательства по </w:t>
      </w:r>
      <w:r>
        <w:t xml:space="preserve">возвращению того, что было предоставлено стороной по договору, либо по выплате стоимости предоставленного имущества)». 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Такое заключение ВС РФ может быть воспринято буквально, т.е. указывающее на сохранение для поручителя всех обязанностей по основному дог</w:t>
      </w:r>
      <w:r>
        <w:t>овору, в случае расторжения последнего.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 xml:space="preserve">Представляется, что было бы правильным указать на следующее возможное исключение из данного правила: «Если из договора поручительства с очевидностью не следует обязанность поручителя отвечать перед кредитором только </w:t>
      </w:r>
      <w:r>
        <w:t>за определенные обязанности должника».</w:t>
      </w:r>
      <w:r>
        <w:rPr>
          <w:b/>
        </w:rPr>
        <w:t xml:space="preserve"> </w:t>
      </w:r>
    </w:p>
    <w:p w:rsidR="0030081B" w:rsidRDefault="00C34326">
      <w:pPr>
        <w:pStyle w:val="ConsPlusNormal"/>
        <w:spacing w:before="120" w:after="120"/>
        <w:ind w:firstLine="708"/>
        <w:jc w:val="both"/>
        <w:rPr>
          <w:b/>
        </w:rPr>
      </w:pPr>
      <w:r>
        <w:rPr>
          <w:b/>
        </w:rPr>
        <w:t>Пункт 41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Согласно разъяснения ВС РФ поручитель освобождается от ответственности в той мере, в какой он мог потребовать возмещения за счет утраченного по обстоятельствам, зависящим от кредитора, обеспечения, если дока</w:t>
      </w:r>
      <w:r>
        <w:t>жет, что в момент заключения договора поручительства он был вправе разумно рассчитывать на такое возмещение. Если поручитель является предпринимателем, то иные последствия прекращения других обеспечений основного обязательства могут быть предусмотрены дого</w:t>
      </w:r>
      <w:r>
        <w:t>вором.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 xml:space="preserve">Представляется, что данное положение следовало бы уточнить указанием на то, что поручитель освобождается от ответственности, если докажет, что он мог разумно рассчитывать на </w:t>
      </w:r>
      <w:r>
        <w:rPr>
          <w:i/>
        </w:rPr>
        <w:t xml:space="preserve">реальность  получения </w:t>
      </w:r>
      <w:r>
        <w:t>возмещения из такого обеспечения по основному обязате</w:t>
      </w:r>
      <w:r>
        <w:t>льству.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Кроме того, было бы целесообразно привести пример освобождающего поручителя от ответственности обстоятельства, зависящего от кредитора (соглашение кредитора с должником или с третьим лицом о прекращении обеспечения и т.п.).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Положения, вызывающи</w:t>
      </w:r>
      <w:r>
        <w:rPr>
          <w:rFonts w:ascii="Times New Roman" w:hAnsi="Times New Roman"/>
          <w:b/>
        </w:rPr>
        <w:t>е возражения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 5, абзац 3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Включение в один документ нескольких самостоятельных сделок между различными сторонами все чаще встречается на практике. Подобные документы (и, соответственно, сделки) называют многосторонними договорами, что противоречит суще</w:t>
      </w:r>
      <w:r>
        <w:rPr>
          <w:rFonts w:ascii="Times New Roman" w:hAnsi="Times New Roman"/>
        </w:rPr>
        <w:t xml:space="preserve">ствующему в российском праве понятию многостороннего договора как договора, </w:t>
      </w:r>
      <w:r>
        <w:rPr>
          <w:rFonts w:ascii="Times New Roman" w:hAnsi="Times New Roman"/>
        </w:rPr>
        <w:lastRenderedPageBreak/>
        <w:t>все стороны которого действуют к общей цели. Подобные «договоры» дестабилизируют оборот, поскольку часто не позволяют установить синаллагматические связи между лицами, участвующими</w:t>
      </w:r>
      <w:r>
        <w:rPr>
          <w:rFonts w:ascii="Times New Roman" w:hAnsi="Times New Roman"/>
        </w:rPr>
        <w:t xml:space="preserve"> в них и преследующими каждый – собственную цель, не совпадающую с целями других участников. В тоже время такого рода практика составления и подписания единого документа обусловлена подчас удобством доказывания факта осведомленности участников соответствую</w:t>
      </w:r>
      <w:r>
        <w:rPr>
          <w:rFonts w:ascii="Times New Roman" w:hAnsi="Times New Roman"/>
        </w:rPr>
        <w:t>щих отношений о составе имеющих для них значение прав и обязанностей (между кредитором и должником, поручителем и кредитором, поручителем и должником).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Полагаем, что  Верховный Суд РФ как минимум не должен был легализовывать такого рода «многосторонние» до</w:t>
      </w:r>
      <w:r>
        <w:rPr>
          <w:rFonts w:ascii="Times New Roman" w:hAnsi="Times New Roman"/>
        </w:rPr>
        <w:t>говоры. Для этого из текста Проекта следовало бы исключить фразу «включение условий поручительства в основное обязательство, которые также подписаны поручителем». В качестве альтернативы, Постановление могло бы содержать разъяснение о необходимости четкого</w:t>
      </w:r>
      <w:r>
        <w:rPr>
          <w:rFonts w:ascii="Times New Roman" w:hAnsi="Times New Roman"/>
        </w:rPr>
        <w:t xml:space="preserve"> разграничения в тексте указанных документов составов соответствующих правоотношений.  </w:t>
      </w:r>
    </w:p>
    <w:p w:rsidR="0030081B" w:rsidRDefault="00C34326">
      <w:pPr>
        <w:pStyle w:val="ConsPlusNormal"/>
        <w:spacing w:before="120" w:after="120"/>
        <w:ind w:firstLine="708"/>
        <w:jc w:val="both"/>
        <w:rPr>
          <w:b/>
        </w:rPr>
      </w:pPr>
      <w:r>
        <w:rPr>
          <w:b/>
        </w:rPr>
        <w:t>Пункт 43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По мнению ВС РФ, условие договора о действии поручительства до момента фактического исполнения основного обязательства не свидетельствует об установлении опред</w:t>
      </w:r>
      <w:r>
        <w:t>еленного срока поручительства, поскольку «В силу пункта 2 статьи 314 ГК РФ кредитор должен предъявить требование к поручителю в течение сроков, установленных пунктом 6 статьи 367 ГК РФ».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Такой подход представляется ошибочным, как противоречащий не только п</w:t>
      </w:r>
      <w:r>
        <w:t xml:space="preserve">ринципу свободы договора, имеющему повышенное значение для отношений между предпринимателями, но и смыслу текста п. 1 ст. 314 ГК РФ.    </w:t>
      </w:r>
    </w:p>
    <w:p w:rsidR="0030081B" w:rsidRDefault="00C34326">
      <w:pPr>
        <w:pStyle w:val="HTML"/>
        <w:spacing w:before="120" w:after="120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Пункт 48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 xml:space="preserve">В Постановлении ВС РФ ограничился указанием на то, что «Недостаточность у поручителя имущества для исполнения </w:t>
      </w:r>
      <w:r>
        <w:t>договора поручительства на момент его заключения сама по себе не может служить основанием для признания договора поручительства недействительным (пункт 1 статьи 421 ГК РФ)».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Полагаем, что было бы правильнее дополнить Постановление и (или) учитывать при пос</w:t>
      </w:r>
      <w:r>
        <w:t>ледующем правоприменении, следуя принципу добросовестности, следующее разъяснение: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«В то же время, при заключении договора поручительства поручитель, действующий добросовестно, обязан заблаговременно сообщить кредитору о наличии обстоятельств, которые могу</w:t>
      </w:r>
      <w:r>
        <w:t>т сделать невозможным или затруднить исполнение обязанности поручителя перед кредитором (отсутствие достаточного имущества и т.п.). Неисполнение этой обязанности, может, в зависимости от обстоятельств дела, являться основанием для требования о признании до</w:t>
      </w:r>
      <w:r>
        <w:t>говора поручительства недействительным, компенсации убытков, отказа от договора и применения иных способов защиты права кредитора по выбору последнего (ст. ст. 178, 179, 431.2, 434.4 и др. ГК РФ)».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Пункты Проекта, содержащие новые нормы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 9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Включенное</w:t>
      </w:r>
      <w:r>
        <w:rPr>
          <w:rFonts w:ascii="Times New Roman" w:hAnsi="Times New Roman"/>
        </w:rPr>
        <w:t xml:space="preserve"> в Проект правило о применении в отношении поручительства, обеспечивающего потребительский кредит (заем), норм Федерального закона от  21.12.2013 № 353-ФЗ «О потребительском кредите (займе)» не основано на законе. При этом остается неясным, должны ли приме</w:t>
      </w:r>
      <w:r>
        <w:rPr>
          <w:rFonts w:ascii="Times New Roman" w:hAnsi="Times New Roman"/>
        </w:rPr>
        <w:t>няться к договору поручительства нормы Закона, на которые нет ссылки в Проекте (ст. ст. 5, 7, 10 и т. д.)?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rPr>
          <w:b/>
        </w:rPr>
        <w:t>Пункт 40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По мнению ВС РФ, «Поручитель вправе предложить кредитору надлежащее исполнение неденежного обязательства за должника, если из условий основн</w:t>
      </w:r>
      <w:r>
        <w:t>ого обязательства не вытекает, что оно должно быть исполнено лично должником. Поручительство прекращается при отказе кредитора принять надлежащее исполнение, предложенное поручителем за должника (пункт 5 статьи 367 ГК РФ)».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Такое разъяснение может привести</w:t>
      </w:r>
      <w:r>
        <w:t xml:space="preserve"> к выводу о праве поручителя осуществить исполнение за должника в любое время, в том числе до истечения срока исполнения обеспеченной поручительством обязанности должника. 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В данном случае было правильнее сделать ссылку на необходимость учета правил ст.313</w:t>
      </w:r>
      <w:r>
        <w:t xml:space="preserve"> ГК, устанавливающей условия исполнения обязательства третьим лицом.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Пункты, не содержащие разъяснения закона и повторяющие его текст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Представляется излишним включение в текст Постановления положений, содержащихся в  следующих нормах (пункт 1, абзац 1; пу</w:t>
      </w:r>
      <w:r>
        <w:rPr>
          <w:rFonts w:ascii="Times New Roman" w:hAnsi="Times New Roman"/>
        </w:rPr>
        <w:t>нкт 3, абзац 1 и 2; пункт 7, абзац 2; пункт  11; пункт 12, абзац  1; пункт 13, абзац 3; пункт 20, абзац  1; пункт 27, абзац  1, пункты 34 и 35, пункт 40  -  и др.).  Если в некоторых случаях цитирование в Постановлении законодательных норм обусловлено стил</w:t>
      </w:r>
      <w:r>
        <w:rPr>
          <w:rFonts w:ascii="Times New Roman" w:hAnsi="Times New Roman"/>
        </w:rPr>
        <w:t>ем изложения, имеющим цель облегчить восприятие следующих за цитированием разъяснений (поскольку отсутствует необходимость всякий раз обращаться к комментируемому ВС РФ тексту закона), то такой метод сообщения позиции ВС РФ должен быть последовательно выде</w:t>
      </w:r>
      <w:r>
        <w:rPr>
          <w:rFonts w:ascii="Times New Roman" w:hAnsi="Times New Roman"/>
        </w:rPr>
        <w:t xml:space="preserve">ржан по всему тексту Постановления. При этом каждый случай буквального воспроизведения законодательных норм необходимо сопровождать соответствующим разъяснением </w:t>
      </w:r>
      <w:r>
        <w:rPr>
          <w:rFonts w:ascii="Times New Roman" w:hAnsi="Times New Roman"/>
          <w:shd w:val="clear" w:color="auto" w:fill="FFFFFF"/>
        </w:rPr>
        <w:t xml:space="preserve">отдельных положений соответствующей нормы (например, в п. 34 такое разъяснение не </w:t>
      </w:r>
      <w:r>
        <w:rPr>
          <w:rFonts w:ascii="Times New Roman" w:hAnsi="Times New Roman"/>
        </w:rPr>
        <w:t xml:space="preserve">содержится). </w:t>
      </w:r>
      <w:r>
        <w:rPr>
          <w:rFonts w:ascii="Times New Roman" w:hAnsi="Times New Roman"/>
        </w:rPr>
        <w:t xml:space="preserve">    </w:t>
      </w:r>
    </w:p>
    <w:p w:rsidR="0030081B" w:rsidRDefault="00C34326">
      <w:pPr>
        <w:pStyle w:val="ConsPlusNormal"/>
        <w:spacing w:before="120" w:after="120"/>
        <w:ind w:firstLine="708"/>
        <w:jc w:val="both"/>
      </w:pPr>
      <w:r>
        <w:t>В ряде случаев предлагаемое ВС РФ, казалось бы и без того очевидное,  разъяснение может вызвать дополнительное  затруднение в его значении. Так в п. 30 Постановления указано, что «Если обязательство должника было обеспечено поручительством частично, произв</w:t>
      </w:r>
      <w:r>
        <w:t>еденный должником платеж прекращает основное обязательство в необеспеченной части (абзац второй пункта 1 статьи 367 ГК РФ). Договором поручительства может быть предусмотрено иное».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Уточнение о возможности предусмотреть иное в договоре, возможно, следовало </w:t>
      </w:r>
      <w:r>
        <w:rPr>
          <w:rFonts w:ascii="Times New Roman" w:hAnsi="Times New Roman"/>
        </w:rPr>
        <w:t xml:space="preserve">бы «вынести за скобки», продублировав в общих положениях применительно к положениям о поручительстве ранее данные ВС и ВАС разъяснения о действии принципа свободы договора и понимании в связи с этим признаков императивности соответствующей законодательной </w:t>
      </w:r>
      <w:r>
        <w:rPr>
          <w:rFonts w:ascii="Times New Roman" w:hAnsi="Times New Roman"/>
        </w:rPr>
        <w:t xml:space="preserve">нормы. В противном случае, может создаться ошибочное впечатление о том, что, по мнению ВС РФ, иное может быть предусмотрено договором лишь для тех случаев, для которых в Постановлении делается специальная оговорка. </w:t>
      </w:r>
    </w:p>
    <w:p w:rsidR="0030081B" w:rsidRDefault="0030081B">
      <w:pPr>
        <w:spacing w:before="120" w:after="120"/>
        <w:ind w:firstLine="708"/>
        <w:rPr>
          <w:rFonts w:ascii="Times New Roman" w:hAnsi="Times New Roman"/>
        </w:rPr>
      </w:pPr>
    </w:p>
    <w:p w:rsidR="0030081B" w:rsidRDefault="00C34326">
      <w:pPr>
        <w:spacing w:before="120" w:after="120"/>
        <w:ind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Выводы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и Постановление содержат </w:t>
      </w:r>
      <w:r>
        <w:rPr>
          <w:rFonts w:ascii="Times New Roman" w:hAnsi="Times New Roman"/>
        </w:rPr>
        <w:t>разъяснения, которые, безусловно, будут способствовать как укреплению стабильности оборота, так и защите его добросовестного участника.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Однако для повышения эффективности Постановления было бы целесообразно дополнить его дополнительными примерами, иллюстри</w:t>
      </w:r>
      <w:r>
        <w:rPr>
          <w:rFonts w:ascii="Times New Roman" w:hAnsi="Times New Roman"/>
        </w:rPr>
        <w:t>рующими предлагаемое Пленумом толкование норм, и мотивами, положенными в основу соответствующих разъяснений.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ряде случаев включение таких примеров или дополнительных уточнений в текст Постановления является крайне необходимым, поскольку их отсутствие мож</w:t>
      </w:r>
      <w:r>
        <w:rPr>
          <w:rFonts w:ascii="Times New Roman" w:hAnsi="Times New Roman"/>
        </w:rPr>
        <w:t xml:space="preserve">ет привести к ошибочному восприятию сформулированных ВС РФ разъяснений.  </w:t>
      </w:r>
    </w:p>
    <w:p w:rsidR="0030081B" w:rsidRDefault="00C34326">
      <w:pPr>
        <w:spacing w:before="120" w:after="12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внесения указанных изменений предлагаемые в Заключении рекомендации могут быть учтены в правоприменительной практике ВС РФ. </w:t>
      </w:r>
    </w:p>
    <w:p w:rsidR="0030081B" w:rsidRDefault="0030081B">
      <w:pPr>
        <w:spacing w:before="120" w:after="120"/>
        <w:rPr>
          <w:rFonts w:ascii="Times New Roman" w:hAnsi="Times New Roman"/>
        </w:rPr>
      </w:pPr>
    </w:p>
    <w:p w:rsidR="0030081B" w:rsidRDefault="00C34326">
      <w:pPr>
        <w:pStyle w:val="PreformattedText"/>
        <w:shd w:val="clear" w:color="auto" w:fill="FFFFFF"/>
        <w:spacing w:before="120"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Исследование в объеме 8 страниц.</w:t>
      </w:r>
    </w:p>
    <w:p w:rsidR="0030081B" w:rsidRDefault="0030081B">
      <w:pPr>
        <w:pStyle w:val="1"/>
        <w:shd w:val="clear" w:color="auto" w:fill="FFFFFF"/>
        <w:spacing w:before="120" w:after="120"/>
        <w:contextualSpacing/>
      </w:pPr>
    </w:p>
    <w:p w:rsidR="0030081B" w:rsidRDefault="00C34326">
      <w:pPr>
        <w:spacing w:before="120" w:after="1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</w:p>
    <w:p w:rsidR="0030081B" w:rsidRDefault="00C34326">
      <w:pPr>
        <w:spacing w:before="120" w:after="120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Центра экспертиз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Попов</w:t>
      </w:r>
    </w:p>
    <w:p w:rsidR="0030081B" w:rsidRDefault="0030081B">
      <w:pPr>
        <w:spacing w:before="120" w:after="120"/>
        <w:rPr>
          <w:rFonts w:ascii="Times New Roman" w:hAnsi="Times New Roman"/>
        </w:rPr>
      </w:pPr>
    </w:p>
    <w:sectPr w:rsidR="0030081B">
      <w:headerReference w:type="default" r:id="rId9"/>
      <w:footerReference w:type="default" r:id="rId10"/>
      <w:pgSz w:w="11906" w:h="16838" w:code="9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26" w:rsidRDefault="00C34326">
      <w:r>
        <w:separator/>
      </w:r>
    </w:p>
  </w:endnote>
  <w:endnote w:type="continuationSeparator" w:id="0">
    <w:p w:rsidR="00C34326" w:rsidRDefault="00C3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1B" w:rsidRDefault="0030081B">
    <w:pPr>
      <w:pStyle w:val="a8"/>
      <w:rPr>
        <w:rFonts w:ascii="Times New Roman" w:hAnsi="Times New Roman"/>
        <w:sz w:val="16"/>
      </w:rPr>
    </w:pPr>
  </w:p>
  <w:p w:rsidR="0030081B" w:rsidRDefault="0030081B">
    <w:pPr>
      <w:pStyle w:val="a8"/>
      <w:rPr>
        <w:rFonts w:ascii="Times New Roman" w:hAnsi="Times New Roman"/>
        <w:sz w:val="16"/>
      </w:rPr>
    </w:pPr>
  </w:p>
  <w:p w:rsidR="0030081B" w:rsidRDefault="00C34326">
    <w:pPr>
      <w:pStyle w:val="a8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Центр экспертиз СПбГУ 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>Директор ___________________А.В. Попов</w:t>
    </w:r>
  </w:p>
  <w:p w:rsidR="0030081B" w:rsidRDefault="00300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26" w:rsidRDefault="00C34326">
      <w:r>
        <w:separator/>
      </w:r>
    </w:p>
  </w:footnote>
  <w:footnote w:type="continuationSeparator" w:id="0">
    <w:p w:rsidR="00C34326" w:rsidRDefault="00C3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1441"/>
      <w:gridCol w:w="7172"/>
      <w:gridCol w:w="1134"/>
    </w:tblGrid>
    <w:tr w:rsidR="0030081B">
      <w:trPr>
        <w:trHeight w:val="844"/>
      </w:trPr>
      <w:tc>
        <w:tcPr>
          <w:tcW w:w="1441" w:type="dxa"/>
        </w:tcPr>
        <w:p w:rsidR="0030081B" w:rsidRDefault="00C34326">
          <w:pPr>
            <w:pStyle w:val="a6"/>
            <w:ind w:right="360" w:hanging="30"/>
            <w:rPr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446405" cy="556260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5" cy="556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2" w:type="dxa"/>
        </w:tcPr>
        <w:p w:rsidR="0030081B" w:rsidRDefault="0030081B">
          <w:pPr>
            <w:pStyle w:val="a6"/>
            <w:ind w:right="360"/>
            <w:rPr>
              <w:sz w:val="16"/>
            </w:rPr>
          </w:pPr>
        </w:p>
        <w:p w:rsidR="0030081B" w:rsidRDefault="00C34326">
          <w:pPr>
            <w:pStyle w:val="a6"/>
            <w:ind w:right="360" w:firstLine="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Экспертное заключение СПбГУ от 13.01.2021 по информационным материалам запроса Верховного Суда Российской Феде</w:t>
          </w:r>
          <w:r>
            <w:rPr>
              <w:rFonts w:ascii="Times New Roman" w:hAnsi="Times New Roman"/>
              <w:sz w:val="16"/>
            </w:rPr>
            <w:t xml:space="preserve">рации  от </w:t>
          </w:r>
          <w:bookmarkStart w:id="1" w:name="_dx_frag_StartFragment"/>
          <w:bookmarkEnd w:id="1"/>
          <w:r>
            <w:rPr>
              <w:rFonts w:ascii="Times New Roman" w:hAnsi="Times New Roman"/>
              <w:color w:val="000000"/>
              <w:sz w:val="16"/>
              <w:shd w:val="clear" w:color="auto" w:fill="FFFFFF"/>
            </w:rPr>
            <w:t>19.11.2020</w:t>
          </w:r>
          <w:r>
            <w:rPr>
              <w:rFonts w:ascii="Times New Roman" w:hAnsi="Times New Roman"/>
              <w:sz w:val="16"/>
            </w:rPr>
            <w:t xml:space="preserve"> </w:t>
          </w:r>
        </w:p>
      </w:tc>
      <w:tc>
        <w:tcPr>
          <w:tcW w:w="1134" w:type="dxa"/>
        </w:tcPr>
        <w:p w:rsidR="0030081B" w:rsidRDefault="00C34326">
          <w:pPr>
            <w:pStyle w:val="a6"/>
            <w:jc w:val="right"/>
            <w:rPr>
              <w:rStyle w:val="af0"/>
            </w:rPr>
          </w:pPr>
          <w:r>
            <w:rPr>
              <w:rStyle w:val="af0"/>
            </w:rPr>
            <w:fldChar w:fldCharType="begin"/>
          </w:r>
          <w:r>
            <w:rPr>
              <w:rStyle w:val="af0"/>
            </w:rPr>
            <w:instrText xml:space="preserve">PAGE  </w:instrText>
          </w:r>
          <w:r>
            <w:rPr>
              <w:rStyle w:val="af0"/>
            </w:rPr>
            <w:fldChar w:fldCharType="separate"/>
          </w:r>
          <w:r w:rsidR="006A68A1">
            <w:rPr>
              <w:rStyle w:val="af0"/>
              <w:noProof/>
            </w:rPr>
            <w:t>2</w:t>
          </w:r>
          <w:r>
            <w:rPr>
              <w:rStyle w:val="af0"/>
            </w:rPr>
            <w:fldChar w:fldCharType="end"/>
          </w:r>
        </w:p>
        <w:p w:rsidR="0030081B" w:rsidRDefault="0030081B">
          <w:pPr>
            <w:pStyle w:val="a6"/>
            <w:rPr>
              <w:sz w:val="16"/>
            </w:rPr>
          </w:pPr>
        </w:p>
      </w:tc>
    </w:tr>
  </w:tbl>
  <w:p w:rsidR="0030081B" w:rsidRDefault="003008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1B"/>
    <w:rsid w:val="0030081B"/>
    <w:rsid w:val="006A68A1"/>
    <w:rsid w:val="00C3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90FE9-E3BB-4CE5-B038-C8F16EBF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Calibri" w:hAnsi="Calibr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paragraph" w:customStyle="1" w:styleId="1">
    <w:name w:val="Обычный (веб)1"/>
    <w:basedOn w:val="a"/>
    <w:pPr>
      <w:spacing w:before="240" w:after="240"/>
    </w:pPr>
    <w:rPr>
      <w:rFonts w:ascii="Times New Roman" w:hAnsi="Times New Roman"/>
    </w:rPr>
  </w:style>
  <w:style w:type="paragraph" w:customStyle="1" w:styleId="PreformattedText">
    <w:name w:val="Preformatted Text"/>
    <w:basedOn w:val="a"/>
    <w:rPr>
      <w:rFonts w:ascii="Liberation Mono" w:hAnsi="Liberation Mono"/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Plain Text"/>
    <w:basedOn w:val="a"/>
    <w:link w:val="ab"/>
    <w:semiHidden/>
    <w:pPr>
      <w:suppressAutoHyphens w:val="0"/>
    </w:pPr>
    <w:rPr>
      <w:color w:val="auto"/>
    </w:rPr>
  </w:style>
  <w:style w:type="paragraph" w:styleId="ac">
    <w:name w:val="footnote text"/>
    <w:basedOn w:val="a"/>
    <w:link w:val="ad"/>
    <w:pPr>
      <w:suppressAutoHyphens w:val="0"/>
    </w:pPr>
    <w:rPr>
      <w:color w:val="auto"/>
      <w:sz w:val="20"/>
    </w:rPr>
  </w:style>
  <w:style w:type="paragraph" w:customStyle="1" w:styleId="ConsPlusTitle">
    <w:name w:val="ConsPlusTitle"/>
    <w:pPr>
      <w:widowControl w:val="0"/>
    </w:pPr>
    <w:rPr>
      <w:rFonts w:ascii="Calibri" w:hAnsi="Calibri"/>
      <w:b/>
      <w:sz w:val="22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styleId="HTML">
    <w:name w:val="HTML Preformatted"/>
    <w:basedOn w:val="a"/>
    <w:link w:val="HTML0"/>
    <w:semiHidden/>
    <w:pPr>
      <w:suppressAutoHyphens w:val="0"/>
      <w:ind w:firstLine="0"/>
      <w:jc w:val="left"/>
    </w:pPr>
    <w:rPr>
      <w:rFonts w:ascii="Consolas" w:hAnsi="Consolas"/>
      <w:color w:val="auto"/>
      <w:sz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semiHidden/>
    <w:rPr>
      <w:rFonts w:ascii="Tahoma" w:hAnsi="Tahoma"/>
      <w:sz w:val="16"/>
    </w:rPr>
  </w:style>
  <w:style w:type="character" w:customStyle="1" w:styleId="a7">
    <w:name w:val="Верхний колонтитул Знак"/>
    <w:link w:val="a6"/>
  </w:style>
  <w:style w:type="character" w:customStyle="1" w:styleId="a9">
    <w:name w:val="Нижний колонтитул Знак"/>
    <w:link w:val="a8"/>
  </w:style>
  <w:style w:type="character" w:styleId="af0">
    <w:name w:val="page number"/>
  </w:style>
  <w:style w:type="character" w:customStyle="1" w:styleId="apple-converted-space">
    <w:name w:val="apple-converted-space"/>
  </w:style>
  <w:style w:type="character" w:customStyle="1" w:styleId="ab">
    <w:name w:val="Текст Знак"/>
    <w:basedOn w:val="a0"/>
    <w:link w:val="aa"/>
    <w:semiHidden/>
    <w:rPr>
      <w:color w:val="auto"/>
    </w:rPr>
  </w:style>
  <w:style w:type="character" w:customStyle="1" w:styleId="ad">
    <w:name w:val="Текст сноски Знак"/>
    <w:basedOn w:val="a0"/>
    <w:link w:val="ac"/>
    <w:rPr>
      <w:color w:val="auto"/>
      <w:sz w:val="20"/>
    </w:rPr>
  </w:style>
  <w:style w:type="character" w:styleId="af1">
    <w:name w:val="footnote reference"/>
    <w:basedOn w:val="a0"/>
    <w:semiHidden/>
    <w:rPr>
      <w:vertAlign w:val="superscript"/>
    </w:rPr>
  </w:style>
  <w:style w:type="character" w:customStyle="1" w:styleId="HTML0">
    <w:name w:val="Стандартный HTML Знак"/>
    <w:basedOn w:val="a0"/>
    <w:link w:val="HTML"/>
    <w:semiHidden/>
    <w:rPr>
      <w:rFonts w:ascii="Consolas" w:hAnsi="Consolas"/>
      <w:color w:val="auto"/>
      <w:sz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bu@spb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Ковалева</dc:creator>
  <cp:lastModifiedBy>Egor Yablokov</cp:lastModifiedBy>
  <cp:revision>2</cp:revision>
  <dcterms:created xsi:type="dcterms:W3CDTF">2021-01-13T10:35:00Z</dcterms:created>
  <dcterms:modified xsi:type="dcterms:W3CDTF">2021-01-13T10:35:00Z</dcterms:modified>
</cp:coreProperties>
</file>