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47" w:rsidRPr="00877847" w:rsidRDefault="00877847" w:rsidP="00877847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color w:val="333333"/>
          <w:sz w:val="34"/>
          <w:szCs w:val="34"/>
          <w:lang w:eastAsia="ru-RU"/>
        </w:rPr>
      </w:pPr>
      <w:r w:rsidRPr="00877847">
        <w:rPr>
          <w:rFonts w:ascii="Arial" w:eastAsia="Times New Roman" w:hAnsi="Arial" w:cs="Arial"/>
          <w:b/>
          <w:color w:val="333333"/>
          <w:sz w:val="34"/>
          <w:szCs w:val="34"/>
          <w:lang w:eastAsia="ru-RU"/>
        </w:rPr>
        <w:t>Способы защиты кредитора и должника по мировому соглашению</w:t>
      </w:r>
    </w:p>
    <w:p w:rsidR="00CD20FE" w:rsidRDefault="00877847">
      <w:r w:rsidRPr="00877847">
        <w:t xml:space="preserve">05 </w:t>
      </w:r>
      <w:r>
        <w:t>июня 2020 года</w:t>
      </w:r>
    </w:p>
    <w:p w:rsidR="00877847" w:rsidRDefault="00877847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А. Я. Берлин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877847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Представленные материалы мониторинга правоприменительной практики посвящены исследованию сре</w:t>
      </w:r>
      <w:proofErr w:type="gramStart"/>
      <w:r w:rsidRPr="00877847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дств пр</w:t>
      </w:r>
      <w:proofErr w:type="gramEnd"/>
      <w:r w:rsidRPr="00877847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авовой защиты, доступных сторонам мирового соглашения в случае его неисполнения. Отмечается широкое распространение института изменения порядка и способа исполнения судебного акта при ограничении исковой формы защиты. Сложившийся подход не соответствует назначению искового производства как универсальной формы разрешения спора о праве гражданском, однако обусловлен пробелами процессуального регулирования, необходимость устранения которых обоснована современной доктриной гражданского процесса.</w:t>
      </w:r>
    </w:p>
    <w:p w:rsidR="00877847" w:rsidRPr="00877847" w:rsidRDefault="00877847" w:rsidP="00877847">
      <w:pPr>
        <w:numPr>
          <w:ilvl w:val="0"/>
          <w:numId w:val="1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87784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Введение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Цель проведения мониторинга:</w:t>
      </w:r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Выявление и анализ правовых проблем, возникающих при предоставлении судебной защиты интересам сторон мирового соглашения в связи с его неисполнением, в контексте следующих процессуальных форм:</w:t>
      </w:r>
    </w:p>
    <w:p w:rsidR="00877847" w:rsidRPr="00877847" w:rsidRDefault="00877847" w:rsidP="00877847">
      <w:pPr>
        <w:numPr>
          <w:ilvl w:val="0"/>
          <w:numId w:val="2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изменение порядка и способа исполнения судебного акта;</w:t>
      </w:r>
    </w:p>
    <w:p w:rsidR="00877847" w:rsidRPr="00877847" w:rsidRDefault="00877847" w:rsidP="00877847">
      <w:pPr>
        <w:numPr>
          <w:ilvl w:val="0"/>
          <w:numId w:val="2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оспаривание определения об утверждении мирового соглашения и прекращении производства по делу;</w:t>
      </w:r>
    </w:p>
    <w:p w:rsidR="00877847" w:rsidRPr="00877847" w:rsidRDefault="00877847" w:rsidP="00877847">
      <w:pPr>
        <w:numPr>
          <w:ilvl w:val="0"/>
          <w:numId w:val="2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прекращение исполнительного производства;</w:t>
      </w:r>
    </w:p>
    <w:p w:rsidR="00877847" w:rsidRPr="00877847" w:rsidRDefault="00877847" w:rsidP="00877847">
      <w:pPr>
        <w:numPr>
          <w:ilvl w:val="0"/>
          <w:numId w:val="2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взыскание убытков в исковом производстве.</w:t>
      </w:r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Исследование направлено на выявление тенденций, формирующихся в правоприменительной практике, несогласованности, противоречий в контексте поставленного вопроса.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Нормативно-правовые акты, их положения, по которым проводился мониторинг:</w:t>
      </w:r>
    </w:p>
    <w:p w:rsidR="00877847" w:rsidRPr="00877847" w:rsidRDefault="00877847" w:rsidP="00877847">
      <w:pPr>
        <w:numPr>
          <w:ilvl w:val="0"/>
          <w:numId w:val="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 324 Арбитражно-процессуального кодекса Российской Федерации (АПК РФ);</w:t>
      </w:r>
    </w:p>
    <w:p w:rsidR="00877847" w:rsidRPr="00877847" w:rsidRDefault="00877847" w:rsidP="00877847">
      <w:pPr>
        <w:numPr>
          <w:ilvl w:val="0"/>
          <w:numId w:val="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 178 Гражданского кодекса Российской Федерации (ГК РФ) в свете правовой позиции, изложенной в определении Судебной коллегии по экономическим спорам Верховного Суда РФ от 14.09.2015 № 309-ЭС15-3840;</w:t>
      </w:r>
    </w:p>
    <w:p w:rsidR="00877847" w:rsidRPr="00877847" w:rsidRDefault="00877847" w:rsidP="00877847">
      <w:pPr>
        <w:numPr>
          <w:ilvl w:val="0"/>
          <w:numId w:val="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 43 Федерального закона от 02.10.2007 № 229-ФЗ «Об исполнительном производстве»;</w:t>
      </w:r>
    </w:p>
    <w:p w:rsidR="00877847" w:rsidRPr="00877847" w:rsidRDefault="00877847" w:rsidP="00877847">
      <w:pPr>
        <w:numPr>
          <w:ilvl w:val="0"/>
          <w:numId w:val="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 15 ГК РФ.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Методика проведения мониторинга:</w:t>
      </w:r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Объектом исследования являются правоприменительные акты по вопросам, обозначенным в цели исследования, принятые Верховным Судом РФ и арбитражными судами на всей территории России за последние 10 лет.</w:t>
      </w:r>
      <w:proofErr w:type="gramEnd"/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Выбор указанных судебных органов обусловлен: широкой доступностью и репрезентативностью выборки принимаемых ими судебных актов в системе «Картотека арбитражных дел» и справочно-</w:t>
      </w: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правовых системах; существованием в системе арбитражных судов правовых позиций ВАС РФ, оказывающих воздействие на практику по поставленным вопросам.</w:t>
      </w:r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Период исследования обусловлен возможностью выявления тенденций в правоприменительной практике в длительной динамике (изменение позиции судов со временем или, напротив, ее стабильность), а также оценить воздействие на судебную практику принятых в 2013-2014 гг. правовых позиций ВАС РФ (постановление Президиума ВАС РФ от 26.11.2013 № 9884/13; постановление Пленума ВАС РФ от 18.07.2014 № 50).</w:t>
      </w:r>
      <w:proofErr w:type="gramEnd"/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сбора материалов судебной практики использовалась СПС «</w:t>
      </w:r>
      <w:proofErr w:type="spell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КонсультантПлюс</w:t>
      </w:r>
      <w:proofErr w:type="spellEnd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(раздел «Судебная практика»). Поиск осуществлялся по ключевым словам «мировое соглашение» и производным терминам в контексте анализируемых нормативно-правовых актов.</w:t>
      </w:r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 предварительной оценке, объем доступной судебной практики </w:t>
      </w:r>
      <w:proofErr w:type="gram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исходя из заданных параметров превышает</w:t>
      </w:r>
      <w:proofErr w:type="gramEnd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1,5 тыс. единиц. Для целей исследования эксперт отобрал 52 судебных акта. Критерием отбора служило наличие в мотивировочной части правовой позиции, носящей полемический характер в контексте поставленных вопросов; отражение в судебном акте той или иной тенденции, складывающейся в правоприменительной практике. Не включались в анализ судебные акты, механически повторяющие уже устоявшиеся в практике позиции и выражения, а также не содержащие обоснования принятой судом позиции по спорному вопросу.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Постановка проблемы:</w:t>
      </w:r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Заключая мировое соглашение, стороны стремятся к окончательному урегулированию возникшего между ними спора на согласованных компромиссных условиях. Утверждение мирового соглашения судом влечет прекращение производства по делу с запретом повторного предъявления тождественного иска. Принудительное исполнение условий мирового соглашения по общему правилу обеспечивается посредством выдачи на него исполнительного листа.</w:t>
      </w:r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Однако принудительная реализация выраженного в мировом соглашении компромисса далеко не всегда фактически достижима. Ситуация неисполнимости утвержденного судом соглашения может сложиться по различным причинам:</w:t>
      </w:r>
    </w:p>
    <w:p w:rsidR="00877847" w:rsidRPr="00877847" w:rsidRDefault="00877847" w:rsidP="00877847">
      <w:pPr>
        <w:numPr>
          <w:ilvl w:val="0"/>
          <w:numId w:val="4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отсутствие процессуального механизма принудительного исполнения условий соглашения (например, о продолжении сотрудничества сторон, заключении новых сделок в будущем и т. п.);</w:t>
      </w:r>
    </w:p>
    <w:p w:rsidR="00877847" w:rsidRPr="00877847" w:rsidRDefault="00877847" w:rsidP="00877847">
      <w:pPr>
        <w:numPr>
          <w:ilvl w:val="0"/>
          <w:numId w:val="4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отсутствие у должника подлежащих передаче вещей;</w:t>
      </w:r>
    </w:p>
    <w:p w:rsidR="00877847" w:rsidRPr="00877847" w:rsidRDefault="00877847" w:rsidP="00877847">
      <w:pPr>
        <w:numPr>
          <w:ilvl w:val="0"/>
          <w:numId w:val="4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неисполнение должником обязанности выполнить работы или оказать услуги, если косвенные средства принуждения оказываются нерезультативны.</w:t>
      </w:r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Кроме того, длительное неисполнение должником мирового соглашения само по себе может повлечь утрату интереса </w:t>
      </w:r>
      <w:proofErr w:type="gram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кредитора</w:t>
      </w:r>
      <w:proofErr w:type="gramEnd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 получению оговоренного в нем исполнения.</w:t>
      </w:r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Гражданское законодательство предоставляет кредитору различные способы защиты на случай неисполнения должником договорного обязательства, помимо понуждения к исполнению в натуре: взыскание убытков (ст. 393 ГК РФ); заключение заменяющей сделки за счет должника (ст. 397 ГК РФ); расторжение договора при существенном его нарушении другой стороной (</w:t>
      </w:r>
      <w:proofErr w:type="spell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пп</w:t>
      </w:r>
      <w:proofErr w:type="spellEnd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1 п. 2 ст. 450 ГК РФ).</w:t>
      </w:r>
      <w:proofErr w:type="gramEnd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Однако если применительно к общегражданским сделкам эти способы защиты реализуются в исковой форме, возможность их применения к мировому соглашению ограничена его процессуальной природой.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Так, в современной судебной практике господствует позиция о том, что мировое соглашение должно соответствовать требованиям, предъявляемым к судебным актам</w:t>
      </w:r>
      <w:hyperlink r:id="rId6" w:anchor="_ftn1" w:history="1">
        <w:r w:rsidRPr="00877847">
          <w:rPr>
            <w:rFonts w:ascii="Arial" w:eastAsia="Times New Roman" w:hAnsi="Arial" w:cs="Arial"/>
            <w:color w:val="666666"/>
            <w:sz w:val="20"/>
            <w:szCs w:val="20"/>
            <w:bdr w:val="none" w:sz="0" w:space="0" w:color="auto" w:frame="1"/>
            <w:lang w:eastAsia="ru-RU"/>
          </w:rPr>
          <w:t>[1]</w:t>
        </w:r>
      </w:hyperlink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Не допускается оспаривание соглашения в исковой форме отдельно от судебного акта, коим оно утверждено</w:t>
      </w:r>
      <w:hyperlink r:id="rId7" w:anchor="_ftn2" w:history="1">
        <w:r w:rsidRPr="00877847">
          <w:rPr>
            <w:rFonts w:ascii="Arial" w:eastAsia="Times New Roman" w:hAnsi="Arial" w:cs="Arial"/>
            <w:color w:val="666666"/>
            <w:sz w:val="20"/>
            <w:szCs w:val="20"/>
            <w:bdr w:val="none" w:sz="0" w:space="0" w:color="auto" w:frame="1"/>
            <w:lang w:eastAsia="ru-RU"/>
          </w:rPr>
          <w:t>[2]</w:t>
        </w:r>
      </w:hyperlink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возможность расторжения мирового соглашения в связи с его существенным нарушением и последующий возврат в первоначальный спор предусмотрены только для соглашений, заключаемых в процедурах банкротства</w:t>
      </w:r>
      <w:hyperlink r:id="rId8" w:anchor="_ftn3" w:history="1">
        <w:r w:rsidRPr="00877847">
          <w:rPr>
            <w:rFonts w:ascii="Arial" w:eastAsia="Times New Roman" w:hAnsi="Arial" w:cs="Arial"/>
            <w:color w:val="666666"/>
            <w:sz w:val="20"/>
            <w:szCs w:val="20"/>
            <w:bdr w:val="none" w:sz="0" w:space="0" w:color="auto" w:frame="1"/>
            <w:lang w:eastAsia="ru-RU"/>
          </w:rPr>
          <w:t>[3]</w:t>
        </w:r>
      </w:hyperlink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Иные специальные процессуальные формы для защиты интересов кредитора по мировому соглашению в действующем законодательстве отсутствуют.</w:t>
      </w:r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Эти пробелы в регулировании побуждают кредиторов облекать свои требования в связи с неисполнением мировых соглашений в иные процессуальные формы. </w:t>
      </w:r>
      <w:proofErr w:type="gram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настоящем исследовании </w:t>
      </w: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мы рассмотрим практику рассмотрения судами следующих категорий дел: (i) об изменении порядка и способа исполнения мирового соглашения (ст. 324 АПК) или прекращении исполнительного производства по мировому соглашению; (</w:t>
      </w:r>
      <w:proofErr w:type="spell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ii</w:t>
      </w:r>
      <w:proofErr w:type="spellEnd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об оспаривании определения об утверждении мирового соглашения по мотивам, связанным с неисполнением установленных им обязательств; (</w:t>
      </w:r>
      <w:proofErr w:type="spell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iii</w:t>
      </w:r>
      <w:proofErr w:type="spellEnd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о защите интересов из мирового соглашения в исковом порядке.</w:t>
      </w:r>
      <w:proofErr w:type="gramEnd"/>
    </w:p>
    <w:p w:rsidR="00877847" w:rsidRPr="00877847" w:rsidRDefault="00877847" w:rsidP="00877847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Изменение порядка и способа исполнения мирового соглашения</w:t>
      </w:r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Согласно ч. 1 ст. 324 АПК РФ при наличии обстоятельств, затрудняющих исполнение судебного акта, арбитражный суд вправе отсрочить или рассрочить его исполнение либо изменить порядок и способ исполнения судебного акта.</w:t>
      </w:r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настоящее время сложилась обширная, но при этом весьма противоречивая практика применения этих положений к мировому соглашению. Обращаясь с заявлениями в порядке ст. 324 АПК РФ, должники, как правило, пытаются добиться изменения сроков исполнения обязательств, а кредиторы — изменить или заменить предмет исполнения (трансформация исполнения в натуре в денежное обязательство, возложение на должника расходов по заменяющей сделке и т. п.)</w:t>
      </w:r>
    </w:p>
    <w:p w:rsidR="00877847" w:rsidRPr="00877847" w:rsidRDefault="00877847" w:rsidP="00877847">
      <w:pPr>
        <w:numPr>
          <w:ilvl w:val="0"/>
          <w:numId w:val="6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Недопустимость изменения мирового соглашения в порядке ст. 324 АПК РФ</w:t>
      </w:r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2009-2012 гг. судебная практика преимущественно исходила из принципиальной недопустимости применения ст. 324 АПК РФ к мировым соглашениям. Указанный вывод обосновывается тем, что мировое соглашение является сделкой, изменение которой в одностороннем порядке гражданским законодательством не допускается.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Поясняя эту позицию, Арбитражный суд Центрального округа отмечает, что «одностороннее изменение предмета мирового соглашения в нарушение волеизъявления другой стороны недопустимо, поскольку при утверждении мирового соглашения во внимание принималась взаимная договоренность должника и взыскателя… Факт длительного добровольного неисполнения мирового соглашения не может являться основанием для изменения способа и порядка его исполнения, а лишь служит основанием для обращения в суд с заявлением</w:t>
      </w:r>
      <w:proofErr w:type="gramEnd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 выдаче исполнительного документа на его принудительное исполнение 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(постановление Арбитражного суда Центрального округа от 23.06.2016 № Ф10-2140/2016 по делу № А14-12556/2013)</w:t>
      </w: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некоторых судебных актах также подчеркивается, что «последующее осуществление судом любого из действий, указанных в статье 324 Арбитражного процессуального кодекса Российской Федерации, следует расценивать как изменение условий гражданско-правового договора (мирового соглашения), что в силу статей 1 и 421 Гражданского кодекса Российской Федерации недопустимо при отсутствии соответствующего иска»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(постановление ФАС Уральского округа от 23.01.2013 по делу № А76-41503/2009 и др.)</w:t>
      </w:r>
      <w:proofErr w:type="gramEnd"/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Указанный подход основан на восприятии мирового соглашения как гражданско-правовой сделки. </w:t>
      </w:r>
      <w:proofErr w:type="gram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Однако в некоторых случаях суды приходят к аналогичному выводу о недопустимости применения ст. 324 АПК РФ, исходя из концепции мирового соглашения как судебного акта; в таком случае его изменение в порядке ст. 324 АПК РФ фактически приведет к принятию другого акта с иным предметом 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(постановление Арбитражного суда Северо-Кавказского округа от 01.10.2015 № Ф08-7255/2015 по делу № А32-51913/2009).</w:t>
      </w:r>
      <w:proofErr w:type="gramEnd"/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Таким образом, позиция судов о невозможности вмешательства в содержание мирового соглашения в процессуальной форме ст. 324 АПК РФ основана на представлении о мировом соглашении как о гражданско-правовой сделке. Такая сделка, будучи совершенной, связывает обе стороны и не может быть изменена в одностороннем порядке (ст. ст. 1, 421 ГК РФ).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Указанный подход сложился в судебной практике преимущественно в первой части анализируемого периода — 2010-2012 гг. 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(постановления Двадцатого арбитражного апелляционного суда от 10.08.2010 по делу № А23-411/09Г-15-34; Девятнадцатого арбитражного апелляционного суда от 30.10.2009 по делу № А14-4089/2007152/30и; Восемнадцатого арбитражного апелляционного суда от 22.03.2010 № 18АП-1455/2010 по делу № А47-7514/2008; </w:t>
      </w:r>
      <w:proofErr w:type="gramStart"/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Восемнадцатого арбитражного апелляционного суда от 20.07.2011 № 18АП-6129/2011 по делу № А34-4349/2010; Восемнадцатого арбитражного апелляционного суда от 14.09.2011 № 18АП-7828/2011 по делу № А47-2162/2009; Восемнадцатого арбитражного апелляционного суда от 17.06.2014 № 18АП-6148/2014 по делу № А76-36443/2009; Пятнадцатого арбитражного апелляционного суда от 20.08.2014 № 15АП-13220/2014 по делу № А32-25755/2012; ФАС Поволжского округа от 16.02.2011 по делу № А55-19491/06;</w:t>
      </w:r>
      <w:proofErr w:type="gramEnd"/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ФАС 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Поволжского округа от 20.09.2012 по делу № А06-4853/2011; ФАС Волго-Вятского округа от 20.07.2011 по делу № А29-933/2011; ФАС Уральского округа от 28.11.2011 № Ф09-7235/11 по делу № А76-21338/05).</w:t>
      </w:r>
      <w:proofErr w:type="gramEnd"/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Подобный взгляд на мировое соглашение сам по себе верен и соответствует сложившемуся в науке и современной практике подходу</w:t>
      </w:r>
      <w:hyperlink r:id="rId9" w:anchor="_ftn4" w:history="1">
        <w:r w:rsidRPr="00877847">
          <w:rPr>
            <w:rFonts w:ascii="Arial" w:eastAsia="Times New Roman" w:hAnsi="Arial" w:cs="Arial"/>
            <w:color w:val="666666"/>
            <w:sz w:val="20"/>
            <w:szCs w:val="20"/>
            <w:bdr w:val="none" w:sz="0" w:space="0" w:color="auto" w:frame="1"/>
            <w:lang w:eastAsia="ru-RU"/>
          </w:rPr>
          <w:t>[4]</w:t>
        </w:r>
      </w:hyperlink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Однако если для обычных сделок сторонам доступна исковая форма защиты основанных на них интересов (в т. ч. иски об изменении и расторжении договора, взыскании убытков и проч.), использование ее для мирового соглашения затруднительно:</w:t>
      </w:r>
      <w:proofErr w:type="gramEnd"/>
    </w:p>
    <w:p w:rsidR="00877847" w:rsidRPr="00877847" w:rsidRDefault="00877847" w:rsidP="00877847">
      <w:pPr>
        <w:numPr>
          <w:ilvl w:val="0"/>
          <w:numId w:val="7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оспаривание мировых соглашений в исковом порядке не допускается;</w:t>
      </w:r>
    </w:p>
    <w:p w:rsidR="00877847" w:rsidRPr="00877847" w:rsidRDefault="00877847" w:rsidP="00877847">
      <w:pPr>
        <w:numPr>
          <w:ilvl w:val="0"/>
          <w:numId w:val="7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специальная процессуальная форма расторжения мирового соглашения существует только для дел о банкротстве;</w:t>
      </w:r>
    </w:p>
    <w:p w:rsidR="00877847" w:rsidRPr="00877847" w:rsidRDefault="00877847" w:rsidP="00877847">
      <w:pPr>
        <w:numPr>
          <w:ilvl w:val="0"/>
          <w:numId w:val="7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разрешение судом самостоятельного иска, например, о взыскании убытков, причиненных неисполнением соглашения, при отсутствии в действующем законодательстве эффективных механизмов лишения ранее состоявшегося судебного акта исполнительной силы может привести к коллизии между этим судебным актом и первоначальным мировым соглашением</w:t>
      </w:r>
      <w:hyperlink r:id="rId10" w:anchor="_ftn5" w:history="1">
        <w:r w:rsidRPr="00877847">
          <w:rPr>
            <w:rFonts w:ascii="Arial" w:eastAsia="Times New Roman" w:hAnsi="Arial" w:cs="Arial"/>
            <w:color w:val="666666"/>
            <w:sz w:val="20"/>
            <w:szCs w:val="20"/>
            <w:bdr w:val="none" w:sz="0" w:space="0" w:color="auto" w:frame="1"/>
            <w:lang w:eastAsia="ru-RU"/>
          </w:rPr>
          <w:t>[5]</w:t>
        </w:r>
      </w:hyperlink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Таким образом, последовательное проведение в жизнь рассмотренной позиции судов делает невозможной эффективную защиту интересов кредиторов, когда исполнение обязательств по мировому соглашению в натуре оказывается невозможным.</w:t>
      </w:r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Следует отметить, что распространенность указанной позиции в практике существенно снизилась с появлением опровергающего ее постановления Президиума ВАС РФ от 26.11.2013 № 998/13 (см. об этом далее). </w:t>
      </w:r>
    </w:p>
    <w:p w:rsidR="00877847" w:rsidRPr="00877847" w:rsidRDefault="00877847" w:rsidP="00877847">
      <w:pPr>
        <w:numPr>
          <w:ilvl w:val="0"/>
          <w:numId w:val="8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Удовлетворение заявлений об изменении мирового соглашения в порядке отсрочки/рассрочки, изменения способа и порядка исполнения судебного акта</w:t>
      </w:r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судебной практике выявлено значительное число дел, по которым суды удовлетворили заявления об изменении содержания мирового соглашения в порядке ст. 324 АПК РФ. Практика эта в основном базируется на правовой позиции Президиума ВАС РФ, изложенной в постановлении от 26.11.2013 № 998/13. Президиум пришел к выводу, что коль скоро мировое соглашение утверждается судебным актом, а процессуальное законодательство не запрещает предоставлять по нему отсрочку или рассрочку исполнения, принципиальные препятствия для применения ст. 324 АПК РФ к мировым соглашениям отсутствуют. При этом Суд указал на особые критерии допустимости отсрочки исполнения мировых соглашений: она может быть предоставлена судом в исключительных случаях, если ответчик докажет, что уже после утверждения мирового соглашения возникли обстоятельства, объективно затрудняющие исполнение судебного акта, или что такая отсрочка способствует устранению обстоятельств, затрудняющих исполнение судебного акта.</w:t>
      </w:r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дальнейшем эта позиция получила закрепление в п. 24 постановления Пленума ВАС РФ от 18.07.2014 № 50 «О примирении сторон в арбитражном процессе».</w:t>
      </w:r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Оценивая возможность предоставления отсрочки/рассрочки мирового соглашения, суды оценивают, как именно это обеспечит реальную возможность исполнения соглашения в полном объеме. При наличии таких доказательств суд может предоставить существенную рассрочку. Так, в постановлении ФАС Уральского округа от 29.11.2012 № Ф09-7235/11 по делу № А76-21338/2005 должнику предоставлена 10-летняя рассрочка исполнения обязательства по поставке продукции в </w:t>
      </w:r>
      <w:proofErr w:type="spell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Росрезерв</w:t>
      </w:r>
      <w:proofErr w:type="spellEnd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; аргумент кредитора о нарушении баланса интересов сторон </w:t>
      </w:r>
      <w:proofErr w:type="gram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был</w:t>
      </w:r>
      <w:proofErr w:type="gramEnd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отвергнут. Суд принял во внимание </w:t>
      </w:r>
      <w:proofErr w:type="gram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доказательства возможности производства необходимого количества продукции</w:t>
      </w:r>
      <w:proofErr w:type="gramEnd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предложенному графику рассрочки. К таким доказательствам могут относиться: сведения о составе активов должника, финансовая отчетность, производственный план и т. п.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Позиция ВАС РФ о допустимости применения ст. 324 АПК РФ к мировым соглашениям по своей точной формулировке затрагивает только вопросы отсрочки/рассрочки исполнения мирового соглашения и не касается изменения порядка и способа его исполнения. Практика, однако, истолковала ее расширительно; </w:t>
      </w:r>
      <w:proofErr w:type="gram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 исследованный период выявлено значительное количество судебных актов, содержащих решения об изменении содержания мирового соглашения в порядке ст. 324 АПК РФ: обязательства должника поставить товар, выполнить работы или оказать услуги </w:t>
      </w: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заменяются на взыскание с него стоимости соответствующего товара или расходов кредитора на заключение заменяющей сделки 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(постановления Арбитражного суда Волго-Вятского округа от 13.03.2015 № Ф01-281/2015 по делу № А29-9849/2011;</w:t>
      </w:r>
      <w:proofErr w:type="gramEnd"/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ФАС Восточно-Сибирского округа от 10.11.2010 по делу № А33-258/2000; Арбитражного суда Поволжского округа от 08.06.2017 № Ф06-21451/2017 по делу № А12-30630/2015; Арбитражного суда Волго-Вятского округа от 13.03.2015 № Ф01-281/2015 по делу № А29-9849/2011; Арбитражного суда Северо-Западного округа от 21.04.2017 № Ф07-2831/2017 по делу № А52-938/2015;</w:t>
      </w: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ФАС Северо-Западного округа от 09.06.2014 № Ф07-2257/2014 по делу № А26-3572/2011;</w:t>
      </w:r>
      <w:proofErr w:type="gramEnd"/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Пятнадцатого арбитражного апелляционного суда от 05.02.2017 № 15АП-20421/2016 по делу № А53-29684/2015;</w:t>
      </w: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Пятнадцатого арбитражного апелляционного суда от 21.07.2016 № 15АП-10144/2016 по делу № А01-1769/2014;</w:t>
      </w: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Восемнадцатого арбитражного апелляционного суда от 15.12.2015 № 18АП-12683/2015 по делу № А76-21682/2014; Восемнадцатого арбитражного апелляционного суда от 01.12.2015 № 18АП-13494/2015 по делу № А07-2381/2012; </w:t>
      </w:r>
      <w:proofErr w:type="gramStart"/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Восемнадцатого арбитражного апелляционного суда от 11.12.2013 № 18АП-11638/2013 по делу № А07-3015/2012; Восемнадцатого арбитражного апелляционного суда от 20.05.2013 № 18АП-4047/2013 по делу № А07-4474/2011; Восемнадцатого арбитражного апелляционного суда от 03.10.2012 № 18АП-9488/2012 по делу № А07-17308/2011; Восемнадцатого арбитражного апелляционного суда от 03.10.2012 № 18АП-9488/2012 по делу № А07-17308/2011; Девятнадцатого арбитражного апелляционного суда от 25.02.2015 по делу № А48-3639/2011;</w:t>
      </w:r>
      <w:proofErr w:type="gramEnd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gramStart"/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Двадцатого арбитражного апелляционного суда от 25.05.2012 по делу № А54-2420/2010).</w:t>
      </w:r>
      <w:proofErr w:type="gramEnd"/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Требующие такой замены кредиторы по существу заявляют требование о возмещении убытков, предусмотренное ст. 387 ГК РФ. При их рассмотрении суды исследуют доказательства, подтверждающие стоимость заменяющего товара (работы, услуги), в т. ч. заключение судебной экспертизы. Тем самым в форму ст. 324 АПК РФ облекается новый спор, который обычно </w:t>
      </w:r>
      <w:proofErr w:type="spell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субстанцируется</w:t>
      </w:r>
      <w:proofErr w:type="spellEnd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иском об убытках, однако соответствующие возражения должников суды отклоняют.</w:t>
      </w:r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отдельных случаях в процессуальную форму ст. 324 АПК РФ оказываются облеченными и другие иски. Например, в постановлении Пятнадцатого арбитражного апелляционного суда от 02.08.2010 № 15АП-6442/2010 по делу № А53-5099/2009 рассматривалось мировое соглашение, денежные обязательства по которому обеспечивались залогом имущества должника. По заявлению кредитора в порядке ст. 324 АПК РФ суд обратил взыскание на предмет залога. Следует отметить, что такое решение противоречит правовой позиции Президиума ВАС РФ, изложенной в постановлении от 13.12.2005 № 8979/05, согласно которой обращение взыскания на предмет залога является    самостоятельным    способом    защиты нарушенного права, реализация которого должна осуществляться в порядке искового производства.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Также изменение порядка и способа исполнения мирового соглашения в виде перехода от исполнения обязательства в натуре к денежному взысканию допускается судами, если альтернативный характер обязательства предусмотрен самим соглашением 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(определение Судебной коллегии по гражданским делам Верховного Суда РФ от 22.05.2012 № 18-В12-31)</w:t>
      </w: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Таким образом, применяющие ст. 324 АПК РФ суды избегают квалификации заявляемых кредиторами требований в соответствии с гражданским законодательством и даже прямо утверждают, что рассматриваемые требования не составляют нового спора. Однако фактически в эту процессуальную форму </w:t>
      </w:r>
      <w:proofErr w:type="gram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оказываются</w:t>
      </w:r>
      <w:proofErr w:type="gramEnd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облечены самостоятельные иски: о возмещении убытков, причиненных неисполнением соглашения; об обращении взыскании на предмет залога; об изменении договора. Суды определяют предмет доказывания, аналогичный соответствующим искам (нарушение договора, размер убытков, причинная связь). Проводится состязательный проце</w:t>
      </w:r>
      <w:proofErr w:type="gram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сс с пр</w:t>
      </w:r>
      <w:proofErr w:type="gramEnd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едставлением сторонами доказательств по указанному предмету, включая назначение судебных экспертиз.</w:t>
      </w:r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процессуальная форма ст. 324 АПК РФ для рассмотрения самостоятельных исков не предназначена: она не предполагает проведения самостоятельного процесса; не позволяет поставить вопрос об исковой давности; заканчивается итоговым судебным актом в форме определения, а не решения.</w:t>
      </w:r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некоторых случаях суды отказывают в удовлетворении заявлений об изменении порядка и способа мирового соглашения, но не в связи с принципиальной их недопустимостью, а по мотивам, связанным с преждевременностью обращения кредитора за заменой исполнения. При этом могут учитываться следующие обстоятельства:</w:t>
      </w:r>
    </w:p>
    <w:p w:rsidR="00877847" w:rsidRPr="00877847" w:rsidRDefault="00877847" w:rsidP="00877847">
      <w:pPr>
        <w:numPr>
          <w:ilvl w:val="0"/>
          <w:numId w:val="9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частичное исполнение должником первоначального обязательства при непредставлении кредитором исполнительного листа в службу судебных приставов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(постановление Арбитражного суда Поволжского округа от 08.06.2017 № Ф06-21451/2017 по делу № А12-30630/2015)</w:t>
      </w: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877847" w:rsidRPr="00877847" w:rsidRDefault="00877847" w:rsidP="00877847">
      <w:pPr>
        <w:numPr>
          <w:ilvl w:val="0"/>
          <w:numId w:val="9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наличие доказательств невозможности исполнения первоначального обязательства 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(постановление Семнадцатого арбитражного апелляционного суда от 25.08.2014 № 17АП-8792/2014-ГК по делу № А60-50584/2012)</w:t>
      </w: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877847" w:rsidRPr="00877847" w:rsidRDefault="00877847" w:rsidP="00877847">
      <w:pPr>
        <w:numPr>
          <w:ilvl w:val="0"/>
          <w:numId w:val="9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наличие доказатель</w:t>
      </w:r>
      <w:proofErr w:type="gram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ств ст</w:t>
      </w:r>
      <w:proofErr w:type="gramEnd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оимости заменяющей сделки для кредитора 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(постановление Девятнадцатого арбитражного апелляционного суда от 28.12.2015 № 19АП-5419/2015 по делу № А48-3388/2007-3).</w:t>
      </w:r>
    </w:p>
    <w:p w:rsidR="00877847" w:rsidRPr="00877847" w:rsidRDefault="00877847" w:rsidP="00877847">
      <w:pPr>
        <w:numPr>
          <w:ilvl w:val="0"/>
          <w:numId w:val="9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Прекращение мирового соглашения: альтернативы процедуре расторжения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мировых соглашений, заключаемых не в процедурах банкротства, отсутствует процессуальная форма расторжения с возвратом в первоначальный спор. Однако кредиторы периодически пытаются преодолеть действие не исполняемого контрагентом мирового соглашения через процедуру оспаривания судебного акта, которым утверждено соглашение</w:t>
      </w:r>
      <w:hyperlink r:id="rId11" w:anchor="_ftn6" w:history="1">
        <w:r w:rsidRPr="00877847">
          <w:rPr>
            <w:rFonts w:ascii="Arial" w:eastAsia="Times New Roman" w:hAnsi="Arial" w:cs="Arial"/>
            <w:color w:val="666666"/>
            <w:sz w:val="20"/>
            <w:szCs w:val="20"/>
            <w:bdr w:val="none" w:sz="0" w:space="0" w:color="auto" w:frame="1"/>
            <w:lang w:eastAsia="ru-RU"/>
          </w:rPr>
          <w:t>[6]</w:t>
        </w:r>
      </w:hyperlink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определении Судебной коллегии по экономическим спорам Верховного Суда РФ от 14.09.2015 № 309-ЭС15-3840 сформулирована позиция о том, что неисполнение стороной мирового соглашения заверений о продолжении совместного сотрудничества сторон, из которых стороны исходили при заключении соглашения, является основанием для оспаривания соглашения по мотиву существенного заблуждения другой стороны при его совершении (ст. 178 ГК РФ).</w:t>
      </w:r>
      <w:proofErr w:type="gramEnd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Таким образом, по существу Судебная коллегия посчитала рассматриваемые заверения частью мирового соглашения, а их нарушение — основанием для уничтожения сделки судом и возврата в первоначальный спор.</w:t>
      </w:r>
      <w:hyperlink r:id="rId12" w:anchor="_ftn7" w:history="1">
        <w:r w:rsidRPr="00877847">
          <w:rPr>
            <w:rFonts w:ascii="Arial" w:eastAsia="Times New Roman" w:hAnsi="Arial" w:cs="Arial"/>
            <w:color w:val="666666"/>
            <w:sz w:val="20"/>
            <w:szCs w:val="20"/>
            <w:bdr w:val="none" w:sz="0" w:space="0" w:color="auto" w:frame="1"/>
            <w:lang w:eastAsia="ru-RU"/>
          </w:rPr>
          <w:t>[7]</w:t>
        </w:r>
      </w:hyperlink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Исходя из указанной позиции Судебной коллегии Верховного Суда РФ, кредиторы по ряду дел предприняли попытки аннулировать не исполненные должниками мировые соглашения, ссылаясь на введение в заблуждение относительно их исполнимости и прося пересмотреть определения об их утверждении по вновь открывшимся обстоятельствам. Правоприменительные решения по этим делам противоречивы. В одних случаях суды отказывали в признании соответствующих обстоятельств извинительным заблуждением, указывая, что неисполнение мирового соглашения должником само по себе такого заблуждения не образует 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(постановление Арбитражного суда Северо-Западного округа от 26.07.2016 № Ф07-5027/2016 по делу № А05-6181/2015)</w:t>
      </w: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По другим делам с аналогичным составом фактических обстоятельств (мировое соглашение надлежащим образом не исполнено, истец ссылается на заблуждение относительно исполнимости) суды требования о пересмотре дела удовлетворяли, признавая наличие на стороне кредитора извинительного заблуждения 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(постановление Четвертого арбитражного апелляционного суда от 03.11.2015 № 04АП-1057/2009 по делу № А19-13228/2008)</w:t>
      </w: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Добиться эффекта расторжения мирового соглашения в некоторых случаях стремятся и должники, например, в ситуации, когда выполнение работ по соглашению оказывается невозможным в связи с неоказанием заказчиком необходимого содействия (п. 2 ст. 719 ГК РФ). Реализация предусмотренного гражданским законодательством права на отказ от договора в таком случае также </w:t>
      </w:r>
      <w:proofErr w:type="gram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оказывается</w:t>
      </w:r>
      <w:proofErr w:type="gramEnd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 обеспечена процессуальной формой. В частности, суды отказывают в прекращении исполнительного производства по мировому соглашению на основании ст. 43 Федерального закона от 02.10.2007 № 229-ФЗ «Об исполнительном производстве», указывая, что материальные основания к расторжению договора не составляют утраты возможности исполнения по смыслу процессуального законодательства 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(постановление ФАС Поволжского округа от 17.01.2013 по делу № А55-19491/06)</w:t>
      </w: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Таким образом, отсутствие в процессуальном законодательстве возможности расторжения мирового соглашения в связи с его неисполнением вынуждает участников оборота и суды искать альтернативные способы прекращения его действия: оспаривание в связи с «заблуждением», ходатайство о прекращении исполнительного производства. Между тем, подобное использование этих институтов не отвечает их природе.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Так, заблуждение стороны относительно «исполнимости» сделки в оговоренные сроки не может являться основанием для ее оспаривания по ст. 178 ГК РФ. Как отмечается в литературе, извинительным по смыслу ст. 178 ГК РФ признается лишь заблуждение в обстоятельствах, существующих на момент совершения сделки, а не просчет относительно будущих обстоятельств  (таких как исполнение </w:t>
      </w:r>
      <w:proofErr w:type="gram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обязательств</w:t>
      </w:r>
      <w:proofErr w:type="gramEnd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контрагентом в будущем)</w:t>
      </w:r>
      <w:hyperlink r:id="rId13" w:anchor="_ftn8" w:history="1">
        <w:r w:rsidRPr="00877847">
          <w:rPr>
            <w:rFonts w:ascii="Arial" w:eastAsia="Times New Roman" w:hAnsi="Arial" w:cs="Arial"/>
            <w:color w:val="666666"/>
            <w:sz w:val="20"/>
            <w:szCs w:val="20"/>
            <w:bdr w:val="none" w:sz="0" w:space="0" w:color="auto" w:frame="1"/>
            <w:lang w:eastAsia="ru-RU"/>
          </w:rPr>
          <w:t>[8]</w:t>
        </w:r>
      </w:hyperlink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Прекращение же исполнительного производства допускается законом лишь в связи с утратой «объективной возможности» исполнения искомого обязательства, т. е. при прекращении </w:t>
      </w: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обязательства невозможностью исполнения</w:t>
      </w:r>
      <w:hyperlink r:id="rId14" w:anchor="_ftn9" w:history="1">
        <w:r w:rsidRPr="00877847">
          <w:rPr>
            <w:rFonts w:ascii="Arial" w:eastAsia="Times New Roman" w:hAnsi="Arial" w:cs="Arial"/>
            <w:color w:val="666666"/>
            <w:sz w:val="20"/>
            <w:szCs w:val="20"/>
            <w:bdr w:val="none" w:sz="0" w:space="0" w:color="auto" w:frame="1"/>
            <w:lang w:eastAsia="ru-RU"/>
          </w:rPr>
          <w:t>[9]</w:t>
        </w:r>
      </w:hyperlink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Прекращение действия мирового соглашения в связи с его неисполнением любой из сторон в данной процедуре производиться не может.</w:t>
      </w:r>
    </w:p>
    <w:p w:rsidR="00877847" w:rsidRPr="00877847" w:rsidRDefault="00877847" w:rsidP="00877847">
      <w:pPr>
        <w:numPr>
          <w:ilvl w:val="0"/>
          <w:numId w:val="10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Защита интересов, основанных на мировом соглашении, в исковом порядке</w:t>
      </w:r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некоторых случаях кредиторы по мировым соглашениям предпринимают попытки взыскать убытки, причиненные их неисполнением, в исковом порядке. В связи с этим существуют противоречивые решения относительно порядка исчисления давности по таким искам и определения причинной связи между действиями ответчика и убытками.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Так, существует подход, согласно которому наличие действующего мирового соглашения исключает возложение на должника оплаты заменяющей сделки кредитора, а исковая давность должна исчисляться с момента истечения срока на выполнение обязательств по мировому соглашению, а не с момента оплаты истцом заменяющей сделки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(определение судьи Верховного Суда РФ от 24.02.2016 № 307-ЭС15-19583 по делу № А56-625/2015)</w:t>
      </w: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других случаях суды приходят к противоположному выводу: неисполнение должником мирового соглашения предоставляет кредитору право требовать оплаты заменяющей сделки; исковая давность по этому требованию начинает течь с момента ее выполнения, а не с момента нарушения обязательства должником 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(постановление Арбитражного суда Поволжского округа от 21.03.2017 № Ф06-18544/2017)</w:t>
      </w: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некоторых делах суды удовлетворили требования о взыскании убытков, составляющих суммы, которые отыскивались истцами в первоначальном процессе, прекращенным мировым соглашением. </w:t>
      </w:r>
      <w:proofErr w:type="gram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 мнению </w:t>
      </w:r>
      <w:proofErr w:type="spell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правоприменителей</w:t>
      </w:r>
      <w:proofErr w:type="spellEnd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утрата возможности реализации требования в связи с прекращением производства по делу и неисполнение должником мирового соглашения означает, что сумма первоначального требования приобретает для кредитора характер убытков, причиненных ему должником 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(постановление ФАС Восточно-Сибирского округа от 18.01.2013 по делу № А74-2459/2012; 49.   постановление Шестого арбитражного апелляционного суда от 17.01.2014 № 06АП-6625/2013 по делу № А16-1113/2013;</w:t>
      </w:r>
      <w:proofErr w:type="gramEnd"/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постановление Восьмого арбитражного апелляционного суда от 12.03.2010 № 08АП-418/2010 по делу № А46-21650/2009)</w:t>
      </w: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Приведенный подход следует подвергнуть критике. Поскольку мировым соглашением производство по первоначальному иску прекращено с запретом предъявления тождественных требований, повторное притязание истца на ту же сумму может быть удовлетворено лишь при наличии нового для него основания. Соглашаясь с истцом, суд указал, что таким основанием является возникновение на данную сумму убытков от неисполнения мирового соглашения в форме упущенной выгоды. Однако между данным нарушением и отыскиваемыми убытками отсутствует причинная связь, ведь отказ от взыскания суммы в первоначальном процессе состоялся уже в момент утверждения мирового соглашения, а не его нарушения. Исполнение должником обязательств по соглашению никак не могло бы восстановить эту утраченную возможность.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Иные иски, направленные на защиту интересов из мирового соглашения судами, как правило, отклоняются. Отказ в судебной защите мотивируется окончательностью разрешения спора из соответствующего правоотношения мировым соглашением 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(постановление Пятнадцатого арбитражного апелляционного суда от 19.08.2016 № 15АП-9614/2016 по делу № А32-45410/2015; постановление Арбитражного суда Уральского округа от 06.09.2016 № Ф09-8844/16 по делу № А60-48368/2015) </w:t>
      </w: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 необходимостью заявить требование в порядке ст. 324 АПК РФ 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(постановление Девятого арбитражного апелляционного суда от 06.05.2015 № 09АП-14626/2015-ГК по делу № А40-165686/14)</w:t>
      </w: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877847" w:rsidRPr="00877847" w:rsidRDefault="00877847" w:rsidP="00877847">
      <w:pPr>
        <w:numPr>
          <w:ilvl w:val="0"/>
          <w:numId w:val="11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Заключение</w:t>
      </w:r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Хотя возможность предъявления самостоятельных исков из мировых соглашений в защиту интересов их сторон обусловлена гражданско-правовой, договорной природой мировых сделок, практическая реализация этих интересов в исковой форме вступает в конфликт со сложившимися в правоприменительной практике воззрениями на указанный институт как имеющий преимущественно процессуальную природу:</w:t>
      </w:r>
    </w:p>
    <w:p w:rsidR="00877847" w:rsidRPr="00877847" w:rsidRDefault="00877847" w:rsidP="00877847">
      <w:pPr>
        <w:numPr>
          <w:ilvl w:val="0"/>
          <w:numId w:val="12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Иски о возмещении убытков, причиненных нарушением мирового соглашения, признаются недопустимыми как направленные на опровержение окончательного характера разрешения спора и противоречащие исполнительной силе судебного акта об утверждении мирового соглашения.</w:t>
      </w:r>
    </w:p>
    <w:p w:rsidR="00877847" w:rsidRPr="00877847" w:rsidRDefault="00877847" w:rsidP="00877847">
      <w:pPr>
        <w:numPr>
          <w:ilvl w:val="0"/>
          <w:numId w:val="12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До 2013 г. судебная практика преимущественно исходила из недопустимости изменения содержания обязательств по мировому соглашению в процессуальной форме отсрочки, рассрочки или изменения порядка и способа исполнения судебного акта (ст. 324 АПК РФ), находя такое изменение противоречащим гражданско-правовому регулированию сделок. С закреплением на уровне Президиума ВАС РФ (2013 г.) и Пленума ВАС РФ (2014 г.) противоположной позиции в практике возобладало воззрение на мировое соглашение как на судебный акт, изменяемый по общим правилам процессуального, а не гражданского законодательства.</w:t>
      </w:r>
    </w:p>
    <w:p w:rsidR="00877847" w:rsidRPr="00877847" w:rsidRDefault="00877847" w:rsidP="00877847">
      <w:pPr>
        <w:numPr>
          <w:ilvl w:val="0"/>
          <w:numId w:val="12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Практика выделяет следующие критерии допустимости изменения мирового соглашения по ст. 324 АПК РФ:</w:t>
      </w:r>
    </w:p>
    <w:p w:rsidR="00877847" w:rsidRPr="00877847" w:rsidRDefault="00877847" w:rsidP="00877847">
      <w:pPr>
        <w:numPr>
          <w:ilvl w:val="1"/>
          <w:numId w:val="12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принятие мер по исполнению первоначального обязательства, включая обращение в службу судебных приставов;</w:t>
      </w:r>
    </w:p>
    <w:p w:rsidR="00877847" w:rsidRPr="00877847" w:rsidRDefault="00877847" w:rsidP="00877847">
      <w:pPr>
        <w:numPr>
          <w:ilvl w:val="1"/>
          <w:numId w:val="12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невозможность исполнения первоначального обязательства в связи с отсутствием его предмета у должника и (или) исчерпанием эффективных мер государственного принуждения в отношении должника;</w:t>
      </w:r>
    </w:p>
    <w:p w:rsidR="00877847" w:rsidRPr="00877847" w:rsidRDefault="00877847" w:rsidP="00877847">
      <w:pPr>
        <w:numPr>
          <w:ilvl w:val="1"/>
          <w:numId w:val="12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доказанность соразмерности отыскиваемого кредитором эквивалента первоначальному обязательству.</w:t>
      </w:r>
    </w:p>
    <w:p w:rsidR="00877847" w:rsidRPr="00877847" w:rsidRDefault="00877847" w:rsidP="00877847">
      <w:pPr>
        <w:numPr>
          <w:ilvl w:val="0"/>
          <w:numId w:val="12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Недопустимость расторжения нарушенного мирового соглашения в порядке искового производства стимулирует участников оборота искать альтернативные способы прекращения его действия:</w:t>
      </w:r>
    </w:p>
    <w:p w:rsidR="00877847" w:rsidRPr="00877847" w:rsidRDefault="00877847" w:rsidP="00877847">
      <w:pPr>
        <w:numPr>
          <w:ilvl w:val="1"/>
          <w:numId w:val="12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оспаривание мирового соглашения по мотиву существенного заблуждения в процессуальной форме пересмотра дела по вновь открывшимся обстоятельствам;</w:t>
      </w:r>
    </w:p>
    <w:p w:rsidR="00877847" w:rsidRPr="00877847" w:rsidRDefault="00877847" w:rsidP="00877847">
      <w:pPr>
        <w:numPr>
          <w:ilvl w:val="1"/>
          <w:numId w:val="12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прекращение исполнительного производства в порядке ст. 43 ФЗ «Об исполнительном производстве»;</w:t>
      </w:r>
    </w:p>
    <w:p w:rsidR="00877847" w:rsidRPr="00877847" w:rsidRDefault="00877847" w:rsidP="00877847">
      <w:pPr>
        <w:numPr>
          <w:ilvl w:val="1"/>
          <w:numId w:val="12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взыскание в форме убытков суммы, эквивалентной первоначальному требованию истца, производство по которому прекращено за утверждением мирового соглашения.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Представляется, что основной причиной возникновения вышеизложенных тенденций является отсутствие в процессуальном законодательстве эффективных механизмов для отражения динамики материального правоотношения, уже бывшего предметом судебного разбирательства. Так, мировое соглашение подлежит принудительному исполнению независимо от принятия судами решений по иным искам. Однако в силу п. 1 ст. 396 ГК РФ возмещение убытков в случае неисполнения обязательства освобождает должника от исполнения первоначального обязательства в натуре. </w:t>
      </w:r>
      <w:proofErr w:type="gram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Основания и процедура прекращения исполнительного производства по содержащему первоначальное обязательство мировому соглашению в таком случае законом не предусмотрены; действующие положения ст. 43 Федерального закона «Об исполнительном производстве» не приспособлены для рассмотрения споров о прекращении или изменении опосредованного исполнительным документом притязания кредитора</w:t>
      </w:r>
      <w:hyperlink r:id="rId15" w:anchor="_ftn10" w:history="1">
        <w:r w:rsidRPr="00877847">
          <w:rPr>
            <w:rFonts w:ascii="Arial" w:eastAsia="Times New Roman" w:hAnsi="Arial" w:cs="Arial"/>
            <w:color w:val="666666"/>
            <w:sz w:val="20"/>
            <w:szCs w:val="20"/>
            <w:bdr w:val="none" w:sz="0" w:space="0" w:color="auto" w:frame="1"/>
            <w:lang w:eastAsia="ru-RU"/>
          </w:rPr>
          <w:t>[10]</w:t>
        </w:r>
      </w:hyperlink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Аналогично не дает действующий закон ответа на то, как изменить содержание исполнительного документа о взыскании неустойки по мировому соглашению, если она была снижена в отдельном исковом процессе.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Разрешение выявленных в настоящем отчете коллизий возможно за счет введения на законодательном уровне новых процессуальных форм для рассмотрения связанных с исполнением мирового соглашения вопросов (в т. ч. развитие «второй стадии» гражданского процесса в ходе исполнения судебного акта</w:t>
      </w:r>
      <w:hyperlink r:id="rId16" w:anchor="_ftn11" w:history="1">
        <w:r w:rsidRPr="00877847">
          <w:rPr>
            <w:rFonts w:ascii="Arial" w:eastAsia="Times New Roman" w:hAnsi="Arial" w:cs="Arial"/>
            <w:color w:val="666666"/>
            <w:sz w:val="20"/>
            <w:szCs w:val="20"/>
            <w:bdr w:val="none" w:sz="0" w:space="0" w:color="auto" w:frame="1"/>
            <w:lang w:eastAsia="ru-RU"/>
          </w:rPr>
          <w:t>[11]</w:t>
        </w:r>
      </w:hyperlink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введение по аналогии с законодательством о банкротстве процедуры расторжения мирового соглашения) и (или) развития дифференциации законной силы судебных актов с допущением опровержения</w:t>
      </w:r>
      <w:proofErr w:type="gramEnd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исполнительной силы определения об утверждении мирового соглашения в исковом порядке</w:t>
      </w:r>
      <w:hyperlink r:id="rId17" w:anchor="_ftn12" w:history="1">
        <w:r w:rsidRPr="00877847">
          <w:rPr>
            <w:rFonts w:ascii="Arial" w:eastAsia="Times New Roman" w:hAnsi="Arial" w:cs="Arial"/>
            <w:color w:val="666666"/>
            <w:sz w:val="20"/>
            <w:szCs w:val="20"/>
            <w:bdr w:val="none" w:sz="0" w:space="0" w:color="auto" w:frame="1"/>
            <w:lang w:eastAsia="ru-RU"/>
          </w:rPr>
          <w:t>[12]</w:t>
        </w:r>
      </w:hyperlink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т. ч. посредством иска против принудительного исполнения.</w:t>
      </w:r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Решение же вопроса о допустимости возврата сторон к первоначальному спору в связи с </w:t>
      </w:r>
      <w:proofErr w:type="spell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недостижением</w:t>
      </w:r>
      <w:proofErr w:type="spellEnd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цели мирового соглашения требует дальнейшего догматического и политико-правового анализа.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Список проанализированных правоприменительных актов: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Арбитражного суда Центрального округа от 23.06.2016 № Ф10-2140/2016 по делу № А14-12556/2013;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Арбитражного суда Северо-Кавказского округа от 01.10.2015 № Ф08-7255/2015 по делу № А32-51913/2009;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ФАС Уральского округа от 09.04.2012 № Ф09-1277/12 по делу № А60-23874/2011;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Арбитражного суда Северо-Западного округа от 03.02.2017 № Ф07-13778/2016 по делу № А13-460/2015;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Арбитражного суда Центрального округа от 23.06.2016 по делу № А14-12556/2013;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ФАС Уральского округа от 23.01.2013 по делу № А76-41503/2009;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ФАС Уральского округа от 28.11.2011 № Ф09-7235/11 по делу № А76-21338/05;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ФАС Волго-Вятского округа от 20.07.2011 по делу № А29-933/2011;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ФАС Поволжского округа от 20.09.2012 по делу № А06-4853/2011;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ФАС Поволжского округа от 16.02.2011 по делу № А55-19491/06;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Пятнадцатого арбитражного апелляционного суда от 20.08.2014 № 15АП-13220/2014 по делу № А32-25755/2012;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Восемнадцатого арбитражного апелляционного суда от 17.06.2014 № 18АП-6148/2014 по делу № А76-36443/2009;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Восемнадцатого арбитражного апелляционного суда от 14.09.2011 № 18АП-7828/2011 по делу № А47-2162/2009;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Восемнадцатого арбитражного апелляционного суда от 20.07.2011 № 18АП-6129/2011 по делу № А34-4349/2010;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Восемнадцатого арбитражного апелляционного суда от 22.03.2010 № 18АП-1455/2010 по делу № А47-7514/2008;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Девятнадцатого арбитражного апелляционного суда от 30.10.2009 по делу № А14-4089/2007152/30и;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Двадцатого арбитражного апелляционного суда от 10.08.2010 по делу № А23-411/09Г-15-34;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Президиума ВАС РФ от 26.11.2013 № 9884/13;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ФАС Уральского округа от 29.11.2012 № Ф09-7235/11 по делу № А76-21338/2005;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Определение Судебной коллегии по гражданским делам Верховного Суда РФ от 22.05.2012 № 18-В12-31;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Арбитражного суда Волго-Вятского округа от 13.03.2015 № Ф01-281/2015 по делу № А29-9849/2011;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ФАС Восточно-Сибирского округа от 10.11.2010 по делу № А33-258/2000;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Арбитражного суда Поволжского округа от 08.06.2017 № Ф06-21451/2017 по делу № А12-30630/2015;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Постановление Арбитражного суда Волго-Вятского округа от 13.03.2015 № Ф01-281/2015 по делу № А29-9849/2011;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Арбитражного суда Северо-Западного округа от 21.04.2017 № Ф07-2831/2017 по делу № А52-938/2015;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ФАС Северо-Западного округа от 09.06.2014 № Ф07-2257/2014 по делу № А26-3572/2011;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Пятнадцатого арбитражного апелляционного суда от 05.02.2017 № 15АП-20421/2016 по делу № А53-29684/2015;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Пятнадцатого арбитражного апелляционного суда от 21.07.2016 № 15АП-10144/2016 по делу № А01-1769/2014;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Восемнадцатого арбитражного апелляционного суда от 15.12.2015 № 18АП-12683/2015 по делу № А76-21682/2014;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Восемнадцатого арбитражного апелляционного суда от 01.12.2015 № 18АП-13494/2015 по делу № А07-2381/2012;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Восемнадцатого арбитражного апелляционного суда от 11.12.2013 № 18АП-11638/2013 по делу № А07-3015/2012;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Восемнадцатого арбитражного апелляционного суда от 20.05.2013 № 18АП-4047/2013 по делу № А07-4474/2011;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Восемнадцатого арбитражного апелляционного суда от 03.10.2012 № 18АП-9488/2012 по делу № А07-17308/2011;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Восемнадцатого арбитражного апелляционного суда от 03.10.2012 № 18АП-9488/2012 по делу № А07-17308/2011;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Девятнадцатого арбитражного апелляционного суда от 25.02.2015 по делу № А48-3639/2011;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Двадцатого арбитражного апелляционного суда от 25.05.2012 по делу № А54-2420/2010;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Пятнадцатого арбитражного апелляционного суда от 02.08.2010 № 15АП-6442/2010 по делу № А53-5099/2009;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Арбитражного суда Поволжского округа от 08.06.2017 № Ф06-21451/2017 по делу № А12-30630/2015;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Семнадцатого арбитражного апелляционного суда от 25.08.2014 № 17АП-8792/2014-ГК по делу № А60-50584/2012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Девятнадцатого арбитражного апелляционного суда от 28.12.2015 № 19АП-5419/2015 по делу № А48-3388/2007-3;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Определение Судебной коллегии по экономическим спорам Верховного Суда РФ от 14.09.2015 № 309-ЭС15-3840;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Арбитражного суда Северо-Западного округа от 26.07.2016 № Ф07-5027/2016 по делу № А05-6181/2015;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Четвертого арбитражного апелляционного суда от 03.11.2015 № 04АП-1057/2009 по делу № А19-13228/2008;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ФАС Поволжского округа от 17.01.2013 по делу № А55-19491/06;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Определение судьи Верховного Суда РФ от 24.02.2016 № 307-ЭС15-19583 по делу № А56-625/2015;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Арбитражного суда Поволжского округа от 21.03.2017 № Ф06-18544/2017;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ФАС Восточно-Сибирского округа от 18.01.2013 по делу № А74-2459/2012;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Шестого арбитражного апелляционного суда от 17.01.2014 № 06АП-6625/2013 по делу № А16-1113/2013;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Восьмого арбитражного апелляционного суда от 12.03.2010 № 08АП-418/2010 по делу № А46-21650/2009.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Пятнадцатого арбитражного апелляционного суда от 19.08.2016 № 15АП-9614/2016 по делу № А32-45410/2015;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Девятого арбитражного апелляционного суда от 06.05.2015 № 09АП-14626/2015-ГК по делу № А40-165686/14;</w:t>
      </w:r>
    </w:p>
    <w:p w:rsidR="00877847" w:rsidRPr="00877847" w:rsidRDefault="00877847" w:rsidP="00877847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Постановление Арбитражного суда Уральского округа от 06.09.2016 № Ф09-8844/16 по делу № А60-48368/2015.</w:t>
      </w:r>
    </w:p>
    <w:p w:rsidR="00877847" w:rsidRPr="00877847" w:rsidRDefault="00877847" w:rsidP="0087784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8" w:anchor="_ftnref1" w:history="1">
        <w:r w:rsidRPr="00877847">
          <w:rPr>
            <w:rFonts w:ascii="Arial" w:eastAsia="Times New Roman" w:hAnsi="Arial" w:cs="Arial"/>
            <w:color w:val="666666"/>
            <w:sz w:val="20"/>
            <w:szCs w:val="20"/>
            <w:bdr w:val="none" w:sz="0" w:space="0" w:color="auto" w:frame="1"/>
            <w:lang w:eastAsia="ru-RU"/>
          </w:rPr>
          <w:t>[1]</w:t>
        </w:r>
      </w:hyperlink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Пункт 13 постановления Пленума ВАС РФ от 18.07.2014 № 50 «О примирении сторон в арбитражном процессе»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9" w:anchor="_ftnref2" w:history="1">
        <w:r w:rsidRPr="00877847">
          <w:rPr>
            <w:rFonts w:ascii="Arial" w:eastAsia="Times New Roman" w:hAnsi="Arial" w:cs="Arial"/>
            <w:color w:val="666666"/>
            <w:sz w:val="20"/>
            <w:szCs w:val="20"/>
            <w:bdr w:val="none" w:sz="0" w:space="0" w:color="auto" w:frame="1"/>
            <w:lang w:eastAsia="ru-RU"/>
          </w:rPr>
          <w:t>[2]</w:t>
        </w:r>
      </w:hyperlink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Пункт 21 постановления Пленума ВАС РФ от 18.07.2014 № 50 «О примирении сторон в арбитражном процессе»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0" w:anchor="_ftnref3" w:history="1">
        <w:r w:rsidRPr="00877847">
          <w:rPr>
            <w:rFonts w:ascii="Arial" w:eastAsia="Times New Roman" w:hAnsi="Arial" w:cs="Arial"/>
            <w:color w:val="666666"/>
            <w:sz w:val="20"/>
            <w:szCs w:val="20"/>
            <w:bdr w:val="none" w:sz="0" w:space="0" w:color="auto" w:frame="1"/>
            <w:lang w:eastAsia="ru-RU"/>
          </w:rPr>
          <w:t>[3]</w:t>
        </w:r>
      </w:hyperlink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Статья 164 Федерального закона от 26.10.2002 № 127-ФЗ «О несостоятельности (банкротстве)».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1" w:anchor="_ftnref4" w:history="1">
        <w:r w:rsidRPr="00877847">
          <w:rPr>
            <w:rFonts w:ascii="Arial" w:eastAsia="Times New Roman" w:hAnsi="Arial" w:cs="Arial"/>
            <w:color w:val="666666"/>
            <w:sz w:val="20"/>
            <w:szCs w:val="20"/>
            <w:bdr w:val="none" w:sz="0" w:space="0" w:color="auto" w:frame="1"/>
            <w:lang w:eastAsia="ru-RU"/>
          </w:rPr>
          <w:t>[4]</w:t>
        </w:r>
      </w:hyperlink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См. </w:t>
      </w:r>
      <w:proofErr w:type="spell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inter</w:t>
      </w:r>
      <w:proofErr w:type="spellEnd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alia</w:t>
      </w:r>
      <w:proofErr w:type="spellEnd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Васьковский, Е. В. </w:t>
      </w: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Учебник гражданского процесса. М., 2016. С. 363; Советское гражданское процессуальное право / под ред. М. А. Гурвича. М., 1964. С. 189 (автор главы — М. А. Гурвич); 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Зинченко, А. И. </w:t>
      </w: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Мировые соглашения в гражданском судопроизводстве. </w:t>
      </w:r>
      <w:proofErr w:type="spell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Автореф</w:t>
      </w:r>
      <w:proofErr w:type="spellEnd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… </w:t>
      </w:r>
      <w:proofErr w:type="spellStart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к.ю.н</w:t>
      </w:r>
      <w:proofErr w:type="spellEnd"/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Саратов, 1981. С. 8; 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Рожкова, М. А. </w:t>
      </w: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Мировое соглашение в арбитражном суде: проблемы теории и практики. М., 2004. С. 31; Арбитражный процесс: учебник / отв. редактор 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В. В. Ярков</w:t>
      </w: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М., 2015. С. 293 (автор главы — 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М. Л. Скуратовский</w:t>
      </w: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); п. 9 постановления Пленума ВАС РФ от 18.07.2014 № «О примирении сторон в арбитражном процессе».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2" w:anchor="_ftnref5" w:history="1">
        <w:r w:rsidRPr="00877847">
          <w:rPr>
            <w:rFonts w:ascii="Arial" w:eastAsia="Times New Roman" w:hAnsi="Arial" w:cs="Arial"/>
            <w:color w:val="666666"/>
            <w:sz w:val="20"/>
            <w:szCs w:val="20"/>
            <w:bdr w:val="none" w:sz="0" w:space="0" w:color="auto" w:frame="1"/>
            <w:lang w:eastAsia="ru-RU"/>
          </w:rPr>
          <w:t>[5]</w:t>
        </w:r>
      </w:hyperlink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См. 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Володарский, Д. Ю. </w:t>
      </w: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вопросу о механизме защиты должника от неосновательного действия судебного акта // Вестник ВАС РФ. 2013 № 6. С. 116-117.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3" w:anchor="_ftnref6" w:history="1">
        <w:r w:rsidRPr="00877847">
          <w:rPr>
            <w:rFonts w:ascii="Arial" w:eastAsia="Times New Roman" w:hAnsi="Arial" w:cs="Arial"/>
            <w:color w:val="666666"/>
            <w:sz w:val="20"/>
            <w:szCs w:val="20"/>
            <w:bdr w:val="none" w:sz="0" w:space="0" w:color="auto" w:frame="1"/>
            <w:lang w:eastAsia="ru-RU"/>
          </w:rPr>
          <w:t>[6]</w:t>
        </w:r>
      </w:hyperlink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Пункт 21 постановления Пленума ВАС РФ от 18.07.2014 № «О примирении сторон в арбитражном процессе»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4" w:anchor="_ftnref7" w:history="1">
        <w:r w:rsidRPr="00877847">
          <w:rPr>
            <w:rFonts w:ascii="Arial" w:eastAsia="Times New Roman" w:hAnsi="Arial" w:cs="Arial"/>
            <w:color w:val="666666"/>
            <w:sz w:val="20"/>
            <w:szCs w:val="20"/>
            <w:bdr w:val="none" w:sz="0" w:space="0" w:color="auto" w:frame="1"/>
            <w:lang w:eastAsia="ru-RU"/>
          </w:rPr>
          <w:t>[7]</w:t>
        </w:r>
      </w:hyperlink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Подробно об определении ВС РФ № 309-ЭС15-3840 см.: 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Берлин, А. Я</w:t>
      </w: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Заключение мирового соглашения под влиянием существенного заблуждения: на базе определения Судебной коллегии по экономическим спорам ВС РФ от 14.09.2015 № 309-ЭС15-3840 // Вестник экономического правосудия Российской Федерации. 2017. № 12. С. 174-191.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5" w:anchor="_ftnref8" w:history="1">
        <w:r w:rsidRPr="00877847">
          <w:rPr>
            <w:rFonts w:ascii="Arial" w:eastAsia="Times New Roman" w:hAnsi="Arial" w:cs="Arial"/>
            <w:color w:val="666666"/>
            <w:sz w:val="20"/>
            <w:szCs w:val="20"/>
            <w:bdr w:val="none" w:sz="0" w:space="0" w:color="auto" w:frame="1"/>
            <w:lang w:eastAsia="ru-RU"/>
          </w:rPr>
          <w:t>[8]</w:t>
        </w:r>
      </w:hyperlink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Байбак, В. В., </w:t>
      </w:r>
      <w:proofErr w:type="spellStart"/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Карапетов</w:t>
      </w:r>
      <w:proofErr w:type="spellEnd"/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 А. Г. </w:t>
      </w: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Анализ проблемных вопросов применения ст. 178 ГК РФ об оспаривании сделки в связи с существенным заблуждением // Вестник экономического правосудия Российской Федерации. 2017. № 9. С. 74.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6" w:anchor="_ftnref9" w:history="1">
        <w:r w:rsidRPr="00877847">
          <w:rPr>
            <w:rFonts w:ascii="Arial" w:eastAsia="Times New Roman" w:hAnsi="Arial" w:cs="Arial"/>
            <w:color w:val="666666"/>
            <w:sz w:val="20"/>
            <w:szCs w:val="20"/>
            <w:bdr w:val="none" w:sz="0" w:space="0" w:color="auto" w:frame="1"/>
            <w:lang w:eastAsia="ru-RU"/>
          </w:rPr>
          <w:t>[9]</w:t>
        </w:r>
      </w:hyperlink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Пункт 35 постановления Пленума Верховного Суда РФ от 24.03.2016 № 7 «О применении судами некоторых положений ГК РФ об ответственности за нарушение обязательств»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7" w:anchor="_ftnref10" w:history="1">
        <w:r w:rsidRPr="00877847">
          <w:rPr>
            <w:rFonts w:ascii="Arial" w:eastAsia="Times New Roman" w:hAnsi="Arial" w:cs="Arial"/>
            <w:color w:val="666666"/>
            <w:sz w:val="20"/>
            <w:szCs w:val="20"/>
            <w:bdr w:val="none" w:sz="0" w:space="0" w:color="auto" w:frame="1"/>
            <w:lang w:eastAsia="ru-RU"/>
          </w:rPr>
          <w:t>[10]</w:t>
        </w:r>
      </w:hyperlink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Володарский, Д. Б. </w:t>
      </w: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Цит. соч. С. 116.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8" w:anchor="_ftnref11" w:history="1">
        <w:r w:rsidRPr="00877847">
          <w:rPr>
            <w:rFonts w:ascii="Arial" w:eastAsia="Times New Roman" w:hAnsi="Arial" w:cs="Arial"/>
            <w:color w:val="666666"/>
            <w:sz w:val="20"/>
            <w:szCs w:val="20"/>
            <w:bdr w:val="none" w:sz="0" w:space="0" w:color="auto" w:frame="1"/>
            <w:lang w:eastAsia="ru-RU"/>
          </w:rPr>
          <w:t>[11]</w:t>
        </w:r>
      </w:hyperlink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Гальперин. М. Л. </w:t>
      </w: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Будущее исполнительного производства: проблемы взаимодействия материального и процессуального права // Закон. 2012. № 4. С. 56-57.</w:t>
      </w:r>
    </w:p>
    <w:p w:rsidR="00877847" w:rsidRPr="00877847" w:rsidRDefault="00877847" w:rsidP="00877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9" w:anchor="_ftnref12" w:history="1">
        <w:r w:rsidRPr="00877847">
          <w:rPr>
            <w:rFonts w:ascii="Arial" w:eastAsia="Times New Roman" w:hAnsi="Arial" w:cs="Arial"/>
            <w:color w:val="666666"/>
            <w:sz w:val="20"/>
            <w:szCs w:val="20"/>
            <w:bdr w:val="none" w:sz="0" w:space="0" w:color="auto" w:frame="1"/>
            <w:lang w:eastAsia="ru-RU"/>
          </w:rPr>
          <w:t>[12]</w:t>
        </w:r>
      </w:hyperlink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778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Шварц, М. З. </w:t>
      </w:r>
      <w:r w:rsidRPr="00877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вопросу о пределах обязательности вступивших в законную силу судебных актов. Комментарий к постановлению Президиума ВАС РФ от 14.10.2008 № 7920/08 // Вестник Высшего Арбитражного Суда Российской Федерации. 2009. № 3. С. 97.</w:t>
      </w:r>
    </w:p>
    <w:p w:rsidR="00877847" w:rsidRPr="00877847" w:rsidRDefault="00877847"/>
    <w:sectPr w:rsidR="00877847" w:rsidRPr="0087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639"/>
    <w:multiLevelType w:val="multilevel"/>
    <w:tmpl w:val="77F4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C5FEF"/>
    <w:multiLevelType w:val="multilevel"/>
    <w:tmpl w:val="5922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D7BE4"/>
    <w:multiLevelType w:val="multilevel"/>
    <w:tmpl w:val="7D6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E76BF"/>
    <w:multiLevelType w:val="multilevel"/>
    <w:tmpl w:val="AD60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02490"/>
    <w:multiLevelType w:val="multilevel"/>
    <w:tmpl w:val="AD04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E0113"/>
    <w:multiLevelType w:val="multilevel"/>
    <w:tmpl w:val="B3E2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35427"/>
    <w:multiLevelType w:val="multilevel"/>
    <w:tmpl w:val="31F8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974F1"/>
    <w:multiLevelType w:val="multilevel"/>
    <w:tmpl w:val="358A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83C6E"/>
    <w:multiLevelType w:val="multilevel"/>
    <w:tmpl w:val="1BB6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B737F"/>
    <w:multiLevelType w:val="multilevel"/>
    <w:tmpl w:val="1EAC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63175"/>
    <w:multiLevelType w:val="multilevel"/>
    <w:tmpl w:val="30B4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E1CF7"/>
    <w:multiLevelType w:val="multilevel"/>
    <w:tmpl w:val="BEB4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4736C2"/>
    <w:multiLevelType w:val="multilevel"/>
    <w:tmpl w:val="EEBA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2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D3"/>
    <w:rsid w:val="002709D3"/>
    <w:rsid w:val="003172F0"/>
    <w:rsid w:val="00775897"/>
    <w:rsid w:val="0087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7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8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7847"/>
    <w:rPr>
      <w:i/>
      <w:iCs/>
    </w:rPr>
  </w:style>
  <w:style w:type="character" w:styleId="a5">
    <w:name w:val="Strong"/>
    <w:basedOn w:val="a0"/>
    <w:uiPriority w:val="22"/>
    <w:qFormat/>
    <w:rsid w:val="00877847"/>
    <w:rPr>
      <w:b/>
      <w:bCs/>
    </w:rPr>
  </w:style>
  <w:style w:type="character" w:styleId="a6">
    <w:name w:val="Hyperlink"/>
    <w:basedOn w:val="a0"/>
    <w:uiPriority w:val="99"/>
    <w:semiHidden/>
    <w:unhideWhenUsed/>
    <w:rsid w:val="00877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7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8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7847"/>
    <w:rPr>
      <w:i/>
      <w:iCs/>
    </w:rPr>
  </w:style>
  <w:style w:type="character" w:styleId="a5">
    <w:name w:val="Strong"/>
    <w:basedOn w:val="a0"/>
    <w:uiPriority w:val="22"/>
    <w:qFormat/>
    <w:rsid w:val="00877847"/>
    <w:rPr>
      <w:b/>
      <w:bCs/>
    </w:rPr>
  </w:style>
  <w:style w:type="character" w:styleId="a6">
    <w:name w:val="Hyperlink"/>
    <w:basedOn w:val="a0"/>
    <w:uiPriority w:val="99"/>
    <w:semiHidden/>
    <w:unhideWhenUsed/>
    <w:rsid w:val="00877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rim.spbu.ru/yurisprudentsiya/zawita-chesti-dostoinstva-i-delovoj-reputacii/item/480-sposoby-zashchity-kreditora-i-dolzhnika-po-mirovomu-soglasheniyu.html" TargetMode="External"/><Relationship Id="rId13" Type="http://schemas.openxmlformats.org/officeDocument/2006/relationships/hyperlink" Target="https://pravoprim.spbu.ru/yurisprudentsiya/zawita-chesti-dostoinstva-i-delovoj-reputacii/item/480-sposoby-zashchity-kreditora-i-dolzhnika-po-mirovomu-soglasheniyu.html" TargetMode="External"/><Relationship Id="rId18" Type="http://schemas.openxmlformats.org/officeDocument/2006/relationships/hyperlink" Target="https://pravoprim.spbu.ru/yurisprudentsiya/zawita-chesti-dostoinstva-i-delovoj-reputacii/item/480-sposoby-zashchity-kreditora-i-dolzhnika-po-mirovomu-soglasheniyu.html" TargetMode="External"/><Relationship Id="rId26" Type="http://schemas.openxmlformats.org/officeDocument/2006/relationships/hyperlink" Target="https://pravoprim.spbu.ru/yurisprudentsiya/zawita-chesti-dostoinstva-i-delovoj-reputacii/item/480-sposoby-zashchity-kreditora-i-dolzhnika-po-mirovomu-soglasheniyu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ravoprim.spbu.ru/yurisprudentsiya/zawita-chesti-dostoinstva-i-delovoj-reputacii/item/480-sposoby-zashchity-kreditora-i-dolzhnika-po-mirovomu-soglasheniyu.html" TargetMode="External"/><Relationship Id="rId7" Type="http://schemas.openxmlformats.org/officeDocument/2006/relationships/hyperlink" Target="https://pravoprim.spbu.ru/yurisprudentsiya/zawita-chesti-dostoinstva-i-delovoj-reputacii/item/480-sposoby-zashchity-kreditora-i-dolzhnika-po-mirovomu-soglasheniyu.html" TargetMode="External"/><Relationship Id="rId12" Type="http://schemas.openxmlformats.org/officeDocument/2006/relationships/hyperlink" Target="https://pravoprim.spbu.ru/yurisprudentsiya/zawita-chesti-dostoinstva-i-delovoj-reputacii/item/480-sposoby-zashchity-kreditora-i-dolzhnika-po-mirovomu-soglasheniyu.html" TargetMode="External"/><Relationship Id="rId17" Type="http://schemas.openxmlformats.org/officeDocument/2006/relationships/hyperlink" Target="https://pravoprim.spbu.ru/yurisprudentsiya/zawita-chesti-dostoinstva-i-delovoj-reputacii/item/480-sposoby-zashchity-kreditora-i-dolzhnika-po-mirovomu-soglasheniyu.html" TargetMode="External"/><Relationship Id="rId25" Type="http://schemas.openxmlformats.org/officeDocument/2006/relationships/hyperlink" Target="https://pravoprim.spbu.ru/yurisprudentsiya/zawita-chesti-dostoinstva-i-delovoj-reputacii/item/480-sposoby-zashchity-kreditora-i-dolzhnika-po-mirovomu-soglasheniy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prim.spbu.ru/yurisprudentsiya/zawita-chesti-dostoinstva-i-delovoj-reputacii/item/480-sposoby-zashchity-kreditora-i-dolzhnika-po-mirovomu-soglasheniyu.html" TargetMode="External"/><Relationship Id="rId20" Type="http://schemas.openxmlformats.org/officeDocument/2006/relationships/hyperlink" Target="https://pravoprim.spbu.ru/yurisprudentsiya/zawita-chesti-dostoinstva-i-delovoj-reputacii/item/480-sposoby-zashchity-kreditora-i-dolzhnika-po-mirovomu-soglasheniyu.html" TargetMode="External"/><Relationship Id="rId29" Type="http://schemas.openxmlformats.org/officeDocument/2006/relationships/hyperlink" Target="https://pravoprim.spbu.ru/yurisprudentsiya/zawita-chesti-dostoinstva-i-delovoj-reputacii/item/480-sposoby-zashchity-kreditora-i-dolzhnika-po-mirovomu-soglasheniyu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voprim.spbu.ru/yurisprudentsiya/zawita-chesti-dostoinstva-i-delovoj-reputacii/item/480-sposoby-zashchity-kreditora-i-dolzhnika-po-mirovomu-soglasheniyu.html" TargetMode="External"/><Relationship Id="rId11" Type="http://schemas.openxmlformats.org/officeDocument/2006/relationships/hyperlink" Target="https://pravoprim.spbu.ru/yurisprudentsiya/zawita-chesti-dostoinstva-i-delovoj-reputacii/item/480-sposoby-zashchity-kreditora-i-dolzhnika-po-mirovomu-soglasheniyu.html" TargetMode="External"/><Relationship Id="rId24" Type="http://schemas.openxmlformats.org/officeDocument/2006/relationships/hyperlink" Target="https://pravoprim.spbu.ru/yurisprudentsiya/zawita-chesti-dostoinstva-i-delovoj-reputacii/item/480-sposoby-zashchity-kreditora-i-dolzhnika-po-mirovomu-soglasheniyu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prim.spbu.ru/yurisprudentsiya/zawita-chesti-dostoinstva-i-delovoj-reputacii/item/480-sposoby-zashchity-kreditora-i-dolzhnika-po-mirovomu-soglasheniyu.html" TargetMode="External"/><Relationship Id="rId23" Type="http://schemas.openxmlformats.org/officeDocument/2006/relationships/hyperlink" Target="https://pravoprim.spbu.ru/yurisprudentsiya/zawita-chesti-dostoinstva-i-delovoj-reputacii/item/480-sposoby-zashchity-kreditora-i-dolzhnika-po-mirovomu-soglasheniyu.html" TargetMode="External"/><Relationship Id="rId28" Type="http://schemas.openxmlformats.org/officeDocument/2006/relationships/hyperlink" Target="https://pravoprim.spbu.ru/yurisprudentsiya/zawita-chesti-dostoinstva-i-delovoj-reputacii/item/480-sposoby-zashchity-kreditora-i-dolzhnika-po-mirovomu-soglasheniyu.html" TargetMode="External"/><Relationship Id="rId10" Type="http://schemas.openxmlformats.org/officeDocument/2006/relationships/hyperlink" Target="https://pravoprim.spbu.ru/yurisprudentsiya/zawita-chesti-dostoinstva-i-delovoj-reputacii/item/480-sposoby-zashchity-kreditora-i-dolzhnika-po-mirovomu-soglasheniyu.html" TargetMode="External"/><Relationship Id="rId19" Type="http://schemas.openxmlformats.org/officeDocument/2006/relationships/hyperlink" Target="https://pravoprim.spbu.ru/yurisprudentsiya/zawita-chesti-dostoinstva-i-delovoj-reputacii/item/480-sposoby-zashchity-kreditora-i-dolzhnika-po-mirovomu-soglasheniyu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avoprim.spbu.ru/yurisprudentsiya/zawita-chesti-dostoinstva-i-delovoj-reputacii/item/480-sposoby-zashchity-kreditora-i-dolzhnika-po-mirovomu-soglasheniyu.html" TargetMode="External"/><Relationship Id="rId14" Type="http://schemas.openxmlformats.org/officeDocument/2006/relationships/hyperlink" Target="https://pravoprim.spbu.ru/yurisprudentsiya/zawita-chesti-dostoinstva-i-delovoj-reputacii/item/480-sposoby-zashchity-kreditora-i-dolzhnika-po-mirovomu-soglasheniyu.html" TargetMode="External"/><Relationship Id="rId22" Type="http://schemas.openxmlformats.org/officeDocument/2006/relationships/hyperlink" Target="https://pravoprim.spbu.ru/yurisprudentsiya/zawita-chesti-dostoinstva-i-delovoj-reputacii/item/480-sposoby-zashchity-kreditora-i-dolzhnika-po-mirovomu-soglasheniyu.html" TargetMode="External"/><Relationship Id="rId27" Type="http://schemas.openxmlformats.org/officeDocument/2006/relationships/hyperlink" Target="https://pravoprim.spbu.ru/yurisprudentsiya/zawita-chesti-dostoinstva-i-delovoj-reputacii/item/480-sposoby-zashchity-kreditora-i-dolzhnika-po-mirovomu-soglasheniyu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6549</Words>
  <Characters>37330</Characters>
  <Application>Microsoft Office Word</Application>
  <DocSecurity>0</DocSecurity>
  <Lines>311</Lines>
  <Paragraphs>87</Paragraphs>
  <ScaleCrop>false</ScaleCrop>
  <Company>Hewlett-Packard Company</Company>
  <LinksUpToDate>false</LinksUpToDate>
  <CharactersWithSpaces>43792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3</cp:revision>
  <dcterms:created xsi:type="dcterms:W3CDTF">2020-12-17T15:03:00Z</dcterms:created>
  <dcterms:modified xsi:type="dcterms:W3CDTF">2020-12-17T15:04:00Z</dcterms:modified>
</cp:coreProperties>
</file>