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DD" w:rsidRPr="00AD44DD" w:rsidRDefault="00AD44DD" w:rsidP="00AD4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DD">
        <w:rPr>
          <w:rFonts w:ascii="inherit" w:eastAsia="Times New Roman" w:hAnsi="inherit" w:cs="Times New Roman"/>
          <w:color w:val="9B9B9B"/>
          <w:sz w:val="24"/>
          <w:szCs w:val="24"/>
          <w:bdr w:val="none" w:sz="0" w:space="0" w:color="auto" w:frame="1"/>
          <w:lang w:eastAsia="ru-RU"/>
        </w:rPr>
        <w:t>30 июля 2020</w:t>
      </w:r>
      <w:r w:rsidRPr="00AD44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AD44DD">
          <w:rPr>
            <w:rFonts w:ascii="inherit" w:eastAsia="Times New Roman" w:hAnsi="inherit" w:cs="Times New Roman"/>
            <w:b/>
            <w:bCs/>
            <w:caps/>
            <w:color w:val="9B9B9B"/>
            <w:spacing w:val="30"/>
            <w:sz w:val="24"/>
            <w:szCs w:val="24"/>
            <w:u w:val="single"/>
            <w:bdr w:val="none" w:sz="0" w:space="0" w:color="auto" w:frame="1"/>
            <w:lang w:eastAsia="ru-RU"/>
          </w:rPr>
          <w:t>ЗАКЛЮЧЕНИЯ ЦИКНД</w:t>
        </w:r>
      </w:hyperlink>
    </w:p>
    <w:p w:rsidR="00AD44DD" w:rsidRPr="00AD44DD" w:rsidRDefault="00AD44DD" w:rsidP="00AD44DD">
      <w:pPr>
        <w:spacing w:after="60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D44DD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Приказ Министерства науки и высшего образования Российской Федерации «Об утверждении Порядка приема на </w:t>
      </w:r>
      <w:proofErr w:type="gramStart"/>
      <w:r w:rsidRPr="00AD44DD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обучение по</w:t>
      </w:r>
      <w:proofErr w:type="gramEnd"/>
      <w:r w:rsidRPr="00AD44DD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AD44DD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бакалавриата</w:t>
      </w:r>
      <w:proofErr w:type="spellEnd"/>
      <w:r w:rsidRPr="00AD44DD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, программам </w:t>
      </w:r>
      <w:proofErr w:type="spellStart"/>
      <w:r w:rsidRPr="00AD44DD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специалитета</w:t>
      </w:r>
      <w:proofErr w:type="spellEnd"/>
      <w:r w:rsidRPr="00AD44DD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, программам магистратуры»</w:t>
      </w:r>
    </w:p>
    <w:p w:rsidR="00AD44DD" w:rsidRPr="00AD44DD" w:rsidRDefault="00AD44DD" w:rsidP="00AD44DD">
      <w:pPr>
        <w:shd w:val="clear" w:color="auto" w:fill="A7C5BD"/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D44D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от </w:t>
      </w:r>
      <w:r w:rsidRPr="00AD44DD">
        <w:rPr>
          <w:rFonts w:ascii="inherit" w:eastAsia="Times New Roman" w:hAnsi="inherit" w:cs="Times New Roman"/>
          <w:color w:val="FFFFFF"/>
          <w:sz w:val="18"/>
          <w:szCs w:val="18"/>
          <w:bdr w:val="none" w:sz="0" w:space="0" w:color="auto" w:frame="1"/>
          <w:lang w:eastAsia="ru-RU"/>
        </w:rPr>
        <w:t>30.07.2020</w:t>
      </w:r>
    </w:p>
    <w:p w:rsidR="00AD44DD" w:rsidRPr="00AD44DD" w:rsidRDefault="00AD44DD" w:rsidP="00AD44DD">
      <w:pPr>
        <w:spacing w:before="450" w:after="45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AD44DD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Представленный на рассмотрение проект приказа Министерства науки и высшего образования Российской Федерации «Об утверждении Порядка приема на </w:t>
      </w:r>
      <w:proofErr w:type="gramStart"/>
      <w:r w:rsidRPr="00AD44DD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обучение по</w:t>
      </w:r>
      <w:proofErr w:type="gramEnd"/>
      <w:r w:rsidRPr="00AD44DD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AD44DD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бакалавриата</w:t>
      </w:r>
      <w:proofErr w:type="spellEnd"/>
      <w:r w:rsidRPr="00AD44DD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, программам </w:t>
      </w:r>
      <w:proofErr w:type="spellStart"/>
      <w:r w:rsidRPr="00AD44DD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специалитета</w:t>
      </w:r>
      <w:proofErr w:type="spellEnd"/>
      <w:r w:rsidRPr="00AD44DD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, программам магистратуры» (далее – Порядок приема) представляется целесообразным поддержать при условии рассмотрения и решения следующих вопросов.</w:t>
      </w:r>
    </w:p>
    <w:p w:rsidR="00AD44DD" w:rsidRPr="00AD44DD" w:rsidRDefault="00AD44DD" w:rsidP="00AD44DD">
      <w:pPr>
        <w:numPr>
          <w:ilvl w:val="0"/>
          <w:numId w:val="1"/>
        </w:numPr>
        <w:tabs>
          <w:tab w:val="clear" w:pos="720"/>
          <w:tab w:val="num" w:pos="0"/>
        </w:tabs>
        <w:spacing w:after="375" w:line="240" w:lineRule="auto"/>
        <w:ind w:left="0" w:firstLine="0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bookmarkStart w:id="0" w:name="_GoBack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В соответствии с абзацем 3 подпункта 5 пункта 7 Порядка приема «если количество мест, оставшееся после выделения целевой квоты, недостаточно для выделения особой квоты, недостающие места выделяются в рамках целевой квоты с проведением отдельного конкурса на указанные места». Данная норма требует уточнения ввиду следующих обстоятельств. Согласно пункту 41 Порядка приема информация об особой квоте размещается на сайте образовательной организации не позднее 1 октября года, предшествующего году приема, а информация о целевой квоте – 1 июня года приема. Таким образом, выделение особой квоты будет производиться образовательными организациями ранее установления целевой квоты, </w:t>
      </w:r>
      <w:proofErr w:type="gramStart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а</w:t>
      </w:r>
      <w:proofErr w:type="gramEnd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 следовательно, абитуриенты и их родители (законные представители) будут ориентироваться на установленное значение особой квоты. Кроме того, буквальное прочтение данной нормы позволяет сделать вывод о том, что особая квота выделяется «в рамках целевой квоты», то есть поступать на данную квоту смогут только лица, заключившие договоры о целевом обучении, что ограничивает права лиц, имеющих право поступать в рамках особой квоты.</w:t>
      </w:r>
    </w:p>
    <w:p w:rsidR="00AD44DD" w:rsidRPr="00AD44DD" w:rsidRDefault="00AD44DD" w:rsidP="00AD44DD">
      <w:pPr>
        <w:numPr>
          <w:ilvl w:val="0"/>
          <w:numId w:val="1"/>
        </w:numPr>
        <w:tabs>
          <w:tab w:val="clear" w:pos="720"/>
          <w:tab w:val="num" w:pos="0"/>
        </w:tabs>
        <w:spacing w:after="375" w:line="240" w:lineRule="auto"/>
        <w:ind w:left="0" w:firstLine="0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Пунктом 22 Порядка приема предусмотрено, что </w:t>
      </w:r>
      <w:proofErr w:type="gramStart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максимальное</w:t>
      </w:r>
      <w:proofErr w:type="gramEnd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 количества специальностей и (или) направлений подготовки, по которым поступающий вправе одновременно участвовать в конкретной организации высшего образования, устанавливается организацией высшего образования и составляет не менее 2 и не более 10. При этом абзацем 3 подпункта 3 пункта 45 </w:t>
      </w:r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lastRenderedPageBreak/>
        <w:t>Порядка приёма предусмотрено заверение личной подписью поступающего факта «одновременной подачи заявлений о приеме в данную организацию не более чем по 3 специальностям и (или)» направлениям подготовки». Представляется, что данная норма требует соответствующих изменений.</w:t>
      </w:r>
    </w:p>
    <w:p w:rsidR="00AD44DD" w:rsidRPr="00AD44DD" w:rsidRDefault="00AD44DD" w:rsidP="00AD44DD">
      <w:pPr>
        <w:numPr>
          <w:ilvl w:val="0"/>
          <w:numId w:val="1"/>
        </w:numPr>
        <w:tabs>
          <w:tab w:val="clear" w:pos="720"/>
          <w:tab w:val="num" w:pos="0"/>
        </w:tabs>
        <w:spacing w:after="375" w:line="240" w:lineRule="auto"/>
        <w:ind w:left="0" w:firstLine="0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Согласно пункту 33 Порядка приема начисление баллов за те или иные индивидуальные достижения осуществляется «по решению организации». </w:t>
      </w:r>
      <w:proofErr w:type="gramStart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При этом пунктом 35 Порядка приема установлено, что образовательная организация «может начислить поступающему: не менее 2 баллов» за наличие золотого значка отличия Всероссийского физкультурно-спортивного комплекса «Готов к труду и обороне», а также «баллы за иные индивидуальные достижения».</w:t>
      </w:r>
      <w:proofErr w:type="gramEnd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 Таким образом, применительно к одному индивидуальному достижению фактически установлена нижняя граница баллов, которая из систематического толкования норм Порядка приема позволяет говорить об обязательности установления соответствующего количества баллов за данное индивидуальное достижение.</w:t>
      </w:r>
    </w:p>
    <w:p w:rsidR="00AD44DD" w:rsidRPr="00AD44DD" w:rsidRDefault="00AD44DD" w:rsidP="00AD44DD">
      <w:pPr>
        <w:numPr>
          <w:ilvl w:val="0"/>
          <w:numId w:val="1"/>
        </w:numPr>
        <w:tabs>
          <w:tab w:val="clear" w:pos="720"/>
          <w:tab w:val="num" w:pos="0"/>
        </w:tabs>
        <w:spacing w:after="375" w:line="240" w:lineRule="auto"/>
        <w:ind w:left="0" w:firstLine="0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proofErr w:type="gramStart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В соответствии с абзацем 6 пункта 81 Порядка приема «организация осуществляет прием заявлений о согласии на зачисление и документов установленного образца до дня завершения приема согласия на зачисление включительно, в указанный день – до 18 часов по местному времени (по решению организации – до более позднего времени».</w:t>
      </w:r>
      <w:proofErr w:type="gramEnd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 Установление образовательными организациями различных временных периодов для завершения приема согласий на зачисление представляется не целесообразным, поскольку в условиях довольно высокой мобильности </w:t>
      </w:r>
      <w:proofErr w:type="gramStart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абитуриентов</w:t>
      </w:r>
      <w:proofErr w:type="gramEnd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 в особенности в последний день подачи согласий на зачисление, такое регулирование может повлечь существенные риски для образовательных организаций.</w:t>
      </w:r>
    </w:p>
    <w:p w:rsidR="00AD44DD" w:rsidRPr="00AD44DD" w:rsidRDefault="00AD44DD" w:rsidP="00AD44DD">
      <w:pPr>
        <w:numPr>
          <w:ilvl w:val="0"/>
          <w:numId w:val="1"/>
        </w:numPr>
        <w:tabs>
          <w:tab w:val="clear" w:pos="720"/>
          <w:tab w:val="num" w:pos="0"/>
        </w:tabs>
        <w:spacing w:after="375" w:line="240" w:lineRule="auto"/>
        <w:ind w:left="0" w:firstLine="0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Пунктом 79 Порядка приема предусмотрено, что в конкурсном списке указывается «номер страхового свидетельства обязательного пенсионного страхования». Представляется нецелесообразным размещение в открытом доступе такого рода персональных данных обучающихся.</w:t>
      </w:r>
    </w:p>
    <w:p w:rsidR="00AD44DD" w:rsidRPr="00AD44DD" w:rsidRDefault="00AD44DD" w:rsidP="00AD44DD">
      <w:pPr>
        <w:numPr>
          <w:ilvl w:val="0"/>
          <w:numId w:val="1"/>
        </w:numPr>
        <w:tabs>
          <w:tab w:val="clear" w:pos="720"/>
          <w:tab w:val="num" w:pos="0"/>
        </w:tabs>
        <w:spacing w:after="375" w:line="240" w:lineRule="auto"/>
        <w:ind w:left="0" w:firstLine="0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Пунктом 84 Порядка приема установлено, что «при зачислении на </w:t>
      </w:r>
      <w:proofErr w:type="gramStart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обучение по договорам</w:t>
      </w:r>
      <w:proofErr w:type="gramEnd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 об оказании платных образовательных услуг установленное количество мест может быть превышено по решению организации при условии зачисления всех поступающих, набравших не менее минимального количества баллов». </w:t>
      </w:r>
      <w:proofErr w:type="gramStart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В ходе проведения приема могут складываться ситуации, при которых требуется увеличение количества платных мест (например, поступает много победителей олимпиад, в результате чего абитуриенты с высокими баллами ЕГЭ зачисляются на платную основу обучения (в том числе с оплатой за счет стипендий, учреждённых образовательными организациями в целях поддержки талантливых школьников).</w:t>
      </w:r>
      <w:proofErr w:type="gramEnd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 Однако предлагаемое регулирование фактически означает обязанность образовательной организации принять на обучение всех поступающих, набравших не </w:t>
      </w:r>
      <w:proofErr w:type="gramStart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менее минимального</w:t>
      </w:r>
      <w:proofErr w:type="gramEnd"/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 количества баллов, что </w:t>
      </w:r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lastRenderedPageBreak/>
        <w:t>практически не реализуемо применительно к крупным образовательным организациям, конкурс в которые составляет сотни и тысячи абитуриентов.</w:t>
      </w:r>
    </w:p>
    <w:p w:rsidR="00AD44DD" w:rsidRPr="00AD44DD" w:rsidRDefault="00AD44DD" w:rsidP="00AD44DD">
      <w:pPr>
        <w:numPr>
          <w:ilvl w:val="0"/>
          <w:numId w:val="1"/>
        </w:numPr>
        <w:tabs>
          <w:tab w:val="clear" w:pos="720"/>
          <w:tab w:val="num" w:pos="0"/>
        </w:tabs>
        <w:spacing w:after="375" w:line="240" w:lineRule="auto"/>
        <w:ind w:left="0" w:firstLine="0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AD44DD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Пункт 85 Порядка приема устанавливает, что «если после истечения установленного срока заселения по конкретным условиям поступления имеются незаполненные места, организация может на основании соответствующего конкурсного списка в установленном ею порядке провести дополнительное зачисление на указанные места с уведомлением Министерства науки и высшего образования Российской Федерации о проведении дополнительного зачисления». При этом пункт 13 Порядка приема говорит о том, что «организация может проводить дополнительный прием на вакантные места в установленные ею сроки». В связи с этим возникает вопрос о соотношении данных механизмов зачисления на вакантные места.</w:t>
      </w:r>
    </w:p>
    <w:bookmarkEnd w:id="0"/>
    <w:p w:rsidR="00CD20FE" w:rsidRDefault="00AD44DD"/>
    <w:sectPr w:rsidR="00CD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139"/>
    <w:multiLevelType w:val="multilevel"/>
    <w:tmpl w:val="BE4C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3246B"/>
    <w:multiLevelType w:val="multilevel"/>
    <w:tmpl w:val="A77A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4777F"/>
    <w:multiLevelType w:val="multilevel"/>
    <w:tmpl w:val="1192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85"/>
    <w:rsid w:val="003172F0"/>
    <w:rsid w:val="00561985"/>
    <w:rsid w:val="00775897"/>
    <w:rsid w:val="00A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date">
    <w:name w:val="card__date"/>
    <w:basedOn w:val="a0"/>
    <w:rsid w:val="00AD44DD"/>
  </w:style>
  <w:style w:type="character" w:styleId="a3">
    <w:name w:val="Hyperlink"/>
    <w:basedOn w:val="a0"/>
    <w:uiPriority w:val="99"/>
    <w:semiHidden/>
    <w:unhideWhenUsed/>
    <w:rsid w:val="00AD44DD"/>
    <w:rPr>
      <w:color w:val="0000FF"/>
      <w:u w:val="single"/>
    </w:rPr>
  </w:style>
  <w:style w:type="character" w:customStyle="1" w:styleId="date-display-single">
    <w:name w:val="date-display-single"/>
    <w:basedOn w:val="a0"/>
    <w:rsid w:val="00AD44DD"/>
  </w:style>
  <w:style w:type="paragraph" w:customStyle="1" w:styleId="postdesc">
    <w:name w:val="post__desc"/>
    <w:basedOn w:val="a"/>
    <w:rsid w:val="00AD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date">
    <w:name w:val="card__date"/>
    <w:basedOn w:val="a0"/>
    <w:rsid w:val="00AD44DD"/>
  </w:style>
  <w:style w:type="character" w:styleId="a3">
    <w:name w:val="Hyperlink"/>
    <w:basedOn w:val="a0"/>
    <w:uiPriority w:val="99"/>
    <w:semiHidden/>
    <w:unhideWhenUsed/>
    <w:rsid w:val="00AD44DD"/>
    <w:rPr>
      <w:color w:val="0000FF"/>
      <w:u w:val="single"/>
    </w:rPr>
  </w:style>
  <w:style w:type="character" w:customStyle="1" w:styleId="date-display-single">
    <w:name w:val="date-display-single"/>
    <w:basedOn w:val="a0"/>
    <w:rsid w:val="00AD44DD"/>
  </w:style>
  <w:style w:type="paragraph" w:customStyle="1" w:styleId="postdesc">
    <w:name w:val="post__desc"/>
    <w:basedOn w:val="a"/>
    <w:rsid w:val="00AD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627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7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516">
                  <w:marLeft w:val="3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3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183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88952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8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846602">
                  <w:marLeft w:val="0"/>
                  <w:marRight w:val="0"/>
                  <w:marTop w:val="0"/>
                  <w:marBottom w:val="300"/>
                  <w:divBdr>
                    <w:top w:val="single" w:sz="6" w:space="14" w:color="E9E9E9"/>
                    <w:left w:val="single" w:sz="6" w:space="15" w:color="E9E9E9"/>
                    <w:bottom w:val="single" w:sz="6" w:space="14" w:color="E9E9E9"/>
                    <w:right w:val="single" w:sz="6" w:space="15" w:color="E9E9E9"/>
                  </w:divBdr>
                  <w:divsChild>
                    <w:div w:id="291132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u.ru/topics/34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4920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2</cp:revision>
  <dcterms:created xsi:type="dcterms:W3CDTF">2020-12-17T11:33:00Z</dcterms:created>
  <dcterms:modified xsi:type="dcterms:W3CDTF">2020-12-17T11:34:00Z</dcterms:modified>
</cp:coreProperties>
</file>