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850" w:rsidRDefault="00BE4850" w:rsidP="00BE4850">
      <w:pPr>
        <w:pStyle w:val="a3"/>
        <w:ind w:left="108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_GoBack"/>
      <w:bookmarkEnd w:id="0"/>
      <w:r w:rsidRPr="00BE4850">
        <w:rPr>
          <w:rFonts w:ascii="Times New Roman" w:hAnsi="Times New Roman" w:cs="Times New Roman"/>
          <w:b/>
          <w:sz w:val="24"/>
          <w:szCs w:val="24"/>
          <w:lang w:val="en-US"/>
        </w:rPr>
        <w:t xml:space="preserve">Stepwise injection potentiometric determination of caffeine in saliva using single-drop </w:t>
      </w:r>
      <w:proofErr w:type="spellStart"/>
      <w:r w:rsidRPr="00BE4850">
        <w:rPr>
          <w:rFonts w:ascii="Times New Roman" w:hAnsi="Times New Roman" w:cs="Times New Roman"/>
          <w:b/>
          <w:sz w:val="24"/>
          <w:szCs w:val="24"/>
          <w:lang w:val="en-US"/>
        </w:rPr>
        <w:t>microextraction</w:t>
      </w:r>
      <w:proofErr w:type="spellEnd"/>
      <w:r w:rsidRPr="00BE485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combined with solvent exchange</w:t>
      </w:r>
    </w:p>
    <w:p w:rsidR="00BE4850" w:rsidRPr="00BE4850" w:rsidRDefault="00BE4850" w:rsidP="00BE4850">
      <w:pPr>
        <w:pStyle w:val="a3"/>
        <w:ind w:left="108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F3799" w:rsidRPr="00BE4850" w:rsidRDefault="00BE4850" w:rsidP="00BE485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Timofeeva</w:t>
      </w:r>
      <w:proofErr w:type="spellEnd"/>
      <w:r w:rsidRPr="00BE4850">
        <w:rPr>
          <w:rFonts w:ascii="Times New Roman" w:hAnsi="Times New Roman" w:cs="Times New Roman"/>
          <w:sz w:val="24"/>
          <w:szCs w:val="24"/>
          <w:lang w:val="en-US"/>
        </w:rPr>
        <w:t>, K.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E4850">
        <w:rPr>
          <w:rFonts w:ascii="Times New Roman" w:hAnsi="Times New Roman" w:cs="Times New Roman"/>
          <w:sz w:val="24"/>
          <w:szCs w:val="24"/>
          <w:lang w:val="en-US"/>
        </w:rPr>
        <w:t>Medinskaia</w:t>
      </w:r>
      <w:proofErr w:type="spellEnd"/>
      <w:r w:rsidRPr="00BE4850"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E4850">
        <w:rPr>
          <w:rFonts w:ascii="Times New Roman" w:hAnsi="Times New Roman" w:cs="Times New Roman"/>
          <w:sz w:val="24"/>
          <w:szCs w:val="24"/>
          <w:lang w:val="en-US"/>
        </w:rPr>
        <w:t>L.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E4850">
        <w:rPr>
          <w:rFonts w:ascii="Times New Roman" w:hAnsi="Times New Roman" w:cs="Times New Roman"/>
          <w:sz w:val="24"/>
          <w:szCs w:val="24"/>
          <w:lang w:val="en-US"/>
        </w:rPr>
        <w:t>Nikolaeva</w:t>
      </w:r>
      <w:proofErr w:type="spellEnd"/>
      <w:r w:rsidRPr="00BE4850"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E4850">
        <w:rPr>
          <w:rFonts w:ascii="Times New Roman" w:hAnsi="Times New Roman" w:cs="Times New Roman"/>
          <w:sz w:val="24"/>
          <w:szCs w:val="24"/>
          <w:lang w:val="en-US"/>
        </w:rPr>
        <w:t>D.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E4850">
        <w:rPr>
          <w:rFonts w:ascii="Times New Roman" w:hAnsi="Times New Roman" w:cs="Times New Roman"/>
          <w:sz w:val="24"/>
          <w:szCs w:val="24"/>
          <w:lang w:val="en-US"/>
        </w:rPr>
        <w:t>Kirsanov</w:t>
      </w:r>
      <w:proofErr w:type="spellEnd"/>
      <w:r w:rsidRPr="00BE4850"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E4850">
        <w:rPr>
          <w:rFonts w:ascii="Times New Roman" w:hAnsi="Times New Roman" w:cs="Times New Roman"/>
          <w:sz w:val="24"/>
          <w:szCs w:val="24"/>
          <w:lang w:val="en-US"/>
        </w:rPr>
        <w:t>A.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E4850">
        <w:rPr>
          <w:rFonts w:ascii="Times New Roman" w:hAnsi="Times New Roman" w:cs="Times New Roman"/>
          <w:sz w:val="24"/>
          <w:szCs w:val="24"/>
          <w:lang w:val="en-US"/>
        </w:rPr>
        <w:t>Bulatov</w:t>
      </w:r>
      <w:proofErr w:type="spellEnd"/>
    </w:p>
    <w:p w:rsidR="00BE4850" w:rsidRPr="00BE4850" w:rsidRDefault="00BE4850" w:rsidP="00BE4850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E4850">
        <w:rPr>
          <w:rFonts w:ascii="Times New Roman" w:hAnsi="Times New Roman" w:cs="Times New Roman"/>
          <w:b/>
          <w:sz w:val="24"/>
          <w:szCs w:val="24"/>
          <w:lang w:val="en-US"/>
        </w:rPr>
        <w:t>Abstract</w:t>
      </w:r>
    </w:p>
    <w:p w:rsidR="00BE4850" w:rsidRPr="00BE4850" w:rsidRDefault="00BE4850" w:rsidP="00BE4850">
      <w:pPr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E4850">
        <w:rPr>
          <w:rFonts w:ascii="Times New Roman" w:hAnsi="Times New Roman" w:cs="Times New Roman"/>
          <w:sz w:val="24"/>
          <w:szCs w:val="24"/>
          <w:lang w:val="en-US"/>
        </w:rPr>
        <w:t xml:space="preserve">A flow potentiometric method for determination of caffeine in saliva is suggested. This task is important for non-invasive assessment of drug metabolizing system activity in hepatocytes. In the current study, stepwise injection analysis (SWIA) was successfully combined with single-drop liquid </w:t>
      </w:r>
      <w:proofErr w:type="spellStart"/>
      <w:r w:rsidRPr="00BE4850">
        <w:rPr>
          <w:rFonts w:ascii="Times New Roman" w:hAnsi="Times New Roman" w:cs="Times New Roman"/>
          <w:sz w:val="24"/>
          <w:szCs w:val="24"/>
          <w:lang w:val="en-US"/>
        </w:rPr>
        <w:t>microextraction</w:t>
      </w:r>
      <w:proofErr w:type="spellEnd"/>
      <w:r w:rsidRPr="00BE4850">
        <w:rPr>
          <w:rFonts w:ascii="Times New Roman" w:hAnsi="Times New Roman" w:cs="Times New Roman"/>
          <w:sz w:val="24"/>
          <w:szCs w:val="24"/>
          <w:lang w:val="en-US"/>
        </w:rPr>
        <w:t xml:space="preserve"> (SDLME) and solvent exchange procedure. The method is based on the caffeine SDLME with subsequent solvent evaporation and dissolution of </w:t>
      </w:r>
      <w:proofErr w:type="spellStart"/>
      <w:r w:rsidRPr="00BE4850">
        <w:rPr>
          <w:rFonts w:ascii="Times New Roman" w:hAnsi="Times New Roman" w:cs="Times New Roman"/>
          <w:sz w:val="24"/>
          <w:szCs w:val="24"/>
          <w:lang w:val="en-US"/>
        </w:rPr>
        <w:t>analyte</w:t>
      </w:r>
      <w:proofErr w:type="spellEnd"/>
      <w:r w:rsidRPr="00BE4850">
        <w:rPr>
          <w:rFonts w:ascii="Times New Roman" w:hAnsi="Times New Roman" w:cs="Times New Roman"/>
          <w:sz w:val="24"/>
          <w:szCs w:val="24"/>
          <w:lang w:val="en-US"/>
        </w:rPr>
        <w:t xml:space="preserve"> in sulfuric acid followed by potentiometric detection using poly(vinyl chloride) membrane electrode containing potassium </w:t>
      </w:r>
      <w:proofErr w:type="spellStart"/>
      <w:r w:rsidRPr="00BE4850">
        <w:rPr>
          <w:rFonts w:ascii="Times New Roman" w:hAnsi="Times New Roman" w:cs="Times New Roman"/>
          <w:sz w:val="24"/>
          <w:szCs w:val="24"/>
          <w:lang w:val="en-US"/>
        </w:rPr>
        <w:t>tetrakis</w:t>
      </w:r>
      <w:proofErr w:type="spellEnd"/>
      <w:r w:rsidRPr="00BE4850">
        <w:rPr>
          <w:rFonts w:ascii="Times New Roman" w:hAnsi="Times New Roman" w:cs="Times New Roman"/>
          <w:sz w:val="24"/>
          <w:szCs w:val="24"/>
          <w:lang w:val="en-US"/>
        </w:rPr>
        <w:t>[3,5-bis(</w:t>
      </w:r>
      <w:proofErr w:type="spellStart"/>
      <w:r w:rsidRPr="00BE4850">
        <w:rPr>
          <w:rFonts w:ascii="Times New Roman" w:hAnsi="Times New Roman" w:cs="Times New Roman"/>
          <w:sz w:val="24"/>
          <w:szCs w:val="24"/>
          <w:lang w:val="en-US"/>
        </w:rPr>
        <w:t>trifluoromethyl</w:t>
      </w:r>
      <w:proofErr w:type="spellEnd"/>
      <w:r w:rsidRPr="00BE4850">
        <w:rPr>
          <w:rFonts w:ascii="Times New Roman" w:hAnsi="Times New Roman" w:cs="Times New Roman"/>
          <w:sz w:val="24"/>
          <w:szCs w:val="24"/>
          <w:lang w:val="en-US"/>
        </w:rPr>
        <w:t xml:space="preserve">)phenyl]borate as </w:t>
      </w:r>
      <w:proofErr w:type="spellStart"/>
      <w:r w:rsidRPr="00BE4850">
        <w:rPr>
          <w:rFonts w:ascii="Times New Roman" w:hAnsi="Times New Roman" w:cs="Times New Roman"/>
          <w:sz w:val="24"/>
          <w:szCs w:val="24"/>
          <w:lang w:val="en-US"/>
        </w:rPr>
        <w:t>electroactive</w:t>
      </w:r>
      <w:proofErr w:type="spellEnd"/>
      <w:r w:rsidRPr="00BE4850">
        <w:rPr>
          <w:rFonts w:ascii="Times New Roman" w:hAnsi="Times New Roman" w:cs="Times New Roman"/>
          <w:sz w:val="24"/>
          <w:szCs w:val="24"/>
          <w:lang w:val="en-US"/>
        </w:rPr>
        <w:t xml:space="preserve"> component. SDLME was employed for elimination of interfering matrix effects of saliva and caffeine metabolites such as theophylline, </w:t>
      </w:r>
      <w:proofErr w:type="spellStart"/>
      <w:r w:rsidRPr="00BE4850">
        <w:rPr>
          <w:rFonts w:ascii="Times New Roman" w:hAnsi="Times New Roman" w:cs="Times New Roman"/>
          <w:sz w:val="24"/>
          <w:szCs w:val="24"/>
          <w:lang w:val="en-US"/>
        </w:rPr>
        <w:t>theobromine</w:t>
      </w:r>
      <w:proofErr w:type="spellEnd"/>
      <w:r w:rsidRPr="00BE4850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proofErr w:type="spellStart"/>
      <w:r w:rsidRPr="00BE4850">
        <w:rPr>
          <w:rFonts w:ascii="Times New Roman" w:hAnsi="Times New Roman" w:cs="Times New Roman"/>
          <w:sz w:val="24"/>
          <w:szCs w:val="24"/>
          <w:lang w:val="en-US"/>
        </w:rPr>
        <w:t>paraxanthine</w:t>
      </w:r>
      <w:proofErr w:type="spellEnd"/>
      <w:r w:rsidRPr="00BE4850">
        <w:rPr>
          <w:rFonts w:ascii="Times New Roman" w:hAnsi="Times New Roman" w:cs="Times New Roman"/>
          <w:sz w:val="24"/>
          <w:szCs w:val="24"/>
          <w:lang w:val="en-US"/>
        </w:rPr>
        <w:t>. A linear range of 10(-5)-10(-2</w:t>
      </w:r>
      <w:proofErr w:type="gramStart"/>
      <w:r w:rsidRPr="00BE4850">
        <w:rPr>
          <w:rFonts w:ascii="Times New Roman" w:hAnsi="Times New Roman" w:cs="Times New Roman"/>
          <w:sz w:val="24"/>
          <w:szCs w:val="24"/>
          <w:lang w:val="en-US"/>
        </w:rPr>
        <w:t>)M</w:t>
      </w:r>
      <w:proofErr w:type="gramEnd"/>
      <w:r w:rsidRPr="00BE4850">
        <w:rPr>
          <w:rFonts w:ascii="Times New Roman" w:hAnsi="Times New Roman" w:cs="Times New Roman"/>
          <w:sz w:val="24"/>
          <w:szCs w:val="24"/>
          <w:lang w:val="en-US"/>
        </w:rPr>
        <w:t xml:space="preserve"> was established for caffeine with detection limit at 6×10(-6)M. The sample throughput was 6 samples </w:t>
      </w:r>
      <w:proofErr w:type="gramStart"/>
      <w:r w:rsidRPr="00BE4850">
        <w:rPr>
          <w:rFonts w:ascii="Times New Roman" w:hAnsi="Times New Roman" w:cs="Times New Roman"/>
          <w:sz w:val="24"/>
          <w:szCs w:val="24"/>
          <w:lang w:val="en-US"/>
        </w:rPr>
        <w:t>h(</w:t>
      </w:r>
      <w:proofErr w:type="gramEnd"/>
      <w:r w:rsidRPr="00BE4850">
        <w:rPr>
          <w:rFonts w:ascii="Times New Roman" w:hAnsi="Times New Roman" w:cs="Times New Roman"/>
          <w:sz w:val="24"/>
          <w:szCs w:val="24"/>
          <w:lang w:val="en-US"/>
        </w:rPr>
        <w:t>-1). The proposed method was successfully applied to the determination of caffeine in saliva and the analytical results agreed well with the results obtained with reference HPLC method.</w:t>
      </w:r>
    </w:p>
    <w:sectPr w:rsidR="00BE4850" w:rsidRPr="00BE48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D2179"/>
    <w:multiLevelType w:val="hybridMultilevel"/>
    <w:tmpl w:val="2B166150"/>
    <w:lvl w:ilvl="0" w:tplc="5C547B2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8DC5E40"/>
    <w:multiLevelType w:val="hybridMultilevel"/>
    <w:tmpl w:val="5D8E8AF2"/>
    <w:lvl w:ilvl="0" w:tplc="72BE4D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B1C"/>
    <w:rsid w:val="007F3799"/>
    <w:rsid w:val="00BA3B1C"/>
    <w:rsid w:val="00BE4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48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48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chem</dc:creator>
  <cp:keywords/>
  <dc:description/>
  <cp:lastModifiedBy>chem</cp:lastModifiedBy>
  <cp:revision>2</cp:revision>
  <dcterms:created xsi:type="dcterms:W3CDTF">2016-04-13T09:53:00Z</dcterms:created>
  <dcterms:modified xsi:type="dcterms:W3CDTF">2016-04-13T09:55:00Z</dcterms:modified>
</cp:coreProperties>
</file>