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00" w:rsidRPr="0074380B" w:rsidRDefault="00545400" w:rsidP="00545400">
      <w:pPr>
        <w:jc w:val="center"/>
        <w:rPr>
          <w:rFonts w:ascii="Times New Roman" w:eastAsia="Calibri" w:hAnsi="Times New Roman" w:cs="Times New Roman"/>
          <w:sz w:val="28"/>
          <w:szCs w:val="24"/>
        </w:rPr>
      </w:pPr>
      <w:r w:rsidRPr="0074380B">
        <w:rPr>
          <w:rFonts w:ascii="Times New Roman" w:eastAsia="Calibri" w:hAnsi="Times New Roman" w:cs="Times New Roman"/>
          <w:sz w:val="28"/>
          <w:szCs w:val="24"/>
        </w:rPr>
        <w:t>ФГБОУ ВПО «Санкт-Петербургский государственный университет»</w:t>
      </w:r>
    </w:p>
    <w:p w:rsidR="00545400" w:rsidRPr="0074380B" w:rsidRDefault="00545400" w:rsidP="00545400">
      <w:pPr>
        <w:ind w:firstLine="709"/>
        <w:jc w:val="center"/>
        <w:rPr>
          <w:rFonts w:ascii="Times New Roman" w:eastAsia="Calibri" w:hAnsi="Times New Roman" w:cs="Times New Roman"/>
          <w:sz w:val="28"/>
          <w:szCs w:val="24"/>
        </w:rPr>
      </w:pPr>
      <w:r>
        <w:rPr>
          <w:rFonts w:ascii="Times New Roman" w:eastAsia="Calibri" w:hAnsi="Times New Roman" w:cs="Times New Roman"/>
          <w:sz w:val="28"/>
          <w:szCs w:val="24"/>
        </w:rPr>
        <w:t>Кафедра факультетской</w:t>
      </w:r>
      <w:r w:rsidRPr="0074380B">
        <w:rPr>
          <w:rFonts w:ascii="Times New Roman" w:eastAsia="Calibri" w:hAnsi="Times New Roman" w:cs="Times New Roman"/>
          <w:sz w:val="28"/>
          <w:szCs w:val="24"/>
        </w:rPr>
        <w:t xml:space="preserve"> терапии</w:t>
      </w:r>
    </w:p>
    <w:p w:rsidR="00545400" w:rsidRPr="0074380B" w:rsidRDefault="00545400" w:rsidP="00545400">
      <w:pPr>
        <w:ind w:firstLine="709"/>
        <w:rPr>
          <w:rFonts w:ascii="Times New Roman" w:eastAsia="Calibri" w:hAnsi="Times New Roman" w:cs="Times New Roman"/>
          <w:sz w:val="28"/>
          <w:szCs w:val="24"/>
        </w:rPr>
      </w:pPr>
    </w:p>
    <w:p w:rsidR="00545400" w:rsidRPr="0074380B" w:rsidRDefault="00545400" w:rsidP="00545400">
      <w:pPr>
        <w:ind w:firstLine="709"/>
        <w:rPr>
          <w:rFonts w:ascii="Times New Roman" w:eastAsia="Calibri" w:hAnsi="Times New Roman" w:cs="Times New Roman"/>
          <w:sz w:val="28"/>
          <w:szCs w:val="24"/>
        </w:rPr>
      </w:pPr>
    </w:p>
    <w:p w:rsidR="00545400" w:rsidRPr="0074380B" w:rsidRDefault="00545400" w:rsidP="00545400">
      <w:pPr>
        <w:ind w:firstLine="709"/>
        <w:rPr>
          <w:rFonts w:ascii="Times New Roman" w:eastAsia="Calibri" w:hAnsi="Times New Roman" w:cs="Times New Roman"/>
          <w:sz w:val="28"/>
          <w:szCs w:val="24"/>
        </w:rPr>
      </w:pPr>
      <w:r w:rsidRPr="0074380B">
        <w:rPr>
          <w:rFonts w:ascii="Times New Roman" w:eastAsia="Calibri" w:hAnsi="Times New Roman" w:cs="Times New Roman"/>
          <w:sz w:val="28"/>
          <w:szCs w:val="24"/>
        </w:rPr>
        <w:t xml:space="preserve">   Допущен к защите    </w:t>
      </w:r>
    </w:p>
    <w:p w:rsidR="00545400" w:rsidRPr="0074380B" w:rsidRDefault="00545400" w:rsidP="00545400">
      <w:pPr>
        <w:ind w:firstLine="709"/>
        <w:rPr>
          <w:rFonts w:ascii="Times New Roman" w:eastAsia="Calibri" w:hAnsi="Times New Roman" w:cs="Times New Roman"/>
          <w:sz w:val="28"/>
          <w:szCs w:val="24"/>
        </w:rPr>
      </w:pPr>
      <w:r w:rsidRPr="0074380B">
        <w:rPr>
          <w:rFonts w:ascii="Times New Roman" w:eastAsia="Calibri" w:hAnsi="Times New Roman" w:cs="Times New Roman"/>
          <w:sz w:val="28"/>
          <w:szCs w:val="24"/>
        </w:rPr>
        <w:t xml:space="preserve">Заведующий кафедрой   </w:t>
      </w:r>
    </w:p>
    <w:p w:rsidR="00545400" w:rsidRPr="0074380B" w:rsidRDefault="00545400" w:rsidP="00545400">
      <w:pPr>
        <w:ind w:firstLine="708"/>
        <w:rPr>
          <w:rFonts w:ascii="Times New Roman" w:eastAsia="Calibri" w:hAnsi="Times New Roman" w:cs="Times New Roman"/>
          <w:sz w:val="28"/>
          <w:szCs w:val="24"/>
        </w:rPr>
      </w:pPr>
      <w:r>
        <w:rPr>
          <w:rFonts w:ascii="Times New Roman" w:eastAsia="Calibri" w:hAnsi="Times New Roman" w:cs="Times New Roman"/>
          <w:sz w:val="28"/>
          <w:szCs w:val="24"/>
        </w:rPr>
        <w:t>Д. м. н. проф. Шишкин А.Н</w:t>
      </w:r>
      <w:r w:rsidRPr="0074380B">
        <w:rPr>
          <w:rFonts w:ascii="Times New Roman" w:eastAsia="Calibri" w:hAnsi="Times New Roman" w:cs="Times New Roman"/>
          <w:sz w:val="28"/>
          <w:szCs w:val="24"/>
        </w:rPr>
        <w:t xml:space="preserve">.  </w:t>
      </w:r>
    </w:p>
    <w:p w:rsidR="00545400" w:rsidRPr="0074380B" w:rsidRDefault="00545400" w:rsidP="00545400">
      <w:pPr>
        <w:ind w:firstLine="709"/>
        <w:rPr>
          <w:rFonts w:ascii="Times New Roman" w:eastAsia="Calibri" w:hAnsi="Times New Roman" w:cs="Times New Roman"/>
          <w:sz w:val="28"/>
          <w:szCs w:val="24"/>
        </w:rPr>
      </w:pPr>
      <w:r w:rsidRPr="0074380B">
        <w:rPr>
          <w:rFonts w:ascii="Times New Roman" w:eastAsia="Calibri" w:hAnsi="Times New Roman" w:cs="Times New Roman"/>
          <w:sz w:val="28"/>
          <w:szCs w:val="24"/>
        </w:rPr>
        <w:t xml:space="preserve"> «    »________20</w:t>
      </w:r>
      <w:r>
        <w:rPr>
          <w:rFonts w:ascii="Times New Roman" w:eastAsia="Calibri" w:hAnsi="Times New Roman" w:cs="Times New Roman"/>
          <w:sz w:val="28"/>
          <w:szCs w:val="24"/>
        </w:rPr>
        <w:t xml:space="preserve">19 </w:t>
      </w:r>
      <w:r w:rsidRPr="0074380B">
        <w:rPr>
          <w:rFonts w:ascii="Times New Roman" w:eastAsia="Calibri" w:hAnsi="Times New Roman" w:cs="Times New Roman"/>
          <w:sz w:val="28"/>
          <w:szCs w:val="24"/>
        </w:rPr>
        <w:t>г.</w:t>
      </w:r>
    </w:p>
    <w:p w:rsidR="00545400" w:rsidRPr="0074380B" w:rsidRDefault="00545400" w:rsidP="00545400">
      <w:pPr>
        <w:rPr>
          <w:rFonts w:ascii="Times New Roman" w:eastAsia="Calibri" w:hAnsi="Times New Roman" w:cs="Times New Roman"/>
          <w:sz w:val="28"/>
          <w:szCs w:val="24"/>
        </w:rPr>
      </w:pPr>
    </w:p>
    <w:p w:rsidR="00545400" w:rsidRPr="0074380B" w:rsidRDefault="00545400" w:rsidP="00545400">
      <w:pPr>
        <w:ind w:firstLine="709"/>
        <w:jc w:val="center"/>
        <w:rPr>
          <w:rFonts w:ascii="Times New Roman" w:eastAsia="Calibri" w:hAnsi="Times New Roman" w:cs="Times New Roman"/>
          <w:b/>
          <w:sz w:val="28"/>
          <w:szCs w:val="24"/>
        </w:rPr>
      </w:pPr>
      <w:r w:rsidRPr="0074380B">
        <w:rPr>
          <w:rFonts w:ascii="Times New Roman" w:eastAsia="Calibri" w:hAnsi="Times New Roman" w:cs="Times New Roman"/>
          <w:b/>
          <w:sz w:val="28"/>
          <w:szCs w:val="24"/>
        </w:rPr>
        <w:t>ДИПЛОМНАЯ РАБОТА</w:t>
      </w:r>
    </w:p>
    <w:p w:rsidR="00545400" w:rsidRPr="0074380B" w:rsidRDefault="00545400" w:rsidP="00545400">
      <w:pPr>
        <w:ind w:firstLine="709"/>
        <w:jc w:val="center"/>
        <w:rPr>
          <w:rFonts w:ascii="Times New Roman" w:eastAsia="Calibri" w:hAnsi="Times New Roman" w:cs="Times New Roman"/>
          <w:sz w:val="28"/>
          <w:szCs w:val="24"/>
        </w:rPr>
      </w:pPr>
      <w:r w:rsidRPr="0074380B">
        <w:rPr>
          <w:rFonts w:ascii="Times New Roman" w:eastAsia="Calibri" w:hAnsi="Times New Roman" w:cs="Times New Roman"/>
          <w:sz w:val="28"/>
          <w:szCs w:val="24"/>
        </w:rPr>
        <w:t xml:space="preserve">на </w:t>
      </w:r>
    </w:p>
    <w:p w:rsidR="00545400" w:rsidRPr="0074380B" w:rsidRDefault="00545400" w:rsidP="00545400">
      <w:pPr>
        <w:ind w:firstLine="709"/>
        <w:jc w:val="center"/>
        <w:rPr>
          <w:rFonts w:ascii="Times New Roman" w:eastAsia="Calibri" w:hAnsi="Times New Roman" w:cs="Times New Roman"/>
          <w:sz w:val="28"/>
          <w:szCs w:val="24"/>
        </w:rPr>
      </w:pPr>
      <w:r w:rsidRPr="0074380B">
        <w:rPr>
          <w:rFonts w:ascii="Times New Roman" w:eastAsia="Calibri" w:hAnsi="Times New Roman" w:cs="Times New Roman"/>
          <w:sz w:val="28"/>
          <w:szCs w:val="24"/>
        </w:rPr>
        <w:t xml:space="preserve">тему: </w:t>
      </w:r>
      <w:r>
        <w:rPr>
          <w:rFonts w:ascii="Times New Roman" w:eastAsia="Calibri" w:hAnsi="Times New Roman" w:cs="Times New Roman"/>
          <w:sz w:val="28"/>
          <w:szCs w:val="24"/>
        </w:rPr>
        <w:t xml:space="preserve">ОСОБЕННОСТИ ВЕДЕНИЯ ПАЦИЕНТОВ С ДИАБЕТИЧЕСКОЙ НЕФРОПАТИЕЙ В ДИАЛИЗНЫЙ ПЕРИОД </w:t>
      </w:r>
    </w:p>
    <w:p w:rsidR="00545400" w:rsidRPr="0074380B" w:rsidRDefault="00545400" w:rsidP="00545400">
      <w:pPr>
        <w:ind w:firstLine="709"/>
        <w:jc w:val="center"/>
        <w:rPr>
          <w:rFonts w:ascii="Times New Roman" w:eastAsia="Calibri" w:hAnsi="Times New Roman" w:cs="Times New Roman"/>
          <w:sz w:val="28"/>
          <w:szCs w:val="24"/>
        </w:rPr>
      </w:pPr>
    </w:p>
    <w:p w:rsidR="00545400" w:rsidRPr="0074380B" w:rsidRDefault="00545400" w:rsidP="00545400">
      <w:pPr>
        <w:ind w:firstLine="709"/>
        <w:jc w:val="center"/>
        <w:rPr>
          <w:rFonts w:ascii="Times New Roman" w:eastAsia="Calibri" w:hAnsi="Times New Roman" w:cs="Times New Roman"/>
          <w:sz w:val="28"/>
          <w:szCs w:val="24"/>
        </w:rPr>
      </w:pPr>
    </w:p>
    <w:p w:rsidR="00545400" w:rsidRPr="0074380B" w:rsidRDefault="00545400" w:rsidP="00545400">
      <w:pPr>
        <w:ind w:firstLine="709"/>
        <w:jc w:val="right"/>
        <w:rPr>
          <w:rFonts w:ascii="Times New Roman" w:eastAsia="Calibri" w:hAnsi="Times New Roman" w:cs="Times New Roman"/>
          <w:sz w:val="28"/>
          <w:szCs w:val="24"/>
        </w:rPr>
      </w:pPr>
    </w:p>
    <w:p w:rsidR="00545400" w:rsidRPr="0074380B" w:rsidRDefault="00545400" w:rsidP="00545400">
      <w:pPr>
        <w:ind w:left="3539" w:firstLine="709"/>
        <w:jc w:val="center"/>
        <w:rPr>
          <w:rFonts w:ascii="Times New Roman" w:eastAsia="Calibri" w:hAnsi="Times New Roman" w:cs="Times New Roman"/>
          <w:sz w:val="28"/>
          <w:szCs w:val="24"/>
        </w:rPr>
      </w:pPr>
      <w:r w:rsidRPr="0074380B">
        <w:rPr>
          <w:rFonts w:ascii="Times New Roman" w:eastAsia="Calibri" w:hAnsi="Times New Roman" w:cs="Times New Roman"/>
          <w:sz w:val="28"/>
          <w:szCs w:val="24"/>
        </w:rPr>
        <w:t xml:space="preserve"> Выполнил: </w:t>
      </w:r>
    </w:p>
    <w:p w:rsidR="00545400" w:rsidRPr="0074380B" w:rsidRDefault="00545400" w:rsidP="00545400">
      <w:pPr>
        <w:ind w:left="5664"/>
        <w:rPr>
          <w:rFonts w:ascii="Times New Roman" w:eastAsia="Calibri" w:hAnsi="Times New Roman" w:cs="Times New Roman"/>
          <w:sz w:val="28"/>
          <w:szCs w:val="24"/>
        </w:rPr>
      </w:pPr>
      <w:r>
        <w:rPr>
          <w:rFonts w:ascii="Times New Roman" w:eastAsia="Calibri" w:hAnsi="Times New Roman" w:cs="Times New Roman"/>
          <w:sz w:val="28"/>
          <w:szCs w:val="24"/>
        </w:rPr>
        <w:t xml:space="preserve">     </w:t>
      </w:r>
      <w:r w:rsidRPr="0074380B">
        <w:rPr>
          <w:rFonts w:ascii="Times New Roman" w:eastAsia="Calibri" w:hAnsi="Times New Roman" w:cs="Times New Roman"/>
          <w:sz w:val="28"/>
          <w:szCs w:val="24"/>
        </w:rPr>
        <w:t xml:space="preserve">Студент </w:t>
      </w:r>
      <w:r>
        <w:rPr>
          <w:rFonts w:ascii="Times New Roman" w:eastAsia="Calibri" w:hAnsi="Times New Roman" w:cs="Times New Roman"/>
          <w:sz w:val="28"/>
          <w:szCs w:val="24"/>
        </w:rPr>
        <w:t>13. С03-м группы</w:t>
      </w:r>
    </w:p>
    <w:p w:rsidR="00545400" w:rsidRDefault="00545400" w:rsidP="00545400">
      <w:pPr>
        <w:ind w:left="4955" w:firstLine="709"/>
        <w:jc w:val="center"/>
        <w:rPr>
          <w:rFonts w:ascii="Times New Roman" w:eastAsia="Calibri" w:hAnsi="Times New Roman" w:cs="Times New Roman"/>
          <w:sz w:val="28"/>
          <w:szCs w:val="24"/>
        </w:rPr>
      </w:pPr>
      <w:r>
        <w:rPr>
          <w:rFonts w:ascii="Times New Roman" w:eastAsia="Calibri" w:hAnsi="Times New Roman" w:cs="Times New Roman"/>
          <w:sz w:val="28"/>
          <w:szCs w:val="24"/>
        </w:rPr>
        <w:t xml:space="preserve">Нуриева Лейла </w:t>
      </w:r>
    </w:p>
    <w:p w:rsidR="00545400" w:rsidRDefault="00545400" w:rsidP="00545400">
      <w:pPr>
        <w:ind w:left="4955" w:firstLine="709"/>
        <w:jc w:val="center"/>
        <w:rPr>
          <w:rFonts w:ascii="Times New Roman" w:eastAsia="Calibri" w:hAnsi="Times New Roman" w:cs="Times New Roman"/>
          <w:sz w:val="28"/>
          <w:szCs w:val="24"/>
        </w:rPr>
      </w:pPr>
      <w:r>
        <w:rPr>
          <w:rFonts w:ascii="Times New Roman" w:eastAsia="Calibri" w:hAnsi="Times New Roman" w:cs="Times New Roman"/>
          <w:sz w:val="28"/>
          <w:szCs w:val="24"/>
        </w:rPr>
        <w:t xml:space="preserve">Эльхан кызы </w:t>
      </w:r>
      <w:r w:rsidRPr="0074380B">
        <w:rPr>
          <w:rFonts w:ascii="Times New Roman" w:eastAsia="Calibri" w:hAnsi="Times New Roman" w:cs="Times New Roman"/>
          <w:sz w:val="28"/>
          <w:szCs w:val="24"/>
        </w:rPr>
        <w:t xml:space="preserve">     </w:t>
      </w:r>
    </w:p>
    <w:p w:rsidR="00545400" w:rsidRPr="0074380B" w:rsidRDefault="00545400" w:rsidP="00545400">
      <w:pPr>
        <w:ind w:left="4955" w:firstLine="709"/>
        <w:jc w:val="center"/>
        <w:rPr>
          <w:rFonts w:ascii="Times New Roman" w:eastAsia="Calibri" w:hAnsi="Times New Roman" w:cs="Times New Roman"/>
          <w:sz w:val="28"/>
          <w:szCs w:val="24"/>
        </w:rPr>
      </w:pPr>
      <w:r w:rsidRPr="0074380B">
        <w:rPr>
          <w:rFonts w:ascii="Times New Roman" w:eastAsia="Calibri" w:hAnsi="Times New Roman" w:cs="Times New Roman"/>
          <w:sz w:val="28"/>
          <w:szCs w:val="24"/>
        </w:rPr>
        <w:t>Научный руководитель</w:t>
      </w:r>
    </w:p>
    <w:p w:rsidR="00545400" w:rsidRPr="0074380B" w:rsidRDefault="00545400" w:rsidP="00545400">
      <w:pPr>
        <w:ind w:left="6372"/>
        <w:rPr>
          <w:rFonts w:ascii="Times New Roman" w:eastAsia="Calibri" w:hAnsi="Times New Roman" w:cs="Times New Roman"/>
          <w:sz w:val="28"/>
          <w:szCs w:val="24"/>
        </w:rPr>
      </w:pPr>
      <w:r w:rsidRPr="0074380B">
        <w:rPr>
          <w:rFonts w:ascii="Times New Roman" w:eastAsia="Calibri" w:hAnsi="Times New Roman" w:cs="Times New Roman"/>
          <w:sz w:val="28"/>
          <w:szCs w:val="24"/>
        </w:rPr>
        <w:t xml:space="preserve"> д. м. н., проф.</w:t>
      </w:r>
    </w:p>
    <w:p w:rsidR="00545400" w:rsidRPr="0074380B" w:rsidRDefault="00545400" w:rsidP="00545400">
      <w:pPr>
        <w:ind w:left="6370" w:firstLine="2"/>
        <w:rPr>
          <w:rFonts w:ascii="Times New Roman" w:eastAsia="Calibri" w:hAnsi="Times New Roman" w:cs="Times New Roman"/>
          <w:sz w:val="28"/>
          <w:szCs w:val="24"/>
        </w:rPr>
      </w:pPr>
      <w:r w:rsidRPr="0074380B">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Шишкин </w:t>
      </w:r>
      <w:r w:rsidRPr="0074380B">
        <w:rPr>
          <w:rFonts w:ascii="Times New Roman" w:eastAsia="Calibri" w:hAnsi="Times New Roman" w:cs="Times New Roman"/>
          <w:sz w:val="28"/>
          <w:szCs w:val="24"/>
        </w:rPr>
        <w:t>Александр</w:t>
      </w:r>
    </w:p>
    <w:p w:rsidR="00545400" w:rsidRPr="0074380B" w:rsidRDefault="00545400" w:rsidP="00545400">
      <w:pPr>
        <w:ind w:left="5664" w:firstLine="708"/>
        <w:rPr>
          <w:rFonts w:ascii="Times New Roman" w:eastAsia="Calibri" w:hAnsi="Times New Roman" w:cs="Times New Roman"/>
          <w:sz w:val="28"/>
          <w:szCs w:val="24"/>
        </w:rPr>
      </w:pPr>
      <w:r w:rsidRPr="0074380B">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Николаевич </w:t>
      </w:r>
    </w:p>
    <w:p w:rsidR="00545400" w:rsidRPr="0074380B" w:rsidRDefault="00545400" w:rsidP="00545400">
      <w:pPr>
        <w:rPr>
          <w:rFonts w:ascii="Times New Roman" w:eastAsia="Calibri" w:hAnsi="Times New Roman" w:cs="Times New Roman"/>
          <w:sz w:val="28"/>
          <w:szCs w:val="24"/>
        </w:rPr>
      </w:pPr>
    </w:p>
    <w:p w:rsidR="00545400" w:rsidRPr="0074380B" w:rsidRDefault="00545400" w:rsidP="00545400">
      <w:pPr>
        <w:rPr>
          <w:rFonts w:ascii="Times New Roman" w:eastAsia="Calibri" w:hAnsi="Times New Roman" w:cs="Times New Roman"/>
          <w:sz w:val="28"/>
          <w:szCs w:val="24"/>
        </w:rPr>
      </w:pPr>
    </w:p>
    <w:p w:rsidR="00545400" w:rsidRPr="0074380B" w:rsidRDefault="00545400" w:rsidP="00545400">
      <w:pPr>
        <w:rPr>
          <w:rFonts w:ascii="Times New Roman" w:eastAsia="Calibri" w:hAnsi="Times New Roman" w:cs="Times New Roman"/>
          <w:sz w:val="28"/>
          <w:szCs w:val="24"/>
        </w:rPr>
      </w:pPr>
    </w:p>
    <w:p w:rsidR="00545400" w:rsidRPr="0074380B" w:rsidRDefault="00545400" w:rsidP="00545400">
      <w:pPr>
        <w:ind w:firstLine="709"/>
        <w:jc w:val="center"/>
        <w:rPr>
          <w:rFonts w:ascii="Times New Roman" w:eastAsia="Calibri" w:hAnsi="Times New Roman" w:cs="Times New Roman"/>
          <w:sz w:val="28"/>
          <w:szCs w:val="24"/>
        </w:rPr>
      </w:pPr>
      <w:r w:rsidRPr="0074380B">
        <w:rPr>
          <w:rFonts w:ascii="Times New Roman" w:eastAsia="Calibri" w:hAnsi="Times New Roman" w:cs="Times New Roman"/>
          <w:sz w:val="28"/>
          <w:szCs w:val="24"/>
        </w:rPr>
        <w:t>Санкт-Петербург</w:t>
      </w:r>
    </w:p>
    <w:p w:rsidR="00545400" w:rsidRDefault="00545400" w:rsidP="00545400">
      <w:pPr>
        <w:spacing w:before="240" w:line="360" w:lineRule="auto"/>
        <w:ind w:firstLine="709"/>
        <w:jc w:val="center"/>
        <w:rPr>
          <w:rFonts w:ascii="Times New Roman" w:hAnsi="Times New Roman" w:cs="Times New Roman"/>
          <w:b/>
          <w:sz w:val="28"/>
          <w:szCs w:val="28"/>
        </w:rPr>
      </w:pPr>
      <w:r>
        <w:rPr>
          <w:rFonts w:ascii="Times New Roman" w:eastAsia="Calibri" w:hAnsi="Times New Roman" w:cs="Times New Roman"/>
          <w:sz w:val="28"/>
          <w:szCs w:val="24"/>
        </w:rPr>
        <w:t>2019</w:t>
      </w:r>
      <w:r w:rsidRPr="0074380B">
        <w:rPr>
          <w:rFonts w:ascii="Times New Roman" w:eastAsia="Calibri" w:hAnsi="Times New Roman" w:cs="Times New Roman"/>
          <w:sz w:val="28"/>
          <w:szCs w:val="24"/>
        </w:rPr>
        <w:t xml:space="preserve"> год</w:t>
      </w:r>
      <w:r>
        <w:rPr>
          <w:rFonts w:ascii="Times New Roman" w:eastAsia="Calibri" w:hAnsi="Times New Roman" w:cs="Times New Roman"/>
          <w:sz w:val="28"/>
          <w:szCs w:val="24"/>
        </w:rPr>
        <w:br w:type="page"/>
      </w:r>
      <w:r>
        <w:rPr>
          <w:rFonts w:ascii="Times New Roman" w:hAnsi="Times New Roman" w:cs="Times New Roman"/>
          <w:b/>
          <w:sz w:val="28"/>
          <w:szCs w:val="28"/>
        </w:rPr>
        <w:lastRenderedPageBreak/>
        <w:t>ОГЛАВЛЕНИЕ</w:t>
      </w:r>
    </w:p>
    <w:p w:rsidR="00545400" w:rsidRDefault="00545400" w:rsidP="00545400">
      <w:pPr>
        <w:spacing w:before="240" w:line="360" w:lineRule="auto"/>
        <w:ind w:firstLine="709"/>
        <w:jc w:val="center"/>
        <w:rPr>
          <w:rFonts w:ascii="Times New Roman" w:hAnsi="Times New Roman" w:cs="Times New Roman"/>
          <w:b/>
          <w:sz w:val="28"/>
          <w:szCs w:val="28"/>
        </w:rPr>
      </w:pPr>
    </w:p>
    <w:p w:rsidR="00545400" w:rsidRPr="005032E3" w:rsidRDefault="00545400" w:rsidP="00545400">
      <w:pPr>
        <w:tabs>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Перечень условных обозначений и символов ………………………………3</w:t>
      </w:r>
    </w:p>
    <w:p w:rsidR="00545400" w:rsidRPr="005032E3" w:rsidRDefault="00545400" w:rsidP="00545400">
      <w:pPr>
        <w:tabs>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 xml:space="preserve">Введение ……………………………………………………………………….5 </w:t>
      </w:r>
    </w:p>
    <w:p w:rsidR="00545400" w:rsidRPr="005032E3" w:rsidRDefault="00545400" w:rsidP="00545400">
      <w:pPr>
        <w:tabs>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Основная</w:t>
      </w:r>
      <w:r>
        <w:rPr>
          <w:rFonts w:ascii="Times New Roman" w:eastAsia="Times New Roman" w:hAnsi="Times New Roman" w:cs="Times New Roman"/>
          <w:sz w:val="28"/>
          <w:szCs w:val="28"/>
          <w:lang w:eastAsia="ru-RU"/>
        </w:rPr>
        <w:t xml:space="preserve"> часть…………………………………………………………………7</w:t>
      </w:r>
    </w:p>
    <w:p w:rsidR="00545400" w:rsidRPr="005032E3" w:rsidRDefault="00545400" w:rsidP="00545400">
      <w:pPr>
        <w:tabs>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 xml:space="preserve">Глава 1. Обзор </w:t>
      </w:r>
      <w:r>
        <w:rPr>
          <w:rFonts w:ascii="Times New Roman" w:eastAsia="Times New Roman" w:hAnsi="Times New Roman" w:cs="Times New Roman"/>
          <w:sz w:val="28"/>
          <w:szCs w:val="28"/>
          <w:lang w:eastAsia="ru-RU"/>
        </w:rPr>
        <w:t>литературы………………..………………………………… 7</w:t>
      </w:r>
    </w:p>
    <w:p w:rsidR="00545400" w:rsidRPr="005032E3" w:rsidRDefault="00545400" w:rsidP="00545400">
      <w:pPr>
        <w:tabs>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 xml:space="preserve">  Эпидемиология………………………………………………………………</w:t>
      </w:r>
      <w:r>
        <w:rPr>
          <w:rFonts w:ascii="Times New Roman" w:eastAsia="Times New Roman" w:hAnsi="Times New Roman" w:cs="Times New Roman"/>
          <w:sz w:val="28"/>
          <w:szCs w:val="28"/>
          <w:lang w:val="en-US" w:eastAsia="ru-RU"/>
        </w:rPr>
        <w:t>8</w:t>
      </w:r>
      <w:r w:rsidRPr="005032E3">
        <w:rPr>
          <w:rFonts w:ascii="Times New Roman" w:eastAsia="Times New Roman" w:hAnsi="Times New Roman" w:cs="Times New Roman"/>
          <w:sz w:val="28"/>
          <w:szCs w:val="28"/>
          <w:lang w:eastAsia="ru-RU"/>
        </w:rPr>
        <w:t xml:space="preserve"> </w:t>
      </w:r>
    </w:p>
    <w:p w:rsidR="00545400" w:rsidRPr="00545400" w:rsidRDefault="00545400" w:rsidP="00545400">
      <w:pPr>
        <w:tabs>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 xml:space="preserve">   Патогенез……………………………………………………………………. </w:t>
      </w:r>
      <w:r w:rsidRPr="00545400">
        <w:rPr>
          <w:rFonts w:ascii="Times New Roman" w:eastAsia="Times New Roman" w:hAnsi="Times New Roman" w:cs="Times New Roman"/>
          <w:sz w:val="28"/>
          <w:szCs w:val="28"/>
          <w:lang w:eastAsia="ru-RU"/>
        </w:rPr>
        <w:t>8</w:t>
      </w:r>
    </w:p>
    <w:p w:rsidR="00545400" w:rsidRPr="00545400" w:rsidRDefault="00545400" w:rsidP="00545400">
      <w:pPr>
        <w:tabs>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 xml:space="preserve">      Роль гипергликемии в развитии ДН…………………………………….</w:t>
      </w:r>
      <w:r w:rsidRPr="00545400">
        <w:rPr>
          <w:rFonts w:ascii="Times New Roman" w:eastAsia="Times New Roman" w:hAnsi="Times New Roman" w:cs="Times New Roman"/>
          <w:sz w:val="28"/>
          <w:szCs w:val="28"/>
          <w:lang w:eastAsia="ru-RU"/>
        </w:rPr>
        <w:t>10</w:t>
      </w:r>
    </w:p>
    <w:p w:rsidR="00545400" w:rsidRPr="005032E3" w:rsidRDefault="00545400" w:rsidP="00545400">
      <w:pPr>
        <w:tabs>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 xml:space="preserve">      Роль РААС в</w:t>
      </w:r>
      <w:r>
        <w:rPr>
          <w:rFonts w:ascii="Times New Roman" w:eastAsia="Times New Roman" w:hAnsi="Times New Roman" w:cs="Times New Roman"/>
          <w:sz w:val="28"/>
          <w:szCs w:val="28"/>
          <w:lang w:eastAsia="ru-RU"/>
        </w:rPr>
        <w:t xml:space="preserve"> развитии ДН ………………………………………………10</w:t>
      </w:r>
      <w:r w:rsidRPr="005032E3">
        <w:rPr>
          <w:rFonts w:ascii="Times New Roman" w:eastAsia="Times New Roman" w:hAnsi="Times New Roman" w:cs="Times New Roman"/>
          <w:sz w:val="28"/>
          <w:szCs w:val="28"/>
          <w:lang w:eastAsia="ru-RU"/>
        </w:rPr>
        <w:t xml:space="preserve">  </w:t>
      </w:r>
    </w:p>
    <w:p w:rsidR="00545400" w:rsidRPr="00545400" w:rsidRDefault="00545400" w:rsidP="00545400">
      <w:pPr>
        <w:tabs>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 xml:space="preserve">      Роль ЛПВП в развитии ДН ………………………………………………</w:t>
      </w:r>
      <w:r w:rsidRPr="00545400">
        <w:rPr>
          <w:rFonts w:ascii="Times New Roman" w:eastAsia="Times New Roman" w:hAnsi="Times New Roman" w:cs="Times New Roman"/>
          <w:sz w:val="28"/>
          <w:szCs w:val="28"/>
          <w:lang w:eastAsia="ru-RU"/>
        </w:rPr>
        <w:t>11</w:t>
      </w:r>
    </w:p>
    <w:p w:rsidR="00545400" w:rsidRPr="00545400" w:rsidRDefault="00545400" w:rsidP="00545400">
      <w:pPr>
        <w:tabs>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 xml:space="preserve">   Классификация ДН……………………………………………………</w:t>
      </w:r>
      <w:r>
        <w:rPr>
          <w:rFonts w:ascii="Times New Roman" w:eastAsia="Times New Roman" w:hAnsi="Times New Roman" w:cs="Times New Roman"/>
          <w:sz w:val="28"/>
          <w:szCs w:val="28"/>
          <w:lang w:eastAsia="ru-RU"/>
        </w:rPr>
        <w:t>…</w:t>
      </w:r>
      <w:r w:rsidRPr="00545400">
        <w:rPr>
          <w:rFonts w:ascii="Times New Roman" w:eastAsia="Times New Roman" w:hAnsi="Times New Roman" w:cs="Times New Roman"/>
          <w:sz w:val="28"/>
          <w:szCs w:val="28"/>
          <w:lang w:eastAsia="ru-RU"/>
        </w:rPr>
        <w:t>….13</w:t>
      </w:r>
    </w:p>
    <w:p w:rsidR="00545400" w:rsidRPr="00545400" w:rsidRDefault="00545400" w:rsidP="00545400">
      <w:pPr>
        <w:tabs>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 xml:space="preserve">   Диагностика…………………………………………………………</w:t>
      </w:r>
      <w:r>
        <w:rPr>
          <w:rFonts w:ascii="Times New Roman" w:eastAsia="Times New Roman" w:hAnsi="Times New Roman" w:cs="Times New Roman"/>
          <w:sz w:val="28"/>
          <w:szCs w:val="28"/>
          <w:lang w:eastAsia="ru-RU"/>
        </w:rPr>
        <w:t>…</w:t>
      </w:r>
      <w:r w:rsidRPr="00545400">
        <w:rPr>
          <w:rFonts w:ascii="Times New Roman" w:eastAsia="Times New Roman" w:hAnsi="Times New Roman" w:cs="Times New Roman"/>
          <w:sz w:val="28"/>
          <w:szCs w:val="28"/>
          <w:lang w:eastAsia="ru-RU"/>
        </w:rPr>
        <w:t>…….16</w:t>
      </w:r>
    </w:p>
    <w:p w:rsidR="00545400" w:rsidRPr="00545400" w:rsidRDefault="00545400" w:rsidP="00545400">
      <w:pPr>
        <w:tabs>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 xml:space="preserve">   Диабетическая нефропатия и х</w:t>
      </w:r>
      <w:r>
        <w:rPr>
          <w:rFonts w:ascii="Times New Roman" w:eastAsia="Times New Roman" w:hAnsi="Times New Roman" w:cs="Times New Roman"/>
          <w:sz w:val="28"/>
          <w:szCs w:val="28"/>
          <w:lang w:eastAsia="ru-RU"/>
        </w:rPr>
        <w:t>роническая болезнь почек………………</w:t>
      </w:r>
      <w:r w:rsidRPr="00545400">
        <w:rPr>
          <w:rFonts w:ascii="Times New Roman" w:eastAsia="Times New Roman" w:hAnsi="Times New Roman" w:cs="Times New Roman"/>
          <w:sz w:val="28"/>
          <w:szCs w:val="28"/>
          <w:lang w:eastAsia="ru-RU"/>
        </w:rPr>
        <w:t>..20</w:t>
      </w:r>
    </w:p>
    <w:p w:rsidR="00545400" w:rsidRPr="00545400" w:rsidRDefault="00545400" w:rsidP="00545400">
      <w:pPr>
        <w:tabs>
          <w:tab w:val="left" w:pos="8931"/>
        </w:tabs>
        <w:spacing w:after="0" w:line="360" w:lineRule="auto"/>
        <w:jc w:val="both"/>
        <w:rPr>
          <w:rFonts w:ascii="Times New Roman" w:eastAsia="Times New Roman" w:hAnsi="Times New Roman" w:cs="Times New Roman"/>
          <w:sz w:val="28"/>
          <w:szCs w:val="28"/>
          <w:lang w:val="en-US" w:eastAsia="ru-RU"/>
        </w:rPr>
      </w:pPr>
      <w:r w:rsidRPr="005032E3">
        <w:rPr>
          <w:rFonts w:ascii="Times New Roman" w:eastAsia="Times New Roman" w:hAnsi="Times New Roman" w:cs="Times New Roman"/>
          <w:sz w:val="28"/>
          <w:szCs w:val="28"/>
          <w:lang w:eastAsia="ru-RU"/>
        </w:rPr>
        <w:t xml:space="preserve">   Ведение бол</w:t>
      </w:r>
      <w:r>
        <w:rPr>
          <w:rFonts w:ascii="Times New Roman" w:eastAsia="Times New Roman" w:hAnsi="Times New Roman" w:cs="Times New Roman"/>
          <w:sz w:val="28"/>
          <w:szCs w:val="28"/>
          <w:lang w:eastAsia="ru-RU"/>
        </w:rPr>
        <w:t>ьных с ДН………………………………………………………</w:t>
      </w:r>
      <w:r>
        <w:rPr>
          <w:rFonts w:ascii="Times New Roman" w:eastAsia="Times New Roman" w:hAnsi="Times New Roman" w:cs="Times New Roman"/>
          <w:sz w:val="28"/>
          <w:szCs w:val="28"/>
          <w:lang w:val="en-US" w:eastAsia="ru-RU"/>
        </w:rPr>
        <w:t>.22</w:t>
      </w:r>
    </w:p>
    <w:p w:rsidR="00545400" w:rsidRPr="005032E3" w:rsidRDefault="00545400" w:rsidP="00545400">
      <w:pPr>
        <w:tabs>
          <w:tab w:val="left" w:pos="8789"/>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Глава 2. Материалы и методы исследования………………………………</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29</w:t>
      </w:r>
    </w:p>
    <w:p w:rsidR="00545400" w:rsidRPr="00545400" w:rsidRDefault="00545400" w:rsidP="00545400">
      <w:pPr>
        <w:tabs>
          <w:tab w:val="left" w:pos="8789"/>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Глава 3. Результаты иссле</w:t>
      </w:r>
      <w:r>
        <w:rPr>
          <w:rFonts w:ascii="Times New Roman" w:eastAsia="Times New Roman" w:hAnsi="Times New Roman" w:cs="Times New Roman"/>
          <w:sz w:val="28"/>
          <w:szCs w:val="28"/>
          <w:lang w:eastAsia="ru-RU"/>
        </w:rPr>
        <w:t>дования и обсуждение……………………………</w:t>
      </w:r>
      <w:r w:rsidRPr="00545400">
        <w:rPr>
          <w:rFonts w:ascii="Times New Roman" w:eastAsia="Times New Roman" w:hAnsi="Times New Roman" w:cs="Times New Roman"/>
          <w:sz w:val="28"/>
          <w:szCs w:val="28"/>
          <w:lang w:eastAsia="ru-RU"/>
        </w:rPr>
        <w:t>.33</w:t>
      </w:r>
    </w:p>
    <w:p w:rsidR="00545400" w:rsidRPr="005032E3" w:rsidRDefault="00545400" w:rsidP="00545400">
      <w:pPr>
        <w:tabs>
          <w:tab w:val="left" w:pos="8789"/>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Заключе</w:t>
      </w:r>
      <w:r>
        <w:rPr>
          <w:rFonts w:ascii="Times New Roman" w:eastAsia="Times New Roman" w:hAnsi="Times New Roman" w:cs="Times New Roman"/>
          <w:sz w:val="28"/>
          <w:szCs w:val="28"/>
          <w:lang w:eastAsia="ru-RU"/>
        </w:rPr>
        <w:t>ние………………………………………………………………………46</w:t>
      </w:r>
    </w:p>
    <w:p w:rsidR="00545400" w:rsidRPr="005032E3" w:rsidRDefault="00545400" w:rsidP="00545400">
      <w:pPr>
        <w:tabs>
          <w:tab w:val="left" w:pos="8789"/>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Выводы………………………………………………………………………</w:t>
      </w:r>
      <w:r>
        <w:rPr>
          <w:rFonts w:ascii="Times New Roman" w:eastAsia="Times New Roman" w:hAnsi="Times New Roman" w:cs="Times New Roman"/>
          <w:sz w:val="28"/>
          <w:szCs w:val="28"/>
          <w:lang w:eastAsia="ru-RU"/>
        </w:rPr>
        <w:t>…</w:t>
      </w:r>
      <w:r w:rsidRPr="005454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p>
    <w:p w:rsidR="00545400" w:rsidRPr="00545400" w:rsidRDefault="00545400" w:rsidP="00545400">
      <w:pPr>
        <w:tabs>
          <w:tab w:val="left" w:pos="8789"/>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Практические рекомендации ………………………………………………</w:t>
      </w:r>
      <w:r>
        <w:rPr>
          <w:rFonts w:ascii="Times New Roman" w:eastAsia="Times New Roman" w:hAnsi="Times New Roman" w:cs="Times New Roman"/>
          <w:sz w:val="28"/>
          <w:szCs w:val="28"/>
          <w:lang w:eastAsia="ru-RU"/>
        </w:rPr>
        <w:t>…</w:t>
      </w:r>
      <w:r w:rsidRPr="00545400">
        <w:rPr>
          <w:rFonts w:ascii="Times New Roman" w:eastAsia="Times New Roman" w:hAnsi="Times New Roman" w:cs="Times New Roman"/>
          <w:sz w:val="28"/>
          <w:szCs w:val="28"/>
          <w:lang w:eastAsia="ru-RU"/>
        </w:rPr>
        <w:t>..49</w:t>
      </w:r>
    </w:p>
    <w:p w:rsidR="00545400" w:rsidRPr="00545400" w:rsidRDefault="00545400" w:rsidP="00545400">
      <w:pPr>
        <w:tabs>
          <w:tab w:val="left" w:pos="8789"/>
          <w:tab w:val="left" w:pos="8931"/>
        </w:tabs>
        <w:spacing w:after="0" w:line="360" w:lineRule="auto"/>
        <w:jc w:val="both"/>
        <w:rPr>
          <w:rFonts w:ascii="Times New Roman" w:eastAsia="Times New Roman" w:hAnsi="Times New Roman" w:cs="Times New Roman"/>
          <w:sz w:val="28"/>
          <w:szCs w:val="28"/>
          <w:lang w:eastAsia="ru-RU"/>
        </w:rPr>
      </w:pPr>
      <w:r w:rsidRPr="005032E3">
        <w:rPr>
          <w:rFonts w:ascii="Times New Roman" w:eastAsia="Times New Roman" w:hAnsi="Times New Roman" w:cs="Times New Roman"/>
          <w:sz w:val="28"/>
          <w:szCs w:val="28"/>
          <w:lang w:eastAsia="ru-RU"/>
        </w:rPr>
        <w:t>Список лит</w:t>
      </w:r>
      <w:r>
        <w:rPr>
          <w:rFonts w:ascii="Times New Roman" w:eastAsia="Times New Roman" w:hAnsi="Times New Roman" w:cs="Times New Roman"/>
          <w:sz w:val="28"/>
          <w:szCs w:val="28"/>
          <w:lang w:eastAsia="ru-RU"/>
        </w:rPr>
        <w:t>ературы………………………………………………………………</w:t>
      </w:r>
      <w:r w:rsidRPr="00545400">
        <w:rPr>
          <w:rFonts w:ascii="Times New Roman" w:eastAsia="Times New Roman" w:hAnsi="Times New Roman" w:cs="Times New Roman"/>
          <w:sz w:val="28"/>
          <w:szCs w:val="28"/>
          <w:lang w:eastAsia="ru-RU"/>
        </w:rPr>
        <w:t>50</w:t>
      </w:r>
      <w:bookmarkStart w:id="0" w:name="_GoBack"/>
      <w:bookmarkEnd w:id="0"/>
    </w:p>
    <w:p w:rsidR="00545400" w:rsidRPr="0097087C" w:rsidRDefault="00545400" w:rsidP="00545400">
      <w:pPr>
        <w:spacing w:after="0" w:line="240" w:lineRule="auto"/>
        <w:rPr>
          <w:rFonts w:ascii="Times New Roman" w:eastAsia="Times New Roman" w:hAnsi="Times New Roman" w:cs="Times New Roman"/>
          <w:sz w:val="24"/>
          <w:szCs w:val="24"/>
          <w:lang w:eastAsia="ru-RU"/>
        </w:rPr>
      </w:pPr>
    </w:p>
    <w:p w:rsidR="00545400" w:rsidRDefault="00545400" w:rsidP="00545400">
      <w:pPr>
        <w:spacing w:before="240" w:line="360" w:lineRule="auto"/>
        <w:ind w:firstLine="709"/>
        <w:jc w:val="center"/>
        <w:rPr>
          <w:rFonts w:ascii="Times New Roman" w:hAnsi="Times New Roman" w:cs="Times New Roman"/>
          <w:b/>
          <w:sz w:val="28"/>
          <w:szCs w:val="28"/>
        </w:rPr>
      </w:pPr>
    </w:p>
    <w:p w:rsidR="00545400" w:rsidRDefault="00545400" w:rsidP="00545400">
      <w:pPr>
        <w:spacing w:before="240" w:line="360" w:lineRule="auto"/>
        <w:ind w:firstLine="709"/>
        <w:jc w:val="center"/>
        <w:rPr>
          <w:rFonts w:ascii="Times New Roman" w:hAnsi="Times New Roman" w:cs="Times New Roman"/>
          <w:b/>
          <w:sz w:val="28"/>
          <w:szCs w:val="28"/>
        </w:rPr>
      </w:pPr>
    </w:p>
    <w:p w:rsidR="00545400" w:rsidRDefault="00545400" w:rsidP="00545400">
      <w:pPr>
        <w:spacing w:before="240" w:line="360" w:lineRule="auto"/>
        <w:ind w:firstLine="709"/>
        <w:jc w:val="center"/>
        <w:rPr>
          <w:rFonts w:ascii="Times New Roman" w:hAnsi="Times New Roman" w:cs="Times New Roman"/>
          <w:b/>
          <w:sz w:val="28"/>
          <w:szCs w:val="28"/>
        </w:rPr>
      </w:pPr>
    </w:p>
    <w:p w:rsidR="00545400" w:rsidRDefault="00545400" w:rsidP="00545400">
      <w:pPr>
        <w:spacing w:before="240" w:line="360" w:lineRule="auto"/>
        <w:ind w:firstLine="709"/>
        <w:jc w:val="center"/>
        <w:rPr>
          <w:rFonts w:ascii="Times New Roman" w:hAnsi="Times New Roman" w:cs="Times New Roman"/>
          <w:b/>
          <w:sz w:val="28"/>
          <w:szCs w:val="28"/>
        </w:rPr>
      </w:pPr>
    </w:p>
    <w:p w:rsidR="00545400" w:rsidRDefault="00545400" w:rsidP="00545400">
      <w:pPr>
        <w:spacing w:before="240" w:line="360" w:lineRule="auto"/>
        <w:ind w:firstLine="709"/>
        <w:jc w:val="center"/>
        <w:rPr>
          <w:rFonts w:ascii="Times New Roman" w:hAnsi="Times New Roman" w:cs="Times New Roman"/>
          <w:b/>
          <w:sz w:val="28"/>
          <w:szCs w:val="28"/>
        </w:rPr>
        <w:sectPr w:rsidR="00545400" w:rsidSect="00FB28B2">
          <w:footerReference w:type="default" r:id="rId7"/>
          <w:pgSz w:w="11906" w:h="16838"/>
          <w:pgMar w:top="1134" w:right="850" w:bottom="1134" w:left="1701" w:header="708" w:footer="708" w:gutter="0"/>
          <w:pgNumType w:start="1"/>
          <w:cols w:space="708"/>
          <w:titlePg/>
          <w:docGrid w:linePitch="360"/>
        </w:sectPr>
      </w:pPr>
    </w:p>
    <w:p w:rsidR="00545400" w:rsidRDefault="00545400" w:rsidP="00545400">
      <w:pPr>
        <w:spacing w:before="240" w:line="360" w:lineRule="auto"/>
        <w:ind w:firstLine="709"/>
        <w:jc w:val="center"/>
        <w:rPr>
          <w:rFonts w:ascii="Times New Roman" w:hAnsi="Times New Roman" w:cs="Times New Roman"/>
          <w:b/>
          <w:sz w:val="28"/>
          <w:szCs w:val="28"/>
        </w:rPr>
      </w:pPr>
    </w:p>
    <w:p w:rsidR="00545400" w:rsidRDefault="00545400" w:rsidP="00545400">
      <w:pPr>
        <w:spacing w:before="240" w:line="360" w:lineRule="auto"/>
        <w:ind w:firstLine="709"/>
        <w:jc w:val="center"/>
        <w:rPr>
          <w:rFonts w:ascii="Times New Roman" w:hAnsi="Times New Roman" w:cs="Times New Roman"/>
          <w:b/>
          <w:sz w:val="28"/>
          <w:szCs w:val="28"/>
        </w:rPr>
      </w:pPr>
    </w:p>
    <w:p w:rsidR="00545400" w:rsidRDefault="00545400" w:rsidP="00545400">
      <w:pPr>
        <w:spacing w:before="240" w:line="360" w:lineRule="auto"/>
        <w:ind w:firstLine="709"/>
        <w:jc w:val="both"/>
        <w:rPr>
          <w:rFonts w:ascii="Times New Roman" w:eastAsia="Times New Roman" w:hAnsi="Times New Roman" w:cs="Times New Roman"/>
          <w:b/>
          <w:sz w:val="28"/>
          <w:szCs w:val="28"/>
          <w:lang w:eastAsia="ru-RU"/>
        </w:rPr>
      </w:pPr>
      <w:r w:rsidRPr="00DA474B">
        <w:rPr>
          <w:rFonts w:ascii="Times New Roman" w:eastAsia="Times New Roman" w:hAnsi="Times New Roman" w:cs="Times New Roman"/>
          <w:b/>
          <w:sz w:val="28"/>
          <w:szCs w:val="28"/>
          <w:lang w:eastAsia="ru-RU"/>
        </w:rPr>
        <w:t xml:space="preserve">Перечень </w:t>
      </w:r>
      <w:r>
        <w:rPr>
          <w:rFonts w:ascii="Times New Roman" w:eastAsia="Times New Roman" w:hAnsi="Times New Roman" w:cs="Times New Roman"/>
          <w:b/>
          <w:sz w:val="28"/>
          <w:szCs w:val="28"/>
          <w:lang w:eastAsia="ru-RU"/>
        </w:rPr>
        <w:t>условных обозначений и символов</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ДН – диабетическая нефропатия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СД – сахарный диабет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ЗПТ- заместительная почечная терапия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ЗГДТ – заместительная гемодиализная терапия</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ГД – гемодиализ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ПГД – программный гемодиализ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ХБП – хроническая болезнь почек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ХГН – хронический гломерулонефрит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СКФ – скорость клубочковой фильтрации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МАУ – микроальбуминурия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НАУ – нормоальбуминурия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РААС – ренин – ангиотензин</w:t>
      </w:r>
      <w:r w:rsidRPr="00465F11">
        <w:rPr>
          <w:rFonts w:ascii="Times New Roman" w:eastAsia="Times New Roman" w:hAnsi="Times New Roman" w:cs="Times New Roman"/>
          <w:sz w:val="28"/>
          <w:szCs w:val="28"/>
          <w:lang w:eastAsia="ru-RU"/>
        </w:rPr>
        <w:t xml:space="preserve"> </w:t>
      </w:r>
      <w:r w:rsidRPr="00EC37FD">
        <w:rPr>
          <w:rFonts w:ascii="Times New Roman" w:eastAsia="Times New Roman" w:hAnsi="Times New Roman" w:cs="Times New Roman"/>
          <w:sz w:val="28"/>
          <w:szCs w:val="28"/>
          <w:lang w:eastAsia="ru-RU"/>
        </w:rPr>
        <w:t>-</w:t>
      </w:r>
      <w:r w:rsidRPr="00465F11">
        <w:rPr>
          <w:rFonts w:ascii="Times New Roman" w:eastAsia="Times New Roman" w:hAnsi="Times New Roman" w:cs="Times New Roman"/>
          <w:sz w:val="28"/>
          <w:szCs w:val="28"/>
          <w:lang w:eastAsia="ru-RU"/>
        </w:rPr>
        <w:t xml:space="preserve"> </w:t>
      </w:r>
      <w:r w:rsidRPr="00EC37FD">
        <w:rPr>
          <w:rFonts w:ascii="Times New Roman" w:eastAsia="Times New Roman" w:hAnsi="Times New Roman" w:cs="Times New Roman"/>
          <w:sz w:val="28"/>
          <w:szCs w:val="28"/>
          <w:lang w:eastAsia="ru-RU"/>
        </w:rPr>
        <w:t xml:space="preserve">альдестероновая система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ЛПВП- липопротеины высокой плотности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ЛПНП – липопротеины низкой плотности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ТГ - триглицериды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ИМ – инфаркт миокарда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ИБС – ишемическая болезнь сердца </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sectPr w:rsidR="00545400" w:rsidSect="00FB28B2">
          <w:footerReference w:type="first" r:id="rId8"/>
          <w:pgSz w:w="11906" w:h="16838"/>
          <w:pgMar w:top="1134" w:right="850" w:bottom="1134" w:left="1701" w:header="708" w:footer="708" w:gutter="0"/>
          <w:pgNumType w:start="1"/>
          <w:cols w:space="708"/>
          <w:titlePg/>
          <w:docGrid w:linePitch="360"/>
        </w:sectPr>
      </w:pP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lastRenderedPageBreak/>
        <w:t xml:space="preserve">ХСН – хроническая сердечная недостаточность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ОНМК – острые нарушения мозгового кровообращения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АГ – артериальная гипертензия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АД – артериальное давление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САД – систолическое артериальное давление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ДАД – диастолическое артериальное давление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ИАПФ – ингибиторы ангиотензин превращающего фермента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БКК –</w:t>
      </w:r>
      <w:r>
        <w:rPr>
          <w:rFonts w:ascii="Times New Roman" w:eastAsia="Times New Roman" w:hAnsi="Times New Roman" w:cs="Times New Roman"/>
          <w:sz w:val="28"/>
          <w:szCs w:val="28"/>
          <w:lang w:eastAsia="ru-RU"/>
        </w:rPr>
        <w:t xml:space="preserve"> блокаторы кальциевых каналов </w:t>
      </w:r>
    </w:p>
    <w:p w:rsidR="00545400" w:rsidRPr="00EC37FD"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EC37FD">
        <w:rPr>
          <w:rFonts w:ascii="Times New Roman" w:eastAsia="Times New Roman" w:hAnsi="Times New Roman" w:cs="Times New Roman"/>
          <w:sz w:val="28"/>
          <w:szCs w:val="28"/>
          <w:lang w:eastAsia="ru-RU"/>
        </w:rPr>
        <w:t xml:space="preserve">ЭСА- эритропоэтин стимулирующий агент </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DA474B">
        <w:rPr>
          <w:rFonts w:ascii="Times New Roman" w:eastAsia="Times New Roman" w:hAnsi="Times New Roman" w:cs="Times New Roman"/>
          <w:sz w:val="28"/>
          <w:szCs w:val="28"/>
          <w:lang w:val="en-US" w:eastAsia="ru-RU"/>
        </w:rPr>
        <w:t>HbA</w:t>
      </w:r>
      <w:r w:rsidRPr="00DA474B">
        <w:rPr>
          <w:rFonts w:ascii="Times New Roman" w:eastAsia="Times New Roman" w:hAnsi="Times New Roman" w:cs="Times New Roman"/>
          <w:sz w:val="28"/>
          <w:szCs w:val="28"/>
          <w:vertAlign w:val="subscript"/>
          <w:lang w:eastAsia="ru-RU"/>
        </w:rPr>
        <w:t>1</w:t>
      </w:r>
      <w:r w:rsidRPr="00DA474B">
        <w:rPr>
          <w:rFonts w:ascii="Times New Roman" w:eastAsia="Times New Roman" w:hAnsi="Times New Roman" w:cs="Times New Roman"/>
          <w:sz w:val="28"/>
          <w:szCs w:val="28"/>
          <w:vertAlign w:val="subscript"/>
          <w:lang w:val="en-US" w:eastAsia="ru-RU"/>
        </w:rPr>
        <w:t>c</w:t>
      </w:r>
      <w:r w:rsidRPr="00DA474B">
        <w:rPr>
          <w:rFonts w:ascii="Times New Roman" w:eastAsia="Times New Roman" w:hAnsi="Times New Roman" w:cs="Times New Roman"/>
          <w:sz w:val="28"/>
          <w:szCs w:val="28"/>
          <w:vertAlign w:val="subscript"/>
          <w:lang w:eastAsia="ru-RU"/>
        </w:rPr>
        <w:t xml:space="preserve"> </w:t>
      </w:r>
      <w:r w:rsidRPr="00DA474B">
        <w:rPr>
          <w:rFonts w:ascii="Times New Roman" w:eastAsia="Times New Roman" w:hAnsi="Times New Roman" w:cs="Times New Roman"/>
          <w:sz w:val="28"/>
          <w:szCs w:val="28"/>
          <w:lang w:eastAsia="ru-RU"/>
        </w:rPr>
        <w:t>– гликозилированный гемоглобин</w:t>
      </w:r>
    </w:p>
    <w:p w:rsidR="00545400" w:rsidRPr="00DA474B" w:rsidRDefault="00545400" w:rsidP="00545400">
      <w:pPr>
        <w:spacing w:before="240" w:line="360" w:lineRule="auto"/>
        <w:ind w:firstLine="709"/>
        <w:jc w:val="both"/>
        <w:rPr>
          <w:rFonts w:ascii="Times New Roman" w:eastAsia="Times New Roman" w:hAnsi="Times New Roman" w:cs="Times New Roman"/>
          <w:sz w:val="28"/>
          <w:szCs w:val="28"/>
          <w:lang w:eastAsia="ru-RU"/>
        </w:rPr>
      </w:pPr>
    </w:p>
    <w:p w:rsidR="00545400" w:rsidRDefault="00545400" w:rsidP="00545400">
      <w:pPr>
        <w:spacing w:before="240" w:line="360" w:lineRule="auto"/>
        <w:ind w:firstLine="709"/>
        <w:jc w:val="both"/>
        <w:rPr>
          <w:rFonts w:ascii="Times New Roman" w:hAnsi="Times New Roman" w:cs="Times New Roman"/>
          <w:b/>
          <w:sz w:val="28"/>
          <w:szCs w:val="28"/>
        </w:rPr>
      </w:pPr>
    </w:p>
    <w:p w:rsidR="00545400" w:rsidRPr="005C2891" w:rsidRDefault="00545400" w:rsidP="00545400">
      <w:pPr>
        <w:rPr>
          <w:rFonts w:ascii="Times New Roman" w:hAnsi="Times New Roman" w:cs="Times New Roman"/>
          <w:sz w:val="28"/>
          <w:szCs w:val="28"/>
        </w:rPr>
      </w:pPr>
    </w:p>
    <w:p w:rsidR="00545400" w:rsidRPr="005C2891" w:rsidRDefault="00545400" w:rsidP="00545400">
      <w:pPr>
        <w:rPr>
          <w:rFonts w:ascii="Times New Roman" w:hAnsi="Times New Roman" w:cs="Times New Roman"/>
          <w:sz w:val="28"/>
          <w:szCs w:val="28"/>
        </w:rPr>
      </w:pPr>
    </w:p>
    <w:p w:rsidR="00545400" w:rsidRPr="005C2891" w:rsidRDefault="00545400" w:rsidP="00545400">
      <w:pPr>
        <w:rPr>
          <w:rFonts w:ascii="Times New Roman" w:hAnsi="Times New Roman" w:cs="Times New Roman"/>
          <w:sz w:val="28"/>
          <w:szCs w:val="28"/>
        </w:rPr>
      </w:pPr>
    </w:p>
    <w:p w:rsidR="00545400" w:rsidRPr="005C2891" w:rsidRDefault="00545400" w:rsidP="00545400">
      <w:pPr>
        <w:rPr>
          <w:rFonts w:ascii="Times New Roman" w:hAnsi="Times New Roman" w:cs="Times New Roman"/>
          <w:sz w:val="28"/>
          <w:szCs w:val="28"/>
        </w:rPr>
      </w:pPr>
    </w:p>
    <w:p w:rsidR="00545400" w:rsidRPr="005C2891" w:rsidRDefault="00545400" w:rsidP="00545400">
      <w:pPr>
        <w:rPr>
          <w:rFonts w:ascii="Times New Roman" w:hAnsi="Times New Roman" w:cs="Times New Roman"/>
          <w:sz w:val="28"/>
          <w:szCs w:val="28"/>
        </w:rPr>
      </w:pPr>
    </w:p>
    <w:p w:rsidR="00545400" w:rsidRPr="005C2891" w:rsidRDefault="00545400" w:rsidP="00545400">
      <w:pPr>
        <w:rPr>
          <w:rFonts w:ascii="Times New Roman" w:hAnsi="Times New Roman" w:cs="Times New Roman"/>
          <w:sz w:val="28"/>
          <w:szCs w:val="28"/>
        </w:rPr>
      </w:pPr>
    </w:p>
    <w:p w:rsidR="00545400" w:rsidRPr="005C2891" w:rsidRDefault="00545400" w:rsidP="00545400">
      <w:pPr>
        <w:rPr>
          <w:rFonts w:ascii="Times New Roman" w:hAnsi="Times New Roman" w:cs="Times New Roman"/>
          <w:sz w:val="28"/>
          <w:szCs w:val="28"/>
        </w:rPr>
      </w:pPr>
    </w:p>
    <w:p w:rsidR="00545400" w:rsidRPr="005C2891" w:rsidRDefault="00545400" w:rsidP="00545400">
      <w:pPr>
        <w:rPr>
          <w:rFonts w:ascii="Times New Roman" w:hAnsi="Times New Roman" w:cs="Times New Roman"/>
          <w:sz w:val="28"/>
          <w:szCs w:val="28"/>
        </w:rPr>
      </w:pPr>
    </w:p>
    <w:p w:rsidR="00545400" w:rsidRPr="005C2891" w:rsidRDefault="00545400" w:rsidP="00545400">
      <w:pPr>
        <w:rPr>
          <w:rFonts w:ascii="Times New Roman" w:hAnsi="Times New Roman" w:cs="Times New Roman"/>
          <w:sz w:val="28"/>
          <w:szCs w:val="28"/>
        </w:rPr>
      </w:pPr>
    </w:p>
    <w:p w:rsidR="00545400" w:rsidRPr="005C2891" w:rsidRDefault="00545400" w:rsidP="00545400">
      <w:pPr>
        <w:rPr>
          <w:rFonts w:ascii="Times New Roman" w:hAnsi="Times New Roman" w:cs="Times New Roman"/>
          <w:sz w:val="28"/>
          <w:szCs w:val="28"/>
        </w:rPr>
      </w:pPr>
    </w:p>
    <w:p w:rsidR="00CE5B1E" w:rsidRDefault="00545400" w:rsidP="00545400">
      <w:pPr>
        <w:jc w:val="center"/>
        <w:rPr>
          <w:rFonts w:ascii="Times New Roman" w:hAnsi="Times New Roman" w:cs="Times New Roman"/>
          <w:sz w:val="28"/>
          <w:szCs w:val="28"/>
        </w:rPr>
      </w:pPr>
      <w:r>
        <w:rPr>
          <w:rFonts w:ascii="Times New Roman" w:hAnsi="Times New Roman" w:cs="Times New Roman"/>
          <w:sz w:val="28"/>
          <w:szCs w:val="28"/>
        </w:rPr>
        <w:tab/>
      </w:r>
    </w:p>
    <w:p w:rsidR="00545400" w:rsidRDefault="00545400" w:rsidP="00545400">
      <w:pPr>
        <w:jc w:val="center"/>
        <w:rPr>
          <w:rFonts w:ascii="Times New Roman" w:hAnsi="Times New Roman" w:cs="Times New Roman"/>
          <w:sz w:val="28"/>
          <w:szCs w:val="28"/>
        </w:rPr>
      </w:pPr>
    </w:p>
    <w:p w:rsidR="00545400" w:rsidRPr="00A8747C" w:rsidRDefault="00545400" w:rsidP="00545400">
      <w:pPr>
        <w:spacing w:before="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ВВЕДЕНИЕ</w:t>
      </w:r>
    </w:p>
    <w:p w:rsidR="00545400" w:rsidRDefault="00545400" w:rsidP="00545400">
      <w:pPr>
        <w:spacing w:before="240" w:line="360" w:lineRule="auto"/>
        <w:ind w:firstLine="709"/>
        <w:jc w:val="both"/>
        <w:rPr>
          <w:rFonts w:ascii="Times New Roman" w:hAnsi="Times New Roman" w:cs="Times New Roman"/>
          <w:sz w:val="28"/>
          <w:szCs w:val="28"/>
        </w:rPr>
      </w:pPr>
    </w:p>
    <w:p w:rsidR="00545400" w:rsidRDefault="00545400" w:rsidP="00545400">
      <w:pPr>
        <w:spacing w:before="240" w:line="360" w:lineRule="auto"/>
        <w:ind w:firstLine="709"/>
        <w:jc w:val="both"/>
        <w:rPr>
          <w:rFonts w:ascii="Times New Roman" w:hAnsi="Times New Roman" w:cs="Times New Roman"/>
          <w:sz w:val="28"/>
          <w:szCs w:val="28"/>
        </w:rPr>
      </w:pPr>
      <w:r w:rsidRPr="00914C1B">
        <w:rPr>
          <w:rFonts w:ascii="Times New Roman" w:hAnsi="Times New Roman" w:cs="Times New Roman"/>
          <w:sz w:val="28"/>
          <w:szCs w:val="28"/>
        </w:rPr>
        <w:t>Диабетическая нефропатия</w:t>
      </w:r>
      <w:r>
        <w:rPr>
          <w:rFonts w:ascii="Times New Roman" w:hAnsi="Times New Roman" w:cs="Times New Roman"/>
          <w:sz w:val="28"/>
          <w:szCs w:val="28"/>
        </w:rPr>
        <w:t xml:space="preserve"> (ДН)</w:t>
      </w:r>
      <w:r w:rsidRPr="00914C1B">
        <w:rPr>
          <w:rFonts w:ascii="Times New Roman" w:hAnsi="Times New Roman" w:cs="Times New Roman"/>
          <w:sz w:val="28"/>
          <w:szCs w:val="28"/>
        </w:rPr>
        <w:t xml:space="preserve"> я</w:t>
      </w:r>
      <w:r>
        <w:rPr>
          <w:rFonts w:ascii="Times New Roman" w:hAnsi="Times New Roman" w:cs="Times New Roman"/>
          <w:sz w:val="28"/>
          <w:szCs w:val="28"/>
        </w:rPr>
        <w:t>вляется одной из самых частых и серьезных хронических осложнений</w:t>
      </w:r>
      <w:r w:rsidRPr="00914C1B">
        <w:rPr>
          <w:rFonts w:ascii="Times New Roman" w:hAnsi="Times New Roman" w:cs="Times New Roman"/>
          <w:sz w:val="28"/>
          <w:szCs w:val="28"/>
        </w:rPr>
        <w:t xml:space="preserve"> сахарного </w:t>
      </w:r>
      <w:r>
        <w:rPr>
          <w:rFonts w:ascii="Times New Roman" w:hAnsi="Times New Roman" w:cs="Times New Roman"/>
          <w:sz w:val="28"/>
          <w:szCs w:val="28"/>
        </w:rPr>
        <w:t xml:space="preserve">диабета (СД) как 1-го, так и 2 типа, </w:t>
      </w:r>
      <w:r w:rsidRPr="00914C1B">
        <w:rPr>
          <w:rFonts w:ascii="Times New Roman" w:hAnsi="Times New Roman" w:cs="Times New Roman"/>
          <w:sz w:val="28"/>
          <w:szCs w:val="28"/>
        </w:rPr>
        <w:t>которое</w:t>
      </w:r>
      <w:r>
        <w:rPr>
          <w:rFonts w:ascii="Times New Roman" w:hAnsi="Times New Roman" w:cs="Times New Roman"/>
          <w:sz w:val="28"/>
          <w:szCs w:val="28"/>
        </w:rPr>
        <w:t xml:space="preserve"> </w:t>
      </w:r>
      <w:r w:rsidRPr="00914C1B">
        <w:rPr>
          <w:rFonts w:ascii="Times New Roman" w:hAnsi="Times New Roman" w:cs="Times New Roman"/>
          <w:sz w:val="28"/>
          <w:szCs w:val="28"/>
        </w:rPr>
        <w:t>возник</w:t>
      </w:r>
      <w:r>
        <w:rPr>
          <w:rFonts w:ascii="Times New Roman" w:hAnsi="Times New Roman" w:cs="Times New Roman"/>
          <w:sz w:val="28"/>
          <w:szCs w:val="28"/>
        </w:rPr>
        <w:t>ает в результате микрососудистых</w:t>
      </w:r>
      <w:r w:rsidRPr="00914C1B">
        <w:rPr>
          <w:rFonts w:ascii="Times New Roman" w:hAnsi="Times New Roman" w:cs="Times New Roman"/>
          <w:sz w:val="28"/>
          <w:szCs w:val="28"/>
        </w:rPr>
        <w:t xml:space="preserve"> поражений почечных клубочков</w:t>
      </w:r>
      <w:r>
        <w:rPr>
          <w:rFonts w:ascii="Times New Roman" w:hAnsi="Times New Roman" w:cs="Times New Roman"/>
          <w:sz w:val="28"/>
          <w:szCs w:val="28"/>
        </w:rPr>
        <w:t xml:space="preserve"> и определяет распространённость хронической болезни почек</w:t>
      </w:r>
      <w:r w:rsidRPr="00914C1B">
        <w:rPr>
          <w:rFonts w:ascii="Times New Roman" w:hAnsi="Times New Roman" w:cs="Times New Roman"/>
          <w:sz w:val="28"/>
          <w:szCs w:val="28"/>
        </w:rPr>
        <w:t>.</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Диабетическая нефропатия – это комплексное хроническое</w:t>
      </w:r>
      <w:r w:rsidRPr="00DC734A">
        <w:rPr>
          <w:rFonts w:ascii="Times New Roman" w:hAnsi="Times New Roman" w:cs="Times New Roman"/>
          <w:sz w:val="28"/>
          <w:szCs w:val="28"/>
        </w:rPr>
        <w:t xml:space="preserve"> заболевание</w:t>
      </w:r>
      <w:r>
        <w:rPr>
          <w:rFonts w:ascii="Times New Roman" w:hAnsi="Times New Roman" w:cs="Times New Roman"/>
          <w:sz w:val="28"/>
          <w:szCs w:val="28"/>
        </w:rPr>
        <w:t xml:space="preserve">, требующее </w:t>
      </w:r>
      <w:r w:rsidRPr="00DC734A">
        <w:rPr>
          <w:rFonts w:ascii="Times New Roman" w:hAnsi="Times New Roman" w:cs="Times New Roman"/>
          <w:sz w:val="28"/>
          <w:szCs w:val="28"/>
        </w:rPr>
        <w:t>постоянной</w:t>
      </w:r>
      <w:r>
        <w:rPr>
          <w:rFonts w:ascii="Times New Roman" w:hAnsi="Times New Roman" w:cs="Times New Roman"/>
          <w:sz w:val="28"/>
          <w:szCs w:val="28"/>
        </w:rPr>
        <w:t xml:space="preserve"> медицинской помощи с мульти</w:t>
      </w:r>
      <w:r w:rsidRPr="00DC734A">
        <w:rPr>
          <w:rFonts w:ascii="Times New Roman" w:hAnsi="Times New Roman" w:cs="Times New Roman"/>
          <w:sz w:val="28"/>
          <w:szCs w:val="28"/>
        </w:rPr>
        <w:t>факторными стратег</w:t>
      </w:r>
      <w:r>
        <w:rPr>
          <w:rFonts w:ascii="Times New Roman" w:hAnsi="Times New Roman" w:cs="Times New Roman"/>
          <w:sz w:val="28"/>
          <w:szCs w:val="28"/>
        </w:rPr>
        <w:t>иями гликемического контроля, кардио- и нефропротекции</w:t>
      </w:r>
      <w:r w:rsidRPr="00DC734A">
        <w:rPr>
          <w:rFonts w:ascii="Times New Roman" w:hAnsi="Times New Roman" w:cs="Times New Roman"/>
          <w:sz w:val="28"/>
          <w:szCs w:val="28"/>
        </w:rPr>
        <w:t xml:space="preserve">. </w:t>
      </w:r>
      <w:r>
        <w:rPr>
          <w:rFonts w:ascii="Times New Roman" w:hAnsi="Times New Roman" w:cs="Times New Roman"/>
          <w:sz w:val="28"/>
          <w:szCs w:val="28"/>
        </w:rPr>
        <w:t>На сегодняшний день в большинстве развитых стран, 20-50% от общего количества пациентов, получающих лечение</w:t>
      </w:r>
      <w:r w:rsidRPr="00121736">
        <w:rPr>
          <w:rFonts w:ascii="Times New Roman" w:hAnsi="Times New Roman" w:cs="Times New Roman"/>
          <w:sz w:val="28"/>
          <w:szCs w:val="28"/>
        </w:rPr>
        <w:t xml:space="preserve"> заместительной почечной терапи</w:t>
      </w:r>
      <w:r>
        <w:rPr>
          <w:rFonts w:ascii="Times New Roman" w:hAnsi="Times New Roman" w:cs="Times New Roman"/>
          <w:sz w:val="28"/>
          <w:szCs w:val="28"/>
        </w:rPr>
        <w:t>ей (ЗПТ), составляют больные ДН</w:t>
      </w:r>
      <w:r w:rsidRPr="00A735BB">
        <w:rPr>
          <w:rFonts w:ascii="Times New Roman" w:hAnsi="Times New Roman" w:cs="Times New Roman"/>
          <w:sz w:val="28"/>
          <w:szCs w:val="28"/>
        </w:rPr>
        <w:t xml:space="preserve"> [1]</w:t>
      </w:r>
      <w:r w:rsidRPr="00121736">
        <w:rPr>
          <w:rFonts w:ascii="Times New Roman" w:hAnsi="Times New Roman" w:cs="Times New Roman"/>
          <w:sz w:val="28"/>
          <w:szCs w:val="28"/>
        </w:rPr>
        <w:t xml:space="preserve">. </w:t>
      </w:r>
      <w:r>
        <w:rPr>
          <w:rFonts w:ascii="Times New Roman" w:hAnsi="Times New Roman" w:cs="Times New Roman"/>
          <w:sz w:val="28"/>
          <w:szCs w:val="28"/>
        </w:rPr>
        <w:t xml:space="preserve">Важно понимать, что для предотвращения острых и снижения риска хронических осложнений гемодиализной терапии ДН решающее значение имеет постоянное обучение пациентов самообслуживанию и рациональное их ведение с момента постановки диагноза. </w:t>
      </w:r>
    </w:p>
    <w:p w:rsidR="00545400" w:rsidRPr="00844FDC"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исследования обусловлена сохранением тенденции к неуклонному росту количества больных, нуждающихся в постоянном получении гемодиализной терапии, которая ассоциируется с высоким риском кардиоваскулярных заболеваний, и, в конечном итоге, приводит к увеличению смертности.   </w:t>
      </w:r>
    </w:p>
    <w:p w:rsidR="00545400" w:rsidRDefault="00545400" w:rsidP="00545400">
      <w:pPr>
        <w:spacing w:before="240" w:line="360" w:lineRule="auto"/>
        <w:ind w:firstLine="709"/>
        <w:jc w:val="both"/>
        <w:rPr>
          <w:rFonts w:ascii="Times New Roman" w:hAnsi="Times New Roman" w:cs="Times New Roman"/>
          <w:sz w:val="28"/>
          <w:szCs w:val="28"/>
        </w:rPr>
      </w:pPr>
      <w:r w:rsidRPr="00366F0E">
        <w:rPr>
          <w:rFonts w:ascii="Times New Roman" w:hAnsi="Times New Roman" w:cs="Times New Roman"/>
          <w:sz w:val="28"/>
          <w:szCs w:val="28"/>
        </w:rPr>
        <w:t>Целью</w:t>
      </w:r>
      <w:r w:rsidRPr="0002241C">
        <w:rPr>
          <w:rFonts w:ascii="Times New Roman" w:hAnsi="Times New Roman" w:cs="Times New Roman"/>
          <w:sz w:val="28"/>
          <w:szCs w:val="28"/>
        </w:rPr>
        <w:t xml:space="preserve"> настоящего исследования является опре</w:t>
      </w:r>
      <w:r>
        <w:rPr>
          <w:rFonts w:ascii="Times New Roman" w:hAnsi="Times New Roman" w:cs="Times New Roman"/>
          <w:sz w:val="28"/>
          <w:szCs w:val="28"/>
        </w:rPr>
        <w:t>деление особенностей клинического течения диабетической нефропатии у пациентов, получающих заместительную почечную терапию программным гемодиализом</w:t>
      </w:r>
      <w:r w:rsidRPr="00F64A1E">
        <w:rPr>
          <w:rFonts w:ascii="Times New Roman" w:hAnsi="Times New Roman" w:cs="Times New Roman"/>
          <w:sz w:val="28"/>
          <w:szCs w:val="28"/>
        </w:rPr>
        <w:t xml:space="preserve"> </w:t>
      </w:r>
      <w:r>
        <w:rPr>
          <w:rFonts w:ascii="Times New Roman" w:hAnsi="Times New Roman" w:cs="Times New Roman"/>
          <w:sz w:val="28"/>
          <w:szCs w:val="28"/>
        </w:rPr>
        <w:t xml:space="preserve">для улучшения прогноза и качества жизни. </w:t>
      </w:r>
    </w:p>
    <w:p w:rsidR="00545400" w:rsidRDefault="00545400" w:rsidP="00545400">
      <w:pPr>
        <w:spacing w:before="240" w:line="360" w:lineRule="auto"/>
        <w:ind w:firstLine="709"/>
        <w:jc w:val="both"/>
        <w:rPr>
          <w:rFonts w:ascii="Times New Roman" w:hAnsi="Times New Roman" w:cs="Times New Roman"/>
          <w:sz w:val="28"/>
          <w:szCs w:val="28"/>
        </w:rPr>
      </w:pPr>
      <w:r w:rsidRPr="0002241C">
        <w:rPr>
          <w:rFonts w:ascii="Times New Roman" w:hAnsi="Times New Roman" w:cs="Times New Roman"/>
          <w:sz w:val="28"/>
          <w:szCs w:val="28"/>
        </w:rPr>
        <w:lastRenderedPageBreak/>
        <w:t>Для достижения данной цели исследования были поставлены следующие задачи:</w:t>
      </w:r>
    </w:p>
    <w:p w:rsidR="00545400" w:rsidRDefault="00545400" w:rsidP="00545400">
      <w:pPr>
        <w:pStyle w:val="a5"/>
        <w:numPr>
          <w:ilvl w:val="0"/>
          <w:numId w:val="1"/>
        </w:numPr>
        <w:spacing w:before="24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встречаемость и структуру </w:t>
      </w:r>
      <w:r w:rsidRPr="00377399">
        <w:rPr>
          <w:rFonts w:ascii="Times New Roman" w:hAnsi="Times New Roman" w:cs="Times New Roman"/>
          <w:sz w:val="28"/>
          <w:szCs w:val="28"/>
        </w:rPr>
        <w:t>сердечно-сосудистых заболеваний у больных с диабетической нефропатией, получающих лечение программным гемодиализом;</w:t>
      </w:r>
    </w:p>
    <w:p w:rsidR="00545400" w:rsidRDefault="00545400" w:rsidP="00545400">
      <w:pPr>
        <w:pStyle w:val="a5"/>
        <w:numPr>
          <w:ilvl w:val="0"/>
          <w:numId w:val="1"/>
        </w:numPr>
        <w:spacing w:before="240" w:line="360" w:lineRule="auto"/>
        <w:ind w:left="0" w:firstLine="709"/>
        <w:jc w:val="both"/>
        <w:rPr>
          <w:rFonts w:ascii="Times New Roman" w:hAnsi="Times New Roman" w:cs="Times New Roman"/>
          <w:sz w:val="28"/>
          <w:szCs w:val="28"/>
        </w:rPr>
      </w:pPr>
      <w:r w:rsidRPr="00377399">
        <w:rPr>
          <w:rFonts w:ascii="Times New Roman" w:hAnsi="Times New Roman" w:cs="Times New Roman"/>
          <w:sz w:val="28"/>
          <w:szCs w:val="28"/>
        </w:rPr>
        <w:t xml:space="preserve">Оценить влияние сеанса гемодиализа на динамику </w:t>
      </w:r>
      <w:r>
        <w:rPr>
          <w:rFonts w:ascii="Times New Roman" w:hAnsi="Times New Roman" w:cs="Times New Roman"/>
          <w:sz w:val="28"/>
          <w:szCs w:val="28"/>
        </w:rPr>
        <w:t xml:space="preserve">среднего </w:t>
      </w:r>
      <w:r w:rsidRPr="00377399">
        <w:rPr>
          <w:rFonts w:ascii="Times New Roman" w:hAnsi="Times New Roman" w:cs="Times New Roman"/>
          <w:sz w:val="28"/>
          <w:szCs w:val="28"/>
        </w:rPr>
        <w:t>артериального давления;</w:t>
      </w:r>
    </w:p>
    <w:p w:rsidR="00545400" w:rsidRDefault="00545400" w:rsidP="00545400">
      <w:pPr>
        <w:pStyle w:val="a5"/>
        <w:numPr>
          <w:ilvl w:val="0"/>
          <w:numId w:val="1"/>
        </w:numPr>
        <w:spacing w:before="24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w:t>
      </w:r>
      <w:r w:rsidRPr="00377399">
        <w:rPr>
          <w:rFonts w:ascii="Times New Roman" w:hAnsi="Times New Roman" w:cs="Times New Roman"/>
          <w:sz w:val="28"/>
          <w:szCs w:val="28"/>
        </w:rPr>
        <w:t>нализ</w:t>
      </w:r>
      <w:r>
        <w:rPr>
          <w:rFonts w:ascii="Times New Roman" w:hAnsi="Times New Roman" w:cs="Times New Roman"/>
          <w:sz w:val="28"/>
          <w:szCs w:val="28"/>
        </w:rPr>
        <w:t xml:space="preserve">ировать связь длительности получения заместительной почечной терапии </w:t>
      </w:r>
      <w:r w:rsidRPr="00377399">
        <w:rPr>
          <w:rFonts w:ascii="Times New Roman" w:hAnsi="Times New Roman" w:cs="Times New Roman"/>
          <w:sz w:val="28"/>
          <w:szCs w:val="28"/>
        </w:rPr>
        <w:t>с</w:t>
      </w:r>
      <w:r>
        <w:rPr>
          <w:rFonts w:ascii="Times New Roman" w:hAnsi="Times New Roman" w:cs="Times New Roman"/>
          <w:sz w:val="28"/>
          <w:szCs w:val="28"/>
        </w:rPr>
        <w:t xml:space="preserve"> показателями артериальной гипертензии у больных с диабетической нефропатией</w:t>
      </w:r>
      <w:r w:rsidRPr="00377399">
        <w:rPr>
          <w:rFonts w:ascii="Times New Roman" w:hAnsi="Times New Roman" w:cs="Times New Roman"/>
          <w:sz w:val="28"/>
          <w:szCs w:val="28"/>
        </w:rPr>
        <w:t>;</w:t>
      </w:r>
    </w:p>
    <w:p w:rsidR="00545400" w:rsidRDefault="00545400" w:rsidP="00545400">
      <w:pPr>
        <w:pStyle w:val="a5"/>
        <w:numPr>
          <w:ilvl w:val="0"/>
          <w:numId w:val="1"/>
        </w:numPr>
        <w:spacing w:before="24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Проследить связь между длительностью </w:t>
      </w:r>
      <w:r w:rsidRPr="00A54FFC">
        <w:rPr>
          <w:rFonts w:ascii="Times New Roman" w:hAnsi="Times New Roman" w:cs="Times New Roman"/>
          <w:sz w:val="28"/>
          <w:szCs w:val="28"/>
        </w:rPr>
        <w:t>получения заместительной почечной терапии</w:t>
      </w:r>
      <w:r>
        <w:rPr>
          <w:rFonts w:ascii="Times New Roman" w:hAnsi="Times New Roman" w:cs="Times New Roman"/>
          <w:sz w:val="28"/>
          <w:szCs w:val="28"/>
        </w:rPr>
        <w:t xml:space="preserve"> и показателями гликированного гемоглобина;</w:t>
      </w:r>
    </w:p>
    <w:p w:rsidR="00545400" w:rsidRDefault="00545400" w:rsidP="00545400">
      <w:pPr>
        <w:pStyle w:val="a5"/>
        <w:numPr>
          <w:ilvl w:val="0"/>
          <w:numId w:val="1"/>
        </w:numPr>
        <w:spacing w:before="240" w:line="360" w:lineRule="auto"/>
        <w:ind w:left="0" w:firstLine="709"/>
        <w:jc w:val="both"/>
        <w:rPr>
          <w:rFonts w:ascii="Times New Roman" w:hAnsi="Times New Roman" w:cs="Times New Roman"/>
          <w:sz w:val="28"/>
          <w:szCs w:val="28"/>
        </w:rPr>
      </w:pPr>
      <w:r w:rsidRPr="00377399">
        <w:rPr>
          <w:rFonts w:ascii="Times New Roman" w:hAnsi="Times New Roman" w:cs="Times New Roman"/>
          <w:sz w:val="28"/>
          <w:szCs w:val="28"/>
        </w:rPr>
        <w:t xml:space="preserve">Провести сравнительную оценку анемического синдрома </w:t>
      </w:r>
      <w:r>
        <w:rPr>
          <w:rFonts w:ascii="Times New Roman" w:hAnsi="Times New Roman" w:cs="Times New Roman"/>
          <w:sz w:val="28"/>
          <w:szCs w:val="28"/>
        </w:rPr>
        <w:t>у больных с диабетической нефропатией в зависимости от типа сахарного диабета</w:t>
      </w:r>
      <w:r w:rsidRPr="00377399">
        <w:rPr>
          <w:rFonts w:ascii="Times New Roman" w:hAnsi="Times New Roman" w:cs="Times New Roman"/>
          <w:sz w:val="28"/>
          <w:szCs w:val="28"/>
        </w:rPr>
        <w:t xml:space="preserve">; </w:t>
      </w:r>
    </w:p>
    <w:p w:rsidR="00545400" w:rsidRPr="00A54FFC" w:rsidRDefault="00545400" w:rsidP="00545400">
      <w:pPr>
        <w:pStyle w:val="a5"/>
        <w:numPr>
          <w:ilvl w:val="0"/>
          <w:numId w:val="1"/>
        </w:numPr>
        <w:spacing w:before="240" w:line="360" w:lineRule="auto"/>
        <w:ind w:left="0" w:firstLine="709"/>
        <w:jc w:val="both"/>
        <w:rPr>
          <w:rFonts w:ascii="Times New Roman" w:hAnsi="Times New Roman" w:cs="Times New Roman"/>
          <w:sz w:val="28"/>
          <w:szCs w:val="28"/>
        </w:rPr>
      </w:pPr>
      <w:r w:rsidRPr="00A54FFC">
        <w:rPr>
          <w:rFonts w:ascii="Times New Roman" w:hAnsi="Times New Roman" w:cs="Times New Roman"/>
          <w:sz w:val="28"/>
          <w:szCs w:val="28"/>
        </w:rPr>
        <w:t xml:space="preserve">Клиническая оценка эффективности гемодиализной и антианемической терапии на показатели гемоглобина. </w:t>
      </w:r>
    </w:p>
    <w:p w:rsidR="00545400" w:rsidRPr="00A54FFC" w:rsidRDefault="00545400" w:rsidP="00545400">
      <w:pPr>
        <w:spacing w:before="240" w:line="360" w:lineRule="auto"/>
        <w:ind w:firstLine="709"/>
        <w:jc w:val="both"/>
        <w:rPr>
          <w:rFonts w:ascii="Times New Roman" w:hAnsi="Times New Roman" w:cs="Times New Roman"/>
          <w:sz w:val="28"/>
          <w:szCs w:val="28"/>
        </w:rPr>
      </w:pPr>
      <w:r w:rsidRPr="00A54FFC">
        <w:rPr>
          <w:rFonts w:ascii="Times New Roman" w:hAnsi="Times New Roman" w:cs="Times New Roman"/>
          <w:sz w:val="28"/>
          <w:szCs w:val="28"/>
        </w:rPr>
        <w:t xml:space="preserve">Научная новизна данного исследования заключается в рассмотрении осложнений ведения больных с диабетической нефропатией, получающих лечение программным гемодиализом.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Принципиально важным моментом для ведения больных ДН является раннее прогнозирование факторов риска развития осложнений, связанных с получением больными заместительной терапии и своевременная их коррекция.  </w:t>
      </w:r>
    </w:p>
    <w:p w:rsidR="00545400" w:rsidRP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особенностей ведения исследуемых больных позволит оптимизировать режим заместительной гемодиализной терапии и снизить риск сердечно - сосудистой летальности. </w:t>
      </w:r>
    </w:p>
    <w:p w:rsidR="00545400" w:rsidRPr="00910307" w:rsidRDefault="00545400" w:rsidP="00545400">
      <w:pPr>
        <w:spacing w:before="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ОСНОВНАЯ ЧАСТЬ</w:t>
      </w:r>
    </w:p>
    <w:p w:rsidR="00545400" w:rsidRDefault="00545400" w:rsidP="00545400">
      <w:pPr>
        <w:spacing w:before="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1. ОБЗОР ЛИТЕРАТУРЫ</w:t>
      </w:r>
    </w:p>
    <w:p w:rsidR="00545400" w:rsidRDefault="00545400" w:rsidP="00545400">
      <w:pPr>
        <w:spacing w:before="240" w:line="360" w:lineRule="auto"/>
        <w:ind w:firstLine="709"/>
        <w:jc w:val="center"/>
        <w:rPr>
          <w:rFonts w:ascii="Times New Roman" w:hAnsi="Times New Roman" w:cs="Times New Roman"/>
          <w:b/>
          <w:sz w:val="28"/>
          <w:szCs w:val="28"/>
        </w:rPr>
      </w:pP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1998 года д</w:t>
      </w:r>
      <w:r w:rsidRPr="00DF22F8">
        <w:rPr>
          <w:rFonts w:ascii="Times New Roman" w:hAnsi="Times New Roman" w:cs="Times New Roman"/>
          <w:sz w:val="28"/>
          <w:szCs w:val="28"/>
        </w:rPr>
        <w:t xml:space="preserve">иабетическая нефропатия стала основной причиной хронического </w:t>
      </w:r>
      <w:r>
        <w:rPr>
          <w:rFonts w:ascii="Times New Roman" w:hAnsi="Times New Roman" w:cs="Times New Roman"/>
          <w:sz w:val="28"/>
          <w:szCs w:val="28"/>
        </w:rPr>
        <w:t>гемо</w:t>
      </w:r>
      <w:r w:rsidRPr="00DF22F8">
        <w:rPr>
          <w:rFonts w:ascii="Times New Roman" w:hAnsi="Times New Roman" w:cs="Times New Roman"/>
          <w:sz w:val="28"/>
          <w:szCs w:val="28"/>
        </w:rPr>
        <w:t>диализ</w:t>
      </w:r>
      <w:r>
        <w:rPr>
          <w:rFonts w:ascii="Times New Roman" w:hAnsi="Times New Roman" w:cs="Times New Roman"/>
          <w:sz w:val="28"/>
          <w:szCs w:val="28"/>
        </w:rPr>
        <w:t>а</w:t>
      </w:r>
      <w:r w:rsidRPr="00DF22F8">
        <w:rPr>
          <w:rFonts w:ascii="Times New Roman" w:hAnsi="Times New Roman" w:cs="Times New Roman"/>
          <w:sz w:val="28"/>
          <w:szCs w:val="28"/>
        </w:rPr>
        <w:t xml:space="preserve">. </w:t>
      </w:r>
      <w:r>
        <w:rPr>
          <w:rFonts w:ascii="Times New Roman" w:hAnsi="Times New Roman" w:cs="Times New Roman"/>
          <w:sz w:val="28"/>
          <w:szCs w:val="28"/>
        </w:rPr>
        <w:t xml:space="preserve">Диабетическая </w:t>
      </w:r>
      <w:r w:rsidRPr="00DF22F8">
        <w:rPr>
          <w:rFonts w:ascii="Times New Roman" w:hAnsi="Times New Roman" w:cs="Times New Roman"/>
          <w:sz w:val="28"/>
          <w:szCs w:val="28"/>
        </w:rPr>
        <w:t>нефропатия по-прежнему составляет значительную долю</w:t>
      </w:r>
      <w:r>
        <w:rPr>
          <w:rFonts w:ascii="Times New Roman" w:hAnsi="Times New Roman" w:cs="Times New Roman"/>
          <w:sz w:val="28"/>
          <w:szCs w:val="28"/>
        </w:rPr>
        <w:t xml:space="preserve"> </w:t>
      </w:r>
      <w:r w:rsidRPr="00DF22F8">
        <w:rPr>
          <w:rFonts w:ascii="Times New Roman" w:hAnsi="Times New Roman" w:cs="Times New Roman"/>
          <w:sz w:val="28"/>
          <w:szCs w:val="28"/>
        </w:rPr>
        <w:t>все</w:t>
      </w:r>
      <w:r>
        <w:rPr>
          <w:rFonts w:ascii="Times New Roman" w:hAnsi="Times New Roman" w:cs="Times New Roman"/>
          <w:sz w:val="28"/>
          <w:szCs w:val="28"/>
        </w:rPr>
        <w:t>х случаев</w:t>
      </w:r>
      <w:r w:rsidRPr="00DF22F8">
        <w:rPr>
          <w:rFonts w:ascii="Times New Roman" w:hAnsi="Times New Roman" w:cs="Times New Roman"/>
          <w:sz w:val="28"/>
          <w:szCs w:val="28"/>
        </w:rPr>
        <w:t xml:space="preserve"> хронической болезни почек (ХБП) и остается</w:t>
      </w:r>
      <w:r>
        <w:rPr>
          <w:rFonts w:ascii="Times New Roman" w:hAnsi="Times New Roman" w:cs="Times New Roman"/>
          <w:sz w:val="28"/>
          <w:szCs w:val="28"/>
        </w:rPr>
        <w:t xml:space="preserve"> одной из самых распространенных причин</w:t>
      </w:r>
      <w:r w:rsidRPr="00DF22F8">
        <w:rPr>
          <w:rFonts w:ascii="Times New Roman" w:hAnsi="Times New Roman" w:cs="Times New Roman"/>
          <w:sz w:val="28"/>
          <w:szCs w:val="28"/>
        </w:rPr>
        <w:t xml:space="preserve"> хронического </w:t>
      </w:r>
      <w:r>
        <w:rPr>
          <w:rFonts w:ascii="Times New Roman" w:hAnsi="Times New Roman" w:cs="Times New Roman"/>
          <w:sz w:val="28"/>
          <w:szCs w:val="28"/>
        </w:rPr>
        <w:t>гемо</w:t>
      </w:r>
      <w:r w:rsidRPr="00DF22F8">
        <w:rPr>
          <w:rFonts w:ascii="Times New Roman" w:hAnsi="Times New Roman" w:cs="Times New Roman"/>
          <w:sz w:val="28"/>
          <w:szCs w:val="28"/>
        </w:rPr>
        <w:t>диализа</w:t>
      </w:r>
      <w:r>
        <w:rPr>
          <w:rFonts w:ascii="Times New Roman" w:hAnsi="Times New Roman" w:cs="Times New Roman"/>
          <w:sz w:val="28"/>
          <w:szCs w:val="28"/>
        </w:rPr>
        <w:t xml:space="preserve"> среди всех заболеваний почек [2</w:t>
      </w:r>
      <w:r w:rsidRPr="00DF22F8">
        <w:rPr>
          <w:rFonts w:ascii="Times New Roman" w:hAnsi="Times New Roman" w:cs="Times New Roman"/>
          <w:sz w:val="28"/>
          <w:szCs w:val="28"/>
        </w:rPr>
        <w:t>], что приводит к</w:t>
      </w:r>
      <w:r>
        <w:rPr>
          <w:rFonts w:ascii="Times New Roman" w:hAnsi="Times New Roman" w:cs="Times New Roman"/>
          <w:sz w:val="28"/>
          <w:szCs w:val="28"/>
        </w:rPr>
        <w:t xml:space="preserve"> </w:t>
      </w:r>
      <w:r w:rsidRPr="00DF22F8">
        <w:rPr>
          <w:rFonts w:ascii="Times New Roman" w:hAnsi="Times New Roman" w:cs="Times New Roman"/>
          <w:sz w:val="28"/>
          <w:szCs w:val="28"/>
        </w:rPr>
        <w:t>рост</w:t>
      </w:r>
      <w:r>
        <w:rPr>
          <w:rFonts w:ascii="Times New Roman" w:hAnsi="Times New Roman" w:cs="Times New Roman"/>
          <w:sz w:val="28"/>
          <w:szCs w:val="28"/>
        </w:rPr>
        <w:t>у</w:t>
      </w:r>
      <w:r w:rsidRPr="00DF22F8">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экономических </w:t>
      </w:r>
      <w:r w:rsidRPr="00DF22F8">
        <w:rPr>
          <w:rFonts w:ascii="Times New Roman" w:hAnsi="Times New Roman" w:cs="Times New Roman"/>
          <w:sz w:val="28"/>
          <w:szCs w:val="28"/>
        </w:rPr>
        <w:t>р</w:t>
      </w:r>
      <w:r>
        <w:rPr>
          <w:rFonts w:ascii="Times New Roman" w:hAnsi="Times New Roman" w:cs="Times New Roman"/>
          <w:sz w:val="28"/>
          <w:szCs w:val="28"/>
        </w:rPr>
        <w:t xml:space="preserve">асходов в здравоохранение и </w:t>
      </w:r>
      <w:r w:rsidRPr="00DF22F8">
        <w:rPr>
          <w:rFonts w:ascii="Times New Roman" w:hAnsi="Times New Roman" w:cs="Times New Roman"/>
          <w:sz w:val="28"/>
          <w:szCs w:val="28"/>
        </w:rPr>
        <w:t xml:space="preserve">представляет собой неотъемлемую медико-социальную проблему, представляющую </w:t>
      </w:r>
      <w:r>
        <w:rPr>
          <w:rFonts w:ascii="Times New Roman" w:hAnsi="Times New Roman" w:cs="Times New Roman"/>
          <w:sz w:val="28"/>
          <w:szCs w:val="28"/>
        </w:rPr>
        <w:t xml:space="preserve">на сегодняшний день высокий </w:t>
      </w:r>
      <w:r w:rsidRPr="00DF22F8">
        <w:rPr>
          <w:rFonts w:ascii="Times New Roman" w:hAnsi="Times New Roman" w:cs="Times New Roman"/>
          <w:sz w:val="28"/>
          <w:szCs w:val="28"/>
        </w:rPr>
        <w:t>интерес.</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Целый ряд научных исследований обосновали данные свидетельствующие, что п</w:t>
      </w:r>
      <w:r w:rsidRPr="00D76874">
        <w:rPr>
          <w:rFonts w:ascii="Times New Roman" w:hAnsi="Times New Roman" w:cs="Times New Roman"/>
          <w:sz w:val="28"/>
          <w:szCs w:val="28"/>
        </w:rPr>
        <w:t>очечные и сердечно-сосудис</w:t>
      </w:r>
      <w:r>
        <w:rPr>
          <w:rFonts w:ascii="Times New Roman" w:hAnsi="Times New Roman" w:cs="Times New Roman"/>
          <w:sz w:val="28"/>
          <w:szCs w:val="28"/>
        </w:rPr>
        <w:t>тые события и смертность от этих</w:t>
      </w:r>
      <w:r w:rsidRPr="00D76874">
        <w:rPr>
          <w:rFonts w:ascii="Times New Roman" w:hAnsi="Times New Roman" w:cs="Times New Roman"/>
          <w:sz w:val="28"/>
          <w:szCs w:val="28"/>
        </w:rPr>
        <w:t xml:space="preserve"> п</w:t>
      </w:r>
      <w:r>
        <w:rPr>
          <w:rFonts w:ascii="Times New Roman" w:hAnsi="Times New Roman" w:cs="Times New Roman"/>
          <w:sz w:val="28"/>
          <w:szCs w:val="28"/>
        </w:rPr>
        <w:t>ричин значительно чаще встречаются у пациентов с микро- или макроальбуминурией</w:t>
      </w:r>
      <w:r w:rsidRPr="00D76874">
        <w:rPr>
          <w:rFonts w:ascii="Times New Roman" w:hAnsi="Times New Roman" w:cs="Times New Roman"/>
          <w:sz w:val="28"/>
          <w:szCs w:val="28"/>
        </w:rPr>
        <w:t xml:space="preserve"> по сравнению с наблюдаемой</w:t>
      </w:r>
      <w:r>
        <w:rPr>
          <w:rFonts w:ascii="Times New Roman" w:hAnsi="Times New Roman" w:cs="Times New Roman"/>
          <w:sz w:val="28"/>
          <w:szCs w:val="28"/>
        </w:rPr>
        <w:t xml:space="preserve"> группой</w:t>
      </w:r>
      <w:r w:rsidRPr="00D76874">
        <w:rPr>
          <w:rFonts w:ascii="Times New Roman" w:hAnsi="Times New Roman" w:cs="Times New Roman"/>
          <w:sz w:val="28"/>
          <w:szCs w:val="28"/>
        </w:rPr>
        <w:t xml:space="preserve"> с нормоальбуминурией</w:t>
      </w:r>
      <w:r>
        <w:rPr>
          <w:rFonts w:ascii="Times New Roman" w:hAnsi="Times New Roman" w:cs="Times New Roman"/>
          <w:sz w:val="28"/>
          <w:szCs w:val="28"/>
        </w:rPr>
        <w:t xml:space="preserve"> при СКФ меньше </w:t>
      </w:r>
      <w:r w:rsidRPr="00A8215C">
        <w:rPr>
          <w:rFonts w:ascii="Times New Roman" w:hAnsi="Times New Roman" w:cs="Times New Roman"/>
          <w:sz w:val="28"/>
          <w:szCs w:val="28"/>
        </w:rPr>
        <w:t>60 мл / мин / 1,73</w:t>
      </w:r>
      <w:r>
        <w:rPr>
          <w:rFonts w:ascii="Times New Roman" w:hAnsi="Times New Roman" w:cs="Times New Roman"/>
          <w:sz w:val="28"/>
          <w:szCs w:val="28"/>
        </w:rPr>
        <w:t xml:space="preserve"> что говорит о том, что для профилактики и ранней диагностики важно определение данных показателей для лиц группы риска. </w:t>
      </w:r>
    </w:p>
    <w:p w:rsidR="00545400" w:rsidRPr="006B5D3F" w:rsidRDefault="00545400" w:rsidP="00545400">
      <w:pPr>
        <w:spacing w:before="240" w:line="360" w:lineRule="auto"/>
        <w:ind w:firstLine="709"/>
        <w:jc w:val="both"/>
        <w:rPr>
          <w:rFonts w:ascii="Times New Roman" w:hAnsi="Times New Roman" w:cs="Times New Roman"/>
          <w:sz w:val="28"/>
          <w:szCs w:val="28"/>
        </w:rPr>
      </w:pPr>
      <w:r w:rsidRPr="006B5D3F">
        <w:rPr>
          <w:rFonts w:ascii="Times New Roman" w:hAnsi="Times New Roman" w:cs="Times New Roman"/>
          <w:sz w:val="28"/>
          <w:szCs w:val="28"/>
        </w:rPr>
        <w:t xml:space="preserve">В то время как ДН является основной причиной почечной недостаточности, нуждающейся в </w:t>
      </w:r>
      <w:r>
        <w:rPr>
          <w:rFonts w:ascii="Times New Roman" w:hAnsi="Times New Roman" w:cs="Times New Roman"/>
          <w:sz w:val="28"/>
          <w:szCs w:val="28"/>
        </w:rPr>
        <w:t>з</w:t>
      </w:r>
      <w:r w:rsidRPr="006B5D3F">
        <w:rPr>
          <w:rFonts w:ascii="Times New Roman" w:hAnsi="Times New Roman" w:cs="Times New Roman"/>
          <w:sz w:val="28"/>
          <w:szCs w:val="28"/>
        </w:rPr>
        <w:t xml:space="preserve">аместительная почечной </w:t>
      </w:r>
      <w:r>
        <w:rPr>
          <w:rFonts w:ascii="Times New Roman" w:hAnsi="Times New Roman" w:cs="Times New Roman"/>
          <w:sz w:val="28"/>
          <w:szCs w:val="28"/>
        </w:rPr>
        <w:t>терапии</w:t>
      </w:r>
      <w:r w:rsidRPr="006B5D3F">
        <w:rPr>
          <w:rFonts w:ascii="Times New Roman" w:hAnsi="Times New Roman" w:cs="Times New Roman"/>
          <w:sz w:val="28"/>
          <w:szCs w:val="28"/>
        </w:rPr>
        <w:t xml:space="preserve"> </w:t>
      </w:r>
      <w:r>
        <w:rPr>
          <w:rFonts w:ascii="Times New Roman" w:hAnsi="Times New Roman" w:cs="Times New Roman"/>
          <w:sz w:val="28"/>
          <w:szCs w:val="28"/>
        </w:rPr>
        <w:t xml:space="preserve">в большинстве стран </w:t>
      </w:r>
      <w:r w:rsidRPr="006B5D3F">
        <w:rPr>
          <w:rFonts w:ascii="Times New Roman" w:hAnsi="Times New Roman" w:cs="Times New Roman"/>
          <w:sz w:val="28"/>
          <w:szCs w:val="28"/>
        </w:rPr>
        <w:t>мира, понимание ее патогенеза остается неясным и сложным.</w:t>
      </w:r>
    </w:p>
    <w:p w:rsidR="00545400" w:rsidRDefault="00545400" w:rsidP="00545400">
      <w:pPr>
        <w:spacing w:before="240" w:line="360" w:lineRule="auto"/>
        <w:ind w:firstLine="709"/>
        <w:jc w:val="both"/>
        <w:rPr>
          <w:rFonts w:ascii="Times New Roman" w:hAnsi="Times New Roman" w:cs="Times New Roman"/>
          <w:sz w:val="28"/>
          <w:szCs w:val="28"/>
        </w:rPr>
      </w:pPr>
      <w:r w:rsidRPr="006B5D3F">
        <w:rPr>
          <w:rFonts w:ascii="Times New Roman" w:hAnsi="Times New Roman" w:cs="Times New Roman"/>
          <w:sz w:val="28"/>
          <w:szCs w:val="28"/>
        </w:rPr>
        <w:t>Гемодинамические и метаболические факторы, которые вызывают</w:t>
      </w:r>
      <w:r>
        <w:rPr>
          <w:rFonts w:ascii="Times New Roman" w:hAnsi="Times New Roman" w:cs="Times New Roman"/>
          <w:sz w:val="28"/>
          <w:szCs w:val="28"/>
        </w:rPr>
        <w:t xml:space="preserve"> функциональные нарушения почек </w:t>
      </w:r>
      <w:r w:rsidRPr="006B5D3F">
        <w:rPr>
          <w:rFonts w:ascii="Times New Roman" w:hAnsi="Times New Roman" w:cs="Times New Roman"/>
          <w:sz w:val="28"/>
          <w:szCs w:val="28"/>
        </w:rPr>
        <w:t xml:space="preserve">при </w:t>
      </w:r>
      <w:r>
        <w:rPr>
          <w:rFonts w:ascii="Times New Roman" w:hAnsi="Times New Roman" w:cs="Times New Roman"/>
          <w:sz w:val="28"/>
          <w:szCs w:val="28"/>
        </w:rPr>
        <w:t xml:space="preserve">сахарном </w:t>
      </w:r>
      <w:r w:rsidRPr="006B5D3F">
        <w:rPr>
          <w:rFonts w:ascii="Times New Roman" w:hAnsi="Times New Roman" w:cs="Times New Roman"/>
          <w:sz w:val="28"/>
          <w:szCs w:val="28"/>
        </w:rPr>
        <w:t>диабете приводят к ранним изменениям в структуре</w:t>
      </w:r>
      <w:r>
        <w:rPr>
          <w:rFonts w:ascii="Times New Roman" w:hAnsi="Times New Roman" w:cs="Times New Roman"/>
          <w:sz w:val="28"/>
          <w:szCs w:val="28"/>
        </w:rPr>
        <w:t xml:space="preserve"> </w:t>
      </w:r>
      <w:r w:rsidRPr="006B5D3F">
        <w:rPr>
          <w:rFonts w:ascii="Times New Roman" w:hAnsi="Times New Roman" w:cs="Times New Roman"/>
          <w:sz w:val="28"/>
          <w:szCs w:val="28"/>
        </w:rPr>
        <w:t xml:space="preserve">и функция </w:t>
      </w:r>
      <w:r>
        <w:rPr>
          <w:rFonts w:ascii="Times New Roman" w:hAnsi="Times New Roman" w:cs="Times New Roman"/>
          <w:sz w:val="28"/>
          <w:szCs w:val="28"/>
        </w:rPr>
        <w:t xml:space="preserve">подоцитов, </w:t>
      </w:r>
      <w:r w:rsidRPr="006B5D3F">
        <w:rPr>
          <w:rFonts w:ascii="Times New Roman" w:hAnsi="Times New Roman" w:cs="Times New Roman"/>
          <w:sz w:val="28"/>
          <w:szCs w:val="28"/>
        </w:rPr>
        <w:t>в</w:t>
      </w:r>
      <w:r>
        <w:rPr>
          <w:rFonts w:ascii="Times New Roman" w:hAnsi="Times New Roman" w:cs="Times New Roman"/>
          <w:sz w:val="28"/>
          <w:szCs w:val="28"/>
        </w:rPr>
        <w:t xml:space="preserve"> частности</w:t>
      </w:r>
      <w:r w:rsidRPr="00680893">
        <w:rPr>
          <w:rFonts w:ascii="Times New Roman" w:hAnsi="Times New Roman" w:cs="Times New Roman"/>
          <w:sz w:val="28"/>
          <w:szCs w:val="28"/>
        </w:rPr>
        <w:t>,</w:t>
      </w:r>
      <w:r>
        <w:rPr>
          <w:rFonts w:ascii="Times New Roman" w:hAnsi="Times New Roman" w:cs="Times New Roman"/>
          <w:sz w:val="28"/>
          <w:szCs w:val="28"/>
        </w:rPr>
        <w:t xml:space="preserve"> к </w:t>
      </w:r>
      <w:r w:rsidRPr="006B5D3F">
        <w:rPr>
          <w:rFonts w:ascii="Times New Roman" w:hAnsi="Times New Roman" w:cs="Times New Roman"/>
          <w:sz w:val="28"/>
          <w:szCs w:val="28"/>
        </w:rPr>
        <w:t xml:space="preserve">гломерулосклерозу. </w:t>
      </w:r>
      <w:r>
        <w:rPr>
          <w:rFonts w:ascii="Times New Roman" w:hAnsi="Times New Roman" w:cs="Times New Roman"/>
          <w:sz w:val="28"/>
          <w:szCs w:val="28"/>
        </w:rPr>
        <w:t xml:space="preserve"> </w:t>
      </w:r>
    </w:p>
    <w:p w:rsidR="00545400" w:rsidRPr="00160DE0" w:rsidRDefault="00545400" w:rsidP="00545400">
      <w:pPr>
        <w:spacing w:before="240" w:line="360" w:lineRule="auto"/>
        <w:ind w:firstLine="709"/>
        <w:jc w:val="both"/>
        <w:rPr>
          <w:rFonts w:ascii="Times New Roman" w:hAnsi="Times New Roman" w:cs="Times New Roman"/>
          <w:sz w:val="28"/>
          <w:szCs w:val="28"/>
        </w:rPr>
      </w:pPr>
    </w:p>
    <w:p w:rsidR="00545400" w:rsidRPr="001E4347" w:rsidRDefault="00545400" w:rsidP="00545400">
      <w:pPr>
        <w:spacing w:before="240" w:line="360" w:lineRule="auto"/>
        <w:ind w:firstLine="709"/>
        <w:jc w:val="center"/>
        <w:rPr>
          <w:rFonts w:ascii="Times New Roman" w:hAnsi="Times New Roman" w:cs="Times New Roman"/>
          <w:b/>
          <w:sz w:val="28"/>
          <w:szCs w:val="28"/>
        </w:rPr>
      </w:pPr>
      <w:r w:rsidRPr="001E4347">
        <w:rPr>
          <w:rFonts w:ascii="Times New Roman" w:hAnsi="Times New Roman" w:cs="Times New Roman"/>
          <w:b/>
          <w:sz w:val="28"/>
          <w:szCs w:val="28"/>
        </w:rPr>
        <w:t>Эпидемиология</w:t>
      </w:r>
      <w:r>
        <w:rPr>
          <w:rFonts w:ascii="Times New Roman" w:hAnsi="Times New Roman" w:cs="Times New Roman"/>
          <w:b/>
          <w:sz w:val="28"/>
          <w:szCs w:val="28"/>
        </w:rPr>
        <w:t xml:space="preserve"> диабетической нефропатии</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4347">
        <w:rPr>
          <w:rFonts w:ascii="Times New Roman" w:hAnsi="Times New Roman" w:cs="Times New Roman"/>
          <w:sz w:val="28"/>
          <w:szCs w:val="28"/>
        </w:rPr>
        <w:t>В целом, численность больных сахарным диабетом в Российской Федерации по данным 2007-2017гг растет и составляет 4 498 955(</w:t>
      </w:r>
      <w:r>
        <w:rPr>
          <w:rFonts w:ascii="Times New Roman" w:hAnsi="Times New Roman" w:cs="Times New Roman"/>
          <w:sz w:val="28"/>
          <w:szCs w:val="28"/>
        </w:rPr>
        <w:t>3,06 % всего населения страны).</w:t>
      </w:r>
      <w:r w:rsidRPr="001E4347">
        <w:rPr>
          <w:rFonts w:ascii="Times New Roman" w:hAnsi="Times New Roman" w:cs="Times New Roman"/>
          <w:sz w:val="28"/>
          <w:szCs w:val="28"/>
        </w:rPr>
        <w:t xml:space="preserve"> </w:t>
      </w:r>
      <w:r>
        <w:rPr>
          <w:rFonts w:ascii="Times New Roman" w:hAnsi="Times New Roman" w:cs="Times New Roman"/>
          <w:sz w:val="28"/>
          <w:szCs w:val="28"/>
        </w:rPr>
        <w:t>При этом на долю СД 2 типа приходится – 92,1% (4,15 млн). Среди женского населения СД 2 типа встречается существенно чаще (71%), чем среди мужского пола (29%), а по мере увеличения возраста имеется тенденция к снижению доли мужчин</w:t>
      </w:r>
      <w:r w:rsidRPr="00E5563B">
        <w:rPr>
          <w:rFonts w:ascii="Times New Roman" w:hAnsi="Times New Roman" w:cs="Times New Roman"/>
          <w:sz w:val="28"/>
          <w:szCs w:val="28"/>
        </w:rPr>
        <w:t xml:space="preserve"> [1]</w:t>
      </w:r>
      <w:r>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возраст дебюта сахарного диабета 2 типа может наблюдаться в любом возрасте, но по данным исследованиям 2017 составила в среднем 57,8 лет, при этом в </w:t>
      </w:r>
      <w:r w:rsidRPr="00BD31F5">
        <w:rPr>
          <w:rFonts w:ascii="Times New Roman" w:hAnsi="Times New Roman" w:cs="Times New Roman"/>
          <w:sz w:val="28"/>
          <w:szCs w:val="28"/>
        </w:rPr>
        <w:t>последние 5 лет отмечалось снижение количества</w:t>
      </w:r>
      <w:r>
        <w:rPr>
          <w:rFonts w:ascii="Times New Roman" w:hAnsi="Times New Roman" w:cs="Times New Roman"/>
          <w:sz w:val="28"/>
          <w:szCs w:val="28"/>
        </w:rPr>
        <w:t xml:space="preserve"> новых «регистрируемых» случаев</w:t>
      </w:r>
      <w:r w:rsidRPr="00520D25">
        <w:rPr>
          <w:rFonts w:ascii="Times New Roman" w:hAnsi="Times New Roman" w:cs="Times New Roman"/>
          <w:sz w:val="28"/>
          <w:szCs w:val="28"/>
        </w:rPr>
        <w:t xml:space="preserve"> [2,3]</w:t>
      </w:r>
      <w:r w:rsidRPr="00BD31F5">
        <w:rPr>
          <w:rFonts w:ascii="Times New Roman" w:hAnsi="Times New Roman" w:cs="Times New Roman"/>
          <w:sz w:val="28"/>
          <w:szCs w:val="28"/>
        </w:rPr>
        <w:t>.</w:t>
      </w:r>
      <w:r>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12A24">
        <w:rPr>
          <w:rFonts w:ascii="Times New Roman" w:hAnsi="Times New Roman" w:cs="Times New Roman"/>
          <w:sz w:val="28"/>
          <w:szCs w:val="28"/>
        </w:rPr>
        <w:t>ричин</w:t>
      </w:r>
      <w:r>
        <w:rPr>
          <w:rFonts w:ascii="Times New Roman" w:hAnsi="Times New Roman" w:cs="Times New Roman"/>
          <w:sz w:val="28"/>
          <w:szCs w:val="28"/>
        </w:rPr>
        <w:t>ами</w:t>
      </w:r>
      <w:r w:rsidRPr="00512A24">
        <w:rPr>
          <w:rFonts w:ascii="Times New Roman" w:hAnsi="Times New Roman" w:cs="Times New Roman"/>
          <w:sz w:val="28"/>
          <w:szCs w:val="28"/>
        </w:rPr>
        <w:t xml:space="preserve"> смерти пациентов с СД, по данным 2017 г., ведущие позиции продолжает занимать патология </w:t>
      </w:r>
      <w:r>
        <w:rPr>
          <w:rFonts w:ascii="Times New Roman" w:hAnsi="Times New Roman" w:cs="Times New Roman"/>
          <w:sz w:val="28"/>
          <w:szCs w:val="28"/>
        </w:rPr>
        <w:t>сердечно-сосудистой системы, хроническая болезнь почек в терминальной стадии поражения занимает 6-е место</w:t>
      </w:r>
      <w:r w:rsidRPr="00520D25">
        <w:rPr>
          <w:rFonts w:ascii="Times New Roman" w:hAnsi="Times New Roman" w:cs="Times New Roman"/>
          <w:sz w:val="28"/>
          <w:szCs w:val="28"/>
        </w:rPr>
        <w:t>[1]</w:t>
      </w:r>
      <w:r>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Микроальбуминурия, как первый клинический признак поражения почек, развивается у 20-30 % больных СД 1 типа в среднем через 15 лет после манифестации, а терминальную стадию ХБП через 20-30 лет с момента постановки диагноза СД 1 выявляют у 4-17% больных</w:t>
      </w:r>
      <w:r w:rsidRPr="00520D25">
        <w:rPr>
          <w:rFonts w:ascii="Times New Roman" w:hAnsi="Times New Roman" w:cs="Times New Roman"/>
          <w:sz w:val="28"/>
          <w:szCs w:val="28"/>
        </w:rPr>
        <w:t xml:space="preserve"> [5]</w:t>
      </w:r>
      <w:r>
        <w:rPr>
          <w:rFonts w:ascii="Times New Roman" w:hAnsi="Times New Roman" w:cs="Times New Roman"/>
          <w:sz w:val="28"/>
          <w:szCs w:val="28"/>
        </w:rPr>
        <w:t>. Тенденция к прогрессированию наблюдается для пациентов сахарным диабетом 2 типа в течении 10 лет и составил 40% с начала манифестации заболевания</w:t>
      </w:r>
      <w:r w:rsidRPr="00520D25">
        <w:rPr>
          <w:rFonts w:ascii="Times New Roman" w:hAnsi="Times New Roman" w:cs="Times New Roman"/>
          <w:sz w:val="28"/>
          <w:szCs w:val="28"/>
        </w:rPr>
        <w:t xml:space="preserve"> [6]</w:t>
      </w:r>
      <w:r>
        <w:rPr>
          <w:rFonts w:ascii="Times New Roman" w:hAnsi="Times New Roman" w:cs="Times New Roman"/>
          <w:sz w:val="28"/>
          <w:szCs w:val="28"/>
        </w:rPr>
        <w:t>.</w:t>
      </w:r>
    </w:p>
    <w:p w:rsidR="00545400" w:rsidRDefault="00545400" w:rsidP="00545400">
      <w:pPr>
        <w:spacing w:before="240" w:line="360" w:lineRule="auto"/>
        <w:ind w:firstLine="709"/>
        <w:jc w:val="both"/>
        <w:rPr>
          <w:rFonts w:ascii="Times New Roman" w:hAnsi="Times New Roman" w:cs="Times New Roman"/>
          <w:sz w:val="28"/>
          <w:szCs w:val="28"/>
        </w:rPr>
      </w:pPr>
    </w:p>
    <w:p w:rsidR="00545400" w:rsidRPr="00A8747C" w:rsidRDefault="00545400" w:rsidP="00545400">
      <w:pPr>
        <w:spacing w:before="240" w:line="360" w:lineRule="auto"/>
        <w:jc w:val="center"/>
        <w:rPr>
          <w:rFonts w:ascii="Times New Roman" w:hAnsi="Times New Roman" w:cs="Times New Roman"/>
          <w:b/>
          <w:sz w:val="28"/>
          <w:szCs w:val="28"/>
        </w:rPr>
      </w:pPr>
      <w:r w:rsidRPr="00A8747C">
        <w:rPr>
          <w:rFonts w:ascii="Times New Roman" w:hAnsi="Times New Roman" w:cs="Times New Roman"/>
          <w:b/>
          <w:sz w:val="28"/>
          <w:szCs w:val="28"/>
        </w:rPr>
        <w:t>Патогенез диабетической нефропатии</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2A46">
        <w:rPr>
          <w:rFonts w:ascii="Times New Roman" w:hAnsi="Times New Roman" w:cs="Times New Roman"/>
          <w:sz w:val="28"/>
          <w:szCs w:val="28"/>
        </w:rPr>
        <w:t>Имея некоторые данные о механизмах развития воспалительного процесса, можно своевременно выявить и спрогнозировать риск возникновения и прогрессирования диабети</w:t>
      </w:r>
      <w:r>
        <w:rPr>
          <w:rFonts w:ascii="Times New Roman" w:hAnsi="Times New Roman" w:cs="Times New Roman"/>
          <w:sz w:val="28"/>
          <w:szCs w:val="28"/>
        </w:rPr>
        <w:t>ческого поражения почек</w:t>
      </w:r>
      <w:r w:rsidRPr="00BC2A46">
        <w:rPr>
          <w:rFonts w:ascii="Times New Roman" w:hAnsi="Times New Roman" w:cs="Times New Roman"/>
          <w:sz w:val="28"/>
          <w:szCs w:val="28"/>
        </w:rPr>
        <w:t>.</w:t>
      </w:r>
      <w:r w:rsidRPr="00201243">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sz w:val="28"/>
          <w:szCs w:val="28"/>
        </w:rPr>
        <w:lastRenderedPageBreak/>
        <w:t>сегодняшний день предложено несколько теорий патогенеза диабетической нефропатии, наиболее изучены три из них</w:t>
      </w:r>
      <w:r w:rsidRPr="00520D25">
        <w:rPr>
          <w:rFonts w:ascii="Times New Roman" w:hAnsi="Times New Roman" w:cs="Times New Roman"/>
          <w:sz w:val="28"/>
          <w:szCs w:val="28"/>
        </w:rPr>
        <w:t xml:space="preserve"> [7]</w:t>
      </w:r>
      <w:r>
        <w:rPr>
          <w:rFonts w:ascii="Times New Roman" w:hAnsi="Times New Roman" w:cs="Times New Roman"/>
          <w:sz w:val="28"/>
          <w:szCs w:val="28"/>
        </w:rPr>
        <w:t>:</w:t>
      </w:r>
    </w:p>
    <w:p w:rsidR="00545400" w:rsidRPr="0097087C" w:rsidRDefault="00545400" w:rsidP="00545400">
      <w:pPr>
        <w:pStyle w:val="a5"/>
        <w:spacing w:before="240" w:line="360" w:lineRule="auto"/>
        <w:ind w:left="709"/>
        <w:jc w:val="both"/>
        <w:rPr>
          <w:rFonts w:ascii="Times New Roman" w:hAnsi="Times New Roman" w:cs="Times New Roman"/>
          <w:b/>
          <w:i/>
          <w:sz w:val="28"/>
          <w:szCs w:val="28"/>
        </w:rPr>
      </w:pPr>
      <w:r w:rsidRPr="0097087C">
        <w:rPr>
          <w:rFonts w:ascii="Times New Roman" w:hAnsi="Times New Roman" w:cs="Times New Roman"/>
          <w:b/>
          <w:i/>
          <w:sz w:val="28"/>
          <w:szCs w:val="28"/>
        </w:rPr>
        <w:t xml:space="preserve">Генетическая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Основополагающее исследование Seaquist, проведенное уже в 1989 году, доказало, что предрасполагающим фактором риска для начала развития диабетической нефропатии является наличие генетической отягощённости по болезням почек в семейном анамнезе. </w:t>
      </w:r>
      <w:r w:rsidRPr="00E942A8">
        <w:rPr>
          <w:rFonts w:ascii="Times New Roman" w:hAnsi="Times New Roman" w:cs="Times New Roman"/>
          <w:sz w:val="28"/>
          <w:szCs w:val="28"/>
        </w:rPr>
        <w:t>Исследователи определили а</w:t>
      </w:r>
      <w:r>
        <w:rPr>
          <w:rFonts w:ascii="Times New Roman" w:hAnsi="Times New Roman" w:cs="Times New Roman"/>
          <w:sz w:val="28"/>
          <w:szCs w:val="28"/>
        </w:rPr>
        <w:t>ссоциации генов, восприимчивых к диабетической нефропатии у больных СД 1типа в локусах генов FRMD3 и CARS [8</w:t>
      </w:r>
      <w:r w:rsidRPr="00E5563B">
        <w:rPr>
          <w:rFonts w:ascii="Times New Roman" w:hAnsi="Times New Roman" w:cs="Times New Roman"/>
          <w:sz w:val="28"/>
          <w:szCs w:val="28"/>
        </w:rPr>
        <w:t>]</w:t>
      </w:r>
      <w:r>
        <w:rPr>
          <w:rFonts w:ascii="Times New Roman" w:hAnsi="Times New Roman" w:cs="Times New Roman"/>
          <w:sz w:val="28"/>
          <w:szCs w:val="28"/>
        </w:rPr>
        <w:t xml:space="preserve">. </w:t>
      </w:r>
    </w:p>
    <w:p w:rsidR="00545400" w:rsidRPr="0097087C" w:rsidRDefault="00545400" w:rsidP="00545400">
      <w:pPr>
        <w:spacing w:before="240" w:line="360" w:lineRule="auto"/>
        <w:jc w:val="both"/>
        <w:rPr>
          <w:rFonts w:ascii="Times New Roman" w:hAnsi="Times New Roman" w:cs="Times New Roman"/>
          <w:b/>
          <w:i/>
          <w:sz w:val="28"/>
          <w:szCs w:val="28"/>
        </w:rPr>
      </w:pPr>
      <w:r w:rsidRPr="0097087C">
        <w:rPr>
          <w:rFonts w:ascii="Times New Roman" w:hAnsi="Times New Roman" w:cs="Times New Roman"/>
          <w:b/>
          <w:i/>
          <w:sz w:val="28"/>
          <w:szCs w:val="28"/>
        </w:rPr>
        <w:t xml:space="preserve">         Метаболическая и гемодинамическая </w:t>
      </w:r>
    </w:p>
    <w:p w:rsidR="00545400" w:rsidRDefault="00545400" w:rsidP="00545400">
      <w:pPr>
        <w:spacing w:before="240" w:line="360" w:lineRule="auto"/>
        <w:ind w:firstLine="709"/>
        <w:jc w:val="both"/>
        <w:rPr>
          <w:rFonts w:ascii="Times New Roman" w:hAnsi="Times New Roman" w:cs="Times New Roman"/>
          <w:sz w:val="28"/>
          <w:szCs w:val="28"/>
        </w:rPr>
      </w:pPr>
      <w:r w:rsidRPr="00E5563B">
        <w:rPr>
          <w:rFonts w:ascii="Times New Roman" w:hAnsi="Times New Roman" w:cs="Times New Roman"/>
          <w:sz w:val="28"/>
          <w:szCs w:val="28"/>
        </w:rPr>
        <w:t>В патогенезе развития структурного повреждения почек у пациентов с сахарным диабетом роль пускового механизма отводится гипергликемии. Исследования in vitro продемонстрировали, что гипергликемия индуцирует производство матрикса мез</w:t>
      </w:r>
      <w:r>
        <w:rPr>
          <w:rFonts w:ascii="Times New Roman" w:hAnsi="Times New Roman" w:cs="Times New Roman"/>
          <w:sz w:val="28"/>
          <w:szCs w:val="28"/>
        </w:rPr>
        <w:t>ангиальных клеток и их апоптоз</w:t>
      </w:r>
      <w:r w:rsidRPr="00E5563B">
        <w:rPr>
          <w:rFonts w:ascii="Times New Roman" w:hAnsi="Times New Roman" w:cs="Times New Roman"/>
          <w:sz w:val="28"/>
          <w:szCs w:val="28"/>
        </w:rPr>
        <w:t xml:space="preserve"> затем, в следствии длительного процесса, постепенно снижаются специфические функции органов и тканей: аномалии гомеостаза кровотока и нарушение проницаемости сосудов в почечных клубочках. Увеличение давления внутрикапиллярного кровотока приводит к снижению продукции оксида азота и, в конечном итоге, способствует повышению чувствительности к ангиотензину II. На ранних стадиях повышенная проницаемость обратима, но при постоянном пусковом эффекте гипергликемии поражения становятся необратимыми</w:t>
      </w:r>
      <w:r>
        <w:rPr>
          <w:rFonts w:ascii="Times New Roman" w:hAnsi="Times New Roman" w:cs="Times New Roman"/>
          <w:sz w:val="28"/>
          <w:szCs w:val="28"/>
        </w:rPr>
        <w:t xml:space="preserve"> [</w:t>
      </w:r>
      <w:r w:rsidRPr="00520D25">
        <w:rPr>
          <w:rFonts w:ascii="Times New Roman" w:hAnsi="Times New Roman" w:cs="Times New Roman"/>
          <w:sz w:val="28"/>
          <w:szCs w:val="28"/>
        </w:rPr>
        <w:t>8,</w:t>
      </w:r>
      <w:r>
        <w:rPr>
          <w:rFonts w:ascii="Times New Roman" w:hAnsi="Times New Roman" w:cs="Times New Roman"/>
          <w:sz w:val="28"/>
          <w:szCs w:val="28"/>
        </w:rPr>
        <w:t>9</w:t>
      </w:r>
      <w:r w:rsidRPr="00201243">
        <w:rPr>
          <w:rFonts w:ascii="Times New Roman" w:hAnsi="Times New Roman" w:cs="Times New Roman"/>
          <w:sz w:val="28"/>
          <w:szCs w:val="28"/>
        </w:rPr>
        <w:t>]</w:t>
      </w:r>
      <w:r>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sidRPr="00BC2A46">
        <w:rPr>
          <w:rFonts w:ascii="Times New Roman" w:hAnsi="Times New Roman" w:cs="Times New Roman"/>
          <w:sz w:val="28"/>
          <w:szCs w:val="28"/>
        </w:rPr>
        <w:t>Морфологически диабетическая нефропатия характеризуется признаками фиброзных изменений клубочков вследствие повышенного синтеза и изменения матричных компонентов мембран клубочков</w:t>
      </w:r>
      <w:r w:rsidRPr="00942DDF">
        <w:rPr>
          <w:rFonts w:ascii="Times New Roman" w:hAnsi="Times New Roman" w:cs="Times New Roman"/>
          <w:sz w:val="28"/>
          <w:szCs w:val="28"/>
        </w:rPr>
        <w:t>.</w:t>
      </w:r>
      <w:r w:rsidRPr="00BC2A46">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Гистологически типичным</w:t>
      </w:r>
      <w:r w:rsidRPr="00BC2A46">
        <w:rPr>
          <w:rFonts w:ascii="Times New Roman" w:hAnsi="Times New Roman" w:cs="Times New Roman"/>
          <w:sz w:val="28"/>
          <w:szCs w:val="28"/>
        </w:rPr>
        <w:t xml:space="preserve"> про</w:t>
      </w:r>
      <w:r>
        <w:rPr>
          <w:rFonts w:ascii="Times New Roman" w:hAnsi="Times New Roman" w:cs="Times New Roman"/>
          <w:sz w:val="28"/>
          <w:szCs w:val="28"/>
        </w:rPr>
        <w:t>явлением</w:t>
      </w:r>
      <w:r w:rsidRPr="00BC2A46">
        <w:rPr>
          <w:rFonts w:ascii="Times New Roman" w:hAnsi="Times New Roman" w:cs="Times New Roman"/>
          <w:sz w:val="28"/>
          <w:szCs w:val="28"/>
        </w:rPr>
        <w:t xml:space="preserve"> диабетического гломерулосклероза</w:t>
      </w:r>
      <w:r>
        <w:rPr>
          <w:rFonts w:ascii="Times New Roman" w:hAnsi="Times New Roman" w:cs="Times New Roman"/>
          <w:sz w:val="28"/>
          <w:szCs w:val="28"/>
        </w:rPr>
        <w:t xml:space="preserve"> является утолщение</w:t>
      </w:r>
      <w:r w:rsidRPr="00BC2A46">
        <w:rPr>
          <w:rFonts w:ascii="Times New Roman" w:hAnsi="Times New Roman" w:cs="Times New Roman"/>
          <w:sz w:val="28"/>
          <w:szCs w:val="28"/>
        </w:rPr>
        <w:t xml:space="preserve"> гломерулярно</w:t>
      </w:r>
      <w:r>
        <w:rPr>
          <w:rFonts w:ascii="Times New Roman" w:hAnsi="Times New Roman" w:cs="Times New Roman"/>
          <w:sz w:val="28"/>
          <w:szCs w:val="28"/>
        </w:rPr>
        <w:t xml:space="preserve">й базальной мембраны, </w:t>
      </w:r>
      <w:r>
        <w:rPr>
          <w:rFonts w:ascii="Times New Roman" w:hAnsi="Times New Roman" w:cs="Times New Roman"/>
          <w:sz w:val="28"/>
          <w:szCs w:val="28"/>
        </w:rPr>
        <w:lastRenderedPageBreak/>
        <w:t>увеличение</w:t>
      </w:r>
      <w:r w:rsidRPr="00BC2A46">
        <w:rPr>
          <w:rFonts w:ascii="Times New Roman" w:hAnsi="Times New Roman" w:cs="Times New Roman"/>
          <w:sz w:val="28"/>
          <w:szCs w:val="28"/>
        </w:rPr>
        <w:t xml:space="preserve"> объем</w:t>
      </w:r>
      <w:r>
        <w:rPr>
          <w:rFonts w:ascii="Times New Roman" w:hAnsi="Times New Roman" w:cs="Times New Roman"/>
          <w:sz w:val="28"/>
          <w:szCs w:val="28"/>
        </w:rPr>
        <w:t>а основного вещества, диффузный или узелковый</w:t>
      </w:r>
      <w:r w:rsidRPr="00BC2A46">
        <w:rPr>
          <w:rFonts w:ascii="Times New Roman" w:hAnsi="Times New Roman" w:cs="Times New Roman"/>
          <w:sz w:val="28"/>
          <w:szCs w:val="28"/>
        </w:rPr>
        <w:t xml:space="preserve"> мезангиальн</w:t>
      </w:r>
      <w:r>
        <w:rPr>
          <w:rFonts w:ascii="Times New Roman" w:hAnsi="Times New Roman" w:cs="Times New Roman"/>
          <w:sz w:val="28"/>
          <w:szCs w:val="28"/>
        </w:rPr>
        <w:t xml:space="preserve">ого склероз (синдром </w:t>
      </w:r>
      <w:r w:rsidRPr="0041558E">
        <w:rPr>
          <w:rFonts w:ascii="Times New Roman" w:hAnsi="Times New Roman" w:cs="Times New Roman"/>
          <w:sz w:val="28"/>
          <w:szCs w:val="28"/>
        </w:rPr>
        <w:t>Киммельстил-Уилсона</w:t>
      </w:r>
      <w:r>
        <w:rPr>
          <w:rFonts w:ascii="Times New Roman" w:hAnsi="Times New Roman" w:cs="Times New Roman"/>
          <w:sz w:val="28"/>
          <w:szCs w:val="28"/>
        </w:rPr>
        <w:t>), артериологиалиноз [5</w:t>
      </w:r>
      <w:r w:rsidRPr="00BC2A46">
        <w:rPr>
          <w:rFonts w:ascii="Times New Roman" w:hAnsi="Times New Roman" w:cs="Times New Roman"/>
          <w:sz w:val="28"/>
          <w:szCs w:val="28"/>
        </w:rPr>
        <w:t>].</w:t>
      </w:r>
    </w:p>
    <w:p w:rsidR="00545400" w:rsidRDefault="00545400" w:rsidP="00545400">
      <w:pPr>
        <w:spacing w:before="240" w:line="360" w:lineRule="auto"/>
        <w:ind w:firstLine="709"/>
        <w:jc w:val="both"/>
        <w:rPr>
          <w:rFonts w:ascii="Times New Roman" w:hAnsi="Times New Roman" w:cs="Times New Roman"/>
          <w:sz w:val="28"/>
          <w:szCs w:val="28"/>
        </w:rPr>
      </w:pPr>
    </w:p>
    <w:p w:rsidR="00545400" w:rsidRPr="00465F11" w:rsidRDefault="00545400" w:rsidP="00545400">
      <w:pPr>
        <w:spacing w:before="240" w:line="360" w:lineRule="auto"/>
        <w:ind w:firstLine="709"/>
        <w:jc w:val="center"/>
        <w:rPr>
          <w:rFonts w:ascii="Times New Roman" w:hAnsi="Times New Roman" w:cs="Times New Roman"/>
          <w:b/>
          <w:sz w:val="28"/>
          <w:szCs w:val="28"/>
        </w:rPr>
      </w:pPr>
      <w:r w:rsidRPr="00465F11">
        <w:rPr>
          <w:rFonts w:ascii="Times New Roman" w:hAnsi="Times New Roman" w:cs="Times New Roman"/>
          <w:b/>
          <w:sz w:val="28"/>
          <w:szCs w:val="28"/>
        </w:rPr>
        <w:t>Ро</w:t>
      </w:r>
      <w:r>
        <w:rPr>
          <w:rFonts w:ascii="Times New Roman" w:hAnsi="Times New Roman" w:cs="Times New Roman"/>
          <w:b/>
          <w:sz w:val="28"/>
          <w:szCs w:val="28"/>
        </w:rPr>
        <w:t>ль гипергликемии в развитии ДН</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Основополагающим в понимании патогенеза ДН стало открытие Бреннера и Хостеллера, описавших феномен</w:t>
      </w:r>
      <w:r w:rsidRPr="00705554">
        <w:rPr>
          <w:rFonts w:ascii="Times New Roman" w:hAnsi="Times New Roman" w:cs="Times New Roman"/>
          <w:sz w:val="28"/>
          <w:szCs w:val="28"/>
        </w:rPr>
        <w:t xml:space="preserve"> внутриклубочковой гипертензии</w:t>
      </w:r>
      <w:r>
        <w:rPr>
          <w:rFonts w:ascii="Times New Roman" w:hAnsi="Times New Roman" w:cs="Times New Roman"/>
          <w:sz w:val="28"/>
          <w:szCs w:val="28"/>
        </w:rPr>
        <w:t xml:space="preserve"> и</w:t>
      </w:r>
      <w:r w:rsidRPr="00705554">
        <w:rPr>
          <w:rFonts w:ascii="Times New Roman" w:hAnsi="Times New Roman" w:cs="Times New Roman"/>
          <w:sz w:val="28"/>
          <w:szCs w:val="28"/>
        </w:rPr>
        <w:t xml:space="preserve"> </w:t>
      </w:r>
      <w:r>
        <w:rPr>
          <w:rFonts w:ascii="Times New Roman" w:hAnsi="Times New Roman" w:cs="Times New Roman"/>
          <w:sz w:val="28"/>
          <w:szCs w:val="28"/>
        </w:rPr>
        <w:t>гиперфильтрации [</w:t>
      </w:r>
      <w:r w:rsidRPr="006C5B20">
        <w:rPr>
          <w:rFonts w:ascii="Times New Roman" w:hAnsi="Times New Roman" w:cs="Times New Roman"/>
          <w:sz w:val="28"/>
          <w:szCs w:val="28"/>
        </w:rPr>
        <w:t>6</w:t>
      </w:r>
      <w:r>
        <w:rPr>
          <w:rFonts w:ascii="Times New Roman" w:hAnsi="Times New Roman" w:cs="Times New Roman"/>
          <w:sz w:val="28"/>
          <w:szCs w:val="28"/>
        </w:rPr>
        <w:t>]</w:t>
      </w:r>
      <w:r w:rsidRPr="00705554">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Развитию данного </w:t>
      </w:r>
      <w:r w:rsidRPr="00705554">
        <w:rPr>
          <w:rFonts w:ascii="Times New Roman" w:hAnsi="Times New Roman" w:cs="Times New Roman"/>
          <w:sz w:val="28"/>
          <w:szCs w:val="28"/>
        </w:rPr>
        <w:t>механизм</w:t>
      </w:r>
      <w:r>
        <w:rPr>
          <w:rFonts w:ascii="Times New Roman" w:hAnsi="Times New Roman" w:cs="Times New Roman"/>
          <w:sz w:val="28"/>
          <w:szCs w:val="28"/>
        </w:rPr>
        <w:t xml:space="preserve">а способствует </w:t>
      </w:r>
      <w:r w:rsidRPr="00705554">
        <w:rPr>
          <w:rFonts w:ascii="Times New Roman" w:hAnsi="Times New Roman" w:cs="Times New Roman"/>
          <w:sz w:val="28"/>
          <w:szCs w:val="28"/>
        </w:rPr>
        <w:t>хр</w:t>
      </w:r>
      <w:r>
        <w:rPr>
          <w:rFonts w:ascii="Times New Roman" w:hAnsi="Times New Roman" w:cs="Times New Roman"/>
          <w:sz w:val="28"/>
          <w:szCs w:val="28"/>
        </w:rPr>
        <w:t xml:space="preserve">оническая гипергликемия, вызывающая </w:t>
      </w:r>
      <w:r w:rsidRPr="00705554">
        <w:rPr>
          <w:rFonts w:ascii="Times New Roman" w:hAnsi="Times New Roman" w:cs="Times New Roman"/>
          <w:sz w:val="28"/>
          <w:szCs w:val="28"/>
        </w:rPr>
        <w:t>функциональные</w:t>
      </w:r>
      <w:r>
        <w:rPr>
          <w:rFonts w:ascii="Times New Roman" w:hAnsi="Times New Roman" w:cs="Times New Roman"/>
          <w:sz w:val="28"/>
          <w:szCs w:val="28"/>
        </w:rPr>
        <w:t xml:space="preserve"> изменения</w:t>
      </w:r>
      <w:r w:rsidRPr="00807D89">
        <w:rPr>
          <w:rFonts w:ascii="Times New Roman" w:hAnsi="Times New Roman" w:cs="Times New Roman"/>
          <w:sz w:val="28"/>
          <w:szCs w:val="28"/>
        </w:rPr>
        <w:t xml:space="preserve"> </w:t>
      </w:r>
      <w:r w:rsidRPr="00705554">
        <w:rPr>
          <w:rFonts w:ascii="Times New Roman" w:hAnsi="Times New Roman" w:cs="Times New Roman"/>
          <w:sz w:val="28"/>
          <w:szCs w:val="28"/>
        </w:rPr>
        <w:t>в почках</w:t>
      </w:r>
      <w:r>
        <w:rPr>
          <w:rFonts w:ascii="Times New Roman" w:hAnsi="Times New Roman" w:cs="Times New Roman"/>
          <w:sz w:val="28"/>
          <w:szCs w:val="28"/>
        </w:rPr>
        <w:t xml:space="preserve">, а в последствии, структурные, которые не сопровождаются симптомами, но в конечном итоге приводят </w:t>
      </w:r>
      <w:r w:rsidRPr="00705554">
        <w:rPr>
          <w:rFonts w:ascii="Times New Roman" w:hAnsi="Times New Roman" w:cs="Times New Roman"/>
          <w:sz w:val="28"/>
          <w:szCs w:val="28"/>
        </w:rPr>
        <w:t xml:space="preserve">к </w:t>
      </w:r>
      <w:r>
        <w:rPr>
          <w:rFonts w:ascii="Times New Roman" w:hAnsi="Times New Roman" w:cs="Times New Roman"/>
          <w:sz w:val="28"/>
          <w:szCs w:val="28"/>
        </w:rPr>
        <w:t xml:space="preserve">возникновению микроальбуминурии (МАУ). Продолжительное </w:t>
      </w:r>
      <w:r w:rsidRPr="00705554">
        <w:rPr>
          <w:rFonts w:ascii="Times New Roman" w:hAnsi="Times New Roman" w:cs="Times New Roman"/>
          <w:sz w:val="28"/>
          <w:szCs w:val="28"/>
        </w:rPr>
        <w:t>действие мощного гидравлического пр</w:t>
      </w:r>
      <w:r>
        <w:rPr>
          <w:rFonts w:ascii="Times New Roman" w:hAnsi="Times New Roman" w:cs="Times New Roman"/>
          <w:sz w:val="28"/>
          <w:szCs w:val="28"/>
        </w:rPr>
        <w:t>есса («shear stress») вызывает</w:t>
      </w:r>
      <w:r w:rsidRPr="00705554">
        <w:rPr>
          <w:rFonts w:ascii="Times New Roman" w:hAnsi="Times New Roman" w:cs="Times New Roman"/>
          <w:sz w:val="28"/>
          <w:szCs w:val="28"/>
        </w:rPr>
        <w:t xml:space="preserve"> </w:t>
      </w:r>
      <w:r>
        <w:rPr>
          <w:rFonts w:ascii="Times New Roman" w:hAnsi="Times New Roman" w:cs="Times New Roman"/>
          <w:sz w:val="28"/>
          <w:szCs w:val="28"/>
        </w:rPr>
        <w:t>механическое раздражение приле</w:t>
      </w:r>
      <w:r w:rsidRPr="00705554">
        <w:rPr>
          <w:rFonts w:ascii="Times New Roman" w:hAnsi="Times New Roman" w:cs="Times New Roman"/>
          <w:sz w:val="28"/>
          <w:szCs w:val="28"/>
        </w:rPr>
        <w:t xml:space="preserve">жащих </w:t>
      </w:r>
      <w:r>
        <w:rPr>
          <w:rFonts w:ascii="Times New Roman" w:hAnsi="Times New Roman" w:cs="Times New Roman"/>
          <w:sz w:val="28"/>
          <w:szCs w:val="28"/>
        </w:rPr>
        <w:t>клубочковых структур</w:t>
      </w:r>
      <w:r w:rsidRPr="00705554">
        <w:rPr>
          <w:rFonts w:ascii="Times New Roman" w:hAnsi="Times New Roman" w:cs="Times New Roman"/>
          <w:sz w:val="28"/>
          <w:szCs w:val="28"/>
        </w:rPr>
        <w:t>, что способств</w:t>
      </w:r>
      <w:r>
        <w:rPr>
          <w:rFonts w:ascii="Times New Roman" w:hAnsi="Times New Roman" w:cs="Times New Roman"/>
          <w:sz w:val="28"/>
          <w:szCs w:val="28"/>
        </w:rPr>
        <w:t>ует коллагеновой гиперпродукции, депонированию его в мезангий</w:t>
      </w:r>
      <w:r w:rsidRPr="00705554">
        <w:rPr>
          <w:rFonts w:ascii="Times New Roman" w:hAnsi="Times New Roman" w:cs="Times New Roman"/>
          <w:sz w:val="28"/>
          <w:szCs w:val="28"/>
        </w:rPr>
        <w:t xml:space="preserve">, </w:t>
      </w:r>
      <w:r>
        <w:rPr>
          <w:rFonts w:ascii="Times New Roman" w:hAnsi="Times New Roman" w:cs="Times New Roman"/>
          <w:sz w:val="28"/>
          <w:szCs w:val="28"/>
        </w:rPr>
        <w:t>а затем развитию</w:t>
      </w:r>
      <w:r w:rsidRPr="00705554">
        <w:rPr>
          <w:rFonts w:ascii="Times New Roman" w:hAnsi="Times New Roman" w:cs="Times New Roman"/>
          <w:sz w:val="28"/>
          <w:szCs w:val="28"/>
        </w:rPr>
        <w:t xml:space="preserve"> склеротичес</w:t>
      </w:r>
      <w:r>
        <w:rPr>
          <w:rFonts w:ascii="Times New Roman" w:hAnsi="Times New Roman" w:cs="Times New Roman"/>
          <w:sz w:val="28"/>
          <w:szCs w:val="28"/>
        </w:rPr>
        <w:t>ких процессов, повреждению архитектоники и про</w:t>
      </w:r>
      <w:r w:rsidRPr="00705554">
        <w:rPr>
          <w:rFonts w:ascii="Times New Roman" w:hAnsi="Times New Roman" w:cs="Times New Roman"/>
          <w:sz w:val="28"/>
          <w:szCs w:val="28"/>
        </w:rPr>
        <w:t xml:space="preserve">ницаемости базальной мембраны клубочка. </w:t>
      </w:r>
    </w:p>
    <w:p w:rsidR="00545400" w:rsidRDefault="00545400" w:rsidP="00545400">
      <w:pPr>
        <w:spacing w:before="240" w:line="360" w:lineRule="auto"/>
        <w:ind w:firstLine="709"/>
        <w:jc w:val="both"/>
        <w:rPr>
          <w:rFonts w:ascii="Times New Roman" w:hAnsi="Times New Roman" w:cs="Times New Roman"/>
          <w:sz w:val="28"/>
          <w:szCs w:val="28"/>
        </w:rPr>
      </w:pPr>
    </w:p>
    <w:p w:rsidR="00545400" w:rsidRDefault="00545400" w:rsidP="00545400">
      <w:pPr>
        <w:spacing w:before="240" w:line="360" w:lineRule="auto"/>
        <w:ind w:firstLine="709"/>
        <w:jc w:val="center"/>
        <w:rPr>
          <w:rFonts w:ascii="Times New Roman" w:hAnsi="Times New Roman" w:cs="Times New Roman"/>
          <w:b/>
          <w:sz w:val="28"/>
          <w:szCs w:val="28"/>
        </w:rPr>
      </w:pPr>
      <w:r w:rsidRPr="00465F11">
        <w:rPr>
          <w:rFonts w:ascii="Times New Roman" w:hAnsi="Times New Roman" w:cs="Times New Roman"/>
          <w:b/>
          <w:sz w:val="28"/>
          <w:szCs w:val="28"/>
        </w:rPr>
        <w:t>Роль ренин-ангиотензин</w:t>
      </w:r>
      <w:r>
        <w:rPr>
          <w:rFonts w:ascii="Times New Roman" w:hAnsi="Times New Roman" w:cs="Times New Roman"/>
          <w:b/>
          <w:sz w:val="28"/>
          <w:szCs w:val="28"/>
        </w:rPr>
        <w:t>-альдостероновой системы (РААС)</w:t>
      </w:r>
      <w:r w:rsidRPr="00465F11">
        <w:rPr>
          <w:rFonts w:ascii="Times New Roman" w:hAnsi="Times New Roman" w:cs="Times New Roman"/>
          <w:b/>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Ангиотензин </w:t>
      </w:r>
      <w:r w:rsidRPr="00705554">
        <w:rPr>
          <w:rFonts w:ascii="Times New Roman" w:hAnsi="Times New Roman" w:cs="Times New Roman"/>
          <w:sz w:val="28"/>
          <w:szCs w:val="28"/>
        </w:rPr>
        <w:t>II вызывает внут</w:t>
      </w:r>
      <w:r>
        <w:rPr>
          <w:rFonts w:ascii="Times New Roman" w:hAnsi="Times New Roman" w:cs="Times New Roman"/>
          <w:sz w:val="28"/>
          <w:szCs w:val="28"/>
        </w:rPr>
        <w:t>риклубочковую гипертензию, спо</w:t>
      </w:r>
      <w:r w:rsidRPr="00705554">
        <w:rPr>
          <w:rFonts w:ascii="Times New Roman" w:hAnsi="Times New Roman" w:cs="Times New Roman"/>
          <w:sz w:val="28"/>
          <w:szCs w:val="28"/>
        </w:rPr>
        <w:t>собствует склерозированию и фиброзированию почечной ткани опосредованно через выброс цитокинов и факторов роста.</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продолжительное время существовало мнение о специфичности прояв</w:t>
      </w:r>
      <w:r w:rsidRPr="00705554">
        <w:rPr>
          <w:rFonts w:ascii="Times New Roman" w:hAnsi="Times New Roman" w:cs="Times New Roman"/>
          <w:sz w:val="28"/>
          <w:szCs w:val="28"/>
        </w:rPr>
        <w:t>ления ДН при СД1 и СД2</w:t>
      </w:r>
      <w:r>
        <w:rPr>
          <w:rFonts w:ascii="Times New Roman" w:hAnsi="Times New Roman" w:cs="Times New Roman"/>
          <w:sz w:val="28"/>
          <w:szCs w:val="28"/>
        </w:rPr>
        <w:t xml:space="preserve"> типов, на сегодняшний день вполне убедительны свидетельства</w:t>
      </w:r>
      <w:r w:rsidRPr="00705554">
        <w:rPr>
          <w:rFonts w:ascii="Times New Roman" w:hAnsi="Times New Roman" w:cs="Times New Roman"/>
          <w:sz w:val="28"/>
          <w:szCs w:val="28"/>
        </w:rPr>
        <w:t xml:space="preserve">, что базовые патофизиологические </w:t>
      </w:r>
      <w:r w:rsidRPr="00705554">
        <w:rPr>
          <w:rFonts w:ascii="Times New Roman" w:hAnsi="Times New Roman" w:cs="Times New Roman"/>
          <w:sz w:val="28"/>
          <w:szCs w:val="28"/>
        </w:rPr>
        <w:lastRenderedPageBreak/>
        <w:t>механизмы, ведущие к разви</w:t>
      </w:r>
      <w:r>
        <w:rPr>
          <w:rFonts w:ascii="Times New Roman" w:hAnsi="Times New Roman" w:cs="Times New Roman"/>
          <w:sz w:val="28"/>
          <w:szCs w:val="28"/>
        </w:rPr>
        <w:t xml:space="preserve">тию и прогрессированию ДН, одинаковы при любых </w:t>
      </w:r>
      <w:r w:rsidRPr="00705554">
        <w:rPr>
          <w:rFonts w:ascii="Times New Roman" w:hAnsi="Times New Roman" w:cs="Times New Roman"/>
          <w:sz w:val="28"/>
          <w:szCs w:val="28"/>
        </w:rPr>
        <w:t xml:space="preserve">типах </w:t>
      </w:r>
      <w:r>
        <w:rPr>
          <w:rFonts w:ascii="Times New Roman" w:hAnsi="Times New Roman" w:cs="Times New Roman"/>
          <w:sz w:val="28"/>
          <w:szCs w:val="28"/>
        </w:rPr>
        <w:t xml:space="preserve">сахарного </w:t>
      </w:r>
      <w:r w:rsidRPr="00705554">
        <w:rPr>
          <w:rFonts w:ascii="Times New Roman" w:hAnsi="Times New Roman" w:cs="Times New Roman"/>
          <w:sz w:val="28"/>
          <w:szCs w:val="28"/>
        </w:rPr>
        <w:t xml:space="preserve">диабета. </w:t>
      </w:r>
    </w:p>
    <w:p w:rsidR="00545400" w:rsidRDefault="00545400" w:rsidP="00545400">
      <w:pPr>
        <w:spacing w:before="240" w:line="360" w:lineRule="auto"/>
        <w:ind w:firstLine="709"/>
        <w:jc w:val="both"/>
        <w:rPr>
          <w:rFonts w:ascii="Times New Roman" w:hAnsi="Times New Roman" w:cs="Times New Roman"/>
          <w:sz w:val="28"/>
          <w:szCs w:val="28"/>
        </w:rPr>
      </w:pPr>
      <w:r w:rsidRPr="00705554">
        <w:rPr>
          <w:rFonts w:ascii="Times New Roman" w:hAnsi="Times New Roman" w:cs="Times New Roman"/>
          <w:sz w:val="28"/>
          <w:szCs w:val="28"/>
        </w:rPr>
        <w:t>Однако при СД2 имеют место дополнительные предсуществующие факторы повреждения почек</w:t>
      </w:r>
      <w:r>
        <w:rPr>
          <w:rFonts w:ascii="Times New Roman" w:hAnsi="Times New Roman" w:cs="Times New Roman"/>
          <w:sz w:val="28"/>
          <w:szCs w:val="28"/>
        </w:rPr>
        <w:t xml:space="preserve"> (ожирение</w:t>
      </w:r>
      <w:r w:rsidRPr="00705554">
        <w:rPr>
          <w:rFonts w:ascii="Times New Roman" w:hAnsi="Times New Roman" w:cs="Times New Roman"/>
          <w:sz w:val="28"/>
          <w:szCs w:val="28"/>
        </w:rPr>
        <w:t>, г</w:t>
      </w:r>
      <w:r>
        <w:rPr>
          <w:rFonts w:ascii="Times New Roman" w:hAnsi="Times New Roman" w:cs="Times New Roman"/>
          <w:sz w:val="28"/>
          <w:szCs w:val="28"/>
        </w:rPr>
        <w:t>иперурикемия, дислипидемия), которые могут создать условия для раз</w:t>
      </w:r>
      <w:r w:rsidRPr="00705554">
        <w:rPr>
          <w:rFonts w:ascii="Times New Roman" w:hAnsi="Times New Roman" w:cs="Times New Roman"/>
          <w:sz w:val="28"/>
          <w:szCs w:val="28"/>
        </w:rPr>
        <w:t>вития почечных повреждений</w:t>
      </w:r>
      <w:r>
        <w:rPr>
          <w:rFonts w:ascii="Times New Roman" w:hAnsi="Times New Roman" w:cs="Times New Roman"/>
          <w:sz w:val="28"/>
          <w:szCs w:val="28"/>
        </w:rPr>
        <w:t xml:space="preserve"> еще до развития СД</w:t>
      </w:r>
      <w:r w:rsidRPr="00705554">
        <w:rPr>
          <w:rFonts w:ascii="Times New Roman" w:hAnsi="Times New Roman" w:cs="Times New Roman"/>
          <w:sz w:val="28"/>
          <w:szCs w:val="28"/>
        </w:rPr>
        <w:t xml:space="preserve">, независимо от гипергликемии.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Гипергликемия способствует </w:t>
      </w:r>
      <w:r w:rsidRPr="00705554">
        <w:rPr>
          <w:rFonts w:ascii="Times New Roman" w:hAnsi="Times New Roman" w:cs="Times New Roman"/>
          <w:sz w:val="28"/>
          <w:szCs w:val="28"/>
        </w:rPr>
        <w:t xml:space="preserve">развитию микро- и </w:t>
      </w:r>
      <w:r>
        <w:rPr>
          <w:rFonts w:ascii="Times New Roman" w:hAnsi="Times New Roman" w:cs="Times New Roman"/>
          <w:sz w:val="28"/>
          <w:szCs w:val="28"/>
        </w:rPr>
        <w:t>макрососудистых осложнений путем индукции неферментного гликирования белков, окислительного</w:t>
      </w:r>
      <w:r w:rsidRPr="00705554">
        <w:rPr>
          <w:rFonts w:ascii="Times New Roman" w:hAnsi="Times New Roman" w:cs="Times New Roman"/>
          <w:sz w:val="28"/>
          <w:szCs w:val="28"/>
        </w:rPr>
        <w:t xml:space="preserve"> стресс</w:t>
      </w:r>
      <w:r>
        <w:rPr>
          <w:rFonts w:ascii="Times New Roman" w:hAnsi="Times New Roman" w:cs="Times New Roman"/>
          <w:sz w:val="28"/>
          <w:szCs w:val="28"/>
        </w:rPr>
        <w:t>а, активирует проте</w:t>
      </w:r>
      <w:r w:rsidRPr="00705554">
        <w:rPr>
          <w:rFonts w:ascii="Times New Roman" w:hAnsi="Times New Roman" w:cs="Times New Roman"/>
          <w:sz w:val="28"/>
          <w:szCs w:val="28"/>
        </w:rPr>
        <w:t>инкиназу С, митоген-активирующую протеинкиназу, действие факторов роста, вазоактивны</w:t>
      </w:r>
      <w:r>
        <w:rPr>
          <w:rFonts w:ascii="Times New Roman" w:hAnsi="Times New Roman" w:cs="Times New Roman"/>
          <w:sz w:val="28"/>
          <w:szCs w:val="28"/>
        </w:rPr>
        <w:t xml:space="preserve">х факторов, цитокинов, вызывающих клеточное повреждение почек.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эти процессы приводят</w:t>
      </w:r>
      <w:r w:rsidRPr="00705554">
        <w:rPr>
          <w:rFonts w:ascii="Times New Roman" w:hAnsi="Times New Roman" w:cs="Times New Roman"/>
          <w:sz w:val="28"/>
          <w:szCs w:val="28"/>
        </w:rPr>
        <w:t xml:space="preserve"> к развитию почечной гипертрофии и аккумуляции экстрацеллю</w:t>
      </w:r>
      <w:r>
        <w:rPr>
          <w:rFonts w:ascii="Times New Roman" w:hAnsi="Times New Roman" w:cs="Times New Roman"/>
          <w:sz w:val="28"/>
          <w:szCs w:val="28"/>
        </w:rPr>
        <w:t xml:space="preserve">лярного матрикса, предрасполагающие к </w:t>
      </w:r>
      <w:r w:rsidRPr="00705554">
        <w:rPr>
          <w:rFonts w:ascii="Times New Roman" w:hAnsi="Times New Roman" w:cs="Times New Roman"/>
          <w:sz w:val="28"/>
          <w:szCs w:val="28"/>
        </w:rPr>
        <w:t>необратимым изменениям</w:t>
      </w:r>
      <w:r>
        <w:rPr>
          <w:rFonts w:ascii="Times New Roman" w:hAnsi="Times New Roman" w:cs="Times New Roman"/>
          <w:sz w:val="28"/>
          <w:szCs w:val="28"/>
        </w:rPr>
        <w:t xml:space="preserve"> -</w:t>
      </w:r>
      <w:r w:rsidRPr="00705554">
        <w:rPr>
          <w:rFonts w:ascii="Times New Roman" w:hAnsi="Times New Roman" w:cs="Times New Roman"/>
          <w:sz w:val="28"/>
          <w:szCs w:val="28"/>
        </w:rPr>
        <w:t xml:space="preserve"> гломерулосклероз и тубулоинтерстициальный фиброз. </w:t>
      </w:r>
    </w:p>
    <w:p w:rsidR="00545400" w:rsidRPr="00465F11" w:rsidRDefault="00545400" w:rsidP="00545400">
      <w:pPr>
        <w:spacing w:before="240" w:line="360" w:lineRule="auto"/>
        <w:ind w:firstLine="709"/>
        <w:jc w:val="center"/>
        <w:rPr>
          <w:rFonts w:ascii="Times New Roman" w:hAnsi="Times New Roman" w:cs="Times New Roman"/>
          <w:b/>
          <w:sz w:val="28"/>
          <w:szCs w:val="28"/>
        </w:rPr>
      </w:pPr>
      <w:r w:rsidRPr="00465F11">
        <w:rPr>
          <w:rFonts w:ascii="Times New Roman" w:hAnsi="Times New Roman" w:cs="Times New Roman"/>
          <w:b/>
          <w:sz w:val="28"/>
          <w:szCs w:val="28"/>
        </w:rPr>
        <w:t>Роль ЛПВП</w:t>
      </w:r>
    </w:p>
    <w:p w:rsidR="00545400" w:rsidRDefault="00545400" w:rsidP="00545400">
      <w:pPr>
        <w:spacing w:before="240" w:line="360" w:lineRule="auto"/>
        <w:ind w:firstLine="709"/>
        <w:jc w:val="both"/>
        <w:rPr>
          <w:rFonts w:ascii="Times New Roman" w:hAnsi="Times New Roman" w:cs="Times New Roman"/>
          <w:sz w:val="28"/>
          <w:szCs w:val="28"/>
        </w:rPr>
      </w:pPr>
      <w:r w:rsidRPr="00AC4407">
        <w:rPr>
          <w:rFonts w:ascii="Times New Roman" w:hAnsi="Times New Roman" w:cs="Times New Roman"/>
          <w:sz w:val="28"/>
          <w:szCs w:val="28"/>
        </w:rPr>
        <w:t xml:space="preserve">Пациенты с СД имеют комплексные липидные нарушения: сниженный уровень липидов высокой плотности (ЛПВП), повышенный уровень триглицеридов (ТГ), липидов низкой плотности (ЛПНП), особенно выраженные при ДН. </w:t>
      </w:r>
      <w:r>
        <w:rPr>
          <w:rFonts w:ascii="Times New Roman" w:hAnsi="Times New Roman" w:cs="Times New Roman"/>
          <w:sz w:val="28"/>
          <w:szCs w:val="28"/>
        </w:rPr>
        <w:t>Структур</w:t>
      </w:r>
      <w:r w:rsidRPr="00AC4407">
        <w:rPr>
          <w:rFonts w:ascii="Times New Roman" w:hAnsi="Times New Roman" w:cs="Times New Roman"/>
          <w:sz w:val="28"/>
          <w:szCs w:val="28"/>
        </w:rPr>
        <w:t xml:space="preserve">ное сходство мезангиальных клеток </w:t>
      </w:r>
      <w:r>
        <w:rPr>
          <w:rFonts w:ascii="Times New Roman" w:hAnsi="Times New Roman" w:cs="Times New Roman"/>
          <w:sz w:val="28"/>
          <w:szCs w:val="28"/>
        </w:rPr>
        <w:t>почечных клубочков с гладкомышеч</w:t>
      </w:r>
      <w:r w:rsidRPr="00AC4407">
        <w:rPr>
          <w:rFonts w:ascii="Times New Roman" w:hAnsi="Times New Roman" w:cs="Times New Roman"/>
          <w:sz w:val="28"/>
          <w:szCs w:val="28"/>
        </w:rPr>
        <w:t>ными клетками артерий</w:t>
      </w:r>
      <w:r>
        <w:rPr>
          <w:rFonts w:ascii="Times New Roman" w:hAnsi="Times New Roman" w:cs="Times New Roman"/>
          <w:sz w:val="28"/>
          <w:szCs w:val="28"/>
        </w:rPr>
        <w:t xml:space="preserve"> предрасполагет к формированию аналогичных процессов </w:t>
      </w:r>
      <w:r w:rsidRPr="00AC4407">
        <w:rPr>
          <w:rFonts w:ascii="Times New Roman" w:hAnsi="Times New Roman" w:cs="Times New Roman"/>
          <w:sz w:val="28"/>
          <w:szCs w:val="28"/>
        </w:rPr>
        <w:t>гломерулосклероза и атеросклеротичес</w:t>
      </w:r>
      <w:r>
        <w:rPr>
          <w:rFonts w:ascii="Times New Roman" w:hAnsi="Times New Roman" w:cs="Times New Roman"/>
          <w:sz w:val="28"/>
          <w:szCs w:val="28"/>
        </w:rPr>
        <w:t>кой бляшки сосудистой стенки [</w:t>
      </w:r>
      <w:r w:rsidRPr="006C5B20">
        <w:rPr>
          <w:rFonts w:ascii="Times New Roman" w:hAnsi="Times New Roman" w:cs="Times New Roman"/>
          <w:sz w:val="28"/>
          <w:szCs w:val="28"/>
        </w:rPr>
        <w:t>7</w:t>
      </w:r>
      <w:r w:rsidRPr="00806A66">
        <w:rPr>
          <w:rFonts w:ascii="Times New Roman" w:hAnsi="Times New Roman" w:cs="Times New Roman"/>
          <w:sz w:val="28"/>
          <w:szCs w:val="28"/>
        </w:rPr>
        <w:t>].</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Окисленные липопротеины низкой плотности</w:t>
      </w:r>
      <w:r w:rsidRPr="00AC4407">
        <w:rPr>
          <w:rFonts w:ascii="Times New Roman" w:hAnsi="Times New Roman" w:cs="Times New Roman"/>
          <w:sz w:val="28"/>
          <w:szCs w:val="28"/>
        </w:rPr>
        <w:t>, ростовые</w:t>
      </w:r>
      <w:r>
        <w:rPr>
          <w:rFonts w:ascii="Times New Roman" w:hAnsi="Times New Roman" w:cs="Times New Roman"/>
          <w:sz w:val="28"/>
          <w:szCs w:val="28"/>
        </w:rPr>
        <w:t xml:space="preserve"> факторы и цитокины индуцируют гиперпродукции </w:t>
      </w:r>
      <w:r w:rsidRPr="00AC4407">
        <w:rPr>
          <w:rFonts w:ascii="Times New Roman" w:hAnsi="Times New Roman" w:cs="Times New Roman"/>
          <w:sz w:val="28"/>
          <w:szCs w:val="28"/>
        </w:rPr>
        <w:t>компонентов мезангиального матрикса, ускоряя склерозиров</w:t>
      </w:r>
      <w:r>
        <w:rPr>
          <w:rFonts w:ascii="Times New Roman" w:hAnsi="Times New Roman" w:cs="Times New Roman"/>
          <w:sz w:val="28"/>
          <w:szCs w:val="28"/>
        </w:rPr>
        <w:t>ание клубочков. К тому же ли</w:t>
      </w:r>
      <w:r w:rsidRPr="00AC4407">
        <w:rPr>
          <w:rFonts w:ascii="Times New Roman" w:hAnsi="Times New Roman" w:cs="Times New Roman"/>
          <w:sz w:val="28"/>
          <w:szCs w:val="28"/>
        </w:rPr>
        <w:t xml:space="preserve">пиды, профильтровавшиеся </w:t>
      </w:r>
      <w:r>
        <w:rPr>
          <w:rFonts w:ascii="Times New Roman" w:hAnsi="Times New Roman" w:cs="Times New Roman"/>
          <w:sz w:val="28"/>
          <w:szCs w:val="28"/>
        </w:rPr>
        <w:t>в первичную мочу, могут повреж</w:t>
      </w:r>
      <w:r w:rsidRPr="00AC4407">
        <w:rPr>
          <w:rFonts w:ascii="Times New Roman" w:hAnsi="Times New Roman" w:cs="Times New Roman"/>
          <w:sz w:val="28"/>
          <w:szCs w:val="28"/>
        </w:rPr>
        <w:t xml:space="preserve">дать и клетки почечных </w:t>
      </w:r>
      <w:r w:rsidRPr="00AC4407">
        <w:rPr>
          <w:rFonts w:ascii="Times New Roman" w:hAnsi="Times New Roman" w:cs="Times New Roman"/>
          <w:sz w:val="28"/>
          <w:szCs w:val="28"/>
        </w:rPr>
        <w:lastRenderedPageBreak/>
        <w:t xml:space="preserve">канальцев. </w:t>
      </w:r>
      <w:r>
        <w:rPr>
          <w:rFonts w:ascii="Times New Roman" w:hAnsi="Times New Roman" w:cs="Times New Roman"/>
          <w:sz w:val="28"/>
          <w:szCs w:val="28"/>
        </w:rPr>
        <w:t xml:space="preserve">Предиктором </w:t>
      </w:r>
      <w:r w:rsidRPr="00AC4407">
        <w:rPr>
          <w:rFonts w:ascii="Times New Roman" w:hAnsi="Times New Roman" w:cs="Times New Roman"/>
          <w:sz w:val="28"/>
          <w:szCs w:val="28"/>
        </w:rPr>
        <w:t>прогрессирования ДН</w:t>
      </w:r>
      <w:r>
        <w:rPr>
          <w:rFonts w:ascii="Times New Roman" w:hAnsi="Times New Roman" w:cs="Times New Roman"/>
          <w:sz w:val="28"/>
          <w:szCs w:val="28"/>
        </w:rPr>
        <w:t xml:space="preserve"> является</w:t>
      </w:r>
      <w:r w:rsidRPr="00AC4407">
        <w:rPr>
          <w:rFonts w:ascii="Times New Roman" w:hAnsi="Times New Roman" w:cs="Times New Roman"/>
          <w:sz w:val="28"/>
          <w:szCs w:val="28"/>
        </w:rPr>
        <w:t xml:space="preserve"> </w:t>
      </w:r>
      <w:r>
        <w:rPr>
          <w:rFonts w:ascii="Times New Roman" w:hAnsi="Times New Roman" w:cs="Times New Roman"/>
          <w:sz w:val="28"/>
          <w:szCs w:val="28"/>
        </w:rPr>
        <w:t xml:space="preserve">протеинурия. </w:t>
      </w:r>
      <w:r w:rsidRPr="00AC4407">
        <w:rPr>
          <w:rFonts w:ascii="Times New Roman" w:hAnsi="Times New Roman" w:cs="Times New Roman"/>
          <w:sz w:val="28"/>
          <w:szCs w:val="28"/>
        </w:rPr>
        <w:t>При нарушении структ</w:t>
      </w:r>
      <w:r>
        <w:rPr>
          <w:rFonts w:ascii="Times New Roman" w:hAnsi="Times New Roman" w:cs="Times New Roman"/>
          <w:sz w:val="28"/>
          <w:szCs w:val="28"/>
        </w:rPr>
        <w:t>уры почечного фильтра крупномо</w:t>
      </w:r>
      <w:r w:rsidRPr="00AC4407">
        <w:rPr>
          <w:rFonts w:ascii="Times New Roman" w:hAnsi="Times New Roman" w:cs="Times New Roman"/>
          <w:sz w:val="28"/>
          <w:szCs w:val="28"/>
        </w:rPr>
        <w:t xml:space="preserve">лекулярные белки </w:t>
      </w:r>
      <w:r>
        <w:rPr>
          <w:rFonts w:ascii="Times New Roman" w:hAnsi="Times New Roman" w:cs="Times New Roman"/>
          <w:sz w:val="28"/>
          <w:szCs w:val="28"/>
        </w:rPr>
        <w:t>токсически повреждают мезангиальные и канальцевые почечные клетки,</w:t>
      </w:r>
      <w:r w:rsidRPr="00AC4407">
        <w:rPr>
          <w:rFonts w:ascii="Times New Roman" w:hAnsi="Times New Roman" w:cs="Times New Roman"/>
          <w:sz w:val="28"/>
          <w:szCs w:val="28"/>
        </w:rPr>
        <w:t xml:space="preserve"> что приводит к ускоренному склер</w:t>
      </w:r>
      <w:r>
        <w:rPr>
          <w:rFonts w:ascii="Times New Roman" w:hAnsi="Times New Roman" w:cs="Times New Roman"/>
          <w:sz w:val="28"/>
          <w:szCs w:val="28"/>
        </w:rPr>
        <w:t>озу клубочков, формированию воспалительного процесса в ин</w:t>
      </w:r>
      <w:r w:rsidRPr="00AC4407">
        <w:rPr>
          <w:rFonts w:ascii="Times New Roman" w:hAnsi="Times New Roman" w:cs="Times New Roman"/>
          <w:sz w:val="28"/>
          <w:szCs w:val="28"/>
        </w:rPr>
        <w:t>терстициальной ткани. Результаты п</w:t>
      </w:r>
      <w:r>
        <w:rPr>
          <w:rFonts w:ascii="Times New Roman" w:hAnsi="Times New Roman" w:cs="Times New Roman"/>
          <w:sz w:val="28"/>
          <w:szCs w:val="28"/>
        </w:rPr>
        <w:t xml:space="preserve">оследних исследований подтверждают нарушение </w:t>
      </w:r>
      <w:r w:rsidRPr="00AC4407">
        <w:rPr>
          <w:rFonts w:ascii="Times New Roman" w:hAnsi="Times New Roman" w:cs="Times New Roman"/>
          <w:sz w:val="28"/>
          <w:szCs w:val="28"/>
        </w:rPr>
        <w:t xml:space="preserve">тубулярной реабсорбции как основной компонент прогрессирования альбуминурии. </w:t>
      </w:r>
    </w:p>
    <w:p w:rsidR="00545400" w:rsidRPr="006C5B20" w:rsidRDefault="00545400" w:rsidP="00545400">
      <w:pPr>
        <w:spacing w:before="240" w:line="360" w:lineRule="auto"/>
        <w:ind w:firstLine="709"/>
        <w:jc w:val="both"/>
        <w:rPr>
          <w:rFonts w:ascii="Times New Roman" w:hAnsi="Times New Roman" w:cs="Times New Roman"/>
          <w:sz w:val="28"/>
          <w:szCs w:val="28"/>
        </w:rPr>
      </w:pPr>
      <w:r w:rsidRPr="00AC4407">
        <w:rPr>
          <w:rFonts w:ascii="Times New Roman" w:hAnsi="Times New Roman" w:cs="Times New Roman"/>
          <w:sz w:val="28"/>
          <w:szCs w:val="28"/>
        </w:rPr>
        <w:t>Механизмы протеинурическо</w:t>
      </w:r>
      <w:r>
        <w:rPr>
          <w:rFonts w:ascii="Times New Roman" w:hAnsi="Times New Roman" w:cs="Times New Roman"/>
          <w:sz w:val="28"/>
          <w:szCs w:val="28"/>
        </w:rPr>
        <w:t>го ремоделирования почечной ткани</w:t>
      </w:r>
      <w:r w:rsidRPr="00AC4407">
        <w:rPr>
          <w:rFonts w:ascii="Times New Roman" w:hAnsi="Times New Roman" w:cs="Times New Roman"/>
          <w:sz w:val="28"/>
          <w:szCs w:val="28"/>
        </w:rPr>
        <w:t xml:space="preserve"> при ДН обосновывают</w:t>
      </w:r>
      <w:r>
        <w:rPr>
          <w:rFonts w:ascii="Times New Roman" w:hAnsi="Times New Roman" w:cs="Times New Roman"/>
          <w:sz w:val="28"/>
          <w:szCs w:val="28"/>
        </w:rPr>
        <w:t xml:space="preserve"> необходимость мероприятий, на</w:t>
      </w:r>
      <w:r w:rsidRPr="00AC4407">
        <w:rPr>
          <w:rFonts w:ascii="Times New Roman" w:hAnsi="Times New Roman" w:cs="Times New Roman"/>
          <w:sz w:val="28"/>
          <w:szCs w:val="28"/>
        </w:rPr>
        <w:t xml:space="preserve">правленных на снижение высокого уровня потери белка с мочой в комплексной терапии. Исследование RENAAL (Reductions of Endpoints in NIDDM with the Angiotensin II Antagonist </w:t>
      </w:r>
      <w:r>
        <w:rPr>
          <w:rFonts w:ascii="Times New Roman" w:hAnsi="Times New Roman" w:cs="Times New Roman"/>
          <w:sz w:val="28"/>
          <w:szCs w:val="28"/>
        </w:rPr>
        <w:t xml:space="preserve">Losartan study), включавшее пациентов с </w:t>
      </w:r>
      <w:r w:rsidRPr="00AC4407">
        <w:rPr>
          <w:rFonts w:ascii="Times New Roman" w:hAnsi="Times New Roman" w:cs="Times New Roman"/>
          <w:sz w:val="28"/>
          <w:szCs w:val="28"/>
        </w:rPr>
        <w:t>ДН на начальной стадии, показало протеинурию в качестве наиболее значимого фактора риска кардиоваскулярных событий и прогрессировани</w:t>
      </w:r>
      <w:r>
        <w:rPr>
          <w:rFonts w:ascii="Times New Roman" w:hAnsi="Times New Roman" w:cs="Times New Roman"/>
          <w:sz w:val="28"/>
          <w:szCs w:val="28"/>
        </w:rPr>
        <w:t>я ДН независимо от уровня АД [</w:t>
      </w:r>
      <w:r w:rsidRPr="006C5B20">
        <w:rPr>
          <w:rFonts w:ascii="Times New Roman" w:hAnsi="Times New Roman" w:cs="Times New Roman"/>
          <w:sz w:val="28"/>
          <w:szCs w:val="28"/>
        </w:rPr>
        <w:t>8].</w:t>
      </w:r>
    </w:p>
    <w:p w:rsidR="00545400" w:rsidRDefault="00545400" w:rsidP="00545400">
      <w:pPr>
        <w:spacing w:before="240" w:line="360" w:lineRule="auto"/>
        <w:ind w:firstLine="709"/>
        <w:jc w:val="both"/>
        <w:rPr>
          <w:rFonts w:ascii="Times New Roman" w:hAnsi="Times New Roman" w:cs="Times New Roman"/>
          <w:sz w:val="28"/>
          <w:szCs w:val="28"/>
        </w:rPr>
      </w:pPr>
      <w:r w:rsidRPr="006C5B20">
        <w:rPr>
          <w:rFonts w:ascii="Times New Roman" w:hAnsi="Times New Roman" w:cs="Times New Roman"/>
          <w:sz w:val="28"/>
          <w:szCs w:val="28"/>
        </w:rPr>
        <w:t xml:space="preserve"> </w:t>
      </w:r>
      <w:r w:rsidRPr="006C5B20">
        <w:rPr>
          <w:rFonts w:ascii="Times New Roman" w:hAnsi="Times New Roman" w:cs="Times New Roman"/>
          <w:sz w:val="28"/>
          <w:szCs w:val="28"/>
        </w:rPr>
        <w:tab/>
      </w:r>
      <w:r w:rsidRPr="004B3A68">
        <w:rPr>
          <w:rFonts w:ascii="Times New Roman" w:hAnsi="Times New Roman" w:cs="Times New Roman"/>
          <w:sz w:val="28"/>
          <w:szCs w:val="28"/>
        </w:rPr>
        <w:t xml:space="preserve">Потенциальные маркеры развития ДН можно разделить на несколько подгрупп: </w:t>
      </w:r>
    </w:p>
    <w:p w:rsidR="00545400" w:rsidRDefault="00545400" w:rsidP="00545400">
      <w:pPr>
        <w:spacing w:before="240" w:line="360" w:lineRule="auto"/>
        <w:ind w:firstLine="709"/>
        <w:jc w:val="both"/>
        <w:rPr>
          <w:rFonts w:ascii="Times New Roman" w:hAnsi="Times New Roman" w:cs="Times New Roman"/>
          <w:sz w:val="28"/>
          <w:szCs w:val="28"/>
        </w:rPr>
      </w:pPr>
      <w:r w:rsidRPr="004B3A68">
        <w:rPr>
          <w:rFonts w:ascii="Times New Roman" w:hAnsi="Times New Roman" w:cs="Times New Roman"/>
          <w:sz w:val="28"/>
          <w:szCs w:val="28"/>
        </w:rPr>
        <w:t xml:space="preserve">1) маркеры тубулярного повреждения; </w:t>
      </w:r>
    </w:p>
    <w:p w:rsidR="00545400" w:rsidRDefault="00545400" w:rsidP="00545400">
      <w:pPr>
        <w:spacing w:before="240" w:line="360" w:lineRule="auto"/>
        <w:ind w:firstLine="709"/>
        <w:jc w:val="both"/>
        <w:rPr>
          <w:rFonts w:ascii="Times New Roman" w:hAnsi="Times New Roman" w:cs="Times New Roman"/>
          <w:sz w:val="28"/>
          <w:szCs w:val="28"/>
        </w:rPr>
      </w:pPr>
      <w:r w:rsidRPr="004B3A68">
        <w:rPr>
          <w:rFonts w:ascii="Times New Roman" w:hAnsi="Times New Roman" w:cs="Times New Roman"/>
          <w:sz w:val="28"/>
          <w:szCs w:val="28"/>
        </w:rPr>
        <w:t xml:space="preserve">2) продукты обмена внеклеточного матрикса; </w:t>
      </w:r>
    </w:p>
    <w:p w:rsidR="00545400" w:rsidRDefault="00545400" w:rsidP="00545400">
      <w:pPr>
        <w:spacing w:before="240" w:line="360" w:lineRule="auto"/>
        <w:ind w:firstLine="709"/>
        <w:jc w:val="both"/>
        <w:rPr>
          <w:rFonts w:ascii="Times New Roman" w:hAnsi="Times New Roman" w:cs="Times New Roman"/>
          <w:sz w:val="28"/>
          <w:szCs w:val="28"/>
        </w:rPr>
      </w:pPr>
      <w:r w:rsidRPr="004B3A68">
        <w:rPr>
          <w:rFonts w:ascii="Times New Roman" w:hAnsi="Times New Roman" w:cs="Times New Roman"/>
          <w:sz w:val="28"/>
          <w:szCs w:val="28"/>
        </w:rPr>
        <w:t xml:space="preserve">3) подоциты и маркеры их повреждения;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факторы роста </w:t>
      </w:r>
      <w:r w:rsidRPr="004B3A68">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sidRPr="004B3A68">
        <w:rPr>
          <w:rFonts w:ascii="Times New Roman" w:hAnsi="Times New Roman" w:cs="Times New Roman"/>
          <w:sz w:val="28"/>
          <w:szCs w:val="28"/>
        </w:rPr>
        <w:t>5) иммуновоспалительные факторы.</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3593C">
        <w:rPr>
          <w:rFonts w:ascii="Times New Roman" w:hAnsi="Times New Roman" w:cs="Times New Roman"/>
          <w:sz w:val="28"/>
          <w:szCs w:val="28"/>
        </w:rPr>
        <w:t xml:space="preserve"> увеличение активности проре</w:t>
      </w:r>
      <w:r>
        <w:rPr>
          <w:rFonts w:ascii="Times New Roman" w:hAnsi="Times New Roman" w:cs="Times New Roman"/>
          <w:sz w:val="28"/>
          <w:szCs w:val="28"/>
        </w:rPr>
        <w:t xml:space="preserve">нина у детей и подростков. </w:t>
      </w:r>
      <w:r w:rsidRPr="0003593C">
        <w:rPr>
          <w:rFonts w:ascii="Times New Roman" w:hAnsi="Times New Roman" w:cs="Times New Roman"/>
          <w:sz w:val="28"/>
          <w:szCs w:val="28"/>
        </w:rPr>
        <w:t>Проренин связывается с конкретным</w:t>
      </w:r>
      <w:r>
        <w:rPr>
          <w:rFonts w:ascii="Times New Roman" w:hAnsi="Times New Roman" w:cs="Times New Roman"/>
          <w:sz w:val="28"/>
          <w:szCs w:val="28"/>
        </w:rPr>
        <w:t xml:space="preserve"> тканевым</w:t>
      </w:r>
      <w:r w:rsidRPr="0003593C">
        <w:rPr>
          <w:rFonts w:ascii="Times New Roman" w:hAnsi="Times New Roman" w:cs="Times New Roman"/>
          <w:sz w:val="28"/>
          <w:szCs w:val="28"/>
        </w:rPr>
        <w:t xml:space="preserve"> рецептор</w:t>
      </w:r>
      <w:r>
        <w:rPr>
          <w:rFonts w:ascii="Times New Roman" w:hAnsi="Times New Roman" w:cs="Times New Roman"/>
          <w:sz w:val="28"/>
          <w:szCs w:val="28"/>
        </w:rPr>
        <w:t>ом</w:t>
      </w:r>
      <w:r w:rsidRPr="0003593C">
        <w:rPr>
          <w:rFonts w:ascii="Times New Roman" w:hAnsi="Times New Roman" w:cs="Times New Roman"/>
          <w:sz w:val="28"/>
          <w:szCs w:val="28"/>
        </w:rPr>
        <w:t>, который индуцирует активацию митоген-активируемых протеинкиназ</w:t>
      </w:r>
      <w:r w:rsidRPr="006C5B20">
        <w:rPr>
          <w:rFonts w:ascii="Times New Roman" w:hAnsi="Times New Roman" w:cs="Times New Roman"/>
          <w:sz w:val="28"/>
          <w:szCs w:val="28"/>
        </w:rPr>
        <w:t xml:space="preserve"> [9]</w:t>
      </w:r>
      <w:r>
        <w:rPr>
          <w:rFonts w:ascii="Times New Roman" w:hAnsi="Times New Roman" w:cs="Times New Roman"/>
          <w:sz w:val="28"/>
          <w:szCs w:val="28"/>
        </w:rPr>
        <w:t xml:space="preserve">. </w:t>
      </w:r>
    </w:p>
    <w:p w:rsidR="00545400" w:rsidRPr="006C5B20" w:rsidRDefault="00545400" w:rsidP="00545400">
      <w:pPr>
        <w:spacing w:before="240" w:line="360" w:lineRule="auto"/>
        <w:ind w:firstLine="709"/>
        <w:jc w:val="both"/>
        <w:rPr>
          <w:rFonts w:ascii="Times New Roman" w:hAnsi="Times New Roman" w:cs="Times New Roman"/>
          <w:sz w:val="28"/>
          <w:szCs w:val="28"/>
        </w:rPr>
      </w:pPr>
      <w:r w:rsidRPr="004B3A68">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4B3A68">
        <w:rPr>
          <w:rFonts w:ascii="Times New Roman" w:hAnsi="Times New Roman" w:cs="Times New Roman"/>
          <w:sz w:val="28"/>
          <w:szCs w:val="28"/>
        </w:rPr>
        <w:t>В качестве основного метода ранней диагност</w:t>
      </w:r>
      <w:r>
        <w:rPr>
          <w:rFonts w:ascii="Times New Roman" w:hAnsi="Times New Roman" w:cs="Times New Roman"/>
          <w:sz w:val="28"/>
          <w:szCs w:val="28"/>
        </w:rPr>
        <w:t>ики поражения почек рекомендуется</w:t>
      </w:r>
      <w:r w:rsidRPr="004B3A68">
        <w:rPr>
          <w:rFonts w:ascii="Times New Roman" w:hAnsi="Times New Roman" w:cs="Times New Roman"/>
          <w:sz w:val="28"/>
          <w:szCs w:val="28"/>
        </w:rPr>
        <w:t xml:space="preserve"> определение мочевой экскреции данных </w:t>
      </w:r>
      <w:r>
        <w:rPr>
          <w:rFonts w:ascii="Times New Roman" w:hAnsi="Times New Roman" w:cs="Times New Roman"/>
          <w:sz w:val="28"/>
          <w:szCs w:val="28"/>
        </w:rPr>
        <w:t>веществ. Значимую роль</w:t>
      </w:r>
      <w:r w:rsidRPr="004B3A68">
        <w:rPr>
          <w:rFonts w:ascii="Times New Roman" w:hAnsi="Times New Roman" w:cs="Times New Roman"/>
          <w:sz w:val="28"/>
          <w:szCs w:val="28"/>
        </w:rPr>
        <w:t xml:space="preserve"> в доклинической диагностике ДН представляет </w:t>
      </w:r>
      <w:r>
        <w:rPr>
          <w:rFonts w:ascii="Times New Roman" w:hAnsi="Times New Roman" w:cs="Times New Roman"/>
          <w:sz w:val="28"/>
          <w:szCs w:val="28"/>
        </w:rPr>
        <w:t>протеомный aнaлиз, основa</w:t>
      </w:r>
      <w:r w:rsidRPr="004B3A68">
        <w:rPr>
          <w:rFonts w:ascii="Times New Roman" w:hAnsi="Times New Roman" w:cs="Times New Roman"/>
          <w:sz w:val="28"/>
          <w:szCs w:val="28"/>
        </w:rPr>
        <w:t>нный на иссл</w:t>
      </w:r>
      <w:r>
        <w:rPr>
          <w:rFonts w:ascii="Times New Roman" w:hAnsi="Times New Roman" w:cs="Times New Roman"/>
          <w:sz w:val="28"/>
          <w:szCs w:val="28"/>
        </w:rPr>
        <w:t>едовании белкового спектра мочи</w:t>
      </w:r>
      <w:r w:rsidRPr="004B3A68">
        <w:rPr>
          <w:rFonts w:ascii="Times New Roman" w:hAnsi="Times New Roman" w:cs="Times New Roman"/>
          <w:sz w:val="28"/>
          <w:szCs w:val="28"/>
        </w:rPr>
        <w:t xml:space="preserve"> [</w:t>
      </w:r>
      <w:r w:rsidRPr="006C5B20">
        <w:rPr>
          <w:rFonts w:ascii="Times New Roman" w:hAnsi="Times New Roman" w:cs="Times New Roman"/>
          <w:sz w:val="28"/>
          <w:szCs w:val="28"/>
        </w:rPr>
        <w:t>10</w:t>
      </w:r>
      <w:r w:rsidRPr="004B3A68">
        <w:rPr>
          <w:rFonts w:ascii="Times New Roman" w:hAnsi="Times New Roman" w:cs="Times New Roman"/>
          <w:sz w:val="28"/>
          <w:szCs w:val="28"/>
        </w:rPr>
        <w:t>]</w:t>
      </w:r>
      <w:r w:rsidRPr="006C5B20">
        <w:rPr>
          <w:rFonts w:ascii="Times New Roman" w:hAnsi="Times New Roman" w:cs="Times New Roman"/>
          <w:sz w:val="28"/>
          <w:szCs w:val="28"/>
        </w:rPr>
        <w:t xml:space="preserve">. </w:t>
      </w:r>
    </w:p>
    <w:p w:rsidR="00545400" w:rsidRPr="00474967"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Предполагаемая связь нарушений</w:t>
      </w:r>
      <w:r w:rsidRPr="006938C2">
        <w:rPr>
          <w:rFonts w:ascii="Times New Roman" w:hAnsi="Times New Roman" w:cs="Times New Roman"/>
          <w:sz w:val="28"/>
          <w:szCs w:val="28"/>
        </w:rPr>
        <w:t xml:space="preserve"> почечной функции с протеинурией</w:t>
      </w:r>
      <w:r>
        <w:rPr>
          <w:rFonts w:ascii="Times New Roman" w:hAnsi="Times New Roman" w:cs="Times New Roman"/>
          <w:sz w:val="28"/>
          <w:szCs w:val="28"/>
        </w:rPr>
        <w:t xml:space="preserve"> является простой</w:t>
      </w:r>
      <w:r w:rsidRPr="006938C2">
        <w:rPr>
          <w:rFonts w:ascii="Times New Roman" w:hAnsi="Times New Roman" w:cs="Times New Roman"/>
          <w:sz w:val="28"/>
          <w:szCs w:val="28"/>
        </w:rPr>
        <w:t xml:space="preserve"> модель</w:t>
      </w:r>
      <w:r>
        <w:rPr>
          <w:rFonts w:ascii="Times New Roman" w:hAnsi="Times New Roman" w:cs="Times New Roman"/>
          <w:sz w:val="28"/>
          <w:szCs w:val="28"/>
        </w:rPr>
        <w:t>ю</w:t>
      </w:r>
      <w:r w:rsidRPr="006938C2">
        <w:rPr>
          <w:rFonts w:ascii="Times New Roman" w:hAnsi="Times New Roman" w:cs="Times New Roman"/>
          <w:sz w:val="28"/>
          <w:szCs w:val="28"/>
        </w:rPr>
        <w:t xml:space="preserve"> диаб</w:t>
      </w:r>
      <w:r>
        <w:rPr>
          <w:rFonts w:ascii="Times New Roman" w:hAnsi="Times New Roman" w:cs="Times New Roman"/>
          <w:sz w:val="28"/>
          <w:szCs w:val="28"/>
        </w:rPr>
        <w:t>етической нефропатии, включающей</w:t>
      </w:r>
      <w:r w:rsidRPr="006938C2">
        <w:rPr>
          <w:rFonts w:ascii="Times New Roman" w:hAnsi="Times New Roman" w:cs="Times New Roman"/>
          <w:sz w:val="28"/>
          <w:szCs w:val="28"/>
        </w:rPr>
        <w:t xml:space="preserve"> три последовательных этапа:</w:t>
      </w:r>
      <w:r>
        <w:rPr>
          <w:rFonts w:ascii="Times New Roman" w:hAnsi="Times New Roman" w:cs="Times New Roman"/>
          <w:sz w:val="28"/>
          <w:szCs w:val="28"/>
        </w:rPr>
        <w:t xml:space="preserve"> микроальбуминурию, которая предвещает</w:t>
      </w:r>
      <w:r w:rsidRPr="006938C2">
        <w:rPr>
          <w:rFonts w:ascii="Times New Roman" w:hAnsi="Times New Roman" w:cs="Times New Roman"/>
          <w:sz w:val="28"/>
          <w:szCs w:val="28"/>
        </w:rPr>
        <w:t xml:space="preserve"> протеину</w:t>
      </w:r>
      <w:r>
        <w:rPr>
          <w:rFonts w:ascii="Times New Roman" w:hAnsi="Times New Roman" w:cs="Times New Roman"/>
          <w:sz w:val="28"/>
          <w:szCs w:val="28"/>
        </w:rPr>
        <w:t>рию, а та, в свою очередь,</w:t>
      </w:r>
      <w:r w:rsidRPr="006938C2">
        <w:rPr>
          <w:rFonts w:ascii="Times New Roman" w:hAnsi="Times New Roman" w:cs="Times New Roman"/>
          <w:sz w:val="28"/>
          <w:szCs w:val="28"/>
        </w:rPr>
        <w:t xml:space="preserve"> играет ведущую роль в</w:t>
      </w:r>
      <w:r>
        <w:rPr>
          <w:rFonts w:ascii="Times New Roman" w:hAnsi="Times New Roman" w:cs="Times New Roman"/>
          <w:sz w:val="28"/>
          <w:szCs w:val="28"/>
        </w:rPr>
        <w:t xml:space="preserve"> </w:t>
      </w:r>
      <w:r w:rsidRPr="006938C2">
        <w:rPr>
          <w:rFonts w:ascii="Times New Roman" w:hAnsi="Times New Roman" w:cs="Times New Roman"/>
          <w:sz w:val="28"/>
          <w:szCs w:val="28"/>
        </w:rPr>
        <w:t>прогрессирование почечной дисфункции до терминальной стадии почечной не</w:t>
      </w:r>
      <w:r>
        <w:rPr>
          <w:rFonts w:ascii="Times New Roman" w:hAnsi="Times New Roman" w:cs="Times New Roman"/>
          <w:sz w:val="28"/>
          <w:szCs w:val="28"/>
        </w:rPr>
        <w:t>достаточности [11]. Следуя этой традиционнoй модели</w:t>
      </w:r>
      <w:r w:rsidRPr="006938C2">
        <w:rPr>
          <w:rFonts w:ascii="Times New Roman" w:hAnsi="Times New Roman" w:cs="Times New Roman"/>
          <w:sz w:val="28"/>
          <w:szCs w:val="28"/>
        </w:rPr>
        <w:t>, была сосредо</w:t>
      </w:r>
      <w:r>
        <w:rPr>
          <w:rFonts w:ascii="Times New Roman" w:hAnsi="Times New Roman" w:cs="Times New Roman"/>
          <w:sz w:val="28"/>
          <w:szCs w:val="28"/>
        </w:rPr>
        <w:t>точена терапия для пациентов с CД и</w:t>
      </w:r>
      <w:r w:rsidRPr="006938C2">
        <w:rPr>
          <w:rFonts w:ascii="Times New Roman" w:hAnsi="Times New Roman" w:cs="Times New Roman"/>
          <w:sz w:val="28"/>
          <w:szCs w:val="28"/>
        </w:rPr>
        <w:t xml:space="preserve"> микроальбуминурией</w:t>
      </w:r>
      <w:r>
        <w:rPr>
          <w:rFonts w:ascii="Times New Roman" w:hAnsi="Times New Roman" w:cs="Times New Roman"/>
          <w:sz w:val="28"/>
          <w:szCs w:val="28"/>
        </w:rPr>
        <w:t xml:space="preserve"> и профилактика</w:t>
      </w:r>
      <w:r w:rsidRPr="006938C2">
        <w:rPr>
          <w:rFonts w:ascii="Times New Roman" w:hAnsi="Times New Roman" w:cs="Times New Roman"/>
          <w:sz w:val="28"/>
          <w:szCs w:val="28"/>
        </w:rPr>
        <w:t xml:space="preserve"> аль</w:t>
      </w:r>
      <w:r>
        <w:rPr>
          <w:rFonts w:ascii="Times New Roman" w:hAnsi="Times New Roman" w:cs="Times New Roman"/>
          <w:sz w:val="28"/>
          <w:szCs w:val="28"/>
        </w:rPr>
        <w:t xml:space="preserve">буминурии путем блокады </w:t>
      </w:r>
      <w:r w:rsidRPr="006938C2">
        <w:rPr>
          <w:rFonts w:ascii="Times New Roman" w:hAnsi="Times New Roman" w:cs="Times New Roman"/>
          <w:sz w:val="28"/>
          <w:szCs w:val="28"/>
        </w:rPr>
        <w:t>ренин-ангиотензин-альдостерон</w:t>
      </w:r>
      <w:r>
        <w:rPr>
          <w:rFonts w:ascii="Times New Roman" w:hAnsi="Times New Roman" w:cs="Times New Roman"/>
          <w:sz w:val="28"/>
          <w:szCs w:val="28"/>
        </w:rPr>
        <w:t>овой системы (РAA</w:t>
      </w:r>
      <w:r w:rsidRPr="006938C2">
        <w:rPr>
          <w:rFonts w:ascii="Times New Roman" w:hAnsi="Times New Roman" w:cs="Times New Roman"/>
          <w:sz w:val="28"/>
          <w:szCs w:val="28"/>
        </w:rPr>
        <w:t>С)</w:t>
      </w:r>
      <w:r>
        <w:rPr>
          <w:rFonts w:ascii="Times New Roman" w:hAnsi="Times New Roman" w:cs="Times New Roman"/>
          <w:sz w:val="28"/>
          <w:szCs w:val="28"/>
        </w:rPr>
        <w:t xml:space="preserve"> [8</w:t>
      </w:r>
      <w:r w:rsidRPr="006938C2">
        <w:rPr>
          <w:rFonts w:ascii="Times New Roman" w:hAnsi="Times New Roman" w:cs="Times New Roman"/>
          <w:sz w:val="28"/>
          <w:szCs w:val="28"/>
        </w:rPr>
        <w:t>]</w:t>
      </w:r>
      <w:r w:rsidRPr="00474967">
        <w:rPr>
          <w:rFonts w:ascii="Times New Roman" w:hAnsi="Times New Roman" w:cs="Times New Roman"/>
          <w:sz w:val="28"/>
          <w:szCs w:val="28"/>
        </w:rPr>
        <w:t>.</w:t>
      </w:r>
    </w:p>
    <w:p w:rsidR="00545400" w:rsidRPr="00474967" w:rsidRDefault="00545400" w:rsidP="00545400">
      <w:pPr>
        <w:spacing w:before="240" w:line="360" w:lineRule="auto"/>
        <w:ind w:firstLine="709"/>
        <w:jc w:val="both"/>
        <w:rPr>
          <w:rFonts w:ascii="Times New Roman" w:hAnsi="Times New Roman" w:cs="Times New Roman"/>
          <w:sz w:val="28"/>
          <w:szCs w:val="28"/>
        </w:rPr>
      </w:pPr>
    </w:p>
    <w:p w:rsidR="00545400" w:rsidRPr="00132F06" w:rsidRDefault="00545400" w:rsidP="00545400">
      <w:pPr>
        <w:spacing w:before="240" w:line="36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К</w:t>
      </w:r>
      <w:r w:rsidRPr="00A54FFC">
        <w:rPr>
          <w:rFonts w:ascii="Times New Roman" w:eastAsia="Times New Roman" w:hAnsi="Times New Roman" w:cs="Times New Roman"/>
          <w:b/>
          <w:color w:val="000000"/>
          <w:sz w:val="28"/>
          <w:szCs w:val="28"/>
        </w:rPr>
        <w:t>лассификация</w:t>
      </w:r>
      <w:r w:rsidRPr="00A54FFC">
        <w:rPr>
          <w:rFonts w:ascii="Times New Roman" w:eastAsia="Times New Roman" w:hAnsi="Times New Roman" w:cs="Times New Roman"/>
          <w:b/>
          <w:bCs/>
          <w:color w:val="000000"/>
          <w:sz w:val="28"/>
          <w:szCs w:val="28"/>
        </w:rPr>
        <w:t xml:space="preserve"> ДН</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Первая </w:t>
      </w:r>
      <w:r w:rsidRPr="00433AF6">
        <w:rPr>
          <w:rFonts w:ascii="Times New Roman" w:eastAsia="Times New Roman" w:hAnsi="Times New Roman" w:cs="Times New Roman"/>
          <w:color w:val="000000"/>
          <w:sz w:val="28"/>
          <w:szCs w:val="28"/>
        </w:rPr>
        <w:t xml:space="preserve">классификация ДН была предложена датским исследователем </w:t>
      </w:r>
      <w:r w:rsidRPr="00433AF6">
        <w:rPr>
          <w:rFonts w:ascii="Times New Roman" w:eastAsia="Times New Roman" w:hAnsi="Times New Roman" w:cs="Times New Roman"/>
          <w:color w:val="000000"/>
          <w:sz w:val="28"/>
          <w:szCs w:val="28"/>
          <w:lang w:val="en-US"/>
        </w:rPr>
        <w:t>C</w:t>
      </w:r>
      <w:r w:rsidRPr="00433AF6">
        <w:rPr>
          <w:rFonts w:ascii="Times New Roman" w:eastAsia="Times New Roman" w:hAnsi="Times New Roman" w:cs="Times New Roman"/>
          <w:color w:val="000000"/>
          <w:sz w:val="28"/>
          <w:szCs w:val="28"/>
        </w:rPr>
        <w:t>.</w:t>
      </w:r>
      <w:r w:rsidRPr="00433AF6">
        <w:rPr>
          <w:rFonts w:ascii="Times New Roman" w:eastAsia="Times New Roman" w:hAnsi="Times New Roman" w:cs="Times New Roman"/>
          <w:color w:val="000000"/>
          <w:sz w:val="28"/>
          <w:szCs w:val="28"/>
          <w:lang w:val="en-US"/>
        </w:rPr>
        <w:t>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Mogensen</w:t>
      </w:r>
      <w:r w:rsidRPr="00433AF6">
        <w:rPr>
          <w:rFonts w:ascii="Times New Roman" w:eastAsia="Times New Roman" w:hAnsi="Times New Roman" w:cs="Times New Roman"/>
          <w:color w:val="000000"/>
          <w:sz w:val="28"/>
          <w:szCs w:val="28"/>
        </w:rPr>
        <w:t xml:space="preserve"> в </w:t>
      </w:r>
      <w:smartTag w:uri="urn:schemas-microsoft-com:office:smarttags" w:element="metricconverter">
        <w:smartTagPr>
          <w:attr w:name="ProductID" w:val="1983 г"/>
        </w:smartTagPr>
        <w:r w:rsidRPr="00433AF6">
          <w:rPr>
            <w:rFonts w:ascii="Times New Roman" w:eastAsia="Times New Roman" w:hAnsi="Times New Roman" w:cs="Times New Roman"/>
            <w:color w:val="000000"/>
            <w:sz w:val="28"/>
            <w:szCs w:val="28"/>
          </w:rPr>
          <w:t>1983 г</w:t>
        </w:r>
      </w:smartTag>
      <w:r>
        <w:rPr>
          <w:rFonts w:ascii="Times New Roman" w:eastAsia="Times New Roman" w:hAnsi="Times New Roman" w:cs="Times New Roman"/>
          <w:color w:val="000000"/>
          <w:sz w:val="28"/>
          <w:szCs w:val="28"/>
        </w:rPr>
        <w:t>: выделено</w:t>
      </w:r>
      <w:r w:rsidRPr="00433AF6">
        <w:rPr>
          <w:rFonts w:ascii="Times New Roman" w:eastAsia="Times New Roman" w:hAnsi="Times New Roman" w:cs="Times New Roman"/>
          <w:color w:val="000000"/>
          <w:sz w:val="28"/>
          <w:szCs w:val="28"/>
        </w:rPr>
        <w:t xml:space="preserve"> 5 </w:t>
      </w:r>
      <w:r>
        <w:rPr>
          <w:rFonts w:ascii="Times New Roman" w:eastAsia="Times New Roman" w:hAnsi="Times New Roman" w:cs="Times New Roman"/>
          <w:color w:val="000000"/>
          <w:sz w:val="28"/>
          <w:szCs w:val="28"/>
        </w:rPr>
        <w:t>последовательных стадий развития ДН. Первые две стадии являются</w:t>
      </w:r>
      <w:r w:rsidRPr="00433AF6">
        <w:rPr>
          <w:rFonts w:ascii="Times New Roman" w:eastAsia="Times New Roman" w:hAnsi="Times New Roman" w:cs="Times New Roman"/>
          <w:color w:val="000000"/>
          <w:sz w:val="28"/>
          <w:szCs w:val="28"/>
        </w:rPr>
        <w:t xml:space="preserve"> доклиническими</w:t>
      </w:r>
      <w:r>
        <w:rPr>
          <w:rFonts w:ascii="Times New Roman" w:eastAsia="Times New Roman" w:hAnsi="Times New Roman" w:cs="Times New Roman"/>
          <w:color w:val="000000"/>
          <w:sz w:val="28"/>
          <w:szCs w:val="28"/>
        </w:rPr>
        <w:t xml:space="preserve"> и характеризуют </w:t>
      </w:r>
      <w:r w:rsidRPr="00433AF6">
        <w:rPr>
          <w:rFonts w:ascii="Times New Roman" w:eastAsia="Times New Roman" w:hAnsi="Times New Roman" w:cs="Times New Roman"/>
          <w:color w:val="000000"/>
          <w:sz w:val="28"/>
          <w:szCs w:val="28"/>
        </w:rPr>
        <w:t>обратимые</w:t>
      </w:r>
      <w:r>
        <w:rPr>
          <w:rFonts w:ascii="Times New Roman" w:eastAsia="Times New Roman" w:hAnsi="Times New Roman" w:cs="Times New Roman"/>
          <w:color w:val="000000"/>
          <w:sz w:val="28"/>
          <w:szCs w:val="28"/>
        </w:rPr>
        <w:t xml:space="preserve"> функциональные и структурные изменения</w:t>
      </w:r>
      <w:r w:rsidRPr="00433AF6">
        <w:rPr>
          <w:rFonts w:ascii="Times New Roman" w:eastAsia="Times New Roman" w:hAnsi="Times New Roman" w:cs="Times New Roman"/>
          <w:color w:val="000000"/>
          <w:sz w:val="28"/>
          <w:szCs w:val="28"/>
        </w:rPr>
        <w:t xml:space="preserve"> почек</w:t>
      </w:r>
      <w:r>
        <w:rPr>
          <w:rFonts w:ascii="Times New Roman" w:eastAsia="Times New Roman" w:hAnsi="Times New Roman" w:cs="Times New Roman"/>
          <w:color w:val="000000"/>
          <w:sz w:val="28"/>
          <w:szCs w:val="28"/>
        </w:rPr>
        <w:t>,</w:t>
      </w:r>
      <w:r w:rsidRPr="00433A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три клинические стадии развития ДН: </w:t>
      </w:r>
      <w:r w:rsidRPr="00433AF6">
        <w:rPr>
          <w:rFonts w:ascii="Times New Roman" w:eastAsia="Times New Roman" w:hAnsi="Times New Roman" w:cs="Times New Roman"/>
          <w:color w:val="000000"/>
          <w:sz w:val="28"/>
          <w:szCs w:val="28"/>
        </w:rPr>
        <w:t>стадия начинающейся ДН (стадия микроальбуминурии), стадия выраженной ДН (стад</w:t>
      </w:r>
      <w:r>
        <w:rPr>
          <w:rFonts w:ascii="Times New Roman" w:eastAsia="Times New Roman" w:hAnsi="Times New Roman" w:cs="Times New Roman"/>
          <w:color w:val="000000"/>
          <w:sz w:val="28"/>
          <w:szCs w:val="28"/>
        </w:rPr>
        <w:t>ия протеинурии) и стадия уремии (таблица</w:t>
      </w:r>
      <w:r w:rsidRPr="00A54FFC">
        <w:rPr>
          <w:rFonts w:ascii="Times New Roman" w:eastAsia="Times New Roman" w:hAnsi="Times New Roman" w:cs="Times New Roman"/>
          <w:color w:val="000000"/>
          <w:sz w:val="28"/>
          <w:szCs w:val="28"/>
        </w:rPr>
        <w:t xml:space="preserve"> 2</w:t>
      </w:r>
      <w:r>
        <w:rPr>
          <w:rFonts w:ascii="Times New Roman" w:eastAsia="Times New Roman" w:hAnsi="Times New Roman" w:cs="Times New Roman"/>
          <w:color w:val="000000"/>
          <w:sz w:val="28"/>
          <w:szCs w:val="28"/>
        </w:rPr>
        <w:t>)</w:t>
      </w:r>
      <w:r w:rsidRPr="00A54FFC">
        <w:rPr>
          <w:rFonts w:ascii="Times New Roman" w:eastAsia="Times New Roman" w:hAnsi="Times New Roman" w:cs="Times New Roman"/>
          <w:color w:val="000000"/>
          <w:sz w:val="28"/>
          <w:szCs w:val="28"/>
        </w:rPr>
        <w:t xml:space="preserve">. </w:t>
      </w:r>
    </w:p>
    <w:p w:rsidR="00545400" w:rsidRDefault="00545400" w:rsidP="00545400">
      <w:pPr>
        <w:spacing w:before="240"/>
        <w:jc w:val="both"/>
        <w:rPr>
          <w:rFonts w:ascii="Times New Roman" w:eastAsia="Times New Roman" w:hAnsi="Times New Roman" w:cs="Times New Roman"/>
          <w:b/>
          <w:bCs/>
          <w:i/>
          <w:iCs/>
          <w:color w:val="000000"/>
          <w:sz w:val="28"/>
          <w:szCs w:val="28"/>
          <w:lang w:val="x-none"/>
        </w:rPr>
      </w:pPr>
    </w:p>
    <w:p w:rsidR="00545400" w:rsidRDefault="00545400" w:rsidP="00545400">
      <w:pPr>
        <w:spacing w:before="240"/>
        <w:jc w:val="both"/>
        <w:rPr>
          <w:rFonts w:ascii="Times New Roman" w:eastAsia="Times New Roman" w:hAnsi="Times New Roman" w:cs="Times New Roman"/>
          <w:b/>
          <w:bCs/>
          <w:i/>
          <w:iCs/>
          <w:color w:val="000000"/>
          <w:sz w:val="28"/>
          <w:szCs w:val="28"/>
          <w:lang w:val="x-none"/>
        </w:rPr>
      </w:pPr>
    </w:p>
    <w:p w:rsidR="00545400" w:rsidRDefault="00545400" w:rsidP="00545400">
      <w:pPr>
        <w:spacing w:before="240"/>
        <w:jc w:val="both"/>
        <w:rPr>
          <w:rFonts w:ascii="Times New Roman" w:eastAsia="Times New Roman" w:hAnsi="Times New Roman" w:cs="Times New Roman"/>
          <w:b/>
          <w:bCs/>
          <w:i/>
          <w:iCs/>
          <w:color w:val="000000"/>
          <w:sz w:val="28"/>
          <w:szCs w:val="28"/>
          <w:lang w:val="x-none"/>
        </w:rPr>
      </w:pPr>
    </w:p>
    <w:p w:rsidR="00545400" w:rsidRDefault="00545400" w:rsidP="00545400">
      <w:pPr>
        <w:spacing w:before="240"/>
        <w:jc w:val="both"/>
        <w:rPr>
          <w:rFonts w:ascii="Times New Roman" w:eastAsia="Times New Roman" w:hAnsi="Times New Roman" w:cs="Times New Roman"/>
          <w:b/>
          <w:bCs/>
          <w:i/>
          <w:iCs/>
          <w:color w:val="000000"/>
          <w:sz w:val="28"/>
          <w:szCs w:val="28"/>
          <w:lang w:val="x-none"/>
        </w:rPr>
      </w:pPr>
    </w:p>
    <w:p w:rsidR="00545400" w:rsidRDefault="00545400" w:rsidP="00545400">
      <w:pPr>
        <w:spacing w:before="240"/>
        <w:jc w:val="both"/>
        <w:rPr>
          <w:rFonts w:ascii="Times New Roman" w:eastAsia="Times New Roman" w:hAnsi="Times New Roman" w:cs="Times New Roman"/>
          <w:b/>
          <w:bCs/>
          <w:i/>
          <w:iCs/>
          <w:color w:val="000000"/>
          <w:sz w:val="28"/>
          <w:szCs w:val="28"/>
          <w:lang w:val="x-none"/>
        </w:rPr>
      </w:pPr>
    </w:p>
    <w:p w:rsidR="00545400" w:rsidRDefault="00545400" w:rsidP="00545400">
      <w:pPr>
        <w:spacing w:before="240"/>
        <w:jc w:val="both"/>
        <w:rPr>
          <w:rFonts w:ascii="Times New Roman" w:eastAsia="Times New Roman" w:hAnsi="Times New Roman" w:cs="Times New Roman"/>
          <w:b/>
          <w:bCs/>
          <w:i/>
          <w:iCs/>
          <w:color w:val="000000"/>
          <w:sz w:val="28"/>
          <w:szCs w:val="28"/>
          <w:lang w:val="x-none"/>
        </w:rPr>
      </w:pPr>
    </w:p>
    <w:p w:rsidR="00545400" w:rsidRDefault="00545400" w:rsidP="00545400">
      <w:pPr>
        <w:spacing w:before="240"/>
        <w:jc w:val="both"/>
        <w:rPr>
          <w:rFonts w:ascii="Times New Roman" w:eastAsia="Times New Roman" w:hAnsi="Times New Roman" w:cs="Times New Roman"/>
          <w:b/>
          <w:bCs/>
          <w:i/>
          <w:iCs/>
          <w:color w:val="000000"/>
          <w:sz w:val="28"/>
          <w:szCs w:val="28"/>
          <w:lang w:val="x-none"/>
        </w:rPr>
      </w:pPr>
    </w:p>
    <w:p w:rsidR="00545400" w:rsidRDefault="00545400" w:rsidP="00545400">
      <w:pPr>
        <w:spacing w:before="240"/>
        <w:jc w:val="both"/>
        <w:rPr>
          <w:rFonts w:ascii="Times New Roman" w:eastAsia="Times New Roman" w:hAnsi="Times New Roman" w:cs="Times New Roman"/>
          <w:b/>
          <w:bCs/>
          <w:i/>
          <w:iCs/>
          <w:color w:val="000000"/>
          <w:sz w:val="28"/>
          <w:szCs w:val="28"/>
          <w:lang w:val="x-none"/>
        </w:rPr>
      </w:pPr>
    </w:p>
    <w:p w:rsidR="00545400" w:rsidRPr="00B92DB2" w:rsidRDefault="00545400" w:rsidP="00545400">
      <w:pPr>
        <w:spacing w:before="240"/>
        <w:jc w:val="both"/>
        <w:rPr>
          <w:rFonts w:ascii="Times New Roman" w:eastAsia="Times New Roman" w:hAnsi="Times New Roman" w:cs="Times New Roman"/>
          <w:b/>
          <w:bCs/>
          <w:i/>
          <w:iCs/>
          <w:color w:val="000000"/>
          <w:sz w:val="28"/>
          <w:szCs w:val="28"/>
          <w:lang w:val="x-none"/>
        </w:rPr>
      </w:pPr>
      <w:r w:rsidRPr="00B92DB2">
        <w:rPr>
          <w:rFonts w:ascii="Times New Roman" w:eastAsia="Times New Roman" w:hAnsi="Times New Roman" w:cs="Times New Roman"/>
          <w:b/>
          <w:bCs/>
          <w:i/>
          <w:iCs/>
          <w:color w:val="000000"/>
          <w:sz w:val="28"/>
          <w:szCs w:val="28"/>
          <w:lang w:val="x-none"/>
        </w:rPr>
        <w:t>Таблица</w:t>
      </w:r>
      <w:r w:rsidRPr="00B92DB2">
        <w:rPr>
          <w:rFonts w:ascii="Times New Roman" w:eastAsia="Times New Roman" w:hAnsi="Times New Roman" w:cs="Times New Roman"/>
          <w:b/>
          <w:bCs/>
          <w:i/>
          <w:iCs/>
          <w:color w:val="000000"/>
          <w:sz w:val="28"/>
          <w:szCs w:val="28"/>
        </w:rPr>
        <w:t xml:space="preserve"> 2</w:t>
      </w:r>
      <w:r w:rsidRPr="00B92DB2">
        <w:rPr>
          <w:rFonts w:ascii="Times New Roman" w:eastAsia="Times New Roman" w:hAnsi="Times New Roman" w:cs="Times New Roman"/>
          <w:b/>
          <w:bCs/>
          <w:i/>
          <w:iCs/>
          <w:color w:val="000000"/>
          <w:sz w:val="28"/>
          <w:szCs w:val="28"/>
          <w:lang w:val="x-none"/>
        </w:rPr>
        <w:t xml:space="preserve"> . Стадии развития диабетической нефропатии, предложенные С.Е. </w:t>
      </w:r>
      <w:r w:rsidRPr="00B92DB2">
        <w:rPr>
          <w:rFonts w:ascii="Times New Roman" w:eastAsia="Times New Roman" w:hAnsi="Times New Roman" w:cs="Times New Roman"/>
          <w:b/>
          <w:bCs/>
          <w:i/>
          <w:iCs/>
          <w:color w:val="000000"/>
          <w:sz w:val="28"/>
          <w:szCs w:val="28"/>
          <w:lang w:val="en-US"/>
        </w:rPr>
        <w:t>Mogensen</w:t>
      </w:r>
      <w:r>
        <w:rPr>
          <w:rFonts w:ascii="Times New Roman" w:eastAsia="Times New Roman" w:hAnsi="Times New Roman" w:cs="Times New Roman"/>
          <w:b/>
          <w:bCs/>
          <w:i/>
          <w:iCs/>
          <w:color w:val="000000"/>
          <w:sz w:val="28"/>
          <w:szCs w:val="28"/>
          <w:lang w:val="x-none"/>
        </w:rPr>
        <w:t xml:space="preserve"> (1983)[</w:t>
      </w:r>
      <w:r w:rsidRPr="00B92DB2">
        <w:rPr>
          <w:rFonts w:ascii="Times New Roman" w:eastAsia="Times New Roman" w:hAnsi="Times New Roman" w:cs="Times New Roman"/>
          <w:b/>
          <w:bCs/>
          <w:i/>
          <w:iCs/>
          <w:color w:val="000000"/>
          <w:sz w:val="28"/>
          <w:szCs w:val="28"/>
        </w:rPr>
        <w:t>10</w:t>
      </w:r>
      <w:r>
        <w:rPr>
          <w:rFonts w:ascii="Times New Roman" w:eastAsia="Times New Roman" w:hAnsi="Times New Roman" w:cs="Times New Roman"/>
          <w:b/>
          <w:bCs/>
          <w:i/>
          <w:iCs/>
          <w:color w:val="000000"/>
          <w:sz w:val="28"/>
          <w:szCs w:val="28"/>
          <w:lang w:val="x-none"/>
        </w:rPr>
        <w:t>]</w:t>
      </w:r>
    </w:p>
    <w:tbl>
      <w:tblPr>
        <w:tblW w:w="9639" w:type="dxa"/>
        <w:tblInd w:w="40" w:type="dxa"/>
        <w:tblLayout w:type="fixed"/>
        <w:tblCellMar>
          <w:left w:w="40" w:type="dxa"/>
          <w:right w:w="40" w:type="dxa"/>
        </w:tblCellMar>
        <w:tblLook w:val="0000" w:firstRow="0" w:lastRow="0" w:firstColumn="0" w:lastColumn="0" w:noHBand="0" w:noVBand="0"/>
      </w:tblPr>
      <w:tblGrid>
        <w:gridCol w:w="2331"/>
        <w:gridCol w:w="5378"/>
        <w:gridCol w:w="1930"/>
      </w:tblGrid>
      <w:tr w:rsidR="00545400" w:rsidRPr="00433AF6" w:rsidTr="00105C00">
        <w:trPr>
          <w:trHeight w:val="432"/>
        </w:trPr>
        <w:tc>
          <w:tcPr>
            <w:tcW w:w="2331"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Стадии ДН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Основные характеристики </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Время появления от начала диабета </w:t>
            </w:r>
          </w:p>
        </w:tc>
      </w:tr>
      <w:tr w:rsidR="00545400" w:rsidRPr="00433AF6" w:rsidTr="00105C00">
        <w:trPr>
          <w:trHeight w:val="835"/>
        </w:trPr>
        <w:tc>
          <w:tcPr>
            <w:tcW w:w="2331"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lang w:val="en-US"/>
              </w:rPr>
              <w:t>I</w:t>
            </w:r>
            <w:r w:rsidRPr="00433AF6">
              <w:rPr>
                <w:rFonts w:ascii="Times New Roman" w:eastAsia="Times New Roman" w:hAnsi="Times New Roman" w:cs="Times New Roman"/>
                <w:color w:val="000000"/>
                <w:sz w:val="28"/>
                <w:szCs w:val="28"/>
              </w:rPr>
              <w:t xml:space="preserve">. Стадия гиперфункции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Гиперфильтрация, гиперперфузия, гипертрофия почек, нормоальбуминурия (&lt;30 мг/сут.) </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Дебют сахарного диабета </w:t>
            </w:r>
          </w:p>
        </w:tc>
      </w:tr>
      <w:tr w:rsidR="00545400" w:rsidRPr="00433AF6" w:rsidTr="00105C00">
        <w:trPr>
          <w:trHeight w:val="922"/>
        </w:trPr>
        <w:tc>
          <w:tcPr>
            <w:tcW w:w="2331"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lang w:val="en-US"/>
              </w:rPr>
              <w:t>II</w:t>
            </w:r>
            <w:r w:rsidRPr="00433AF6">
              <w:rPr>
                <w:rFonts w:ascii="Times New Roman" w:eastAsia="Times New Roman" w:hAnsi="Times New Roman" w:cs="Times New Roman"/>
                <w:color w:val="000000"/>
                <w:sz w:val="28"/>
                <w:szCs w:val="28"/>
              </w:rPr>
              <w:t xml:space="preserve">. Стадия начальных структурных изменений почек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Утолщение базальной мембраны клубочков, экспансия мезангия, гиперфильтрация </w:t>
            </w:r>
          </w:p>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Нормоальбуминурия (&lt;30 мг/сут.) </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&gt;2лет &lt;5лет </w:t>
            </w:r>
          </w:p>
        </w:tc>
      </w:tr>
      <w:tr w:rsidR="00545400" w:rsidRPr="00433AF6" w:rsidTr="00105C00">
        <w:trPr>
          <w:trHeight w:val="468"/>
        </w:trPr>
        <w:tc>
          <w:tcPr>
            <w:tcW w:w="2331"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lang w:val="en-US"/>
              </w:rPr>
              <w:t>II</w:t>
            </w:r>
            <w:r>
              <w:rPr>
                <w:rFonts w:ascii="Times New Roman" w:eastAsia="Times New Roman" w:hAnsi="Times New Roman" w:cs="Times New Roman"/>
                <w:color w:val="000000"/>
                <w:sz w:val="28"/>
                <w:szCs w:val="28"/>
                <w:lang w:val="en-US"/>
              </w:rPr>
              <w:t>I</w:t>
            </w:r>
            <w:r w:rsidRPr="00433AF6">
              <w:rPr>
                <w:rFonts w:ascii="Times New Roman" w:eastAsia="Times New Roman" w:hAnsi="Times New Roman" w:cs="Times New Roman"/>
                <w:color w:val="000000"/>
                <w:sz w:val="28"/>
                <w:szCs w:val="28"/>
              </w:rPr>
              <w:t xml:space="preserve">. Стадия начинающейся ДН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Микроальбуминурия (от 30 до 300 мг/сут)</w:t>
            </w:r>
          </w:p>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Нормальная или умеренно повышенная СКФ </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&gt;5лет </w:t>
            </w:r>
          </w:p>
        </w:tc>
      </w:tr>
      <w:tr w:rsidR="00545400" w:rsidRPr="00433AF6" w:rsidTr="00105C00">
        <w:trPr>
          <w:trHeight w:val="618"/>
        </w:trPr>
        <w:tc>
          <w:tcPr>
            <w:tcW w:w="2331"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lang w:val="en-US"/>
              </w:rPr>
              <w:t>IV</w:t>
            </w:r>
            <w:r w:rsidRPr="00433AF6">
              <w:rPr>
                <w:rFonts w:ascii="Times New Roman" w:eastAsia="Times New Roman" w:hAnsi="Times New Roman" w:cs="Times New Roman"/>
                <w:color w:val="000000"/>
                <w:sz w:val="28"/>
                <w:szCs w:val="28"/>
              </w:rPr>
              <w:t xml:space="preserve">. Стадия выраженной ДН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Протеинурия, артериальная гипертензия </w:t>
            </w:r>
          </w:p>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снижение СКФ, склероз 50-75% клубочков </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&gt; 10-15 лет </w:t>
            </w:r>
          </w:p>
        </w:tc>
      </w:tr>
      <w:tr w:rsidR="00545400" w:rsidRPr="00433AF6" w:rsidTr="00105C00">
        <w:trPr>
          <w:trHeight w:val="432"/>
        </w:trPr>
        <w:tc>
          <w:tcPr>
            <w:tcW w:w="2331"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lang w:val="en-US"/>
              </w:rPr>
              <w:t>V</w:t>
            </w:r>
            <w:r w:rsidRPr="00433AF6">
              <w:rPr>
                <w:rFonts w:ascii="Times New Roman" w:eastAsia="Times New Roman" w:hAnsi="Times New Roman" w:cs="Times New Roman"/>
                <w:color w:val="000000"/>
                <w:sz w:val="28"/>
                <w:szCs w:val="28"/>
              </w:rPr>
              <w:t xml:space="preserve">. Стадия уремии </w:t>
            </w:r>
          </w:p>
        </w:tc>
        <w:tc>
          <w:tcPr>
            <w:tcW w:w="5378"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   СКФ&lt; 10 мл/мин, тотальный гломерулосклероз </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545400" w:rsidRPr="00433AF6" w:rsidRDefault="00545400" w:rsidP="00105C00">
            <w:pPr>
              <w:spacing w:before="240"/>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 xml:space="preserve">&gt; 15- 20 лет </w:t>
            </w:r>
          </w:p>
        </w:tc>
      </w:tr>
    </w:tbl>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сегодняшний день общепризнанной классификации ДН нет. Одной из последних является классификация</w:t>
      </w:r>
      <w:r w:rsidRPr="00D93BB7">
        <w:rPr>
          <w:rFonts w:ascii="Times New Roman" w:eastAsia="Times New Roman" w:hAnsi="Times New Roman" w:cs="Times New Roman"/>
          <w:color w:val="000000"/>
          <w:sz w:val="28"/>
          <w:szCs w:val="28"/>
        </w:rPr>
        <w:t>, объединяющая повреждения почек различной тя</w:t>
      </w:r>
      <w:r>
        <w:rPr>
          <w:rFonts w:ascii="Times New Roman" w:eastAsia="Times New Roman" w:hAnsi="Times New Roman" w:cs="Times New Roman"/>
          <w:color w:val="000000"/>
          <w:sz w:val="28"/>
          <w:szCs w:val="28"/>
        </w:rPr>
        <w:t>жести при СД, которая может быть использована</w:t>
      </w:r>
      <w:r w:rsidRPr="00D93BB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клинической практике [48]. Она состоит из четырёх </w:t>
      </w:r>
      <w:r w:rsidRPr="00D93BB7">
        <w:rPr>
          <w:rFonts w:ascii="Times New Roman" w:eastAsia="Times New Roman" w:hAnsi="Times New Roman" w:cs="Times New Roman"/>
          <w:color w:val="000000"/>
          <w:sz w:val="28"/>
          <w:szCs w:val="28"/>
        </w:rPr>
        <w:t>иерархических</w:t>
      </w:r>
      <w:r>
        <w:rPr>
          <w:rFonts w:ascii="Times New Roman" w:eastAsia="Times New Roman" w:hAnsi="Times New Roman" w:cs="Times New Roman"/>
          <w:color w:val="000000"/>
          <w:sz w:val="28"/>
          <w:szCs w:val="28"/>
        </w:rPr>
        <w:t xml:space="preserve"> уровней гломерулярных повреждений и </w:t>
      </w:r>
      <w:r w:rsidRPr="00D93BB7">
        <w:rPr>
          <w:rFonts w:ascii="Times New Roman" w:eastAsia="Times New Roman" w:hAnsi="Times New Roman" w:cs="Times New Roman"/>
          <w:color w:val="000000"/>
          <w:sz w:val="28"/>
          <w:szCs w:val="28"/>
        </w:rPr>
        <w:t xml:space="preserve">оценкой степеней интерстициального и сосудистого поражения по классам: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D93BB7">
        <w:rPr>
          <w:rFonts w:ascii="Times New Roman" w:eastAsia="Times New Roman" w:hAnsi="Times New Roman" w:cs="Times New Roman"/>
          <w:color w:val="000000"/>
          <w:sz w:val="28"/>
          <w:szCs w:val="28"/>
        </w:rPr>
        <w:lastRenderedPageBreak/>
        <w:t>Класс 1 – истончение гломерулярной баз</w:t>
      </w:r>
      <w:r>
        <w:rPr>
          <w:rFonts w:ascii="Times New Roman" w:eastAsia="Times New Roman" w:hAnsi="Times New Roman" w:cs="Times New Roman"/>
          <w:color w:val="000000"/>
          <w:sz w:val="28"/>
          <w:szCs w:val="28"/>
        </w:rPr>
        <w:t xml:space="preserve">альной мембраны в изолированных </w:t>
      </w:r>
      <w:r w:rsidRPr="00D93BB7">
        <w:rPr>
          <w:rFonts w:ascii="Times New Roman" w:eastAsia="Times New Roman" w:hAnsi="Times New Roman" w:cs="Times New Roman"/>
          <w:color w:val="000000"/>
          <w:sz w:val="28"/>
          <w:szCs w:val="28"/>
        </w:rPr>
        <w:t>клубочках и слабые, неспецифические изме</w:t>
      </w:r>
      <w:r>
        <w:rPr>
          <w:rFonts w:ascii="Times New Roman" w:eastAsia="Times New Roman" w:hAnsi="Times New Roman" w:cs="Times New Roman"/>
          <w:color w:val="000000"/>
          <w:sz w:val="28"/>
          <w:szCs w:val="28"/>
        </w:rPr>
        <w:t>нения при световой микроскопии.</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D93BB7">
        <w:rPr>
          <w:rFonts w:ascii="Times New Roman" w:eastAsia="Times New Roman" w:hAnsi="Times New Roman" w:cs="Times New Roman"/>
          <w:color w:val="000000"/>
          <w:sz w:val="28"/>
          <w:szCs w:val="28"/>
        </w:rPr>
        <w:t>Класс 2</w:t>
      </w:r>
      <w:r>
        <w:rPr>
          <w:rFonts w:ascii="Times New Roman" w:eastAsia="Times New Roman" w:hAnsi="Times New Roman" w:cs="Times New Roman"/>
          <w:color w:val="000000"/>
          <w:sz w:val="28"/>
          <w:szCs w:val="28"/>
        </w:rPr>
        <w:t xml:space="preserve"> –  </w:t>
      </w:r>
      <w:r w:rsidRPr="00D93BB7">
        <w:rPr>
          <w:rFonts w:ascii="Times New Roman" w:eastAsia="Times New Roman" w:hAnsi="Times New Roman" w:cs="Times New Roman"/>
          <w:color w:val="000000"/>
          <w:sz w:val="28"/>
          <w:szCs w:val="28"/>
        </w:rPr>
        <w:t xml:space="preserve"> 2а </w:t>
      </w:r>
      <w:r>
        <w:rPr>
          <w:rFonts w:ascii="Times New Roman" w:eastAsia="Times New Roman" w:hAnsi="Times New Roman" w:cs="Times New Roman"/>
          <w:color w:val="000000"/>
          <w:sz w:val="28"/>
          <w:szCs w:val="28"/>
        </w:rPr>
        <w:t xml:space="preserve">увеличение мезангия </w:t>
      </w:r>
      <w:r w:rsidRPr="00D93BB7">
        <w:rPr>
          <w:rFonts w:ascii="Times New Roman" w:eastAsia="Times New Roman" w:hAnsi="Times New Roman" w:cs="Times New Roman"/>
          <w:color w:val="000000"/>
          <w:sz w:val="28"/>
          <w:szCs w:val="28"/>
        </w:rPr>
        <w:t>незначительное</w:t>
      </w:r>
      <w:r>
        <w:rPr>
          <w:rFonts w:ascii="Times New Roman" w:eastAsia="Times New Roman" w:hAnsi="Times New Roman" w:cs="Times New Roman"/>
          <w:color w:val="000000"/>
          <w:sz w:val="28"/>
          <w:szCs w:val="28"/>
        </w:rPr>
        <w:t xml:space="preserve"> и 2б значительное увеличение, </w:t>
      </w:r>
      <w:r w:rsidRPr="00D93BB7">
        <w:rPr>
          <w:rFonts w:ascii="Times New Roman" w:eastAsia="Times New Roman" w:hAnsi="Times New Roman" w:cs="Times New Roman"/>
          <w:color w:val="000000"/>
          <w:sz w:val="28"/>
          <w:szCs w:val="28"/>
        </w:rPr>
        <w:t xml:space="preserve">без узелкового склероза или выраженного гломерулосклероза более чем в 50% гломерул.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D93BB7">
        <w:rPr>
          <w:rFonts w:ascii="Times New Roman" w:eastAsia="Times New Roman" w:hAnsi="Times New Roman" w:cs="Times New Roman"/>
          <w:color w:val="000000"/>
          <w:sz w:val="28"/>
          <w:szCs w:val="28"/>
        </w:rPr>
        <w:t xml:space="preserve">Класс 3 – узелковый гломерулосклероз (синдром Киммельстила – Уилсона): единичные гломерулы с узелковым увеличением в мезангиальном матриксе без изменений, описанных в 4-м классе.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D93BB7">
        <w:rPr>
          <w:rFonts w:ascii="Times New Roman" w:eastAsia="Times New Roman" w:hAnsi="Times New Roman" w:cs="Times New Roman"/>
          <w:color w:val="000000"/>
          <w:sz w:val="28"/>
          <w:szCs w:val="28"/>
        </w:rPr>
        <w:t xml:space="preserve">Класс 4 – прогрессирование диабетического гломерулосклероза: </w:t>
      </w:r>
      <w:r>
        <w:rPr>
          <w:rFonts w:ascii="Times New Roman" w:eastAsia="Times New Roman" w:hAnsi="Times New Roman" w:cs="Times New Roman"/>
          <w:color w:val="000000"/>
          <w:sz w:val="28"/>
          <w:szCs w:val="28"/>
        </w:rPr>
        <w:t>более чем 50% глобального гломе</w:t>
      </w:r>
      <w:r w:rsidRPr="00CC6192">
        <w:rPr>
          <w:rFonts w:ascii="Times New Roman" w:eastAsia="Times New Roman" w:hAnsi="Times New Roman" w:cs="Times New Roman"/>
          <w:color w:val="000000"/>
          <w:sz w:val="28"/>
          <w:szCs w:val="28"/>
        </w:rPr>
        <w:t xml:space="preserve">рулосклероза с другими клиническими или патологическими признаками ДН. </w:t>
      </w:r>
    </w:p>
    <w:p w:rsidR="00545400" w:rsidRPr="00433AF6"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433AF6">
        <w:rPr>
          <w:rFonts w:ascii="Times New Roman" w:eastAsia="Times New Roman" w:hAnsi="Times New Roman" w:cs="Times New Roman"/>
          <w:color w:val="000000"/>
          <w:sz w:val="28"/>
          <w:szCs w:val="28"/>
        </w:rPr>
        <w:t>Согласно концепции ХБП, оценка стадии почечной патологии осуществляется по величине СКФ, признанной как наиболее полно отражающей количество и суммарный объем работы нефронов, в том числе связанной с выполнением н</w:t>
      </w:r>
      <w:r>
        <w:rPr>
          <w:rFonts w:ascii="Times New Roman" w:eastAsia="Times New Roman" w:hAnsi="Times New Roman" w:cs="Times New Roman"/>
          <w:color w:val="000000"/>
          <w:sz w:val="28"/>
          <w:szCs w:val="28"/>
        </w:rPr>
        <w:t>еэкскреторных функций (таблица 3)</w:t>
      </w:r>
      <w:r w:rsidRPr="00433AF6">
        <w:rPr>
          <w:rFonts w:ascii="Times New Roman" w:eastAsia="Times New Roman" w:hAnsi="Times New Roman" w:cs="Times New Roman"/>
          <w:color w:val="000000"/>
          <w:sz w:val="28"/>
          <w:szCs w:val="28"/>
        </w:rPr>
        <w:t xml:space="preserve">. </w:t>
      </w:r>
    </w:p>
    <w:p w:rsidR="00545400" w:rsidRPr="00B92DB2" w:rsidRDefault="00545400" w:rsidP="00545400">
      <w:pPr>
        <w:spacing w:before="240"/>
        <w:jc w:val="both"/>
        <w:rPr>
          <w:rFonts w:ascii="Times New Roman" w:eastAsia="Times New Roman" w:hAnsi="Times New Roman" w:cs="Times New Roman"/>
          <w:b/>
          <w:bCs/>
          <w:i/>
          <w:color w:val="000000"/>
          <w:sz w:val="28"/>
          <w:szCs w:val="28"/>
          <w:lang w:val="x-none"/>
        </w:rPr>
      </w:pPr>
      <w:r w:rsidRPr="00B92DB2">
        <w:rPr>
          <w:rFonts w:ascii="Times New Roman" w:eastAsia="Times New Roman" w:hAnsi="Times New Roman" w:cs="Times New Roman"/>
          <w:b/>
          <w:bCs/>
          <w:i/>
          <w:color w:val="000000"/>
          <w:sz w:val="28"/>
          <w:szCs w:val="28"/>
          <w:lang w:val="x-none"/>
        </w:rPr>
        <w:t>Таблица 3</w:t>
      </w:r>
      <w:r>
        <w:rPr>
          <w:rFonts w:ascii="Times New Roman" w:eastAsia="Times New Roman" w:hAnsi="Times New Roman" w:cs="Times New Roman"/>
          <w:b/>
          <w:bCs/>
          <w:i/>
          <w:color w:val="000000"/>
          <w:sz w:val="28"/>
          <w:szCs w:val="28"/>
          <w:lang w:val="x-none"/>
        </w:rPr>
        <w:t>. Стадии ХБП по уровню СКФ[</w:t>
      </w:r>
      <w:r>
        <w:rPr>
          <w:rFonts w:ascii="Times New Roman" w:eastAsia="Times New Roman" w:hAnsi="Times New Roman" w:cs="Times New Roman"/>
          <w:b/>
          <w:bCs/>
          <w:i/>
          <w:color w:val="000000"/>
          <w:sz w:val="28"/>
          <w:szCs w:val="28"/>
        </w:rPr>
        <w:t>40</w:t>
      </w:r>
      <w:r>
        <w:rPr>
          <w:rFonts w:ascii="Times New Roman" w:eastAsia="Times New Roman" w:hAnsi="Times New Roman" w:cs="Times New Roman"/>
          <w:b/>
          <w:bCs/>
          <w:i/>
          <w:color w:val="000000"/>
          <w:sz w:val="28"/>
          <w:szCs w:val="28"/>
          <w:lang w:val="x-non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3773"/>
        <w:gridCol w:w="3133"/>
      </w:tblGrid>
      <w:tr w:rsidR="00545400" w:rsidRPr="00433AF6" w:rsidTr="00105C00">
        <w:trPr>
          <w:jc w:val="center"/>
        </w:trPr>
        <w:tc>
          <w:tcPr>
            <w:tcW w:w="2518"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Стадия</w:t>
            </w:r>
          </w:p>
        </w:tc>
        <w:tc>
          <w:tcPr>
            <w:tcW w:w="3862"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Определение</w:t>
            </w:r>
          </w:p>
        </w:tc>
        <w:tc>
          <w:tcPr>
            <w:tcW w:w="3191"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СКФ (мл/мин</w:t>
            </w:r>
            <w:r w:rsidRPr="00433AF6">
              <w:rPr>
                <w:rFonts w:ascii="Times New Roman" w:eastAsia="Times New Roman" w:hAnsi="Times New Roman" w:cs="Times New Roman"/>
                <w:bCs/>
                <w:color w:val="000000"/>
                <w:sz w:val="28"/>
                <w:szCs w:val="28"/>
                <w:lang w:val="en-GB"/>
              </w:rPr>
              <w:t>/1</w:t>
            </w:r>
            <w:r w:rsidRPr="00433AF6">
              <w:rPr>
                <w:rFonts w:ascii="Times New Roman" w:eastAsia="Times New Roman" w:hAnsi="Times New Roman" w:cs="Times New Roman"/>
                <w:bCs/>
                <w:color w:val="000000"/>
                <w:sz w:val="28"/>
                <w:szCs w:val="28"/>
              </w:rPr>
              <w:t>,</w:t>
            </w:r>
            <w:r w:rsidRPr="00433AF6">
              <w:rPr>
                <w:rFonts w:ascii="Times New Roman" w:eastAsia="Times New Roman" w:hAnsi="Times New Roman" w:cs="Times New Roman"/>
                <w:bCs/>
                <w:color w:val="000000"/>
                <w:sz w:val="28"/>
                <w:szCs w:val="28"/>
                <w:lang w:val="en-GB"/>
              </w:rPr>
              <w:t>73</w:t>
            </w:r>
            <w:r w:rsidRPr="00433AF6">
              <w:rPr>
                <w:rFonts w:ascii="Times New Roman" w:eastAsia="Times New Roman" w:hAnsi="Times New Roman" w:cs="Times New Roman"/>
                <w:bCs/>
                <w:color w:val="000000"/>
                <w:sz w:val="28"/>
                <w:szCs w:val="28"/>
              </w:rPr>
              <w:t>м</w:t>
            </w:r>
            <w:r w:rsidRPr="00433AF6">
              <w:rPr>
                <w:rFonts w:ascii="Times New Roman" w:eastAsia="Times New Roman" w:hAnsi="Times New Roman" w:cs="Times New Roman"/>
                <w:bCs/>
                <w:color w:val="000000"/>
                <w:sz w:val="28"/>
                <w:szCs w:val="28"/>
                <w:vertAlign w:val="superscript"/>
                <w:lang w:val="en-GB"/>
              </w:rPr>
              <w:t>2</w:t>
            </w:r>
            <w:r w:rsidRPr="00433AF6">
              <w:rPr>
                <w:rFonts w:ascii="Times New Roman" w:eastAsia="Times New Roman" w:hAnsi="Times New Roman" w:cs="Times New Roman"/>
                <w:bCs/>
                <w:color w:val="000000"/>
                <w:sz w:val="28"/>
                <w:szCs w:val="28"/>
              </w:rPr>
              <w:t>)</w:t>
            </w:r>
          </w:p>
        </w:tc>
      </w:tr>
      <w:tr w:rsidR="00545400" w:rsidRPr="00433AF6" w:rsidTr="00105C00">
        <w:trPr>
          <w:jc w:val="center"/>
        </w:trPr>
        <w:tc>
          <w:tcPr>
            <w:tcW w:w="2518"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1</w:t>
            </w:r>
          </w:p>
        </w:tc>
        <w:tc>
          <w:tcPr>
            <w:tcW w:w="3862"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Высокая и оптимальная</w:t>
            </w:r>
          </w:p>
        </w:tc>
        <w:tc>
          <w:tcPr>
            <w:tcW w:w="3191"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lang w:val="en-GB"/>
              </w:rPr>
              <w:t>&gt;90</w:t>
            </w:r>
          </w:p>
        </w:tc>
      </w:tr>
      <w:tr w:rsidR="00545400" w:rsidRPr="00433AF6" w:rsidTr="00105C00">
        <w:trPr>
          <w:jc w:val="center"/>
        </w:trPr>
        <w:tc>
          <w:tcPr>
            <w:tcW w:w="2518"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2</w:t>
            </w:r>
          </w:p>
        </w:tc>
        <w:tc>
          <w:tcPr>
            <w:tcW w:w="3862"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Незначительно сниженная</w:t>
            </w:r>
          </w:p>
        </w:tc>
        <w:tc>
          <w:tcPr>
            <w:tcW w:w="3191"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lang w:val="en-GB"/>
              </w:rPr>
              <w:t>60-89</w:t>
            </w:r>
          </w:p>
        </w:tc>
      </w:tr>
      <w:tr w:rsidR="00545400" w:rsidRPr="00433AF6" w:rsidTr="00105C00">
        <w:trPr>
          <w:jc w:val="center"/>
        </w:trPr>
        <w:tc>
          <w:tcPr>
            <w:tcW w:w="2518"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3а</w:t>
            </w:r>
          </w:p>
        </w:tc>
        <w:tc>
          <w:tcPr>
            <w:tcW w:w="3862"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Умеренно сниженная</w:t>
            </w:r>
          </w:p>
        </w:tc>
        <w:tc>
          <w:tcPr>
            <w:tcW w:w="3191"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45</w:t>
            </w:r>
            <w:r w:rsidRPr="00433AF6">
              <w:rPr>
                <w:rFonts w:ascii="Times New Roman" w:eastAsia="Times New Roman" w:hAnsi="Times New Roman" w:cs="Times New Roman"/>
                <w:bCs/>
                <w:color w:val="000000"/>
                <w:sz w:val="28"/>
                <w:szCs w:val="28"/>
                <w:lang w:val="en-GB"/>
              </w:rPr>
              <w:t>-59</w:t>
            </w:r>
          </w:p>
        </w:tc>
      </w:tr>
      <w:tr w:rsidR="00545400" w:rsidRPr="00433AF6" w:rsidTr="00105C00">
        <w:trPr>
          <w:jc w:val="center"/>
        </w:trPr>
        <w:tc>
          <w:tcPr>
            <w:tcW w:w="2518"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3б</w:t>
            </w:r>
          </w:p>
        </w:tc>
        <w:tc>
          <w:tcPr>
            <w:tcW w:w="3862"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Существенно сниженная</w:t>
            </w:r>
          </w:p>
        </w:tc>
        <w:tc>
          <w:tcPr>
            <w:tcW w:w="3191"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30-44</w:t>
            </w:r>
          </w:p>
        </w:tc>
      </w:tr>
      <w:tr w:rsidR="00545400" w:rsidRPr="00433AF6" w:rsidTr="00105C00">
        <w:trPr>
          <w:jc w:val="center"/>
        </w:trPr>
        <w:tc>
          <w:tcPr>
            <w:tcW w:w="2518"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4</w:t>
            </w:r>
          </w:p>
        </w:tc>
        <w:tc>
          <w:tcPr>
            <w:tcW w:w="3862"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Резко сниженная</w:t>
            </w:r>
          </w:p>
        </w:tc>
        <w:tc>
          <w:tcPr>
            <w:tcW w:w="3191"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lang w:val="en-GB"/>
              </w:rPr>
              <w:t>15-29</w:t>
            </w:r>
          </w:p>
        </w:tc>
      </w:tr>
      <w:tr w:rsidR="00545400" w:rsidRPr="00433AF6" w:rsidTr="00105C00">
        <w:trPr>
          <w:jc w:val="center"/>
        </w:trPr>
        <w:tc>
          <w:tcPr>
            <w:tcW w:w="2518"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lastRenderedPageBreak/>
              <w:t>5</w:t>
            </w:r>
          </w:p>
        </w:tc>
        <w:tc>
          <w:tcPr>
            <w:tcW w:w="3862"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rPr>
              <w:t>Терминальная почечная недостаточность</w:t>
            </w:r>
          </w:p>
        </w:tc>
        <w:tc>
          <w:tcPr>
            <w:tcW w:w="3191" w:type="dxa"/>
          </w:tcPr>
          <w:p w:rsidR="00545400" w:rsidRPr="00433AF6" w:rsidRDefault="00545400" w:rsidP="00105C00">
            <w:pPr>
              <w:spacing w:before="240"/>
              <w:jc w:val="both"/>
              <w:rPr>
                <w:rFonts w:ascii="Times New Roman" w:eastAsia="Times New Roman" w:hAnsi="Times New Roman" w:cs="Times New Roman"/>
                <w:bCs/>
                <w:color w:val="000000"/>
                <w:sz w:val="28"/>
                <w:szCs w:val="28"/>
              </w:rPr>
            </w:pPr>
            <w:r w:rsidRPr="00433AF6">
              <w:rPr>
                <w:rFonts w:ascii="Times New Roman" w:eastAsia="Times New Roman" w:hAnsi="Times New Roman" w:cs="Times New Roman"/>
                <w:bCs/>
                <w:color w:val="000000"/>
                <w:sz w:val="28"/>
                <w:szCs w:val="28"/>
                <w:lang w:val="en-GB"/>
              </w:rPr>
              <w:t>&lt;15</w:t>
            </w:r>
          </w:p>
        </w:tc>
      </w:tr>
    </w:tbl>
    <w:p w:rsidR="00545400" w:rsidRDefault="00545400" w:rsidP="00545400">
      <w:pPr>
        <w:spacing w:before="240"/>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2866F1">
        <w:rPr>
          <w:rFonts w:ascii="Times New Roman" w:eastAsia="Times New Roman" w:hAnsi="Times New Roman" w:cs="Times New Roman"/>
          <w:color w:val="000000"/>
          <w:sz w:val="28"/>
          <w:szCs w:val="28"/>
        </w:rPr>
        <w:t>В рекомендациях Американской</w:t>
      </w:r>
      <w:r>
        <w:rPr>
          <w:rFonts w:ascii="Times New Roman" w:eastAsia="Times New Roman" w:hAnsi="Times New Roman" w:cs="Times New Roman"/>
          <w:color w:val="000000"/>
          <w:sz w:val="28"/>
          <w:szCs w:val="28"/>
        </w:rPr>
        <w:t xml:space="preserve"> диабетической ассоциации (ADA) </w:t>
      </w:r>
      <w:r w:rsidRPr="002866F1">
        <w:rPr>
          <w:rFonts w:ascii="Times New Roman" w:eastAsia="Times New Roman" w:hAnsi="Times New Roman" w:cs="Times New Roman"/>
          <w:color w:val="000000"/>
          <w:sz w:val="28"/>
          <w:szCs w:val="28"/>
        </w:rPr>
        <w:t>2014 г. представлены только две</w:t>
      </w:r>
      <w:r>
        <w:rPr>
          <w:rFonts w:ascii="Times New Roman" w:eastAsia="Times New Roman" w:hAnsi="Times New Roman" w:cs="Times New Roman"/>
          <w:color w:val="000000"/>
          <w:sz w:val="28"/>
          <w:szCs w:val="28"/>
        </w:rPr>
        <w:t xml:space="preserve"> категории экскреции альбумина: </w:t>
      </w:r>
      <w:r w:rsidRPr="002866F1">
        <w:rPr>
          <w:rFonts w:ascii="Times New Roman" w:eastAsia="Times New Roman" w:hAnsi="Times New Roman" w:cs="Times New Roman"/>
          <w:color w:val="000000"/>
          <w:sz w:val="28"/>
          <w:szCs w:val="28"/>
        </w:rPr>
        <w:t>нормальная и повышенная.</w:t>
      </w:r>
      <w:r>
        <w:rPr>
          <w:rFonts w:ascii="Times New Roman" w:eastAsia="Times New Roman" w:hAnsi="Times New Roman" w:cs="Times New Roman"/>
          <w:color w:val="000000"/>
          <w:sz w:val="28"/>
          <w:szCs w:val="28"/>
        </w:rPr>
        <w:t xml:space="preserve"> В то же время понятия микро- и </w:t>
      </w:r>
      <w:r w:rsidRPr="002866F1">
        <w:rPr>
          <w:rFonts w:ascii="Times New Roman" w:eastAsia="Times New Roman" w:hAnsi="Times New Roman" w:cs="Times New Roman"/>
          <w:color w:val="000000"/>
          <w:sz w:val="28"/>
          <w:szCs w:val="28"/>
        </w:rPr>
        <w:t>макроальбуминурии отнесены к историчес</w:t>
      </w:r>
      <w:r>
        <w:rPr>
          <w:rFonts w:ascii="Times New Roman" w:eastAsia="Times New Roman" w:hAnsi="Times New Roman" w:cs="Times New Roman"/>
          <w:color w:val="000000"/>
          <w:sz w:val="28"/>
          <w:szCs w:val="28"/>
        </w:rPr>
        <w:t>ким</w:t>
      </w:r>
      <w:r w:rsidRPr="009726E9">
        <w:rPr>
          <w:rFonts w:ascii="Times New Roman" w:eastAsia="Times New Roman" w:hAnsi="Times New Roman" w:cs="Times New Roman"/>
          <w:color w:val="000000"/>
          <w:sz w:val="28"/>
          <w:szCs w:val="28"/>
        </w:rPr>
        <w:t xml:space="preserve"> [13]</w:t>
      </w:r>
      <w:r>
        <w:rPr>
          <w:rFonts w:ascii="Times New Roman" w:eastAsia="Times New Roman" w:hAnsi="Times New Roman" w:cs="Times New Roman"/>
          <w:color w:val="000000"/>
          <w:sz w:val="28"/>
          <w:szCs w:val="28"/>
        </w:rPr>
        <w:t xml:space="preserve">.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Диагностика</w:t>
      </w:r>
    </w:p>
    <w:p w:rsidR="00545400" w:rsidRDefault="00545400" w:rsidP="00545400">
      <w:pPr>
        <w:spacing w:before="240" w:line="360" w:lineRule="auto"/>
        <w:ind w:firstLine="709"/>
        <w:jc w:val="center"/>
        <w:rPr>
          <w:rFonts w:ascii="Times New Roman" w:hAnsi="Times New Roman" w:cs="Times New Roman"/>
          <w:b/>
          <w:sz w:val="28"/>
          <w:szCs w:val="28"/>
        </w:rPr>
      </w:pPr>
    </w:p>
    <w:p w:rsidR="00545400" w:rsidRDefault="00545400" w:rsidP="00545400">
      <w:pPr>
        <w:spacing w:before="240" w:line="360" w:lineRule="auto"/>
        <w:ind w:firstLine="709"/>
        <w:jc w:val="both"/>
        <w:rPr>
          <w:rFonts w:ascii="Times New Roman" w:hAnsi="Times New Roman" w:cs="Times New Roman"/>
          <w:sz w:val="28"/>
          <w:szCs w:val="28"/>
        </w:rPr>
      </w:pPr>
      <w:r w:rsidRPr="006D6FEB">
        <w:rPr>
          <w:rFonts w:ascii="Times New Roman" w:hAnsi="Times New Roman" w:cs="Times New Roman"/>
          <w:sz w:val="28"/>
          <w:szCs w:val="28"/>
        </w:rPr>
        <w:t xml:space="preserve">Минздрав России утвердил новую классификацию ДН, включающую 3 стадии развития: </w:t>
      </w:r>
    </w:p>
    <w:p w:rsidR="00545400" w:rsidRDefault="00545400" w:rsidP="00545400">
      <w:pPr>
        <w:spacing w:before="240" w:line="360" w:lineRule="auto"/>
        <w:ind w:firstLine="709"/>
        <w:jc w:val="both"/>
        <w:rPr>
          <w:rFonts w:ascii="Times New Roman" w:hAnsi="Times New Roman" w:cs="Times New Roman"/>
          <w:sz w:val="28"/>
          <w:szCs w:val="28"/>
        </w:rPr>
      </w:pPr>
      <w:r w:rsidRPr="006D6FEB">
        <w:rPr>
          <w:rFonts w:ascii="Times New Roman" w:hAnsi="Times New Roman" w:cs="Times New Roman"/>
          <w:sz w:val="28"/>
          <w:szCs w:val="28"/>
        </w:rPr>
        <w:t xml:space="preserve">* стадию микроальбуминурии; </w:t>
      </w:r>
    </w:p>
    <w:p w:rsidR="00545400" w:rsidRDefault="00545400" w:rsidP="00545400">
      <w:pPr>
        <w:spacing w:before="240" w:line="360" w:lineRule="auto"/>
        <w:ind w:firstLine="709"/>
        <w:jc w:val="both"/>
        <w:rPr>
          <w:rFonts w:ascii="Times New Roman" w:hAnsi="Times New Roman" w:cs="Times New Roman"/>
          <w:sz w:val="28"/>
          <w:szCs w:val="28"/>
        </w:rPr>
      </w:pPr>
      <w:r w:rsidRPr="006D6FEB">
        <w:rPr>
          <w:rFonts w:ascii="Times New Roman" w:hAnsi="Times New Roman" w:cs="Times New Roman"/>
          <w:sz w:val="28"/>
          <w:szCs w:val="28"/>
        </w:rPr>
        <w:t xml:space="preserve">* стадию протеинурии с сохранной фильтрационной функцией почек;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стадию хро</w:t>
      </w:r>
      <w:r w:rsidRPr="006D6FEB">
        <w:rPr>
          <w:rFonts w:ascii="Times New Roman" w:hAnsi="Times New Roman" w:cs="Times New Roman"/>
          <w:sz w:val="28"/>
          <w:szCs w:val="28"/>
        </w:rPr>
        <w:t>нической почечной недостаточности (ХПН)</w:t>
      </w:r>
      <w:r>
        <w:rPr>
          <w:rFonts w:ascii="Times New Roman" w:hAnsi="Times New Roman" w:cs="Times New Roman"/>
          <w:sz w:val="28"/>
          <w:szCs w:val="28"/>
        </w:rPr>
        <w:t xml:space="preserve"> </w:t>
      </w:r>
      <w:r w:rsidRPr="00474967">
        <w:rPr>
          <w:rFonts w:ascii="Times New Roman" w:hAnsi="Times New Roman" w:cs="Times New Roman"/>
          <w:sz w:val="28"/>
          <w:szCs w:val="28"/>
        </w:rPr>
        <w:t>[</w:t>
      </w:r>
      <w:r>
        <w:rPr>
          <w:rFonts w:ascii="Times New Roman" w:hAnsi="Times New Roman" w:cs="Times New Roman"/>
          <w:sz w:val="28"/>
          <w:szCs w:val="28"/>
        </w:rPr>
        <w:t>12</w:t>
      </w:r>
      <w:r w:rsidRPr="00474967">
        <w:rPr>
          <w:rFonts w:ascii="Times New Roman" w:hAnsi="Times New Roman" w:cs="Times New Roman"/>
          <w:sz w:val="28"/>
          <w:szCs w:val="28"/>
        </w:rPr>
        <w:t>]</w:t>
      </w:r>
      <w:r w:rsidRPr="006D6FEB">
        <w:rPr>
          <w:rFonts w:ascii="Times New Roman" w:hAnsi="Times New Roman" w:cs="Times New Roman"/>
          <w:sz w:val="28"/>
          <w:szCs w:val="28"/>
        </w:rPr>
        <w:t>.</w:t>
      </w:r>
    </w:p>
    <w:p w:rsidR="00545400" w:rsidRPr="006D6FEB" w:rsidRDefault="00545400" w:rsidP="00545400">
      <w:pPr>
        <w:spacing w:before="240" w:line="360" w:lineRule="auto"/>
        <w:ind w:firstLine="709"/>
        <w:jc w:val="both"/>
        <w:rPr>
          <w:rFonts w:ascii="Times New Roman" w:hAnsi="Times New Roman" w:cs="Times New Roman"/>
          <w:sz w:val="28"/>
          <w:szCs w:val="28"/>
        </w:rPr>
      </w:pPr>
    </w:p>
    <w:p w:rsidR="00545400" w:rsidRDefault="00545400" w:rsidP="00545400">
      <w:pPr>
        <w:spacing w:before="240" w:line="360" w:lineRule="auto"/>
        <w:ind w:firstLine="709"/>
        <w:jc w:val="center"/>
        <w:rPr>
          <w:rFonts w:ascii="Times New Roman" w:hAnsi="Times New Roman" w:cs="Times New Roman"/>
          <w:b/>
          <w:sz w:val="28"/>
          <w:szCs w:val="28"/>
        </w:rPr>
      </w:pPr>
      <w:r w:rsidRPr="00C843F7">
        <w:rPr>
          <w:rFonts w:ascii="Times New Roman" w:hAnsi="Times New Roman" w:cs="Times New Roman"/>
          <w:b/>
          <w:bCs/>
          <w:sz w:val="28"/>
          <w:szCs w:val="28"/>
        </w:rPr>
        <w:t>Скрининг ДН и ХБП при СД</w:t>
      </w:r>
    </w:p>
    <w:p w:rsidR="00545400" w:rsidRDefault="00545400" w:rsidP="00545400">
      <w:pPr>
        <w:spacing w:before="240" w:line="360" w:lineRule="auto"/>
        <w:ind w:firstLine="709"/>
        <w:jc w:val="both"/>
        <w:rPr>
          <w:rFonts w:ascii="Times New Roman" w:hAnsi="Times New Roman" w:cs="Times New Roman"/>
          <w:sz w:val="28"/>
          <w:szCs w:val="28"/>
        </w:rPr>
      </w:pPr>
      <w:r w:rsidRPr="006D6FEB">
        <w:rPr>
          <w:rFonts w:ascii="Times New Roman" w:hAnsi="Times New Roman" w:cs="Times New Roman"/>
          <w:sz w:val="28"/>
          <w:szCs w:val="28"/>
        </w:rPr>
        <w:t>Наиболее ранним и достоверным методом диагностики</w:t>
      </w:r>
      <w:r>
        <w:rPr>
          <w:rFonts w:ascii="Times New Roman" w:hAnsi="Times New Roman" w:cs="Times New Roman"/>
          <w:sz w:val="28"/>
          <w:szCs w:val="28"/>
        </w:rPr>
        <w:t xml:space="preserve"> на сегодняшний день </w:t>
      </w:r>
      <w:r w:rsidRPr="006D6FEB">
        <w:rPr>
          <w:rFonts w:ascii="Times New Roman" w:hAnsi="Times New Roman" w:cs="Times New Roman"/>
          <w:sz w:val="28"/>
          <w:szCs w:val="28"/>
        </w:rPr>
        <w:t>является тест на микроальбуминурию</w:t>
      </w:r>
      <w:r>
        <w:rPr>
          <w:rFonts w:ascii="Times New Roman" w:hAnsi="Times New Roman" w:cs="Times New Roman"/>
          <w:sz w:val="28"/>
          <w:szCs w:val="28"/>
        </w:rPr>
        <w:t xml:space="preserve"> (экскреция</w:t>
      </w:r>
      <w:r w:rsidRPr="006D6FEB">
        <w:rPr>
          <w:rFonts w:ascii="Times New Roman" w:hAnsi="Times New Roman" w:cs="Times New Roman"/>
          <w:sz w:val="28"/>
          <w:szCs w:val="28"/>
        </w:rPr>
        <w:t xml:space="preserve"> альбумина с мочой в низких количествах (от 30 до 300 мг/сут)</w:t>
      </w:r>
      <w:r>
        <w:rPr>
          <w:rFonts w:ascii="Times New Roman" w:hAnsi="Times New Roman" w:cs="Times New Roman"/>
          <w:sz w:val="28"/>
          <w:szCs w:val="28"/>
        </w:rPr>
        <w:t>)</w:t>
      </w:r>
      <w:r w:rsidRPr="006D6FEB">
        <w:rPr>
          <w:rFonts w:ascii="Times New Roman" w:hAnsi="Times New Roman" w:cs="Times New Roman"/>
          <w:sz w:val="28"/>
          <w:szCs w:val="28"/>
        </w:rPr>
        <w:t>.</w:t>
      </w:r>
      <w:r>
        <w:rPr>
          <w:rFonts w:ascii="Times New Roman" w:hAnsi="Times New Roman" w:cs="Times New Roman"/>
          <w:sz w:val="28"/>
          <w:szCs w:val="28"/>
        </w:rPr>
        <w:t xml:space="preserve"> В следствии того, что на современном этапе, </w:t>
      </w:r>
      <w:r w:rsidRPr="006D6FEB">
        <w:rPr>
          <w:rFonts w:ascii="Times New Roman" w:hAnsi="Times New Roman" w:cs="Times New Roman"/>
          <w:sz w:val="28"/>
          <w:szCs w:val="28"/>
        </w:rPr>
        <w:t>при традиционном рутинном исследовании мочи</w:t>
      </w:r>
      <w:r>
        <w:rPr>
          <w:rFonts w:ascii="Times New Roman" w:hAnsi="Times New Roman" w:cs="Times New Roman"/>
          <w:sz w:val="28"/>
          <w:szCs w:val="28"/>
        </w:rPr>
        <w:t xml:space="preserve">, такие количества белка не определимы, доклиническая </w:t>
      </w:r>
      <w:r w:rsidRPr="006D6FEB">
        <w:rPr>
          <w:rFonts w:ascii="Times New Roman" w:hAnsi="Times New Roman" w:cs="Times New Roman"/>
          <w:sz w:val="28"/>
          <w:szCs w:val="28"/>
        </w:rPr>
        <w:t>ранняя</w:t>
      </w:r>
      <w:r>
        <w:rPr>
          <w:rFonts w:ascii="Times New Roman" w:hAnsi="Times New Roman" w:cs="Times New Roman"/>
          <w:sz w:val="28"/>
          <w:szCs w:val="28"/>
        </w:rPr>
        <w:t xml:space="preserve"> обратимая</w:t>
      </w:r>
      <w:r w:rsidRPr="006D6FEB">
        <w:rPr>
          <w:rFonts w:ascii="Times New Roman" w:hAnsi="Times New Roman" w:cs="Times New Roman"/>
          <w:sz w:val="28"/>
          <w:szCs w:val="28"/>
        </w:rPr>
        <w:t xml:space="preserve"> стадия ДН может быть не диагностирована.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w:t>
      </w:r>
      <w:r w:rsidRPr="00CC6192">
        <w:rPr>
          <w:rFonts w:ascii="Times New Roman" w:hAnsi="Times New Roman" w:cs="Times New Roman"/>
          <w:sz w:val="28"/>
          <w:szCs w:val="28"/>
        </w:rPr>
        <w:t>е рекомендуется использ</w:t>
      </w:r>
      <w:r>
        <w:rPr>
          <w:rFonts w:ascii="Times New Roman" w:hAnsi="Times New Roman" w:cs="Times New Roman"/>
          <w:sz w:val="28"/>
          <w:szCs w:val="28"/>
        </w:rPr>
        <w:t xml:space="preserve">овать термины микроальбуминурия </w:t>
      </w:r>
      <w:r w:rsidRPr="00CC6192">
        <w:rPr>
          <w:rFonts w:ascii="Times New Roman" w:hAnsi="Times New Roman" w:cs="Times New Roman"/>
          <w:sz w:val="28"/>
          <w:szCs w:val="28"/>
        </w:rPr>
        <w:t xml:space="preserve">и макроальбуминурия (экскреция более </w:t>
      </w:r>
      <w:r>
        <w:rPr>
          <w:rFonts w:ascii="Times New Roman" w:hAnsi="Times New Roman" w:cs="Times New Roman"/>
          <w:sz w:val="28"/>
          <w:szCs w:val="28"/>
        </w:rPr>
        <w:t xml:space="preserve">300 мг/сут), предпочтительнее </w:t>
      </w:r>
      <w:r w:rsidRPr="00CC6192">
        <w:rPr>
          <w:rFonts w:ascii="Times New Roman" w:hAnsi="Times New Roman" w:cs="Times New Roman"/>
          <w:sz w:val="28"/>
          <w:szCs w:val="28"/>
        </w:rPr>
        <w:t>пользова</w:t>
      </w:r>
      <w:r>
        <w:rPr>
          <w:rFonts w:ascii="Times New Roman" w:hAnsi="Times New Roman" w:cs="Times New Roman"/>
          <w:sz w:val="28"/>
          <w:szCs w:val="28"/>
        </w:rPr>
        <w:t xml:space="preserve">ться степенями градации А2 и А3 последней </w:t>
      </w:r>
      <w:r w:rsidRPr="00CC6192">
        <w:rPr>
          <w:rFonts w:ascii="Times New Roman" w:hAnsi="Times New Roman" w:cs="Times New Roman"/>
          <w:sz w:val="28"/>
          <w:szCs w:val="28"/>
        </w:rPr>
        <w:t>классификации KDIGO</w:t>
      </w:r>
      <w:r>
        <w:rPr>
          <w:rFonts w:ascii="Times New Roman" w:hAnsi="Times New Roman" w:cs="Times New Roman"/>
          <w:sz w:val="28"/>
          <w:szCs w:val="28"/>
        </w:rPr>
        <w:t xml:space="preserve"> (рисунок )1</w:t>
      </w:r>
      <w:r w:rsidRPr="00CC6192">
        <w:rPr>
          <w:rFonts w:ascii="Times New Roman" w:hAnsi="Times New Roman" w:cs="Times New Roman"/>
          <w:sz w:val="28"/>
          <w:szCs w:val="28"/>
        </w:rPr>
        <w:t>, которые соответствуют уровня</w:t>
      </w:r>
      <w:r>
        <w:rPr>
          <w:rFonts w:ascii="Times New Roman" w:hAnsi="Times New Roman" w:cs="Times New Roman"/>
          <w:sz w:val="28"/>
          <w:szCs w:val="28"/>
        </w:rPr>
        <w:t>м микро- и макроальбуминурии [48</w:t>
      </w:r>
      <w:r w:rsidRPr="00CC6192">
        <w:rPr>
          <w:rFonts w:ascii="Times New Roman" w:hAnsi="Times New Roman" w:cs="Times New Roman"/>
          <w:sz w:val="28"/>
          <w:szCs w:val="28"/>
        </w:rPr>
        <w:t xml:space="preserve">]. </w:t>
      </w:r>
      <w:r>
        <w:rPr>
          <w:rFonts w:ascii="Times New Roman" w:hAnsi="Times New Roman" w:cs="Times New Roman"/>
          <w:sz w:val="28"/>
          <w:szCs w:val="28"/>
        </w:rPr>
        <w:t xml:space="preserve"> Альтернативным методом является</w:t>
      </w:r>
      <w:r w:rsidRPr="00CC6192">
        <w:rPr>
          <w:rFonts w:ascii="Times New Roman" w:hAnsi="Times New Roman" w:cs="Times New Roman"/>
          <w:sz w:val="28"/>
          <w:szCs w:val="28"/>
        </w:rPr>
        <w:t xml:space="preserve"> </w:t>
      </w:r>
      <w:r>
        <w:rPr>
          <w:rFonts w:ascii="Times New Roman" w:hAnsi="Times New Roman" w:cs="Times New Roman"/>
          <w:sz w:val="28"/>
          <w:szCs w:val="28"/>
        </w:rPr>
        <w:t>точное биохимическое исследование</w:t>
      </w:r>
      <w:r w:rsidRPr="00CC6192">
        <w:rPr>
          <w:rFonts w:ascii="Times New Roman" w:hAnsi="Times New Roman" w:cs="Times New Roman"/>
          <w:sz w:val="28"/>
          <w:szCs w:val="28"/>
        </w:rPr>
        <w:t xml:space="preserve"> соотношения альбумин</w:t>
      </w:r>
      <w:r>
        <w:rPr>
          <w:rFonts w:ascii="Times New Roman" w:hAnsi="Times New Roman" w:cs="Times New Roman"/>
          <w:sz w:val="28"/>
          <w:szCs w:val="28"/>
        </w:rPr>
        <w:t xml:space="preserve"> </w:t>
      </w:r>
      <w:r w:rsidRPr="00CC6192">
        <w:rPr>
          <w:rFonts w:ascii="Times New Roman" w:hAnsi="Times New Roman" w:cs="Times New Roman"/>
          <w:sz w:val="28"/>
          <w:szCs w:val="28"/>
        </w:rPr>
        <w:t>/</w:t>
      </w:r>
      <w:r>
        <w:rPr>
          <w:rFonts w:ascii="Times New Roman" w:hAnsi="Times New Roman" w:cs="Times New Roman"/>
          <w:sz w:val="28"/>
          <w:szCs w:val="28"/>
        </w:rPr>
        <w:t xml:space="preserve"> </w:t>
      </w:r>
      <w:r w:rsidRPr="00CC6192">
        <w:rPr>
          <w:rFonts w:ascii="Times New Roman" w:hAnsi="Times New Roman" w:cs="Times New Roman"/>
          <w:sz w:val="28"/>
          <w:szCs w:val="28"/>
        </w:rPr>
        <w:t>креатинин в утренней порции мочи (показатель менее 3 мг/ммоль считается нормальным, значения от 3 до 30 соответствуют градации альбуминурии А2, значения выше 30 мг/ммоль соответствуют градации А3).</w:t>
      </w:r>
    </w:p>
    <w:p w:rsidR="00545400" w:rsidRDefault="00545400" w:rsidP="00545400">
      <w:pPr>
        <w:jc w:val="center"/>
      </w:pPr>
    </w:p>
    <w:p w:rsidR="00545400" w:rsidRDefault="00545400" w:rsidP="00545400">
      <w:pPr>
        <w:spacing w:before="240" w:line="360" w:lineRule="auto"/>
        <w:jc w:val="both"/>
        <w:rPr>
          <w:rFonts w:ascii="Times New Roman" w:hAnsi="Times New Roman" w:cs="Times New Roman"/>
          <w:sz w:val="28"/>
          <w:szCs w:val="28"/>
        </w:rPr>
      </w:pPr>
      <w:r>
        <w:rPr>
          <w:noProof/>
          <w:lang w:eastAsia="ru-RU"/>
        </w:rPr>
        <w:drawing>
          <wp:inline distT="0" distB="0" distL="0" distR="0" wp14:anchorId="5659F7FA" wp14:editId="548B0BE2">
            <wp:extent cx="5943600" cy="4562320"/>
            <wp:effectExtent l="0" t="0" r="0" b="0"/>
            <wp:docPr id="1" name="Рисунок 1" descr="ÐÐ°ÑÑÐ¸Ð½ÐºÐ¸ Ð¿Ð¾ Ð·Ð°Ð¿ÑÐ¾ÑÑ Ð¿ÑÐ¾Ð³Ð½Ð¾Ð· ÑÐ±Ð¿ K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ÑÐ¾Ð³Ð½Ð¾Ð· ÑÐ±Ð¿ KDI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204" cy="4569692"/>
                    </a:xfrm>
                    <a:prstGeom prst="rect">
                      <a:avLst/>
                    </a:prstGeom>
                    <a:noFill/>
                    <a:ln>
                      <a:noFill/>
                    </a:ln>
                  </pic:spPr>
                </pic:pic>
              </a:graphicData>
            </a:graphic>
          </wp:inline>
        </w:drawing>
      </w:r>
    </w:p>
    <w:p w:rsidR="00545400" w:rsidRPr="00C81FDF" w:rsidRDefault="00545400" w:rsidP="00545400">
      <w:pPr>
        <w:spacing w:before="240" w:line="360" w:lineRule="auto"/>
        <w:jc w:val="both"/>
        <w:rPr>
          <w:rFonts w:ascii="Times New Roman" w:hAnsi="Times New Roman" w:cs="Times New Roman"/>
          <w:b/>
          <w:i/>
          <w:sz w:val="28"/>
          <w:szCs w:val="28"/>
        </w:rPr>
      </w:pPr>
      <w:r w:rsidRPr="00C81FDF">
        <w:rPr>
          <w:rFonts w:ascii="Times New Roman" w:hAnsi="Times New Roman" w:cs="Times New Roman"/>
          <w:b/>
          <w:i/>
          <w:sz w:val="28"/>
          <w:szCs w:val="28"/>
        </w:rPr>
        <w:t xml:space="preserve">Рисунок 1. Классификация ХБП. </w:t>
      </w:r>
      <w:r w:rsidRPr="00C81FDF">
        <w:rPr>
          <w:rFonts w:ascii="Times New Roman" w:hAnsi="Times New Roman" w:cs="Times New Roman"/>
          <w:b/>
          <w:i/>
          <w:sz w:val="28"/>
          <w:szCs w:val="28"/>
          <w:lang w:val="en-US"/>
        </w:rPr>
        <w:t>KDIGO</w:t>
      </w:r>
      <w:r w:rsidRPr="00C81FDF">
        <w:rPr>
          <w:rFonts w:ascii="Times New Roman" w:hAnsi="Times New Roman" w:cs="Times New Roman"/>
          <w:b/>
          <w:i/>
          <w:sz w:val="28"/>
          <w:szCs w:val="28"/>
        </w:rPr>
        <w:t xml:space="preserve"> 2012</w:t>
      </w:r>
    </w:p>
    <w:p w:rsidR="00545400" w:rsidRDefault="00545400" w:rsidP="00545400">
      <w:pPr>
        <w:spacing w:before="240" w:line="360" w:lineRule="auto"/>
        <w:ind w:firstLine="709"/>
        <w:jc w:val="both"/>
        <w:rPr>
          <w:rFonts w:ascii="Times New Roman" w:hAnsi="Times New Roman" w:cs="Times New Roman"/>
          <w:sz w:val="28"/>
          <w:szCs w:val="28"/>
        </w:rPr>
      </w:pPr>
      <w:r w:rsidRPr="006D6FEB">
        <w:rPr>
          <w:rFonts w:ascii="Times New Roman" w:hAnsi="Times New Roman" w:cs="Times New Roman"/>
          <w:sz w:val="28"/>
          <w:szCs w:val="28"/>
        </w:rPr>
        <w:t>Согласно рекомендациям Американской</w:t>
      </w:r>
      <w:r>
        <w:rPr>
          <w:rFonts w:ascii="Times New Roman" w:hAnsi="Times New Roman" w:cs="Times New Roman"/>
          <w:sz w:val="28"/>
          <w:szCs w:val="28"/>
        </w:rPr>
        <w:t xml:space="preserve"> диабетической ассоциации </w:t>
      </w:r>
      <w:r w:rsidRPr="006D6FEB">
        <w:rPr>
          <w:rFonts w:ascii="Times New Roman" w:hAnsi="Times New Roman" w:cs="Times New Roman"/>
          <w:sz w:val="28"/>
          <w:szCs w:val="28"/>
        </w:rPr>
        <w:t>и Европейской гр</w:t>
      </w:r>
      <w:r>
        <w:rPr>
          <w:rFonts w:ascii="Times New Roman" w:hAnsi="Times New Roman" w:cs="Times New Roman"/>
          <w:sz w:val="28"/>
          <w:szCs w:val="28"/>
        </w:rPr>
        <w:t>уппы по изучению СД</w:t>
      </w:r>
      <w:r w:rsidRPr="006D6FEB">
        <w:rPr>
          <w:rFonts w:ascii="Times New Roman" w:hAnsi="Times New Roman" w:cs="Times New Roman"/>
          <w:sz w:val="28"/>
          <w:szCs w:val="28"/>
        </w:rPr>
        <w:t xml:space="preserve">, исследование микроальбуминурии </w:t>
      </w:r>
      <w:r w:rsidRPr="006D6FEB">
        <w:rPr>
          <w:rFonts w:ascii="Times New Roman" w:hAnsi="Times New Roman" w:cs="Times New Roman"/>
          <w:sz w:val="28"/>
          <w:szCs w:val="28"/>
        </w:rPr>
        <w:lastRenderedPageBreak/>
        <w:t>входит в</w:t>
      </w:r>
      <w:r>
        <w:rPr>
          <w:rFonts w:ascii="Times New Roman" w:hAnsi="Times New Roman" w:cs="Times New Roman"/>
          <w:sz w:val="28"/>
          <w:szCs w:val="28"/>
        </w:rPr>
        <w:t xml:space="preserve"> перечень обязательных </w:t>
      </w:r>
      <w:r w:rsidRPr="006D6FEB">
        <w:rPr>
          <w:rFonts w:ascii="Times New Roman" w:hAnsi="Times New Roman" w:cs="Times New Roman"/>
          <w:sz w:val="28"/>
          <w:szCs w:val="28"/>
        </w:rPr>
        <w:t>методов о</w:t>
      </w:r>
      <w:r>
        <w:rPr>
          <w:rFonts w:ascii="Times New Roman" w:hAnsi="Times New Roman" w:cs="Times New Roman"/>
          <w:sz w:val="28"/>
          <w:szCs w:val="28"/>
        </w:rPr>
        <w:t>бследования больных СД, для этого были разработаны программы скрининга</w:t>
      </w:r>
      <w:r w:rsidRPr="006E7650">
        <w:rPr>
          <w:rFonts w:ascii="Times New Roman" w:hAnsi="Times New Roman" w:cs="Times New Roman"/>
          <w:sz w:val="28"/>
          <w:szCs w:val="28"/>
        </w:rPr>
        <w:t xml:space="preserve"> [13]</w:t>
      </w:r>
      <w:r>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больных СД 1 типа </w:t>
      </w:r>
      <w:r w:rsidRPr="00EB59A7">
        <w:rPr>
          <w:rFonts w:ascii="Times New Roman" w:hAnsi="Times New Roman" w:cs="Times New Roman"/>
          <w:sz w:val="28"/>
          <w:szCs w:val="28"/>
        </w:rPr>
        <w:t xml:space="preserve">1 </w:t>
      </w:r>
      <w:r>
        <w:rPr>
          <w:rFonts w:ascii="Times New Roman" w:hAnsi="Times New Roman" w:cs="Times New Roman"/>
          <w:sz w:val="28"/>
          <w:szCs w:val="28"/>
        </w:rPr>
        <w:t>раз в год спустя 5 лет с момента манифестации</w:t>
      </w:r>
      <w:r w:rsidRPr="00EB59A7">
        <w:rPr>
          <w:rFonts w:ascii="Times New Roman" w:hAnsi="Times New Roman" w:cs="Times New Roman"/>
          <w:sz w:val="28"/>
          <w:szCs w:val="28"/>
        </w:rPr>
        <w:t xml:space="preserve"> СД (</w:t>
      </w:r>
      <w:r>
        <w:rPr>
          <w:rFonts w:ascii="Times New Roman" w:hAnsi="Times New Roman" w:cs="Times New Roman"/>
          <w:sz w:val="28"/>
          <w:szCs w:val="28"/>
        </w:rPr>
        <w:t xml:space="preserve">при дебюте СД после пубертата) и </w:t>
      </w:r>
      <w:r w:rsidRPr="00EB59A7">
        <w:rPr>
          <w:rFonts w:ascii="Times New Roman" w:hAnsi="Times New Roman" w:cs="Times New Roman"/>
          <w:sz w:val="28"/>
          <w:szCs w:val="28"/>
        </w:rPr>
        <w:t xml:space="preserve">1 раз в год с момента установления диагноза СД (при дебюте СД в период пубертата); </w:t>
      </w:r>
    </w:p>
    <w:p w:rsidR="00545400" w:rsidRPr="006D6FEB"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больных СД 2 типа ежегодно </w:t>
      </w:r>
      <w:r w:rsidRPr="00EB59A7">
        <w:rPr>
          <w:rFonts w:ascii="Times New Roman" w:hAnsi="Times New Roman" w:cs="Times New Roman"/>
          <w:sz w:val="28"/>
          <w:szCs w:val="28"/>
        </w:rPr>
        <w:t>с момента установления диагноза СД</w:t>
      </w:r>
      <w:r>
        <w:rPr>
          <w:rFonts w:ascii="Times New Roman" w:hAnsi="Times New Roman" w:cs="Times New Roman"/>
          <w:sz w:val="28"/>
          <w:szCs w:val="28"/>
        </w:rPr>
        <w:t xml:space="preserve">. </w:t>
      </w:r>
    </w:p>
    <w:p w:rsidR="00545400" w:rsidRPr="006C719F" w:rsidRDefault="00545400" w:rsidP="00545400">
      <w:pPr>
        <w:pStyle w:val="a5"/>
        <w:numPr>
          <w:ilvl w:val="0"/>
          <w:numId w:val="12"/>
        </w:numPr>
        <w:spacing w:before="240" w:line="360" w:lineRule="auto"/>
        <w:jc w:val="both"/>
        <w:rPr>
          <w:rFonts w:ascii="Times New Roman" w:hAnsi="Times New Roman" w:cs="Times New Roman"/>
          <w:sz w:val="28"/>
          <w:szCs w:val="28"/>
        </w:rPr>
      </w:pPr>
      <w:r w:rsidRPr="006C719F">
        <w:rPr>
          <w:rFonts w:ascii="Times New Roman" w:hAnsi="Times New Roman" w:cs="Times New Roman"/>
          <w:sz w:val="28"/>
          <w:szCs w:val="28"/>
        </w:rPr>
        <w:t xml:space="preserve">Определяется уровень креатинина сыворотки и рассчитывается СКФ по формуле </w:t>
      </w:r>
      <w:r w:rsidRPr="006C719F">
        <w:rPr>
          <w:rFonts w:ascii="Times New Roman" w:hAnsi="Times New Roman" w:cs="Times New Roman"/>
          <w:sz w:val="28"/>
          <w:szCs w:val="28"/>
          <w:lang w:val="en-US"/>
        </w:rPr>
        <w:t>CKD</w:t>
      </w:r>
      <w:r w:rsidRPr="006C719F">
        <w:rPr>
          <w:rFonts w:ascii="Times New Roman" w:hAnsi="Times New Roman" w:cs="Times New Roman"/>
          <w:sz w:val="28"/>
          <w:szCs w:val="28"/>
        </w:rPr>
        <w:t>-</w:t>
      </w:r>
      <w:r w:rsidRPr="006C719F">
        <w:rPr>
          <w:rFonts w:ascii="Times New Roman" w:hAnsi="Times New Roman" w:cs="Times New Roman"/>
          <w:sz w:val="28"/>
          <w:szCs w:val="28"/>
          <w:lang w:val="en-US"/>
        </w:rPr>
        <w:t>EPI</w:t>
      </w:r>
      <w:r w:rsidRPr="006C719F">
        <w:rPr>
          <w:rFonts w:ascii="Times New Roman" w:hAnsi="Times New Roman" w:cs="Times New Roman"/>
          <w:sz w:val="28"/>
          <w:szCs w:val="28"/>
        </w:rPr>
        <w:t xml:space="preserve"> (Chronic Kidney Disease Epidemiology Collaboration Formula)</w:t>
      </w:r>
      <w:r>
        <w:rPr>
          <w:rFonts w:ascii="Times New Roman" w:hAnsi="Times New Roman" w:cs="Times New Roman"/>
          <w:sz w:val="28"/>
          <w:szCs w:val="28"/>
        </w:rPr>
        <w:t xml:space="preserve"> </w:t>
      </w:r>
      <w:r w:rsidRPr="006E7650">
        <w:rPr>
          <w:rFonts w:ascii="Times New Roman" w:hAnsi="Times New Roman" w:cs="Times New Roman"/>
          <w:sz w:val="28"/>
          <w:szCs w:val="28"/>
        </w:rPr>
        <w:t>[14]</w:t>
      </w:r>
      <w:r w:rsidRPr="006C719F">
        <w:rPr>
          <w:rFonts w:ascii="Times New Roman" w:hAnsi="Times New Roman" w:cs="Times New Roman"/>
          <w:sz w:val="28"/>
          <w:szCs w:val="28"/>
        </w:rPr>
        <w:t>.</w:t>
      </w:r>
    </w:p>
    <w:p w:rsidR="00545400" w:rsidRPr="006C719F" w:rsidRDefault="00545400" w:rsidP="00545400">
      <w:pPr>
        <w:pStyle w:val="a5"/>
        <w:numPr>
          <w:ilvl w:val="0"/>
          <w:numId w:val="12"/>
        </w:numPr>
        <w:spacing w:before="240" w:line="360" w:lineRule="auto"/>
        <w:ind w:left="0" w:firstLine="709"/>
        <w:jc w:val="both"/>
        <w:rPr>
          <w:rFonts w:ascii="Times New Roman" w:hAnsi="Times New Roman" w:cs="Times New Roman"/>
          <w:sz w:val="28"/>
          <w:szCs w:val="28"/>
        </w:rPr>
      </w:pPr>
      <w:r w:rsidRPr="006C719F">
        <w:rPr>
          <w:rFonts w:ascii="Times New Roman" w:hAnsi="Times New Roman" w:cs="Times New Roman"/>
          <w:sz w:val="28"/>
          <w:szCs w:val="28"/>
        </w:rPr>
        <w:t>Если СКФ &lt;60 мл/мин/1,73 м</w:t>
      </w:r>
      <w:r w:rsidRPr="006C719F">
        <w:rPr>
          <w:rFonts w:ascii="Times New Roman" w:hAnsi="Times New Roman" w:cs="Times New Roman"/>
          <w:sz w:val="28"/>
          <w:szCs w:val="28"/>
          <w:vertAlign w:val="superscript"/>
        </w:rPr>
        <w:t>2</w:t>
      </w:r>
      <w:r w:rsidRPr="006C719F">
        <w:rPr>
          <w:rFonts w:ascii="Times New Roman" w:hAnsi="Times New Roman" w:cs="Times New Roman"/>
          <w:sz w:val="28"/>
          <w:szCs w:val="28"/>
        </w:rPr>
        <w:t xml:space="preserve"> или соотношение альбумин/креатинин&gt;30 мг/г (&gt;3 мг/ммоль), следует повторно провести исследование через 3 месяца.</w:t>
      </w:r>
    </w:p>
    <w:p w:rsidR="00545400" w:rsidRPr="006C719F" w:rsidRDefault="00545400" w:rsidP="00545400">
      <w:pPr>
        <w:pStyle w:val="a5"/>
        <w:numPr>
          <w:ilvl w:val="0"/>
          <w:numId w:val="12"/>
        </w:numPr>
        <w:spacing w:before="240" w:line="360" w:lineRule="auto"/>
        <w:ind w:left="0" w:firstLine="709"/>
        <w:jc w:val="both"/>
        <w:rPr>
          <w:rFonts w:ascii="Times New Roman" w:hAnsi="Times New Roman" w:cs="Times New Roman"/>
          <w:sz w:val="28"/>
          <w:szCs w:val="28"/>
        </w:rPr>
      </w:pPr>
      <w:r w:rsidRPr="006C719F">
        <w:rPr>
          <w:rFonts w:ascii="Times New Roman" w:hAnsi="Times New Roman" w:cs="Times New Roman"/>
          <w:sz w:val="28"/>
          <w:szCs w:val="28"/>
        </w:rPr>
        <w:t>Если значения СКФ &lt;60 мл/мин/1,73 м</w:t>
      </w:r>
      <w:r w:rsidRPr="006C719F">
        <w:rPr>
          <w:rFonts w:ascii="Times New Roman" w:hAnsi="Times New Roman" w:cs="Times New Roman"/>
          <w:sz w:val="28"/>
          <w:szCs w:val="28"/>
          <w:vertAlign w:val="superscript"/>
        </w:rPr>
        <w:t>2</w:t>
      </w:r>
      <w:r w:rsidRPr="006C719F">
        <w:rPr>
          <w:rFonts w:ascii="Times New Roman" w:hAnsi="Times New Roman" w:cs="Times New Roman"/>
          <w:sz w:val="28"/>
          <w:szCs w:val="28"/>
        </w:rPr>
        <w:t xml:space="preserve"> и/или отношение Альбумин/Креатинин&gt;30 мг/г (&gt;3 мг/ммоль) сохраняются как минимум на протяжении 3х месяцев диагностируется ХБП и проводится соответствующее лечение.</w:t>
      </w:r>
    </w:p>
    <w:p w:rsidR="00545400" w:rsidRDefault="00545400" w:rsidP="00545400">
      <w:pPr>
        <w:pStyle w:val="a5"/>
        <w:numPr>
          <w:ilvl w:val="0"/>
          <w:numId w:val="12"/>
        </w:numPr>
        <w:spacing w:before="240" w:line="360" w:lineRule="auto"/>
        <w:ind w:left="0" w:firstLine="709"/>
        <w:jc w:val="both"/>
        <w:rPr>
          <w:rFonts w:ascii="Times New Roman" w:hAnsi="Times New Roman" w:cs="Times New Roman"/>
          <w:sz w:val="28"/>
          <w:szCs w:val="28"/>
        </w:rPr>
      </w:pPr>
      <w:r w:rsidRPr="006C719F">
        <w:rPr>
          <w:rFonts w:ascii="Times New Roman" w:hAnsi="Times New Roman" w:cs="Times New Roman"/>
          <w:sz w:val="28"/>
          <w:szCs w:val="28"/>
        </w:rPr>
        <w:t xml:space="preserve">Далее ежегодный контроль показателей. </w:t>
      </w:r>
    </w:p>
    <w:p w:rsidR="00545400" w:rsidRPr="00643A09" w:rsidRDefault="00545400" w:rsidP="00545400">
      <w:pPr>
        <w:spacing w:before="240" w:line="360" w:lineRule="auto"/>
        <w:jc w:val="both"/>
        <w:rPr>
          <w:rFonts w:ascii="Times New Roman" w:hAnsi="Times New Roman" w:cs="Times New Roman"/>
          <w:b/>
          <w:i/>
          <w:sz w:val="28"/>
          <w:szCs w:val="28"/>
        </w:rPr>
      </w:pPr>
      <w:r w:rsidRPr="00643A09">
        <w:rPr>
          <w:rFonts w:ascii="Times New Roman" w:hAnsi="Times New Roman"/>
          <w:b/>
          <w:i/>
          <w:sz w:val="28"/>
          <w:szCs w:val="28"/>
        </w:rPr>
        <w:t>Таблица 1. Группы риска развития ДН (показан ежегодный скрининг с определением МАУ и СКФ)</w:t>
      </w:r>
      <w:r w:rsidRPr="00B92DB2">
        <w:rPr>
          <w:rFonts w:ascii="Times New Roman" w:hAnsi="Times New Roman"/>
          <w:b/>
          <w:i/>
          <w:sz w:val="28"/>
          <w:szCs w:val="28"/>
        </w:rPr>
        <w:t xml:space="preserve"> </w:t>
      </w:r>
      <w:r w:rsidRPr="00643A09">
        <w:rPr>
          <w:rFonts w:ascii="Times New Roman" w:hAnsi="Times New Roman"/>
          <w:b/>
          <w:i/>
          <w:sz w:val="28"/>
          <w:szCs w:val="28"/>
        </w:rPr>
        <w:t>[5]</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4269"/>
      </w:tblGrid>
      <w:tr w:rsidR="00545400" w:rsidRPr="00433AF6" w:rsidTr="00105C00">
        <w:tc>
          <w:tcPr>
            <w:tcW w:w="5081" w:type="dxa"/>
          </w:tcPr>
          <w:p w:rsidR="00545400" w:rsidRPr="00C81FDF" w:rsidRDefault="00545400" w:rsidP="00105C00">
            <w:pPr>
              <w:spacing w:before="240" w:line="240" w:lineRule="auto"/>
              <w:jc w:val="center"/>
              <w:rPr>
                <w:rFonts w:ascii="Times New Roman" w:hAnsi="Times New Roman"/>
                <w:sz w:val="28"/>
                <w:szCs w:val="28"/>
              </w:rPr>
            </w:pPr>
            <w:r w:rsidRPr="00C81FDF">
              <w:rPr>
                <w:rFonts w:ascii="Times New Roman" w:hAnsi="Times New Roman"/>
                <w:sz w:val="28"/>
                <w:szCs w:val="28"/>
              </w:rPr>
              <w:t>Категории больных</w:t>
            </w:r>
          </w:p>
        </w:tc>
        <w:tc>
          <w:tcPr>
            <w:tcW w:w="4269" w:type="dxa"/>
          </w:tcPr>
          <w:p w:rsidR="00545400" w:rsidRPr="00433AF6" w:rsidRDefault="00545400" w:rsidP="00105C00">
            <w:pPr>
              <w:pStyle w:val="a5"/>
              <w:spacing w:before="240" w:line="240" w:lineRule="auto"/>
              <w:ind w:left="0" w:firstLine="680"/>
              <w:jc w:val="both"/>
              <w:rPr>
                <w:rFonts w:ascii="Times New Roman" w:hAnsi="Times New Roman"/>
                <w:sz w:val="28"/>
                <w:szCs w:val="28"/>
              </w:rPr>
            </w:pPr>
            <w:r w:rsidRPr="00433AF6">
              <w:rPr>
                <w:rFonts w:ascii="Times New Roman" w:hAnsi="Times New Roman"/>
                <w:sz w:val="28"/>
                <w:szCs w:val="28"/>
              </w:rPr>
              <w:t>Начало скрининга</w:t>
            </w:r>
          </w:p>
        </w:tc>
      </w:tr>
      <w:tr w:rsidR="00545400" w:rsidRPr="00433AF6" w:rsidTr="00105C00">
        <w:tc>
          <w:tcPr>
            <w:tcW w:w="5081" w:type="dxa"/>
          </w:tcPr>
          <w:p w:rsidR="00545400" w:rsidRPr="00433AF6" w:rsidRDefault="00545400" w:rsidP="00105C00">
            <w:pPr>
              <w:pStyle w:val="a5"/>
              <w:spacing w:before="240" w:line="240" w:lineRule="auto"/>
              <w:ind w:left="0"/>
              <w:jc w:val="both"/>
              <w:rPr>
                <w:rFonts w:ascii="Times New Roman" w:hAnsi="Times New Roman"/>
                <w:sz w:val="28"/>
                <w:szCs w:val="28"/>
              </w:rPr>
            </w:pPr>
            <w:r w:rsidRPr="00433AF6">
              <w:rPr>
                <w:rFonts w:ascii="Times New Roman" w:hAnsi="Times New Roman"/>
                <w:sz w:val="28"/>
                <w:szCs w:val="28"/>
              </w:rPr>
              <w:t>Больные СД 1 типа, заболевшие в раннем детском и постпубертатном возрасте</w:t>
            </w:r>
          </w:p>
        </w:tc>
        <w:tc>
          <w:tcPr>
            <w:tcW w:w="4269" w:type="dxa"/>
          </w:tcPr>
          <w:p w:rsidR="00545400" w:rsidRPr="00433AF6" w:rsidRDefault="00545400" w:rsidP="00105C00">
            <w:pPr>
              <w:pStyle w:val="a5"/>
              <w:spacing w:before="240" w:line="240" w:lineRule="auto"/>
              <w:ind w:left="0"/>
              <w:jc w:val="both"/>
              <w:rPr>
                <w:rFonts w:ascii="Times New Roman" w:hAnsi="Times New Roman"/>
                <w:sz w:val="28"/>
                <w:szCs w:val="28"/>
              </w:rPr>
            </w:pPr>
            <w:r w:rsidRPr="00433AF6">
              <w:rPr>
                <w:rFonts w:ascii="Times New Roman" w:hAnsi="Times New Roman"/>
                <w:sz w:val="28"/>
                <w:szCs w:val="28"/>
              </w:rPr>
              <w:t>Через 5 лет от</w:t>
            </w:r>
            <w:r>
              <w:rPr>
                <w:rFonts w:ascii="Times New Roman" w:hAnsi="Times New Roman"/>
                <w:sz w:val="28"/>
                <w:szCs w:val="28"/>
              </w:rPr>
              <w:t xml:space="preserve"> дебюта СД, далее – ежегодно </w:t>
            </w:r>
          </w:p>
        </w:tc>
      </w:tr>
      <w:tr w:rsidR="00545400" w:rsidRPr="00433AF6" w:rsidTr="00105C00">
        <w:tc>
          <w:tcPr>
            <w:tcW w:w="5081" w:type="dxa"/>
          </w:tcPr>
          <w:p w:rsidR="00545400" w:rsidRPr="00433AF6" w:rsidRDefault="00545400" w:rsidP="00105C00">
            <w:pPr>
              <w:pStyle w:val="a5"/>
              <w:spacing w:before="240" w:line="240" w:lineRule="auto"/>
              <w:ind w:left="0"/>
              <w:jc w:val="both"/>
              <w:rPr>
                <w:rFonts w:ascii="Times New Roman" w:hAnsi="Times New Roman"/>
                <w:sz w:val="28"/>
                <w:szCs w:val="28"/>
              </w:rPr>
            </w:pPr>
            <w:r w:rsidRPr="00433AF6">
              <w:rPr>
                <w:rFonts w:ascii="Times New Roman" w:hAnsi="Times New Roman"/>
                <w:sz w:val="28"/>
                <w:szCs w:val="28"/>
              </w:rPr>
              <w:t>Больные СД 1 типа, заболевшие пубертатном возрасте</w:t>
            </w:r>
          </w:p>
        </w:tc>
        <w:tc>
          <w:tcPr>
            <w:tcW w:w="4269" w:type="dxa"/>
          </w:tcPr>
          <w:p w:rsidR="00545400" w:rsidRPr="00433AF6" w:rsidRDefault="00545400" w:rsidP="00105C00">
            <w:pPr>
              <w:pStyle w:val="a5"/>
              <w:spacing w:before="240" w:line="240" w:lineRule="auto"/>
              <w:ind w:left="0"/>
              <w:jc w:val="both"/>
              <w:rPr>
                <w:rFonts w:ascii="Times New Roman" w:hAnsi="Times New Roman"/>
                <w:sz w:val="28"/>
                <w:szCs w:val="28"/>
              </w:rPr>
            </w:pPr>
            <w:r w:rsidRPr="00433AF6">
              <w:rPr>
                <w:rFonts w:ascii="Times New Roman" w:hAnsi="Times New Roman"/>
                <w:sz w:val="28"/>
                <w:szCs w:val="28"/>
              </w:rPr>
              <w:t>Сразу при постановке диагноза, далее - ежегодно</w:t>
            </w:r>
          </w:p>
        </w:tc>
      </w:tr>
      <w:tr w:rsidR="00545400" w:rsidRPr="00433AF6" w:rsidTr="00105C00">
        <w:tc>
          <w:tcPr>
            <w:tcW w:w="5081" w:type="dxa"/>
          </w:tcPr>
          <w:p w:rsidR="00545400" w:rsidRPr="00433AF6" w:rsidRDefault="00545400" w:rsidP="00105C00">
            <w:pPr>
              <w:pStyle w:val="a5"/>
              <w:spacing w:before="240" w:line="240" w:lineRule="auto"/>
              <w:ind w:left="0"/>
              <w:jc w:val="both"/>
              <w:rPr>
                <w:rFonts w:ascii="Times New Roman" w:hAnsi="Times New Roman"/>
                <w:sz w:val="28"/>
                <w:szCs w:val="28"/>
              </w:rPr>
            </w:pPr>
            <w:r w:rsidRPr="00433AF6">
              <w:rPr>
                <w:rFonts w:ascii="Times New Roman" w:hAnsi="Times New Roman"/>
                <w:sz w:val="28"/>
                <w:szCs w:val="28"/>
              </w:rPr>
              <w:t>Больные СД 2 типа</w:t>
            </w:r>
          </w:p>
        </w:tc>
        <w:tc>
          <w:tcPr>
            <w:tcW w:w="4269" w:type="dxa"/>
          </w:tcPr>
          <w:p w:rsidR="00545400" w:rsidRPr="00433AF6" w:rsidRDefault="00545400" w:rsidP="00105C00">
            <w:pPr>
              <w:pStyle w:val="a5"/>
              <w:spacing w:before="240" w:line="240" w:lineRule="auto"/>
              <w:ind w:left="0"/>
              <w:jc w:val="both"/>
              <w:rPr>
                <w:rFonts w:ascii="Times New Roman" w:hAnsi="Times New Roman"/>
                <w:sz w:val="28"/>
                <w:szCs w:val="28"/>
              </w:rPr>
            </w:pPr>
            <w:r w:rsidRPr="00433AF6">
              <w:rPr>
                <w:rFonts w:ascii="Times New Roman" w:hAnsi="Times New Roman"/>
                <w:sz w:val="28"/>
                <w:szCs w:val="28"/>
              </w:rPr>
              <w:t>Сразу при постановк</w:t>
            </w:r>
            <w:r>
              <w:rPr>
                <w:rFonts w:ascii="Times New Roman" w:hAnsi="Times New Roman"/>
                <w:sz w:val="28"/>
                <w:szCs w:val="28"/>
              </w:rPr>
              <w:t xml:space="preserve">е диагноза, далее – ежегодно </w:t>
            </w:r>
          </w:p>
        </w:tc>
      </w:tr>
      <w:tr w:rsidR="00545400" w:rsidRPr="00433AF6" w:rsidTr="00105C00">
        <w:tc>
          <w:tcPr>
            <w:tcW w:w="5081" w:type="dxa"/>
          </w:tcPr>
          <w:p w:rsidR="00545400" w:rsidRPr="00433AF6" w:rsidRDefault="00545400" w:rsidP="00105C00">
            <w:pPr>
              <w:pStyle w:val="a5"/>
              <w:spacing w:before="240" w:line="240" w:lineRule="auto"/>
              <w:ind w:left="0"/>
              <w:jc w:val="both"/>
              <w:rPr>
                <w:rFonts w:ascii="Times New Roman" w:hAnsi="Times New Roman"/>
                <w:sz w:val="28"/>
                <w:szCs w:val="28"/>
              </w:rPr>
            </w:pPr>
            <w:r w:rsidRPr="00433AF6">
              <w:rPr>
                <w:rFonts w:ascii="Times New Roman" w:hAnsi="Times New Roman"/>
                <w:sz w:val="28"/>
                <w:szCs w:val="28"/>
              </w:rPr>
              <w:lastRenderedPageBreak/>
              <w:t>Беременные на фоне СД или больные с гестационным СД</w:t>
            </w:r>
          </w:p>
        </w:tc>
        <w:tc>
          <w:tcPr>
            <w:tcW w:w="4269" w:type="dxa"/>
          </w:tcPr>
          <w:p w:rsidR="00545400" w:rsidRPr="00433AF6" w:rsidRDefault="00545400" w:rsidP="00105C00">
            <w:pPr>
              <w:pStyle w:val="a5"/>
              <w:spacing w:before="240" w:line="240" w:lineRule="auto"/>
              <w:ind w:left="0"/>
              <w:jc w:val="both"/>
              <w:rPr>
                <w:rFonts w:ascii="Times New Roman" w:hAnsi="Times New Roman"/>
                <w:sz w:val="28"/>
                <w:szCs w:val="28"/>
              </w:rPr>
            </w:pPr>
            <w:r w:rsidRPr="00433AF6">
              <w:rPr>
                <w:rFonts w:ascii="Times New Roman" w:hAnsi="Times New Roman"/>
                <w:sz w:val="28"/>
                <w:szCs w:val="28"/>
              </w:rPr>
              <w:t>1 раз в триместр</w:t>
            </w:r>
          </w:p>
        </w:tc>
      </w:tr>
    </w:tbl>
    <w:p w:rsidR="00545400" w:rsidRPr="00433AF6" w:rsidRDefault="00545400" w:rsidP="00545400">
      <w:pPr>
        <w:spacing w:before="240"/>
        <w:jc w:val="both"/>
        <w:rPr>
          <w:rFonts w:ascii="Times New Roman" w:hAnsi="Times New Roman" w:cs="Times New Roman"/>
          <w:sz w:val="28"/>
          <w:szCs w:val="28"/>
        </w:rPr>
      </w:pPr>
    </w:p>
    <w:p w:rsidR="00545400" w:rsidRPr="00160DE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w:t>
      </w:r>
      <w:r w:rsidRPr="00157913">
        <w:rPr>
          <w:rFonts w:ascii="Times New Roman" w:hAnsi="Times New Roman" w:cs="Times New Roman"/>
          <w:sz w:val="28"/>
          <w:szCs w:val="28"/>
        </w:rPr>
        <w:t>данные</w:t>
      </w:r>
      <w:r>
        <w:rPr>
          <w:rFonts w:ascii="Times New Roman" w:hAnsi="Times New Roman" w:cs="Times New Roman"/>
          <w:sz w:val="28"/>
          <w:szCs w:val="28"/>
        </w:rPr>
        <w:t xml:space="preserve"> исследований,</w:t>
      </w:r>
      <w:r w:rsidRPr="00157913">
        <w:rPr>
          <w:rFonts w:ascii="Times New Roman" w:hAnsi="Times New Roman" w:cs="Times New Roman"/>
          <w:sz w:val="28"/>
          <w:szCs w:val="28"/>
        </w:rPr>
        <w:t xml:space="preserve"> свидетельству</w:t>
      </w:r>
      <w:r>
        <w:rPr>
          <w:rFonts w:ascii="Times New Roman" w:hAnsi="Times New Roman" w:cs="Times New Roman"/>
          <w:sz w:val="28"/>
          <w:szCs w:val="28"/>
        </w:rPr>
        <w:t>ющих</w:t>
      </w:r>
      <w:r w:rsidRPr="00157913">
        <w:rPr>
          <w:rFonts w:ascii="Times New Roman" w:hAnsi="Times New Roman" w:cs="Times New Roman"/>
          <w:sz w:val="28"/>
          <w:szCs w:val="28"/>
        </w:rPr>
        <w:t xml:space="preserve"> о том, что еще до проявления микроальбуминурии у ряда пациентов с СД 1 типа уже имеется снижение фильтрационной способности почек легкой степени (СКФ &lt;90</w:t>
      </w:r>
      <w:r>
        <w:rPr>
          <w:rFonts w:ascii="Times New Roman" w:hAnsi="Times New Roman" w:cs="Times New Roman"/>
          <w:sz w:val="28"/>
          <w:szCs w:val="28"/>
        </w:rPr>
        <w:t>мл/мин</w:t>
      </w:r>
      <w:r w:rsidRPr="00157913">
        <w:rPr>
          <w:rFonts w:ascii="Times New Roman" w:hAnsi="Times New Roman" w:cs="Times New Roman"/>
          <w:sz w:val="28"/>
          <w:szCs w:val="28"/>
        </w:rPr>
        <w:t xml:space="preserve">) и </w:t>
      </w:r>
      <w:r>
        <w:rPr>
          <w:rFonts w:ascii="Times New Roman" w:hAnsi="Times New Roman" w:cs="Times New Roman"/>
          <w:sz w:val="28"/>
          <w:szCs w:val="28"/>
        </w:rPr>
        <w:t xml:space="preserve">средней степени (СКФ &lt;60 мл/мин), </w:t>
      </w:r>
      <w:r>
        <w:rPr>
          <w:rFonts w:ascii="Times New Roman" w:hAnsi="Times New Roman" w:cs="Times New Roman"/>
          <w:sz w:val="28"/>
          <w:szCs w:val="28"/>
          <w:lang w:val="en-US"/>
        </w:rPr>
        <w:t>o</w:t>
      </w:r>
      <w:r>
        <w:rPr>
          <w:rFonts w:ascii="Times New Roman" w:hAnsi="Times New Roman" w:cs="Times New Roman"/>
          <w:sz w:val="28"/>
          <w:szCs w:val="28"/>
        </w:rPr>
        <w:t>чень важно раннее проведение скрининговых исследований</w:t>
      </w:r>
      <w:r w:rsidRPr="00160DE0">
        <w:rPr>
          <w:rFonts w:ascii="Times New Roman" w:hAnsi="Times New Roman" w:cs="Times New Roman"/>
          <w:sz w:val="28"/>
          <w:szCs w:val="28"/>
        </w:rPr>
        <w:t xml:space="preserve"> [</w:t>
      </w:r>
      <w:r>
        <w:rPr>
          <w:rFonts w:ascii="Times New Roman" w:hAnsi="Times New Roman" w:cs="Times New Roman"/>
          <w:sz w:val="28"/>
          <w:szCs w:val="28"/>
        </w:rPr>
        <w:t>14</w:t>
      </w:r>
      <w:r w:rsidRPr="00160DE0">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sidRPr="00CD3699">
        <w:rPr>
          <w:rFonts w:ascii="Times New Roman" w:hAnsi="Times New Roman" w:cs="Times New Roman"/>
          <w:sz w:val="28"/>
          <w:szCs w:val="28"/>
        </w:rPr>
        <w:t>Уровень СКФ в настоящее время признан лучшим методом оценки функции почек в целом, как у зд</w:t>
      </w:r>
      <w:r>
        <w:rPr>
          <w:rFonts w:ascii="Times New Roman" w:hAnsi="Times New Roman" w:cs="Times New Roman"/>
          <w:sz w:val="28"/>
          <w:szCs w:val="28"/>
        </w:rPr>
        <w:t xml:space="preserve">оровых лиц, так и при различных </w:t>
      </w:r>
      <w:r w:rsidRPr="00CD3699">
        <w:rPr>
          <w:rFonts w:ascii="Times New Roman" w:hAnsi="Times New Roman" w:cs="Times New Roman"/>
          <w:sz w:val="28"/>
          <w:szCs w:val="28"/>
        </w:rPr>
        <w:t>заболеваниях. Нормальный уровень СКФ соотносится с возрастом, полом, поверхностью тела. СКФ менее 60 мл/ мин/1,73 м2 – пороговая величина, обозначающая потерю 50% фильтрационной способности нормальной почки.</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Последние исследования белков мочи предоставили данные, которые свидетельствуют об обнаружении различных новых неальбуминовых белков в моче. </w:t>
      </w:r>
      <w:r w:rsidRPr="008521EF">
        <w:rPr>
          <w:rFonts w:ascii="Times New Roman" w:hAnsi="Times New Roman" w:cs="Times New Roman"/>
          <w:sz w:val="28"/>
          <w:szCs w:val="28"/>
        </w:rPr>
        <w:t xml:space="preserve">Небольшие исследования </w:t>
      </w:r>
      <w:r>
        <w:rPr>
          <w:rFonts w:ascii="Times New Roman" w:hAnsi="Times New Roman" w:cs="Times New Roman"/>
          <w:sz w:val="28"/>
          <w:szCs w:val="28"/>
        </w:rPr>
        <w:t xml:space="preserve">на пациентах с СД1 и 2 типа показали, что эти белки, </w:t>
      </w:r>
      <w:r w:rsidRPr="008521EF">
        <w:rPr>
          <w:rFonts w:ascii="Times New Roman" w:hAnsi="Times New Roman" w:cs="Times New Roman"/>
          <w:sz w:val="28"/>
          <w:szCs w:val="28"/>
        </w:rPr>
        <w:t>включая фрагменты коллагена и канальцевые белки, независимо предсказывают прогрессирование до умерен</w:t>
      </w:r>
      <w:r>
        <w:rPr>
          <w:rFonts w:ascii="Times New Roman" w:hAnsi="Times New Roman" w:cs="Times New Roman"/>
          <w:sz w:val="28"/>
          <w:szCs w:val="28"/>
        </w:rPr>
        <w:t>ной или тяжелой альбуминурии и снижения скорости клубочковой фильтрации (NAG, KIM</w:t>
      </w:r>
      <w:r w:rsidRPr="006744A9">
        <w:rPr>
          <w:rFonts w:ascii="Times New Roman" w:hAnsi="Times New Roman" w:cs="Times New Roman"/>
          <w:sz w:val="28"/>
          <w:szCs w:val="28"/>
        </w:rPr>
        <w:t>-1)</w:t>
      </w:r>
      <w:r>
        <w:rPr>
          <w:rFonts w:ascii="Times New Roman" w:hAnsi="Times New Roman" w:cs="Times New Roman"/>
          <w:sz w:val="28"/>
          <w:szCs w:val="28"/>
        </w:rPr>
        <w:t xml:space="preserve"> </w:t>
      </w:r>
      <w:r w:rsidRPr="00401A6D">
        <w:rPr>
          <w:rFonts w:ascii="Times New Roman" w:hAnsi="Times New Roman" w:cs="Times New Roman"/>
          <w:sz w:val="28"/>
          <w:szCs w:val="28"/>
        </w:rPr>
        <w:t>[</w:t>
      </w:r>
      <w:r>
        <w:rPr>
          <w:rFonts w:ascii="Times New Roman" w:hAnsi="Times New Roman" w:cs="Times New Roman"/>
          <w:sz w:val="28"/>
          <w:szCs w:val="28"/>
        </w:rPr>
        <w:t>15</w:t>
      </w:r>
      <w:r w:rsidRPr="004B62B6">
        <w:rPr>
          <w:rFonts w:ascii="Times New Roman" w:hAnsi="Times New Roman" w:cs="Times New Roman"/>
          <w:sz w:val="28"/>
          <w:szCs w:val="28"/>
        </w:rPr>
        <w:t>]</w:t>
      </w:r>
      <w:r>
        <w:rPr>
          <w:rFonts w:ascii="Times New Roman" w:hAnsi="Times New Roman" w:cs="Times New Roman"/>
          <w:sz w:val="28"/>
          <w:szCs w:val="28"/>
        </w:rPr>
        <w:t xml:space="preserve">. </w:t>
      </w:r>
      <w:r w:rsidRPr="008521EF">
        <w:rPr>
          <w:rFonts w:ascii="Times New Roman" w:hAnsi="Times New Roman" w:cs="Times New Roman"/>
          <w:sz w:val="28"/>
          <w:szCs w:val="28"/>
        </w:rPr>
        <w:t>Однако высокая стоимость и ограниченная доступность этого</w:t>
      </w:r>
      <w:r>
        <w:rPr>
          <w:rFonts w:ascii="Times New Roman" w:hAnsi="Times New Roman" w:cs="Times New Roman"/>
          <w:sz w:val="28"/>
          <w:szCs w:val="28"/>
        </w:rPr>
        <w:t xml:space="preserve"> метод являются барьером</w:t>
      </w:r>
      <w:r w:rsidRPr="008521EF">
        <w:rPr>
          <w:rFonts w:ascii="Times New Roman" w:hAnsi="Times New Roman" w:cs="Times New Roman"/>
          <w:sz w:val="28"/>
          <w:szCs w:val="28"/>
        </w:rPr>
        <w:t xml:space="preserve"> для </w:t>
      </w:r>
      <w:r>
        <w:rPr>
          <w:rFonts w:ascii="Times New Roman" w:hAnsi="Times New Roman" w:cs="Times New Roman"/>
          <w:sz w:val="28"/>
          <w:szCs w:val="28"/>
        </w:rPr>
        <w:t xml:space="preserve">широкого внедрения в клиническую практику. </w:t>
      </w:r>
    </w:p>
    <w:p w:rsidR="00545400" w:rsidRDefault="00545400" w:rsidP="00545400">
      <w:pPr>
        <w:spacing w:before="240" w:line="360" w:lineRule="auto"/>
        <w:ind w:firstLine="709"/>
        <w:jc w:val="both"/>
        <w:rPr>
          <w:rFonts w:ascii="Times New Roman" w:hAnsi="Times New Roman" w:cs="Times New Roman"/>
          <w:sz w:val="28"/>
          <w:szCs w:val="28"/>
        </w:rPr>
      </w:pPr>
      <w:r w:rsidRPr="00DD6A6A">
        <w:rPr>
          <w:rFonts w:ascii="Times New Roman" w:hAnsi="Times New Roman" w:cs="Times New Roman"/>
          <w:sz w:val="28"/>
          <w:szCs w:val="28"/>
        </w:rPr>
        <w:t>Появление явной протеинурии ассоциируется с развитием тяжелых морфологических изменений почек</w:t>
      </w:r>
      <w:r>
        <w:rPr>
          <w:rFonts w:ascii="Times New Roman" w:hAnsi="Times New Roman" w:cs="Times New Roman"/>
          <w:sz w:val="28"/>
          <w:szCs w:val="28"/>
        </w:rPr>
        <w:t xml:space="preserve">. </w:t>
      </w:r>
      <w:r w:rsidRPr="004B62B6">
        <w:rPr>
          <w:rFonts w:ascii="Times New Roman" w:hAnsi="Times New Roman" w:cs="Times New Roman"/>
          <w:sz w:val="28"/>
          <w:szCs w:val="28"/>
        </w:rPr>
        <w:t>При определении стадийности основную роль отводят условным градациям величины мочевой экскреции альбумина/белка - нормольбуминурии (НАУ), микроальбуминурии (МАУ) и явной пр</w:t>
      </w:r>
      <w:r>
        <w:rPr>
          <w:rFonts w:ascii="Times New Roman" w:hAnsi="Times New Roman" w:cs="Times New Roman"/>
          <w:sz w:val="28"/>
          <w:szCs w:val="28"/>
        </w:rPr>
        <w:t>отеинурии/макроальбуминурии</w:t>
      </w:r>
      <w:r w:rsidRPr="004B62B6">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sidRPr="00DD6A6A">
        <w:rPr>
          <w:rFonts w:ascii="Times New Roman" w:hAnsi="Times New Roman" w:cs="Times New Roman"/>
          <w:sz w:val="28"/>
          <w:szCs w:val="28"/>
        </w:rPr>
        <w:lastRenderedPageBreak/>
        <w:t xml:space="preserve">Вместе с тем, тяжесть течения любой хронической нефропатии, так же, как и определение прогноза, должно базироваться на одновременной оценке двух </w:t>
      </w:r>
      <w:r w:rsidRPr="004B62B6">
        <w:rPr>
          <w:rFonts w:ascii="Times New Roman" w:hAnsi="Times New Roman" w:cs="Times New Roman"/>
          <w:sz w:val="28"/>
          <w:szCs w:val="28"/>
        </w:rPr>
        <w:t xml:space="preserve">принципиально важных клинических показателей - экскреции альбумина/белка с мочой и СКФ. </w:t>
      </w:r>
      <w:r>
        <w:rPr>
          <w:rFonts w:ascii="Times New Roman" w:hAnsi="Times New Roman" w:cs="Times New Roman"/>
          <w:sz w:val="28"/>
          <w:szCs w:val="28"/>
        </w:rPr>
        <w:t>С морфо</w:t>
      </w:r>
      <w:r w:rsidRPr="00DD6A6A">
        <w:rPr>
          <w:rFonts w:ascii="Times New Roman" w:hAnsi="Times New Roman" w:cs="Times New Roman"/>
          <w:sz w:val="28"/>
          <w:szCs w:val="28"/>
        </w:rPr>
        <w:t xml:space="preserve">функциональных позиций такой подход к анализу ренальной дисфункции также полностью оправдан, поскольку каждый из этих параметров связан с различными сторонами ее развития и прогрессирования. К появлению патологической альбуминурии, в первую очередь, нарушение проницаемости гломерулярного фильтра, а также изменение функции проксимальных канальцев. Стойкое же снижение СКФ, с патофизиологической точки зрения, указывает на уменьшение числа функционирующих нефронов. </w:t>
      </w:r>
    </w:p>
    <w:p w:rsidR="00545400" w:rsidRDefault="00545400" w:rsidP="00545400">
      <w:pPr>
        <w:spacing w:before="240" w:line="360" w:lineRule="auto"/>
        <w:ind w:firstLine="709"/>
        <w:jc w:val="both"/>
        <w:rPr>
          <w:rFonts w:ascii="Times New Roman" w:hAnsi="Times New Roman" w:cs="Times New Roman"/>
          <w:sz w:val="28"/>
          <w:szCs w:val="28"/>
        </w:rPr>
      </w:pPr>
      <w:r w:rsidRPr="00DD6A6A">
        <w:rPr>
          <w:rFonts w:ascii="Times New Roman" w:hAnsi="Times New Roman" w:cs="Times New Roman"/>
          <w:sz w:val="28"/>
          <w:szCs w:val="28"/>
        </w:rPr>
        <w:t xml:space="preserve">Следует также отметить, что СКФ не только показатель, характеризующий процессы образования гломерулярного ультрафильтрата. Его снижение отчетливо сопряжено с развитием и прогрессированием нарушений других экскреторных и неэкскреторных функций почки, имеющих системное значение. Риск смерти от сердечно-сосудистых событий у больных СД в 2 раза выше, чем вероятность прогрессирования нефропатии и развития терминальной почечной недостаточности [4]. Поэтому с точки зрения превентивной нефрологии и кардиологии [5,6] оба обсуждаемых показателя также крайне важны, как независимые предикторы развития и прогрессирования сердечно-сосудистой патологии и связанной с ней выживаемости [7-10]. </w:t>
      </w:r>
    </w:p>
    <w:p w:rsidR="00545400" w:rsidRDefault="00545400" w:rsidP="00545400">
      <w:pPr>
        <w:spacing w:before="240" w:line="360" w:lineRule="auto"/>
        <w:jc w:val="both"/>
        <w:rPr>
          <w:rFonts w:ascii="Times New Roman" w:eastAsia="Times New Roman" w:hAnsi="Times New Roman" w:cs="Times New Roman"/>
          <w:color w:val="000000"/>
          <w:sz w:val="28"/>
          <w:szCs w:val="28"/>
        </w:rPr>
      </w:pPr>
    </w:p>
    <w:p w:rsidR="00545400" w:rsidRDefault="00545400" w:rsidP="00545400">
      <w:pPr>
        <w:spacing w:before="24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Диабетическая нефропатия и хроническая болезнь почек</w:t>
      </w:r>
    </w:p>
    <w:p w:rsidR="00545400" w:rsidRPr="00CC0A69" w:rsidRDefault="00545400" w:rsidP="00545400">
      <w:pPr>
        <w:spacing w:before="240" w:line="360" w:lineRule="auto"/>
        <w:ind w:firstLine="709"/>
        <w:jc w:val="both"/>
        <w:rPr>
          <w:rFonts w:ascii="Times New Roman" w:hAnsi="Times New Roman" w:cs="Times New Roman"/>
          <w:sz w:val="28"/>
          <w:szCs w:val="28"/>
        </w:rPr>
      </w:pPr>
      <w:r w:rsidRPr="00DD6A6A">
        <w:rPr>
          <w:rFonts w:ascii="Times New Roman" w:hAnsi="Times New Roman" w:cs="Times New Roman"/>
          <w:sz w:val="28"/>
          <w:szCs w:val="28"/>
        </w:rPr>
        <w:t xml:space="preserve">С 2002 года в клиническую практику прочно вошло понятие «хронической болезни почек» (ХБП), которое определяется как повреждение почек продолжительностью 3 месяца и более, и проявляется в виде структурных или функциональных нарушений деятельности органа со </w:t>
      </w:r>
      <w:r w:rsidRPr="00DD6A6A">
        <w:rPr>
          <w:rFonts w:ascii="Times New Roman" w:hAnsi="Times New Roman" w:cs="Times New Roman"/>
          <w:sz w:val="28"/>
          <w:szCs w:val="28"/>
        </w:rPr>
        <w:lastRenderedPageBreak/>
        <w:t>снижением или без снижения СКФ, либо снижением СКФ менее 60 мл/ мин/1,73м2 в течение 3 месяцев и более вне зависимости от наличия или отсутствия других признаков по</w:t>
      </w:r>
      <w:r>
        <w:rPr>
          <w:rFonts w:ascii="Times New Roman" w:hAnsi="Times New Roman" w:cs="Times New Roman"/>
          <w:sz w:val="28"/>
          <w:szCs w:val="28"/>
        </w:rPr>
        <w:t>вреждения почек [11,12</w:t>
      </w:r>
      <w:r w:rsidRPr="00401A6D">
        <w:rPr>
          <w:rFonts w:ascii="Times New Roman" w:hAnsi="Times New Roman" w:cs="Times New Roman"/>
          <w:sz w:val="28"/>
          <w:szCs w:val="28"/>
        </w:rPr>
        <w:t>,13</w:t>
      </w:r>
      <w:r w:rsidRPr="00DD6A6A">
        <w:rPr>
          <w:rFonts w:ascii="Times New Roman" w:hAnsi="Times New Roman" w:cs="Times New Roman"/>
          <w:sz w:val="28"/>
          <w:szCs w:val="28"/>
        </w:rPr>
        <w:t>]</w:t>
      </w:r>
      <w:r>
        <w:rPr>
          <w:rFonts w:ascii="Times New Roman" w:hAnsi="Times New Roman" w:cs="Times New Roman"/>
          <w:sz w:val="28"/>
          <w:szCs w:val="28"/>
        </w:rPr>
        <w:t>.</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2866F1">
        <w:rPr>
          <w:rFonts w:ascii="Times New Roman" w:eastAsia="Times New Roman" w:hAnsi="Times New Roman" w:cs="Times New Roman"/>
          <w:color w:val="000000"/>
          <w:sz w:val="28"/>
          <w:szCs w:val="28"/>
        </w:rPr>
        <w:t>Наличие ДН</w:t>
      </w:r>
      <w:r>
        <w:rPr>
          <w:rFonts w:ascii="Times New Roman" w:eastAsia="Times New Roman" w:hAnsi="Times New Roman" w:cs="Times New Roman"/>
          <w:color w:val="000000"/>
          <w:sz w:val="28"/>
          <w:szCs w:val="28"/>
        </w:rPr>
        <w:t xml:space="preserve"> у пациентов ХБП</w:t>
      </w:r>
      <w:r w:rsidRPr="002866F1">
        <w:rPr>
          <w:rFonts w:ascii="Times New Roman" w:eastAsia="Times New Roman" w:hAnsi="Times New Roman" w:cs="Times New Roman"/>
          <w:color w:val="000000"/>
          <w:sz w:val="28"/>
          <w:szCs w:val="28"/>
        </w:rPr>
        <w:t xml:space="preserve"> – важный независимый фактор риска развития сердечно-сосудистой патологии. </w:t>
      </w:r>
    </w:p>
    <w:p w:rsidR="00545400" w:rsidRPr="004A1452" w:rsidRDefault="00545400" w:rsidP="00545400">
      <w:pP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Риск общей смертности </w:t>
      </w:r>
      <w:r w:rsidRPr="002866F1">
        <w:rPr>
          <w:rFonts w:ascii="Times New Roman" w:eastAsia="Times New Roman" w:hAnsi="Times New Roman" w:cs="Times New Roman"/>
          <w:color w:val="000000"/>
          <w:sz w:val="28"/>
          <w:szCs w:val="28"/>
        </w:rPr>
        <w:t>в первые 30 дней после ИМ, оказался наиболее высоким в группе пациентов, имевших СД и ХБП</w:t>
      </w:r>
      <w:r>
        <w:rPr>
          <w:rFonts w:ascii="Times New Roman" w:eastAsia="Times New Roman" w:hAnsi="Times New Roman" w:cs="Times New Roman"/>
          <w:color w:val="000000"/>
          <w:sz w:val="28"/>
          <w:szCs w:val="28"/>
        </w:rPr>
        <w:t xml:space="preserve">, что демонстрирует значимость метаболических нарушений в патогенезе развитии сердечно-сосудистой смертности </w:t>
      </w:r>
      <w:r w:rsidRPr="008C53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17</w:t>
      </w:r>
      <w:r w:rsidRPr="004A1452">
        <w:rPr>
          <w:rFonts w:ascii="Times New Roman" w:eastAsia="Times New Roman" w:hAnsi="Times New Roman" w:cs="Times New Roman"/>
          <w:color w:val="000000"/>
          <w:sz w:val="28"/>
          <w:szCs w:val="28"/>
        </w:rPr>
        <w:t xml:space="preserve">].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2866F1">
        <w:rPr>
          <w:rFonts w:ascii="Times New Roman" w:eastAsia="Times New Roman" w:hAnsi="Times New Roman" w:cs="Times New Roman"/>
          <w:color w:val="000000"/>
          <w:sz w:val="28"/>
          <w:szCs w:val="28"/>
        </w:rPr>
        <w:t xml:space="preserve">По данным USRDS 2013 имеются значимые различия в частоте сердечно-сосудистой патологии у пациентов с ХБП и без ХБП независимо от возраста.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Результаты целого ряда исследований: </w:t>
      </w:r>
      <w:r w:rsidRPr="002866F1">
        <w:rPr>
          <w:rFonts w:ascii="Times New Roman" w:eastAsia="Times New Roman" w:hAnsi="Times New Roman" w:cs="Times New Roman"/>
          <w:color w:val="000000"/>
          <w:sz w:val="28"/>
          <w:szCs w:val="28"/>
        </w:rPr>
        <w:t>ACCOMPLISH, ALTITUDE, SHA</w:t>
      </w:r>
      <w:r>
        <w:rPr>
          <w:rFonts w:ascii="Times New Roman" w:eastAsia="Times New Roman" w:hAnsi="Times New Roman" w:cs="Times New Roman"/>
          <w:color w:val="000000"/>
          <w:sz w:val="28"/>
          <w:szCs w:val="28"/>
        </w:rPr>
        <w:t xml:space="preserve">RP, ADVANCE, ROADMAP, CARRESSHF </w:t>
      </w:r>
      <w:r w:rsidRPr="002866F1">
        <w:rPr>
          <w:rFonts w:ascii="Times New Roman" w:eastAsia="Times New Roman" w:hAnsi="Times New Roman" w:cs="Times New Roman"/>
          <w:color w:val="000000"/>
          <w:sz w:val="28"/>
          <w:szCs w:val="28"/>
        </w:rPr>
        <w:t>позволили признать ХБП независимым фактором риска развития сердечно</w:t>
      </w:r>
      <w:r>
        <w:rPr>
          <w:rFonts w:ascii="Times New Roman" w:eastAsia="Times New Roman" w:hAnsi="Times New Roman" w:cs="Times New Roman"/>
          <w:color w:val="000000"/>
          <w:sz w:val="28"/>
          <w:szCs w:val="28"/>
        </w:rPr>
        <w:t xml:space="preserve">-сосудистых заболеваний (ССЗ), вместе с тем </w:t>
      </w:r>
      <w:r w:rsidRPr="002866F1">
        <w:rPr>
          <w:rFonts w:ascii="Times New Roman" w:eastAsia="Times New Roman" w:hAnsi="Times New Roman" w:cs="Times New Roman"/>
          <w:color w:val="000000"/>
          <w:sz w:val="28"/>
          <w:szCs w:val="28"/>
        </w:rPr>
        <w:t>эквивалентом ишемической болезни с</w:t>
      </w:r>
      <w:r>
        <w:rPr>
          <w:rFonts w:ascii="Times New Roman" w:eastAsia="Times New Roman" w:hAnsi="Times New Roman" w:cs="Times New Roman"/>
          <w:color w:val="000000"/>
          <w:sz w:val="28"/>
          <w:szCs w:val="28"/>
        </w:rPr>
        <w:t xml:space="preserve">ердца (ИБС) как факторы риска </w:t>
      </w:r>
      <w:r w:rsidRPr="002866F1">
        <w:rPr>
          <w:rFonts w:ascii="Times New Roman" w:eastAsia="Times New Roman" w:hAnsi="Times New Roman" w:cs="Times New Roman"/>
          <w:color w:val="000000"/>
          <w:sz w:val="28"/>
          <w:szCs w:val="28"/>
        </w:rPr>
        <w:t xml:space="preserve">осложнений.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2866F1">
        <w:rPr>
          <w:rFonts w:ascii="Times New Roman" w:eastAsia="Times New Roman" w:hAnsi="Times New Roman" w:cs="Times New Roman"/>
          <w:color w:val="000000"/>
          <w:sz w:val="28"/>
          <w:szCs w:val="28"/>
        </w:rPr>
        <w:t>В классификации кардиоренальных взаимоотношений выделен 4 тип (хронический нефрокардиальный синдром), отражающий инициирующую роль хронической почечной патологии в снижении коронарной функции, развитии гипертрофии миокарда левого желудочка и повышении риска серьезных кардиоваскулярных событий посредством общих гемодинамических, нейрогормональных и иммунно</w:t>
      </w:r>
      <w:r>
        <w:rPr>
          <w:rFonts w:ascii="Times New Roman" w:eastAsia="Times New Roman" w:hAnsi="Times New Roman" w:cs="Times New Roman"/>
          <w:color w:val="000000"/>
          <w:sz w:val="28"/>
          <w:szCs w:val="28"/>
        </w:rPr>
        <w:t xml:space="preserve"> </w:t>
      </w:r>
      <w:r w:rsidRPr="002866F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866F1">
        <w:rPr>
          <w:rFonts w:ascii="Times New Roman" w:eastAsia="Times New Roman" w:hAnsi="Times New Roman" w:cs="Times New Roman"/>
          <w:color w:val="000000"/>
          <w:sz w:val="28"/>
          <w:szCs w:val="28"/>
        </w:rPr>
        <w:t xml:space="preserve">биохимических обратных связей. Эти взаимоотношения очень ярко проявляются при ДН. </w:t>
      </w:r>
      <w:r>
        <w:rPr>
          <w:rFonts w:ascii="Times New Roman" w:eastAsia="Times New Roman" w:hAnsi="Times New Roman" w:cs="Times New Roman"/>
          <w:color w:val="000000"/>
          <w:sz w:val="28"/>
          <w:szCs w:val="28"/>
        </w:rPr>
        <w:t xml:space="preserve">   </w:t>
      </w:r>
    </w:p>
    <w:p w:rsidR="00545400" w:rsidRPr="00A126B7"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A126B7">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дно из самых частых сочетаний, характерных для больных ДН: наличие анемии, хронической сердечной недостаточности и хрони</w:t>
      </w:r>
      <w:r w:rsidRPr="00A126B7">
        <w:rPr>
          <w:rFonts w:ascii="Times New Roman" w:eastAsia="Times New Roman" w:hAnsi="Times New Roman" w:cs="Times New Roman"/>
          <w:color w:val="000000"/>
          <w:sz w:val="28"/>
          <w:szCs w:val="28"/>
        </w:rPr>
        <w:t>ческой болезни поч</w:t>
      </w:r>
      <w:r>
        <w:rPr>
          <w:rFonts w:ascii="Times New Roman" w:eastAsia="Times New Roman" w:hAnsi="Times New Roman" w:cs="Times New Roman"/>
          <w:color w:val="000000"/>
          <w:sz w:val="28"/>
          <w:szCs w:val="28"/>
        </w:rPr>
        <w:t>ек, образует, так называемый, патологиче</w:t>
      </w:r>
      <w:r w:rsidRPr="00A126B7">
        <w:rPr>
          <w:rFonts w:ascii="Times New Roman" w:eastAsia="Times New Roman" w:hAnsi="Times New Roman" w:cs="Times New Roman"/>
          <w:color w:val="000000"/>
          <w:sz w:val="28"/>
          <w:szCs w:val="28"/>
        </w:rPr>
        <w:t>ский треугольник,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“кардиоренальный анемический синдром” [20</w:t>
      </w:r>
      <w:r w:rsidRPr="00D64934">
        <w:rPr>
          <w:rFonts w:ascii="Times New Roman" w:eastAsia="Times New Roman" w:hAnsi="Times New Roman" w:cs="Times New Roman"/>
          <w:color w:val="000000"/>
          <w:sz w:val="28"/>
          <w:szCs w:val="28"/>
        </w:rPr>
        <w:t>; 19</w:t>
      </w:r>
      <w:r w:rsidRPr="00A126B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Этот факт демонстрирует связь </w:t>
      </w:r>
      <w:r w:rsidRPr="00A126B7">
        <w:rPr>
          <w:rFonts w:ascii="Times New Roman" w:eastAsia="Times New Roman" w:hAnsi="Times New Roman" w:cs="Times New Roman"/>
          <w:color w:val="000000"/>
          <w:sz w:val="28"/>
          <w:szCs w:val="28"/>
        </w:rPr>
        <w:t xml:space="preserve">связано с ростом риска </w:t>
      </w:r>
      <w:r>
        <w:rPr>
          <w:rFonts w:ascii="Times New Roman" w:eastAsia="Times New Roman" w:hAnsi="Times New Roman" w:cs="Times New Roman"/>
          <w:color w:val="000000"/>
          <w:sz w:val="28"/>
          <w:szCs w:val="28"/>
        </w:rPr>
        <w:t xml:space="preserve">кардиоваскулярной </w:t>
      </w:r>
      <w:r w:rsidRPr="00A126B7">
        <w:rPr>
          <w:rFonts w:ascii="Times New Roman" w:eastAsia="Times New Roman" w:hAnsi="Times New Roman" w:cs="Times New Roman"/>
          <w:color w:val="000000"/>
          <w:sz w:val="28"/>
          <w:szCs w:val="28"/>
        </w:rPr>
        <w:t>смерти у лиц</w:t>
      </w:r>
      <w:r>
        <w:rPr>
          <w:rFonts w:ascii="Times New Roman" w:eastAsia="Times New Roman" w:hAnsi="Times New Roman" w:cs="Times New Roman"/>
          <w:color w:val="000000"/>
          <w:sz w:val="28"/>
          <w:szCs w:val="28"/>
        </w:rPr>
        <w:t>, имевших в анамнезе сердечно-сосудистые патологии</w:t>
      </w:r>
      <w:r w:rsidRPr="00A126B7">
        <w:rPr>
          <w:rFonts w:ascii="Times New Roman" w:eastAsia="Times New Roman" w:hAnsi="Times New Roman" w:cs="Times New Roman"/>
          <w:color w:val="000000"/>
          <w:sz w:val="28"/>
          <w:szCs w:val="28"/>
        </w:rPr>
        <w:t xml:space="preserve"> </w:t>
      </w:r>
      <w:r w:rsidRPr="00D6493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20]. </w:t>
      </w:r>
    </w:p>
    <w:p w:rsidR="00545400" w:rsidRPr="00D64934" w:rsidRDefault="00545400" w:rsidP="00545400">
      <w:pP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Причинами формирования анемического синдрома у пациентов ХБП может быть несколько, среди которых основнополагающей</w:t>
      </w:r>
      <w:r w:rsidRPr="00A126B7">
        <w:rPr>
          <w:rFonts w:ascii="Times New Roman" w:eastAsia="Times New Roman" w:hAnsi="Times New Roman" w:cs="Times New Roman"/>
          <w:color w:val="000000"/>
          <w:sz w:val="28"/>
          <w:szCs w:val="28"/>
        </w:rPr>
        <w:t xml:space="preserve"> является</w:t>
      </w:r>
      <w:r>
        <w:rPr>
          <w:rFonts w:ascii="Times New Roman" w:eastAsia="Times New Roman" w:hAnsi="Times New Roman" w:cs="Times New Roman"/>
          <w:color w:val="000000"/>
          <w:sz w:val="28"/>
          <w:szCs w:val="28"/>
        </w:rPr>
        <w:t xml:space="preserve"> недостаточность синтеза эритропоэтина в следствии </w:t>
      </w:r>
      <w:r w:rsidRPr="00A126B7">
        <w:rPr>
          <w:rFonts w:ascii="Times New Roman" w:eastAsia="Times New Roman" w:hAnsi="Times New Roman" w:cs="Times New Roman"/>
          <w:color w:val="000000"/>
          <w:sz w:val="28"/>
          <w:szCs w:val="28"/>
        </w:rPr>
        <w:t>с тубулоинтерстициальным фиб</w:t>
      </w:r>
      <w:r>
        <w:rPr>
          <w:rFonts w:ascii="Times New Roman" w:eastAsia="Times New Roman" w:hAnsi="Times New Roman" w:cs="Times New Roman"/>
          <w:color w:val="000000"/>
          <w:sz w:val="28"/>
          <w:szCs w:val="28"/>
        </w:rPr>
        <w:t>розом и, в последствии, сосудистой облитерацией [21</w:t>
      </w:r>
      <w:r w:rsidRPr="00D64934">
        <w:rPr>
          <w:rFonts w:ascii="Times New Roman" w:eastAsia="Times New Roman" w:hAnsi="Times New Roman" w:cs="Times New Roman"/>
          <w:color w:val="000000"/>
          <w:sz w:val="28"/>
          <w:szCs w:val="28"/>
        </w:rPr>
        <w:t>].</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2866F1">
        <w:rPr>
          <w:rFonts w:ascii="Times New Roman" w:eastAsia="Times New Roman" w:hAnsi="Times New Roman" w:cs="Times New Roman"/>
          <w:color w:val="000000"/>
          <w:sz w:val="28"/>
          <w:szCs w:val="28"/>
        </w:rPr>
        <w:t>Мета</w:t>
      </w:r>
      <w:r w:rsidRPr="00D64934">
        <w:rPr>
          <w:rFonts w:ascii="Times New Roman" w:eastAsia="Times New Roman" w:hAnsi="Times New Roman" w:cs="Times New Roman"/>
          <w:color w:val="000000"/>
          <w:sz w:val="28"/>
          <w:szCs w:val="28"/>
        </w:rPr>
        <w:t>-</w:t>
      </w:r>
      <w:r w:rsidRPr="002866F1">
        <w:rPr>
          <w:rFonts w:ascii="Times New Roman" w:eastAsia="Times New Roman" w:hAnsi="Times New Roman" w:cs="Times New Roman"/>
          <w:color w:val="000000"/>
          <w:sz w:val="28"/>
          <w:szCs w:val="28"/>
        </w:rPr>
        <w:t>анализ</w:t>
      </w:r>
      <w:r w:rsidRPr="00D64934">
        <w:rPr>
          <w:rFonts w:ascii="Times New Roman" w:eastAsia="Times New Roman" w:hAnsi="Times New Roman" w:cs="Times New Roman"/>
          <w:color w:val="000000"/>
          <w:sz w:val="28"/>
          <w:szCs w:val="28"/>
        </w:rPr>
        <w:t xml:space="preserve">, </w:t>
      </w:r>
      <w:r w:rsidRPr="002866F1">
        <w:rPr>
          <w:rFonts w:ascii="Times New Roman" w:eastAsia="Times New Roman" w:hAnsi="Times New Roman" w:cs="Times New Roman"/>
          <w:color w:val="000000"/>
          <w:sz w:val="28"/>
          <w:szCs w:val="28"/>
        </w:rPr>
        <w:t>включавший</w:t>
      </w:r>
      <w:r w:rsidRPr="00D64934">
        <w:rPr>
          <w:rFonts w:ascii="Times New Roman" w:eastAsia="Times New Roman" w:hAnsi="Times New Roman" w:cs="Times New Roman"/>
          <w:color w:val="000000"/>
          <w:sz w:val="28"/>
          <w:szCs w:val="28"/>
        </w:rPr>
        <w:t xml:space="preserve"> 21 </w:t>
      </w:r>
      <w:r w:rsidRPr="002866F1">
        <w:rPr>
          <w:rFonts w:ascii="Times New Roman" w:eastAsia="Times New Roman" w:hAnsi="Times New Roman" w:cs="Times New Roman"/>
          <w:color w:val="000000"/>
          <w:sz w:val="28"/>
          <w:szCs w:val="28"/>
        </w:rPr>
        <w:t>исследование</w:t>
      </w:r>
      <w:r w:rsidRPr="00D64934">
        <w:rPr>
          <w:rFonts w:ascii="Times New Roman" w:eastAsia="Times New Roman" w:hAnsi="Times New Roman" w:cs="Times New Roman"/>
          <w:color w:val="000000"/>
          <w:sz w:val="28"/>
          <w:szCs w:val="28"/>
        </w:rPr>
        <w:t xml:space="preserve">, </w:t>
      </w:r>
      <w:r w:rsidRPr="002866F1">
        <w:rPr>
          <w:rFonts w:ascii="Times New Roman" w:eastAsia="Times New Roman" w:hAnsi="Times New Roman" w:cs="Times New Roman"/>
          <w:color w:val="000000"/>
          <w:sz w:val="28"/>
          <w:szCs w:val="28"/>
        </w:rPr>
        <w:t>показал</w:t>
      </w:r>
      <w:r w:rsidRPr="00D64934">
        <w:rPr>
          <w:rFonts w:ascii="Times New Roman" w:eastAsia="Times New Roman" w:hAnsi="Times New Roman" w:cs="Times New Roman"/>
          <w:color w:val="000000"/>
          <w:sz w:val="28"/>
          <w:szCs w:val="28"/>
        </w:rPr>
        <w:t xml:space="preserve"> </w:t>
      </w:r>
      <w:r w:rsidRPr="002866F1">
        <w:rPr>
          <w:rFonts w:ascii="Times New Roman" w:eastAsia="Times New Roman" w:hAnsi="Times New Roman" w:cs="Times New Roman"/>
          <w:color w:val="000000"/>
          <w:sz w:val="28"/>
          <w:szCs w:val="28"/>
        </w:rPr>
        <w:t>роль</w:t>
      </w:r>
      <w:r w:rsidRPr="00D64934">
        <w:rPr>
          <w:rFonts w:ascii="Times New Roman" w:eastAsia="Times New Roman" w:hAnsi="Times New Roman" w:cs="Times New Roman"/>
          <w:color w:val="000000"/>
          <w:sz w:val="28"/>
          <w:szCs w:val="28"/>
        </w:rPr>
        <w:t xml:space="preserve"> </w:t>
      </w:r>
      <w:r w:rsidRPr="002866F1">
        <w:rPr>
          <w:rFonts w:ascii="Times New Roman" w:eastAsia="Times New Roman" w:hAnsi="Times New Roman" w:cs="Times New Roman"/>
          <w:color w:val="000000"/>
          <w:sz w:val="28"/>
          <w:szCs w:val="28"/>
        </w:rPr>
        <w:t>СКФ</w:t>
      </w:r>
      <w:r w:rsidRPr="00D64934">
        <w:rPr>
          <w:rFonts w:ascii="Times New Roman" w:eastAsia="Times New Roman" w:hAnsi="Times New Roman" w:cs="Times New Roman"/>
          <w:color w:val="000000"/>
          <w:sz w:val="28"/>
          <w:szCs w:val="28"/>
        </w:rPr>
        <w:t xml:space="preserve"> </w:t>
      </w:r>
      <w:r w:rsidRPr="002866F1">
        <w:rPr>
          <w:rFonts w:ascii="Times New Roman" w:eastAsia="Times New Roman" w:hAnsi="Times New Roman" w:cs="Times New Roman"/>
          <w:color w:val="000000"/>
          <w:sz w:val="28"/>
          <w:szCs w:val="28"/>
        </w:rPr>
        <w:t>менее</w:t>
      </w:r>
      <w:r w:rsidRPr="00D64934">
        <w:rPr>
          <w:rFonts w:ascii="Times New Roman" w:eastAsia="Times New Roman" w:hAnsi="Times New Roman" w:cs="Times New Roman"/>
          <w:color w:val="000000"/>
          <w:sz w:val="28"/>
          <w:szCs w:val="28"/>
        </w:rPr>
        <w:t xml:space="preserve"> 60 </w:t>
      </w:r>
      <w:r w:rsidRPr="002866F1">
        <w:rPr>
          <w:rFonts w:ascii="Times New Roman" w:eastAsia="Times New Roman" w:hAnsi="Times New Roman" w:cs="Times New Roman"/>
          <w:color w:val="000000"/>
          <w:sz w:val="28"/>
          <w:szCs w:val="28"/>
        </w:rPr>
        <w:t>мл</w:t>
      </w:r>
      <w:r w:rsidRPr="00D64934">
        <w:rPr>
          <w:rFonts w:ascii="Times New Roman" w:eastAsia="Times New Roman" w:hAnsi="Times New Roman" w:cs="Times New Roman"/>
          <w:color w:val="000000"/>
          <w:sz w:val="28"/>
          <w:szCs w:val="28"/>
        </w:rPr>
        <w:t>/</w:t>
      </w:r>
      <w:r w:rsidRPr="002866F1">
        <w:rPr>
          <w:rFonts w:ascii="Times New Roman" w:eastAsia="Times New Roman" w:hAnsi="Times New Roman" w:cs="Times New Roman"/>
          <w:color w:val="000000"/>
          <w:sz w:val="28"/>
          <w:szCs w:val="28"/>
        </w:rPr>
        <w:t>мин</w:t>
      </w:r>
      <w:r w:rsidRPr="00D64934">
        <w:rPr>
          <w:rFonts w:ascii="Times New Roman" w:eastAsia="Times New Roman" w:hAnsi="Times New Roman" w:cs="Times New Roman"/>
          <w:color w:val="000000"/>
          <w:sz w:val="28"/>
          <w:szCs w:val="28"/>
        </w:rPr>
        <w:t xml:space="preserve">/1,73 </w:t>
      </w:r>
      <w:r w:rsidRPr="002866F1">
        <w:rPr>
          <w:rFonts w:ascii="Times New Roman" w:eastAsia="Times New Roman" w:hAnsi="Times New Roman" w:cs="Times New Roman"/>
          <w:color w:val="000000"/>
          <w:sz w:val="28"/>
          <w:szCs w:val="28"/>
        </w:rPr>
        <w:t>м</w:t>
      </w:r>
      <w:r w:rsidRPr="00D64934">
        <w:rPr>
          <w:rFonts w:ascii="Times New Roman" w:eastAsia="Times New Roman" w:hAnsi="Times New Roman" w:cs="Times New Roman"/>
          <w:color w:val="000000"/>
          <w:sz w:val="28"/>
          <w:szCs w:val="28"/>
        </w:rPr>
        <w:t xml:space="preserve">2 </w:t>
      </w:r>
      <w:r w:rsidRPr="002866F1">
        <w:rPr>
          <w:rFonts w:ascii="Times New Roman" w:eastAsia="Times New Roman" w:hAnsi="Times New Roman" w:cs="Times New Roman"/>
          <w:color w:val="000000"/>
          <w:sz w:val="28"/>
          <w:szCs w:val="28"/>
        </w:rPr>
        <w:t>как</w:t>
      </w:r>
      <w:r w:rsidRPr="00D64934">
        <w:rPr>
          <w:rFonts w:ascii="Times New Roman" w:eastAsia="Times New Roman" w:hAnsi="Times New Roman" w:cs="Times New Roman"/>
          <w:color w:val="000000"/>
          <w:sz w:val="28"/>
          <w:szCs w:val="28"/>
        </w:rPr>
        <w:t xml:space="preserve"> </w:t>
      </w:r>
      <w:r w:rsidRPr="002866F1">
        <w:rPr>
          <w:rFonts w:ascii="Times New Roman" w:eastAsia="Times New Roman" w:hAnsi="Times New Roman" w:cs="Times New Roman"/>
          <w:color w:val="000000"/>
          <w:sz w:val="28"/>
          <w:szCs w:val="28"/>
        </w:rPr>
        <w:t>независимого</w:t>
      </w:r>
      <w:r w:rsidRPr="00D64934">
        <w:rPr>
          <w:rFonts w:ascii="Times New Roman" w:eastAsia="Times New Roman" w:hAnsi="Times New Roman" w:cs="Times New Roman"/>
          <w:color w:val="000000"/>
          <w:sz w:val="28"/>
          <w:szCs w:val="28"/>
        </w:rPr>
        <w:t xml:space="preserve"> </w:t>
      </w:r>
      <w:r w:rsidRPr="002866F1">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rPr>
        <w:t>актора</w:t>
      </w:r>
      <w:r w:rsidRPr="00D64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риска</w:t>
      </w:r>
      <w:r w:rsidRPr="00D64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развития</w:t>
      </w:r>
      <w:r w:rsidRPr="00D64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инсульта</w:t>
      </w:r>
      <w:r w:rsidRPr="00D649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22</w:t>
      </w:r>
      <w:r w:rsidRPr="00980BF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Pr="002F5F6A" w:rsidRDefault="00545400" w:rsidP="00545400">
      <w:pPr>
        <w:spacing w:before="240" w:line="360" w:lineRule="auto"/>
        <w:ind w:firstLine="709"/>
        <w:jc w:val="center"/>
        <w:rPr>
          <w:rFonts w:ascii="Times New Roman" w:eastAsia="Times New Roman" w:hAnsi="Times New Roman" w:cs="Times New Roman"/>
          <w:b/>
          <w:color w:val="000000"/>
          <w:sz w:val="28"/>
          <w:szCs w:val="28"/>
        </w:rPr>
      </w:pPr>
      <w:r w:rsidRPr="002F5F6A">
        <w:rPr>
          <w:rFonts w:ascii="Times New Roman" w:eastAsia="Times New Roman" w:hAnsi="Times New Roman" w:cs="Times New Roman"/>
          <w:b/>
          <w:color w:val="000000"/>
          <w:sz w:val="28"/>
          <w:szCs w:val="28"/>
        </w:rPr>
        <w:t>Ведение больных с ДН</w:t>
      </w:r>
    </w:p>
    <w:p w:rsidR="00545400" w:rsidRPr="00980BF9" w:rsidRDefault="00545400" w:rsidP="00545400">
      <w:pPr>
        <w:pStyle w:val="ab"/>
        <w:shd w:val="clear" w:color="auto" w:fill="FFFFFF"/>
        <w:spacing w:before="240" w:beforeAutospacing="0" w:after="160" w:afterAutospacing="0" w:line="360" w:lineRule="auto"/>
        <w:ind w:firstLine="709"/>
        <w:jc w:val="both"/>
        <w:rPr>
          <w:color w:val="000000"/>
          <w:sz w:val="28"/>
          <w:szCs w:val="28"/>
        </w:rPr>
      </w:pPr>
      <w:r w:rsidRPr="002866F1">
        <w:rPr>
          <w:color w:val="000000"/>
          <w:sz w:val="28"/>
          <w:szCs w:val="28"/>
        </w:rPr>
        <w:t>Популяционные данные свидетельствуют о высочайшем риске сердечно-сосудистой смертности у больных на ГД независимо от возраста, приравненном к риску сердечно-сосудистой смертности у больных в возрасте 80 лет и более. До 50% этих пациентов имеют асимптоматическую значимую ишемию миокарда. Факт снижения почечной функции вследствие развития ДН ускоряет развитие сердечно-сосудистой патологии, поскольку обеспечивает действие дополнительных нетрадиционных факторов риска атерогенеза: альбуминурии, системного воспаления, анемии, гиперпаратиреоза, гиперфосфатем</w:t>
      </w:r>
      <w:r>
        <w:rPr>
          <w:color w:val="000000"/>
          <w:sz w:val="28"/>
          <w:szCs w:val="28"/>
        </w:rPr>
        <w:t xml:space="preserve">ии, дефицита витамина D и др. </w:t>
      </w:r>
      <w:r w:rsidRPr="00980BF9">
        <w:rPr>
          <w:color w:val="000000"/>
          <w:sz w:val="28"/>
          <w:szCs w:val="28"/>
        </w:rPr>
        <w:t>[</w:t>
      </w:r>
      <w:r>
        <w:rPr>
          <w:color w:val="000000"/>
          <w:sz w:val="28"/>
          <w:szCs w:val="28"/>
        </w:rPr>
        <w:t>23</w:t>
      </w:r>
      <w:r w:rsidRPr="00980BF9">
        <w:rPr>
          <w:color w:val="000000"/>
          <w:sz w:val="28"/>
          <w:szCs w:val="28"/>
        </w:rPr>
        <w:t>]</w:t>
      </w:r>
      <w:r>
        <w:rPr>
          <w:color w:val="000000"/>
          <w:sz w:val="28"/>
          <w:szCs w:val="28"/>
        </w:rPr>
        <w:t>.</w:t>
      </w:r>
      <w:r w:rsidRPr="00980BF9">
        <w:rPr>
          <w:color w:val="000000"/>
          <w:sz w:val="28"/>
          <w:szCs w:val="28"/>
        </w:rPr>
        <w:t xml:space="preserve"> </w:t>
      </w:r>
    </w:p>
    <w:p w:rsidR="00545400" w:rsidRPr="002866F1"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2866F1">
        <w:rPr>
          <w:rFonts w:ascii="Times New Roman" w:eastAsia="Times New Roman" w:hAnsi="Times New Roman" w:cs="Times New Roman"/>
          <w:color w:val="000000"/>
          <w:sz w:val="28"/>
          <w:szCs w:val="28"/>
        </w:rPr>
        <w:t xml:space="preserve">Очевидна необходимость скрининга кардиоваскулярной патологии у всех больных СД и ДН. Пациенты с ДН и ИБС, сердечной недостаточностью должны получать лечение по поводу кардиальной патологии в полном объеме в соответствии с национальными и международными рекомендациями, если </w:t>
      </w:r>
      <w:r>
        <w:rPr>
          <w:rFonts w:ascii="Times New Roman" w:eastAsia="Times New Roman" w:hAnsi="Times New Roman" w:cs="Times New Roman"/>
          <w:color w:val="000000"/>
          <w:sz w:val="28"/>
          <w:szCs w:val="28"/>
        </w:rPr>
        <w:t>нет противопоказаний</w:t>
      </w:r>
      <w:r w:rsidRPr="002866F1">
        <w:rPr>
          <w:rFonts w:ascii="Times New Roman" w:eastAsia="Times New Roman" w:hAnsi="Times New Roman" w:cs="Times New Roman"/>
          <w:color w:val="000000"/>
          <w:sz w:val="28"/>
          <w:szCs w:val="28"/>
        </w:rPr>
        <w:t>.</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2866F1">
        <w:rPr>
          <w:rFonts w:ascii="Times New Roman" w:eastAsia="Times New Roman" w:hAnsi="Times New Roman" w:cs="Times New Roman"/>
          <w:color w:val="000000"/>
          <w:sz w:val="28"/>
          <w:szCs w:val="28"/>
        </w:rPr>
        <w:lastRenderedPageBreak/>
        <w:t>Роль контроля гликемии для профилактики развития и прогрессирования ДН убедительно показана в крупнейших исследованиях: DCCT (Diabetes Control and Complications Trial), UKPDS (UK Prospective Diabetes Study), ADVANCE (Action in Diabetes and Vascular Disease: Preterax and Diamicron Modified Release Controlled Evaluation)</w:t>
      </w:r>
      <w:r w:rsidRPr="00401A6D">
        <w:rPr>
          <w:rFonts w:ascii="Times New Roman" w:eastAsia="Times New Roman" w:hAnsi="Times New Roman" w:cs="Times New Roman"/>
          <w:color w:val="000000"/>
          <w:sz w:val="28"/>
          <w:szCs w:val="28"/>
        </w:rPr>
        <w:t xml:space="preserve"> [24,25]</w:t>
      </w:r>
      <w:r w:rsidRPr="002866F1">
        <w:rPr>
          <w:rFonts w:ascii="Times New Roman" w:eastAsia="Times New Roman" w:hAnsi="Times New Roman" w:cs="Times New Roman"/>
          <w:color w:val="000000"/>
          <w:sz w:val="28"/>
          <w:szCs w:val="28"/>
        </w:rPr>
        <w:t xml:space="preserve">.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2866F1">
        <w:rPr>
          <w:rFonts w:ascii="Times New Roman" w:eastAsia="Times New Roman" w:hAnsi="Times New Roman" w:cs="Times New Roman"/>
          <w:color w:val="000000"/>
          <w:sz w:val="28"/>
          <w:szCs w:val="28"/>
        </w:rPr>
        <w:t>Контроль гли</w:t>
      </w:r>
      <w:r>
        <w:rPr>
          <w:rFonts w:ascii="Times New Roman" w:eastAsia="Times New Roman" w:hAnsi="Times New Roman" w:cs="Times New Roman"/>
          <w:color w:val="000000"/>
          <w:sz w:val="28"/>
          <w:szCs w:val="28"/>
        </w:rPr>
        <w:t>кемии становится проблематичным</w:t>
      </w:r>
      <w:r w:rsidRPr="002866F1">
        <w:rPr>
          <w:rFonts w:ascii="Times New Roman" w:eastAsia="Times New Roman" w:hAnsi="Times New Roman" w:cs="Times New Roman"/>
          <w:color w:val="000000"/>
          <w:sz w:val="28"/>
          <w:szCs w:val="28"/>
        </w:rPr>
        <w:t xml:space="preserve"> на выраженных</w:t>
      </w:r>
      <w:r>
        <w:rPr>
          <w:rFonts w:ascii="Times New Roman" w:eastAsia="Times New Roman" w:hAnsi="Times New Roman" w:cs="Times New Roman"/>
          <w:color w:val="000000"/>
          <w:sz w:val="28"/>
          <w:szCs w:val="28"/>
        </w:rPr>
        <w:t xml:space="preserve"> стадиях ХБП в силу ряда причин:</w:t>
      </w:r>
    </w:p>
    <w:p w:rsidR="00545400" w:rsidRDefault="00545400" w:rsidP="00545400">
      <w:pPr>
        <w:pStyle w:val="a5"/>
        <w:numPr>
          <w:ilvl w:val="0"/>
          <w:numId w:val="21"/>
        </w:numPr>
        <w:spacing w:before="240" w:line="360" w:lineRule="auto"/>
        <w:ind w:left="0" w:firstLine="709"/>
        <w:jc w:val="both"/>
        <w:rPr>
          <w:rFonts w:ascii="Times New Roman" w:eastAsia="Times New Roman" w:hAnsi="Times New Roman" w:cs="Times New Roman"/>
          <w:color w:val="000000"/>
          <w:sz w:val="28"/>
          <w:szCs w:val="28"/>
        </w:rPr>
      </w:pPr>
      <w:r w:rsidRPr="0097087C">
        <w:rPr>
          <w:rFonts w:ascii="Times New Roman" w:eastAsia="Times New Roman" w:hAnsi="Times New Roman" w:cs="Times New Roman"/>
          <w:color w:val="000000"/>
          <w:sz w:val="28"/>
          <w:szCs w:val="28"/>
        </w:rPr>
        <w:t>риск гипогликемии вследствие снижения ренального глюконеогенеза и кумуляции инсулина и антигликемических агентов и их метаболитов.</w:t>
      </w:r>
    </w:p>
    <w:p w:rsidR="00545400" w:rsidRDefault="00545400" w:rsidP="00545400">
      <w:pPr>
        <w:pStyle w:val="a5"/>
        <w:numPr>
          <w:ilvl w:val="0"/>
          <w:numId w:val="21"/>
        </w:numPr>
        <w:spacing w:before="240" w:line="360" w:lineRule="auto"/>
        <w:ind w:left="0" w:firstLine="709"/>
        <w:jc w:val="both"/>
        <w:rPr>
          <w:rFonts w:ascii="Times New Roman" w:eastAsia="Times New Roman" w:hAnsi="Times New Roman" w:cs="Times New Roman"/>
          <w:color w:val="000000"/>
          <w:sz w:val="28"/>
          <w:szCs w:val="28"/>
        </w:rPr>
      </w:pPr>
      <w:r w:rsidRPr="0097087C">
        <w:rPr>
          <w:rFonts w:ascii="Times New Roman" w:eastAsia="Times New Roman" w:hAnsi="Times New Roman" w:cs="Times New Roman"/>
          <w:color w:val="000000"/>
          <w:sz w:val="28"/>
          <w:szCs w:val="28"/>
        </w:rPr>
        <w:t xml:space="preserve">риск гипогликемий может превысить преимущества гликемического контроля (вплоть до развития жизнеугрожающих аритмий). </w:t>
      </w:r>
    </w:p>
    <w:p w:rsidR="00545400" w:rsidRDefault="00545400" w:rsidP="00545400">
      <w:pPr>
        <w:pStyle w:val="a5"/>
        <w:numPr>
          <w:ilvl w:val="0"/>
          <w:numId w:val="21"/>
        </w:numPr>
        <w:spacing w:before="240" w:line="360" w:lineRule="auto"/>
        <w:ind w:left="0" w:firstLine="709"/>
        <w:jc w:val="both"/>
        <w:rPr>
          <w:rFonts w:ascii="Times New Roman" w:eastAsia="Times New Roman" w:hAnsi="Times New Roman" w:cs="Times New Roman"/>
          <w:color w:val="000000"/>
          <w:sz w:val="28"/>
          <w:szCs w:val="28"/>
        </w:rPr>
      </w:pPr>
      <w:r w:rsidRPr="0097087C">
        <w:rPr>
          <w:rFonts w:ascii="Times New Roman" w:eastAsia="Times New Roman" w:hAnsi="Times New Roman" w:cs="Times New Roman"/>
          <w:color w:val="000000"/>
          <w:sz w:val="28"/>
          <w:szCs w:val="28"/>
        </w:rPr>
        <w:t xml:space="preserve">достоверность гликированного гемоглобина (HbA1c) как показателя компенсации углеводного обмена на поздних стадиях ХБП, часто сопровождающихся анемией, ограничена из-за уменьшения периода полужизни эритроцитов, изменения их свойств под действием метаболических и механических факторов, влияния терапии. Выраженная гипергликемия, изменяя функциональные свойства мембраны эритроцитов и гемоглобина, и, соответственно, приводя к гипоксии, ускоренной деструкции красных кровяных клеток, их повышенной адгезии к эндотелию, сама по себе может способствовать уменьшению периоду полужизни эритроцитов. </w:t>
      </w:r>
    </w:p>
    <w:p w:rsidR="00545400" w:rsidRDefault="00545400" w:rsidP="00545400">
      <w:pPr>
        <w:pStyle w:val="a5"/>
        <w:numPr>
          <w:ilvl w:val="0"/>
          <w:numId w:val="21"/>
        </w:numPr>
        <w:spacing w:before="240" w:line="360" w:lineRule="auto"/>
        <w:ind w:left="0" w:firstLine="709"/>
        <w:jc w:val="both"/>
        <w:rPr>
          <w:rFonts w:ascii="Times New Roman" w:eastAsia="Times New Roman" w:hAnsi="Times New Roman" w:cs="Times New Roman"/>
          <w:color w:val="000000"/>
          <w:sz w:val="28"/>
          <w:szCs w:val="28"/>
        </w:rPr>
      </w:pPr>
      <w:r w:rsidRPr="0097087C">
        <w:rPr>
          <w:rFonts w:ascii="Times New Roman" w:eastAsia="Times New Roman" w:hAnsi="Times New Roman" w:cs="Times New Roman"/>
          <w:color w:val="000000"/>
          <w:sz w:val="28"/>
          <w:szCs w:val="28"/>
        </w:rPr>
        <w:t xml:space="preserve">Особенно сложно контролировать гликемию пациентам с ДН, получающим диализную терапию. Это пациенты с развернутой клиникой микро- и макрососудистых осложнений, нарушенной функцией автономной нервной системы, проявляющейся в том числе неспособностью распознавать гипогликемию, высочайшим риском общей и кардиоваскулярной смертности. </w:t>
      </w:r>
    </w:p>
    <w:p w:rsidR="00545400" w:rsidRDefault="00545400" w:rsidP="00545400">
      <w:pPr>
        <w:pStyle w:val="a5"/>
        <w:numPr>
          <w:ilvl w:val="0"/>
          <w:numId w:val="21"/>
        </w:numPr>
        <w:spacing w:before="240" w:line="360" w:lineRule="auto"/>
        <w:ind w:left="0" w:firstLine="709"/>
        <w:jc w:val="both"/>
        <w:rPr>
          <w:rFonts w:ascii="Times New Roman" w:eastAsia="Times New Roman" w:hAnsi="Times New Roman" w:cs="Times New Roman"/>
          <w:color w:val="000000"/>
          <w:sz w:val="28"/>
          <w:szCs w:val="28"/>
        </w:rPr>
      </w:pPr>
      <w:r w:rsidRPr="0097087C">
        <w:rPr>
          <w:rFonts w:ascii="Times New Roman" w:eastAsia="Times New Roman" w:hAnsi="Times New Roman" w:cs="Times New Roman"/>
          <w:color w:val="000000"/>
          <w:sz w:val="28"/>
          <w:szCs w:val="28"/>
        </w:rPr>
        <w:t xml:space="preserve">Последние рекомендации KDIGO рассматривают гликемический контроль как часть мультифакторной интервенционной стратегии, направленной на контроль АД и кардиоваскулярного риска. </w:t>
      </w:r>
    </w:p>
    <w:p w:rsidR="00545400" w:rsidRPr="00957902" w:rsidRDefault="00545400" w:rsidP="00545400">
      <w:pPr>
        <w:spacing w:before="240" w:line="360" w:lineRule="auto"/>
        <w:ind w:firstLine="708"/>
        <w:jc w:val="both"/>
        <w:rPr>
          <w:rFonts w:ascii="Times New Roman" w:eastAsia="Times New Roman" w:hAnsi="Times New Roman" w:cs="Times New Roman"/>
          <w:color w:val="000000"/>
          <w:sz w:val="28"/>
          <w:szCs w:val="28"/>
        </w:rPr>
      </w:pPr>
      <w:r w:rsidRPr="00957902">
        <w:rPr>
          <w:rFonts w:ascii="Times New Roman" w:eastAsia="Times New Roman" w:hAnsi="Times New Roman" w:cs="Times New Roman"/>
          <w:color w:val="000000"/>
          <w:sz w:val="28"/>
          <w:szCs w:val="28"/>
        </w:rPr>
        <w:lastRenderedPageBreak/>
        <w:t xml:space="preserve">В рекомендациях Национального почечного фонда США (NKF KDOQI) определены целевые уровни HbA1c у лиц с СД и ХБП с учетом имеющихся рисков: </w:t>
      </w:r>
    </w:p>
    <w:p w:rsidR="00545400" w:rsidRDefault="00545400" w:rsidP="00545400">
      <w:pPr>
        <w:pStyle w:val="a5"/>
        <w:spacing w:before="24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C26B6">
        <w:rPr>
          <w:rFonts w:ascii="Times New Roman" w:eastAsia="Times New Roman" w:hAnsi="Times New Roman" w:cs="Times New Roman"/>
          <w:color w:val="000000"/>
          <w:sz w:val="28"/>
          <w:szCs w:val="28"/>
        </w:rPr>
        <w:t>HbA1c &lt;7,0% (53 ммоль/моль) для профилактики развития и</w:t>
      </w:r>
      <w:r>
        <w:rPr>
          <w:rFonts w:ascii="Times New Roman" w:eastAsia="Times New Roman" w:hAnsi="Times New Roman" w:cs="Times New Roman"/>
          <w:color w:val="000000"/>
          <w:sz w:val="28"/>
          <w:szCs w:val="28"/>
        </w:rPr>
        <w:t xml:space="preserve"> </w:t>
      </w:r>
      <w:r w:rsidRPr="001C26B6">
        <w:rPr>
          <w:rFonts w:ascii="Times New Roman" w:eastAsia="Times New Roman" w:hAnsi="Times New Roman" w:cs="Times New Roman"/>
          <w:color w:val="000000"/>
          <w:sz w:val="28"/>
          <w:szCs w:val="28"/>
        </w:rPr>
        <w:t>прогрессирования микроваскуля</w:t>
      </w:r>
      <w:r>
        <w:rPr>
          <w:rFonts w:ascii="Times New Roman" w:eastAsia="Times New Roman" w:hAnsi="Times New Roman" w:cs="Times New Roman"/>
          <w:color w:val="000000"/>
          <w:sz w:val="28"/>
          <w:szCs w:val="28"/>
        </w:rPr>
        <w:t xml:space="preserve">рных осложнений, включая ДН </w:t>
      </w:r>
    </w:p>
    <w:p w:rsidR="00545400" w:rsidRPr="0097087C" w:rsidRDefault="00545400" w:rsidP="00545400">
      <w:pPr>
        <w:pStyle w:val="a5"/>
        <w:spacing w:before="24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7087C">
        <w:rPr>
          <w:rFonts w:ascii="Times New Roman" w:eastAsia="Times New Roman" w:hAnsi="Times New Roman" w:cs="Times New Roman"/>
          <w:color w:val="000000"/>
          <w:sz w:val="28"/>
          <w:szCs w:val="28"/>
        </w:rPr>
        <w:t xml:space="preserve">Не рекомендуется целевой уровень HbA1c &lt;7,0% (53 ммоль/моль) для пациентов с риском гипогликемий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1C26B6">
        <w:rPr>
          <w:rFonts w:ascii="Times New Roman" w:eastAsia="Times New Roman" w:hAnsi="Times New Roman" w:cs="Times New Roman"/>
          <w:color w:val="000000"/>
          <w:sz w:val="28"/>
          <w:szCs w:val="28"/>
        </w:rPr>
        <w:t xml:space="preserve">Целевой уровень НвА1с на гемодиализе составляет: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1C26B6">
        <w:rPr>
          <w:rFonts w:ascii="Times New Roman" w:eastAsia="Times New Roman" w:hAnsi="Times New Roman" w:cs="Times New Roman"/>
          <w:color w:val="000000"/>
          <w:sz w:val="28"/>
          <w:szCs w:val="28"/>
        </w:rPr>
        <w:t xml:space="preserve">7.0% — для молодых больных без выраженных сердечнососудистых осложнений;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1C26B6">
        <w:rPr>
          <w:rFonts w:ascii="Times New Roman" w:eastAsia="Times New Roman" w:hAnsi="Times New Roman" w:cs="Times New Roman"/>
          <w:color w:val="000000"/>
          <w:sz w:val="28"/>
          <w:szCs w:val="28"/>
        </w:rPr>
        <w:t>7.5 — 8.0 % — для больных с тяжелой патологией сосудов сердца и сетчатки</w:t>
      </w:r>
      <w:r w:rsidRPr="00401A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38</w:t>
      </w:r>
      <w:r w:rsidRPr="00401A6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Динамику НвА1с у больных ДН</w:t>
      </w:r>
      <w:r w:rsidRPr="001C26B6">
        <w:rPr>
          <w:rFonts w:ascii="Times New Roman" w:eastAsia="Times New Roman" w:hAnsi="Times New Roman" w:cs="Times New Roman"/>
          <w:color w:val="000000"/>
          <w:sz w:val="28"/>
          <w:szCs w:val="28"/>
        </w:rPr>
        <w:t xml:space="preserve"> на диализе при необходимости можно оценивать 1 раз в 4 — 6 недель (т.е. чаще, чем у недиализных больных), поскольку период ж</w:t>
      </w:r>
      <w:r>
        <w:rPr>
          <w:rFonts w:ascii="Times New Roman" w:eastAsia="Times New Roman" w:hAnsi="Times New Roman" w:cs="Times New Roman"/>
          <w:color w:val="000000"/>
          <w:sz w:val="28"/>
          <w:szCs w:val="28"/>
        </w:rPr>
        <w:t>изни эритроцитов у больных с ХБП</w:t>
      </w:r>
      <w:r w:rsidRPr="001C26B6">
        <w:rPr>
          <w:rFonts w:ascii="Times New Roman" w:eastAsia="Times New Roman" w:hAnsi="Times New Roman" w:cs="Times New Roman"/>
          <w:color w:val="000000"/>
          <w:sz w:val="28"/>
          <w:szCs w:val="28"/>
        </w:rPr>
        <w:t xml:space="preserve"> в 2 раза меньше, чем у больных с сохранной функцией почек.</w:t>
      </w:r>
    </w:p>
    <w:p w:rsidR="00545400" w:rsidRPr="00957902"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957902">
        <w:rPr>
          <w:rFonts w:ascii="Times New Roman" w:eastAsia="Times New Roman" w:hAnsi="Times New Roman" w:cs="Times New Roman"/>
          <w:color w:val="000000"/>
          <w:sz w:val="28"/>
          <w:szCs w:val="28"/>
        </w:rPr>
        <w:t>Возможность предотвращения развития ДН при идеальной компенсации углеводного обмена у больных СД была показана в нескольких исследованиях [24,45,5]. Продемонстрировано, что снижение HbAlc на 1% связано с уменьшением риска инсульта на 12%, инфаркта миокарда на 14%, атеросклероза периферических сосудов на 43% [2, 45].</w:t>
      </w:r>
    </w:p>
    <w:p w:rsidR="00545400" w:rsidRPr="00957902"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957902">
        <w:rPr>
          <w:rFonts w:ascii="Times New Roman" w:eastAsia="Times New Roman" w:hAnsi="Times New Roman" w:cs="Times New Roman"/>
          <w:color w:val="000000"/>
          <w:sz w:val="28"/>
          <w:szCs w:val="28"/>
        </w:rPr>
        <w:t xml:space="preserve">В отличие от измерений концентраций глюкозы в крови, гликозилированный гемоглобин (HbА1с) отражает представление о   среднем содержании сахара в крови за длительный период (до 3 месяцев), т.к.  время жизни эритроцитов, которые содержат гемоглобин, составляет в среднем 120–125 суток. HbА1с отражает процент гемоглобина крови, необратимо </w:t>
      </w:r>
      <w:r w:rsidRPr="00957902">
        <w:rPr>
          <w:rFonts w:ascii="Times New Roman" w:eastAsia="Times New Roman" w:hAnsi="Times New Roman" w:cs="Times New Roman"/>
          <w:color w:val="000000"/>
          <w:sz w:val="28"/>
          <w:szCs w:val="28"/>
        </w:rPr>
        <w:lastRenderedPageBreak/>
        <w:t>соединенного с молекулами глюкозы. При повышении значений HbА1с выше 8% можно говорить о неконтролируемом сахарном диабете, показано изменен</w:t>
      </w:r>
      <w:r>
        <w:rPr>
          <w:rFonts w:ascii="Times New Roman" w:eastAsia="Times New Roman" w:hAnsi="Times New Roman" w:cs="Times New Roman"/>
          <w:color w:val="000000"/>
          <w:sz w:val="28"/>
          <w:szCs w:val="28"/>
        </w:rPr>
        <w:t>ие сахароснижающей терапии [2,47</w:t>
      </w:r>
      <w:r w:rsidRPr="00957902">
        <w:rPr>
          <w:rFonts w:ascii="Times New Roman" w:eastAsia="Times New Roman" w:hAnsi="Times New Roman" w:cs="Times New Roman"/>
          <w:color w:val="000000"/>
          <w:sz w:val="28"/>
          <w:szCs w:val="28"/>
        </w:rPr>
        <w:t>].</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1C26B6">
        <w:rPr>
          <w:rFonts w:ascii="Times New Roman" w:eastAsia="Times New Roman" w:hAnsi="Times New Roman" w:cs="Times New Roman"/>
          <w:color w:val="000000"/>
          <w:sz w:val="28"/>
          <w:szCs w:val="28"/>
        </w:rPr>
        <w:t>Инсулинотерапия</w:t>
      </w:r>
      <w:r>
        <w:rPr>
          <w:rFonts w:ascii="Times New Roman" w:eastAsia="Times New Roman" w:hAnsi="Times New Roman" w:cs="Times New Roman"/>
          <w:color w:val="000000"/>
          <w:sz w:val="28"/>
          <w:szCs w:val="28"/>
        </w:rPr>
        <w:t>,</w:t>
      </w:r>
      <w:r w:rsidRPr="001C26B6">
        <w:rPr>
          <w:rFonts w:ascii="Times New Roman" w:eastAsia="Times New Roman" w:hAnsi="Times New Roman" w:cs="Times New Roman"/>
          <w:color w:val="000000"/>
          <w:sz w:val="28"/>
          <w:szCs w:val="28"/>
        </w:rPr>
        <w:t xml:space="preserve"> как наиболее эффективная</w:t>
      </w:r>
      <w:r w:rsidRPr="00CC0A69">
        <w:rPr>
          <w:rFonts w:ascii="Times New Roman" w:eastAsia="Times New Roman" w:hAnsi="Times New Roman" w:cs="Times New Roman"/>
          <w:color w:val="000000"/>
          <w:sz w:val="28"/>
          <w:szCs w:val="28"/>
        </w:rPr>
        <w:t>,</w:t>
      </w:r>
      <w:r w:rsidRPr="001C26B6">
        <w:rPr>
          <w:rFonts w:ascii="Times New Roman" w:eastAsia="Times New Roman" w:hAnsi="Times New Roman" w:cs="Times New Roman"/>
          <w:color w:val="000000"/>
          <w:sz w:val="28"/>
          <w:szCs w:val="28"/>
        </w:rPr>
        <w:t xml:space="preserve"> обеспечивает наибольшее снижение HbA1с. На 4-5 стадиях ХБП потребность в инсулине может снижаться в силу замедления его деградации, снижения уровня катехоламинов, ренального глюконеогенеза, изменения нутритивного статуса с гипопротеинемией, что требует соответствующей редукции дозы. Важно отметить частоту автономной нейропатии у пациентов с ХБП, проявляющуюся, в том числе, не распознаванием «гипо». Следует отметить предпочтительность аналогов инсулина для этой группы пациентов с учетом их преимуществ по минимизации риска гипогликемий и необходимость мониторирования гликемии. Меньше внимания уделяется вопросам возможности развития инсулинорезистентности с соответствующим повышением потребности в инсулине на выраженных стадиях ХБП под влиянием уремических токсинов, гипепаратиреоза, дефицита витамина D, ожирения, содержания глюкозы в диализных растворах.</w:t>
      </w:r>
    </w:p>
    <w:p w:rsidR="00545400" w:rsidRPr="001C26B6"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Рекомендации по ведению</w:t>
      </w:r>
      <w:r w:rsidRPr="00BA52AF">
        <w:rPr>
          <w:rFonts w:ascii="Times New Roman" w:eastAsia="Times New Roman" w:hAnsi="Times New Roman" w:cs="Times New Roman"/>
          <w:b/>
          <w:color w:val="000000"/>
          <w:sz w:val="28"/>
          <w:szCs w:val="28"/>
        </w:rPr>
        <w:t xml:space="preserve"> больных </w:t>
      </w:r>
      <w:r>
        <w:rPr>
          <w:rFonts w:ascii="Times New Roman" w:eastAsia="Times New Roman" w:hAnsi="Times New Roman" w:cs="Times New Roman"/>
          <w:b/>
          <w:color w:val="000000"/>
          <w:sz w:val="28"/>
          <w:szCs w:val="28"/>
        </w:rPr>
        <w:t>ДН</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Оптимальное </w:t>
      </w:r>
      <w:r w:rsidRPr="00BA52AF">
        <w:rPr>
          <w:rFonts w:ascii="Times New Roman" w:eastAsia="Times New Roman" w:hAnsi="Times New Roman" w:cs="Times New Roman"/>
          <w:color w:val="000000"/>
          <w:sz w:val="28"/>
          <w:szCs w:val="28"/>
        </w:rPr>
        <w:t>лечен</w:t>
      </w:r>
      <w:r>
        <w:rPr>
          <w:rFonts w:ascii="Times New Roman" w:eastAsia="Times New Roman" w:hAnsi="Times New Roman" w:cs="Times New Roman"/>
          <w:color w:val="000000"/>
          <w:sz w:val="28"/>
          <w:szCs w:val="28"/>
        </w:rPr>
        <w:t xml:space="preserve">ие диабетической нефропатии </w:t>
      </w:r>
      <w:r w:rsidRPr="00BA52AF">
        <w:rPr>
          <w:rFonts w:ascii="Times New Roman" w:eastAsia="Times New Roman" w:hAnsi="Times New Roman" w:cs="Times New Roman"/>
          <w:color w:val="000000"/>
          <w:sz w:val="28"/>
          <w:szCs w:val="28"/>
        </w:rPr>
        <w:t>все еще находится в процессе развития.</w:t>
      </w:r>
      <w:r>
        <w:rPr>
          <w:rFonts w:ascii="Times New Roman" w:eastAsia="Times New Roman" w:hAnsi="Times New Roman" w:cs="Times New Roman"/>
          <w:b/>
          <w:color w:val="000000"/>
          <w:sz w:val="28"/>
          <w:szCs w:val="28"/>
        </w:rPr>
        <w:t xml:space="preserve"> </w:t>
      </w:r>
      <w:r w:rsidRPr="00BA52AF">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z w:val="28"/>
          <w:szCs w:val="28"/>
        </w:rPr>
        <w:t>ффективное ведение должно включать несколько компоненотов.</w:t>
      </w:r>
    </w:p>
    <w:p w:rsidR="00545400" w:rsidRPr="00DC6A42" w:rsidRDefault="00545400" w:rsidP="00545400">
      <w:pPr>
        <w:pStyle w:val="a5"/>
        <w:numPr>
          <w:ilvl w:val="0"/>
          <w:numId w:val="16"/>
        </w:numPr>
        <w:spacing w:before="240" w:line="360" w:lineRule="auto"/>
        <w:ind w:left="0" w:firstLine="709"/>
        <w:jc w:val="both"/>
        <w:rPr>
          <w:rFonts w:ascii="Times New Roman" w:eastAsia="Times New Roman" w:hAnsi="Times New Roman" w:cs="Times New Roman"/>
          <w:b/>
          <w:color w:val="000000"/>
          <w:sz w:val="28"/>
          <w:szCs w:val="28"/>
        </w:rPr>
      </w:pPr>
      <w:r w:rsidRPr="00DC6A42">
        <w:rPr>
          <w:rFonts w:ascii="Times New Roman" w:eastAsia="Times New Roman" w:hAnsi="Times New Roman" w:cs="Times New Roman"/>
          <w:b/>
          <w:color w:val="000000"/>
          <w:sz w:val="28"/>
          <w:szCs w:val="28"/>
        </w:rPr>
        <w:t xml:space="preserve">Соблюдение почечной диеты: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5D27A4">
        <w:rPr>
          <w:rFonts w:ascii="Times New Roman" w:eastAsia="Times New Roman" w:hAnsi="Times New Roman" w:cs="Times New Roman"/>
          <w:color w:val="000000"/>
          <w:sz w:val="28"/>
          <w:szCs w:val="28"/>
        </w:rPr>
        <w:t>Большинство исследователей склоняются к целесообразности ограничения потребления белка до</w:t>
      </w:r>
      <w:r>
        <w:rPr>
          <w:rFonts w:ascii="Times New Roman" w:eastAsia="Times New Roman" w:hAnsi="Times New Roman" w:cs="Times New Roman"/>
          <w:color w:val="000000"/>
          <w:sz w:val="28"/>
          <w:szCs w:val="28"/>
        </w:rPr>
        <w:t xml:space="preserve"> 0,8 г/кг/сутки</w:t>
      </w:r>
      <w:r w:rsidRPr="00DC6A42">
        <w:rPr>
          <w:rFonts w:ascii="Times New Roman" w:eastAsia="Times New Roman" w:hAnsi="Times New Roman" w:cs="Times New Roman"/>
          <w:color w:val="000000"/>
          <w:sz w:val="28"/>
          <w:szCs w:val="28"/>
        </w:rPr>
        <w:t xml:space="preserve"> [45]</w:t>
      </w:r>
      <w:r>
        <w:rPr>
          <w:rFonts w:ascii="Times New Roman" w:eastAsia="Times New Roman" w:hAnsi="Times New Roman" w:cs="Times New Roman"/>
          <w:color w:val="000000"/>
          <w:sz w:val="28"/>
          <w:szCs w:val="28"/>
        </w:rPr>
        <w:t xml:space="preserve">. </w:t>
      </w:r>
      <w:r w:rsidRPr="005D27A4">
        <w:rPr>
          <w:rFonts w:ascii="Times New Roman" w:eastAsia="Times New Roman" w:hAnsi="Times New Roman" w:cs="Times New Roman"/>
          <w:color w:val="000000"/>
          <w:sz w:val="28"/>
          <w:szCs w:val="28"/>
        </w:rPr>
        <w:t>Целесообразно частично заменять животные белки растительными. Целью подобных ограничений</w:t>
      </w:r>
      <w:r>
        <w:rPr>
          <w:rFonts w:ascii="Times New Roman" w:eastAsia="Times New Roman" w:hAnsi="Times New Roman" w:cs="Times New Roman"/>
          <w:color w:val="000000"/>
          <w:sz w:val="28"/>
          <w:szCs w:val="28"/>
        </w:rPr>
        <w:t xml:space="preserve"> </w:t>
      </w:r>
      <w:r w:rsidRPr="005D27A4">
        <w:rPr>
          <w:rFonts w:ascii="Times New Roman" w:eastAsia="Times New Roman" w:hAnsi="Times New Roman" w:cs="Times New Roman"/>
          <w:color w:val="000000"/>
          <w:sz w:val="28"/>
          <w:szCs w:val="28"/>
        </w:rPr>
        <w:t xml:space="preserve">является снижение гемодинамической нагрузки </w:t>
      </w:r>
      <w:r>
        <w:rPr>
          <w:rFonts w:ascii="Times New Roman" w:eastAsia="Times New Roman" w:hAnsi="Times New Roman" w:cs="Times New Roman"/>
          <w:color w:val="000000"/>
          <w:sz w:val="28"/>
          <w:szCs w:val="28"/>
        </w:rPr>
        <w:t xml:space="preserve">и </w:t>
      </w:r>
      <w:r w:rsidRPr="005D27A4">
        <w:rPr>
          <w:rFonts w:ascii="Times New Roman" w:eastAsia="Times New Roman" w:hAnsi="Times New Roman" w:cs="Times New Roman"/>
          <w:color w:val="000000"/>
          <w:sz w:val="28"/>
          <w:szCs w:val="28"/>
        </w:rPr>
        <w:lastRenderedPageBreak/>
        <w:t>фильтрационной нагрузки</w:t>
      </w:r>
      <w:r w:rsidRPr="003158BE">
        <w:rPr>
          <w:rFonts w:ascii="Times New Roman" w:eastAsia="Times New Roman" w:hAnsi="Times New Roman" w:cs="Times New Roman"/>
          <w:color w:val="000000"/>
          <w:sz w:val="28"/>
          <w:szCs w:val="28"/>
        </w:rPr>
        <w:t xml:space="preserve"> [49]</w:t>
      </w:r>
      <w:r>
        <w:rPr>
          <w:rFonts w:ascii="Times New Roman" w:eastAsia="Times New Roman" w:hAnsi="Times New Roman" w:cs="Times New Roman"/>
          <w:color w:val="000000"/>
          <w:sz w:val="28"/>
          <w:szCs w:val="28"/>
        </w:rPr>
        <w:t>. В</w:t>
      </w:r>
      <w:r w:rsidRPr="005D27A4">
        <w:rPr>
          <w:rFonts w:ascii="Times New Roman" w:eastAsia="Times New Roman" w:hAnsi="Times New Roman" w:cs="Times New Roman"/>
          <w:color w:val="000000"/>
          <w:sz w:val="28"/>
          <w:szCs w:val="28"/>
        </w:rPr>
        <w:t>ажным фактором лечения являет</w:t>
      </w:r>
      <w:r>
        <w:rPr>
          <w:rFonts w:ascii="Times New Roman" w:eastAsia="Times New Roman" w:hAnsi="Times New Roman" w:cs="Times New Roman"/>
          <w:color w:val="000000"/>
          <w:sz w:val="28"/>
          <w:szCs w:val="28"/>
        </w:rPr>
        <w:t xml:space="preserve">ся ограничение поваренной соли. </w:t>
      </w:r>
      <w:r w:rsidRPr="005D27A4">
        <w:rPr>
          <w:rFonts w:ascii="Times New Roman" w:eastAsia="Times New Roman" w:hAnsi="Times New Roman" w:cs="Times New Roman"/>
          <w:color w:val="000000"/>
          <w:sz w:val="28"/>
          <w:szCs w:val="28"/>
        </w:rPr>
        <w:t>Согласно последним</w:t>
      </w:r>
      <w:r>
        <w:rPr>
          <w:rFonts w:ascii="Times New Roman" w:eastAsia="Times New Roman" w:hAnsi="Times New Roman" w:cs="Times New Roman"/>
          <w:color w:val="000000"/>
          <w:sz w:val="28"/>
          <w:szCs w:val="28"/>
        </w:rPr>
        <w:t xml:space="preserve"> </w:t>
      </w:r>
      <w:r w:rsidRPr="005D27A4">
        <w:rPr>
          <w:rFonts w:ascii="Times New Roman" w:eastAsia="Times New Roman" w:hAnsi="Times New Roman" w:cs="Times New Roman"/>
          <w:color w:val="000000"/>
          <w:sz w:val="28"/>
          <w:szCs w:val="28"/>
        </w:rPr>
        <w:t>Европейским рекомендациям больным СД даже при</w:t>
      </w:r>
      <w:r>
        <w:rPr>
          <w:rFonts w:ascii="Times New Roman" w:eastAsia="Times New Roman" w:hAnsi="Times New Roman" w:cs="Times New Roman"/>
          <w:color w:val="000000"/>
          <w:sz w:val="28"/>
          <w:szCs w:val="28"/>
        </w:rPr>
        <w:t xml:space="preserve"> </w:t>
      </w:r>
      <w:r w:rsidRPr="005D27A4">
        <w:rPr>
          <w:rFonts w:ascii="Times New Roman" w:eastAsia="Times New Roman" w:hAnsi="Times New Roman" w:cs="Times New Roman"/>
          <w:color w:val="000000"/>
          <w:sz w:val="28"/>
          <w:szCs w:val="28"/>
        </w:rPr>
        <w:t>нормальном АД следует ограничивать употребление</w:t>
      </w:r>
      <w:r>
        <w:rPr>
          <w:rFonts w:ascii="Times New Roman" w:eastAsia="Times New Roman" w:hAnsi="Times New Roman" w:cs="Times New Roman"/>
          <w:color w:val="000000"/>
          <w:sz w:val="28"/>
          <w:szCs w:val="28"/>
        </w:rPr>
        <w:t xml:space="preserve"> соли до 5-6 г/сутки. </w:t>
      </w:r>
      <w:r w:rsidRPr="008E50B3">
        <w:rPr>
          <w:rFonts w:ascii="Times New Roman" w:eastAsia="Times New Roman" w:hAnsi="Times New Roman" w:cs="Times New Roman"/>
          <w:color w:val="000000"/>
          <w:sz w:val="28"/>
          <w:szCs w:val="28"/>
        </w:rPr>
        <w:t>При повышении АД ограничение должно быть более строгим</w:t>
      </w:r>
      <w:r>
        <w:rPr>
          <w:rFonts w:ascii="Times New Roman" w:eastAsia="Times New Roman" w:hAnsi="Times New Roman" w:cs="Times New Roman"/>
          <w:color w:val="000000"/>
          <w:sz w:val="28"/>
          <w:szCs w:val="28"/>
        </w:rPr>
        <w:t xml:space="preserve"> (до 3 г</w:t>
      </w:r>
      <w:r w:rsidRPr="008E50B3">
        <w:rPr>
          <w:rFonts w:ascii="Times New Roman" w:eastAsia="Times New Roman" w:hAnsi="Times New Roman" w:cs="Times New Roman"/>
          <w:color w:val="000000"/>
          <w:sz w:val="28"/>
          <w:szCs w:val="28"/>
        </w:rPr>
        <w:t xml:space="preserve"> в сутки</w:t>
      </w:r>
      <w:r>
        <w:rPr>
          <w:rFonts w:ascii="Times New Roman" w:eastAsia="Times New Roman" w:hAnsi="Times New Roman" w:cs="Times New Roman"/>
          <w:color w:val="000000"/>
          <w:sz w:val="28"/>
          <w:szCs w:val="28"/>
        </w:rPr>
        <w:t>)</w:t>
      </w:r>
      <w:r w:rsidRPr="00401A6D">
        <w:rPr>
          <w:rFonts w:ascii="Times New Roman" w:eastAsia="Times New Roman" w:hAnsi="Times New Roman" w:cs="Times New Roman"/>
          <w:color w:val="000000"/>
          <w:sz w:val="28"/>
          <w:szCs w:val="28"/>
        </w:rPr>
        <w:t xml:space="preserve"> [51]</w:t>
      </w:r>
      <w:r>
        <w:rPr>
          <w:rFonts w:ascii="Times New Roman" w:eastAsia="Times New Roman" w:hAnsi="Times New Roman" w:cs="Times New Roman"/>
          <w:color w:val="000000"/>
          <w:sz w:val="28"/>
          <w:szCs w:val="28"/>
        </w:rPr>
        <w:t>.  К</w:t>
      </w:r>
      <w:r w:rsidRPr="008E50B3">
        <w:rPr>
          <w:rFonts w:ascii="Times New Roman" w:eastAsia="Times New Roman" w:hAnsi="Times New Roman" w:cs="Times New Roman"/>
          <w:color w:val="000000"/>
          <w:sz w:val="28"/>
          <w:szCs w:val="28"/>
        </w:rPr>
        <w:t>онтролировать употребление с пищей калия (не более</w:t>
      </w:r>
      <w:r>
        <w:rPr>
          <w:rFonts w:ascii="Times New Roman" w:eastAsia="Times New Roman" w:hAnsi="Times New Roman" w:cs="Times New Roman"/>
          <w:color w:val="000000"/>
          <w:sz w:val="28"/>
          <w:szCs w:val="28"/>
        </w:rPr>
        <w:t xml:space="preserve"> </w:t>
      </w:r>
      <w:r w:rsidRPr="008E50B3">
        <w:rPr>
          <w:rFonts w:ascii="Times New Roman" w:eastAsia="Times New Roman" w:hAnsi="Times New Roman" w:cs="Times New Roman"/>
          <w:color w:val="000000"/>
          <w:sz w:val="28"/>
          <w:szCs w:val="28"/>
        </w:rPr>
        <w:t>2,4 г/день) и фосфатов (0,8-1,0 г/день) и достаточное</w:t>
      </w:r>
      <w:r>
        <w:rPr>
          <w:rFonts w:ascii="Times New Roman" w:eastAsia="Times New Roman" w:hAnsi="Times New Roman" w:cs="Times New Roman"/>
          <w:color w:val="000000"/>
          <w:sz w:val="28"/>
          <w:szCs w:val="28"/>
        </w:rPr>
        <w:t xml:space="preserve"> </w:t>
      </w:r>
      <w:r w:rsidRPr="008E50B3">
        <w:rPr>
          <w:rFonts w:ascii="Times New Roman" w:eastAsia="Times New Roman" w:hAnsi="Times New Roman" w:cs="Times New Roman"/>
          <w:color w:val="000000"/>
          <w:sz w:val="28"/>
          <w:szCs w:val="28"/>
        </w:rPr>
        <w:t>потребление кальция за счет продуктов с его высоким содержанием</w:t>
      </w:r>
      <w:r>
        <w:rPr>
          <w:rFonts w:ascii="Times New Roman" w:eastAsia="Times New Roman" w:hAnsi="Times New Roman" w:cs="Times New Roman"/>
          <w:color w:val="000000"/>
          <w:sz w:val="28"/>
          <w:szCs w:val="28"/>
        </w:rPr>
        <w:t xml:space="preserve">. </w:t>
      </w:r>
      <w:r w:rsidRPr="008E50B3">
        <w:rPr>
          <w:rFonts w:ascii="Times New Roman" w:eastAsia="Times New Roman" w:hAnsi="Times New Roman" w:cs="Times New Roman"/>
          <w:color w:val="000000"/>
          <w:sz w:val="28"/>
          <w:szCs w:val="28"/>
        </w:rPr>
        <w:t>Отказ от табакокурения является одним из необ</w:t>
      </w:r>
      <w:r>
        <w:rPr>
          <w:rFonts w:ascii="Times New Roman" w:eastAsia="Times New Roman" w:hAnsi="Times New Roman" w:cs="Times New Roman"/>
          <w:color w:val="000000"/>
          <w:sz w:val="28"/>
          <w:szCs w:val="28"/>
        </w:rPr>
        <w:t>ходимых моментов изменения образа</w:t>
      </w:r>
      <w:r w:rsidRPr="008E50B3">
        <w:rPr>
          <w:rFonts w:ascii="Times New Roman" w:eastAsia="Times New Roman" w:hAnsi="Times New Roman" w:cs="Times New Roman"/>
          <w:color w:val="000000"/>
          <w:sz w:val="28"/>
          <w:szCs w:val="28"/>
        </w:rPr>
        <w:t xml:space="preserve"> жизни пациента</w:t>
      </w:r>
      <w:r>
        <w:rPr>
          <w:rFonts w:ascii="Times New Roman" w:eastAsia="Times New Roman" w:hAnsi="Times New Roman" w:cs="Times New Roman"/>
          <w:color w:val="000000"/>
          <w:sz w:val="28"/>
          <w:szCs w:val="28"/>
        </w:rPr>
        <w:t xml:space="preserve"> </w:t>
      </w:r>
      <w:r w:rsidRPr="008E50B3">
        <w:rPr>
          <w:rFonts w:ascii="Times New Roman" w:eastAsia="Times New Roman" w:hAnsi="Times New Roman" w:cs="Times New Roman"/>
          <w:color w:val="000000"/>
          <w:sz w:val="28"/>
          <w:szCs w:val="28"/>
        </w:rPr>
        <w:t>с СД</w:t>
      </w:r>
      <w:r>
        <w:rPr>
          <w:rFonts w:ascii="Times New Roman" w:eastAsia="Times New Roman" w:hAnsi="Times New Roman" w:cs="Times New Roman"/>
          <w:color w:val="000000"/>
          <w:sz w:val="28"/>
          <w:szCs w:val="28"/>
        </w:rPr>
        <w:t xml:space="preserve">.  </w:t>
      </w:r>
    </w:p>
    <w:p w:rsidR="00545400" w:rsidRDefault="00545400" w:rsidP="00545400">
      <w:pPr>
        <w:pStyle w:val="a5"/>
        <w:numPr>
          <w:ilvl w:val="0"/>
          <w:numId w:val="16"/>
        </w:numPr>
        <w:spacing w:before="240" w:line="360"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Контроль массы тела. </w:t>
      </w:r>
    </w:p>
    <w:p w:rsidR="00545400" w:rsidRPr="00DC6A42" w:rsidRDefault="00545400" w:rsidP="00545400">
      <w:pPr>
        <w:pStyle w:val="a5"/>
        <w:spacing w:before="240" w:line="360" w:lineRule="auto"/>
        <w:ind w:left="0" w:firstLine="709"/>
        <w:jc w:val="both"/>
        <w:rPr>
          <w:rFonts w:ascii="Times New Roman" w:eastAsia="Times New Roman" w:hAnsi="Times New Roman" w:cs="Times New Roman"/>
          <w:color w:val="000000"/>
          <w:sz w:val="28"/>
          <w:szCs w:val="28"/>
        </w:rPr>
      </w:pPr>
      <w:r w:rsidRPr="00DC6A42">
        <w:rPr>
          <w:rFonts w:ascii="Times New Roman" w:eastAsia="Times New Roman" w:hAnsi="Times New Roman" w:cs="Times New Roman"/>
          <w:color w:val="000000"/>
          <w:sz w:val="28"/>
          <w:szCs w:val="28"/>
        </w:rPr>
        <w:t>Индекс массы тела не должен превышать 27 кг/м2.</w:t>
      </w:r>
    </w:p>
    <w:p w:rsidR="00545400" w:rsidRPr="00DC6A42" w:rsidRDefault="00545400" w:rsidP="00545400">
      <w:pPr>
        <w:pStyle w:val="a5"/>
        <w:numPr>
          <w:ilvl w:val="0"/>
          <w:numId w:val="16"/>
        </w:numPr>
        <w:spacing w:before="240" w:line="360" w:lineRule="auto"/>
        <w:ind w:left="0" w:firstLine="709"/>
        <w:jc w:val="both"/>
        <w:rPr>
          <w:rFonts w:ascii="Times New Roman" w:eastAsia="Times New Roman" w:hAnsi="Times New Roman" w:cs="Times New Roman"/>
          <w:b/>
          <w:color w:val="000000"/>
          <w:sz w:val="28"/>
          <w:szCs w:val="28"/>
        </w:rPr>
      </w:pPr>
      <w:r w:rsidRPr="00DC6A42">
        <w:rPr>
          <w:rFonts w:ascii="Times New Roman" w:eastAsia="Times New Roman" w:hAnsi="Times New Roman" w:cs="Times New Roman"/>
          <w:b/>
          <w:color w:val="000000"/>
          <w:sz w:val="28"/>
          <w:szCs w:val="28"/>
        </w:rPr>
        <w:t>Коррекции артериального давления (АД)</w:t>
      </w:r>
      <w:r>
        <w:rPr>
          <w:rFonts w:ascii="Times New Roman" w:eastAsia="Times New Roman" w:hAnsi="Times New Roman" w:cs="Times New Roman"/>
          <w:b/>
          <w:color w:val="000000"/>
          <w:sz w:val="28"/>
          <w:szCs w:val="28"/>
        </w:rPr>
        <w:t xml:space="preserve">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DC6A42">
        <w:rPr>
          <w:rFonts w:ascii="Times New Roman" w:eastAsia="Times New Roman" w:hAnsi="Times New Roman" w:cs="Times New Roman"/>
          <w:color w:val="000000"/>
          <w:sz w:val="28"/>
          <w:szCs w:val="28"/>
        </w:rPr>
        <w:t>Целевой урове</w:t>
      </w:r>
      <w:r>
        <w:rPr>
          <w:rFonts w:ascii="Times New Roman" w:eastAsia="Times New Roman" w:hAnsi="Times New Roman" w:cs="Times New Roman"/>
          <w:color w:val="000000"/>
          <w:sz w:val="28"/>
          <w:szCs w:val="28"/>
        </w:rPr>
        <w:t xml:space="preserve">нь АД у больных с СД должен быть менее </w:t>
      </w:r>
      <w:r w:rsidRPr="00DC6A42">
        <w:rPr>
          <w:rFonts w:ascii="Times New Roman" w:eastAsia="Times New Roman" w:hAnsi="Times New Roman" w:cs="Times New Roman"/>
          <w:color w:val="000000"/>
          <w:sz w:val="28"/>
          <w:szCs w:val="28"/>
        </w:rPr>
        <w:t>140</w:t>
      </w:r>
      <w:r>
        <w:rPr>
          <w:rFonts w:ascii="Times New Roman" w:eastAsia="Times New Roman" w:hAnsi="Times New Roman" w:cs="Times New Roman"/>
          <w:color w:val="000000"/>
          <w:sz w:val="28"/>
          <w:szCs w:val="28"/>
        </w:rPr>
        <w:t>/85 мм рт. ст., но не более 120/70 мм рт. ст. [33</w:t>
      </w:r>
      <w:r w:rsidRPr="00DC6A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современной клинической практике рекомендовано соблюдение принципов индивидуализированной</w:t>
      </w:r>
      <w:r w:rsidRPr="00DC6A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антигипертензивной терапии.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DC6A42">
        <w:rPr>
          <w:rFonts w:ascii="Times New Roman" w:eastAsia="Times New Roman" w:hAnsi="Times New Roman" w:cs="Times New Roman"/>
          <w:color w:val="000000"/>
          <w:sz w:val="28"/>
          <w:szCs w:val="28"/>
        </w:rPr>
        <w:t xml:space="preserve">репаратами выбора </w:t>
      </w:r>
      <w:r>
        <w:rPr>
          <w:rFonts w:ascii="Times New Roman" w:eastAsia="Times New Roman" w:hAnsi="Times New Roman" w:cs="Times New Roman"/>
          <w:color w:val="000000"/>
          <w:sz w:val="28"/>
          <w:szCs w:val="28"/>
        </w:rPr>
        <w:t xml:space="preserve">при лечении АГ на </w:t>
      </w:r>
      <w:r w:rsidRPr="00DC6A42">
        <w:rPr>
          <w:rFonts w:ascii="Times New Roman" w:eastAsia="Times New Roman" w:hAnsi="Times New Roman" w:cs="Times New Roman"/>
          <w:color w:val="000000"/>
          <w:sz w:val="28"/>
          <w:szCs w:val="28"/>
        </w:rPr>
        <w:t>любой ста</w:t>
      </w:r>
      <w:r>
        <w:rPr>
          <w:rFonts w:ascii="Times New Roman" w:eastAsia="Times New Roman" w:hAnsi="Times New Roman" w:cs="Times New Roman"/>
          <w:color w:val="000000"/>
          <w:sz w:val="28"/>
          <w:szCs w:val="28"/>
        </w:rPr>
        <w:t>дии</w:t>
      </w:r>
      <w:r w:rsidRPr="00DC6A42">
        <w:rPr>
          <w:rFonts w:ascii="Times New Roman" w:eastAsia="Times New Roman" w:hAnsi="Times New Roman" w:cs="Times New Roman"/>
          <w:color w:val="000000"/>
          <w:sz w:val="28"/>
          <w:szCs w:val="28"/>
        </w:rPr>
        <w:t xml:space="preserve"> ДН являются средства, блокирующие ренин-ангиотензин</w:t>
      </w:r>
      <w:r>
        <w:rPr>
          <w:rFonts w:ascii="Times New Roman" w:eastAsia="Times New Roman" w:hAnsi="Times New Roman" w:cs="Times New Roman"/>
          <w:color w:val="000000"/>
          <w:sz w:val="28"/>
          <w:szCs w:val="28"/>
        </w:rPr>
        <w:t>-альдостероновую систему (РААС),</w:t>
      </w:r>
      <w:r w:rsidRPr="00DC6A42">
        <w:rPr>
          <w:rFonts w:ascii="Times New Roman" w:eastAsia="Times New Roman" w:hAnsi="Times New Roman" w:cs="Times New Roman"/>
          <w:color w:val="000000"/>
          <w:sz w:val="28"/>
          <w:szCs w:val="28"/>
        </w:rPr>
        <w:t xml:space="preserve"> ингибиторы ангиотензинпревращающего фермента (ИАПФ) и блокаторы рецептора ангиотензина (БРА)</w:t>
      </w:r>
      <w:r>
        <w:rPr>
          <w:rFonts w:ascii="Times New Roman" w:eastAsia="Times New Roman" w:hAnsi="Times New Roman" w:cs="Times New Roman"/>
          <w:color w:val="000000"/>
          <w:sz w:val="28"/>
          <w:szCs w:val="28"/>
        </w:rPr>
        <w:t xml:space="preserve">, под контролем </w:t>
      </w:r>
      <w:r w:rsidRPr="001A23C6">
        <w:rPr>
          <w:rFonts w:ascii="Times New Roman" w:eastAsia="Times New Roman" w:hAnsi="Times New Roman" w:cs="Times New Roman"/>
          <w:color w:val="000000"/>
          <w:sz w:val="28"/>
          <w:szCs w:val="28"/>
        </w:rPr>
        <w:t>уровня креатинина и калия сыворотки</w:t>
      </w:r>
      <w:r w:rsidRPr="00401A6D">
        <w:rPr>
          <w:rFonts w:ascii="Times New Roman" w:eastAsia="Times New Roman" w:hAnsi="Times New Roman" w:cs="Times New Roman"/>
          <w:color w:val="000000"/>
          <w:sz w:val="28"/>
          <w:szCs w:val="28"/>
        </w:rPr>
        <w:t xml:space="preserve"> [34,50]</w:t>
      </w:r>
      <w:r>
        <w:rPr>
          <w:rFonts w:ascii="Times New Roman" w:eastAsia="Times New Roman" w:hAnsi="Times New Roman" w:cs="Times New Roman"/>
          <w:color w:val="000000"/>
          <w:sz w:val="28"/>
          <w:szCs w:val="28"/>
        </w:rPr>
        <w:t xml:space="preserve">.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0D68B5">
        <w:rPr>
          <w:rFonts w:ascii="Times New Roman" w:eastAsia="Times New Roman" w:hAnsi="Times New Roman" w:cs="Times New Roman"/>
          <w:color w:val="000000"/>
          <w:sz w:val="28"/>
          <w:szCs w:val="28"/>
        </w:rPr>
        <w:t>Второй линией гипотензивной терапии являются салуретики, блокаторы медленных кальциевых ка</w:t>
      </w:r>
      <w:r>
        <w:rPr>
          <w:rFonts w:ascii="Times New Roman" w:eastAsia="Times New Roman" w:hAnsi="Times New Roman" w:cs="Times New Roman"/>
          <w:color w:val="000000"/>
          <w:sz w:val="28"/>
          <w:szCs w:val="28"/>
        </w:rPr>
        <w:t xml:space="preserve">налов (БКК), ингибиторы ренина. </w:t>
      </w:r>
    </w:p>
    <w:p w:rsidR="00545400" w:rsidRPr="000D68B5" w:rsidRDefault="00545400" w:rsidP="00545400">
      <w:pP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D68B5">
        <w:rPr>
          <w:rFonts w:ascii="Times New Roman" w:eastAsia="Times New Roman" w:hAnsi="Times New Roman" w:cs="Times New Roman"/>
          <w:color w:val="000000"/>
          <w:sz w:val="28"/>
          <w:szCs w:val="28"/>
        </w:rPr>
        <w:t xml:space="preserve"> качестве последних ступеней терапии АГ следует рассматривать β-блокаторы, α-блокаторы и препараты центрального действия. При этом Антагонисты альдостерона не могут быть рекомендованы при СКФ &lt; 30 мл/мин/1,73м2, особенно в комбинации с блокатором РААС</w:t>
      </w:r>
      <w:r w:rsidRPr="00401A6D">
        <w:rPr>
          <w:rFonts w:ascii="Times New Roman" w:eastAsia="Times New Roman" w:hAnsi="Times New Roman" w:cs="Times New Roman"/>
          <w:color w:val="000000"/>
          <w:sz w:val="28"/>
          <w:szCs w:val="28"/>
        </w:rPr>
        <w:t>[36]</w:t>
      </w:r>
      <w:r w:rsidRPr="000D68B5">
        <w:rPr>
          <w:rFonts w:ascii="Times New Roman" w:eastAsia="Times New Roman" w:hAnsi="Times New Roman" w:cs="Times New Roman"/>
          <w:color w:val="000000"/>
          <w:sz w:val="28"/>
          <w:szCs w:val="28"/>
        </w:rPr>
        <w:t xml:space="preserve">.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w:t>
      </w:r>
      <w:r w:rsidRPr="000D68B5">
        <w:rPr>
          <w:rFonts w:ascii="Times New Roman" w:eastAsia="Times New Roman" w:hAnsi="Times New Roman" w:cs="Times New Roman"/>
          <w:color w:val="000000"/>
          <w:sz w:val="28"/>
          <w:szCs w:val="28"/>
        </w:rPr>
        <w:t>ля оценки эффективности терапии и тем</w:t>
      </w:r>
      <w:r>
        <w:rPr>
          <w:rFonts w:ascii="Times New Roman" w:eastAsia="Times New Roman" w:hAnsi="Times New Roman" w:cs="Times New Roman"/>
          <w:color w:val="000000"/>
          <w:sz w:val="28"/>
          <w:szCs w:val="28"/>
        </w:rPr>
        <w:t>пов прогрессирования ДН</w:t>
      </w:r>
      <w:r w:rsidRPr="000D68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рекомендован</w:t>
      </w:r>
      <w:r w:rsidRPr="000D68B5">
        <w:rPr>
          <w:rFonts w:ascii="Times New Roman" w:eastAsia="Times New Roman" w:hAnsi="Times New Roman" w:cs="Times New Roman"/>
          <w:color w:val="000000"/>
          <w:sz w:val="28"/>
          <w:szCs w:val="28"/>
        </w:rPr>
        <w:t xml:space="preserve"> постоянный контроль экскреции альбумина с мочой</w:t>
      </w:r>
      <w:r>
        <w:rPr>
          <w:rFonts w:ascii="Times New Roman" w:eastAsia="Times New Roman" w:hAnsi="Times New Roman" w:cs="Times New Roman"/>
          <w:color w:val="000000"/>
          <w:sz w:val="28"/>
          <w:szCs w:val="28"/>
        </w:rPr>
        <w:t xml:space="preserve">. </w:t>
      </w:r>
      <w:r w:rsidRPr="000D68B5">
        <w:rPr>
          <w:rFonts w:ascii="Times New Roman" w:eastAsia="Times New Roman" w:hAnsi="Times New Roman" w:cs="Times New Roman"/>
          <w:color w:val="000000"/>
          <w:sz w:val="28"/>
          <w:szCs w:val="28"/>
        </w:rPr>
        <w:t xml:space="preserve"> </w:t>
      </w:r>
    </w:p>
    <w:p w:rsidR="00545400" w:rsidRDefault="00545400" w:rsidP="00545400">
      <w:pPr>
        <w:pStyle w:val="a5"/>
        <w:numPr>
          <w:ilvl w:val="0"/>
          <w:numId w:val="16"/>
        </w:numPr>
        <w:spacing w:before="240" w:line="360" w:lineRule="auto"/>
        <w:ind w:left="0" w:firstLine="709"/>
        <w:jc w:val="both"/>
        <w:rPr>
          <w:rFonts w:ascii="Times New Roman" w:eastAsia="Times New Roman" w:hAnsi="Times New Roman" w:cs="Times New Roman"/>
          <w:color w:val="000000"/>
          <w:sz w:val="28"/>
          <w:szCs w:val="28"/>
        </w:rPr>
      </w:pPr>
      <w:r w:rsidRPr="000D68B5">
        <w:rPr>
          <w:rFonts w:ascii="Times New Roman" w:eastAsia="Times New Roman" w:hAnsi="Times New Roman" w:cs="Times New Roman"/>
          <w:b/>
          <w:color w:val="000000"/>
          <w:sz w:val="28"/>
          <w:szCs w:val="28"/>
        </w:rPr>
        <w:t>Достижение оптимальной компенсации гликемии (HbA1c&lt; 7%)</w:t>
      </w:r>
      <w:r>
        <w:rPr>
          <w:rFonts w:ascii="Times New Roman" w:eastAsia="Times New Roman" w:hAnsi="Times New Roman" w:cs="Times New Roman"/>
          <w:color w:val="000000"/>
          <w:sz w:val="28"/>
          <w:szCs w:val="28"/>
        </w:rPr>
        <w:t xml:space="preserve"> </w:t>
      </w:r>
    </w:p>
    <w:p w:rsidR="00545400" w:rsidRPr="000D68B5" w:rsidRDefault="00545400" w:rsidP="00545400">
      <w:pP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0D68B5">
        <w:rPr>
          <w:rFonts w:ascii="Times New Roman" w:eastAsia="Times New Roman" w:hAnsi="Times New Roman" w:cs="Times New Roman"/>
          <w:color w:val="000000"/>
          <w:sz w:val="28"/>
          <w:szCs w:val="28"/>
        </w:rPr>
        <w:t>едущее значение</w:t>
      </w:r>
      <w:r>
        <w:rPr>
          <w:rFonts w:ascii="Times New Roman" w:eastAsia="Times New Roman" w:hAnsi="Times New Roman" w:cs="Times New Roman"/>
          <w:color w:val="000000"/>
          <w:sz w:val="28"/>
          <w:szCs w:val="28"/>
        </w:rPr>
        <w:t xml:space="preserve"> контроля уровня гликированного гемоглобина </w:t>
      </w:r>
      <w:r w:rsidRPr="000D68B5">
        <w:rPr>
          <w:rFonts w:ascii="Times New Roman" w:eastAsia="Times New Roman" w:hAnsi="Times New Roman" w:cs="Times New Roman"/>
          <w:color w:val="000000"/>
          <w:sz w:val="28"/>
          <w:szCs w:val="28"/>
        </w:rPr>
        <w:t xml:space="preserve"> на ста</w:t>
      </w:r>
      <w:r>
        <w:rPr>
          <w:rFonts w:ascii="Times New Roman" w:eastAsia="Times New Roman" w:hAnsi="Times New Roman" w:cs="Times New Roman"/>
          <w:color w:val="000000"/>
          <w:sz w:val="28"/>
          <w:szCs w:val="28"/>
        </w:rPr>
        <w:t>дии микроальбуминурии, но</w:t>
      </w:r>
      <w:r w:rsidRPr="000D68B5">
        <w:rPr>
          <w:rFonts w:ascii="Times New Roman" w:eastAsia="Times New Roman" w:hAnsi="Times New Roman" w:cs="Times New Roman"/>
          <w:color w:val="000000"/>
          <w:sz w:val="28"/>
          <w:szCs w:val="28"/>
        </w:rPr>
        <w:t xml:space="preserve"> на с</w:t>
      </w:r>
      <w:r>
        <w:rPr>
          <w:rFonts w:ascii="Times New Roman" w:eastAsia="Times New Roman" w:hAnsi="Times New Roman" w:cs="Times New Roman"/>
          <w:color w:val="000000"/>
          <w:sz w:val="28"/>
          <w:szCs w:val="28"/>
        </w:rPr>
        <w:t>тадии протеинурии важнее проводить нормализацию</w:t>
      </w:r>
      <w:r w:rsidRPr="000D68B5">
        <w:rPr>
          <w:rFonts w:ascii="Times New Roman" w:eastAsia="Times New Roman" w:hAnsi="Times New Roman" w:cs="Times New Roman"/>
          <w:color w:val="000000"/>
          <w:sz w:val="28"/>
          <w:szCs w:val="28"/>
        </w:rPr>
        <w:t xml:space="preserve"> АД.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достижения адекватного</w:t>
      </w:r>
      <w:r w:rsidRPr="008E50B3">
        <w:rPr>
          <w:rFonts w:ascii="Times New Roman" w:eastAsia="Times New Roman" w:hAnsi="Times New Roman" w:cs="Times New Roman"/>
          <w:color w:val="000000"/>
          <w:sz w:val="28"/>
          <w:szCs w:val="28"/>
        </w:rPr>
        <w:t xml:space="preserve"> углеводного</w:t>
      </w:r>
      <w:r>
        <w:rPr>
          <w:rFonts w:ascii="Times New Roman" w:eastAsia="Times New Roman" w:hAnsi="Times New Roman" w:cs="Times New Roman"/>
          <w:color w:val="000000"/>
          <w:sz w:val="28"/>
          <w:szCs w:val="28"/>
        </w:rPr>
        <w:t xml:space="preserve"> обмена необходим правильный выбор постоянного </w:t>
      </w:r>
      <w:r w:rsidRPr="008E50B3">
        <w:rPr>
          <w:rFonts w:ascii="Times New Roman" w:eastAsia="Times New Roman" w:hAnsi="Times New Roman" w:cs="Times New Roman"/>
          <w:color w:val="000000"/>
          <w:sz w:val="28"/>
          <w:szCs w:val="28"/>
        </w:rPr>
        <w:t>режим</w:t>
      </w:r>
      <w:r>
        <w:rPr>
          <w:rFonts w:ascii="Times New Roman" w:eastAsia="Times New Roman" w:hAnsi="Times New Roman" w:cs="Times New Roman"/>
          <w:color w:val="000000"/>
          <w:sz w:val="28"/>
          <w:szCs w:val="28"/>
        </w:rPr>
        <w:t>а инсулинотерапии, тем самым заместив</w:t>
      </w:r>
      <w:r w:rsidRPr="008E50B3">
        <w:rPr>
          <w:rFonts w:ascii="Times New Roman" w:eastAsia="Times New Roman" w:hAnsi="Times New Roman" w:cs="Times New Roman"/>
          <w:color w:val="000000"/>
          <w:sz w:val="28"/>
          <w:szCs w:val="28"/>
        </w:rPr>
        <w:t xml:space="preserve"> физиологическую секр</w:t>
      </w:r>
      <w:r>
        <w:rPr>
          <w:rFonts w:ascii="Times New Roman" w:eastAsia="Times New Roman" w:hAnsi="Times New Roman" w:cs="Times New Roman"/>
          <w:color w:val="000000"/>
          <w:sz w:val="28"/>
          <w:szCs w:val="28"/>
        </w:rPr>
        <w:t>ецию инсулина у здоровых людей (в</w:t>
      </w:r>
      <w:r w:rsidRPr="008E50B3">
        <w:rPr>
          <w:rFonts w:ascii="Times New Roman" w:eastAsia="Times New Roman" w:hAnsi="Times New Roman" w:cs="Times New Roman"/>
          <w:color w:val="000000"/>
          <w:sz w:val="28"/>
          <w:szCs w:val="28"/>
        </w:rPr>
        <w:t>ведение короткого инсулина перед каждым приемом пищи и инсулина продленного действия один или два раза в день</w:t>
      </w:r>
      <w:r>
        <w:rPr>
          <w:rFonts w:ascii="Times New Roman" w:eastAsia="Times New Roman" w:hAnsi="Times New Roman" w:cs="Times New Roman"/>
          <w:color w:val="000000"/>
          <w:sz w:val="28"/>
          <w:szCs w:val="28"/>
        </w:rPr>
        <w:t xml:space="preserve">).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8E50B3">
        <w:rPr>
          <w:rFonts w:ascii="Times New Roman" w:eastAsia="Times New Roman" w:hAnsi="Times New Roman" w:cs="Times New Roman"/>
          <w:color w:val="000000"/>
          <w:sz w:val="28"/>
          <w:szCs w:val="28"/>
        </w:rPr>
        <w:t xml:space="preserve"> Следует помнить, что в отличие от эндогенного экзогенный инсулин выводится почками. При снижении скорости клубочковой фильтрации (СКФ) до 20 мл/мин отмечается снижение фильтрации инсулина и увеличение периода его полувыведения. Этот феномен требует снижения суточной дозы инсулина на 25% при снижении СКФ от 50 до 10 мл/мин и на 50% при СКФ менее 10 мл/мин</w:t>
      </w:r>
      <w:r w:rsidRPr="00401A6D">
        <w:rPr>
          <w:rFonts w:ascii="Times New Roman" w:eastAsia="Times New Roman" w:hAnsi="Times New Roman" w:cs="Times New Roman"/>
          <w:color w:val="000000"/>
          <w:sz w:val="28"/>
          <w:szCs w:val="28"/>
        </w:rPr>
        <w:t>[26, 37]</w:t>
      </w:r>
      <w:r w:rsidRPr="008E50B3">
        <w:rPr>
          <w:rFonts w:ascii="Times New Roman" w:eastAsia="Times New Roman" w:hAnsi="Times New Roman" w:cs="Times New Roman"/>
          <w:color w:val="000000"/>
          <w:sz w:val="28"/>
          <w:szCs w:val="28"/>
        </w:rPr>
        <w:t xml:space="preserve">.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8E50B3">
        <w:rPr>
          <w:rFonts w:ascii="Times New Roman" w:eastAsia="Times New Roman" w:hAnsi="Times New Roman" w:cs="Times New Roman"/>
          <w:color w:val="000000"/>
          <w:sz w:val="28"/>
          <w:szCs w:val="28"/>
        </w:rPr>
        <w:t>При лечении больных СД 2 типа с диабетической нефропатией пероральными сахароснижающими препаратами необходимо учитывать их фармакодинамические особеннос</w:t>
      </w:r>
      <w:r>
        <w:rPr>
          <w:rFonts w:ascii="Times New Roman" w:eastAsia="Times New Roman" w:hAnsi="Times New Roman" w:cs="Times New Roman"/>
          <w:color w:val="000000"/>
          <w:sz w:val="28"/>
          <w:szCs w:val="28"/>
        </w:rPr>
        <w:t xml:space="preserve">ти и пути выведения. </w:t>
      </w:r>
    </w:p>
    <w:p w:rsidR="00545400" w:rsidRPr="00D64934" w:rsidRDefault="00545400" w:rsidP="00545400">
      <w:pPr>
        <w:spacing w:before="240" w:line="360" w:lineRule="auto"/>
        <w:ind w:firstLine="709"/>
        <w:jc w:val="both"/>
        <w:rPr>
          <w:rFonts w:ascii="Times New Roman" w:hAnsi="Times New Roman" w:cs="Times New Roman"/>
          <w:sz w:val="28"/>
          <w:szCs w:val="28"/>
        </w:rPr>
      </w:pPr>
      <w:r w:rsidRPr="008856DD">
        <w:rPr>
          <w:rFonts w:ascii="Times New Roman" w:hAnsi="Times New Roman" w:cs="Times New Roman"/>
          <w:sz w:val="28"/>
          <w:szCs w:val="28"/>
        </w:rPr>
        <w:t>Исследование ADVANCE убедительно продемонстрировало, что у пациентов СД2 старше 60 лет с высоким риском сердечно-сосудистых осложнений и длительным течением СД назначение в рутинной практике такого препарата как Гликлазид МВ (Диабетон МВ) безопасно и высокоэффективно, поскольку позволяет снизить риск развития и прогрессирования почечной патологии и кардиоваскулярной смертности [</w:t>
      </w:r>
      <w:r>
        <w:rPr>
          <w:rFonts w:ascii="Times New Roman" w:hAnsi="Times New Roman" w:cs="Times New Roman"/>
          <w:sz w:val="28"/>
          <w:szCs w:val="28"/>
        </w:rPr>
        <w:t>2</w:t>
      </w:r>
      <w:r w:rsidRPr="00401A6D">
        <w:rPr>
          <w:rFonts w:ascii="Times New Roman" w:hAnsi="Times New Roman" w:cs="Times New Roman"/>
          <w:sz w:val="28"/>
          <w:szCs w:val="28"/>
        </w:rPr>
        <w:t>7</w:t>
      </w:r>
      <w:r w:rsidRPr="00D64934">
        <w:rPr>
          <w:rFonts w:ascii="Times New Roman" w:hAnsi="Times New Roman" w:cs="Times New Roman"/>
          <w:sz w:val="28"/>
          <w:szCs w:val="28"/>
        </w:rPr>
        <w:t>].</w:t>
      </w:r>
    </w:p>
    <w:p w:rsidR="00545400" w:rsidRDefault="00545400" w:rsidP="00545400">
      <w:pPr>
        <w:pStyle w:val="a5"/>
        <w:numPr>
          <w:ilvl w:val="0"/>
          <w:numId w:val="16"/>
        </w:numPr>
        <w:spacing w:before="240" w:line="360" w:lineRule="auto"/>
        <w:ind w:left="0" w:firstLine="709"/>
        <w:jc w:val="both"/>
        <w:rPr>
          <w:rFonts w:ascii="Times New Roman" w:eastAsia="Times New Roman" w:hAnsi="Times New Roman" w:cs="Times New Roman"/>
          <w:color w:val="000000"/>
          <w:sz w:val="28"/>
          <w:szCs w:val="28"/>
        </w:rPr>
      </w:pPr>
      <w:r w:rsidRPr="00DC6A42">
        <w:rPr>
          <w:rFonts w:ascii="Times New Roman" w:eastAsia="Times New Roman" w:hAnsi="Times New Roman" w:cs="Times New Roman"/>
          <w:b/>
          <w:color w:val="000000"/>
          <w:sz w:val="28"/>
          <w:szCs w:val="28"/>
        </w:rPr>
        <w:lastRenderedPageBreak/>
        <w:t>Коррекции анемии</w:t>
      </w:r>
      <w:r>
        <w:rPr>
          <w:rFonts w:ascii="Times New Roman" w:eastAsia="Times New Roman" w:hAnsi="Times New Roman" w:cs="Times New Roman"/>
          <w:color w:val="000000"/>
          <w:sz w:val="28"/>
          <w:szCs w:val="28"/>
        </w:rPr>
        <w:t>.</w:t>
      </w:r>
      <w:r w:rsidRPr="005D27A4">
        <w:rPr>
          <w:rFonts w:ascii="Times New Roman" w:eastAsia="Times New Roman" w:hAnsi="Times New Roman" w:cs="Times New Roman"/>
          <w:color w:val="000000"/>
          <w:sz w:val="28"/>
          <w:szCs w:val="28"/>
        </w:rPr>
        <w:t xml:space="preserve">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C50BC9">
        <w:rPr>
          <w:rFonts w:ascii="Times New Roman" w:eastAsia="Times New Roman" w:hAnsi="Times New Roman" w:cs="Times New Roman"/>
          <w:color w:val="000000"/>
          <w:sz w:val="28"/>
          <w:szCs w:val="28"/>
        </w:rPr>
        <w:t>Медикаментозн</w:t>
      </w:r>
      <w:r>
        <w:rPr>
          <w:rFonts w:ascii="Times New Roman" w:eastAsia="Times New Roman" w:hAnsi="Times New Roman" w:cs="Times New Roman"/>
          <w:color w:val="000000"/>
          <w:sz w:val="28"/>
          <w:szCs w:val="28"/>
        </w:rPr>
        <w:t>ая терапия в этих случаях вклю</w:t>
      </w:r>
      <w:r w:rsidRPr="00C50BC9">
        <w:rPr>
          <w:rFonts w:ascii="Times New Roman" w:eastAsia="Times New Roman" w:hAnsi="Times New Roman" w:cs="Times New Roman"/>
          <w:color w:val="000000"/>
          <w:sz w:val="28"/>
          <w:szCs w:val="28"/>
        </w:rPr>
        <w:t>чает в себя препараты железа, фолиевую кислоту, переливание крови и применение эритропоэз</w:t>
      </w:r>
      <w:r>
        <w:rPr>
          <w:rFonts w:ascii="Times New Roman" w:eastAsia="Times New Roman" w:hAnsi="Times New Roman" w:cs="Times New Roman"/>
          <w:color w:val="000000"/>
          <w:sz w:val="28"/>
          <w:szCs w:val="28"/>
        </w:rPr>
        <w:t xml:space="preserve"> сти</w:t>
      </w:r>
      <w:r w:rsidRPr="00C50BC9">
        <w:rPr>
          <w:rFonts w:ascii="Times New Roman" w:eastAsia="Times New Roman" w:hAnsi="Times New Roman" w:cs="Times New Roman"/>
          <w:color w:val="000000"/>
          <w:sz w:val="28"/>
          <w:szCs w:val="28"/>
        </w:rPr>
        <w:t>мулирующих агентов (ЭСА)</w:t>
      </w:r>
      <w:r w:rsidRPr="00401A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29</w:t>
      </w:r>
      <w:r w:rsidRPr="00401A6D">
        <w:rPr>
          <w:rFonts w:ascii="Times New Roman" w:eastAsia="Times New Roman" w:hAnsi="Times New Roman" w:cs="Times New Roman"/>
          <w:color w:val="000000"/>
          <w:sz w:val="28"/>
          <w:szCs w:val="28"/>
        </w:rPr>
        <w:t>]</w:t>
      </w:r>
      <w:r w:rsidRPr="00C50BC9">
        <w:rPr>
          <w:rFonts w:ascii="Times New Roman" w:eastAsia="Times New Roman" w:hAnsi="Times New Roman" w:cs="Times New Roman"/>
          <w:color w:val="000000"/>
          <w:sz w:val="28"/>
          <w:szCs w:val="28"/>
        </w:rPr>
        <w:t>.</w:t>
      </w:r>
    </w:p>
    <w:p w:rsidR="00545400" w:rsidRDefault="00545400" w:rsidP="00545400">
      <w:pPr>
        <w:pStyle w:val="a5"/>
        <w:numPr>
          <w:ilvl w:val="0"/>
          <w:numId w:val="22"/>
        </w:numPr>
        <w:spacing w:before="240" w:line="360" w:lineRule="auto"/>
        <w:ind w:firstLine="709"/>
        <w:jc w:val="both"/>
        <w:rPr>
          <w:rFonts w:ascii="Times New Roman" w:eastAsia="Times New Roman" w:hAnsi="Times New Roman" w:cs="Times New Roman"/>
          <w:color w:val="000000"/>
          <w:sz w:val="28"/>
          <w:szCs w:val="28"/>
        </w:rPr>
      </w:pPr>
      <w:r w:rsidRPr="00401A6D">
        <w:rPr>
          <w:rFonts w:ascii="Times New Roman" w:eastAsia="Times New Roman" w:hAnsi="Times New Roman" w:cs="Times New Roman"/>
          <w:color w:val="000000"/>
          <w:sz w:val="28"/>
          <w:szCs w:val="28"/>
        </w:rPr>
        <w:t xml:space="preserve">ЭСА должны назначаться всем пациентам с ХБП, имеющим уровень Hb ниже 100 г/л после исключения других возможных причин анемии и нормализации показателей обмена железа. </w:t>
      </w:r>
    </w:p>
    <w:p w:rsidR="00545400" w:rsidRDefault="00545400" w:rsidP="00545400">
      <w:pPr>
        <w:pStyle w:val="a5"/>
        <w:numPr>
          <w:ilvl w:val="0"/>
          <w:numId w:val="22"/>
        </w:numPr>
        <w:spacing w:before="240" w:line="360" w:lineRule="auto"/>
        <w:ind w:firstLine="709"/>
        <w:jc w:val="both"/>
        <w:rPr>
          <w:rFonts w:ascii="Times New Roman" w:eastAsia="Times New Roman" w:hAnsi="Times New Roman" w:cs="Times New Roman"/>
          <w:color w:val="000000"/>
          <w:sz w:val="28"/>
          <w:szCs w:val="28"/>
        </w:rPr>
      </w:pPr>
      <w:r w:rsidRPr="00401A6D">
        <w:rPr>
          <w:rFonts w:ascii="Times New Roman" w:eastAsia="Times New Roman" w:hAnsi="Times New Roman" w:cs="Times New Roman"/>
          <w:color w:val="000000"/>
          <w:sz w:val="28"/>
          <w:szCs w:val="28"/>
        </w:rPr>
        <w:t xml:space="preserve">с особой осторожностью ЭСА должны назначаться пациентам с высоким риском инсульта (в том числе с ОНМК в анамнезе) и больным со злокачественными новообразованиями. </w:t>
      </w:r>
    </w:p>
    <w:p w:rsidR="00545400" w:rsidRPr="00401A6D" w:rsidRDefault="00545400" w:rsidP="00545400">
      <w:pPr>
        <w:pStyle w:val="a5"/>
        <w:numPr>
          <w:ilvl w:val="0"/>
          <w:numId w:val="22"/>
        </w:numPr>
        <w:spacing w:before="240" w:line="360" w:lineRule="auto"/>
        <w:ind w:firstLine="709"/>
        <w:jc w:val="both"/>
        <w:rPr>
          <w:rFonts w:ascii="Times New Roman" w:eastAsia="Times New Roman" w:hAnsi="Times New Roman" w:cs="Times New Roman"/>
          <w:color w:val="000000"/>
          <w:sz w:val="28"/>
          <w:szCs w:val="28"/>
        </w:rPr>
      </w:pPr>
      <w:r w:rsidRPr="00401A6D">
        <w:rPr>
          <w:rFonts w:ascii="Times New Roman" w:eastAsia="Times New Roman" w:hAnsi="Times New Roman" w:cs="Times New Roman"/>
          <w:color w:val="000000"/>
          <w:sz w:val="28"/>
          <w:szCs w:val="28"/>
        </w:rPr>
        <w:t xml:space="preserve">Решение о необходимости и сроках начале терапии ЭСА у больных на диализе ХБП 5С должно приниматься индивидуально, с учетом наличия симптомов, связанных с анемией, риска потребности в гемотрансфузиях и перспектив трансплантации. </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2. МАТЕРИАЛЫ И МЕТОДЫ ИССЛЕДОВАНИЯ</w:t>
      </w:r>
    </w:p>
    <w:p w:rsidR="00545400" w:rsidRPr="00AB412F" w:rsidRDefault="00545400" w:rsidP="00545400">
      <w:pPr>
        <w:spacing w:before="240" w:line="360" w:lineRule="auto"/>
        <w:ind w:firstLine="709"/>
        <w:jc w:val="center"/>
        <w:rPr>
          <w:rFonts w:ascii="Times New Roman" w:hAnsi="Times New Roman" w:cs="Times New Roman"/>
          <w:b/>
          <w:sz w:val="28"/>
          <w:szCs w:val="28"/>
        </w:rPr>
      </w:pPr>
    </w:p>
    <w:p w:rsidR="00545400" w:rsidRDefault="00545400" w:rsidP="00545400">
      <w:pPr>
        <w:tabs>
          <w:tab w:val="left" w:pos="8520"/>
        </w:tabs>
        <w:spacing w:before="240" w:line="360" w:lineRule="auto"/>
        <w:ind w:firstLine="709"/>
        <w:jc w:val="center"/>
        <w:rPr>
          <w:rFonts w:ascii="Times New Roman" w:hAnsi="Times New Roman" w:cs="Times New Roman"/>
          <w:b/>
          <w:sz w:val="28"/>
          <w:szCs w:val="28"/>
        </w:rPr>
      </w:pPr>
      <w:r w:rsidRPr="00AB412F">
        <w:rPr>
          <w:rFonts w:ascii="Times New Roman" w:hAnsi="Times New Roman" w:cs="Times New Roman"/>
          <w:b/>
          <w:sz w:val="28"/>
          <w:szCs w:val="28"/>
        </w:rPr>
        <w:t>Клиническая характеристика обследованных пациентов</w:t>
      </w:r>
    </w:p>
    <w:p w:rsidR="00545400" w:rsidRDefault="00545400" w:rsidP="00545400">
      <w:pPr>
        <w:tabs>
          <w:tab w:val="left" w:pos="8520"/>
        </w:tabs>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16A6">
        <w:rPr>
          <w:rFonts w:ascii="Times New Roman" w:hAnsi="Times New Roman" w:cs="Times New Roman"/>
          <w:sz w:val="28"/>
          <w:szCs w:val="28"/>
        </w:rPr>
        <w:t>На базе нефрологического отделения в Городской Мариинской больнице был проведен ретроспек</w:t>
      </w:r>
      <w:r>
        <w:rPr>
          <w:rFonts w:ascii="Times New Roman" w:hAnsi="Times New Roman" w:cs="Times New Roman"/>
          <w:sz w:val="28"/>
          <w:szCs w:val="28"/>
        </w:rPr>
        <w:t xml:space="preserve">тивный анализ историй болезни </w:t>
      </w:r>
      <w:r w:rsidRPr="00AE16A6">
        <w:rPr>
          <w:rFonts w:ascii="Times New Roman" w:hAnsi="Times New Roman" w:cs="Times New Roman"/>
          <w:sz w:val="28"/>
          <w:szCs w:val="28"/>
        </w:rPr>
        <w:t>пациентов с хронической болезнью почек С5</w:t>
      </w:r>
      <w:r>
        <w:rPr>
          <w:rFonts w:ascii="Times New Roman" w:hAnsi="Times New Roman" w:cs="Times New Roman"/>
          <w:sz w:val="28"/>
          <w:szCs w:val="28"/>
        </w:rPr>
        <w:t xml:space="preserve">, обследованных за </w:t>
      </w:r>
      <w:r w:rsidRPr="00AE16A6">
        <w:rPr>
          <w:rFonts w:ascii="Times New Roman" w:hAnsi="Times New Roman" w:cs="Times New Roman"/>
          <w:sz w:val="28"/>
          <w:szCs w:val="28"/>
        </w:rPr>
        <w:t>период с 2017 по 2019 год, получающих заместительную терапию программным гемодиализом по стандартной методике (3 раза в неделю сеансами по 4 часа на аппаратах «Искусственная почка» Dialog+ (Диалог+) через артериовенозн</w:t>
      </w:r>
      <w:r>
        <w:rPr>
          <w:rFonts w:ascii="Times New Roman" w:hAnsi="Times New Roman" w:cs="Times New Roman"/>
          <w:sz w:val="28"/>
          <w:szCs w:val="28"/>
        </w:rPr>
        <w:t xml:space="preserve">ый сосудистый доступ. </w:t>
      </w:r>
      <w:r w:rsidRPr="00C3784E">
        <w:rPr>
          <w:rFonts w:ascii="Times New Roman" w:hAnsi="Times New Roman" w:cs="Times New Roman"/>
          <w:sz w:val="28"/>
          <w:szCs w:val="28"/>
        </w:rPr>
        <w:t>Путем сплошной выборки были отобраны 33 исследуемых.</w:t>
      </w:r>
      <w:r w:rsidRPr="00AE16A6">
        <w:rPr>
          <w:rFonts w:ascii="Times New Roman" w:hAnsi="Times New Roman" w:cs="Times New Roman"/>
          <w:b/>
          <w:sz w:val="28"/>
          <w:szCs w:val="28"/>
        </w:rPr>
        <w:t xml:space="preserve"> </w:t>
      </w:r>
      <w:r w:rsidRPr="00C3784E">
        <w:rPr>
          <w:rFonts w:ascii="Times New Roman" w:hAnsi="Times New Roman" w:cs="Times New Roman"/>
          <w:sz w:val="28"/>
          <w:szCs w:val="28"/>
        </w:rPr>
        <w:t>Критериями включения</w:t>
      </w:r>
      <w:r>
        <w:rPr>
          <w:rFonts w:ascii="Times New Roman" w:hAnsi="Times New Roman" w:cs="Times New Roman"/>
          <w:sz w:val="28"/>
          <w:szCs w:val="28"/>
        </w:rPr>
        <w:t xml:space="preserve"> в исследование было наличие</w:t>
      </w:r>
      <w:r w:rsidRPr="00C3784E">
        <w:t xml:space="preserve"> </w:t>
      </w:r>
      <w:r>
        <w:rPr>
          <w:rFonts w:ascii="Times New Roman" w:hAnsi="Times New Roman" w:cs="Times New Roman"/>
          <w:sz w:val="28"/>
          <w:szCs w:val="28"/>
        </w:rPr>
        <w:t xml:space="preserve">диабетической нефропатии и </w:t>
      </w:r>
      <w:r w:rsidRPr="00C3784E">
        <w:rPr>
          <w:rFonts w:ascii="Times New Roman" w:hAnsi="Times New Roman" w:cs="Times New Roman"/>
          <w:sz w:val="28"/>
          <w:szCs w:val="28"/>
        </w:rPr>
        <w:t xml:space="preserve">ХБП </w:t>
      </w:r>
      <w:r>
        <w:rPr>
          <w:rFonts w:ascii="Times New Roman" w:hAnsi="Times New Roman" w:cs="Times New Roman"/>
          <w:sz w:val="28"/>
          <w:szCs w:val="28"/>
        </w:rPr>
        <w:t xml:space="preserve">на </w:t>
      </w:r>
      <w:r w:rsidRPr="00C3784E">
        <w:rPr>
          <w:rFonts w:ascii="Times New Roman" w:hAnsi="Times New Roman" w:cs="Times New Roman"/>
          <w:sz w:val="28"/>
          <w:szCs w:val="28"/>
        </w:rPr>
        <w:t>5 стадии, продолжительность гемодиализной терапии более 12 месяцев.</w:t>
      </w:r>
      <w:r>
        <w:rPr>
          <w:rFonts w:ascii="Times New Roman" w:hAnsi="Times New Roman" w:cs="Times New Roman"/>
          <w:sz w:val="28"/>
          <w:szCs w:val="28"/>
        </w:rPr>
        <w:t xml:space="preserve"> Для группы сравнения отобраны больные хроническим гломерулонефритом и ХБП 5 стадии. </w:t>
      </w:r>
      <w:r w:rsidRPr="00AE16A6">
        <w:rPr>
          <w:rFonts w:ascii="Times New Roman" w:hAnsi="Times New Roman" w:cs="Times New Roman"/>
          <w:b/>
          <w:sz w:val="28"/>
          <w:szCs w:val="28"/>
        </w:rPr>
        <w:t xml:space="preserve"> </w:t>
      </w:r>
      <w:r w:rsidRPr="00E07697">
        <w:rPr>
          <w:rFonts w:ascii="Times New Roman" w:hAnsi="Times New Roman" w:cs="Times New Roman"/>
          <w:sz w:val="28"/>
          <w:szCs w:val="28"/>
        </w:rPr>
        <w:t xml:space="preserve">Возраст пациентов был от 26 до 87 лет (средний возраст составил 66,1 ± 2,3 </w:t>
      </w:r>
      <w:r>
        <w:rPr>
          <w:rFonts w:ascii="Times New Roman" w:hAnsi="Times New Roman" w:cs="Times New Roman"/>
          <w:sz w:val="28"/>
          <w:szCs w:val="28"/>
        </w:rPr>
        <w:t>лет). Из них 57% женщины и 43</w:t>
      </w:r>
      <w:r w:rsidRPr="00E07697">
        <w:rPr>
          <w:rFonts w:ascii="Times New Roman" w:hAnsi="Times New Roman" w:cs="Times New Roman"/>
          <w:sz w:val="28"/>
          <w:szCs w:val="28"/>
        </w:rPr>
        <w:t>% мужчины. Продолжительность гемодиализной терапии составила от 12 месяцев до 209 месяцев (средняя продолжительность составила 121 ± 11,8 месяцев).</w:t>
      </w:r>
      <w:r>
        <w:rPr>
          <w:rFonts w:ascii="Times New Roman" w:hAnsi="Times New Roman" w:cs="Times New Roman"/>
          <w:b/>
          <w:sz w:val="28"/>
          <w:szCs w:val="28"/>
        </w:rPr>
        <w:t xml:space="preserve"> </w:t>
      </w:r>
      <w:r w:rsidRPr="00E07697">
        <w:rPr>
          <w:rFonts w:ascii="Times New Roman" w:hAnsi="Times New Roman" w:cs="Times New Roman"/>
          <w:sz w:val="28"/>
          <w:szCs w:val="28"/>
        </w:rPr>
        <w:t>Длительность ДН составила от 16 месяцев до 492 месяцев (средняя длительность составила 324,35 ± 12,3 месяцев).</w:t>
      </w:r>
    </w:p>
    <w:p w:rsidR="00545400" w:rsidRDefault="00545400" w:rsidP="00545400">
      <w:pPr>
        <w:tabs>
          <w:tab w:val="left" w:pos="8520"/>
        </w:tabs>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Причины развития</w:t>
      </w:r>
      <w:r w:rsidRPr="00E07697">
        <w:rPr>
          <w:rFonts w:ascii="Times New Roman" w:hAnsi="Times New Roman" w:cs="Times New Roman"/>
          <w:sz w:val="28"/>
          <w:szCs w:val="28"/>
        </w:rPr>
        <w:t xml:space="preserve"> ХБП у об</w:t>
      </w:r>
      <w:r>
        <w:rPr>
          <w:rFonts w:ascii="Times New Roman" w:hAnsi="Times New Roman" w:cs="Times New Roman"/>
          <w:sz w:val="28"/>
          <w:szCs w:val="28"/>
        </w:rPr>
        <w:t>следуемых пациентов явились в 69,7% случаев СД</w:t>
      </w:r>
      <w:r w:rsidRPr="00E07697">
        <w:rPr>
          <w:rFonts w:ascii="Times New Roman" w:hAnsi="Times New Roman" w:cs="Times New Roman"/>
          <w:sz w:val="28"/>
          <w:szCs w:val="28"/>
        </w:rPr>
        <w:t>,</w:t>
      </w:r>
      <w:r>
        <w:rPr>
          <w:rFonts w:ascii="Times New Roman" w:hAnsi="Times New Roman" w:cs="Times New Roman"/>
          <w:sz w:val="28"/>
          <w:szCs w:val="28"/>
        </w:rPr>
        <w:t xml:space="preserve"> причем 43% СД 1 типа, а в 57% СД 2 типа; в 30,3% случаев</w:t>
      </w:r>
      <w:r w:rsidRPr="005C1DF8">
        <w:t xml:space="preserve"> </w:t>
      </w:r>
      <w:r w:rsidRPr="005C1DF8">
        <w:rPr>
          <w:rFonts w:ascii="Times New Roman" w:hAnsi="Times New Roman" w:cs="Times New Roman"/>
          <w:sz w:val="28"/>
          <w:szCs w:val="28"/>
        </w:rPr>
        <w:t>хронический гломерулонефрит</w:t>
      </w:r>
      <w:r>
        <w:rPr>
          <w:rFonts w:ascii="Times New Roman" w:hAnsi="Times New Roman" w:cs="Times New Roman"/>
          <w:sz w:val="28"/>
          <w:szCs w:val="28"/>
        </w:rPr>
        <w:t xml:space="preserve">. Все больные получали терапию антигипертензивными </w:t>
      </w:r>
      <w:r w:rsidRPr="00E07697">
        <w:rPr>
          <w:rFonts w:ascii="Times New Roman" w:hAnsi="Times New Roman" w:cs="Times New Roman"/>
          <w:sz w:val="28"/>
          <w:szCs w:val="28"/>
        </w:rPr>
        <w:t xml:space="preserve">препаратами следующих групп: </w:t>
      </w:r>
      <w:r>
        <w:rPr>
          <w:rFonts w:ascii="Times New Roman" w:hAnsi="Times New Roman" w:cs="Times New Roman"/>
          <w:sz w:val="28"/>
          <w:szCs w:val="28"/>
        </w:rPr>
        <w:t>антагонисты кальция</w:t>
      </w:r>
      <w:r w:rsidRPr="00E07697">
        <w:rPr>
          <w:rFonts w:ascii="Times New Roman" w:hAnsi="Times New Roman" w:cs="Times New Roman"/>
          <w:sz w:val="28"/>
          <w:szCs w:val="28"/>
        </w:rPr>
        <w:t xml:space="preserve"> –</w:t>
      </w:r>
      <w:r>
        <w:rPr>
          <w:rFonts w:ascii="Times New Roman" w:hAnsi="Times New Roman" w:cs="Times New Roman"/>
          <w:sz w:val="28"/>
          <w:szCs w:val="28"/>
        </w:rPr>
        <w:t xml:space="preserve"> 86,9% лиц, диуретики – 5,8%, β-блокаторы – 70,5%,</w:t>
      </w:r>
      <w:r w:rsidRPr="00E07697">
        <w:rPr>
          <w:rFonts w:ascii="Times New Roman" w:hAnsi="Times New Roman" w:cs="Times New Roman"/>
          <w:sz w:val="28"/>
          <w:szCs w:val="28"/>
        </w:rPr>
        <w:t xml:space="preserve"> блокаторы кальциевых каналов – 37,5%, блокаторы </w:t>
      </w:r>
      <w:r>
        <w:rPr>
          <w:rFonts w:ascii="Times New Roman" w:hAnsi="Times New Roman" w:cs="Times New Roman"/>
          <w:sz w:val="28"/>
          <w:szCs w:val="28"/>
        </w:rPr>
        <w:t xml:space="preserve">имидазолиновых рецепторов – 79%, ингибиторы АПФ – 86%. </w:t>
      </w:r>
    </w:p>
    <w:p w:rsidR="00545400" w:rsidRPr="008F7D63" w:rsidRDefault="00545400" w:rsidP="00545400">
      <w:pPr>
        <w:tabs>
          <w:tab w:val="left" w:pos="8520"/>
        </w:tabs>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ходе работы были исследованы</w:t>
      </w:r>
      <w:r w:rsidRPr="008F7D63">
        <w:rPr>
          <w:rFonts w:ascii="Times New Roman" w:hAnsi="Times New Roman" w:cs="Times New Roman"/>
          <w:sz w:val="28"/>
          <w:szCs w:val="28"/>
        </w:rPr>
        <w:t xml:space="preserve"> две группы пацие</w:t>
      </w:r>
      <w:r>
        <w:rPr>
          <w:rFonts w:ascii="Times New Roman" w:hAnsi="Times New Roman" w:cs="Times New Roman"/>
          <w:sz w:val="28"/>
          <w:szCs w:val="28"/>
        </w:rPr>
        <w:t>нтов (основная и группа сравнения). Основную группу составили 23 пациента, получающие</w:t>
      </w:r>
      <w:r w:rsidRPr="008F7D63">
        <w:rPr>
          <w:rFonts w:ascii="Times New Roman" w:hAnsi="Times New Roman" w:cs="Times New Roman"/>
          <w:sz w:val="28"/>
          <w:szCs w:val="28"/>
        </w:rPr>
        <w:t xml:space="preserve"> терапию </w:t>
      </w:r>
      <w:r>
        <w:rPr>
          <w:rFonts w:ascii="Times New Roman" w:hAnsi="Times New Roman" w:cs="Times New Roman"/>
          <w:sz w:val="28"/>
          <w:szCs w:val="28"/>
        </w:rPr>
        <w:t>П</w:t>
      </w:r>
      <w:r w:rsidRPr="008F7D63">
        <w:rPr>
          <w:rFonts w:ascii="Times New Roman" w:hAnsi="Times New Roman" w:cs="Times New Roman"/>
          <w:sz w:val="28"/>
          <w:szCs w:val="28"/>
        </w:rPr>
        <w:t xml:space="preserve">ГД </w:t>
      </w:r>
      <w:r>
        <w:rPr>
          <w:rFonts w:ascii="Times New Roman" w:hAnsi="Times New Roman" w:cs="Times New Roman"/>
          <w:sz w:val="28"/>
          <w:szCs w:val="28"/>
        </w:rPr>
        <w:t>и страдающие ДН. В нее вошли 10 мужчин и 13 женщин в возрасте от 37 до 87</w:t>
      </w:r>
      <w:r w:rsidRPr="008F7D63">
        <w:rPr>
          <w:rFonts w:ascii="Times New Roman" w:hAnsi="Times New Roman" w:cs="Times New Roman"/>
          <w:sz w:val="28"/>
          <w:szCs w:val="28"/>
        </w:rPr>
        <w:t xml:space="preserve"> лет</w:t>
      </w:r>
      <w:r>
        <w:rPr>
          <w:rFonts w:ascii="Times New Roman" w:hAnsi="Times New Roman" w:cs="Times New Roman"/>
          <w:sz w:val="28"/>
          <w:szCs w:val="28"/>
        </w:rPr>
        <w:t xml:space="preserve"> (средний возраст составил 65,04 ± 3,12 лет). П</w:t>
      </w:r>
      <w:r w:rsidRPr="008F7D63">
        <w:rPr>
          <w:rFonts w:ascii="Times New Roman" w:hAnsi="Times New Roman" w:cs="Times New Roman"/>
          <w:sz w:val="28"/>
          <w:szCs w:val="28"/>
        </w:rPr>
        <w:t>родолжительность гемо</w:t>
      </w:r>
      <w:r>
        <w:rPr>
          <w:rFonts w:ascii="Times New Roman" w:hAnsi="Times New Roman" w:cs="Times New Roman"/>
          <w:sz w:val="28"/>
          <w:szCs w:val="28"/>
        </w:rPr>
        <w:t>диализной терапии составила от 13 до 209</w:t>
      </w:r>
      <w:r w:rsidRPr="008F7D63">
        <w:rPr>
          <w:rFonts w:ascii="Times New Roman" w:hAnsi="Times New Roman" w:cs="Times New Roman"/>
          <w:sz w:val="28"/>
          <w:szCs w:val="28"/>
        </w:rPr>
        <w:t xml:space="preserve"> месяцев (средняя </w:t>
      </w:r>
      <w:r>
        <w:rPr>
          <w:rFonts w:ascii="Times New Roman" w:hAnsi="Times New Roman" w:cs="Times New Roman"/>
          <w:sz w:val="28"/>
          <w:szCs w:val="28"/>
        </w:rPr>
        <w:t xml:space="preserve">продолжительность составила 155,5 ± 13,3 </w:t>
      </w:r>
      <w:r w:rsidRPr="008F7D63">
        <w:rPr>
          <w:rFonts w:ascii="Times New Roman" w:hAnsi="Times New Roman" w:cs="Times New Roman"/>
          <w:sz w:val="28"/>
          <w:szCs w:val="28"/>
        </w:rPr>
        <w:t>месяцев)</w:t>
      </w:r>
      <w:r>
        <w:rPr>
          <w:rFonts w:ascii="Times New Roman" w:hAnsi="Times New Roman" w:cs="Times New Roman"/>
          <w:sz w:val="28"/>
          <w:szCs w:val="28"/>
        </w:rPr>
        <w:t xml:space="preserve">. Длительность основного заболевания – ДН - </w:t>
      </w:r>
      <w:r w:rsidRPr="008F7D63">
        <w:rPr>
          <w:rFonts w:ascii="Times New Roman" w:hAnsi="Times New Roman" w:cs="Times New Roman"/>
          <w:sz w:val="28"/>
          <w:szCs w:val="28"/>
        </w:rPr>
        <w:t xml:space="preserve"> составила </w:t>
      </w:r>
      <w:r>
        <w:rPr>
          <w:rFonts w:ascii="Times New Roman" w:hAnsi="Times New Roman" w:cs="Times New Roman"/>
          <w:sz w:val="28"/>
          <w:szCs w:val="28"/>
        </w:rPr>
        <w:t xml:space="preserve">от </w:t>
      </w:r>
      <w:r w:rsidRPr="00444151">
        <w:rPr>
          <w:rFonts w:ascii="Times New Roman" w:hAnsi="Times New Roman" w:cs="Times New Roman"/>
          <w:sz w:val="28"/>
          <w:szCs w:val="28"/>
        </w:rPr>
        <w:t xml:space="preserve">16 месяцев до 492 месяцев </w:t>
      </w:r>
      <w:r>
        <w:rPr>
          <w:rFonts w:ascii="Times New Roman" w:hAnsi="Times New Roman" w:cs="Times New Roman"/>
          <w:sz w:val="28"/>
          <w:szCs w:val="28"/>
        </w:rPr>
        <w:t xml:space="preserve">(средняя длительность </w:t>
      </w:r>
      <w:r w:rsidRPr="00444151">
        <w:rPr>
          <w:rFonts w:ascii="Times New Roman" w:hAnsi="Times New Roman" w:cs="Times New Roman"/>
          <w:sz w:val="28"/>
          <w:szCs w:val="28"/>
        </w:rPr>
        <w:t>324,35 ± 12,3 месяцев).</w:t>
      </w:r>
      <w:r>
        <w:rPr>
          <w:rFonts w:ascii="Times New Roman" w:hAnsi="Times New Roman" w:cs="Times New Roman"/>
          <w:sz w:val="28"/>
          <w:szCs w:val="28"/>
        </w:rPr>
        <w:t xml:space="preserve"> Коррекция гликемии у 3</w:t>
      </w:r>
      <w:r w:rsidRPr="008F7D63">
        <w:rPr>
          <w:rFonts w:ascii="Times New Roman" w:hAnsi="Times New Roman" w:cs="Times New Roman"/>
          <w:sz w:val="28"/>
          <w:szCs w:val="28"/>
        </w:rPr>
        <w:t>% пациентов данной группы прои</w:t>
      </w:r>
      <w:r>
        <w:rPr>
          <w:rFonts w:ascii="Times New Roman" w:hAnsi="Times New Roman" w:cs="Times New Roman"/>
          <w:sz w:val="28"/>
          <w:szCs w:val="28"/>
        </w:rPr>
        <w:t>зводилась при помощи диеты, у 12</w:t>
      </w:r>
      <w:r w:rsidRPr="008F7D63">
        <w:rPr>
          <w:rFonts w:ascii="Times New Roman" w:hAnsi="Times New Roman" w:cs="Times New Roman"/>
          <w:sz w:val="28"/>
          <w:szCs w:val="28"/>
        </w:rPr>
        <w:t>% – при помощи пероральных сахароснижающих препаратов и у 75% – пр</w:t>
      </w:r>
      <w:r>
        <w:rPr>
          <w:rFonts w:ascii="Times New Roman" w:hAnsi="Times New Roman" w:cs="Times New Roman"/>
          <w:sz w:val="28"/>
          <w:szCs w:val="28"/>
        </w:rPr>
        <w:t>и помощи препаратов инсулина. При этом у 50</w:t>
      </w:r>
      <w:r w:rsidRPr="008F7D63">
        <w:rPr>
          <w:rFonts w:ascii="Times New Roman" w:hAnsi="Times New Roman" w:cs="Times New Roman"/>
          <w:sz w:val="28"/>
          <w:szCs w:val="28"/>
        </w:rPr>
        <w:t>% л</w:t>
      </w:r>
      <w:r>
        <w:rPr>
          <w:rFonts w:ascii="Times New Roman" w:hAnsi="Times New Roman" w:cs="Times New Roman"/>
          <w:sz w:val="28"/>
          <w:szCs w:val="28"/>
        </w:rPr>
        <w:t>иц СД был компенсированным, у 20% – субкомпенсированным и у 3</w:t>
      </w:r>
      <w:r w:rsidRPr="008F7D63">
        <w:rPr>
          <w:rFonts w:ascii="Times New Roman" w:hAnsi="Times New Roman" w:cs="Times New Roman"/>
          <w:sz w:val="28"/>
          <w:szCs w:val="28"/>
        </w:rPr>
        <w:t>0% – декомпенсированным.</w:t>
      </w:r>
    </w:p>
    <w:p w:rsidR="00545400" w:rsidRPr="008F7D63" w:rsidRDefault="00545400" w:rsidP="00545400">
      <w:pPr>
        <w:tabs>
          <w:tab w:val="left" w:pos="8520"/>
        </w:tabs>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Группу сравнения составили 10 пациентов</w:t>
      </w:r>
      <w:r w:rsidRPr="008F7D63">
        <w:rPr>
          <w:rFonts w:ascii="Times New Roman" w:hAnsi="Times New Roman" w:cs="Times New Roman"/>
          <w:sz w:val="28"/>
          <w:szCs w:val="28"/>
        </w:rPr>
        <w:t xml:space="preserve">, </w:t>
      </w:r>
      <w:r>
        <w:rPr>
          <w:rFonts w:ascii="Times New Roman" w:hAnsi="Times New Roman" w:cs="Times New Roman"/>
          <w:sz w:val="28"/>
          <w:szCs w:val="28"/>
        </w:rPr>
        <w:t>страдающие хроническим гломерулонефритом (ХГН), получающие</w:t>
      </w:r>
      <w:r w:rsidRPr="008F7D63">
        <w:rPr>
          <w:rFonts w:ascii="Times New Roman" w:hAnsi="Times New Roman" w:cs="Times New Roman"/>
          <w:sz w:val="28"/>
          <w:szCs w:val="28"/>
        </w:rPr>
        <w:t xml:space="preserve"> те</w:t>
      </w:r>
      <w:r>
        <w:rPr>
          <w:rFonts w:ascii="Times New Roman" w:hAnsi="Times New Roman" w:cs="Times New Roman"/>
          <w:sz w:val="28"/>
          <w:szCs w:val="28"/>
        </w:rPr>
        <w:t>рапию ПГД, без СД в анамнезе. В нее вошли 4 мужчин и 6 женщин в возрасте от 26 до 83</w:t>
      </w:r>
      <w:r w:rsidRPr="008F7D63">
        <w:rPr>
          <w:rFonts w:ascii="Times New Roman" w:hAnsi="Times New Roman" w:cs="Times New Roman"/>
          <w:sz w:val="28"/>
          <w:szCs w:val="28"/>
        </w:rPr>
        <w:t xml:space="preserve"> </w:t>
      </w:r>
      <w:r>
        <w:rPr>
          <w:rFonts w:ascii="Times New Roman" w:hAnsi="Times New Roman" w:cs="Times New Roman"/>
          <w:sz w:val="28"/>
          <w:szCs w:val="28"/>
        </w:rPr>
        <w:t>лет (средний возраст составил 60</w:t>
      </w:r>
      <w:r w:rsidRPr="008F7D63">
        <w:rPr>
          <w:rFonts w:ascii="Times New Roman" w:hAnsi="Times New Roman" w:cs="Times New Roman"/>
          <w:sz w:val="28"/>
          <w:szCs w:val="28"/>
        </w:rPr>
        <w:t>,</w:t>
      </w:r>
      <w:r>
        <w:rPr>
          <w:rFonts w:ascii="Times New Roman" w:hAnsi="Times New Roman" w:cs="Times New Roman"/>
          <w:sz w:val="28"/>
          <w:szCs w:val="28"/>
        </w:rPr>
        <w:t>9 ± 3,13</w:t>
      </w:r>
      <w:r w:rsidRPr="008F7D63">
        <w:rPr>
          <w:rFonts w:ascii="Times New Roman" w:hAnsi="Times New Roman" w:cs="Times New Roman"/>
          <w:sz w:val="28"/>
          <w:szCs w:val="28"/>
        </w:rPr>
        <w:t xml:space="preserve"> лет), продолжительность гемо</w:t>
      </w:r>
      <w:r>
        <w:rPr>
          <w:rFonts w:ascii="Times New Roman" w:hAnsi="Times New Roman" w:cs="Times New Roman"/>
          <w:sz w:val="28"/>
          <w:szCs w:val="28"/>
        </w:rPr>
        <w:t>диализной терапии составила от 13 месяцев до 169</w:t>
      </w:r>
      <w:r w:rsidRPr="008F7D63">
        <w:rPr>
          <w:rFonts w:ascii="Times New Roman" w:hAnsi="Times New Roman" w:cs="Times New Roman"/>
          <w:sz w:val="28"/>
          <w:szCs w:val="28"/>
        </w:rPr>
        <w:t xml:space="preserve"> месяцев (средняя </w:t>
      </w:r>
      <w:r>
        <w:rPr>
          <w:rFonts w:ascii="Times New Roman" w:hAnsi="Times New Roman" w:cs="Times New Roman"/>
          <w:sz w:val="28"/>
          <w:szCs w:val="28"/>
        </w:rPr>
        <w:t>продолжительность составила 156,6 ± 13,2</w:t>
      </w:r>
      <w:r w:rsidRPr="008F7D63">
        <w:rPr>
          <w:rFonts w:ascii="Times New Roman" w:hAnsi="Times New Roman" w:cs="Times New Roman"/>
          <w:sz w:val="28"/>
          <w:szCs w:val="28"/>
        </w:rPr>
        <w:t xml:space="preserve"> месяцев).</w:t>
      </w:r>
      <w:r>
        <w:rPr>
          <w:rFonts w:ascii="Times New Roman" w:hAnsi="Times New Roman" w:cs="Times New Roman"/>
          <w:sz w:val="28"/>
          <w:szCs w:val="28"/>
        </w:rPr>
        <w:t xml:space="preserve"> Длительность ХГН составила от 12 до 485</w:t>
      </w:r>
      <w:r w:rsidRPr="008F7D63">
        <w:rPr>
          <w:rFonts w:ascii="Times New Roman" w:hAnsi="Times New Roman" w:cs="Times New Roman"/>
          <w:sz w:val="28"/>
          <w:szCs w:val="28"/>
        </w:rPr>
        <w:t xml:space="preserve"> месяцев (средняя длительн</w:t>
      </w:r>
      <w:r>
        <w:rPr>
          <w:rFonts w:ascii="Times New Roman" w:hAnsi="Times New Roman" w:cs="Times New Roman"/>
          <w:sz w:val="28"/>
          <w:szCs w:val="28"/>
        </w:rPr>
        <w:t>ость составила 156,6 ± 14,1</w:t>
      </w:r>
      <w:r w:rsidRPr="008F7D63">
        <w:rPr>
          <w:rFonts w:ascii="Times New Roman" w:hAnsi="Times New Roman" w:cs="Times New Roman"/>
          <w:sz w:val="28"/>
          <w:szCs w:val="28"/>
        </w:rPr>
        <w:t xml:space="preserve"> месяцев).  При сравнении д</w:t>
      </w:r>
      <w:r>
        <w:rPr>
          <w:rFonts w:ascii="Times New Roman" w:hAnsi="Times New Roman" w:cs="Times New Roman"/>
          <w:sz w:val="28"/>
          <w:szCs w:val="28"/>
        </w:rPr>
        <w:t>вух групп статистически значимой разницы обнаружено не было.</w:t>
      </w:r>
      <w:r w:rsidRPr="008F7D63">
        <w:rPr>
          <w:rFonts w:ascii="Times New Roman" w:hAnsi="Times New Roman" w:cs="Times New Roman"/>
          <w:sz w:val="28"/>
          <w:szCs w:val="28"/>
        </w:rPr>
        <w:t xml:space="preserve"> </w:t>
      </w:r>
    </w:p>
    <w:p w:rsidR="00545400" w:rsidRPr="00C002B0" w:rsidRDefault="00545400" w:rsidP="00545400">
      <w:pPr>
        <w:spacing w:before="240" w:line="360" w:lineRule="auto"/>
        <w:ind w:firstLine="709"/>
        <w:jc w:val="both"/>
        <w:rPr>
          <w:rFonts w:ascii="Times New Roman" w:hAnsi="Times New Roman" w:cs="Times New Roman"/>
          <w:sz w:val="28"/>
          <w:szCs w:val="28"/>
        </w:rPr>
      </w:pPr>
      <w:r w:rsidRPr="00492706">
        <w:rPr>
          <w:rFonts w:ascii="Times New Roman" w:hAnsi="Times New Roman" w:cs="Times New Roman"/>
          <w:b/>
          <w:sz w:val="28"/>
          <w:szCs w:val="28"/>
        </w:rPr>
        <w:t xml:space="preserve">         </w:t>
      </w:r>
      <w:r w:rsidRPr="00C002B0">
        <w:rPr>
          <w:rFonts w:ascii="Times New Roman" w:hAnsi="Times New Roman" w:cs="Times New Roman"/>
          <w:sz w:val="28"/>
          <w:szCs w:val="28"/>
        </w:rPr>
        <w:t>Обследованным</w:t>
      </w:r>
      <w:r>
        <w:rPr>
          <w:rFonts w:ascii="Times New Roman" w:hAnsi="Times New Roman" w:cs="Times New Roman"/>
          <w:b/>
          <w:sz w:val="28"/>
          <w:szCs w:val="28"/>
        </w:rPr>
        <w:t xml:space="preserve"> </w:t>
      </w:r>
      <w:r>
        <w:rPr>
          <w:rFonts w:ascii="Times New Roman" w:hAnsi="Times New Roman" w:cs="Times New Roman"/>
          <w:sz w:val="28"/>
          <w:szCs w:val="28"/>
        </w:rPr>
        <w:t>б</w:t>
      </w:r>
      <w:r w:rsidRPr="00C002B0">
        <w:rPr>
          <w:rFonts w:ascii="Times New Roman" w:hAnsi="Times New Roman" w:cs="Times New Roman"/>
          <w:sz w:val="28"/>
          <w:szCs w:val="28"/>
        </w:rPr>
        <w:t>ольным проводилась заместительная терапия программным гемодиализом по стандартной методике (3 раза в неделю сеансами по 4 часа на аппаратах «Искусственная почка» Dialog+ (Диалог+) артериовенозны</w:t>
      </w:r>
      <w:r>
        <w:rPr>
          <w:rFonts w:ascii="Times New Roman" w:hAnsi="Times New Roman" w:cs="Times New Roman"/>
          <w:sz w:val="28"/>
          <w:szCs w:val="28"/>
        </w:rPr>
        <w:t xml:space="preserve">м сосудистым доступом </w:t>
      </w:r>
      <w:r w:rsidRPr="00C002B0">
        <w:rPr>
          <w:rFonts w:ascii="Times New Roman" w:hAnsi="Times New Roman" w:cs="Times New Roman"/>
          <w:sz w:val="28"/>
          <w:szCs w:val="28"/>
        </w:rPr>
        <w:t>продолжительностью не</w:t>
      </w:r>
      <w:r>
        <w:rPr>
          <w:rFonts w:ascii="Times New Roman" w:hAnsi="Times New Roman" w:cs="Times New Roman"/>
          <w:sz w:val="28"/>
          <w:szCs w:val="28"/>
        </w:rPr>
        <w:t xml:space="preserve"> менее 12 месяцев (средняя продолжительность заместительной почечной терапии составила 141 </w:t>
      </w:r>
      <w:r w:rsidRPr="00C002B0">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17</w:t>
      </w:r>
      <w:r w:rsidRPr="00C002B0">
        <w:rPr>
          <w:rFonts w:ascii="Times New Roman" w:hAnsi="Times New Roman" w:cs="Times New Roman"/>
          <w:sz w:val="28"/>
          <w:szCs w:val="28"/>
        </w:rPr>
        <w:t>,8 месяцев)</w:t>
      </w:r>
      <w:r>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sidRPr="00C002B0">
        <w:rPr>
          <w:rFonts w:ascii="Times New Roman" w:hAnsi="Times New Roman" w:cs="Times New Roman"/>
          <w:sz w:val="28"/>
          <w:szCs w:val="28"/>
        </w:rPr>
        <w:t xml:space="preserve">          Развернутый диагноз </w:t>
      </w:r>
      <w:r>
        <w:rPr>
          <w:rFonts w:ascii="Times New Roman" w:hAnsi="Times New Roman" w:cs="Times New Roman"/>
          <w:sz w:val="28"/>
          <w:szCs w:val="28"/>
        </w:rPr>
        <w:t>«</w:t>
      </w:r>
      <w:r w:rsidRPr="00C002B0">
        <w:rPr>
          <w:rFonts w:ascii="Times New Roman" w:hAnsi="Times New Roman" w:cs="Times New Roman"/>
          <w:sz w:val="28"/>
          <w:szCs w:val="28"/>
        </w:rPr>
        <w:t>диабетическая нефропатия</w:t>
      </w:r>
      <w:r>
        <w:rPr>
          <w:rFonts w:ascii="Times New Roman" w:hAnsi="Times New Roman" w:cs="Times New Roman"/>
          <w:sz w:val="28"/>
          <w:szCs w:val="28"/>
        </w:rPr>
        <w:t>»</w:t>
      </w:r>
      <w:r w:rsidRPr="00C002B0">
        <w:rPr>
          <w:rFonts w:ascii="Times New Roman" w:hAnsi="Times New Roman" w:cs="Times New Roman"/>
          <w:sz w:val="28"/>
          <w:szCs w:val="28"/>
        </w:rPr>
        <w:t xml:space="preserve"> больным устанавливался врачами на основании совокупности характерной для ДН </w:t>
      </w:r>
      <w:r w:rsidRPr="00C002B0">
        <w:rPr>
          <w:rFonts w:ascii="Times New Roman" w:hAnsi="Times New Roman" w:cs="Times New Roman"/>
          <w:sz w:val="28"/>
          <w:szCs w:val="28"/>
        </w:rPr>
        <w:lastRenderedPageBreak/>
        <w:t xml:space="preserve">лабораторно-инструментальных данных, клинической симптоматики и методов обследования. Больные обследовались на базе нефрологического отделения Городской Мариинской больницы.       </w:t>
      </w:r>
    </w:p>
    <w:p w:rsidR="00545400" w:rsidRDefault="00545400" w:rsidP="00545400">
      <w:pPr>
        <w:spacing w:before="240" w:line="360" w:lineRule="auto"/>
        <w:ind w:firstLine="709"/>
        <w:jc w:val="both"/>
        <w:rPr>
          <w:rFonts w:ascii="Times New Roman" w:hAnsi="Times New Roman" w:cs="Times New Roman"/>
          <w:sz w:val="28"/>
          <w:szCs w:val="28"/>
        </w:rPr>
      </w:pPr>
    </w:p>
    <w:p w:rsidR="00545400" w:rsidRPr="00B92DB2" w:rsidRDefault="00545400" w:rsidP="00545400">
      <w:pPr>
        <w:spacing w:before="240"/>
        <w:jc w:val="both"/>
        <w:rPr>
          <w:rFonts w:ascii="Times New Roman" w:hAnsi="Times New Roman" w:cs="Times New Roman"/>
          <w:b/>
          <w:i/>
          <w:sz w:val="28"/>
          <w:szCs w:val="28"/>
        </w:rPr>
      </w:pPr>
      <w:r w:rsidRPr="00B92DB2">
        <w:rPr>
          <w:rFonts w:ascii="Times New Roman" w:hAnsi="Times New Roman" w:cs="Times New Roman"/>
          <w:b/>
          <w:i/>
          <w:sz w:val="28"/>
          <w:szCs w:val="28"/>
        </w:rPr>
        <w:t>Таблица 4.  Клиническая характеристика пациентов, включенных в исследование (М</w:t>
      </w:r>
      <w:r w:rsidRPr="00B92DB2">
        <w:rPr>
          <w:rFonts w:ascii="Times New Roman" w:hAnsi="Times New Roman" w:cs="Times New Roman"/>
          <w:b/>
          <w:i/>
          <w:sz w:val="28"/>
          <w:szCs w:val="28"/>
          <w:u w:val="single"/>
        </w:rPr>
        <w:t>+</w:t>
      </w:r>
      <w:r w:rsidRPr="00B92DB2">
        <w:rPr>
          <w:rFonts w:ascii="Times New Roman" w:hAnsi="Times New Roman" w:cs="Times New Roman"/>
          <w:b/>
          <w:i/>
          <w:sz w:val="28"/>
          <w:szCs w:val="28"/>
          <w:lang w:val="en-US"/>
        </w:rPr>
        <w:t>m</w:t>
      </w:r>
      <w:r w:rsidRPr="00B92DB2">
        <w:rPr>
          <w:rFonts w:ascii="Times New Roman" w:hAnsi="Times New Roman" w:cs="Times New Roman"/>
          <w:b/>
          <w:i/>
          <w:sz w:val="28"/>
          <w:szCs w:val="28"/>
        </w:rPr>
        <w:t>)</w:t>
      </w:r>
    </w:p>
    <w:tbl>
      <w:tblPr>
        <w:tblStyle w:val="ac"/>
        <w:tblW w:w="0" w:type="auto"/>
        <w:tblLook w:val="04A0" w:firstRow="1" w:lastRow="0" w:firstColumn="1" w:lastColumn="0" w:noHBand="0" w:noVBand="1"/>
      </w:tblPr>
      <w:tblGrid>
        <w:gridCol w:w="2860"/>
        <w:gridCol w:w="1671"/>
        <w:gridCol w:w="1664"/>
        <w:gridCol w:w="1830"/>
        <w:gridCol w:w="1320"/>
      </w:tblGrid>
      <w:tr w:rsidR="00545400" w:rsidRPr="00492706" w:rsidTr="00105C00">
        <w:tc>
          <w:tcPr>
            <w:tcW w:w="3076" w:type="dxa"/>
          </w:tcPr>
          <w:p w:rsidR="00545400" w:rsidRPr="00492706" w:rsidRDefault="00545400" w:rsidP="00105C00">
            <w:pPr>
              <w:spacing w:before="240" w:after="160" w:line="259" w:lineRule="auto"/>
              <w:jc w:val="both"/>
              <w:rPr>
                <w:rFonts w:ascii="Times New Roman" w:hAnsi="Times New Roman" w:cs="Times New Roman"/>
                <w:sz w:val="28"/>
                <w:szCs w:val="28"/>
              </w:rPr>
            </w:pPr>
          </w:p>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rPr>
              <w:t>Параметр</w:t>
            </w:r>
          </w:p>
        </w:tc>
        <w:tc>
          <w:tcPr>
            <w:tcW w:w="1710"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rPr>
              <w:t xml:space="preserve">Пациенты группы </w:t>
            </w:r>
            <w:r>
              <w:rPr>
                <w:rFonts w:ascii="Times New Roman" w:hAnsi="Times New Roman" w:cs="Times New Roman"/>
                <w:sz w:val="28"/>
                <w:szCs w:val="28"/>
              </w:rPr>
              <w:t>ДН</w:t>
            </w:r>
          </w:p>
        </w:tc>
        <w:tc>
          <w:tcPr>
            <w:tcW w:w="1701"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rPr>
              <w:t>Пациенты группы сравнения</w:t>
            </w:r>
          </w:p>
        </w:tc>
        <w:tc>
          <w:tcPr>
            <w:tcW w:w="1843" w:type="dxa"/>
          </w:tcPr>
          <w:p w:rsidR="00545400" w:rsidRPr="00492706" w:rsidRDefault="00545400" w:rsidP="00105C00">
            <w:pPr>
              <w:spacing w:before="240" w:after="160" w:line="259" w:lineRule="auto"/>
              <w:jc w:val="both"/>
              <w:rPr>
                <w:rFonts w:ascii="Times New Roman" w:hAnsi="Times New Roman" w:cs="Times New Roman"/>
                <w:sz w:val="28"/>
                <w:szCs w:val="28"/>
              </w:rPr>
            </w:pPr>
          </w:p>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rPr>
              <w:t>Всего</w:t>
            </w:r>
          </w:p>
        </w:tc>
        <w:tc>
          <w:tcPr>
            <w:tcW w:w="957"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Зна</w:t>
            </w:r>
            <w:r w:rsidRPr="00492706">
              <w:rPr>
                <w:rFonts w:ascii="Times New Roman" w:hAnsi="Times New Roman" w:cs="Times New Roman"/>
                <w:sz w:val="28"/>
                <w:szCs w:val="28"/>
              </w:rPr>
              <w:t>чение</w:t>
            </w:r>
          </w:p>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rPr>
              <w:t>р</w:t>
            </w:r>
          </w:p>
        </w:tc>
      </w:tr>
      <w:tr w:rsidR="00545400" w:rsidRPr="00492706" w:rsidTr="00105C00">
        <w:tc>
          <w:tcPr>
            <w:tcW w:w="3076"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rPr>
              <w:t>Возраст, лет</w:t>
            </w:r>
          </w:p>
        </w:tc>
        <w:tc>
          <w:tcPr>
            <w:tcW w:w="1710"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65,04 ± 3,12</w:t>
            </w:r>
          </w:p>
        </w:tc>
        <w:tc>
          <w:tcPr>
            <w:tcW w:w="1701"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60,9 ± 3,14</w:t>
            </w:r>
          </w:p>
        </w:tc>
        <w:tc>
          <w:tcPr>
            <w:tcW w:w="1843"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66,1 ± 2,3 </w:t>
            </w:r>
          </w:p>
        </w:tc>
        <w:tc>
          <w:tcPr>
            <w:tcW w:w="957" w:type="dxa"/>
          </w:tcPr>
          <w:p w:rsidR="00545400" w:rsidRPr="00492706" w:rsidRDefault="00545400" w:rsidP="00105C00">
            <w:pPr>
              <w:spacing w:before="240" w:after="160" w:line="259" w:lineRule="auto"/>
              <w:jc w:val="both"/>
              <w:rPr>
                <w:rFonts w:ascii="Times New Roman" w:hAnsi="Times New Roman" w:cs="Times New Roman"/>
                <w:sz w:val="28"/>
                <w:szCs w:val="28"/>
                <w:lang w:val="en-US"/>
              </w:rPr>
            </w:pPr>
            <w:r w:rsidRPr="00492706">
              <w:rPr>
                <w:rFonts w:ascii="Times New Roman" w:hAnsi="Times New Roman" w:cs="Times New Roman"/>
                <w:sz w:val="28"/>
                <w:szCs w:val="28"/>
                <w:lang w:val="en-US"/>
              </w:rPr>
              <w:t>&gt;0,05</w:t>
            </w:r>
          </w:p>
        </w:tc>
      </w:tr>
      <w:tr w:rsidR="00545400" w:rsidRPr="00492706" w:rsidTr="00105C00">
        <w:tc>
          <w:tcPr>
            <w:tcW w:w="3076" w:type="dxa"/>
          </w:tcPr>
          <w:p w:rsidR="00545400" w:rsidRPr="00492706" w:rsidRDefault="00545400" w:rsidP="00105C00">
            <w:pPr>
              <w:spacing w:before="240" w:after="160"/>
              <w:jc w:val="both"/>
              <w:rPr>
                <w:rFonts w:ascii="Times New Roman" w:hAnsi="Times New Roman" w:cs="Times New Roman"/>
                <w:sz w:val="28"/>
                <w:szCs w:val="28"/>
              </w:rPr>
            </w:pPr>
            <w:r>
              <w:rPr>
                <w:rFonts w:ascii="Times New Roman" w:hAnsi="Times New Roman" w:cs="Times New Roman"/>
                <w:sz w:val="28"/>
                <w:szCs w:val="28"/>
              </w:rPr>
              <w:t xml:space="preserve">Женский пол </w:t>
            </w:r>
          </w:p>
        </w:tc>
        <w:tc>
          <w:tcPr>
            <w:tcW w:w="1710" w:type="dxa"/>
          </w:tcPr>
          <w:p w:rsidR="00545400" w:rsidRPr="00492706" w:rsidRDefault="00545400" w:rsidP="00105C00">
            <w:pPr>
              <w:spacing w:before="240" w:after="160"/>
              <w:jc w:val="both"/>
              <w:rPr>
                <w:rFonts w:ascii="Times New Roman" w:hAnsi="Times New Roman" w:cs="Times New Roman"/>
                <w:sz w:val="28"/>
                <w:szCs w:val="28"/>
              </w:rPr>
            </w:pPr>
            <w:r>
              <w:rPr>
                <w:rFonts w:ascii="Times New Roman" w:hAnsi="Times New Roman" w:cs="Times New Roman"/>
                <w:sz w:val="28"/>
                <w:szCs w:val="28"/>
              </w:rPr>
              <w:t>13/ 56,5%</w:t>
            </w:r>
          </w:p>
        </w:tc>
        <w:tc>
          <w:tcPr>
            <w:tcW w:w="1701" w:type="dxa"/>
          </w:tcPr>
          <w:p w:rsidR="00545400" w:rsidRPr="00492706" w:rsidRDefault="00545400" w:rsidP="00105C00">
            <w:pPr>
              <w:spacing w:before="240" w:after="160"/>
              <w:jc w:val="both"/>
              <w:rPr>
                <w:rFonts w:ascii="Times New Roman" w:hAnsi="Times New Roman" w:cs="Times New Roman"/>
                <w:sz w:val="28"/>
                <w:szCs w:val="28"/>
              </w:rPr>
            </w:pPr>
            <w:r>
              <w:rPr>
                <w:rFonts w:ascii="Times New Roman" w:hAnsi="Times New Roman" w:cs="Times New Roman"/>
                <w:sz w:val="28"/>
                <w:szCs w:val="28"/>
              </w:rPr>
              <w:t>4/ 40%</w:t>
            </w:r>
          </w:p>
        </w:tc>
        <w:tc>
          <w:tcPr>
            <w:tcW w:w="1843" w:type="dxa"/>
          </w:tcPr>
          <w:p w:rsidR="00545400" w:rsidRPr="00492706" w:rsidRDefault="00545400" w:rsidP="00105C00">
            <w:pPr>
              <w:spacing w:before="240" w:after="160"/>
              <w:jc w:val="both"/>
              <w:rPr>
                <w:rFonts w:ascii="Times New Roman" w:hAnsi="Times New Roman" w:cs="Times New Roman"/>
                <w:sz w:val="28"/>
                <w:szCs w:val="28"/>
              </w:rPr>
            </w:pPr>
            <w:r>
              <w:rPr>
                <w:rFonts w:ascii="Times New Roman" w:hAnsi="Times New Roman" w:cs="Times New Roman"/>
                <w:sz w:val="28"/>
                <w:szCs w:val="28"/>
              </w:rPr>
              <w:t>17/ 51,5%</w:t>
            </w:r>
          </w:p>
        </w:tc>
        <w:tc>
          <w:tcPr>
            <w:tcW w:w="957" w:type="dxa"/>
          </w:tcPr>
          <w:p w:rsidR="00545400" w:rsidRPr="00492706" w:rsidRDefault="00545400" w:rsidP="00105C00">
            <w:pPr>
              <w:spacing w:before="240" w:after="160"/>
              <w:jc w:val="both"/>
              <w:rPr>
                <w:rFonts w:ascii="Times New Roman" w:hAnsi="Times New Roman" w:cs="Times New Roman"/>
                <w:sz w:val="28"/>
                <w:szCs w:val="28"/>
                <w:lang w:val="en-US"/>
              </w:rPr>
            </w:pPr>
            <w:r w:rsidRPr="00492706">
              <w:rPr>
                <w:rFonts w:ascii="Times New Roman" w:hAnsi="Times New Roman" w:cs="Times New Roman"/>
                <w:sz w:val="28"/>
                <w:szCs w:val="28"/>
                <w:lang w:val="en-US"/>
              </w:rPr>
              <w:t>&gt;0,05</w:t>
            </w:r>
          </w:p>
        </w:tc>
      </w:tr>
      <w:tr w:rsidR="00545400" w:rsidRPr="00492706" w:rsidTr="00105C00">
        <w:tc>
          <w:tcPr>
            <w:tcW w:w="3076"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rPr>
              <w:t>Мужской пол</w:t>
            </w:r>
          </w:p>
        </w:tc>
        <w:tc>
          <w:tcPr>
            <w:tcW w:w="1710"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10/ 43,5</w:t>
            </w:r>
            <w:r w:rsidRPr="00492706">
              <w:rPr>
                <w:rFonts w:ascii="Times New Roman" w:hAnsi="Times New Roman" w:cs="Times New Roman"/>
                <w:sz w:val="28"/>
                <w:szCs w:val="28"/>
              </w:rPr>
              <w:t>%</w:t>
            </w:r>
          </w:p>
        </w:tc>
        <w:tc>
          <w:tcPr>
            <w:tcW w:w="1701"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6</w:t>
            </w:r>
            <w:r w:rsidRPr="00492706">
              <w:rPr>
                <w:rFonts w:ascii="Times New Roman" w:hAnsi="Times New Roman" w:cs="Times New Roman"/>
                <w:sz w:val="28"/>
                <w:szCs w:val="28"/>
              </w:rPr>
              <w:t>/ 60%</w:t>
            </w:r>
          </w:p>
        </w:tc>
        <w:tc>
          <w:tcPr>
            <w:tcW w:w="1843"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16/ 48,5</w:t>
            </w:r>
            <w:r w:rsidRPr="00492706">
              <w:rPr>
                <w:rFonts w:ascii="Times New Roman" w:hAnsi="Times New Roman" w:cs="Times New Roman"/>
                <w:sz w:val="28"/>
                <w:szCs w:val="28"/>
              </w:rPr>
              <w:t>%</w:t>
            </w:r>
          </w:p>
        </w:tc>
        <w:tc>
          <w:tcPr>
            <w:tcW w:w="957" w:type="dxa"/>
          </w:tcPr>
          <w:p w:rsidR="00545400" w:rsidRPr="00492706" w:rsidRDefault="00545400" w:rsidP="00105C00">
            <w:pPr>
              <w:spacing w:before="240" w:after="160" w:line="259" w:lineRule="auto"/>
              <w:jc w:val="both"/>
              <w:rPr>
                <w:rFonts w:ascii="Times New Roman" w:hAnsi="Times New Roman" w:cs="Times New Roman"/>
                <w:sz w:val="28"/>
                <w:szCs w:val="28"/>
                <w:lang w:val="en-US"/>
              </w:rPr>
            </w:pPr>
            <w:r w:rsidRPr="00492706">
              <w:rPr>
                <w:rFonts w:ascii="Times New Roman" w:hAnsi="Times New Roman" w:cs="Times New Roman"/>
                <w:sz w:val="28"/>
                <w:szCs w:val="28"/>
                <w:lang w:val="en-US"/>
              </w:rPr>
              <w:t>&gt;0,05</w:t>
            </w:r>
          </w:p>
        </w:tc>
      </w:tr>
      <w:tr w:rsidR="00545400" w:rsidRPr="00492706" w:rsidTr="00105C00">
        <w:tc>
          <w:tcPr>
            <w:tcW w:w="3076"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rPr>
              <w:t>Длительность ГД, мес</w:t>
            </w:r>
          </w:p>
        </w:tc>
        <w:tc>
          <w:tcPr>
            <w:tcW w:w="1710"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155,5 ± 13,3 </w:t>
            </w:r>
          </w:p>
        </w:tc>
        <w:tc>
          <w:tcPr>
            <w:tcW w:w="1701"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156,6 ± 13</w:t>
            </w:r>
            <w:r w:rsidRPr="00863F50">
              <w:rPr>
                <w:rFonts w:ascii="Times New Roman" w:hAnsi="Times New Roman" w:cs="Times New Roman"/>
                <w:sz w:val="28"/>
                <w:szCs w:val="28"/>
              </w:rPr>
              <w:t>,2</w:t>
            </w:r>
          </w:p>
        </w:tc>
        <w:tc>
          <w:tcPr>
            <w:tcW w:w="1843"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141 ± 17</w:t>
            </w:r>
            <w:r w:rsidRPr="00863F50">
              <w:rPr>
                <w:rFonts w:ascii="Times New Roman" w:hAnsi="Times New Roman" w:cs="Times New Roman"/>
                <w:sz w:val="28"/>
                <w:szCs w:val="28"/>
              </w:rPr>
              <w:t>,8</w:t>
            </w:r>
          </w:p>
        </w:tc>
        <w:tc>
          <w:tcPr>
            <w:tcW w:w="957" w:type="dxa"/>
          </w:tcPr>
          <w:p w:rsidR="00545400" w:rsidRPr="005411AF" w:rsidRDefault="00545400" w:rsidP="00105C00">
            <w:pPr>
              <w:spacing w:before="240" w:after="160" w:line="259" w:lineRule="auto"/>
              <w:jc w:val="both"/>
              <w:rPr>
                <w:rFonts w:ascii="Times New Roman" w:hAnsi="Times New Roman" w:cs="Times New Roman"/>
                <w:sz w:val="28"/>
                <w:szCs w:val="28"/>
                <w:lang w:val="en-US"/>
              </w:rPr>
            </w:pPr>
            <w:r w:rsidRPr="005411AF">
              <w:rPr>
                <w:rFonts w:ascii="Times New Roman" w:hAnsi="Times New Roman" w:cs="Times New Roman"/>
                <w:sz w:val="28"/>
                <w:szCs w:val="28"/>
                <w:lang w:val="en-US"/>
              </w:rPr>
              <w:t>&gt;0,05</w:t>
            </w:r>
          </w:p>
        </w:tc>
      </w:tr>
      <w:tr w:rsidR="00545400" w:rsidRPr="00492706" w:rsidTr="00105C00">
        <w:tc>
          <w:tcPr>
            <w:tcW w:w="3076"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Длительность основного заболевания, мес </w:t>
            </w:r>
          </w:p>
        </w:tc>
        <w:tc>
          <w:tcPr>
            <w:tcW w:w="1710" w:type="dxa"/>
          </w:tcPr>
          <w:p w:rsidR="00545400" w:rsidRPr="00863F50"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324,35</w:t>
            </w:r>
            <w:r w:rsidRPr="00863F50">
              <w:rPr>
                <w:rFonts w:ascii="Times New Roman" w:hAnsi="Times New Roman" w:cs="Times New Roman"/>
                <w:sz w:val="28"/>
                <w:szCs w:val="28"/>
              </w:rPr>
              <w:t>± 12,3</w:t>
            </w:r>
          </w:p>
        </w:tc>
        <w:tc>
          <w:tcPr>
            <w:tcW w:w="1701"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863F50">
              <w:rPr>
                <w:rFonts w:ascii="Times New Roman" w:hAnsi="Times New Roman" w:cs="Times New Roman"/>
                <w:sz w:val="28"/>
                <w:szCs w:val="28"/>
              </w:rPr>
              <w:t>289 ± 16,8</w:t>
            </w:r>
          </w:p>
        </w:tc>
        <w:tc>
          <w:tcPr>
            <w:tcW w:w="1843"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2</w:t>
            </w:r>
            <w:r w:rsidRPr="00492706">
              <w:rPr>
                <w:rFonts w:ascii="Times New Roman" w:hAnsi="Times New Roman" w:cs="Times New Roman"/>
                <w:sz w:val="28"/>
                <w:szCs w:val="28"/>
              </w:rPr>
              <w:t>12,85±</w:t>
            </w:r>
            <w:r>
              <w:rPr>
                <w:rFonts w:ascii="Times New Roman" w:hAnsi="Times New Roman" w:cs="Times New Roman"/>
                <w:sz w:val="28"/>
                <w:szCs w:val="28"/>
              </w:rPr>
              <w:t>11</w:t>
            </w:r>
            <w:r w:rsidRPr="00492706">
              <w:rPr>
                <w:rFonts w:ascii="Times New Roman" w:hAnsi="Times New Roman" w:cs="Times New Roman"/>
                <w:sz w:val="28"/>
                <w:szCs w:val="28"/>
              </w:rPr>
              <w:t>,07</w:t>
            </w:r>
          </w:p>
        </w:tc>
        <w:tc>
          <w:tcPr>
            <w:tcW w:w="957"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lang w:val="en-US"/>
              </w:rPr>
              <w:t>&gt;0,05</w:t>
            </w:r>
          </w:p>
        </w:tc>
      </w:tr>
      <w:tr w:rsidR="00545400" w:rsidRPr="00492706" w:rsidTr="00105C00">
        <w:tc>
          <w:tcPr>
            <w:tcW w:w="3076"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rPr>
              <w:t>АГ</w:t>
            </w:r>
          </w:p>
        </w:tc>
        <w:tc>
          <w:tcPr>
            <w:tcW w:w="1710"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20/ 87</w:t>
            </w:r>
            <w:r w:rsidRPr="00492706">
              <w:rPr>
                <w:rFonts w:ascii="Times New Roman" w:hAnsi="Times New Roman" w:cs="Times New Roman"/>
                <w:sz w:val="28"/>
                <w:szCs w:val="28"/>
              </w:rPr>
              <w:t>%</w:t>
            </w:r>
          </w:p>
        </w:tc>
        <w:tc>
          <w:tcPr>
            <w:tcW w:w="1701"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9</w:t>
            </w:r>
            <w:r w:rsidRPr="00492706">
              <w:rPr>
                <w:rFonts w:ascii="Times New Roman" w:hAnsi="Times New Roman" w:cs="Times New Roman"/>
                <w:sz w:val="28"/>
                <w:szCs w:val="28"/>
              </w:rPr>
              <w:t>/ 95%</w:t>
            </w:r>
          </w:p>
        </w:tc>
        <w:tc>
          <w:tcPr>
            <w:tcW w:w="1843"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29/ 89</w:t>
            </w:r>
            <w:r w:rsidRPr="00492706">
              <w:rPr>
                <w:rFonts w:ascii="Times New Roman" w:hAnsi="Times New Roman" w:cs="Times New Roman"/>
                <w:sz w:val="28"/>
                <w:szCs w:val="28"/>
              </w:rPr>
              <w:t>%</w:t>
            </w:r>
          </w:p>
        </w:tc>
        <w:tc>
          <w:tcPr>
            <w:tcW w:w="957" w:type="dxa"/>
          </w:tcPr>
          <w:p w:rsidR="00545400" w:rsidRPr="00492706" w:rsidRDefault="00545400" w:rsidP="00105C00">
            <w:pPr>
              <w:spacing w:before="240" w:after="160" w:line="259" w:lineRule="auto"/>
              <w:jc w:val="both"/>
              <w:rPr>
                <w:rFonts w:ascii="Times New Roman" w:hAnsi="Times New Roman" w:cs="Times New Roman"/>
                <w:sz w:val="28"/>
                <w:szCs w:val="28"/>
                <w:lang w:val="en-US"/>
              </w:rPr>
            </w:pPr>
            <w:r w:rsidRPr="00492706">
              <w:rPr>
                <w:rFonts w:ascii="Times New Roman" w:hAnsi="Times New Roman" w:cs="Times New Roman"/>
                <w:sz w:val="28"/>
                <w:szCs w:val="28"/>
                <w:lang w:val="en-US"/>
              </w:rPr>
              <w:t>&gt;0,05</w:t>
            </w:r>
          </w:p>
        </w:tc>
      </w:tr>
      <w:tr w:rsidR="00545400" w:rsidRPr="00492706" w:rsidTr="00105C00">
        <w:tc>
          <w:tcPr>
            <w:tcW w:w="3076"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rPr>
              <w:t>Гемоглобин, г/л</w:t>
            </w:r>
          </w:p>
        </w:tc>
        <w:tc>
          <w:tcPr>
            <w:tcW w:w="1710"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8</w:t>
            </w:r>
            <w:r w:rsidRPr="00CD245C">
              <w:rPr>
                <w:rFonts w:ascii="Times New Roman" w:hAnsi="Times New Roman" w:cs="Times New Roman"/>
                <w:sz w:val="28"/>
                <w:szCs w:val="28"/>
              </w:rPr>
              <w:t>2,43</w:t>
            </w:r>
            <w:r w:rsidRPr="00CD245C">
              <w:rPr>
                <w:rFonts w:ascii="Times New Roman" w:hAnsi="Times New Roman" w:cs="Times New Roman"/>
                <w:sz w:val="28"/>
                <w:szCs w:val="28"/>
                <w:u w:val="single"/>
              </w:rPr>
              <w:t>+</w:t>
            </w:r>
            <w:r w:rsidRPr="00CD245C">
              <w:rPr>
                <w:rFonts w:ascii="Times New Roman" w:hAnsi="Times New Roman" w:cs="Times New Roman"/>
                <w:sz w:val="28"/>
                <w:szCs w:val="28"/>
              </w:rPr>
              <w:t>4,48</w:t>
            </w:r>
          </w:p>
        </w:tc>
        <w:tc>
          <w:tcPr>
            <w:tcW w:w="1701"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79,30</w:t>
            </w:r>
            <w:r w:rsidRPr="00CD245C">
              <w:rPr>
                <w:rFonts w:ascii="Times New Roman" w:hAnsi="Times New Roman" w:cs="Times New Roman"/>
                <w:sz w:val="28"/>
                <w:szCs w:val="28"/>
                <w:u w:val="single"/>
              </w:rPr>
              <w:t>+</w:t>
            </w:r>
            <w:r>
              <w:rPr>
                <w:rFonts w:ascii="Times New Roman" w:hAnsi="Times New Roman" w:cs="Times New Roman"/>
                <w:sz w:val="28"/>
                <w:szCs w:val="28"/>
              </w:rPr>
              <w:t>4,43</w:t>
            </w:r>
          </w:p>
        </w:tc>
        <w:tc>
          <w:tcPr>
            <w:tcW w:w="1843"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78,25 ± 4</w:t>
            </w:r>
            <w:r w:rsidRPr="00492706">
              <w:rPr>
                <w:rFonts w:ascii="Times New Roman" w:hAnsi="Times New Roman" w:cs="Times New Roman"/>
                <w:sz w:val="28"/>
                <w:szCs w:val="28"/>
              </w:rPr>
              <w:t>,49</w:t>
            </w:r>
          </w:p>
        </w:tc>
        <w:tc>
          <w:tcPr>
            <w:tcW w:w="957" w:type="dxa"/>
          </w:tcPr>
          <w:p w:rsidR="00545400" w:rsidRPr="00492706" w:rsidRDefault="00545400" w:rsidP="00105C00">
            <w:pPr>
              <w:spacing w:before="240" w:after="160" w:line="259" w:lineRule="auto"/>
              <w:jc w:val="both"/>
              <w:rPr>
                <w:rFonts w:ascii="Times New Roman" w:hAnsi="Times New Roman" w:cs="Times New Roman"/>
                <w:sz w:val="28"/>
                <w:szCs w:val="28"/>
                <w:lang w:val="en-US"/>
              </w:rPr>
            </w:pPr>
            <w:r w:rsidRPr="00492706">
              <w:rPr>
                <w:rFonts w:ascii="Times New Roman" w:hAnsi="Times New Roman" w:cs="Times New Roman"/>
                <w:sz w:val="28"/>
                <w:szCs w:val="28"/>
                <w:lang w:val="en-US"/>
              </w:rPr>
              <w:t>&gt;0,05</w:t>
            </w:r>
          </w:p>
        </w:tc>
      </w:tr>
      <w:tr w:rsidR="00545400" w:rsidRPr="00492706" w:rsidTr="00105C00">
        <w:tc>
          <w:tcPr>
            <w:tcW w:w="3076"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креатинин, мкм</w:t>
            </w:r>
            <w:r w:rsidRPr="00492706">
              <w:rPr>
                <w:rFonts w:ascii="Times New Roman" w:hAnsi="Times New Roman" w:cs="Times New Roman"/>
                <w:sz w:val="28"/>
                <w:szCs w:val="28"/>
              </w:rPr>
              <w:t>оль/л</w:t>
            </w:r>
          </w:p>
        </w:tc>
        <w:tc>
          <w:tcPr>
            <w:tcW w:w="1710"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916,7 ± 60,5</w:t>
            </w:r>
          </w:p>
        </w:tc>
        <w:tc>
          <w:tcPr>
            <w:tcW w:w="1701"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924,6 ± 62,2</w:t>
            </w:r>
          </w:p>
        </w:tc>
        <w:tc>
          <w:tcPr>
            <w:tcW w:w="1843"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921 ± 61,8</w:t>
            </w:r>
          </w:p>
        </w:tc>
        <w:tc>
          <w:tcPr>
            <w:tcW w:w="957"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lang w:val="en-US"/>
              </w:rPr>
              <w:t>&gt;0,05</w:t>
            </w:r>
          </w:p>
        </w:tc>
      </w:tr>
      <w:tr w:rsidR="00545400" w:rsidRPr="00492706" w:rsidTr="00105C00">
        <w:tc>
          <w:tcPr>
            <w:tcW w:w="3076"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СКФ</w:t>
            </w:r>
            <w:r w:rsidRPr="00492706">
              <w:rPr>
                <w:rFonts w:ascii="Times New Roman" w:hAnsi="Times New Roman" w:cs="Times New Roman"/>
                <w:sz w:val="28"/>
                <w:szCs w:val="28"/>
              </w:rPr>
              <w:t xml:space="preserve">, </w:t>
            </w:r>
            <w:r w:rsidRPr="00CD245C">
              <w:rPr>
                <w:rFonts w:ascii="Times New Roman" w:hAnsi="Times New Roman" w:cs="Times New Roman"/>
                <w:sz w:val="28"/>
                <w:szCs w:val="28"/>
              </w:rPr>
              <w:t>мл/мин/1,73 м2</w:t>
            </w:r>
          </w:p>
        </w:tc>
        <w:tc>
          <w:tcPr>
            <w:tcW w:w="1710"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CD245C">
              <w:rPr>
                <w:rFonts w:ascii="Times New Roman" w:hAnsi="Times New Roman" w:cs="Times New Roman"/>
                <w:sz w:val="28"/>
                <w:szCs w:val="28"/>
              </w:rPr>
              <w:t>4,09+0,3</w:t>
            </w:r>
          </w:p>
        </w:tc>
        <w:tc>
          <w:tcPr>
            <w:tcW w:w="1701"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3,97 ± 0,2</w:t>
            </w:r>
          </w:p>
        </w:tc>
        <w:tc>
          <w:tcPr>
            <w:tcW w:w="1843"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3</w:t>
            </w:r>
            <w:r w:rsidRPr="00492706">
              <w:rPr>
                <w:rFonts w:ascii="Times New Roman" w:hAnsi="Times New Roman" w:cs="Times New Roman"/>
                <w:sz w:val="28"/>
                <w:szCs w:val="28"/>
              </w:rPr>
              <w:t>,89 ± 0,15</w:t>
            </w:r>
          </w:p>
        </w:tc>
        <w:tc>
          <w:tcPr>
            <w:tcW w:w="957"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492706">
              <w:rPr>
                <w:rFonts w:ascii="Times New Roman" w:hAnsi="Times New Roman" w:cs="Times New Roman"/>
                <w:sz w:val="28"/>
                <w:szCs w:val="28"/>
                <w:lang w:val="en-US"/>
              </w:rPr>
              <w:t>&gt;0,05</w:t>
            </w:r>
          </w:p>
        </w:tc>
      </w:tr>
      <w:tr w:rsidR="00545400" w:rsidRPr="00492706" w:rsidTr="00105C00">
        <w:tc>
          <w:tcPr>
            <w:tcW w:w="3076"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Среднее АД, </w:t>
            </w:r>
            <w:r w:rsidRPr="00CD245C">
              <w:rPr>
                <w:rFonts w:ascii="Times New Roman" w:hAnsi="Times New Roman" w:cs="Times New Roman"/>
                <w:sz w:val="28"/>
                <w:szCs w:val="28"/>
              </w:rPr>
              <w:t>мм рт. ст</w:t>
            </w:r>
            <w:r>
              <w:rPr>
                <w:rFonts w:ascii="Times New Roman" w:hAnsi="Times New Roman" w:cs="Times New Roman"/>
                <w:sz w:val="28"/>
                <w:szCs w:val="28"/>
              </w:rPr>
              <w:t xml:space="preserve">. </w:t>
            </w:r>
          </w:p>
        </w:tc>
        <w:tc>
          <w:tcPr>
            <w:tcW w:w="1710"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103,17±2,9</w:t>
            </w:r>
          </w:p>
        </w:tc>
        <w:tc>
          <w:tcPr>
            <w:tcW w:w="1701"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97,9±5,9</w:t>
            </w:r>
          </w:p>
        </w:tc>
        <w:tc>
          <w:tcPr>
            <w:tcW w:w="1843" w:type="dxa"/>
          </w:tcPr>
          <w:p w:rsidR="00545400" w:rsidRPr="00492706" w:rsidRDefault="00545400" w:rsidP="00105C00">
            <w:pPr>
              <w:spacing w:before="240" w:after="160" w:line="259" w:lineRule="auto"/>
              <w:jc w:val="both"/>
              <w:rPr>
                <w:rFonts w:ascii="Times New Roman" w:hAnsi="Times New Roman" w:cs="Times New Roman"/>
                <w:sz w:val="28"/>
                <w:szCs w:val="28"/>
              </w:rPr>
            </w:pPr>
            <w:r>
              <w:rPr>
                <w:rFonts w:ascii="Times New Roman" w:hAnsi="Times New Roman" w:cs="Times New Roman"/>
                <w:sz w:val="28"/>
                <w:szCs w:val="28"/>
              </w:rPr>
              <w:t>101,5 ± 3,5</w:t>
            </w:r>
          </w:p>
        </w:tc>
        <w:tc>
          <w:tcPr>
            <w:tcW w:w="957" w:type="dxa"/>
          </w:tcPr>
          <w:p w:rsidR="00545400" w:rsidRPr="00492706" w:rsidRDefault="00545400" w:rsidP="00105C00">
            <w:pPr>
              <w:spacing w:before="240" w:after="160" w:line="259" w:lineRule="auto"/>
              <w:jc w:val="both"/>
              <w:rPr>
                <w:rFonts w:ascii="Times New Roman" w:hAnsi="Times New Roman" w:cs="Times New Roman"/>
                <w:sz w:val="28"/>
                <w:szCs w:val="28"/>
              </w:rPr>
            </w:pPr>
            <w:r w:rsidRPr="00CD245C">
              <w:rPr>
                <w:rFonts w:ascii="Times New Roman" w:hAnsi="Times New Roman" w:cs="Times New Roman"/>
                <w:sz w:val="28"/>
                <w:szCs w:val="28"/>
              </w:rPr>
              <w:t>&gt;0,05</w:t>
            </w:r>
          </w:p>
        </w:tc>
      </w:tr>
    </w:tbl>
    <w:p w:rsidR="00545400" w:rsidRDefault="00545400" w:rsidP="00545400">
      <w:pPr>
        <w:spacing w:before="240"/>
        <w:jc w:val="both"/>
        <w:rPr>
          <w:rFonts w:ascii="Times New Roman" w:hAnsi="Times New Roman" w:cs="Times New Roman"/>
          <w:sz w:val="28"/>
          <w:szCs w:val="28"/>
        </w:rPr>
      </w:pP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Всем больным ХБП</w:t>
      </w:r>
      <w:r w:rsidRPr="008719A7">
        <w:rPr>
          <w:rFonts w:ascii="Times New Roman" w:hAnsi="Times New Roman" w:cs="Times New Roman"/>
          <w:sz w:val="28"/>
          <w:szCs w:val="28"/>
        </w:rPr>
        <w:t xml:space="preserve"> проводилось клиническое физикальное обследование, общеклинические и биохимические анализы крови, электрокардиография, ультразвуковое исследование почек и органов брюшной полости, фиброгастродуоденоскопия, рентгенография органов грудной клетки. </w:t>
      </w:r>
      <w:r>
        <w:rPr>
          <w:rFonts w:ascii="Times New Roman" w:hAnsi="Times New Roman" w:cs="Times New Roman"/>
          <w:sz w:val="28"/>
          <w:szCs w:val="28"/>
        </w:rPr>
        <w:t>Для оценки влияния гемодиализной терапии на показатели крови проводился лабораторный контроль при поступлении и через месяц заместительной комплексной терапии. В динамике оценивался</w:t>
      </w:r>
      <w:r w:rsidRPr="008719A7">
        <w:rPr>
          <w:rFonts w:ascii="Times New Roman" w:hAnsi="Times New Roman" w:cs="Times New Roman"/>
          <w:sz w:val="28"/>
          <w:szCs w:val="28"/>
        </w:rPr>
        <w:t>: г</w:t>
      </w:r>
      <w:r>
        <w:rPr>
          <w:rFonts w:ascii="Times New Roman" w:hAnsi="Times New Roman" w:cs="Times New Roman"/>
          <w:sz w:val="28"/>
          <w:szCs w:val="28"/>
        </w:rPr>
        <w:t xml:space="preserve">емоглобин сыворотки крови (Нв). </w:t>
      </w:r>
    </w:p>
    <w:p w:rsidR="00545400" w:rsidRDefault="00545400" w:rsidP="00545400">
      <w:pPr>
        <w:spacing w:before="240" w:line="360" w:lineRule="auto"/>
        <w:ind w:firstLine="709"/>
        <w:jc w:val="both"/>
        <w:rPr>
          <w:rFonts w:ascii="Times New Roman" w:hAnsi="Times New Roman" w:cs="Times New Roman"/>
          <w:sz w:val="28"/>
          <w:szCs w:val="28"/>
        </w:rPr>
      </w:pPr>
      <w:r w:rsidRPr="007679A6">
        <w:rPr>
          <w:rFonts w:ascii="Times New Roman" w:hAnsi="Times New Roman" w:cs="Times New Roman"/>
          <w:sz w:val="28"/>
          <w:szCs w:val="28"/>
        </w:rPr>
        <w:t>При оценке эффективности антианемической терапии использовали следующие критерии: эффективное лечение – в случае увеличения Нв более 100 г/л; улучшение – прирост Нв 10-20 г/л в месяц; низкая эффективность лечени</w:t>
      </w:r>
      <w:r>
        <w:rPr>
          <w:rFonts w:ascii="Times New Roman" w:hAnsi="Times New Roman" w:cs="Times New Roman"/>
          <w:sz w:val="28"/>
          <w:szCs w:val="28"/>
        </w:rPr>
        <w:t>я – прирост Нв &lt;10 г/л в месяц.</w:t>
      </w:r>
    </w:p>
    <w:p w:rsidR="00545400" w:rsidRPr="007679A6" w:rsidRDefault="00545400" w:rsidP="00545400">
      <w:pPr>
        <w:spacing w:before="240" w:line="360" w:lineRule="auto"/>
        <w:ind w:firstLine="709"/>
        <w:jc w:val="both"/>
        <w:rPr>
          <w:rFonts w:ascii="Times New Roman" w:hAnsi="Times New Roman" w:cs="Times New Roman"/>
          <w:sz w:val="28"/>
          <w:szCs w:val="28"/>
        </w:rPr>
      </w:pPr>
      <w:r w:rsidRPr="008719A7">
        <w:rPr>
          <w:rFonts w:ascii="Times New Roman" w:hAnsi="Times New Roman" w:cs="Times New Roman"/>
          <w:sz w:val="28"/>
          <w:szCs w:val="28"/>
        </w:rPr>
        <w:t>Для оценки влияния гемодиализной терапии на артериальную гипертензию больным проводилось измерение АД непосредственно до проведения процедуры лежа, и сраз</w:t>
      </w:r>
      <w:r>
        <w:rPr>
          <w:rFonts w:ascii="Times New Roman" w:hAnsi="Times New Roman" w:cs="Times New Roman"/>
          <w:sz w:val="28"/>
          <w:szCs w:val="28"/>
        </w:rPr>
        <w:t>у после отключения от аппарата «и</w:t>
      </w:r>
      <w:r w:rsidRPr="008719A7">
        <w:rPr>
          <w:rFonts w:ascii="Times New Roman" w:hAnsi="Times New Roman" w:cs="Times New Roman"/>
          <w:sz w:val="28"/>
          <w:szCs w:val="28"/>
        </w:rPr>
        <w:t>скусственная почка</w:t>
      </w:r>
      <w:r>
        <w:rPr>
          <w:rFonts w:ascii="Times New Roman" w:hAnsi="Times New Roman" w:cs="Times New Roman"/>
          <w:sz w:val="28"/>
          <w:szCs w:val="28"/>
        </w:rPr>
        <w:t>»</w:t>
      </w:r>
      <w:r w:rsidRPr="008719A7">
        <w:rPr>
          <w:rFonts w:ascii="Times New Roman" w:hAnsi="Times New Roman" w:cs="Times New Roman"/>
          <w:sz w:val="28"/>
          <w:szCs w:val="28"/>
        </w:rPr>
        <w:t>.</w:t>
      </w:r>
      <w:r>
        <w:rPr>
          <w:rFonts w:ascii="Times New Roman" w:hAnsi="Times New Roman" w:cs="Times New Roman"/>
          <w:sz w:val="28"/>
          <w:szCs w:val="28"/>
        </w:rPr>
        <w:t xml:space="preserve"> </w:t>
      </w:r>
      <w:r w:rsidRPr="007679A6">
        <w:rPr>
          <w:rFonts w:ascii="Times New Roman" w:hAnsi="Times New Roman" w:cs="Times New Roman"/>
          <w:sz w:val="28"/>
          <w:szCs w:val="28"/>
        </w:rPr>
        <w:t>Полученные данные анализир</w:t>
      </w:r>
      <w:r>
        <w:rPr>
          <w:rFonts w:ascii="Times New Roman" w:hAnsi="Times New Roman" w:cs="Times New Roman"/>
          <w:sz w:val="28"/>
          <w:szCs w:val="28"/>
        </w:rPr>
        <w:t xml:space="preserve">овались по следующей формуле: среднее АД = (2ДАД +САД)/3.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719A7">
        <w:rPr>
          <w:rFonts w:ascii="Times New Roman" w:hAnsi="Times New Roman" w:cs="Times New Roman"/>
          <w:sz w:val="28"/>
          <w:szCs w:val="28"/>
        </w:rPr>
        <w:t>Систематизация и статистическая обработка полученных данных проводилась с использованием пакета прикладных программ EXC</w:t>
      </w:r>
      <w:r>
        <w:rPr>
          <w:rFonts w:ascii="Times New Roman" w:hAnsi="Times New Roman" w:cs="Times New Roman"/>
          <w:sz w:val="28"/>
          <w:szCs w:val="28"/>
        </w:rPr>
        <w:t>EL</w:t>
      </w:r>
      <w:r w:rsidRPr="008719A7">
        <w:rPr>
          <w:rFonts w:ascii="Times New Roman" w:hAnsi="Times New Roman" w:cs="Times New Roman"/>
          <w:sz w:val="28"/>
          <w:szCs w:val="28"/>
        </w:rPr>
        <w:t>, а также с помощью калькулятора http://medstatistic.ru/calculators.html. В качестве метода математической статистики для сравнения средних значений ра</w:t>
      </w:r>
      <w:r>
        <w:rPr>
          <w:rFonts w:ascii="Times New Roman" w:hAnsi="Times New Roman" w:cs="Times New Roman"/>
          <w:sz w:val="28"/>
          <w:szCs w:val="28"/>
        </w:rPr>
        <w:t xml:space="preserve">ссчитывался </w:t>
      </w:r>
      <w:r>
        <w:rPr>
          <w:rFonts w:ascii="Times New Roman" w:hAnsi="Times New Roman" w:cs="Times New Roman"/>
          <w:sz w:val="28"/>
          <w:szCs w:val="28"/>
          <w:lang w:val="en-US"/>
        </w:rPr>
        <w:t>U</w:t>
      </w:r>
      <w:r w:rsidRPr="002143CA">
        <w:rPr>
          <w:rFonts w:ascii="Times New Roman" w:hAnsi="Times New Roman" w:cs="Times New Roman"/>
          <w:sz w:val="28"/>
          <w:szCs w:val="28"/>
        </w:rPr>
        <w:t xml:space="preserve"> </w:t>
      </w:r>
      <w:r>
        <w:rPr>
          <w:rFonts w:ascii="Times New Roman" w:hAnsi="Times New Roman" w:cs="Times New Roman"/>
          <w:sz w:val="28"/>
          <w:szCs w:val="28"/>
        </w:rPr>
        <w:t xml:space="preserve">- критерий </w:t>
      </w:r>
      <w:r>
        <w:rPr>
          <w:rFonts w:ascii="Times New Roman" w:hAnsi="Times New Roman" w:cs="Times New Roman"/>
          <w:sz w:val="28"/>
          <w:szCs w:val="28"/>
          <w:lang w:val="en-US"/>
        </w:rPr>
        <w:t>Mann</w:t>
      </w:r>
      <w:r w:rsidRPr="00B30863">
        <w:rPr>
          <w:rFonts w:ascii="Times New Roman" w:hAnsi="Times New Roman" w:cs="Times New Roman"/>
          <w:sz w:val="28"/>
          <w:szCs w:val="28"/>
        </w:rPr>
        <w:t xml:space="preserve"> - </w:t>
      </w:r>
      <w:r>
        <w:rPr>
          <w:rFonts w:ascii="Times New Roman" w:hAnsi="Times New Roman" w:cs="Times New Roman"/>
          <w:sz w:val="28"/>
          <w:szCs w:val="28"/>
          <w:lang w:val="en-US"/>
        </w:rPr>
        <w:t>Whitney</w:t>
      </w:r>
      <w:r>
        <w:rPr>
          <w:rFonts w:ascii="Times New Roman" w:hAnsi="Times New Roman" w:cs="Times New Roman"/>
          <w:sz w:val="28"/>
          <w:szCs w:val="28"/>
        </w:rPr>
        <w:t>.</w:t>
      </w:r>
      <w:r w:rsidRPr="008719A7">
        <w:rPr>
          <w:rFonts w:ascii="Times New Roman" w:hAnsi="Times New Roman" w:cs="Times New Roman"/>
          <w:sz w:val="28"/>
          <w:szCs w:val="28"/>
        </w:rPr>
        <w:t xml:space="preserve"> За уровень достоверности статистических показателей принято р&lt;0,05. </w:t>
      </w:r>
      <w:r w:rsidRPr="006D44EF">
        <w:rPr>
          <w:rFonts w:ascii="Times New Roman" w:hAnsi="Times New Roman" w:cs="Times New Roman"/>
          <w:sz w:val="28"/>
          <w:szCs w:val="28"/>
        </w:rPr>
        <w:t>Для оценки</w:t>
      </w:r>
      <w:r>
        <w:rPr>
          <w:rFonts w:ascii="Times New Roman" w:hAnsi="Times New Roman" w:cs="Times New Roman"/>
          <w:sz w:val="28"/>
          <w:szCs w:val="28"/>
        </w:rPr>
        <w:t xml:space="preserve"> силы связи между длительностью ГД и гликированного гемоглобина</w:t>
      </w:r>
      <w:r w:rsidRPr="006D44EF">
        <w:rPr>
          <w:rFonts w:ascii="Times New Roman" w:hAnsi="Times New Roman" w:cs="Times New Roman"/>
          <w:sz w:val="28"/>
          <w:szCs w:val="28"/>
        </w:rPr>
        <w:t xml:space="preserve"> рассчит</w:t>
      </w:r>
      <w:r>
        <w:rPr>
          <w:rFonts w:ascii="Times New Roman" w:hAnsi="Times New Roman" w:cs="Times New Roman"/>
          <w:sz w:val="28"/>
          <w:szCs w:val="28"/>
        </w:rPr>
        <w:t xml:space="preserve">ывался коэффициент раноговой корреляции </w:t>
      </w:r>
      <w:r w:rsidRPr="00B30863">
        <w:rPr>
          <w:rFonts w:ascii="Times New Roman" w:hAnsi="Times New Roman" w:cs="Times New Roman"/>
          <w:sz w:val="28"/>
          <w:szCs w:val="28"/>
        </w:rPr>
        <w:t>Spearman</w:t>
      </w:r>
      <w:r w:rsidRPr="006D44EF">
        <w:rPr>
          <w:rFonts w:ascii="Times New Roman" w:hAnsi="Times New Roman" w:cs="Times New Roman"/>
          <w:sz w:val="28"/>
          <w:szCs w:val="28"/>
        </w:rPr>
        <w:t>.</w:t>
      </w:r>
      <w:r w:rsidRPr="008719A7">
        <w:rPr>
          <w:rFonts w:ascii="Times New Roman" w:hAnsi="Times New Roman" w:cs="Times New Roman"/>
          <w:sz w:val="28"/>
          <w:szCs w:val="28"/>
        </w:rPr>
        <w:t xml:space="preserve"> Также для обработки информации были использованы установленные для гемодиализных пациентов целевы</w:t>
      </w:r>
      <w:r>
        <w:rPr>
          <w:rFonts w:ascii="Times New Roman" w:hAnsi="Times New Roman" w:cs="Times New Roman"/>
          <w:sz w:val="28"/>
          <w:szCs w:val="28"/>
        </w:rPr>
        <w:t xml:space="preserve">е уровни некоторых показателей </w:t>
      </w:r>
      <w:r w:rsidRPr="00915422">
        <w:rPr>
          <w:rFonts w:ascii="Times New Roman" w:hAnsi="Times New Roman" w:cs="Times New Roman"/>
          <w:sz w:val="28"/>
          <w:szCs w:val="28"/>
        </w:rPr>
        <w:t>[</w:t>
      </w:r>
      <w:r>
        <w:rPr>
          <w:rFonts w:ascii="Times New Roman" w:hAnsi="Times New Roman" w:cs="Times New Roman"/>
          <w:sz w:val="28"/>
          <w:szCs w:val="28"/>
        </w:rPr>
        <w:t>30,31,32,33, 48</w:t>
      </w:r>
      <w:r w:rsidRPr="00915422">
        <w:rPr>
          <w:rFonts w:ascii="Times New Roman" w:hAnsi="Times New Roman" w:cs="Times New Roman"/>
          <w:sz w:val="28"/>
          <w:szCs w:val="28"/>
        </w:rPr>
        <w:t xml:space="preserve">]. </w:t>
      </w:r>
    </w:p>
    <w:p w:rsidR="00545400" w:rsidRPr="00915422" w:rsidRDefault="00545400" w:rsidP="00545400">
      <w:pPr>
        <w:spacing w:before="240" w:line="360" w:lineRule="auto"/>
        <w:jc w:val="both"/>
        <w:rPr>
          <w:rFonts w:ascii="Times New Roman" w:hAnsi="Times New Roman" w:cs="Times New Roman"/>
          <w:b/>
          <w:sz w:val="28"/>
          <w:szCs w:val="28"/>
        </w:rPr>
      </w:pPr>
    </w:p>
    <w:p w:rsidR="00545400" w:rsidRDefault="00545400" w:rsidP="00545400">
      <w:pPr>
        <w:spacing w:before="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3. РЕЗУЛЬТАТЫ ИССЛЕДОВАНИЯ</w:t>
      </w:r>
    </w:p>
    <w:p w:rsidR="00545400" w:rsidRPr="009562D7" w:rsidRDefault="00545400" w:rsidP="00545400">
      <w:pPr>
        <w:spacing w:before="240" w:line="360" w:lineRule="auto"/>
        <w:ind w:firstLine="709"/>
        <w:jc w:val="center"/>
        <w:rPr>
          <w:rFonts w:ascii="Times New Roman" w:hAnsi="Times New Roman" w:cs="Times New Roman"/>
          <w:b/>
          <w:sz w:val="28"/>
          <w:szCs w:val="28"/>
        </w:rPr>
      </w:pPr>
    </w:p>
    <w:p w:rsidR="00545400" w:rsidRPr="009562D7" w:rsidRDefault="00545400" w:rsidP="00545400">
      <w:pPr>
        <w:spacing w:before="240" w:line="360" w:lineRule="auto"/>
        <w:ind w:firstLine="709"/>
        <w:jc w:val="center"/>
        <w:rPr>
          <w:rFonts w:ascii="Times New Roman" w:hAnsi="Times New Roman" w:cs="Times New Roman"/>
          <w:b/>
          <w:sz w:val="28"/>
          <w:szCs w:val="28"/>
        </w:rPr>
      </w:pPr>
      <w:r w:rsidRPr="009562D7">
        <w:rPr>
          <w:rFonts w:ascii="Times New Roman" w:hAnsi="Times New Roman" w:cs="Times New Roman"/>
          <w:b/>
          <w:sz w:val="28"/>
          <w:szCs w:val="28"/>
        </w:rPr>
        <w:t>Распределение обследованных</w:t>
      </w:r>
      <w:r>
        <w:rPr>
          <w:rFonts w:ascii="Times New Roman" w:hAnsi="Times New Roman" w:cs="Times New Roman"/>
          <w:b/>
          <w:sz w:val="28"/>
          <w:szCs w:val="28"/>
        </w:rPr>
        <w:t xml:space="preserve"> пациентов по половому и возрастному признаку</w:t>
      </w:r>
    </w:p>
    <w:p w:rsidR="00545400" w:rsidRPr="009562D7"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Обследовано 23 больных диабетической нефропатии</w:t>
      </w:r>
      <w:r w:rsidRPr="009562D7">
        <w:rPr>
          <w:rFonts w:ascii="Times New Roman" w:hAnsi="Times New Roman" w:cs="Times New Roman"/>
          <w:sz w:val="28"/>
          <w:szCs w:val="28"/>
        </w:rPr>
        <w:t>, которые вошли в состав основной группы, и 1</w:t>
      </w:r>
      <w:r>
        <w:rPr>
          <w:rFonts w:ascii="Times New Roman" w:hAnsi="Times New Roman" w:cs="Times New Roman"/>
          <w:sz w:val="28"/>
          <w:szCs w:val="28"/>
        </w:rPr>
        <w:t>0 больных сравнительной группы (пациенты с хронический гломерулонефритом)</w:t>
      </w:r>
      <w:r w:rsidRPr="009562D7">
        <w:rPr>
          <w:rFonts w:ascii="Times New Roman" w:hAnsi="Times New Roman" w:cs="Times New Roman"/>
          <w:sz w:val="28"/>
          <w:szCs w:val="28"/>
        </w:rPr>
        <w:t xml:space="preserve">. Распределение всех обследованных пациентов по </w:t>
      </w:r>
      <w:r>
        <w:rPr>
          <w:rFonts w:ascii="Times New Roman" w:hAnsi="Times New Roman" w:cs="Times New Roman"/>
          <w:sz w:val="28"/>
          <w:szCs w:val="28"/>
        </w:rPr>
        <w:t>полу и возрасту представлено на рисунках 2, 3,</w:t>
      </w:r>
      <w:r w:rsidRPr="00B30863">
        <w:rPr>
          <w:rFonts w:ascii="Times New Roman" w:hAnsi="Times New Roman" w:cs="Times New Roman"/>
          <w:sz w:val="28"/>
          <w:szCs w:val="28"/>
        </w:rPr>
        <w:t xml:space="preserve"> </w:t>
      </w:r>
      <w:r>
        <w:rPr>
          <w:rFonts w:ascii="Times New Roman" w:hAnsi="Times New Roman" w:cs="Times New Roman"/>
          <w:sz w:val="28"/>
          <w:szCs w:val="28"/>
        </w:rPr>
        <w:t>4,</w:t>
      </w:r>
      <w:r w:rsidRPr="00B30863">
        <w:rPr>
          <w:rFonts w:ascii="Times New Roman" w:hAnsi="Times New Roman" w:cs="Times New Roman"/>
          <w:sz w:val="28"/>
          <w:szCs w:val="28"/>
        </w:rPr>
        <w:t xml:space="preserve"> </w:t>
      </w:r>
      <w:r>
        <w:rPr>
          <w:rFonts w:ascii="Times New Roman" w:hAnsi="Times New Roman" w:cs="Times New Roman"/>
          <w:sz w:val="28"/>
          <w:szCs w:val="28"/>
        </w:rPr>
        <w:t>5</w:t>
      </w:r>
      <w:r w:rsidRPr="009562D7">
        <w:rPr>
          <w:rFonts w:ascii="Times New Roman" w:hAnsi="Times New Roman" w:cs="Times New Roman"/>
          <w:sz w:val="28"/>
          <w:szCs w:val="28"/>
        </w:rPr>
        <w:t>.</w:t>
      </w:r>
    </w:p>
    <w:p w:rsidR="00545400" w:rsidRDefault="00545400" w:rsidP="00545400">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553C3AD" wp14:editId="2986B73D">
            <wp:extent cx="5934075" cy="30384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5400" w:rsidRPr="00B92DB2" w:rsidRDefault="00545400" w:rsidP="00545400">
      <w:pPr>
        <w:rPr>
          <w:rFonts w:ascii="Times New Roman" w:hAnsi="Times New Roman" w:cs="Times New Roman"/>
          <w:b/>
          <w:i/>
          <w:sz w:val="28"/>
          <w:szCs w:val="28"/>
        </w:rPr>
      </w:pPr>
      <w:r>
        <w:rPr>
          <w:rFonts w:ascii="Times New Roman" w:hAnsi="Times New Roman" w:cs="Times New Roman"/>
          <w:b/>
          <w:i/>
          <w:sz w:val="28"/>
          <w:szCs w:val="28"/>
        </w:rPr>
        <w:t>Рисунок 2</w:t>
      </w:r>
      <w:r w:rsidRPr="00B92DB2">
        <w:rPr>
          <w:rFonts w:ascii="Times New Roman" w:hAnsi="Times New Roman" w:cs="Times New Roman"/>
          <w:b/>
          <w:i/>
          <w:sz w:val="28"/>
          <w:szCs w:val="28"/>
        </w:rPr>
        <w:t>. Распределение обсле</w:t>
      </w:r>
      <w:r>
        <w:rPr>
          <w:rFonts w:ascii="Times New Roman" w:hAnsi="Times New Roman" w:cs="Times New Roman"/>
          <w:b/>
          <w:i/>
          <w:sz w:val="28"/>
          <w:szCs w:val="28"/>
        </w:rPr>
        <w:t xml:space="preserve">дованных в зависимости от пола </w:t>
      </w:r>
    </w:p>
    <w:p w:rsidR="00545400" w:rsidRDefault="00545400" w:rsidP="00545400">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0306E83" wp14:editId="4D0C58C7">
            <wp:extent cx="6000750" cy="28289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5400" w:rsidRPr="00B92DB2" w:rsidRDefault="00545400" w:rsidP="00545400">
      <w:pPr>
        <w:rPr>
          <w:rFonts w:ascii="Times New Roman" w:hAnsi="Times New Roman" w:cs="Times New Roman"/>
          <w:b/>
          <w:i/>
          <w:sz w:val="28"/>
          <w:szCs w:val="28"/>
        </w:rPr>
      </w:pPr>
      <w:r>
        <w:rPr>
          <w:rFonts w:ascii="Times New Roman" w:hAnsi="Times New Roman" w:cs="Times New Roman"/>
          <w:b/>
          <w:i/>
          <w:sz w:val="28"/>
          <w:szCs w:val="28"/>
        </w:rPr>
        <w:t>Рисунок 3</w:t>
      </w:r>
      <w:r w:rsidRPr="00B92DB2">
        <w:rPr>
          <w:rFonts w:ascii="Times New Roman" w:hAnsi="Times New Roman" w:cs="Times New Roman"/>
          <w:b/>
          <w:i/>
          <w:sz w:val="28"/>
          <w:szCs w:val="28"/>
        </w:rPr>
        <w:t>. Распределение пацие</w:t>
      </w:r>
      <w:r>
        <w:rPr>
          <w:rFonts w:ascii="Times New Roman" w:hAnsi="Times New Roman" w:cs="Times New Roman"/>
          <w:b/>
          <w:i/>
          <w:sz w:val="28"/>
          <w:szCs w:val="28"/>
        </w:rPr>
        <w:t>нтов в зависимости от возраста</w:t>
      </w:r>
    </w:p>
    <w:p w:rsidR="00545400" w:rsidRDefault="00545400" w:rsidP="00545400">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DB6A52E" wp14:editId="12EBBC37">
            <wp:extent cx="6000750" cy="2762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5400" w:rsidRDefault="00545400" w:rsidP="00545400">
      <w:pPr>
        <w:rPr>
          <w:rFonts w:ascii="Times New Roman" w:hAnsi="Times New Roman" w:cs="Times New Roman"/>
          <w:b/>
          <w:i/>
          <w:sz w:val="28"/>
          <w:szCs w:val="28"/>
        </w:rPr>
      </w:pPr>
      <w:r>
        <w:rPr>
          <w:rFonts w:ascii="Times New Roman" w:hAnsi="Times New Roman" w:cs="Times New Roman"/>
          <w:b/>
          <w:i/>
          <w:sz w:val="28"/>
          <w:szCs w:val="28"/>
        </w:rPr>
        <w:t>Рисунок 4</w:t>
      </w:r>
      <w:r w:rsidRPr="00B92DB2">
        <w:rPr>
          <w:rFonts w:ascii="Times New Roman" w:hAnsi="Times New Roman" w:cs="Times New Roman"/>
          <w:b/>
          <w:i/>
          <w:sz w:val="28"/>
          <w:szCs w:val="28"/>
        </w:rPr>
        <w:t xml:space="preserve">. Распределение пациентов женского </w:t>
      </w:r>
      <w:r>
        <w:rPr>
          <w:rFonts w:ascii="Times New Roman" w:hAnsi="Times New Roman" w:cs="Times New Roman"/>
          <w:b/>
          <w:i/>
          <w:sz w:val="28"/>
          <w:szCs w:val="28"/>
        </w:rPr>
        <w:t xml:space="preserve">пола в зависимости от возраста </w:t>
      </w:r>
    </w:p>
    <w:p w:rsidR="00545400" w:rsidRPr="00B92DB2" w:rsidRDefault="00545400" w:rsidP="00545400">
      <w:pPr>
        <w:rPr>
          <w:rFonts w:ascii="Times New Roman" w:hAnsi="Times New Roman" w:cs="Times New Roman"/>
          <w:b/>
          <w:i/>
          <w:sz w:val="28"/>
          <w:szCs w:val="28"/>
        </w:rPr>
      </w:pPr>
    </w:p>
    <w:p w:rsidR="00545400" w:rsidRDefault="00545400" w:rsidP="00545400">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78A05009" wp14:editId="392B631B">
            <wp:extent cx="6057900" cy="25146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5400" w:rsidRPr="006C6C6B" w:rsidRDefault="00545400" w:rsidP="00545400">
      <w:pPr>
        <w:rPr>
          <w:rFonts w:ascii="Times New Roman" w:hAnsi="Times New Roman" w:cs="Times New Roman"/>
          <w:sz w:val="28"/>
          <w:szCs w:val="28"/>
        </w:rPr>
      </w:pPr>
      <w:r>
        <w:rPr>
          <w:rFonts w:ascii="Times New Roman" w:hAnsi="Times New Roman" w:cs="Times New Roman"/>
          <w:b/>
          <w:i/>
          <w:sz w:val="28"/>
          <w:szCs w:val="28"/>
        </w:rPr>
        <w:t>Рисунок 5</w:t>
      </w:r>
      <w:r w:rsidRPr="00B92DB2">
        <w:rPr>
          <w:rFonts w:ascii="Times New Roman" w:hAnsi="Times New Roman" w:cs="Times New Roman"/>
          <w:b/>
          <w:i/>
          <w:sz w:val="28"/>
          <w:szCs w:val="28"/>
        </w:rPr>
        <w:t>. Распределение пациентов мужского</w:t>
      </w:r>
      <w:r>
        <w:rPr>
          <w:rFonts w:ascii="Times New Roman" w:hAnsi="Times New Roman" w:cs="Times New Roman"/>
          <w:b/>
          <w:i/>
          <w:sz w:val="28"/>
          <w:szCs w:val="28"/>
        </w:rPr>
        <w:t xml:space="preserve"> пола в зависимости от возраста </w:t>
      </w:r>
      <w:r w:rsidRPr="00B92DB2">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2B57">
        <w:rPr>
          <w:rFonts w:ascii="Times New Roman" w:hAnsi="Times New Roman" w:cs="Times New Roman"/>
          <w:sz w:val="28"/>
          <w:szCs w:val="28"/>
        </w:rPr>
        <w:t>Таким образ</w:t>
      </w:r>
      <w:r>
        <w:rPr>
          <w:rFonts w:ascii="Times New Roman" w:hAnsi="Times New Roman" w:cs="Times New Roman"/>
          <w:sz w:val="28"/>
          <w:szCs w:val="28"/>
        </w:rPr>
        <w:t>ом, основную группу составили 10</w:t>
      </w:r>
      <w:r w:rsidRPr="008E2B57">
        <w:rPr>
          <w:rFonts w:ascii="Times New Roman" w:hAnsi="Times New Roman" w:cs="Times New Roman"/>
          <w:sz w:val="28"/>
          <w:szCs w:val="28"/>
        </w:rPr>
        <w:t xml:space="preserve"> </w:t>
      </w:r>
      <w:r>
        <w:rPr>
          <w:rFonts w:ascii="Times New Roman" w:hAnsi="Times New Roman" w:cs="Times New Roman"/>
          <w:sz w:val="28"/>
          <w:szCs w:val="28"/>
        </w:rPr>
        <w:t>(43,5</w:t>
      </w:r>
      <w:r w:rsidRPr="008E2B57">
        <w:rPr>
          <w:rFonts w:ascii="Times New Roman" w:hAnsi="Times New Roman" w:cs="Times New Roman"/>
          <w:sz w:val="28"/>
          <w:szCs w:val="28"/>
        </w:rPr>
        <w:t>%) мужчин</w:t>
      </w:r>
      <w:r>
        <w:rPr>
          <w:rFonts w:ascii="Times New Roman" w:hAnsi="Times New Roman" w:cs="Times New Roman"/>
          <w:sz w:val="28"/>
          <w:szCs w:val="28"/>
        </w:rPr>
        <w:t>ы и 13 (56,5</w:t>
      </w:r>
      <w:r w:rsidRPr="008E2B57">
        <w:rPr>
          <w:rFonts w:ascii="Times New Roman" w:hAnsi="Times New Roman" w:cs="Times New Roman"/>
          <w:sz w:val="28"/>
          <w:szCs w:val="28"/>
        </w:rPr>
        <w:t>%) женщин, а контрольную 4 (40%) мужчин и 6 (60%) женщин.</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целом, среди обследованных основной группы доля пациентов</w:t>
      </w:r>
      <w:r w:rsidRPr="006A2B47">
        <w:rPr>
          <w:rFonts w:ascii="Times New Roman" w:hAnsi="Times New Roman" w:cs="Times New Roman"/>
          <w:sz w:val="28"/>
          <w:szCs w:val="28"/>
        </w:rPr>
        <w:t xml:space="preserve"> с</w:t>
      </w:r>
      <w:r>
        <w:rPr>
          <w:rFonts w:ascii="Times New Roman" w:hAnsi="Times New Roman" w:cs="Times New Roman"/>
          <w:sz w:val="28"/>
          <w:szCs w:val="28"/>
        </w:rPr>
        <w:t xml:space="preserve">тарше 70 лет составила 10 человек (43,5%), в возрасте 50-70 8 (34,8%), а младше 50 лет 5(21,7%). В группу сравнения были включены 5 пациентов в возрасте 50-70 лет (50%), старше 70 лет 3 (30%), а младше 50 лет 2 (20%). </w:t>
      </w:r>
    </w:p>
    <w:p w:rsidR="00545400" w:rsidRDefault="00545400" w:rsidP="00545400">
      <w:pPr>
        <w:spacing w:before="240" w:line="360" w:lineRule="auto"/>
        <w:ind w:firstLine="709"/>
        <w:jc w:val="both"/>
        <w:rPr>
          <w:rFonts w:ascii="Times New Roman" w:hAnsi="Times New Roman" w:cs="Times New Roman"/>
          <w:sz w:val="28"/>
          <w:szCs w:val="28"/>
        </w:rPr>
      </w:pPr>
      <w:r w:rsidRPr="008E2B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2B57">
        <w:rPr>
          <w:rFonts w:ascii="Times New Roman" w:hAnsi="Times New Roman" w:cs="Times New Roman"/>
          <w:sz w:val="28"/>
          <w:szCs w:val="28"/>
        </w:rPr>
        <w:t>Среди обследованных мужчин основной гру</w:t>
      </w:r>
      <w:r>
        <w:rPr>
          <w:rFonts w:ascii="Times New Roman" w:hAnsi="Times New Roman" w:cs="Times New Roman"/>
          <w:sz w:val="28"/>
          <w:szCs w:val="28"/>
        </w:rPr>
        <w:t>ппы преобладала доля пациентов в возрасте 50-70 лет (5 (50%)), старше 70 лет 3 (30%) обследованных, младше 50 лет 2 (20 %). В</w:t>
      </w:r>
      <w:r w:rsidRPr="008E2B57">
        <w:rPr>
          <w:rFonts w:ascii="Times New Roman" w:hAnsi="Times New Roman" w:cs="Times New Roman"/>
          <w:sz w:val="28"/>
          <w:szCs w:val="28"/>
        </w:rPr>
        <w:t xml:space="preserve"> группу</w:t>
      </w:r>
      <w:r>
        <w:rPr>
          <w:rFonts w:ascii="Times New Roman" w:hAnsi="Times New Roman" w:cs="Times New Roman"/>
          <w:sz w:val="28"/>
          <w:szCs w:val="28"/>
        </w:rPr>
        <w:t xml:space="preserve"> сравнения</w:t>
      </w:r>
      <w:r w:rsidRPr="008E2B57">
        <w:rPr>
          <w:rFonts w:ascii="Times New Roman" w:hAnsi="Times New Roman" w:cs="Times New Roman"/>
          <w:sz w:val="28"/>
          <w:szCs w:val="28"/>
        </w:rPr>
        <w:t xml:space="preserve"> </w:t>
      </w:r>
      <w:r>
        <w:rPr>
          <w:rFonts w:ascii="Times New Roman" w:hAnsi="Times New Roman" w:cs="Times New Roman"/>
          <w:sz w:val="28"/>
          <w:szCs w:val="28"/>
        </w:rPr>
        <w:t xml:space="preserve">были </w:t>
      </w:r>
      <w:r w:rsidRPr="008E2B57">
        <w:rPr>
          <w:rFonts w:ascii="Times New Roman" w:hAnsi="Times New Roman" w:cs="Times New Roman"/>
          <w:sz w:val="28"/>
          <w:szCs w:val="28"/>
        </w:rPr>
        <w:t>включены 2</w:t>
      </w:r>
      <w:r>
        <w:rPr>
          <w:rFonts w:ascii="Times New Roman" w:hAnsi="Times New Roman" w:cs="Times New Roman"/>
          <w:sz w:val="28"/>
          <w:szCs w:val="28"/>
        </w:rPr>
        <w:t xml:space="preserve"> (50%) мужчин в возрасте 50-70 лет, </w:t>
      </w:r>
      <w:r w:rsidRPr="008E2B57">
        <w:rPr>
          <w:rFonts w:ascii="Times New Roman" w:hAnsi="Times New Roman" w:cs="Times New Roman"/>
          <w:sz w:val="28"/>
          <w:szCs w:val="28"/>
        </w:rPr>
        <w:t>и по 1 (25%) пациенту младше</w:t>
      </w:r>
      <w:r>
        <w:rPr>
          <w:rFonts w:ascii="Times New Roman" w:hAnsi="Times New Roman" w:cs="Times New Roman"/>
          <w:sz w:val="28"/>
          <w:szCs w:val="28"/>
        </w:rPr>
        <w:t xml:space="preserve"> 50 лет и старше 70 лет</w:t>
      </w:r>
      <w:r w:rsidRPr="008E2B57">
        <w:rPr>
          <w:rFonts w:ascii="Times New Roman" w:hAnsi="Times New Roman" w:cs="Times New Roman"/>
          <w:sz w:val="28"/>
          <w:szCs w:val="28"/>
        </w:rPr>
        <w:t>. Среди обследованных женщин основной группы большинство</w:t>
      </w:r>
      <w:r>
        <w:rPr>
          <w:rFonts w:ascii="Times New Roman" w:hAnsi="Times New Roman" w:cs="Times New Roman"/>
          <w:sz w:val="28"/>
          <w:szCs w:val="28"/>
        </w:rPr>
        <w:t xml:space="preserve"> (7</w:t>
      </w:r>
      <w:r w:rsidRPr="008E2B57">
        <w:rPr>
          <w:rFonts w:ascii="Times New Roman" w:hAnsi="Times New Roman" w:cs="Times New Roman"/>
          <w:sz w:val="28"/>
          <w:szCs w:val="28"/>
        </w:rPr>
        <w:t xml:space="preserve"> </w:t>
      </w:r>
      <w:r>
        <w:rPr>
          <w:rFonts w:ascii="Times New Roman" w:hAnsi="Times New Roman" w:cs="Times New Roman"/>
          <w:sz w:val="28"/>
          <w:szCs w:val="28"/>
        </w:rPr>
        <w:t>(54</w:t>
      </w:r>
      <w:r w:rsidRPr="008E2B57">
        <w:rPr>
          <w:rFonts w:ascii="Times New Roman" w:hAnsi="Times New Roman" w:cs="Times New Roman"/>
          <w:sz w:val="28"/>
          <w:szCs w:val="28"/>
        </w:rPr>
        <w:t>%</w:t>
      </w:r>
      <w:r>
        <w:rPr>
          <w:rFonts w:ascii="Times New Roman" w:hAnsi="Times New Roman" w:cs="Times New Roman"/>
          <w:sz w:val="28"/>
          <w:szCs w:val="28"/>
        </w:rPr>
        <w:t>)) составили женщины в возрасте старше 7</w:t>
      </w:r>
      <w:r w:rsidRPr="008E2B57">
        <w:rPr>
          <w:rFonts w:ascii="Times New Roman" w:hAnsi="Times New Roman" w:cs="Times New Roman"/>
          <w:sz w:val="28"/>
          <w:szCs w:val="28"/>
        </w:rPr>
        <w:t xml:space="preserve">0 лет, </w:t>
      </w:r>
      <w:r>
        <w:rPr>
          <w:rFonts w:ascii="Times New Roman" w:hAnsi="Times New Roman" w:cs="Times New Roman"/>
          <w:sz w:val="28"/>
          <w:szCs w:val="28"/>
        </w:rPr>
        <w:t>и по 3 (23</w:t>
      </w:r>
      <w:r w:rsidRPr="008E2B57">
        <w:rPr>
          <w:rFonts w:ascii="Times New Roman" w:hAnsi="Times New Roman" w:cs="Times New Roman"/>
          <w:sz w:val="28"/>
          <w:szCs w:val="28"/>
        </w:rPr>
        <w:t>%)</w:t>
      </w:r>
      <w:r>
        <w:rPr>
          <w:rFonts w:ascii="Times New Roman" w:hAnsi="Times New Roman" w:cs="Times New Roman"/>
          <w:sz w:val="28"/>
          <w:szCs w:val="28"/>
        </w:rPr>
        <w:t xml:space="preserve"> </w:t>
      </w:r>
      <w:r w:rsidRPr="008E2B57">
        <w:rPr>
          <w:rFonts w:ascii="Times New Roman" w:hAnsi="Times New Roman" w:cs="Times New Roman"/>
          <w:sz w:val="28"/>
          <w:szCs w:val="28"/>
        </w:rPr>
        <w:t>-</w:t>
      </w:r>
      <w:r>
        <w:rPr>
          <w:rFonts w:ascii="Times New Roman" w:hAnsi="Times New Roman" w:cs="Times New Roman"/>
          <w:sz w:val="28"/>
          <w:szCs w:val="28"/>
        </w:rPr>
        <w:t xml:space="preserve"> </w:t>
      </w:r>
      <w:r w:rsidRPr="008E2B57">
        <w:rPr>
          <w:rFonts w:ascii="Times New Roman" w:hAnsi="Times New Roman" w:cs="Times New Roman"/>
          <w:sz w:val="28"/>
          <w:szCs w:val="28"/>
        </w:rPr>
        <w:t xml:space="preserve"> младше 50 лет и</w:t>
      </w:r>
      <w:r>
        <w:rPr>
          <w:rFonts w:ascii="Times New Roman" w:hAnsi="Times New Roman" w:cs="Times New Roman"/>
          <w:sz w:val="28"/>
          <w:szCs w:val="28"/>
        </w:rPr>
        <w:t xml:space="preserve"> в возрасте 50-70 лет. </w:t>
      </w:r>
    </w:p>
    <w:p w:rsidR="00545400" w:rsidRPr="00F41E4F"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w:t>
      </w:r>
      <w:r w:rsidRPr="008E2B57">
        <w:rPr>
          <w:rFonts w:ascii="Times New Roman" w:hAnsi="Times New Roman" w:cs="Times New Roman"/>
          <w:sz w:val="28"/>
          <w:szCs w:val="28"/>
        </w:rPr>
        <w:t xml:space="preserve"> группы</w:t>
      </w:r>
      <w:r>
        <w:rPr>
          <w:rFonts w:ascii="Times New Roman" w:hAnsi="Times New Roman" w:cs="Times New Roman"/>
          <w:sz w:val="28"/>
          <w:szCs w:val="28"/>
        </w:rPr>
        <w:t xml:space="preserve"> сравнения</w:t>
      </w:r>
      <w:r w:rsidRPr="008E2B57">
        <w:rPr>
          <w:rFonts w:ascii="Times New Roman" w:hAnsi="Times New Roman" w:cs="Times New Roman"/>
          <w:sz w:val="28"/>
          <w:szCs w:val="28"/>
        </w:rPr>
        <w:t xml:space="preserve"> вошли: 3(50%) женщин в возрасте 5</w:t>
      </w:r>
      <w:r>
        <w:rPr>
          <w:rFonts w:ascii="Times New Roman" w:hAnsi="Times New Roman" w:cs="Times New Roman"/>
          <w:sz w:val="28"/>
          <w:szCs w:val="28"/>
        </w:rPr>
        <w:t>0-7</w:t>
      </w:r>
      <w:r w:rsidRPr="008E2B57">
        <w:rPr>
          <w:rFonts w:ascii="Times New Roman" w:hAnsi="Times New Roman" w:cs="Times New Roman"/>
          <w:sz w:val="28"/>
          <w:szCs w:val="28"/>
        </w:rPr>
        <w:t xml:space="preserve">0 лет, 2 </w:t>
      </w:r>
      <w:r>
        <w:rPr>
          <w:rFonts w:ascii="Times New Roman" w:hAnsi="Times New Roman" w:cs="Times New Roman"/>
          <w:sz w:val="28"/>
          <w:szCs w:val="28"/>
        </w:rPr>
        <w:t>(33%) - старше 70 и 1(17</w:t>
      </w:r>
      <w:r w:rsidRPr="008E2B57">
        <w:rPr>
          <w:rFonts w:ascii="Times New Roman" w:hAnsi="Times New Roman" w:cs="Times New Roman"/>
          <w:sz w:val="28"/>
          <w:szCs w:val="28"/>
        </w:rPr>
        <w:t>%) младше 50 лет. Данные о среднем возрасте обследованных па</w:t>
      </w:r>
      <w:r>
        <w:rPr>
          <w:rFonts w:ascii="Times New Roman" w:hAnsi="Times New Roman" w:cs="Times New Roman"/>
          <w:sz w:val="28"/>
          <w:szCs w:val="28"/>
        </w:rPr>
        <w:t>циентов представлены в таблице 5</w:t>
      </w:r>
      <w:r w:rsidRPr="00F41E4F">
        <w:rPr>
          <w:rFonts w:ascii="Times New Roman" w:hAnsi="Times New Roman" w:cs="Times New Roman"/>
          <w:sz w:val="28"/>
          <w:szCs w:val="28"/>
        </w:rPr>
        <w:t xml:space="preserve">. U-критерий </w:t>
      </w:r>
      <w:r w:rsidRPr="00F41E4F">
        <w:rPr>
          <w:rFonts w:ascii="Times New Roman" w:hAnsi="Times New Roman" w:cs="Times New Roman"/>
          <w:sz w:val="28"/>
          <w:szCs w:val="28"/>
          <w:lang w:val="en-US"/>
        </w:rPr>
        <w:t>Mann</w:t>
      </w:r>
      <w:r w:rsidRPr="00F41E4F">
        <w:rPr>
          <w:rFonts w:ascii="Times New Roman" w:hAnsi="Times New Roman" w:cs="Times New Roman"/>
          <w:sz w:val="28"/>
          <w:szCs w:val="28"/>
        </w:rPr>
        <w:t xml:space="preserve"> - </w:t>
      </w:r>
      <w:r w:rsidRPr="00F41E4F">
        <w:rPr>
          <w:rFonts w:ascii="Times New Roman" w:hAnsi="Times New Roman" w:cs="Times New Roman"/>
          <w:sz w:val="28"/>
          <w:szCs w:val="28"/>
          <w:lang w:val="en-US"/>
        </w:rPr>
        <w:t>Whithey</w:t>
      </w:r>
      <w:r w:rsidRPr="00F41E4F">
        <w:rPr>
          <w:rFonts w:ascii="Times New Roman" w:hAnsi="Times New Roman" w:cs="Times New Roman"/>
          <w:sz w:val="28"/>
          <w:szCs w:val="28"/>
        </w:rPr>
        <w:t xml:space="preserve"> равен 97.5</w:t>
      </w:r>
    </w:p>
    <w:p w:rsidR="00545400" w:rsidRDefault="00545400" w:rsidP="00545400">
      <w:pPr>
        <w:jc w:val="right"/>
        <w:rPr>
          <w:rFonts w:ascii="Times New Roman" w:hAnsi="Times New Roman" w:cs="Times New Roman"/>
          <w:sz w:val="28"/>
          <w:szCs w:val="28"/>
        </w:rPr>
      </w:pPr>
    </w:p>
    <w:p w:rsidR="00545400" w:rsidRPr="00B92DB2" w:rsidRDefault="00545400" w:rsidP="00545400">
      <w:pPr>
        <w:rPr>
          <w:rFonts w:ascii="Times New Roman" w:hAnsi="Times New Roman" w:cs="Times New Roman"/>
          <w:b/>
          <w:i/>
          <w:sz w:val="28"/>
          <w:szCs w:val="28"/>
        </w:rPr>
      </w:pPr>
      <w:r w:rsidRPr="00B92DB2">
        <w:rPr>
          <w:rFonts w:ascii="Times New Roman" w:hAnsi="Times New Roman" w:cs="Times New Roman"/>
          <w:b/>
          <w:i/>
          <w:sz w:val="28"/>
          <w:szCs w:val="28"/>
        </w:rPr>
        <w:t xml:space="preserve">Таблица 5. Средний </w:t>
      </w:r>
      <w:r>
        <w:rPr>
          <w:rFonts w:ascii="Times New Roman" w:hAnsi="Times New Roman" w:cs="Times New Roman"/>
          <w:b/>
          <w:i/>
          <w:sz w:val="28"/>
          <w:szCs w:val="28"/>
        </w:rPr>
        <w:t>возраст обследованных пациентов</w:t>
      </w:r>
    </w:p>
    <w:tbl>
      <w:tblPr>
        <w:tblW w:w="94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55"/>
        <w:gridCol w:w="3509"/>
        <w:gridCol w:w="3836"/>
      </w:tblGrid>
      <w:tr w:rsidR="00545400" w:rsidRPr="002C4AFC" w:rsidTr="00105C00">
        <w:trPr>
          <w:trHeight w:val="931"/>
        </w:trPr>
        <w:tc>
          <w:tcPr>
            <w:tcW w:w="2055" w:type="dxa"/>
            <w:shd w:val="clear" w:color="auto" w:fill="auto"/>
            <w:vAlign w:val="center"/>
          </w:tcPr>
          <w:p w:rsidR="00545400" w:rsidRPr="002C4AFC" w:rsidRDefault="00545400" w:rsidP="00105C00">
            <w:pPr>
              <w:jc w:val="both"/>
              <w:rPr>
                <w:rFonts w:ascii="Times New Roman" w:hAnsi="Times New Roman" w:cs="Times New Roman"/>
                <w:bCs/>
                <w:sz w:val="28"/>
                <w:szCs w:val="28"/>
              </w:rPr>
            </w:pPr>
            <w:r w:rsidRPr="002C4AFC">
              <w:rPr>
                <w:rFonts w:ascii="Times New Roman" w:hAnsi="Times New Roman" w:cs="Times New Roman"/>
                <w:bCs/>
                <w:sz w:val="28"/>
                <w:szCs w:val="28"/>
              </w:rPr>
              <w:t>Пол</w:t>
            </w:r>
          </w:p>
        </w:tc>
        <w:tc>
          <w:tcPr>
            <w:tcW w:w="3509" w:type="dxa"/>
            <w:shd w:val="clear" w:color="auto" w:fill="auto"/>
            <w:vAlign w:val="center"/>
          </w:tcPr>
          <w:p w:rsidR="00545400" w:rsidRPr="002C4AFC" w:rsidRDefault="00545400" w:rsidP="00105C00">
            <w:pPr>
              <w:jc w:val="both"/>
              <w:rPr>
                <w:rFonts w:ascii="Times New Roman" w:hAnsi="Times New Roman" w:cs="Times New Roman"/>
                <w:bCs/>
                <w:sz w:val="28"/>
                <w:szCs w:val="28"/>
              </w:rPr>
            </w:pPr>
            <w:r w:rsidRPr="002C4AFC">
              <w:rPr>
                <w:rFonts w:ascii="Times New Roman" w:hAnsi="Times New Roman" w:cs="Times New Roman"/>
                <w:bCs/>
                <w:sz w:val="28"/>
                <w:szCs w:val="28"/>
              </w:rPr>
              <w:t>Основная группа</w:t>
            </w:r>
          </w:p>
          <w:p w:rsidR="00545400" w:rsidRPr="002C4AFC" w:rsidRDefault="00545400" w:rsidP="00105C00">
            <w:pPr>
              <w:jc w:val="both"/>
              <w:rPr>
                <w:rFonts w:ascii="Times New Roman" w:hAnsi="Times New Roman" w:cs="Times New Roman"/>
                <w:bCs/>
                <w:sz w:val="28"/>
                <w:szCs w:val="28"/>
              </w:rPr>
            </w:pPr>
            <w:r w:rsidRPr="002C4AFC">
              <w:rPr>
                <w:rFonts w:ascii="Times New Roman" w:hAnsi="Times New Roman" w:cs="Times New Roman"/>
                <w:bCs/>
                <w:sz w:val="28"/>
                <w:szCs w:val="28"/>
                <w:lang w:val="en-US"/>
              </w:rPr>
              <w:t>n</w:t>
            </w:r>
            <w:r w:rsidRPr="002C4AFC">
              <w:rPr>
                <w:rFonts w:ascii="Times New Roman" w:hAnsi="Times New Roman" w:cs="Times New Roman"/>
                <w:bCs/>
                <w:sz w:val="28"/>
                <w:szCs w:val="28"/>
              </w:rPr>
              <w:t xml:space="preserve"> = 23</w:t>
            </w:r>
          </w:p>
        </w:tc>
        <w:tc>
          <w:tcPr>
            <w:tcW w:w="3836" w:type="dxa"/>
            <w:shd w:val="clear" w:color="auto" w:fill="auto"/>
            <w:vAlign w:val="center"/>
          </w:tcPr>
          <w:p w:rsidR="00545400" w:rsidRPr="002C4AFC" w:rsidRDefault="00545400" w:rsidP="00105C00">
            <w:pPr>
              <w:jc w:val="both"/>
              <w:rPr>
                <w:rFonts w:ascii="Times New Roman" w:hAnsi="Times New Roman" w:cs="Times New Roman"/>
                <w:bCs/>
                <w:sz w:val="28"/>
                <w:szCs w:val="28"/>
              </w:rPr>
            </w:pPr>
            <w:r w:rsidRPr="002C4AFC">
              <w:rPr>
                <w:rFonts w:ascii="Times New Roman" w:hAnsi="Times New Roman" w:cs="Times New Roman"/>
                <w:bCs/>
                <w:sz w:val="28"/>
                <w:szCs w:val="28"/>
              </w:rPr>
              <w:t>Контрольная группа</w:t>
            </w:r>
          </w:p>
          <w:p w:rsidR="00545400" w:rsidRPr="002C4AFC" w:rsidRDefault="00545400" w:rsidP="00105C00">
            <w:pPr>
              <w:jc w:val="both"/>
              <w:rPr>
                <w:rFonts w:ascii="Times New Roman" w:hAnsi="Times New Roman" w:cs="Times New Roman"/>
                <w:bCs/>
                <w:sz w:val="28"/>
                <w:szCs w:val="28"/>
              </w:rPr>
            </w:pPr>
            <w:r w:rsidRPr="002C4AFC">
              <w:rPr>
                <w:rFonts w:ascii="Times New Roman" w:hAnsi="Times New Roman" w:cs="Times New Roman"/>
                <w:bCs/>
                <w:sz w:val="28"/>
                <w:szCs w:val="28"/>
                <w:lang w:val="en-US"/>
              </w:rPr>
              <w:t>n</w:t>
            </w:r>
            <w:r w:rsidRPr="002C4AFC">
              <w:rPr>
                <w:rFonts w:ascii="Times New Roman" w:hAnsi="Times New Roman" w:cs="Times New Roman"/>
                <w:bCs/>
                <w:sz w:val="28"/>
                <w:szCs w:val="28"/>
              </w:rPr>
              <w:t xml:space="preserve"> = 10</w:t>
            </w:r>
          </w:p>
        </w:tc>
      </w:tr>
      <w:tr w:rsidR="00545400" w:rsidRPr="002C4AFC" w:rsidTr="00105C00">
        <w:trPr>
          <w:trHeight w:val="1047"/>
        </w:trPr>
        <w:tc>
          <w:tcPr>
            <w:tcW w:w="2055" w:type="dxa"/>
            <w:shd w:val="clear" w:color="auto" w:fill="auto"/>
            <w:vAlign w:val="center"/>
          </w:tcPr>
          <w:p w:rsidR="00545400" w:rsidRPr="002C4AFC" w:rsidRDefault="00545400" w:rsidP="00105C00">
            <w:pPr>
              <w:jc w:val="both"/>
              <w:rPr>
                <w:rFonts w:ascii="Times New Roman" w:hAnsi="Times New Roman" w:cs="Times New Roman"/>
                <w:bCs/>
                <w:sz w:val="28"/>
                <w:szCs w:val="28"/>
              </w:rPr>
            </w:pPr>
            <w:r w:rsidRPr="002C4AFC">
              <w:rPr>
                <w:rFonts w:ascii="Times New Roman" w:hAnsi="Times New Roman" w:cs="Times New Roman"/>
                <w:bCs/>
                <w:sz w:val="28"/>
                <w:szCs w:val="28"/>
              </w:rPr>
              <w:t>Мужчины</w:t>
            </w:r>
          </w:p>
        </w:tc>
        <w:tc>
          <w:tcPr>
            <w:tcW w:w="3509" w:type="dxa"/>
            <w:shd w:val="clear" w:color="auto" w:fill="auto"/>
          </w:tcPr>
          <w:p w:rsidR="00545400" w:rsidRPr="002C4AFC" w:rsidRDefault="00545400" w:rsidP="00105C00">
            <w:pPr>
              <w:jc w:val="both"/>
              <w:rPr>
                <w:rFonts w:ascii="Times New Roman" w:hAnsi="Times New Roman" w:cs="Times New Roman"/>
                <w:sz w:val="28"/>
                <w:szCs w:val="28"/>
              </w:rPr>
            </w:pPr>
            <w:r>
              <w:rPr>
                <w:rFonts w:ascii="Times New Roman" w:hAnsi="Times New Roman" w:cs="Times New Roman"/>
                <w:sz w:val="28"/>
                <w:szCs w:val="28"/>
              </w:rPr>
              <w:t>64</w:t>
            </w:r>
            <w:r w:rsidRPr="002C4AFC">
              <w:rPr>
                <w:rFonts w:ascii="Times New Roman" w:hAnsi="Times New Roman" w:cs="Times New Roman"/>
                <w:sz w:val="28"/>
                <w:szCs w:val="28"/>
              </w:rPr>
              <w:t>,</w:t>
            </w:r>
            <w:r>
              <w:rPr>
                <w:rFonts w:ascii="Times New Roman" w:hAnsi="Times New Roman" w:cs="Times New Roman"/>
                <w:sz w:val="28"/>
                <w:szCs w:val="28"/>
              </w:rPr>
              <w:t>6</w:t>
            </w:r>
            <w:r w:rsidRPr="002C4AFC">
              <w:rPr>
                <w:rFonts w:ascii="Times New Roman" w:hAnsi="Times New Roman" w:cs="Times New Roman"/>
                <w:sz w:val="28"/>
                <w:szCs w:val="28"/>
                <w:u w:val="single"/>
              </w:rPr>
              <w:t>+</w:t>
            </w:r>
            <w:r>
              <w:rPr>
                <w:rFonts w:ascii="Times New Roman" w:hAnsi="Times New Roman" w:cs="Times New Roman"/>
                <w:sz w:val="28"/>
                <w:szCs w:val="28"/>
              </w:rPr>
              <w:t>5,9</w:t>
            </w:r>
            <w:r w:rsidRPr="002C4AFC">
              <w:rPr>
                <w:rFonts w:ascii="Times New Roman" w:hAnsi="Times New Roman" w:cs="Times New Roman"/>
                <w:sz w:val="28"/>
                <w:szCs w:val="28"/>
              </w:rPr>
              <w:t xml:space="preserve"> </w:t>
            </w:r>
          </w:p>
          <w:p w:rsidR="00545400" w:rsidRPr="002C4AFC" w:rsidRDefault="00545400" w:rsidP="00105C00">
            <w:pPr>
              <w:jc w:val="both"/>
              <w:rPr>
                <w:rFonts w:ascii="Times New Roman" w:hAnsi="Times New Roman" w:cs="Times New Roman"/>
                <w:sz w:val="28"/>
                <w:szCs w:val="28"/>
              </w:rPr>
            </w:pPr>
            <w:r>
              <w:rPr>
                <w:rFonts w:ascii="Times New Roman" w:hAnsi="Times New Roman" w:cs="Times New Roman"/>
                <w:sz w:val="28"/>
                <w:szCs w:val="28"/>
              </w:rPr>
              <w:t>(от 46 лет до 84</w:t>
            </w:r>
            <w:r w:rsidRPr="002C4AFC">
              <w:rPr>
                <w:rFonts w:ascii="Times New Roman" w:hAnsi="Times New Roman" w:cs="Times New Roman"/>
                <w:sz w:val="28"/>
                <w:szCs w:val="28"/>
              </w:rPr>
              <w:t xml:space="preserve"> лет)</w:t>
            </w:r>
          </w:p>
        </w:tc>
        <w:tc>
          <w:tcPr>
            <w:tcW w:w="3836" w:type="dxa"/>
            <w:shd w:val="clear" w:color="auto" w:fill="auto"/>
          </w:tcPr>
          <w:p w:rsidR="00545400" w:rsidRPr="002C4AFC" w:rsidRDefault="00545400" w:rsidP="00105C00">
            <w:pPr>
              <w:jc w:val="both"/>
              <w:rPr>
                <w:rFonts w:ascii="Times New Roman" w:hAnsi="Times New Roman" w:cs="Times New Roman"/>
                <w:sz w:val="28"/>
                <w:szCs w:val="28"/>
              </w:rPr>
            </w:pPr>
            <w:r>
              <w:rPr>
                <w:rFonts w:ascii="Times New Roman" w:hAnsi="Times New Roman" w:cs="Times New Roman"/>
                <w:sz w:val="28"/>
                <w:szCs w:val="28"/>
              </w:rPr>
              <w:t>59</w:t>
            </w:r>
            <w:r w:rsidRPr="002C4AFC">
              <w:rPr>
                <w:rFonts w:ascii="Times New Roman" w:hAnsi="Times New Roman" w:cs="Times New Roman"/>
                <w:sz w:val="28"/>
                <w:szCs w:val="28"/>
              </w:rPr>
              <w:t>,2</w:t>
            </w:r>
            <w:r w:rsidRPr="002C4AFC">
              <w:rPr>
                <w:rFonts w:ascii="Times New Roman" w:hAnsi="Times New Roman" w:cs="Times New Roman"/>
                <w:sz w:val="28"/>
                <w:szCs w:val="28"/>
                <w:u w:val="single"/>
              </w:rPr>
              <w:t>+</w:t>
            </w:r>
            <w:r>
              <w:rPr>
                <w:rFonts w:ascii="Times New Roman" w:hAnsi="Times New Roman" w:cs="Times New Roman"/>
                <w:sz w:val="28"/>
                <w:szCs w:val="28"/>
              </w:rPr>
              <w:t>6,1</w:t>
            </w:r>
          </w:p>
          <w:p w:rsidR="00545400" w:rsidRPr="002C4AFC" w:rsidRDefault="00545400" w:rsidP="00105C00">
            <w:pPr>
              <w:jc w:val="both"/>
              <w:rPr>
                <w:rFonts w:ascii="Times New Roman" w:hAnsi="Times New Roman" w:cs="Times New Roman"/>
                <w:sz w:val="28"/>
                <w:szCs w:val="28"/>
              </w:rPr>
            </w:pPr>
            <w:r>
              <w:rPr>
                <w:rFonts w:ascii="Times New Roman" w:hAnsi="Times New Roman" w:cs="Times New Roman"/>
                <w:sz w:val="28"/>
                <w:szCs w:val="28"/>
              </w:rPr>
              <w:t>(от 26 лет до 83</w:t>
            </w:r>
            <w:r w:rsidRPr="002C4AFC">
              <w:rPr>
                <w:rFonts w:ascii="Times New Roman" w:hAnsi="Times New Roman" w:cs="Times New Roman"/>
                <w:sz w:val="28"/>
                <w:szCs w:val="28"/>
              </w:rPr>
              <w:t xml:space="preserve"> лет)</w:t>
            </w:r>
          </w:p>
        </w:tc>
      </w:tr>
      <w:tr w:rsidR="00545400" w:rsidRPr="002C4AFC" w:rsidTr="00105C00">
        <w:trPr>
          <w:trHeight w:val="1047"/>
        </w:trPr>
        <w:tc>
          <w:tcPr>
            <w:tcW w:w="2055" w:type="dxa"/>
            <w:shd w:val="clear" w:color="auto" w:fill="auto"/>
            <w:vAlign w:val="center"/>
          </w:tcPr>
          <w:p w:rsidR="00545400" w:rsidRPr="002C4AFC" w:rsidRDefault="00545400" w:rsidP="00105C00">
            <w:pPr>
              <w:jc w:val="both"/>
              <w:rPr>
                <w:rFonts w:ascii="Times New Roman" w:hAnsi="Times New Roman" w:cs="Times New Roman"/>
                <w:bCs/>
                <w:sz w:val="28"/>
                <w:szCs w:val="28"/>
              </w:rPr>
            </w:pPr>
            <w:r w:rsidRPr="002C4AFC">
              <w:rPr>
                <w:rFonts w:ascii="Times New Roman" w:hAnsi="Times New Roman" w:cs="Times New Roman"/>
                <w:bCs/>
                <w:sz w:val="28"/>
                <w:szCs w:val="28"/>
              </w:rPr>
              <w:t>Женщины</w:t>
            </w:r>
          </w:p>
        </w:tc>
        <w:tc>
          <w:tcPr>
            <w:tcW w:w="3509" w:type="dxa"/>
            <w:shd w:val="clear" w:color="auto" w:fill="auto"/>
          </w:tcPr>
          <w:p w:rsidR="00545400" w:rsidRPr="002C4AFC" w:rsidRDefault="00545400" w:rsidP="00105C00">
            <w:pPr>
              <w:jc w:val="both"/>
              <w:rPr>
                <w:rFonts w:ascii="Times New Roman" w:hAnsi="Times New Roman" w:cs="Times New Roman"/>
                <w:sz w:val="28"/>
                <w:szCs w:val="28"/>
              </w:rPr>
            </w:pPr>
            <w:r>
              <w:rPr>
                <w:rFonts w:ascii="Times New Roman" w:hAnsi="Times New Roman" w:cs="Times New Roman"/>
                <w:sz w:val="28"/>
                <w:szCs w:val="28"/>
              </w:rPr>
              <w:t>65</w:t>
            </w:r>
            <w:r w:rsidRPr="002C4AFC">
              <w:rPr>
                <w:rFonts w:ascii="Times New Roman" w:hAnsi="Times New Roman" w:cs="Times New Roman"/>
                <w:sz w:val="28"/>
                <w:szCs w:val="28"/>
              </w:rPr>
              <w:t>,4</w:t>
            </w:r>
            <w:r w:rsidRPr="002C4AFC">
              <w:rPr>
                <w:rFonts w:ascii="Times New Roman" w:hAnsi="Times New Roman" w:cs="Times New Roman"/>
                <w:sz w:val="28"/>
                <w:szCs w:val="28"/>
                <w:u w:val="single"/>
              </w:rPr>
              <w:t>+</w:t>
            </w:r>
            <w:r>
              <w:rPr>
                <w:rFonts w:ascii="Times New Roman" w:hAnsi="Times New Roman" w:cs="Times New Roman"/>
                <w:sz w:val="28"/>
                <w:szCs w:val="28"/>
              </w:rPr>
              <w:t>3,5</w:t>
            </w:r>
          </w:p>
          <w:p w:rsidR="00545400" w:rsidRPr="002C4AFC" w:rsidRDefault="00545400" w:rsidP="00105C00">
            <w:pPr>
              <w:jc w:val="both"/>
              <w:rPr>
                <w:rFonts w:ascii="Times New Roman" w:hAnsi="Times New Roman" w:cs="Times New Roman"/>
                <w:sz w:val="28"/>
                <w:szCs w:val="28"/>
              </w:rPr>
            </w:pPr>
            <w:r>
              <w:rPr>
                <w:rFonts w:ascii="Times New Roman" w:hAnsi="Times New Roman" w:cs="Times New Roman"/>
                <w:sz w:val="28"/>
                <w:szCs w:val="28"/>
              </w:rPr>
              <w:t>(от 37 лет до 8</w:t>
            </w:r>
            <w:r w:rsidRPr="002C4AFC">
              <w:rPr>
                <w:rFonts w:ascii="Times New Roman" w:hAnsi="Times New Roman" w:cs="Times New Roman"/>
                <w:sz w:val="28"/>
                <w:szCs w:val="28"/>
              </w:rPr>
              <w:t>7 лет)</w:t>
            </w:r>
          </w:p>
        </w:tc>
        <w:tc>
          <w:tcPr>
            <w:tcW w:w="3836" w:type="dxa"/>
            <w:shd w:val="clear" w:color="auto" w:fill="auto"/>
          </w:tcPr>
          <w:p w:rsidR="00545400" w:rsidRPr="002C4AFC" w:rsidRDefault="00545400" w:rsidP="00105C00">
            <w:pPr>
              <w:jc w:val="both"/>
              <w:rPr>
                <w:rFonts w:ascii="Times New Roman" w:hAnsi="Times New Roman" w:cs="Times New Roman"/>
                <w:sz w:val="28"/>
                <w:szCs w:val="28"/>
              </w:rPr>
            </w:pPr>
            <w:r>
              <w:rPr>
                <w:rFonts w:ascii="Times New Roman" w:hAnsi="Times New Roman" w:cs="Times New Roman"/>
                <w:sz w:val="28"/>
                <w:szCs w:val="28"/>
              </w:rPr>
              <w:t>62</w:t>
            </w:r>
            <w:r w:rsidRPr="002C4AFC">
              <w:rPr>
                <w:rFonts w:ascii="Times New Roman" w:hAnsi="Times New Roman" w:cs="Times New Roman"/>
                <w:sz w:val="28"/>
                <w:szCs w:val="28"/>
                <w:u w:val="single"/>
              </w:rPr>
              <w:t>+</w:t>
            </w:r>
            <w:r>
              <w:rPr>
                <w:rFonts w:ascii="Times New Roman" w:hAnsi="Times New Roman" w:cs="Times New Roman"/>
                <w:sz w:val="28"/>
                <w:szCs w:val="28"/>
              </w:rPr>
              <w:t>4,2</w:t>
            </w:r>
          </w:p>
          <w:p w:rsidR="00545400" w:rsidRPr="002C4AFC" w:rsidRDefault="00545400" w:rsidP="00105C00">
            <w:pPr>
              <w:jc w:val="both"/>
              <w:rPr>
                <w:rFonts w:ascii="Times New Roman" w:hAnsi="Times New Roman" w:cs="Times New Roman"/>
                <w:sz w:val="28"/>
                <w:szCs w:val="28"/>
              </w:rPr>
            </w:pPr>
            <w:r>
              <w:rPr>
                <w:rFonts w:ascii="Times New Roman" w:hAnsi="Times New Roman" w:cs="Times New Roman"/>
                <w:sz w:val="28"/>
                <w:szCs w:val="28"/>
              </w:rPr>
              <w:t>(от 48 лет до 76</w:t>
            </w:r>
            <w:r w:rsidRPr="002C4AFC">
              <w:rPr>
                <w:rFonts w:ascii="Times New Roman" w:hAnsi="Times New Roman" w:cs="Times New Roman"/>
                <w:sz w:val="28"/>
                <w:szCs w:val="28"/>
              </w:rPr>
              <w:t xml:space="preserve"> лет)</w:t>
            </w:r>
          </w:p>
        </w:tc>
      </w:tr>
      <w:tr w:rsidR="00545400" w:rsidRPr="002C4AFC" w:rsidTr="00105C00">
        <w:trPr>
          <w:trHeight w:val="893"/>
        </w:trPr>
        <w:tc>
          <w:tcPr>
            <w:tcW w:w="2055" w:type="dxa"/>
            <w:shd w:val="clear" w:color="auto" w:fill="auto"/>
            <w:vAlign w:val="center"/>
          </w:tcPr>
          <w:p w:rsidR="00545400" w:rsidRPr="002C4AFC" w:rsidRDefault="00545400" w:rsidP="00105C00">
            <w:pPr>
              <w:jc w:val="both"/>
              <w:rPr>
                <w:rFonts w:ascii="Times New Roman" w:hAnsi="Times New Roman" w:cs="Times New Roman"/>
                <w:bCs/>
                <w:sz w:val="28"/>
                <w:szCs w:val="28"/>
              </w:rPr>
            </w:pPr>
            <w:r>
              <w:rPr>
                <w:rFonts w:ascii="Times New Roman" w:hAnsi="Times New Roman" w:cs="Times New Roman"/>
                <w:bCs/>
                <w:sz w:val="28"/>
                <w:szCs w:val="28"/>
              </w:rPr>
              <w:t>Значимость различий, Р</w:t>
            </w:r>
          </w:p>
        </w:tc>
        <w:tc>
          <w:tcPr>
            <w:tcW w:w="3509" w:type="dxa"/>
            <w:shd w:val="clear" w:color="auto" w:fill="auto"/>
          </w:tcPr>
          <w:p w:rsidR="00545400" w:rsidRPr="001F4C71" w:rsidRDefault="00545400" w:rsidP="00105C00">
            <w:pPr>
              <w:jc w:val="both"/>
              <w:rPr>
                <w:rFonts w:ascii="Times New Roman" w:hAnsi="Times New Roman" w:cs="Times New Roman"/>
                <w:sz w:val="28"/>
                <w:szCs w:val="28"/>
                <w:lang w:val="en-US"/>
              </w:rPr>
            </w:pPr>
            <w:r>
              <w:rPr>
                <w:rFonts w:ascii="Times New Roman" w:hAnsi="Times New Roman" w:cs="Times New Roman"/>
                <w:sz w:val="28"/>
                <w:szCs w:val="28"/>
                <w:lang w:val="en-US"/>
              </w:rPr>
              <w:t>&lt;0,05</w:t>
            </w:r>
          </w:p>
        </w:tc>
        <w:tc>
          <w:tcPr>
            <w:tcW w:w="3836" w:type="dxa"/>
            <w:shd w:val="clear" w:color="auto" w:fill="auto"/>
          </w:tcPr>
          <w:p w:rsidR="00545400" w:rsidRPr="001F4C71" w:rsidRDefault="00545400" w:rsidP="00105C00">
            <w:pPr>
              <w:jc w:val="both"/>
              <w:rPr>
                <w:rFonts w:ascii="Times New Roman" w:hAnsi="Times New Roman" w:cs="Times New Roman"/>
                <w:sz w:val="28"/>
                <w:szCs w:val="28"/>
                <w:lang w:val="en-US"/>
              </w:rPr>
            </w:pPr>
            <w:r>
              <w:rPr>
                <w:rFonts w:ascii="Times New Roman" w:hAnsi="Times New Roman" w:cs="Times New Roman"/>
                <w:sz w:val="28"/>
                <w:szCs w:val="28"/>
                <w:lang w:val="en-US"/>
              </w:rPr>
              <w:t>&lt;0,05</w:t>
            </w:r>
          </w:p>
        </w:tc>
      </w:tr>
    </w:tbl>
    <w:p w:rsidR="00545400" w:rsidRDefault="00545400" w:rsidP="00545400">
      <w:pPr>
        <w:jc w:val="both"/>
        <w:rPr>
          <w:rFonts w:ascii="Times New Roman" w:hAnsi="Times New Roman" w:cs="Times New Roman"/>
          <w:sz w:val="28"/>
          <w:szCs w:val="28"/>
        </w:rPr>
      </w:pP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Данные рисунка 2, рисунка 3, рисунка 4, рисунка 5 и таблицы 5</w:t>
      </w:r>
      <w:r w:rsidRPr="00F12EF6">
        <w:rPr>
          <w:rFonts w:ascii="Times New Roman" w:hAnsi="Times New Roman" w:cs="Times New Roman"/>
          <w:sz w:val="28"/>
          <w:szCs w:val="28"/>
        </w:rPr>
        <w:t>. демонстрируют, что для исследования были подобраны пациенты сопоставимые по полу и возрасту.</w:t>
      </w:r>
    </w:p>
    <w:p w:rsidR="00545400" w:rsidRPr="00F12EF6" w:rsidRDefault="00545400" w:rsidP="00545400">
      <w:pPr>
        <w:spacing w:before="240"/>
        <w:jc w:val="both"/>
        <w:rPr>
          <w:rFonts w:ascii="Times New Roman" w:hAnsi="Times New Roman" w:cs="Times New Roman"/>
          <w:sz w:val="28"/>
          <w:szCs w:val="28"/>
        </w:rPr>
      </w:pPr>
    </w:p>
    <w:p w:rsidR="00545400" w:rsidRDefault="00545400" w:rsidP="00545400">
      <w:pPr>
        <w:spacing w:before="240" w:line="360" w:lineRule="auto"/>
        <w:jc w:val="center"/>
        <w:rPr>
          <w:rFonts w:ascii="Times New Roman" w:hAnsi="Times New Roman" w:cs="Times New Roman"/>
          <w:b/>
          <w:sz w:val="28"/>
          <w:szCs w:val="28"/>
        </w:rPr>
      </w:pPr>
      <w:r w:rsidRPr="00E422E5">
        <w:rPr>
          <w:rFonts w:ascii="Times New Roman" w:hAnsi="Times New Roman" w:cs="Times New Roman"/>
          <w:b/>
          <w:sz w:val="28"/>
          <w:szCs w:val="28"/>
        </w:rPr>
        <w:t>Результаты клинического и лабораторно-инструментального обследования б</w:t>
      </w:r>
      <w:r>
        <w:rPr>
          <w:rFonts w:ascii="Times New Roman" w:hAnsi="Times New Roman" w:cs="Times New Roman"/>
          <w:b/>
          <w:sz w:val="28"/>
          <w:szCs w:val="28"/>
        </w:rPr>
        <w:t>ольных диабетической нефропатией</w:t>
      </w:r>
    </w:p>
    <w:p w:rsidR="00545400" w:rsidRPr="00E422E5" w:rsidRDefault="00545400" w:rsidP="00545400">
      <w:pPr>
        <w:spacing w:before="240" w:line="360" w:lineRule="auto"/>
        <w:jc w:val="center"/>
        <w:rPr>
          <w:rFonts w:ascii="Times New Roman" w:hAnsi="Times New Roman" w:cs="Times New Roman"/>
          <w:b/>
          <w:sz w:val="28"/>
          <w:szCs w:val="28"/>
        </w:rPr>
      </w:pPr>
    </w:p>
    <w:p w:rsidR="00545400" w:rsidRPr="004E3DD5"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Длительность заболевания СД </w:t>
      </w:r>
      <w:r w:rsidRPr="00E422E5">
        <w:rPr>
          <w:rFonts w:ascii="Times New Roman" w:eastAsia="Times New Roman" w:hAnsi="Times New Roman" w:cs="Times New Roman"/>
          <w:sz w:val="28"/>
          <w:szCs w:val="28"/>
          <w:lang w:eastAsia="ru-RU"/>
        </w:rPr>
        <w:t>среди обсл</w:t>
      </w:r>
      <w:r>
        <w:rPr>
          <w:rFonts w:ascii="Times New Roman" w:eastAsia="Times New Roman" w:hAnsi="Times New Roman" w:cs="Times New Roman"/>
          <w:sz w:val="28"/>
          <w:szCs w:val="28"/>
          <w:lang w:eastAsia="ru-RU"/>
        </w:rPr>
        <w:t>едованных больных варьирует от 5 лет до 31 года. На рисунке 6</w:t>
      </w:r>
      <w:r w:rsidRPr="00E422E5">
        <w:rPr>
          <w:rFonts w:ascii="Times New Roman" w:eastAsia="Times New Roman" w:hAnsi="Times New Roman" w:cs="Times New Roman"/>
          <w:sz w:val="28"/>
          <w:szCs w:val="28"/>
          <w:lang w:eastAsia="ru-RU"/>
        </w:rPr>
        <w:t xml:space="preserve"> представлено распре</w:t>
      </w:r>
      <w:r>
        <w:rPr>
          <w:rFonts w:ascii="Times New Roman" w:eastAsia="Times New Roman" w:hAnsi="Times New Roman" w:cs="Times New Roman"/>
          <w:sz w:val="28"/>
          <w:szCs w:val="28"/>
          <w:lang w:eastAsia="ru-RU"/>
        </w:rPr>
        <w:t>деление обследованных больных ДН</w:t>
      </w:r>
      <w:r w:rsidRPr="00E422E5">
        <w:rPr>
          <w:rFonts w:ascii="Times New Roman" w:eastAsia="Times New Roman" w:hAnsi="Times New Roman" w:cs="Times New Roman"/>
          <w:sz w:val="28"/>
          <w:szCs w:val="28"/>
          <w:lang w:eastAsia="ru-RU"/>
        </w:rPr>
        <w:t xml:space="preserve"> в зависи</w:t>
      </w:r>
      <w:r>
        <w:rPr>
          <w:rFonts w:ascii="Times New Roman" w:eastAsia="Times New Roman" w:hAnsi="Times New Roman" w:cs="Times New Roman"/>
          <w:sz w:val="28"/>
          <w:szCs w:val="28"/>
          <w:lang w:eastAsia="ru-RU"/>
        </w:rPr>
        <w:t xml:space="preserve">мости от длительности основного </w:t>
      </w:r>
      <w:r w:rsidRPr="00E422E5">
        <w:rPr>
          <w:rFonts w:ascii="Times New Roman" w:eastAsia="Times New Roman" w:hAnsi="Times New Roman" w:cs="Times New Roman"/>
          <w:sz w:val="28"/>
          <w:szCs w:val="28"/>
          <w:lang w:eastAsia="ru-RU"/>
        </w:rPr>
        <w:t>заболевания.</w:t>
      </w:r>
    </w:p>
    <w:p w:rsidR="00545400" w:rsidRPr="006C6C6B" w:rsidRDefault="00545400" w:rsidP="0054540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5085C3C5" wp14:editId="36B448EA">
            <wp:extent cx="5915025" cy="25527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5400" w:rsidRPr="00B92DB2" w:rsidRDefault="00545400" w:rsidP="00545400">
      <w:pPr>
        <w:rPr>
          <w:rFonts w:ascii="Times New Roman" w:hAnsi="Times New Roman" w:cs="Times New Roman"/>
          <w:b/>
          <w:i/>
          <w:sz w:val="28"/>
          <w:szCs w:val="28"/>
        </w:rPr>
      </w:pPr>
      <w:r w:rsidRPr="00B92DB2">
        <w:rPr>
          <w:rFonts w:ascii="Times New Roman" w:hAnsi="Times New Roman" w:cs="Times New Roman"/>
          <w:b/>
          <w:i/>
          <w:sz w:val="28"/>
          <w:szCs w:val="28"/>
        </w:rPr>
        <w:t>Рисунок</w:t>
      </w:r>
      <w:r>
        <w:rPr>
          <w:rFonts w:ascii="Times New Roman" w:hAnsi="Times New Roman" w:cs="Times New Roman"/>
          <w:b/>
          <w:i/>
          <w:sz w:val="28"/>
          <w:szCs w:val="28"/>
        </w:rPr>
        <w:t xml:space="preserve"> 6</w:t>
      </w:r>
      <w:r w:rsidRPr="00B92DB2">
        <w:rPr>
          <w:rFonts w:ascii="Times New Roman" w:hAnsi="Times New Roman" w:cs="Times New Roman"/>
          <w:b/>
          <w:i/>
          <w:sz w:val="28"/>
          <w:szCs w:val="28"/>
        </w:rPr>
        <w:t xml:space="preserve">. Распределение пациентов в зависимости от длительности заболевания СД </w:t>
      </w:r>
    </w:p>
    <w:p w:rsidR="00545400" w:rsidRDefault="00545400" w:rsidP="00545400">
      <w:pPr>
        <w:rPr>
          <w:rFonts w:ascii="Times New Roman" w:hAnsi="Times New Roman" w:cs="Times New Roman"/>
          <w:b/>
          <w:sz w:val="28"/>
          <w:szCs w:val="28"/>
        </w:rPr>
      </w:pPr>
    </w:p>
    <w:p w:rsidR="00545400" w:rsidRDefault="00545400" w:rsidP="00545400">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D5E0583" wp14:editId="5B063786">
            <wp:extent cx="6096000" cy="29622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5400" w:rsidRPr="00B92DB2" w:rsidRDefault="00545400" w:rsidP="00545400">
      <w:pPr>
        <w:rPr>
          <w:rFonts w:ascii="Times New Roman" w:hAnsi="Times New Roman" w:cs="Times New Roman"/>
          <w:b/>
          <w:i/>
          <w:sz w:val="28"/>
          <w:szCs w:val="28"/>
        </w:rPr>
      </w:pPr>
      <w:r w:rsidRPr="00B92DB2">
        <w:rPr>
          <w:rFonts w:ascii="Times New Roman" w:hAnsi="Times New Roman" w:cs="Times New Roman"/>
          <w:b/>
          <w:i/>
          <w:sz w:val="28"/>
          <w:szCs w:val="28"/>
        </w:rPr>
        <w:t xml:space="preserve">Рисунок </w:t>
      </w:r>
      <w:r>
        <w:rPr>
          <w:rFonts w:ascii="Times New Roman" w:hAnsi="Times New Roman" w:cs="Times New Roman"/>
          <w:b/>
          <w:i/>
          <w:sz w:val="28"/>
          <w:szCs w:val="28"/>
        </w:rPr>
        <w:t>7</w:t>
      </w:r>
      <w:r w:rsidRPr="00B92DB2">
        <w:rPr>
          <w:rFonts w:ascii="Times New Roman" w:hAnsi="Times New Roman" w:cs="Times New Roman"/>
          <w:b/>
          <w:i/>
          <w:sz w:val="28"/>
          <w:szCs w:val="28"/>
        </w:rPr>
        <w:t>. Распределение пациентов по типу СД в зависимо</w:t>
      </w:r>
      <w:r>
        <w:rPr>
          <w:rFonts w:ascii="Times New Roman" w:hAnsi="Times New Roman" w:cs="Times New Roman"/>
          <w:b/>
          <w:i/>
          <w:sz w:val="28"/>
          <w:szCs w:val="28"/>
        </w:rPr>
        <w:t>сти от длительности заболевания</w:t>
      </w:r>
    </w:p>
    <w:p w:rsidR="00545400" w:rsidRPr="006C6C6B" w:rsidRDefault="00545400" w:rsidP="00545400">
      <w:pPr>
        <w:rPr>
          <w:rFonts w:ascii="Times New Roman" w:hAnsi="Times New Roman" w:cs="Times New Roman"/>
          <w:sz w:val="28"/>
          <w:szCs w:val="28"/>
        </w:rPr>
      </w:pPr>
      <w:r w:rsidRPr="006C6C6B">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Основную долю обследованных больных составили 11 (47</w:t>
      </w:r>
      <w:r w:rsidRPr="00EA6195">
        <w:rPr>
          <w:rFonts w:ascii="Times New Roman" w:eastAsia="Times New Roman" w:hAnsi="Times New Roman" w:cs="Times New Roman"/>
          <w:sz w:val="28"/>
          <w:szCs w:val="28"/>
          <w:lang w:eastAsia="ru-RU"/>
        </w:rPr>
        <w:t>%) пациентов с длительност</w:t>
      </w:r>
      <w:r>
        <w:rPr>
          <w:rFonts w:ascii="Times New Roman" w:eastAsia="Times New Roman" w:hAnsi="Times New Roman" w:cs="Times New Roman"/>
          <w:sz w:val="28"/>
          <w:szCs w:val="28"/>
          <w:lang w:eastAsia="ru-RU"/>
        </w:rPr>
        <w:t>ью 1</w:t>
      </w:r>
      <w:r w:rsidRPr="00EA619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-20</w:t>
      </w:r>
      <w:r w:rsidRPr="00EA6195">
        <w:rPr>
          <w:rFonts w:ascii="Times New Roman" w:eastAsia="Times New Roman" w:hAnsi="Times New Roman" w:cs="Times New Roman"/>
          <w:sz w:val="28"/>
          <w:szCs w:val="28"/>
          <w:lang w:eastAsia="ru-RU"/>
        </w:rPr>
        <w:t xml:space="preserve"> лет</w:t>
      </w:r>
      <w:r>
        <w:rPr>
          <w:rFonts w:ascii="Times New Roman" w:eastAsia="Times New Roman" w:hAnsi="Times New Roman" w:cs="Times New Roman"/>
          <w:sz w:val="28"/>
          <w:szCs w:val="28"/>
          <w:lang w:eastAsia="ru-RU"/>
        </w:rPr>
        <w:t xml:space="preserve"> СД 1 типа (60%) и СД 2 типа (39%). 9 (40%) пациентов страдали СД больше 20 лет (СД1 типа 10% и СД2 типа 61 %) и 3 (13%) - меньше 10 лет (СД1 типа 30% и ни одного пациента с СД 2 типа)</w:t>
      </w:r>
      <w:r w:rsidRPr="00EA6195">
        <w:rPr>
          <w:rFonts w:ascii="Times New Roman" w:eastAsia="Times New Roman" w:hAnsi="Times New Roman" w:cs="Times New Roman"/>
          <w:sz w:val="28"/>
          <w:szCs w:val="28"/>
          <w:lang w:eastAsia="ru-RU"/>
        </w:rPr>
        <w:t xml:space="preserve">. Как </w:t>
      </w:r>
      <w:r w:rsidRPr="00EA6195">
        <w:rPr>
          <w:rFonts w:ascii="Times New Roman" w:eastAsia="Times New Roman" w:hAnsi="Times New Roman" w:cs="Times New Roman"/>
          <w:sz w:val="28"/>
          <w:szCs w:val="28"/>
          <w:lang w:eastAsia="ru-RU"/>
        </w:rPr>
        <w:lastRenderedPageBreak/>
        <w:t>видно из вышеприведенных данных, для исследования были</w:t>
      </w:r>
      <w:r>
        <w:rPr>
          <w:rFonts w:ascii="Times New Roman" w:eastAsia="Times New Roman" w:hAnsi="Times New Roman" w:cs="Times New Roman"/>
          <w:sz w:val="28"/>
          <w:szCs w:val="28"/>
          <w:lang w:eastAsia="ru-RU"/>
        </w:rPr>
        <w:t xml:space="preserve"> отобраны больные СД</w:t>
      </w:r>
      <w:r w:rsidRPr="00EA6195">
        <w:rPr>
          <w:rFonts w:ascii="Times New Roman" w:eastAsia="Times New Roman" w:hAnsi="Times New Roman" w:cs="Times New Roman"/>
          <w:sz w:val="28"/>
          <w:szCs w:val="28"/>
          <w:lang w:eastAsia="ru-RU"/>
        </w:rPr>
        <w:t xml:space="preserve"> с длите</w:t>
      </w:r>
      <w:r>
        <w:rPr>
          <w:rFonts w:ascii="Times New Roman" w:eastAsia="Times New Roman" w:hAnsi="Times New Roman" w:cs="Times New Roman"/>
          <w:sz w:val="28"/>
          <w:szCs w:val="28"/>
          <w:lang w:eastAsia="ru-RU"/>
        </w:rPr>
        <w:t>льностью заболевания в среднем 16</w:t>
      </w:r>
      <w:r w:rsidRPr="00EA61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EA6195">
        <w:rPr>
          <w:rFonts w:ascii="Times New Roman" w:eastAsia="Times New Roman" w:hAnsi="Times New Roman" w:cs="Times New Roman"/>
          <w:sz w:val="28"/>
          <w:szCs w:val="28"/>
          <w:lang w:eastAsia="ru-RU"/>
        </w:rPr>
        <w:t>8 лет.</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p>
    <w:p w:rsidR="00545400" w:rsidRPr="00A8747C" w:rsidRDefault="00545400" w:rsidP="00545400">
      <w:pPr>
        <w:spacing w:before="240" w:line="360" w:lineRule="auto"/>
        <w:ind w:firstLine="709"/>
        <w:jc w:val="center"/>
        <w:rPr>
          <w:rFonts w:ascii="Times New Roman" w:eastAsia="Times New Roman" w:hAnsi="Times New Roman" w:cs="Times New Roman"/>
          <w:b/>
          <w:sz w:val="28"/>
          <w:szCs w:val="28"/>
          <w:lang w:eastAsia="ru-RU"/>
        </w:rPr>
      </w:pPr>
      <w:r w:rsidRPr="00A8747C">
        <w:rPr>
          <w:rFonts w:ascii="Times New Roman" w:eastAsia="Times New Roman" w:hAnsi="Times New Roman" w:cs="Times New Roman"/>
          <w:b/>
          <w:sz w:val="28"/>
          <w:szCs w:val="28"/>
          <w:lang w:eastAsia="ru-RU"/>
        </w:rPr>
        <w:t>Результаты исследования кардиоваскулярных заболеваний</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F927FE">
        <w:rPr>
          <w:rFonts w:ascii="Times New Roman" w:eastAsia="Times New Roman" w:hAnsi="Times New Roman" w:cs="Times New Roman"/>
          <w:sz w:val="28"/>
          <w:szCs w:val="28"/>
          <w:lang w:eastAsia="ru-RU"/>
        </w:rPr>
        <w:t>В ходе работы проводилось иссл</w:t>
      </w:r>
      <w:r>
        <w:rPr>
          <w:rFonts w:ascii="Times New Roman" w:eastAsia="Times New Roman" w:hAnsi="Times New Roman" w:cs="Times New Roman"/>
          <w:sz w:val="28"/>
          <w:szCs w:val="28"/>
          <w:lang w:eastAsia="ru-RU"/>
        </w:rPr>
        <w:t xml:space="preserve">едование встречаемости кардиоваскулярных заболеваний у </w:t>
      </w:r>
      <w:r w:rsidRPr="00F927FE">
        <w:rPr>
          <w:rFonts w:ascii="Times New Roman" w:eastAsia="Times New Roman" w:hAnsi="Times New Roman" w:cs="Times New Roman"/>
          <w:sz w:val="28"/>
          <w:szCs w:val="28"/>
          <w:lang w:eastAsia="ru-RU"/>
        </w:rPr>
        <w:t xml:space="preserve">пациентов, </w:t>
      </w:r>
      <w:r>
        <w:rPr>
          <w:rFonts w:ascii="Times New Roman" w:eastAsia="Times New Roman" w:hAnsi="Times New Roman" w:cs="Times New Roman"/>
          <w:sz w:val="28"/>
          <w:szCs w:val="28"/>
          <w:lang w:eastAsia="ru-RU"/>
        </w:rPr>
        <w:t xml:space="preserve">получающих терапию гемодиализом. В результате были получены следующие наиболее частые патологии, встречающиеся у пациентов на программном гемодиализе: ИБС, </w:t>
      </w:r>
      <w:r w:rsidRPr="00F927FE">
        <w:rPr>
          <w:rFonts w:ascii="Times New Roman" w:eastAsia="Times New Roman" w:hAnsi="Times New Roman" w:cs="Times New Roman"/>
          <w:sz w:val="28"/>
          <w:szCs w:val="28"/>
          <w:lang w:eastAsia="ru-RU"/>
        </w:rPr>
        <w:t>ХСН</w:t>
      </w:r>
      <w:r>
        <w:rPr>
          <w:rFonts w:ascii="Times New Roman" w:eastAsia="Times New Roman" w:hAnsi="Times New Roman" w:cs="Times New Roman"/>
          <w:sz w:val="28"/>
          <w:szCs w:val="28"/>
          <w:lang w:eastAsia="ru-RU"/>
        </w:rPr>
        <w:t xml:space="preserve"> и АГ</w:t>
      </w:r>
      <w:r w:rsidRPr="00F927FE">
        <w:rPr>
          <w:rFonts w:ascii="Times New Roman" w:eastAsia="Times New Roman" w:hAnsi="Times New Roman" w:cs="Times New Roman"/>
          <w:sz w:val="28"/>
          <w:szCs w:val="28"/>
          <w:lang w:eastAsia="ru-RU"/>
        </w:rPr>
        <w:t>.</w:t>
      </w:r>
    </w:p>
    <w:p w:rsidR="00545400" w:rsidRDefault="00545400" w:rsidP="0054540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188CEDB8" wp14:editId="71885DBE">
            <wp:extent cx="5953125" cy="27432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5400" w:rsidRPr="00B92DB2" w:rsidRDefault="00545400" w:rsidP="00545400">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Рисунок 8</w:t>
      </w:r>
      <w:r w:rsidRPr="00B92DB2">
        <w:rPr>
          <w:rFonts w:ascii="Times New Roman" w:eastAsia="Times New Roman" w:hAnsi="Times New Roman" w:cs="Times New Roman"/>
          <w:b/>
          <w:i/>
          <w:sz w:val="28"/>
          <w:szCs w:val="28"/>
          <w:lang w:eastAsia="ru-RU"/>
        </w:rPr>
        <w:t>. Встречаемость сердечно-сосудистых з</w:t>
      </w:r>
      <w:r>
        <w:rPr>
          <w:rFonts w:ascii="Times New Roman" w:eastAsia="Times New Roman" w:hAnsi="Times New Roman" w:cs="Times New Roman"/>
          <w:b/>
          <w:i/>
          <w:sz w:val="28"/>
          <w:szCs w:val="28"/>
          <w:lang w:eastAsia="ru-RU"/>
        </w:rPr>
        <w:t>аболеваний у пациентов на ЗПГТ</w:t>
      </w:r>
    </w:p>
    <w:p w:rsidR="00545400" w:rsidRPr="00C456B1" w:rsidRDefault="00545400" w:rsidP="0054540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пациентов, страдающих ИБС составила 98 %, АГ встречается у 85% больных, а ХСН наблюдалась у 75 % исследованных. </w:t>
      </w:r>
    </w:p>
    <w:p w:rsidR="00545400" w:rsidRPr="00D62351"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D62351">
        <w:rPr>
          <w:rFonts w:ascii="Times New Roman" w:eastAsia="Times New Roman" w:hAnsi="Times New Roman" w:cs="Times New Roman"/>
          <w:sz w:val="28"/>
          <w:szCs w:val="28"/>
          <w:lang w:eastAsia="ru-RU"/>
        </w:rPr>
        <w:t xml:space="preserve">Далее была рассмотрена встречаемость АГ среди </w:t>
      </w:r>
      <w:r>
        <w:rPr>
          <w:rFonts w:ascii="Times New Roman" w:eastAsia="Times New Roman" w:hAnsi="Times New Roman" w:cs="Times New Roman"/>
          <w:sz w:val="28"/>
          <w:szCs w:val="28"/>
          <w:lang w:eastAsia="ru-RU"/>
        </w:rPr>
        <w:t xml:space="preserve">обследованных </w:t>
      </w:r>
      <w:r w:rsidRPr="00D62351">
        <w:rPr>
          <w:rFonts w:ascii="Times New Roman" w:eastAsia="Times New Roman" w:hAnsi="Times New Roman" w:cs="Times New Roman"/>
          <w:sz w:val="28"/>
          <w:szCs w:val="28"/>
          <w:lang w:eastAsia="ru-RU"/>
        </w:rPr>
        <w:t xml:space="preserve">больных, получающих ПГД.  </w:t>
      </w:r>
      <w:r>
        <w:rPr>
          <w:rFonts w:ascii="Times New Roman" w:eastAsia="Times New Roman" w:hAnsi="Times New Roman" w:cs="Times New Roman"/>
          <w:sz w:val="28"/>
          <w:szCs w:val="28"/>
          <w:lang w:eastAsia="ru-RU"/>
        </w:rPr>
        <w:t xml:space="preserve">Получены следующие результаты: все пациенты имели АГ, при этом у 15% пациентов выявлено наличие ОНМК в анамнезе с момента получения ПГД. </w:t>
      </w:r>
    </w:p>
    <w:p w:rsidR="00545400" w:rsidRPr="00370FE5"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370FE5">
        <w:rPr>
          <w:rFonts w:ascii="Times New Roman" w:eastAsia="Times New Roman" w:hAnsi="Times New Roman" w:cs="Times New Roman"/>
          <w:sz w:val="28"/>
          <w:szCs w:val="28"/>
          <w:lang w:eastAsia="ru-RU"/>
        </w:rPr>
        <w:lastRenderedPageBreak/>
        <w:t>Для оценки влияния ГД на</w:t>
      </w:r>
      <w:r>
        <w:rPr>
          <w:rFonts w:ascii="Times New Roman" w:eastAsia="Times New Roman" w:hAnsi="Times New Roman" w:cs="Times New Roman"/>
          <w:sz w:val="28"/>
          <w:szCs w:val="28"/>
          <w:lang w:eastAsia="ru-RU"/>
        </w:rPr>
        <w:t xml:space="preserve"> </w:t>
      </w:r>
      <w:r w:rsidRPr="00370FE5">
        <w:rPr>
          <w:rFonts w:ascii="Times New Roman" w:eastAsia="Times New Roman" w:hAnsi="Times New Roman" w:cs="Times New Roman"/>
          <w:sz w:val="28"/>
          <w:szCs w:val="28"/>
          <w:lang w:eastAsia="ru-RU"/>
        </w:rPr>
        <w:t>АД было проведено исследование метод</w:t>
      </w:r>
      <w:r>
        <w:rPr>
          <w:rFonts w:ascii="Times New Roman" w:eastAsia="Times New Roman" w:hAnsi="Times New Roman" w:cs="Times New Roman"/>
          <w:sz w:val="28"/>
          <w:szCs w:val="28"/>
          <w:lang w:eastAsia="ru-RU"/>
        </w:rPr>
        <w:t>ом</w:t>
      </w:r>
      <w:r w:rsidRPr="00370FE5">
        <w:rPr>
          <w:rFonts w:ascii="Times New Roman" w:eastAsia="Times New Roman" w:hAnsi="Times New Roman" w:cs="Times New Roman"/>
          <w:sz w:val="28"/>
          <w:szCs w:val="28"/>
          <w:lang w:eastAsia="ru-RU"/>
        </w:rPr>
        <w:t xml:space="preserve"> измерения АД непосредственно до сеанса ГД и сразу после его окончания.</w:t>
      </w:r>
      <w:r>
        <w:rPr>
          <w:rFonts w:ascii="Times New Roman" w:eastAsia="Times New Roman" w:hAnsi="Times New Roman" w:cs="Times New Roman"/>
          <w:sz w:val="28"/>
          <w:szCs w:val="28"/>
          <w:lang w:eastAsia="ru-RU"/>
        </w:rPr>
        <w:t xml:space="preserve"> </w:t>
      </w:r>
      <w:r w:rsidRPr="00370FE5">
        <w:rPr>
          <w:rFonts w:ascii="Times New Roman" w:eastAsia="Times New Roman" w:hAnsi="Times New Roman" w:cs="Times New Roman"/>
          <w:sz w:val="28"/>
          <w:szCs w:val="28"/>
          <w:lang w:eastAsia="ru-RU"/>
        </w:rPr>
        <w:t xml:space="preserve"> Были получены следующие результаты.</w:t>
      </w:r>
    </w:p>
    <w:p w:rsidR="00545400" w:rsidRPr="00B92DB2" w:rsidRDefault="00545400" w:rsidP="00545400">
      <w:pPr>
        <w:spacing w:before="240" w:line="360" w:lineRule="auto"/>
        <w:jc w:val="both"/>
        <w:rPr>
          <w:rFonts w:ascii="Times New Roman" w:eastAsia="Times New Roman" w:hAnsi="Times New Roman" w:cs="Times New Roman"/>
          <w:b/>
          <w:i/>
          <w:sz w:val="28"/>
          <w:szCs w:val="28"/>
          <w:lang w:eastAsia="ru-RU"/>
        </w:rPr>
      </w:pPr>
      <w:r w:rsidRPr="00B92DB2">
        <w:rPr>
          <w:rFonts w:ascii="Times New Roman" w:eastAsia="Times New Roman" w:hAnsi="Times New Roman" w:cs="Times New Roman"/>
          <w:b/>
          <w:i/>
          <w:sz w:val="28"/>
          <w:szCs w:val="28"/>
          <w:lang w:eastAsia="ru-RU"/>
        </w:rPr>
        <w:t xml:space="preserve">Таблица 6. Изменение среднего АД в зависимости от ПГД </w:t>
      </w:r>
    </w:p>
    <w:tbl>
      <w:tblPr>
        <w:tblStyle w:val="ac"/>
        <w:tblW w:w="0" w:type="auto"/>
        <w:tblLook w:val="04A0" w:firstRow="1" w:lastRow="0" w:firstColumn="1" w:lastColumn="0" w:noHBand="0" w:noVBand="1"/>
      </w:tblPr>
      <w:tblGrid>
        <w:gridCol w:w="2122"/>
        <w:gridCol w:w="2813"/>
        <w:gridCol w:w="2290"/>
        <w:gridCol w:w="2120"/>
      </w:tblGrid>
      <w:tr w:rsidR="00545400" w:rsidTr="00105C00">
        <w:tc>
          <w:tcPr>
            <w:tcW w:w="2122" w:type="dxa"/>
          </w:tcPr>
          <w:p w:rsidR="00545400" w:rsidRDefault="00545400" w:rsidP="00105C00">
            <w:pPr>
              <w:spacing w:line="360" w:lineRule="auto"/>
              <w:jc w:val="both"/>
              <w:rPr>
                <w:rFonts w:ascii="Times New Roman" w:eastAsia="Times New Roman" w:hAnsi="Times New Roman" w:cs="Times New Roman"/>
                <w:noProof/>
                <w:sz w:val="28"/>
                <w:szCs w:val="28"/>
                <w:lang w:eastAsia="ru-RU"/>
              </w:rPr>
            </w:pPr>
          </w:p>
        </w:tc>
        <w:tc>
          <w:tcPr>
            <w:tcW w:w="2813" w:type="dxa"/>
          </w:tcPr>
          <w:p w:rsidR="00545400" w:rsidRDefault="00545400" w:rsidP="00105C00">
            <w:pPr>
              <w:spacing w:line="36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Ср. АД</w:t>
            </w:r>
          </w:p>
          <w:p w:rsidR="00545400" w:rsidRDefault="00545400" w:rsidP="00105C00">
            <w:pPr>
              <w:spacing w:line="36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 основной группе</w:t>
            </w:r>
          </w:p>
        </w:tc>
        <w:tc>
          <w:tcPr>
            <w:tcW w:w="2290" w:type="dxa"/>
          </w:tcPr>
          <w:p w:rsidR="00545400" w:rsidRDefault="00545400" w:rsidP="00105C00">
            <w:pPr>
              <w:spacing w:line="36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Ср. АД</w:t>
            </w:r>
          </w:p>
          <w:p w:rsidR="00545400" w:rsidRDefault="00545400" w:rsidP="00105C00">
            <w:pPr>
              <w:spacing w:line="36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 группе сравнения</w:t>
            </w:r>
          </w:p>
        </w:tc>
        <w:tc>
          <w:tcPr>
            <w:tcW w:w="2120" w:type="dxa"/>
          </w:tcPr>
          <w:p w:rsidR="00545400" w:rsidRDefault="00545400" w:rsidP="00105C00">
            <w:pPr>
              <w:spacing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Значимость различий, </w:t>
            </w:r>
            <w:r>
              <w:rPr>
                <w:rFonts w:ascii="Times New Roman" w:eastAsia="Times New Roman" w:hAnsi="Times New Roman" w:cs="Times New Roman"/>
                <w:noProof/>
                <w:sz w:val="28"/>
                <w:szCs w:val="28"/>
                <w:lang w:val="en-US" w:eastAsia="ru-RU"/>
              </w:rPr>
              <w:t>P</w:t>
            </w:r>
          </w:p>
        </w:tc>
      </w:tr>
      <w:tr w:rsidR="00545400" w:rsidTr="00105C00">
        <w:tc>
          <w:tcPr>
            <w:tcW w:w="2122" w:type="dxa"/>
          </w:tcPr>
          <w:p w:rsidR="00545400" w:rsidRDefault="00545400" w:rsidP="00105C00">
            <w:pPr>
              <w:spacing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До ПГД</w:t>
            </w:r>
          </w:p>
        </w:tc>
        <w:tc>
          <w:tcPr>
            <w:tcW w:w="2813" w:type="dxa"/>
          </w:tcPr>
          <w:p w:rsidR="00545400" w:rsidRDefault="00545400" w:rsidP="00105C00">
            <w:pPr>
              <w:spacing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103,17 ±2,9</w:t>
            </w:r>
          </w:p>
        </w:tc>
        <w:tc>
          <w:tcPr>
            <w:tcW w:w="2290" w:type="dxa"/>
          </w:tcPr>
          <w:p w:rsidR="00545400" w:rsidRDefault="00545400" w:rsidP="00105C00">
            <w:pPr>
              <w:spacing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97,9 ± 5,9 </w:t>
            </w:r>
          </w:p>
        </w:tc>
        <w:tc>
          <w:tcPr>
            <w:tcW w:w="2120" w:type="dxa"/>
          </w:tcPr>
          <w:p w:rsidR="00545400" w:rsidRPr="00B375BE" w:rsidRDefault="00545400" w:rsidP="00105C00">
            <w:pPr>
              <w:spacing w:line="360" w:lineRule="auto"/>
              <w:jc w:val="both"/>
              <w:rPr>
                <w:rFonts w:ascii="Times New Roman" w:eastAsia="Times New Roman" w:hAnsi="Times New Roman" w:cs="Times New Roman"/>
                <w:noProof/>
                <w:sz w:val="28"/>
                <w:szCs w:val="28"/>
                <w:lang w:eastAsia="ru-RU"/>
              </w:rPr>
            </w:pPr>
            <w:r w:rsidRPr="00B375BE">
              <w:rPr>
                <w:rFonts w:ascii="Times New Roman" w:eastAsia="Times New Roman" w:hAnsi="Times New Roman" w:cs="Times New Roman"/>
                <w:noProof/>
                <w:sz w:val="28"/>
                <w:szCs w:val="28"/>
                <w:lang w:eastAsia="ru-RU"/>
              </w:rPr>
              <w:t>&lt;0,05</w:t>
            </w:r>
          </w:p>
        </w:tc>
      </w:tr>
      <w:tr w:rsidR="00545400" w:rsidTr="00105C00">
        <w:tc>
          <w:tcPr>
            <w:tcW w:w="2122" w:type="dxa"/>
          </w:tcPr>
          <w:p w:rsidR="00545400" w:rsidRDefault="00545400" w:rsidP="00105C00">
            <w:pPr>
              <w:spacing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После ПГД</w:t>
            </w:r>
          </w:p>
        </w:tc>
        <w:tc>
          <w:tcPr>
            <w:tcW w:w="2813" w:type="dxa"/>
          </w:tcPr>
          <w:p w:rsidR="00545400" w:rsidRDefault="00545400" w:rsidP="00105C00">
            <w:pPr>
              <w:spacing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110,3 ± 3,3</w:t>
            </w:r>
            <w:r w:rsidRPr="002C6B9C">
              <w:rPr>
                <w:rFonts w:ascii="Times New Roman" w:eastAsia="Times New Roman" w:hAnsi="Times New Roman" w:cs="Times New Roman"/>
                <w:noProof/>
                <w:sz w:val="28"/>
                <w:szCs w:val="28"/>
                <w:lang w:eastAsia="ru-RU"/>
              </w:rPr>
              <w:t xml:space="preserve"> </w:t>
            </w:r>
          </w:p>
        </w:tc>
        <w:tc>
          <w:tcPr>
            <w:tcW w:w="2290" w:type="dxa"/>
          </w:tcPr>
          <w:p w:rsidR="00545400" w:rsidRDefault="00545400" w:rsidP="00105C00">
            <w:pPr>
              <w:spacing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110,9 ± 4,4</w:t>
            </w:r>
          </w:p>
        </w:tc>
        <w:tc>
          <w:tcPr>
            <w:tcW w:w="2120" w:type="dxa"/>
          </w:tcPr>
          <w:p w:rsidR="00545400" w:rsidRDefault="00545400" w:rsidP="00105C00">
            <w:pPr>
              <w:spacing w:line="360" w:lineRule="auto"/>
              <w:jc w:val="both"/>
              <w:rPr>
                <w:rFonts w:ascii="Times New Roman" w:eastAsia="Times New Roman" w:hAnsi="Times New Roman" w:cs="Times New Roman"/>
                <w:noProof/>
                <w:sz w:val="28"/>
                <w:szCs w:val="28"/>
                <w:lang w:eastAsia="ru-RU"/>
              </w:rPr>
            </w:pPr>
            <w:r w:rsidRPr="00B375BE">
              <w:rPr>
                <w:rFonts w:ascii="Times New Roman" w:eastAsia="Times New Roman" w:hAnsi="Times New Roman" w:cs="Times New Roman"/>
                <w:noProof/>
                <w:sz w:val="28"/>
                <w:szCs w:val="28"/>
                <w:lang w:eastAsia="ru-RU"/>
              </w:rPr>
              <w:t>&lt;</w:t>
            </w:r>
            <w:r w:rsidRPr="00C832A7">
              <w:rPr>
                <w:rFonts w:ascii="Times New Roman" w:eastAsia="Times New Roman" w:hAnsi="Times New Roman" w:cs="Times New Roman"/>
                <w:noProof/>
                <w:sz w:val="28"/>
                <w:szCs w:val="28"/>
                <w:lang w:eastAsia="ru-RU"/>
              </w:rPr>
              <w:t xml:space="preserve">0,05 </w:t>
            </w:r>
          </w:p>
        </w:tc>
      </w:tr>
    </w:tbl>
    <w:p w:rsidR="00545400" w:rsidRDefault="00545400" w:rsidP="00545400">
      <w:pPr>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b/>
          <w:noProof/>
          <w:sz w:val="28"/>
          <w:szCs w:val="28"/>
          <w:lang w:eastAsia="ru-RU"/>
        </w:rPr>
        <w:drawing>
          <wp:inline distT="0" distB="0" distL="0" distR="0" wp14:anchorId="1781412E" wp14:editId="54AE3EA0">
            <wp:extent cx="6229350" cy="30861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5400" w:rsidRPr="006F21AC" w:rsidRDefault="00545400" w:rsidP="00545400">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Рисунок 9</w:t>
      </w:r>
      <w:r w:rsidRPr="00B92DB2">
        <w:rPr>
          <w:rFonts w:ascii="Times New Roman" w:eastAsia="Times New Roman" w:hAnsi="Times New Roman" w:cs="Times New Roman"/>
          <w:b/>
          <w:i/>
          <w:sz w:val="28"/>
          <w:szCs w:val="28"/>
          <w:lang w:eastAsia="ru-RU"/>
        </w:rPr>
        <w:t>. Изменение среднего А</w:t>
      </w:r>
      <w:r>
        <w:rPr>
          <w:rFonts w:ascii="Times New Roman" w:eastAsia="Times New Roman" w:hAnsi="Times New Roman" w:cs="Times New Roman"/>
          <w:b/>
          <w:i/>
          <w:sz w:val="28"/>
          <w:szCs w:val="28"/>
          <w:lang w:eastAsia="ru-RU"/>
        </w:rPr>
        <w:t xml:space="preserve">Д до и после сеанса гемодиализа </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 группе сравнения, так и в основной группе после сеанса ПГД получено незначительное увеличение среднего АД (U</w:t>
      </w:r>
      <w:r w:rsidRPr="009739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критерий </w:t>
      </w:r>
      <w:r>
        <w:rPr>
          <w:rFonts w:ascii="Times New Roman" w:eastAsia="Times New Roman" w:hAnsi="Times New Roman" w:cs="Times New Roman"/>
          <w:sz w:val="28"/>
          <w:szCs w:val="28"/>
          <w:lang w:val="en-US" w:eastAsia="ru-RU"/>
        </w:rPr>
        <w:t>Mann</w:t>
      </w:r>
      <w:r w:rsidRPr="00803C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Whitney</w:t>
      </w:r>
      <w:r>
        <w:rPr>
          <w:rFonts w:ascii="Times New Roman" w:eastAsia="Times New Roman" w:hAnsi="Times New Roman" w:cs="Times New Roman"/>
          <w:sz w:val="28"/>
          <w:szCs w:val="28"/>
          <w:lang w:eastAsia="ru-RU"/>
        </w:rPr>
        <w:t xml:space="preserve"> находится в незначимой зоне), при этом для пациентов основной группы характерный более высокие цифры АД, что, вероятно, связано с тяжестью течения основного заболевания. </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На рисунке 9 и в таблице 6 продемонстрировано</w:t>
      </w:r>
      <w:r w:rsidRPr="00CF2AD9">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 xml:space="preserve">между пациентами </w:t>
      </w:r>
      <w:r w:rsidRPr="00CF2AD9">
        <w:rPr>
          <w:rFonts w:ascii="Times New Roman" w:eastAsia="Times New Roman" w:hAnsi="Times New Roman" w:cs="Times New Roman"/>
          <w:sz w:val="28"/>
          <w:szCs w:val="28"/>
          <w:lang w:eastAsia="ru-RU"/>
        </w:rPr>
        <w:t>основной</w:t>
      </w:r>
      <w:r>
        <w:rPr>
          <w:rFonts w:ascii="Times New Roman" w:eastAsia="Times New Roman" w:hAnsi="Times New Roman" w:cs="Times New Roman"/>
          <w:sz w:val="28"/>
          <w:szCs w:val="28"/>
          <w:lang w:eastAsia="ru-RU"/>
        </w:rPr>
        <w:t xml:space="preserve"> группы и группы сравнения достоверно различимых значений влияния сеанса ГД терапии на динамику АГ не выявлено.  </w:t>
      </w:r>
    </w:p>
    <w:p w:rsidR="00545400" w:rsidRDefault="00545400" w:rsidP="00545400">
      <w:pPr>
        <w:spacing w:before="240" w:line="360" w:lineRule="auto"/>
        <w:ind w:firstLine="709"/>
        <w:jc w:val="both"/>
        <w:rPr>
          <w:rFonts w:ascii="Times New Roman" w:eastAsia="Times New Roman" w:hAnsi="Times New Roman" w:cs="Times New Roman"/>
          <w:b/>
          <w:sz w:val="28"/>
          <w:szCs w:val="28"/>
          <w:lang w:eastAsia="ru-RU"/>
        </w:rPr>
      </w:pPr>
    </w:p>
    <w:p w:rsidR="00545400" w:rsidRDefault="00545400" w:rsidP="00545400">
      <w:pPr>
        <w:spacing w:after="0" w:line="36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noProof/>
          <w:sz w:val="28"/>
          <w:szCs w:val="28"/>
          <w:lang w:eastAsia="ru-RU"/>
        </w:rPr>
        <w:drawing>
          <wp:inline distT="0" distB="0" distL="0" distR="0" wp14:anchorId="3BA573D1" wp14:editId="5558DDC9">
            <wp:extent cx="5953125" cy="32766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5400" w:rsidRPr="006F21AC" w:rsidRDefault="00545400" w:rsidP="00545400">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Рисунок 10</w:t>
      </w:r>
      <w:r w:rsidRPr="00B92DB2">
        <w:rPr>
          <w:rFonts w:ascii="Times New Roman" w:eastAsia="Times New Roman" w:hAnsi="Times New Roman" w:cs="Times New Roman"/>
          <w:b/>
          <w:i/>
          <w:sz w:val="28"/>
          <w:szCs w:val="28"/>
          <w:lang w:eastAsia="ru-RU"/>
        </w:rPr>
        <w:t xml:space="preserve">. Корреляционная связь АГ и длительности ГД у </w:t>
      </w:r>
      <w:r>
        <w:rPr>
          <w:rFonts w:ascii="Times New Roman" w:eastAsia="Times New Roman" w:hAnsi="Times New Roman" w:cs="Times New Roman"/>
          <w:b/>
          <w:i/>
          <w:sz w:val="28"/>
          <w:szCs w:val="28"/>
          <w:lang w:eastAsia="ru-RU"/>
        </w:rPr>
        <w:t>пациентов с ДН</w:t>
      </w:r>
    </w:p>
    <w:p w:rsidR="00545400" w:rsidRPr="004A1452"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подсчётов была</w:t>
      </w:r>
      <w:r w:rsidRPr="00B10BC2">
        <w:rPr>
          <w:rFonts w:ascii="Times New Roman" w:eastAsia="Times New Roman" w:hAnsi="Times New Roman" w:cs="Times New Roman"/>
          <w:sz w:val="28"/>
          <w:szCs w:val="28"/>
          <w:lang w:eastAsia="ru-RU"/>
        </w:rPr>
        <w:t xml:space="preserve"> обнаружена прямая корреляционная связь между </w:t>
      </w:r>
      <w:r>
        <w:rPr>
          <w:rFonts w:ascii="Times New Roman" w:eastAsia="Times New Roman" w:hAnsi="Times New Roman" w:cs="Times New Roman"/>
          <w:sz w:val="28"/>
          <w:szCs w:val="28"/>
          <w:lang w:eastAsia="ru-RU"/>
        </w:rPr>
        <w:t xml:space="preserve">длительностью ЗГДТ и уровнем среднего </w:t>
      </w:r>
      <w:r w:rsidRPr="00B10BC2">
        <w:rPr>
          <w:rFonts w:ascii="Times New Roman" w:eastAsia="Times New Roman" w:hAnsi="Times New Roman" w:cs="Times New Roman"/>
          <w:sz w:val="28"/>
          <w:szCs w:val="28"/>
          <w:lang w:eastAsia="ru-RU"/>
        </w:rPr>
        <w:t>АД.</w:t>
      </w:r>
      <w:r>
        <w:rPr>
          <w:rFonts w:ascii="Times New Roman" w:eastAsia="Times New Roman" w:hAnsi="Times New Roman" w:cs="Times New Roman"/>
          <w:sz w:val="28"/>
          <w:szCs w:val="28"/>
          <w:lang w:eastAsia="ru-RU"/>
        </w:rPr>
        <w:t xml:space="preserve"> У пациентов, получающих ГД терапию более 10 лет статистически значимо наблюдаются более высокие цифры АД (</w:t>
      </w:r>
      <w:r w:rsidRPr="00ED4786">
        <w:rPr>
          <w:rFonts w:ascii="Times New Roman" w:eastAsia="Times New Roman" w:hAnsi="Times New Roman" w:cs="Times New Roman"/>
          <w:sz w:val="28"/>
          <w:szCs w:val="28"/>
          <w:lang w:eastAsia="ru-RU"/>
        </w:rPr>
        <w:t>коэффициент корреляции Спирмена (</w:t>
      </w:r>
      <w:r w:rsidRPr="00ED4786">
        <w:rPr>
          <w:rFonts w:ascii="Times New Roman" w:eastAsia="Times New Roman" w:hAnsi="Times New Roman" w:cs="Times New Roman"/>
          <w:sz w:val="28"/>
          <w:szCs w:val="28"/>
          <w:lang w:val="en-US" w:eastAsia="ru-RU"/>
        </w:rPr>
        <w:t>r</w:t>
      </w:r>
      <w:r>
        <w:rPr>
          <w:rFonts w:ascii="Times New Roman" w:eastAsia="Times New Roman" w:hAnsi="Times New Roman" w:cs="Times New Roman"/>
          <w:sz w:val="28"/>
          <w:szCs w:val="28"/>
          <w:lang w:eastAsia="ru-RU"/>
        </w:rPr>
        <w:t xml:space="preserve">) равен 0.741). </w:t>
      </w:r>
      <w:r w:rsidRPr="00ED4786">
        <w:rPr>
          <w:rFonts w:ascii="Times New Roman" w:eastAsia="Times New Roman" w:hAnsi="Times New Roman" w:cs="Times New Roman"/>
          <w:sz w:val="28"/>
          <w:szCs w:val="28"/>
          <w:lang w:eastAsia="ru-RU"/>
        </w:rPr>
        <w:t xml:space="preserve"> </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Далее исследование было проведено в группе сравнения. </w:t>
      </w:r>
    </w:p>
    <w:p w:rsidR="00545400" w:rsidRDefault="00545400" w:rsidP="0054540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4D413F16" wp14:editId="5B1E0B61">
            <wp:extent cx="5810250" cy="2819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5400" w:rsidRPr="00B92DB2" w:rsidRDefault="00545400" w:rsidP="00545400">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Рисунок 11</w:t>
      </w:r>
      <w:r w:rsidRPr="00B92DB2">
        <w:rPr>
          <w:rFonts w:ascii="Times New Roman" w:eastAsia="Times New Roman" w:hAnsi="Times New Roman" w:cs="Times New Roman"/>
          <w:b/>
          <w:i/>
          <w:sz w:val="28"/>
          <w:szCs w:val="28"/>
          <w:lang w:eastAsia="ru-RU"/>
        </w:rPr>
        <w:t xml:space="preserve">. Корреляционная связь АГ и длительности ГД у </w:t>
      </w:r>
      <w:r>
        <w:rPr>
          <w:rFonts w:ascii="Times New Roman" w:eastAsia="Times New Roman" w:hAnsi="Times New Roman" w:cs="Times New Roman"/>
          <w:b/>
          <w:i/>
          <w:sz w:val="28"/>
          <w:szCs w:val="28"/>
          <w:lang w:eastAsia="ru-RU"/>
        </w:rPr>
        <w:t>пациентов с ХГН</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этой группе прослеживается корреляционная связь увеличение средних значений АД по мере увеличения длительности получения ЗПТ.</w:t>
      </w:r>
    </w:p>
    <w:p w:rsidR="00545400" w:rsidRDefault="00545400" w:rsidP="00545400">
      <w:pPr>
        <w:spacing w:before="240" w:line="360" w:lineRule="auto"/>
        <w:jc w:val="both"/>
        <w:rPr>
          <w:rFonts w:ascii="Times New Roman" w:eastAsia="Times New Roman" w:hAnsi="Times New Roman" w:cs="Times New Roman"/>
          <w:sz w:val="28"/>
          <w:szCs w:val="28"/>
          <w:lang w:eastAsia="ru-RU"/>
        </w:rPr>
      </w:pPr>
    </w:p>
    <w:p w:rsidR="00545400" w:rsidRPr="00A36EB3" w:rsidRDefault="00545400" w:rsidP="00545400">
      <w:pPr>
        <w:spacing w:before="240" w:line="360" w:lineRule="auto"/>
        <w:jc w:val="center"/>
        <w:rPr>
          <w:rFonts w:ascii="Times New Roman" w:eastAsia="Times New Roman" w:hAnsi="Times New Roman" w:cs="Times New Roman"/>
          <w:b/>
          <w:sz w:val="28"/>
          <w:szCs w:val="28"/>
          <w:lang w:eastAsia="ru-RU"/>
        </w:rPr>
      </w:pPr>
      <w:r w:rsidRPr="00892C5D">
        <w:rPr>
          <w:rFonts w:ascii="Times New Roman" w:eastAsia="Times New Roman" w:hAnsi="Times New Roman" w:cs="Times New Roman"/>
          <w:b/>
          <w:sz w:val="28"/>
          <w:szCs w:val="28"/>
          <w:lang w:eastAsia="ru-RU"/>
        </w:rPr>
        <w:t xml:space="preserve">Распределение больных </w:t>
      </w:r>
      <w:r>
        <w:rPr>
          <w:rFonts w:ascii="Times New Roman" w:eastAsia="Times New Roman" w:hAnsi="Times New Roman" w:cs="Times New Roman"/>
          <w:b/>
          <w:sz w:val="28"/>
          <w:szCs w:val="28"/>
          <w:lang w:eastAsia="ru-RU"/>
        </w:rPr>
        <w:t>по степени компенсации гликемии</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исследования было выявлено, что все пациенты с ДН на момент включения имели декомпенсацию углеводного обмена, о чем свидетельствуют показатели гликированного гемоглобина (10,45</w:t>
      </w:r>
      <w:r w:rsidRPr="00994A04">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0,28 %).</w:t>
      </w:r>
    </w:p>
    <w:p w:rsidR="00545400" w:rsidRPr="009B5E66" w:rsidRDefault="00545400" w:rsidP="0054540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2AA760A8" wp14:editId="7233CD64">
            <wp:extent cx="6010275" cy="32670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imes New Roman" w:eastAsia="Times New Roman" w:hAnsi="Times New Roman" w:cs="Times New Roman"/>
          <w:sz w:val="28"/>
          <w:szCs w:val="28"/>
          <w:lang w:eastAsia="ru-RU"/>
        </w:rPr>
        <w:t xml:space="preserve"> </w:t>
      </w:r>
    </w:p>
    <w:p w:rsidR="00545400" w:rsidRPr="00B92DB2" w:rsidRDefault="00545400" w:rsidP="00545400">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Рисунок 12</w:t>
      </w:r>
      <w:r w:rsidRPr="00B92DB2">
        <w:rPr>
          <w:rFonts w:ascii="Times New Roman" w:eastAsia="Times New Roman" w:hAnsi="Times New Roman" w:cs="Times New Roman"/>
          <w:b/>
          <w:i/>
          <w:sz w:val="28"/>
          <w:szCs w:val="28"/>
          <w:lang w:eastAsia="ru-RU"/>
        </w:rPr>
        <w:t>. Корреляционная связь гликированного гемоглобина в</w:t>
      </w:r>
      <w:r>
        <w:rPr>
          <w:rFonts w:ascii="Times New Roman" w:eastAsia="Times New Roman" w:hAnsi="Times New Roman" w:cs="Times New Roman"/>
          <w:b/>
          <w:i/>
          <w:sz w:val="28"/>
          <w:szCs w:val="28"/>
          <w:lang w:eastAsia="ru-RU"/>
        </w:rPr>
        <w:t xml:space="preserve"> зависимости от длительности ГД</w:t>
      </w:r>
      <w:r w:rsidRPr="00B92DB2">
        <w:rPr>
          <w:rFonts w:ascii="Times New Roman" w:eastAsia="Times New Roman" w:hAnsi="Times New Roman" w:cs="Times New Roman"/>
          <w:b/>
          <w:i/>
          <w:sz w:val="28"/>
          <w:szCs w:val="28"/>
          <w:lang w:eastAsia="ru-RU"/>
        </w:rPr>
        <w:t xml:space="preserve"> </w:t>
      </w:r>
    </w:p>
    <w:p w:rsidR="00545400" w:rsidRDefault="00545400" w:rsidP="00545400">
      <w:pPr>
        <w:spacing w:before="24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Таким образом, при проведении подсчётов была</w:t>
      </w:r>
      <w:r w:rsidRPr="00360F2B">
        <w:rPr>
          <w:rFonts w:ascii="Times New Roman" w:eastAsia="Times New Roman" w:hAnsi="Times New Roman" w:cs="Times New Roman"/>
          <w:sz w:val="28"/>
          <w:szCs w:val="28"/>
          <w:lang w:eastAsia="ru-RU"/>
        </w:rPr>
        <w:t xml:space="preserve"> обнаружена прямая корреляционная связь между длительн</w:t>
      </w:r>
      <w:r>
        <w:rPr>
          <w:rFonts w:ascii="Times New Roman" w:eastAsia="Times New Roman" w:hAnsi="Times New Roman" w:cs="Times New Roman"/>
          <w:sz w:val="28"/>
          <w:szCs w:val="28"/>
          <w:lang w:eastAsia="ru-RU"/>
        </w:rPr>
        <w:t>остью ЗГДТ и цифрами гликированного гемоглобина. Соотношение длительности получения ГДТ и HbA</w:t>
      </w:r>
      <w:r w:rsidRPr="006B35B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c</w:t>
      </w:r>
      <w:r w:rsidRPr="006B35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статистически значимо; с увеличением времени ГДТ наблюдалась</w:t>
      </w:r>
      <w:r w:rsidRPr="00360F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тенденция к декомпенсации углеводного обмена </w:t>
      </w:r>
      <w:r w:rsidRPr="00360F2B">
        <w:rPr>
          <w:rFonts w:ascii="Times New Roman" w:eastAsia="Times New Roman" w:hAnsi="Times New Roman" w:cs="Times New Roman"/>
          <w:sz w:val="28"/>
          <w:szCs w:val="28"/>
          <w:lang w:eastAsia="ru-RU"/>
        </w:rPr>
        <w:t>(коэффициент ко</w:t>
      </w:r>
      <w:r>
        <w:rPr>
          <w:rFonts w:ascii="Times New Roman" w:eastAsia="Times New Roman" w:hAnsi="Times New Roman" w:cs="Times New Roman"/>
          <w:sz w:val="28"/>
          <w:szCs w:val="28"/>
          <w:lang w:eastAsia="ru-RU"/>
        </w:rPr>
        <w:t>рреляции Спирмена (r) равен 0.701</w:t>
      </w:r>
      <w:r w:rsidRPr="00360F2B">
        <w:rPr>
          <w:rFonts w:ascii="Times New Roman" w:eastAsia="Times New Roman" w:hAnsi="Times New Roman" w:cs="Times New Roman"/>
          <w:sz w:val="28"/>
          <w:szCs w:val="28"/>
          <w:lang w:eastAsia="ru-RU"/>
        </w:rPr>
        <w:t>).</w:t>
      </w:r>
      <w:r w:rsidRPr="00360F2B">
        <w:rPr>
          <w:rFonts w:ascii="Times New Roman" w:eastAsia="Times New Roman" w:hAnsi="Times New Roman" w:cs="Times New Roman"/>
          <w:b/>
          <w:sz w:val="28"/>
          <w:szCs w:val="28"/>
          <w:lang w:eastAsia="ru-RU"/>
        </w:rPr>
        <w:t xml:space="preserve">  </w:t>
      </w:r>
    </w:p>
    <w:p w:rsidR="00545400" w:rsidRDefault="00545400" w:rsidP="00545400">
      <w:pPr>
        <w:spacing w:before="240" w:line="360" w:lineRule="auto"/>
        <w:ind w:firstLine="709"/>
        <w:jc w:val="both"/>
        <w:rPr>
          <w:rFonts w:ascii="Times New Roman" w:eastAsia="Times New Roman" w:hAnsi="Times New Roman" w:cs="Times New Roman"/>
          <w:b/>
          <w:sz w:val="28"/>
          <w:szCs w:val="28"/>
          <w:lang w:eastAsia="ru-RU"/>
        </w:rPr>
      </w:pPr>
    </w:p>
    <w:p w:rsidR="00545400" w:rsidRDefault="00545400" w:rsidP="00545400">
      <w:pPr>
        <w:spacing w:before="24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Оценка эффективности</w:t>
      </w:r>
      <w:r w:rsidRPr="006B35BB">
        <w:rPr>
          <w:rFonts w:ascii="Times New Roman" w:eastAsia="Times New Roman" w:hAnsi="Times New Roman" w:cs="Times New Roman"/>
          <w:b/>
          <w:sz w:val="28"/>
          <w:szCs w:val="28"/>
          <w:lang w:eastAsia="ru-RU"/>
        </w:rPr>
        <w:t xml:space="preserve"> антианемической терапии</w:t>
      </w:r>
    </w:p>
    <w:p w:rsidR="00545400" w:rsidRPr="00994A04" w:rsidRDefault="00545400" w:rsidP="00545400">
      <w:pPr>
        <w:spacing w:before="24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Для оценки эффекта антианемической терапии всех обследованных пациентов разделили на две группы по типу СД. Исходный уровень гемоглобина у 84% пациентов </w:t>
      </w:r>
      <w:r w:rsidRPr="00A90F62">
        <w:rPr>
          <w:rFonts w:ascii="Times New Roman" w:eastAsia="Times New Roman" w:hAnsi="Times New Roman" w:cs="Times New Roman"/>
          <w:sz w:val="28"/>
          <w:szCs w:val="28"/>
          <w:lang w:eastAsia="ru-RU"/>
        </w:rPr>
        <w:t>СД 2</w:t>
      </w:r>
      <w:r>
        <w:rPr>
          <w:rFonts w:ascii="Times New Roman" w:eastAsia="Times New Roman" w:hAnsi="Times New Roman" w:cs="Times New Roman"/>
          <w:sz w:val="28"/>
          <w:szCs w:val="28"/>
          <w:lang w:eastAsia="ru-RU"/>
        </w:rPr>
        <w:t xml:space="preserve"> </w:t>
      </w:r>
      <w:r w:rsidRPr="00A90F62">
        <w:rPr>
          <w:rFonts w:ascii="Times New Roman" w:eastAsia="Times New Roman" w:hAnsi="Times New Roman" w:cs="Times New Roman"/>
          <w:sz w:val="28"/>
          <w:szCs w:val="28"/>
          <w:lang w:eastAsia="ru-RU"/>
        </w:rPr>
        <w:t xml:space="preserve">типа несколько чаще находился ниже рекомендованных </w:t>
      </w:r>
      <w:r>
        <w:rPr>
          <w:rFonts w:ascii="Times New Roman" w:eastAsia="Times New Roman" w:hAnsi="Times New Roman" w:cs="Times New Roman"/>
          <w:sz w:val="28"/>
          <w:szCs w:val="28"/>
          <w:lang w:eastAsia="ru-RU"/>
        </w:rPr>
        <w:t>значений</w:t>
      </w:r>
      <w:r w:rsidRPr="001311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(среднее значение 83,77</w:t>
      </w:r>
      <w:r w:rsidRPr="00131144">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4,93), чем в группе с СД 1 типа (50%) среднее значение 103,7</w:t>
      </w:r>
      <w:r w:rsidRPr="00903FEA">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6,99</w:t>
      </w:r>
      <w:r w:rsidRPr="00903F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90F62">
        <w:rPr>
          <w:rFonts w:ascii="Times New Roman" w:eastAsia="Times New Roman" w:hAnsi="Times New Roman" w:cs="Times New Roman"/>
          <w:sz w:val="28"/>
          <w:szCs w:val="28"/>
          <w:lang w:eastAsia="ru-RU"/>
        </w:rPr>
        <w:t xml:space="preserve"> </w:t>
      </w:r>
    </w:p>
    <w:p w:rsidR="00545400" w:rsidRPr="00757B71"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динамике оценивались</w:t>
      </w:r>
      <w:r w:rsidRPr="00757B71">
        <w:rPr>
          <w:rFonts w:ascii="Times New Roman" w:eastAsia="Times New Roman" w:hAnsi="Times New Roman" w:cs="Times New Roman"/>
          <w:sz w:val="28"/>
          <w:szCs w:val="28"/>
          <w:lang w:eastAsia="ru-RU"/>
        </w:rPr>
        <w:t>: гемоглобин сыворотки крови (Нв)</w:t>
      </w:r>
      <w:r>
        <w:rPr>
          <w:rFonts w:ascii="Times New Roman" w:eastAsia="Times New Roman" w:hAnsi="Times New Roman" w:cs="Times New Roman"/>
          <w:sz w:val="28"/>
          <w:szCs w:val="28"/>
          <w:lang w:eastAsia="ru-RU"/>
        </w:rPr>
        <w:t xml:space="preserve">, прирост </w:t>
      </w:r>
      <w:r>
        <w:rPr>
          <w:rFonts w:ascii="Times New Roman" w:eastAsia="Times New Roman" w:hAnsi="Times New Roman" w:cs="Times New Roman"/>
          <w:sz w:val="28"/>
          <w:szCs w:val="28"/>
          <w:lang w:val="en-US" w:eastAsia="ru-RU"/>
        </w:rPr>
        <w:t>Hb</w:t>
      </w:r>
      <w:r w:rsidRPr="00757B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через месяц после антианемической терапии, которая включала препараты железа, средства, стимулирующие эритропоэз и, по показаниям, гемотрансфузионную терапию. </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757B71">
        <w:rPr>
          <w:rFonts w:ascii="Times New Roman" w:eastAsia="Times New Roman" w:hAnsi="Times New Roman" w:cs="Times New Roman"/>
          <w:sz w:val="28"/>
          <w:szCs w:val="28"/>
          <w:lang w:eastAsia="ru-RU"/>
        </w:rPr>
        <w:t>При оценке эффективности антианемической терапии использовали следующие критерии: эффективн</w:t>
      </w:r>
      <w:r>
        <w:rPr>
          <w:rFonts w:ascii="Times New Roman" w:eastAsia="Times New Roman" w:hAnsi="Times New Roman" w:cs="Times New Roman"/>
          <w:sz w:val="28"/>
          <w:szCs w:val="28"/>
          <w:lang w:eastAsia="ru-RU"/>
        </w:rPr>
        <w:t xml:space="preserve">ое лечение – в случае достижения целевого уровня Нв </w:t>
      </w:r>
      <w:r w:rsidRPr="00757B71">
        <w:rPr>
          <w:rFonts w:ascii="Times New Roman" w:eastAsia="Times New Roman" w:hAnsi="Times New Roman" w:cs="Times New Roman"/>
          <w:sz w:val="28"/>
          <w:szCs w:val="28"/>
          <w:lang w:eastAsia="ru-RU"/>
        </w:rPr>
        <w:t xml:space="preserve">100 </w:t>
      </w:r>
      <w:r>
        <w:rPr>
          <w:rFonts w:ascii="Times New Roman" w:eastAsia="Times New Roman" w:hAnsi="Times New Roman" w:cs="Times New Roman"/>
          <w:sz w:val="28"/>
          <w:szCs w:val="28"/>
          <w:lang w:eastAsia="ru-RU"/>
        </w:rPr>
        <w:t xml:space="preserve">- 120 </w:t>
      </w:r>
      <w:r w:rsidRPr="00757B71">
        <w:rPr>
          <w:rFonts w:ascii="Times New Roman" w:eastAsia="Times New Roman" w:hAnsi="Times New Roman" w:cs="Times New Roman"/>
          <w:sz w:val="28"/>
          <w:szCs w:val="28"/>
          <w:lang w:eastAsia="ru-RU"/>
        </w:rPr>
        <w:t xml:space="preserve">г/л; улучшение – прирост Нв </w:t>
      </w:r>
      <w:r w:rsidRPr="00131144">
        <w:rPr>
          <w:rFonts w:ascii="Times New Roman" w:eastAsia="Times New Roman" w:hAnsi="Times New Roman" w:cs="Times New Roman"/>
          <w:sz w:val="28"/>
          <w:szCs w:val="28"/>
          <w:lang w:eastAsia="ru-RU"/>
        </w:rPr>
        <w:t>&gt;</w:t>
      </w:r>
      <w:r>
        <w:rPr>
          <w:rFonts w:ascii="Times New Roman" w:eastAsia="Times New Roman" w:hAnsi="Times New Roman" w:cs="Times New Roman"/>
          <w:sz w:val="28"/>
          <w:szCs w:val="28"/>
          <w:lang w:eastAsia="ru-RU"/>
        </w:rPr>
        <w:t>10</w:t>
      </w:r>
      <w:r w:rsidRPr="00757B71">
        <w:rPr>
          <w:rFonts w:ascii="Times New Roman" w:eastAsia="Times New Roman" w:hAnsi="Times New Roman" w:cs="Times New Roman"/>
          <w:sz w:val="28"/>
          <w:szCs w:val="28"/>
          <w:lang w:eastAsia="ru-RU"/>
        </w:rPr>
        <w:t xml:space="preserve">г/л в </w:t>
      </w:r>
      <w:r>
        <w:rPr>
          <w:rFonts w:ascii="Times New Roman" w:eastAsia="Times New Roman" w:hAnsi="Times New Roman" w:cs="Times New Roman"/>
          <w:sz w:val="28"/>
          <w:szCs w:val="28"/>
          <w:lang w:eastAsia="ru-RU"/>
        </w:rPr>
        <w:t xml:space="preserve">течении </w:t>
      </w:r>
      <w:r w:rsidRPr="00757B71">
        <w:rPr>
          <w:rFonts w:ascii="Times New Roman" w:eastAsia="Times New Roman" w:hAnsi="Times New Roman" w:cs="Times New Roman"/>
          <w:sz w:val="28"/>
          <w:szCs w:val="28"/>
          <w:lang w:eastAsia="ru-RU"/>
        </w:rPr>
        <w:t>месяц</w:t>
      </w:r>
      <w:r>
        <w:rPr>
          <w:rFonts w:ascii="Times New Roman" w:eastAsia="Times New Roman" w:hAnsi="Times New Roman" w:cs="Times New Roman"/>
          <w:sz w:val="28"/>
          <w:szCs w:val="28"/>
          <w:lang w:eastAsia="ru-RU"/>
        </w:rPr>
        <w:t>а</w:t>
      </w:r>
      <w:r w:rsidRPr="00757B71">
        <w:rPr>
          <w:rFonts w:ascii="Times New Roman" w:eastAsia="Times New Roman" w:hAnsi="Times New Roman" w:cs="Times New Roman"/>
          <w:sz w:val="28"/>
          <w:szCs w:val="28"/>
          <w:lang w:eastAsia="ru-RU"/>
        </w:rPr>
        <w:t>; низкая эффективность</w:t>
      </w:r>
      <w:r>
        <w:rPr>
          <w:rFonts w:ascii="Times New Roman" w:eastAsia="Times New Roman" w:hAnsi="Times New Roman" w:cs="Times New Roman"/>
          <w:sz w:val="28"/>
          <w:szCs w:val="28"/>
          <w:lang w:eastAsia="ru-RU"/>
        </w:rPr>
        <w:t xml:space="preserve"> лечения – прирост Нв &lt;10 г/л в </w:t>
      </w:r>
      <w:r w:rsidRPr="0002149E">
        <w:rPr>
          <w:rFonts w:ascii="Times New Roman" w:eastAsia="Times New Roman" w:hAnsi="Times New Roman" w:cs="Times New Roman"/>
          <w:sz w:val="28"/>
          <w:szCs w:val="28"/>
          <w:lang w:eastAsia="ru-RU"/>
        </w:rPr>
        <w:t>течении месяца</w:t>
      </w:r>
      <w:r>
        <w:rPr>
          <w:rFonts w:ascii="Times New Roman" w:eastAsia="Times New Roman" w:hAnsi="Times New Roman" w:cs="Times New Roman"/>
          <w:sz w:val="28"/>
          <w:szCs w:val="28"/>
          <w:lang w:eastAsia="ru-RU"/>
        </w:rPr>
        <w:t>.</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работы было выявлено, что по истечению месяца с начала исследования среднее значение уровня гемоглобина достигло 91,96</w:t>
      </w:r>
      <w:r w:rsidRPr="00147DAA">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2,9 для пациентов с ДН на ПГД, при этом у пациентов с СД2 типа 88,92</w:t>
      </w:r>
      <w:r w:rsidRPr="00EC73B4">
        <w:rPr>
          <w:rFonts w:ascii="Times New Roman" w:eastAsia="Times New Roman" w:hAnsi="Times New Roman" w:cs="Times New Roman"/>
          <w:sz w:val="28"/>
          <w:szCs w:val="28"/>
          <w:u w:val="single"/>
          <w:lang w:eastAsia="ru-RU"/>
        </w:rPr>
        <w:t>+</w:t>
      </w:r>
      <w:r w:rsidRPr="00EC73B4">
        <w:rPr>
          <w:rFonts w:ascii="Times New Roman" w:eastAsia="Times New Roman" w:hAnsi="Times New Roman" w:cs="Times New Roman"/>
          <w:sz w:val="28"/>
          <w:szCs w:val="28"/>
          <w:lang w:eastAsia="ru-RU"/>
        </w:rPr>
        <w:t>3,48</w:t>
      </w:r>
      <w:r>
        <w:rPr>
          <w:rFonts w:ascii="Times New Roman" w:eastAsia="Times New Roman" w:hAnsi="Times New Roman" w:cs="Times New Roman"/>
          <w:sz w:val="28"/>
          <w:szCs w:val="28"/>
          <w:lang w:eastAsia="ru-RU"/>
        </w:rPr>
        <w:t>, а в группе с СД1 типа 105,5</w:t>
      </w:r>
      <w:r w:rsidRPr="00EC73B4">
        <w:rPr>
          <w:rFonts w:ascii="Times New Roman" w:eastAsia="Times New Roman" w:hAnsi="Times New Roman" w:cs="Times New Roman"/>
          <w:sz w:val="28"/>
          <w:szCs w:val="28"/>
          <w:u w:val="single"/>
          <w:lang w:eastAsia="ru-RU"/>
        </w:rPr>
        <w:t>+</w:t>
      </w:r>
      <w:r w:rsidRPr="00EC73B4">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w:t>
      </w:r>
    </w:p>
    <w:p w:rsidR="00545400" w:rsidRPr="00B92DB2" w:rsidRDefault="00545400" w:rsidP="00545400">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Таблица 7</w:t>
      </w:r>
      <w:r w:rsidRPr="00B92DB2">
        <w:rPr>
          <w:rFonts w:ascii="Times New Roman" w:eastAsia="Times New Roman" w:hAnsi="Times New Roman" w:cs="Times New Roman"/>
          <w:b/>
          <w:i/>
          <w:sz w:val="28"/>
          <w:szCs w:val="28"/>
          <w:lang w:eastAsia="ru-RU"/>
        </w:rPr>
        <w:t xml:space="preserve">. Эффективность антианемической терапии </w:t>
      </w:r>
    </w:p>
    <w:tbl>
      <w:tblPr>
        <w:tblStyle w:val="ac"/>
        <w:tblW w:w="0" w:type="auto"/>
        <w:tblLook w:val="04A0" w:firstRow="1" w:lastRow="0" w:firstColumn="1" w:lastColumn="0" w:noHBand="0" w:noVBand="1"/>
      </w:tblPr>
      <w:tblGrid>
        <w:gridCol w:w="2406"/>
        <w:gridCol w:w="2233"/>
        <w:gridCol w:w="2254"/>
        <w:gridCol w:w="2406"/>
      </w:tblGrid>
      <w:tr w:rsidR="00545400" w:rsidTr="00105C00">
        <w:trPr>
          <w:trHeight w:val="993"/>
        </w:trPr>
        <w:tc>
          <w:tcPr>
            <w:tcW w:w="2406" w:type="dxa"/>
          </w:tcPr>
          <w:p w:rsidR="00545400" w:rsidRDefault="00545400" w:rsidP="00105C00">
            <w:pPr>
              <w:spacing w:line="360" w:lineRule="auto"/>
              <w:jc w:val="both"/>
              <w:rPr>
                <w:rFonts w:ascii="Times New Roman" w:eastAsia="Times New Roman" w:hAnsi="Times New Roman" w:cs="Times New Roman"/>
                <w:sz w:val="28"/>
                <w:szCs w:val="28"/>
                <w:lang w:eastAsia="ru-RU"/>
              </w:rPr>
            </w:pPr>
          </w:p>
        </w:tc>
        <w:tc>
          <w:tcPr>
            <w:tcW w:w="2233" w:type="dxa"/>
          </w:tcPr>
          <w:p w:rsidR="00545400" w:rsidRDefault="00545400" w:rsidP="00105C0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СД1</w:t>
            </w:r>
          </w:p>
        </w:tc>
        <w:tc>
          <w:tcPr>
            <w:tcW w:w="2254" w:type="dxa"/>
          </w:tcPr>
          <w:p w:rsidR="00545400" w:rsidRDefault="00545400" w:rsidP="00105C0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СД2</w:t>
            </w:r>
          </w:p>
        </w:tc>
        <w:tc>
          <w:tcPr>
            <w:tcW w:w="2406" w:type="dxa"/>
          </w:tcPr>
          <w:p w:rsidR="00545400" w:rsidRDefault="00545400" w:rsidP="00105C0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Достоверность различий,</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Р </w:t>
            </w:r>
          </w:p>
        </w:tc>
      </w:tr>
      <w:tr w:rsidR="00545400" w:rsidTr="00105C00">
        <w:trPr>
          <w:trHeight w:val="993"/>
        </w:trPr>
        <w:tc>
          <w:tcPr>
            <w:tcW w:w="2406" w:type="dxa"/>
          </w:tcPr>
          <w:p w:rsidR="00545400" w:rsidRPr="00EC73B4" w:rsidRDefault="00545400" w:rsidP="00105C00">
            <w:p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Исходный уровень</w:t>
            </w:r>
            <w:r>
              <w:rPr>
                <w:rFonts w:ascii="Times New Roman" w:eastAsia="Times New Roman" w:hAnsi="Times New Roman" w:cs="Times New Roman"/>
                <w:sz w:val="28"/>
                <w:szCs w:val="28"/>
                <w:lang w:val="en-US" w:eastAsia="ru-RU"/>
              </w:rPr>
              <w:t xml:space="preserve"> Hb</w:t>
            </w:r>
          </w:p>
        </w:tc>
        <w:tc>
          <w:tcPr>
            <w:tcW w:w="2233" w:type="dxa"/>
          </w:tcPr>
          <w:p w:rsidR="00545400" w:rsidRDefault="00545400" w:rsidP="00105C00">
            <w:pPr>
              <w:spacing w:line="360" w:lineRule="auto"/>
              <w:jc w:val="both"/>
              <w:rPr>
                <w:rFonts w:ascii="Times New Roman" w:eastAsia="Times New Roman" w:hAnsi="Times New Roman" w:cs="Times New Roman"/>
                <w:sz w:val="28"/>
                <w:szCs w:val="28"/>
                <w:lang w:eastAsia="ru-RU"/>
              </w:rPr>
            </w:pPr>
            <w:r w:rsidRPr="00EC73B4">
              <w:rPr>
                <w:rFonts w:ascii="Times New Roman" w:eastAsia="Times New Roman" w:hAnsi="Times New Roman" w:cs="Times New Roman"/>
                <w:sz w:val="28"/>
                <w:szCs w:val="28"/>
                <w:lang w:eastAsia="ru-RU"/>
              </w:rPr>
              <w:t>103,7</w:t>
            </w:r>
            <w:r w:rsidRPr="00EC73B4">
              <w:rPr>
                <w:rFonts w:ascii="Times New Roman" w:eastAsia="Times New Roman" w:hAnsi="Times New Roman" w:cs="Times New Roman"/>
                <w:sz w:val="28"/>
                <w:szCs w:val="28"/>
                <w:u w:val="single"/>
                <w:lang w:eastAsia="ru-RU"/>
              </w:rPr>
              <w:t>+</w:t>
            </w:r>
            <w:r w:rsidRPr="00EC73B4">
              <w:rPr>
                <w:rFonts w:ascii="Times New Roman" w:eastAsia="Times New Roman" w:hAnsi="Times New Roman" w:cs="Times New Roman"/>
                <w:sz w:val="28"/>
                <w:szCs w:val="28"/>
                <w:lang w:eastAsia="ru-RU"/>
              </w:rPr>
              <w:t xml:space="preserve"> 6,99</w:t>
            </w:r>
          </w:p>
        </w:tc>
        <w:tc>
          <w:tcPr>
            <w:tcW w:w="2254" w:type="dxa"/>
          </w:tcPr>
          <w:p w:rsidR="00545400" w:rsidRDefault="00545400" w:rsidP="00105C00">
            <w:pPr>
              <w:spacing w:line="360" w:lineRule="auto"/>
              <w:jc w:val="both"/>
              <w:rPr>
                <w:rFonts w:ascii="Times New Roman" w:eastAsia="Times New Roman" w:hAnsi="Times New Roman" w:cs="Times New Roman"/>
                <w:sz w:val="28"/>
                <w:szCs w:val="28"/>
                <w:lang w:eastAsia="ru-RU"/>
              </w:rPr>
            </w:pPr>
            <w:r w:rsidRPr="00EC73B4">
              <w:rPr>
                <w:rFonts w:ascii="Times New Roman" w:eastAsia="Times New Roman" w:hAnsi="Times New Roman" w:cs="Times New Roman"/>
                <w:sz w:val="28"/>
                <w:szCs w:val="28"/>
                <w:lang w:eastAsia="ru-RU"/>
              </w:rPr>
              <w:t>83,77</w:t>
            </w:r>
            <w:r w:rsidRPr="00EC73B4">
              <w:rPr>
                <w:rFonts w:ascii="Times New Roman" w:eastAsia="Times New Roman" w:hAnsi="Times New Roman" w:cs="Times New Roman"/>
                <w:sz w:val="28"/>
                <w:szCs w:val="28"/>
                <w:u w:val="single"/>
                <w:lang w:eastAsia="ru-RU"/>
              </w:rPr>
              <w:t>+</w:t>
            </w:r>
            <w:r w:rsidRPr="00EC73B4">
              <w:rPr>
                <w:rFonts w:ascii="Times New Roman" w:eastAsia="Times New Roman" w:hAnsi="Times New Roman" w:cs="Times New Roman"/>
                <w:sz w:val="28"/>
                <w:szCs w:val="28"/>
                <w:lang w:eastAsia="ru-RU"/>
              </w:rPr>
              <w:t xml:space="preserve"> 4,93</w:t>
            </w:r>
          </w:p>
        </w:tc>
        <w:tc>
          <w:tcPr>
            <w:tcW w:w="2406" w:type="dxa"/>
          </w:tcPr>
          <w:p w:rsidR="00545400" w:rsidRPr="004C442F" w:rsidRDefault="00545400" w:rsidP="00105C00">
            <w:p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&lt;0.05</w:t>
            </w:r>
          </w:p>
        </w:tc>
      </w:tr>
      <w:tr w:rsidR="00545400" w:rsidTr="00105C00">
        <w:trPr>
          <w:trHeight w:val="496"/>
        </w:trPr>
        <w:tc>
          <w:tcPr>
            <w:tcW w:w="2406" w:type="dxa"/>
          </w:tcPr>
          <w:p w:rsidR="00545400" w:rsidRPr="00EC73B4" w:rsidRDefault="00545400" w:rsidP="00105C0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Через месяц </w:t>
            </w:r>
          </w:p>
        </w:tc>
        <w:tc>
          <w:tcPr>
            <w:tcW w:w="2233" w:type="dxa"/>
          </w:tcPr>
          <w:p w:rsidR="00545400" w:rsidRDefault="00545400" w:rsidP="00105C00">
            <w:pPr>
              <w:spacing w:line="360" w:lineRule="auto"/>
              <w:jc w:val="both"/>
              <w:rPr>
                <w:rFonts w:ascii="Times New Roman" w:eastAsia="Times New Roman" w:hAnsi="Times New Roman" w:cs="Times New Roman"/>
                <w:sz w:val="28"/>
                <w:szCs w:val="28"/>
                <w:lang w:eastAsia="ru-RU"/>
              </w:rPr>
            </w:pPr>
            <w:r w:rsidRPr="00EC73B4">
              <w:rPr>
                <w:rFonts w:ascii="Times New Roman" w:eastAsia="Times New Roman" w:hAnsi="Times New Roman" w:cs="Times New Roman"/>
                <w:sz w:val="28"/>
                <w:szCs w:val="28"/>
                <w:lang w:eastAsia="ru-RU"/>
              </w:rPr>
              <w:t>105,5</w:t>
            </w:r>
            <w:r w:rsidRPr="00EC73B4">
              <w:rPr>
                <w:rFonts w:ascii="Times New Roman" w:eastAsia="Times New Roman" w:hAnsi="Times New Roman" w:cs="Times New Roman"/>
                <w:sz w:val="28"/>
                <w:szCs w:val="28"/>
                <w:u w:val="single"/>
                <w:lang w:eastAsia="ru-RU"/>
              </w:rPr>
              <w:t>+</w:t>
            </w:r>
            <w:r w:rsidRPr="00EC73B4">
              <w:rPr>
                <w:rFonts w:ascii="Times New Roman" w:eastAsia="Times New Roman" w:hAnsi="Times New Roman" w:cs="Times New Roman"/>
                <w:sz w:val="28"/>
                <w:szCs w:val="28"/>
                <w:lang w:eastAsia="ru-RU"/>
              </w:rPr>
              <w:t>4,7</w:t>
            </w:r>
          </w:p>
        </w:tc>
        <w:tc>
          <w:tcPr>
            <w:tcW w:w="2254" w:type="dxa"/>
          </w:tcPr>
          <w:p w:rsidR="00545400" w:rsidRDefault="00545400" w:rsidP="00105C00">
            <w:pPr>
              <w:spacing w:line="360" w:lineRule="auto"/>
              <w:jc w:val="both"/>
              <w:rPr>
                <w:rFonts w:ascii="Times New Roman" w:eastAsia="Times New Roman" w:hAnsi="Times New Roman" w:cs="Times New Roman"/>
                <w:sz w:val="28"/>
                <w:szCs w:val="28"/>
                <w:lang w:eastAsia="ru-RU"/>
              </w:rPr>
            </w:pPr>
            <w:r w:rsidRPr="00EC73B4">
              <w:rPr>
                <w:rFonts w:ascii="Times New Roman" w:eastAsia="Times New Roman" w:hAnsi="Times New Roman" w:cs="Times New Roman"/>
                <w:sz w:val="28"/>
                <w:szCs w:val="28"/>
                <w:lang w:eastAsia="ru-RU"/>
              </w:rPr>
              <w:t>88,92</w:t>
            </w:r>
            <w:r w:rsidRPr="00EC73B4">
              <w:rPr>
                <w:rFonts w:ascii="Times New Roman" w:eastAsia="Times New Roman" w:hAnsi="Times New Roman" w:cs="Times New Roman"/>
                <w:sz w:val="28"/>
                <w:szCs w:val="28"/>
                <w:u w:val="single"/>
                <w:lang w:eastAsia="ru-RU"/>
              </w:rPr>
              <w:t>+</w:t>
            </w:r>
            <w:r w:rsidRPr="00EC73B4">
              <w:rPr>
                <w:rFonts w:ascii="Times New Roman" w:eastAsia="Times New Roman" w:hAnsi="Times New Roman" w:cs="Times New Roman"/>
                <w:sz w:val="28"/>
                <w:szCs w:val="28"/>
                <w:lang w:eastAsia="ru-RU"/>
              </w:rPr>
              <w:t>3,48</w:t>
            </w:r>
          </w:p>
        </w:tc>
        <w:tc>
          <w:tcPr>
            <w:tcW w:w="2406" w:type="dxa"/>
          </w:tcPr>
          <w:p w:rsidR="00545400" w:rsidRPr="004C442F" w:rsidRDefault="00545400" w:rsidP="00105C00">
            <w:p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&lt;0.05</w:t>
            </w:r>
          </w:p>
        </w:tc>
      </w:tr>
      <w:tr w:rsidR="00545400" w:rsidTr="00105C00">
        <w:trPr>
          <w:trHeight w:val="993"/>
        </w:trPr>
        <w:tc>
          <w:tcPr>
            <w:tcW w:w="2406" w:type="dxa"/>
          </w:tcPr>
          <w:p w:rsidR="00545400" w:rsidRPr="004C442F" w:rsidRDefault="00545400" w:rsidP="00105C0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Достоверность различий </w:t>
            </w:r>
          </w:p>
        </w:tc>
        <w:tc>
          <w:tcPr>
            <w:tcW w:w="2233" w:type="dxa"/>
          </w:tcPr>
          <w:p w:rsidR="00545400" w:rsidRPr="004C442F" w:rsidRDefault="00545400" w:rsidP="00105C00">
            <w:p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&gt;0.05</w:t>
            </w:r>
          </w:p>
        </w:tc>
        <w:tc>
          <w:tcPr>
            <w:tcW w:w="2254" w:type="dxa"/>
          </w:tcPr>
          <w:p w:rsidR="00545400" w:rsidRPr="004C442F" w:rsidRDefault="00545400" w:rsidP="00105C00">
            <w:p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&gt;0.05</w:t>
            </w:r>
          </w:p>
        </w:tc>
        <w:tc>
          <w:tcPr>
            <w:tcW w:w="2406" w:type="dxa"/>
          </w:tcPr>
          <w:p w:rsidR="00545400" w:rsidRDefault="00545400" w:rsidP="00105C00">
            <w:pPr>
              <w:spacing w:line="360" w:lineRule="auto"/>
              <w:jc w:val="both"/>
              <w:rPr>
                <w:rFonts w:ascii="Times New Roman" w:eastAsia="Times New Roman" w:hAnsi="Times New Roman" w:cs="Times New Roman"/>
                <w:sz w:val="28"/>
                <w:szCs w:val="28"/>
                <w:lang w:val="en-US" w:eastAsia="ru-RU"/>
              </w:rPr>
            </w:pPr>
          </w:p>
        </w:tc>
      </w:tr>
    </w:tbl>
    <w:p w:rsidR="00545400" w:rsidRDefault="00545400" w:rsidP="00545400">
      <w:pPr>
        <w:spacing w:after="0" w:line="360" w:lineRule="auto"/>
        <w:jc w:val="both"/>
        <w:rPr>
          <w:rFonts w:ascii="Times New Roman" w:eastAsia="Times New Roman" w:hAnsi="Times New Roman" w:cs="Times New Roman"/>
          <w:sz w:val="28"/>
          <w:szCs w:val="28"/>
          <w:lang w:eastAsia="ru-RU"/>
        </w:rPr>
      </w:pP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итоге, значение уровня гемоглобина в обеих группах достоверно не менялся на фоне ГД и антианемической терапии, при этом у пациентов с СД 1 типа был достигнут и сохранен целевой уровень </w:t>
      </w:r>
      <w:r>
        <w:rPr>
          <w:rFonts w:ascii="Times New Roman" w:eastAsia="Times New Roman" w:hAnsi="Times New Roman" w:cs="Times New Roman"/>
          <w:sz w:val="28"/>
          <w:szCs w:val="28"/>
          <w:lang w:val="en-US" w:eastAsia="ru-RU"/>
        </w:rPr>
        <w:t>Hb</w:t>
      </w:r>
      <w:r>
        <w:rPr>
          <w:rFonts w:ascii="Times New Roman" w:eastAsia="Times New Roman" w:hAnsi="Times New Roman" w:cs="Times New Roman"/>
          <w:sz w:val="28"/>
          <w:szCs w:val="28"/>
          <w:lang w:eastAsia="ru-RU"/>
        </w:rPr>
        <w:t xml:space="preserve">, в отличии от пациентов с СД2 типа. </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50% больных с СД1 типа был достигнут целевой уровень </w:t>
      </w:r>
      <w:r>
        <w:rPr>
          <w:rFonts w:ascii="Times New Roman" w:eastAsia="Times New Roman" w:hAnsi="Times New Roman" w:cs="Times New Roman"/>
          <w:sz w:val="28"/>
          <w:szCs w:val="28"/>
          <w:lang w:val="en-US" w:eastAsia="ru-RU"/>
        </w:rPr>
        <w:t>Hb</w:t>
      </w:r>
      <w:r w:rsidRPr="009946E3">
        <w:rPr>
          <w:rFonts w:ascii="Times New Roman" w:eastAsia="Times New Roman" w:hAnsi="Times New Roman" w:cs="Times New Roman"/>
          <w:sz w:val="28"/>
          <w:szCs w:val="28"/>
          <w:lang w:eastAsia="ru-RU"/>
        </w:rPr>
        <w:t xml:space="preserve"> 100-120 </w:t>
      </w:r>
      <w:r>
        <w:rPr>
          <w:rFonts w:ascii="Times New Roman" w:eastAsia="Times New Roman" w:hAnsi="Times New Roman" w:cs="Times New Roman"/>
          <w:sz w:val="28"/>
          <w:szCs w:val="28"/>
          <w:lang w:eastAsia="ru-RU"/>
        </w:rPr>
        <w:t xml:space="preserve">г/л и 23% пациентов СД2 типа имели значения целевого уровня после </w:t>
      </w:r>
      <w:r>
        <w:rPr>
          <w:rFonts w:ascii="Times New Roman" w:eastAsia="Times New Roman" w:hAnsi="Times New Roman" w:cs="Times New Roman"/>
          <w:sz w:val="28"/>
          <w:szCs w:val="28"/>
          <w:lang w:eastAsia="ru-RU"/>
        </w:rPr>
        <w:lastRenderedPageBreak/>
        <w:t xml:space="preserve">исследования, при этом выяснилось, что данные больные получали терапию препаратами, стимулирующее эритропоэз. </w:t>
      </w:r>
    </w:p>
    <w:p w:rsidR="00545400" w:rsidRDefault="00545400" w:rsidP="0054540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85B76A7" wp14:editId="77E3D249">
            <wp:extent cx="5895975" cy="291465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5400" w:rsidRPr="00B92DB2" w:rsidRDefault="00545400" w:rsidP="00545400">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Рисунок 13</w:t>
      </w:r>
      <w:r w:rsidRPr="00B92DB2">
        <w:rPr>
          <w:rFonts w:ascii="Times New Roman" w:eastAsia="Times New Roman" w:hAnsi="Times New Roman" w:cs="Times New Roman"/>
          <w:b/>
          <w:i/>
          <w:sz w:val="28"/>
          <w:szCs w:val="28"/>
          <w:lang w:eastAsia="ru-RU"/>
        </w:rPr>
        <w:t xml:space="preserve">. Распределение пациентов в зависимости от показателей крови </w:t>
      </w:r>
    </w:p>
    <w:p w:rsidR="00545400" w:rsidRDefault="00545400" w:rsidP="0054540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A0730C1" wp14:editId="00E64E3C">
            <wp:extent cx="5857875" cy="320040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45400" w:rsidRPr="00B92DB2" w:rsidRDefault="00545400" w:rsidP="00545400">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Рисунок 14</w:t>
      </w:r>
      <w:r w:rsidRPr="00B92DB2">
        <w:rPr>
          <w:rFonts w:ascii="Times New Roman" w:eastAsia="Times New Roman" w:hAnsi="Times New Roman" w:cs="Times New Roman"/>
          <w:b/>
          <w:i/>
          <w:sz w:val="28"/>
          <w:szCs w:val="28"/>
          <w:lang w:eastAsia="ru-RU"/>
        </w:rPr>
        <w:t xml:space="preserve">. Корреляционная связь уровня </w:t>
      </w:r>
      <w:r w:rsidRPr="00B92DB2">
        <w:rPr>
          <w:rFonts w:ascii="Times New Roman" w:eastAsia="Times New Roman" w:hAnsi="Times New Roman" w:cs="Times New Roman"/>
          <w:b/>
          <w:i/>
          <w:sz w:val="28"/>
          <w:szCs w:val="28"/>
          <w:lang w:val="en-US" w:eastAsia="ru-RU"/>
        </w:rPr>
        <w:t>Hb</w:t>
      </w:r>
      <w:r>
        <w:rPr>
          <w:rFonts w:ascii="Times New Roman" w:eastAsia="Times New Roman" w:hAnsi="Times New Roman" w:cs="Times New Roman"/>
          <w:b/>
          <w:i/>
          <w:sz w:val="28"/>
          <w:szCs w:val="28"/>
          <w:lang w:eastAsia="ru-RU"/>
        </w:rPr>
        <w:t xml:space="preserve"> от длительности ГДТ </w:t>
      </w:r>
    </w:p>
    <w:p w:rsidR="00545400" w:rsidRDefault="00545400" w:rsidP="00545400">
      <w:pPr>
        <w:spacing w:after="0" w:line="360" w:lineRule="auto"/>
        <w:jc w:val="both"/>
        <w:rPr>
          <w:rFonts w:ascii="Times New Roman" w:eastAsia="Times New Roman" w:hAnsi="Times New Roman" w:cs="Times New Roman"/>
          <w:sz w:val="28"/>
          <w:szCs w:val="28"/>
          <w:lang w:eastAsia="ru-RU"/>
        </w:rPr>
      </w:pP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Только половина пациентов </w:t>
      </w:r>
      <w:r w:rsidRPr="00A90F62">
        <w:rPr>
          <w:rFonts w:ascii="Times New Roman" w:eastAsia="Times New Roman" w:hAnsi="Times New Roman" w:cs="Times New Roman"/>
          <w:sz w:val="28"/>
          <w:szCs w:val="28"/>
          <w:lang w:eastAsia="ru-RU"/>
        </w:rPr>
        <w:t>групп</w:t>
      </w:r>
      <w:r>
        <w:rPr>
          <w:rFonts w:ascii="Times New Roman" w:eastAsia="Times New Roman" w:hAnsi="Times New Roman" w:cs="Times New Roman"/>
          <w:sz w:val="28"/>
          <w:szCs w:val="28"/>
          <w:lang w:eastAsia="ru-RU"/>
        </w:rPr>
        <w:t xml:space="preserve"> СД1 типа имели рост целевого уровня </w:t>
      </w:r>
      <w:r>
        <w:rPr>
          <w:rFonts w:ascii="Times New Roman" w:eastAsia="Times New Roman" w:hAnsi="Times New Roman" w:cs="Times New Roman"/>
          <w:sz w:val="28"/>
          <w:szCs w:val="28"/>
          <w:lang w:val="en-US" w:eastAsia="ru-RU"/>
        </w:rPr>
        <w:t>Hb</w:t>
      </w:r>
      <w:r>
        <w:rPr>
          <w:rFonts w:ascii="Times New Roman" w:eastAsia="Times New Roman" w:hAnsi="Times New Roman" w:cs="Times New Roman"/>
          <w:sz w:val="28"/>
          <w:szCs w:val="28"/>
          <w:lang w:eastAsia="ru-RU"/>
        </w:rPr>
        <w:t xml:space="preserve">, </w:t>
      </w:r>
      <w:r w:rsidRPr="00A90F62">
        <w:rPr>
          <w:rFonts w:ascii="Times New Roman" w:eastAsia="Times New Roman" w:hAnsi="Times New Roman" w:cs="Times New Roman"/>
          <w:sz w:val="28"/>
          <w:szCs w:val="28"/>
          <w:lang w:eastAsia="ru-RU"/>
        </w:rPr>
        <w:t>который укладывался в рекомендованные значения</w:t>
      </w:r>
      <w:r>
        <w:rPr>
          <w:rFonts w:ascii="Times New Roman" w:eastAsia="Times New Roman" w:hAnsi="Times New Roman" w:cs="Times New Roman"/>
          <w:sz w:val="28"/>
          <w:szCs w:val="28"/>
          <w:lang w:eastAsia="ru-RU"/>
        </w:rPr>
        <w:t xml:space="preserve">, в группе с СД2 типа </w:t>
      </w:r>
      <w:r>
        <w:rPr>
          <w:rFonts w:ascii="Times New Roman" w:eastAsia="Times New Roman" w:hAnsi="Times New Roman" w:cs="Times New Roman"/>
          <w:sz w:val="28"/>
          <w:szCs w:val="28"/>
          <w:lang w:eastAsia="ru-RU"/>
        </w:rPr>
        <w:lastRenderedPageBreak/>
        <w:t>таких пациентов оказалось всего 23%, а в группе сравнения 20%, при этом выше целевых значений были обнаружены только в группе с СД1 типа, что говорит о незначительном эффекте ЗГТ</w:t>
      </w:r>
      <w:r w:rsidRPr="00B15C98">
        <w:rPr>
          <w:rFonts w:ascii="Times New Roman" w:eastAsia="Times New Roman" w:hAnsi="Times New Roman" w:cs="Times New Roman"/>
          <w:sz w:val="28"/>
          <w:szCs w:val="28"/>
          <w:lang w:eastAsia="ru-RU"/>
        </w:rPr>
        <w:t>.</w:t>
      </w:r>
      <w:r w:rsidRPr="00A90F62">
        <w:rPr>
          <w:rFonts w:ascii="Times New Roman" w:eastAsia="Times New Roman" w:hAnsi="Times New Roman" w:cs="Times New Roman"/>
          <w:sz w:val="28"/>
          <w:szCs w:val="28"/>
          <w:lang w:eastAsia="ru-RU"/>
        </w:rPr>
        <w:t xml:space="preserve"> </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Улучшение показателей гемоглобина ( </w:t>
      </w:r>
      <w:r>
        <w:rPr>
          <w:rFonts w:ascii="Times New Roman" w:eastAsia="Times New Roman" w:hAnsi="Times New Roman" w:cs="Times New Roman"/>
          <w:sz w:val="28"/>
          <w:szCs w:val="28"/>
          <w:lang w:val="en-US" w:eastAsia="ru-RU"/>
        </w:rPr>
        <w:t>Hb</w:t>
      </w:r>
      <w:r>
        <w:rPr>
          <w:rFonts w:ascii="Times New Roman" w:eastAsia="Times New Roman" w:hAnsi="Times New Roman" w:cs="Times New Roman"/>
          <w:sz w:val="28"/>
          <w:szCs w:val="28"/>
          <w:lang w:eastAsia="ru-RU"/>
        </w:rPr>
        <w:t xml:space="preserve">&gt; 10г/л) наблюдалось в 35% случаев, низкая эффективность лечения наблюдалась 52% случаев, в некоторых случаях динамика не прослеживалась. </w:t>
      </w:r>
      <w:r w:rsidRPr="00B57F8C">
        <w:rPr>
          <w:rFonts w:ascii="Times New Roman" w:eastAsia="Times New Roman" w:hAnsi="Times New Roman" w:cs="Times New Roman"/>
          <w:sz w:val="28"/>
          <w:szCs w:val="28"/>
          <w:lang w:eastAsia="ru-RU"/>
        </w:rPr>
        <w:t>Кроме того, была обнаружена корреляционная связ</w:t>
      </w:r>
      <w:r>
        <w:rPr>
          <w:rFonts w:ascii="Times New Roman" w:eastAsia="Times New Roman" w:hAnsi="Times New Roman" w:cs="Times New Roman"/>
          <w:sz w:val="28"/>
          <w:szCs w:val="28"/>
          <w:lang w:eastAsia="ru-RU"/>
        </w:rPr>
        <w:t>ь слабой силы между длительностью ГД и достижением целевого уровня гемоглобина у пациентов с ДН</w:t>
      </w:r>
      <w:r w:rsidRPr="00B57F8C">
        <w:rPr>
          <w:rFonts w:ascii="Times New Roman" w:eastAsia="Times New Roman" w:hAnsi="Times New Roman" w:cs="Times New Roman"/>
          <w:sz w:val="28"/>
          <w:szCs w:val="28"/>
          <w:lang w:eastAsia="ru-RU"/>
        </w:rPr>
        <w:t>.</w:t>
      </w:r>
    </w:p>
    <w:p w:rsidR="00545400" w:rsidRDefault="00545400" w:rsidP="00545400">
      <w:pPr>
        <w:spacing w:before="240" w:line="360" w:lineRule="auto"/>
        <w:jc w:val="both"/>
        <w:rPr>
          <w:rFonts w:ascii="Times New Roman" w:eastAsia="Times New Roman" w:hAnsi="Times New Roman" w:cs="Times New Roman"/>
          <w:sz w:val="28"/>
          <w:szCs w:val="28"/>
          <w:lang w:eastAsia="ru-RU"/>
        </w:rPr>
      </w:pPr>
    </w:p>
    <w:p w:rsidR="00545400" w:rsidRDefault="00545400" w:rsidP="00545400">
      <w:pPr>
        <w:spacing w:after="0" w:line="360" w:lineRule="auto"/>
        <w:jc w:val="both"/>
        <w:rPr>
          <w:rFonts w:ascii="Times New Roman" w:eastAsia="Times New Roman" w:hAnsi="Times New Roman" w:cs="Times New Roman"/>
          <w:sz w:val="28"/>
          <w:szCs w:val="28"/>
          <w:lang w:eastAsia="ru-RU"/>
        </w:rPr>
      </w:pPr>
    </w:p>
    <w:p w:rsidR="00545400" w:rsidRDefault="00545400" w:rsidP="00545400">
      <w:pPr>
        <w:spacing w:after="0" w:line="360" w:lineRule="auto"/>
        <w:jc w:val="both"/>
        <w:rPr>
          <w:rFonts w:ascii="Times New Roman" w:eastAsia="Times New Roman" w:hAnsi="Times New Roman" w:cs="Times New Roman"/>
          <w:sz w:val="28"/>
          <w:szCs w:val="28"/>
          <w:lang w:eastAsia="ru-RU"/>
        </w:rPr>
      </w:pPr>
    </w:p>
    <w:p w:rsidR="00545400" w:rsidRDefault="00545400" w:rsidP="00545400">
      <w:pPr>
        <w:spacing w:after="0" w:line="360" w:lineRule="auto"/>
        <w:jc w:val="both"/>
        <w:rPr>
          <w:rFonts w:ascii="Times New Roman" w:eastAsia="Times New Roman" w:hAnsi="Times New Roman" w:cs="Times New Roman"/>
          <w:sz w:val="28"/>
          <w:szCs w:val="28"/>
          <w:lang w:eastAsia="ru-RU"/>
        </w:rPr>
      </w:pPr>
    </w:p>
    <w:p w:rsidR="00545400" w:rsidRDefault="00545400" w:rsidP="00545400">
      <w:pPr>
        <w:spacing w:line="360" w:lineRule="auto"/>
        <w:jc w:val="both"/>
        <w:rPr>
          <w:rFonts w:ascii="Times New Roman" w:eastAsia="Times New Roman" w:hAnsi="Times New Roman" w:cs="Times New Roman"/>
          <w:color w:val="000000"/>
          <w:sz w:val="28"/>
          <w:szCs w:val="28"/>
        </w:rPr>
      </w:pPr>
    </w:p>
    <w:p w:rsidR="00545400" w:rsidRDefault="00545400" w:rsidP="00545400">
      <w:pPr>
        <w:spacing w:line="360" w:lineRule="auto"/>
        <w:jc w:val="both"/>
        <w:rPr>
          <w:rFonts w:ascii="Times New Roman" w:eastAsia="Times New Roman" w:hAnsi="Times New Roman" w:cs="Times New Roman"/>
          <w:color w:val="000000"/>
          <w:sz w:val="28"/>
          <w:szCs w:val="28"/>
        </w:rPr>
      </w:pPr>
    </w:p>
    <w:p w:rsidR="00545400" w:rsidRDefault="00545400" w:rsidP="00545400">
      <w:pPr>
        <w:spacing w:line="360" w:lineRule="auto"/>
        <w:jc w:val="both"/>
        <w:rPr>
          <w:rFonts w:ascii="Times New Roman" w:eastAsia="Times New Roman" w:hAnsi="Times New Roman" w:cs="Times New Roman"/>
          <w:color w:val="000000"/>
          <w:sz w:val="28"/>
          <w:szCs w:val="28"/>
        </w:rPr>
      </w:pPr>
    </w:p>
    <w:p w:rsidR="00545400" w:rsidRDefault="00545400" w:rsidP="00545400">
      <w:pPr>
        <w:spacing w:line="360" w:lineRule="auto"/>
        <w:jc w:val="both"/>
        <w:rPr>
          <w:rFonts w:ascii="Times New Roman" w:eastAsia="Times New Roman" w:hAnsi="Times New Roman" w:cs="Times New Roman"/>
          <w:color w:val="000000"/>
          <w:sz w:val="28"/>
          <w:szCs w:val="28"/>
        </w:rPr>
      </w:pPr>
    </w:p>
    <w:p w:rsidR="00545400" w:rsidRDefault="00545400" w:rsidP="00545400">
      <w:pPr>
        <w:spacing w:line="360" w:lineRule="auto"/>
        <w:jc w:val="both"/>
        <w:rPr>
          <w:rFonts w:ascii="Times New Roman" w:eastAsia="Times New Roman" w:hAnsi="Times New Roman" w:cs="Times New Roman"/>
          <w:color w:val="000000"/>
          <w:sz w:val="28"/>
          <w:szCs w:val="28"/>
        </w:rPr>
      </w:pPr>
    </w:p>
    <w:p w:rsidR="00545400" w:rsidRDefault="00545400" w:rsidP="00545400">
      <w:pPr>
        <w:spacing w:line="360" w:lineRule="auto"/>
        <w:jc w:val="both"/>
        <w:rPr>
          <w:rFonts w:ascii="Times New Roman" w:eastAsia="Times New Roman" w:hAnsi="Times New Roman" w:cs="Times New Roman"/>
          <w:color w:val="000000"/>
          <w:sz w:val="28"/>
          <w:szCs w:val="28"/>
        </w:rPr>
      </w:pPr>
    </w:p>
    <w:p w:rsidR="00545400" w:rsidRDefault="00545400" w:rsidP="00545400">
      <w:pPr>
        <w:spacing w:line="360" w:lineRule="auto"/>
        <w:jc w:val="both"/>
        <w:rPr>
          <w:rFonts w:ascii="Times New Roman" w:eastAsia="Times New Roman" w:hAnsi="Times New Roman" w:cs="Times New Roman"/>
          <w:color w:val="000000"/>
          <w:sz w:val="28"/>
          <w:szCs w:val="28"/>
        </w:rPr>
      </w:pPr>
    </w:p>
    <w:p w:rsidR="00545400" w:rsidRDefault="00545400" w:rsidP="00545400">
      <w:pPr>
        <w:spacing w:line="360" w:lineRule="auto"/>
        <w:jc w:val="both"/>
        <w:rPr>
          <w:rFonts w:ascii="Times New Roman" w:eastAsia="Times New Roman" w:hAnsi="Times New Roman" w:cs="Times New Roman"/>
          <w:color w:val="000000"/>
          <w:sz w:val="28"/>
          <w:szCs w:val="28"/>
        </w:rPr>
      </w:pPr>
    </w:p>
    <w:p w:rsidR="00545400" w:rsidRDefault="00545400" w:rsidP="00545400">
      <w:pPr>
        <w:spacing w:line="360" w:lineRule="auto"/>
        <w:jc w:val="both"/>
        <w:rPr>
          <w:rFonts w:ascii="Times New Roman" w:eastAsia="Times New Roman" w:hAnsi="Times New Roman" w:cs="Times New Roman"/>
          <w:color w:val="000000"/>
          <w:sz w:val="28"/>
          <w:szCs w:val="28"/>
        </w:rPr>
      </w:pPr>
    </w:p>
    <w:p w:rsidR="00545400" w:rsidRDefault="00545400" w:rsidP="00545400">
      <w:pPr>
        <w:spacing w:line="360" w:lineRule="auto"/>
        <w:jc w:val="both"/>
        <w:rPr>
          <w:rFonts w:ascii="Times New Roman" w:eastAsia="Times New Roman" w:hAnsi="Times New Roman" w:cs="Times New Roman"/>
          <w:color w:val="000000"/>
          <w:sz w:val="28"/>
          <w:szCs w:val="28"/>
        </w:rPr>
      </w:pPr>
    </w:p>
    <w:p w:rsidR="00545400" w:rsidRDefault="00545400" w:rsidP="00545400">
      <w:pPr>
        <w:spacing w:line="360" w:lineRule="auto"/>
        <w:jc w:val="both"/>
        <w:rPr>
          <w:rFonts w:ascii="Times New Roman" w:eastAsia="Times New Roman" w:hAnsi="Times New Roman" w:cs="Times New Roman"/>
          <w:color w:val="000000"/>
          <w:sz w:val="28"/>
          <w:szCs w:val="28"/>
        </w:rPr>
      </w:pPr>
    </w:p>
    <w:p w:rsidR="00545400" w:rsidRDefault="00545400" w:rsidP="00545400">
      <w:pPr>
        <w:spacing w:line="360" w:lineRule="auto"/>
        <w:jc w:val="both"/>
        <w:rPr>
          <w:rFonts w:ascii="Times New Roman" w:eastAsia="Times New Roman" w:hAnsi="Times New Roman" w:cs="Times New Roman"/>
          <w:color w:val="000000"/>
          <w:sz w:val="28"/>
          <w:szCs w:val="28"/>
        </w:rPr>
      </w:pPr>
    </w:p>
    <w:p w:rsidR="00545400" w:rsidRPr="00BE7368" w:rsidRDefault="00545400" w:rsidP="00545400">
      <w:pPr>
        <w:spacing w:line="360" w:lineRule="auto"/>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545400" w:rsidRDefault="00545400" w:rsidP="00545400">
      <w:pPr>
        <w:spacing w:before="240" w:line="360" w:lineRule="auto"/>
        <w:ind w:firstLine="709"/>
        <w:jc w:val="center"/>
        <w:rPr>
          <w:rFonts w:ascii="Times New Roman" w:hAnsi="Times New Roman" w:cs="Times New Roman"/>
          <w:b/>
          <w:sz w:val="28"/>
          <w:szCs w:val="28"/>
        </w:rPr>
      </w:pPr>
    </w:p>
    <w:p w:rsidR="00545400" w:rsidRDefault="00545400" w:rsidP="00545400">
      <w:pPr>
        <w:spacing w:before="240" w:line="360" w:lineRule="auto"/>
        <w:ind w:firstLine="709"/>
        <w:jc w:val="both"/>
        <w:rPr>
          <w:rFonts w:ascii="Times New Roman" w:hAnsi="Times New Roman" w:cs="Times New Roman"/>
          <w:sz w:val="28"/>
          <w:szCs w:val="28"/>
        </w:rPr>
      </w:pPr>
      <w:r w:rsidRPr="00A00BD9">
        <w:rPr>
          <w:rFonts w:ascii="Times New Roman" w:hAnsi="Times New Roman" w:cs="Times New Roman"/>
          <w:sz w:val="28"/>
          <w:szCs w:val="28"/>
        </w:rPr>
        <w:t xml:space="preserve">Диабетическая нефропатия определяется как микрососудистое осложнение почек, вызванное сахарным диабетом, и характеризуется альбуминурией и прогрессирующей потерей функции почек. </w:t>
      </w:r>
    </w:p>
    <w:p w:rsidR="00545400" w:rsidRDefault="00545400" w:rsidP="00545400">
      <w:pPr>
        <w:spacing w:before="240" w:line="360" w:lineRule="auto"/>
        <w:ind w:firstLine="709"/>
        <w:jc w:val="both"/>
        <w:rPr>
          <w:rFonts w:ascii="Times New Roman" w:hAnsi="Times New Roman" w:cs="Times New Roman"/>
          <w:sz w:val="28"/>
          <w:szCs w:val="28"/>
        </w:rPr>
      </w:pPr>
      <w:r w:rsidRPr="00062532">
        <w:rPr>
          <w:rFonts w:ascii="Times New Roman" w:hAnsi="Times New Roman" w:cs="Times New Roman"/>
          <w:sz w:val="28"/>
          <w:szCs w:val="28"/>
        </w:rPr>
        <w:t xml:space="preserve">Микроальбуминурия в настоящее время используется в качестве самого раннего маркера диабетической нефропатии. Кроме того, почечная недостаточность может наблюдаться даже на нормоальбуминурической стадии. </w:t>
      </w:r>
      <w:r>
        <w:rPr>
          <w:rFonts w:ascii="Times New Roman" w:hAnsi="Times New Roman" w:cs="Times New Roman"/>
          <w:sz w:val="28"/>
          <w:szCs w:val="28"/>
        </w:rPr>
        <w:t>Тем не менее, альбуминурия должна быть использована</w:t>
      </w:r>
      <w:r w:rsidRPr="00062532">
        <w:rPr>
          <w:rFonts w:ascii="Times New Roman" w:hAnsi="Times New Roman" w:cs="Times New Roman"/>
          <w:sz w:val="28"/>
          <w:szCs w:val="28"/>
        </w:rPr>
        <w:t xml:space="preserve"> в качестве </w:t>
      </w:r>
      <w:r>
        <w:rPr>
          <w:rFonts w:ascii="Times New Roman" w:hAnsi="Times New Roman" w:cs="Times New Roman"/>
          <w:sz w:val="28"/>
          <w:szCs w:val="28"/>
        </w:rPr>
        <w:t xml:space="preserve">биомаркера поражения почек при СД, а также подвергаться оценке и контролю в течение определенного </w:t>
      </w:r>
      <w:r w:rsidRPr="00062532">
        <w:rPr>
          <w:rFonts w:ascii="Times New Roman" w:hAnsi="Times New Roman" w:cs="Times New Roman"/>
          <w:sz w:val="28"/>
          <w:szCs w:val="28"/>
        </w:rPr>
        <w:t>период</w:t>
      </w:r>
      <w:r>
        <w:rPr>
          <w:rFonts w:ascii="Times New Roman" w:hAnsi="Times New Roman" w:cs="Times New Roman"/>
          <w:sz w:val="28"/>
          <w:szCs w:val="28"/>
        </w:rPr>
        <w:t>а времени до развития</w:t>
      </w:r>
      <w:r w:rsidRPr="00062532">
        <w:rPr>
          <w:rFonts w:ascii="Times New Roman" w:hAnsi="Times New Roman" w:cs="Times New Roman"/>
          <w:sz w:val="28"/>
          <w:szCs w:val="28"/>
        </w:rPr>
        <w:t xml:space="preserve"> ДН</w:t>
      </w:r>
      <w:r>
        <w:rPr>
          <w:rFonts w:ascii="Times New Roman" w:hAnsi="Times New Roman" w:cs="Times New Roman"/>
          <w:sz w:val="28"/>
          <w:szCs w:val="28"/>
        </w:rPr>
        <w:t xml:space="preserve"> в программах скрининга</w:t>
      </w:r>
      <w:r w:rsidRPr="00062532">
        <w:rPr>
          <w:rFonts w:ascii="Times New Roman" w:hAnsi="Times New Roman" w:cs="Times New Roman"/>
          <w:sz w:val="28"/>
          <w:szCs w:val="28"/>
        </w:rPr>
        <w:t xml:space="preserve">. </w:t>
      </w:r>
    </w:p>
    <w:p w:rsidR="00545400" w:rsidRDefault="00545400" w:rsidP="00545400">
      <w:pPr>
        <w:spacing w:before="240" w:line="360" w:lineRule="auto"/>
        <w:ind w:firstLine="709"/>
        <w:jc w:val="both"/>
        <w:rPr>
          <w:rFonts w:ascii="Times New Roman" w:hAnsi="Times New Roman" w:cs="Times New Roman"/>
          <w:sz w:val="28"/>
          <w:szCs w:val="28"/>
        </w:rPr>
      </w:pPr>
      <w:r w:rsidRPr="008856DD">
        <w:rPr>
          <w:rFonts w:ascii="Times New Roman" w:hAnsi="Times New Roman" w:cs="Times New Roman"/>
          <w:sz w:val="28"/>
          <w:szCs w:val="28"/>
        </w:rPr>
        <w:t xml:space="preserve">Артериальная гипертензия </w:t>
      </w:r>
      <w:r>
        <w:rPr>
          <w:rFonts w:ascii="Times New Roman" w:hAnsi="Times New Roman" w:cs="Times New Roman"/>
          <w:sz w:val="28"/>
          <w:szCs w:val="28"/>
        </w:rPr>
        <w:t xml:space="preserve">остается важным клиническим проявлением и </w:t>
      </w:r>
      <w:r w:rsidRPr="008856DD">
        <w:rPr>
          <w:rFonts w:ascii="Times New Roman" w:hAnsi="Times New Roman" w:cs="Times New Roman"/>
          <w:sz w:val="28"/>
          <w:szCs w:val="28"/>
        </w:rPr>
        <w:t xml:space="preserve">играет ключевую роль в развитии и прогрессировании ДН, так же, как и в развитии макроваскулярной патологии.  Предупредить развитие и прогрессирование </w:t>
      </w:r>
      <w:r>
        <w:rPr>
          <w:rFonts w:ascii="Times New Roman" w:hAnsi="Times New Roman" w:cs="Times New Roman"/>
          <w:sz w:val="28"/>
          <w:szCs w:val="28"/>
        </w:rPr>
        <w:t xml:space="preserve">диабетической нефропатии </w:t>
      </w:r>
      <w:r w:rsidRPr="008856DD">
        <w:rPr>
          <w:rFonts w:ascii="Times New Roman" w:hAnsi="Times New Roman" w:cs="Times New Roman"/>
          <w:sz w:val="28"/>
          <w:szCs w:val="28"/>
        </w:rPr>
        <w:t xml:space="preserve">возможно только при поддержании АД на уровне не более 130/80 мм. рт. ст. </w:t>
      </w:r>
    </w:p>
    <w:p w:rsidR="00545400" w:rsidRDefault="00545400" w:rsidP="00545400">
      <w:pPr>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Анемия является одной из наиболее значительных осложнений ХБП, что чаще </w:t>
      </w:r>
      <w:r w:rsidRPr="00DB6BF2">
        <w:rPr>
          <w:rFonts w:ascii="Times New Roman" w:hAnsi="Times New Roman" w:cs="Times New Roman"/>
          <w:sz w:val="28"/>
          <w:szCs w:val="28"/>
        </w:rPr>
        <w:t>связано с недостаточно</w:t>
      </w:r>
      <w:r>
        <w:rPr>
          <w:rFonts w:ascii="Times New Roman" w:hAnsi="Times New Roman" w:cs="Times New Roman"/>
          <w:sz w:val="28"/>
          <w:szCs w:val="28"/>
        </w:rPr>
        <w:t>й выработкой эритропоэтина</w:t>
      </w:r>
      <w:r w:rsidRPr="00DB6BF2">
        <w:rPr>
          <w:rFonts w:ascii="Times New Roman" w:hAnsi="Times New Roman" w:cs="Times New Roman"/>
          <w:sz w:val="28"/>
          <w:szCs w:val="28"/>
        </w:rPr>
        <w:t>. Тем не менее</w:t>
      </w:r>
      <w:r>
        <w:rPr>
          <w:rFonts w:ascii="Times New Roman" w:hAnsi="Times New Roman" w:cs="Times New Roman"/>
          <w:sz w:val="28"/>
          <w:szCs w:val="28"/>
        </w:rPr>
        <w:t>, анемический синдром намного быстрее и раньше</w:t>
      </w:r>
      <w:r w:rsidRPr="00DB6BF2">
        <w:rPr>
          <w:rFonts w:ascii="Times New Roman" w:hAnsi="Times New Roman" w:cs="Times New Roman"/>
          <w:sz w:val="28"/>
          <w:szCs w:val="28"/>
        </w:rPr>
        <w:t xml:space="preserve"> развивается в ходе ХБП у пациентов с СД, </w:t>
      </w:r>
      <w:r>
        <w:rPr>
          <w:rFonts w:ascii="Times New Roman" w:hAnsi="Times New Roman" w:cs="Times New Roman"/>
          <w:sz w:val="28"/>
          <w:szCs w:val="28"/>
        </w:rPr>
        <w:t>что обусловливает</w:t>
      </w:r>
      <w:r w:rsidRPr="00DB6BF2">
        <w:rPr>
          <w:rFonts w:ascii="Times New Roman" w:hAnsi="Times New Roman" w:cs="Times New Roman"/>
          <w:sz w:val="28"/>
          <w:szCs w:val="28"/>
        </w:rPr>
        <w:t xml:space="preserve"> тяжесть </w:t>
      </w:r>
      <w:r>
        <w:rPr>
          <w:rFonts w:ascii="Times New Roman" w:hAnsi="Times New Roman" w:cs="Times New Roman"/>
          <w:sz w:val="28"/>
          <w:szCs w:val="28"/>
        </w:rPr>
        <w:t xml:space="preserve">течения анемии </w:t>
      </w:r>
      <w:r w:rsidRPr="00DB6BF2">
        <w:rPr>
          <w:rFonts w:ascii="Times New Roman" w:hAnsi="Times New Roman" w:cs="Times New Roman"/>
          <w:sz w:val="28"/>
          <w:szCs w:val="28"/>
        </w:rPr>
        <w:t xml:space="preserve">независимо от стадии ХБП. </w:t>
      </w:r>
      <w:r>
        <w:rPr>
          <w:rFonts w:ascii="Times New Roman" w:hAnsi="Times New Roman" w:cs="Times New Roman"/>
          <w:sz w:val="28"/>
          <w:szCs w:val="28"/>
        </w:rPr>
        <w:t xml:space="preserve"> </w:t>
      </w:r>
    </w:p>
    <w:p w:rsidR="00545400" w:rsidRPr="00DB6BF2" w:rsidRDefault="00545400" w:rsidP="00545400">
      <w:pPr>
        <w:spacing w:before="240" w:line="360" w:lineRule="auto"/>
        <w:ind w:firstLine="709"/>
        <w:jc w:val="both"/>
        <w:rPr>
          <w:rFonts w:ascii="Times New Roman" w:hAnsi="Times New Roman" w:cs="Times New Roman"/>
          <w:sz w:val="28"/>
          <w:szCs w:val="28"/>
        </w:rPr>
      </w:pPr>
      <w:r w:rsidRPr="00DB6BF2">
        <w:rPr>
          <w:rFonts w:ascii="Times New Roman" w:hAnsi="Times New Roman" w:cs="Times New Roman"/>
          <w:sz w:val="28"/>
          <w:szCs w:val="28"/>
        </w:rPr>
        <w:t xml:space="preserve">Поскольку анемия является важным предиктором </w:t>
      </w:r>
      <w:r>
        <w:rPr>
          <w:rFonts w:ascii="Times New Roman" w:hAnsi="Times New Roman" w:cs="Times New Roman"/>
          <w:sz w:val="28"/>
          <w:szCs w:val="28"/>
        </w:rPr>
        <w:t xml:space="preserve">ухудшения качества жизни и увеличивает риск </w:t>
      </w:r>
      <w:r w:rsidRPr="00DB6BF2">
        <w:rPr>
          <w:rFonts w:ascii="Times New Roman" w:hAnsi="Times New Roman" w:cs="Times New Roman"/>
          <w:sz w:val="28"/>
          <w:szCs w:val="28"/>
        </w:rPr>
        <w:t xml:space="preserve">сердечно-сосудистой заболеваемости и смертности, </w:t>
      </w:r>
      <w:r w:rsidRPr="00DB6BF2">
        <w:rPr>
          <w:rFonts w:ascii="Times New Roman" w:hAnsi="Times New Roman" w:cs="Times New Roman"/>
          <w:sz w:val="28"/>
          <w:szCs w:val="28"/>
        </w:rPr>
        <w:lastRenderedPageBreak/>
        <w:t>необходимы дальнейшие исследования для выяснения ее п</w:t>
      </w:r>
      <w:r>
        <w:rPr>
          <w:rFonts w:ascii="Times New Roman" w:hAnsi="Times New Roman" w:cs="Times New Roman"/>
          <w:sz w:val="28"/>
          <w:szCs w:val="28"/>
        </w:rPr>
        <w:t>атогенеза у пациентов с СД</w:t>
      </w:r>
      <w:r w:rsidRPr="00DB6BF2">
        <w:rPr>
          <w:rFonts w:ascii="Times New Roman" w:hAnsi="Times New Roman" w:cs="Times New Roman"/>
          <w:sz w:val="28"/>
          <w:szCs w:val="28"/>
        </w:rPr>
        <w:t>.</w:t>
      </w:r>
    </w:p>
    <w:p w:rsidR="00545400" w:rsidRDefault="00545400" w:rsidP="00545400">
      <w:pPr>
        <w:spacing w:before="240" w:line="360" w:lineRule="auto"/>
        <w:ind w:firstLine="709"/>
        <w:jc w:val="both"/>
        <w:rPr>
          <w:rFonts w:ascii="Times New Roman" w:hAnsi="Times New Roman" w:cs="Times New Roman"/>
          <w:sz w:val="28"/>
          <w:szCs w:val="28"/>
        </w:rPr>
      </w:pPr>
    </w:p>
    <w:p w:rsidR="00545400" w:rsidRPr="008856DD" w:rsidRDefault="00545400" w:rsidP="00545400">
      <w:pPr>
        <w:spacing w:before="240" w:line="360" w:lineRule="auto"/>
        <w:ind w:firstLine="709"/>
        <w:jc w:val="both"/>
        <w:rPr>
          <w:rFonts w:ascii="Times New Roman" w:hAnsi="Times New Roman" w:cs="Times New Roman"/>
          <w:sz w:val="28"/>
          <w:szCs w:val="28"/>
        </w:rPr>
      </w:pPr>
      <w:r w:rsidRPr="008856DD">
        <w:rPr>
          <w:rFonts w:ascii="Times New Roman" w:hAnsi="Times New Roman" w:cs="Times New Roman"/>
          <w:sz w:val="28"/>
          <w:szCs w:val="28"/>
        </w:rPr>
        <w:t>Необходимость достижения оптимального контроля гликемического уровня у пациентов с СД для профилактики развития и нарастания тяжести ДН не вызывает сомнений. Крупные исследования DCCT (Diabetes Control and Complication Study), UKPDS (United Kingdom Prospective Diabetes Study) и исследование ADVANCE (The Action in Diabetes and Vascular Disease: Preterax and Diamicron Modified Release Controlled Evaluation) подтвердили возможность предотвращения развития ДН у больных СД1 и СД2 типа при идеальной компенсации углеводного обмена. Тем не менее, ХБП накладывает определенный ряд ограничений на выбор гипогликемические препараты у больных СД [</w:t>
      </w:r>
      <w:r>
        <w:rPr>
          <w:rFonts w:ascii="Times New Roman" w:hAnsi="Times New Roman" w:cs="Times New Roman"/>
          <w:sz w:val="28"/>
          <w:szCs w:val="28"/>
        </w:rPr>
        <w:t>24</w:t>
      </w:r>
      <w:r w:rsidRPr="008856DD">
        <w:rPr>
          <w:rFonts w:ascii="Times New Roman" w:hAnsi="Times New Roman" w:cs="Times New Roman"/>
          <w:sz w:val="28"/>
          <w:szCs w:val="28"/>
        </w:rPr>
        <w:t>]</w:t>
      </w:r>
      <w:r>
        <w:rPr>
          <w:rFonts w:ascii="Times New Roman" w:hAnsi="Times New Roman" w:cs="Times New Roman"/>
          <w:sz w:val="28"/>
          <w:szCs w:val="28"/>
        </w:rPr>
        <w:t>.</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r w:rsidRPr="001C26B6">
        <w:rPr>
          <w:rFonts w:ascii="Times New Roman" w:eastAsia="Times New Roman" w:hAnsi="Times New Roman" w:cs="Times New Roman"/>
          <w:color w:val="000000"/>
          <w:sz w:val="28"/>
          <w:szCs w:val="28"/>
        </w:rPr>
        <w:t>В такой сложной клинической ситуации целесообразным представляется максимально индивидуальный подход для определения целевых показателей гликемического контроля и выбора са</w:t>
      </w:r>
      <w:r>
        <w:rPr>
          <w:rFonts w:ascii="Times New Roman" w:eastAsia="Times New Roman" w:hAnsi="Times New Roman" w:cs="Times New Roman"/>
          <w:color w:val="000000"/>
          <w:sz w:val="28"/>
          <w:szCs w:val="28"/>
        </w:rPr>
        <w:t>хароснижающих препаратов</w:t>
      </w:r>
      <w:r w:rsidRPr="001C26B6">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учетом имеющихся рисков кардиоваскулярных осложнений</w:t>
      </w:r>
      <w:r w:rsidRPr="001C26B6">
        <w:rPr>
          <w:rFonts w:ascii="Times New Roman" w:eastAsia="Times New Roman" w:hAnsi="Times New Roman" w:cs="Times New Roman"/>
          <w:color w:val="000000"/>
          <w:sz w:val="28"/>
          <w:szCs w:val="28"/>
        </w:rPr>
        <w:t>.</w:t>
      </w: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before="24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ВЫВОДЫ</w:t>
      </w:r>
    </w:p>
    <w:p w:rsidR="00545400" w:rsidRPr="00620B38" w:rsidRDefault="00545400" w:rsidP="00545400">
      <w:pPr>
        <w:spacing w:before="240" w:line="360" w:lineRule="auto"/>
        <w:ind w:firstLine="709"/>
        <w:jc w:val="center"/>
        <w:rPr>
          <w:rFonts w:ascii="Times New Roman" w:eastAsia="Times New Roman" w:hAnsi="Times New Roman" w:cs="Times New Roman"/>
          <w:b/>
          <w:sz w:val="28"/>
          <w:szCs w:val="28"/>
          <w:lang w:eastAsia="ru-RU"/>
        </w:rPr>
      </w:pP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 xml:space="preserve">1.   </w:t>
      </w:r>
      <w:r w:rsidRPr="00620B38">
        <w:rPr>
          <w:rFonts w:ascii="Times New Roman" w:eastAsia="Times New Roman" w:hAnsi="Times New Roman" w:cs="Times New Roman"/>
          <w:sz w:val="28"/>
          <w:szCs w:val="28"/>
          <w:lang w:eastAsia="ru-RU"/>
        </w:rPr>
        <w:t xml:space="preserve">Наиболее часто среди гемодиализных пациентов </w:t>
      </w:r>
      <w:r>
        <w:rPr>
          <w:rFonts w:ascii="Times New Roman" w:eastAsia="Times New Roman" w:hAnsi="Times New Roman" w:cs="Times New Roman"/>
          <w:sz w:val="28"/>
          <w:szCs w:val="28"/>
          <w:lang w:eastAsia="ru-RU"/>
        </w:rPr>
        <w:t>с диабетической нефропатией</w:t>
      </w:r>
      <w:r w:rsidRPr="00620B38">
        <w:rPr>
          <w:rFonts w:ascii="Times New Roman" w:eastAsia="Times New Roman" w:hAnsi="Times New Roman" w:cs="Times New Roman"/>
          <w:sz w:val="28"/>
          <w:szCs w:val="28"/>
          <w:lang w:eastAsia="ru-RU"/>
        </w:rPr>
        <w:t xml:space="preserve"> встречались</w:t>
      </w:r>
      <w:r>
        <w:rPr>
          <w:rFonts w:ascii="Times New Roman" w:eastAsia="Times New Roman" w:hAnsi="Times New Roman" w:cs="Times New Roman"/>
          <w:sz w:val="28"/>
          <w:szCs w:val="28"/>
          <w:lang w:eastAsia="ru-RU"/>
        </w:rPr>
        <w:t xml:space="preserve"> такие </w:t>
      </w:r>
      <w:r w:rsidRPr="00620B38">
        <w:rPr>
          <w:rFonts w:ascii="Times New Roman" w:eastAsia="Times New Roman" w:hAnsi="Times New Roman" w:cs="Times New Roman"/>
          <w:sz w:val="28"/>
          <w:szCs w:val="28"/>
          <w:lang w:eastAsia="ru-RU"/>
        </w:rPr>
        <w:t>сердечно</w:t>
      </w:r>
      <w:r>
        <w:rPr>
          <w:rFonts w:ascii="Times New Roman" w:eastAsia="Times New Roman" w:hAnsi="Times New Roman" w:cs="Times New Roman"/>
          <w:sz w:val="28"/>
          <w:szCs w:val="28"/>
          <w:lang w:eastAsia="ru-RU"/>
        </w:rPr>
        <w:t xml:space="preserve">-сосудистые заболевания, как ишемическая болезнь сердца и артериальная гипертензия.  </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620B38">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При оценке влияния сеанса гемодиализа на показатели среднего АД была прослежена тенденция к незначительному увеличению цифр АД во всех исследованных группах.  </w:t>
      </w:r>
    </w:p>
    <w:p w:rsidR="00545400"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620B3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Пациенты, получающие </w:t>
      </w:r>
      <w:r w:rsidRPr="00620B38">
        <w:rPr>
          <w:rFonts w:ascii="Times New Roman" w:eastAsia="Times New Roman" w:hAnsi="Times New Roman" w:cs="Times New Roman"/>
          <w:sz w:val="28"/>
          <w:szCs w:val="28"/>
          <w:lang w:eastAsia="ru-RU"/>
        </w:rPr>
        <w:t>терапию</w:t>
      </w:r>
      <w:r>
        <w:rPr>
          <w:rFonts w:ascii="Times New Roman" w:eastAsia="Times New Roman" w:hAnsi="Times New Roman" w:cs="Times New Roman"/>
          <w:sz w:val="28"/>
          <w:szCs w:val="28"/>
          <w:lang w:eastAsia="ru-RU"/>
        </w:rPr>
        <w:t xml:space="preserve"> гемодиализом</w:t>
      </w:r>
      <w:r w:rsidRPr="00620B38">
        <w:rPr>
          <w:rFonts w:ascii="Times New Roman" w:eastAsia="Times New Roman" w:hAnsi="Times New Roman" w:cs="Times New Roman"/>
          <w:sz w:val="28"/>
          <w:szCs w:val="28"/>
          <w:lang w:eastAsia="ru-RU"/>
        </w:rPr>
        <w:t xml:space="preserve"> более 10 лет</w:t>
      </w:r>
      <w:r>
        <w:rPr>
          <w:rFonts w:ascii="Times New Roman" w:eastAsia="Times New Roman" w:hAnsi="Times New Roman" w:cs="Times New Roman"/>
          <w:sz w:val="28"/>
          <w:szCs w:val="28"/>
          <w:lang w:eastAsia="ru-RU"/>
        </w:rPr>
        <w:t xml:space="preserve"> имели тенденцию к более высокому</w:t>
      </w:r>
      <w:r w:rsidRPr="00620B38">
        <w:rPr>
          <w:rFonts w:ascii="Times New Roman" w:eastAsia="Times New Roman" w:hAnsi="Times New Roman" w:cs="Times New Roman"/>
          <w:sz w:val="28"/>
          <w:szCs w:val="28"/>
          <w:lang w:eastAsia="ru-RU"/>
        </w:rPr>
        <w:t xml:space="preserve"> АД.  </w:t>
      </w:r>
    </w:p>
    <w:p w:rsidR="00545400" w:rsidRPr="006B35BB" w:rsidRDefault="00545400" w:rsidP="00545400">
      <w:pPr>
        <w:spacing w:before="24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Pr="00812A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Выявлена </w:t>
      </w:r>
      <w:r w:rsidRPr="00620B38">
        <w:rPr>
          <w:rFonts w:ascii="Times New Roman" w:eastAsia="Times New Roman" w:hAnsi="Times New Roman" w:cs="Times New Roman"/>
          <w:sz w:val="28"/>
          <w:szCs w:val="28"/>
          <w:lang w:eastAsia="ru-RU"/>
        </w:rPr>
        <w:t>прямая корреляционная св</w:t>
      </w:r>
      <w:r>
        <w:rPr>
          <w:rFonts w:ascii="Times New Roman" w:eastAsia="Times New Roman" w:hAnsi="Times New Roman" w:cs="Times New Roman"/>
          <w:sz w:val="28"/>
          <w:szCs w:val="28"/>
          <w:lang w:eastAsia="ru-RU"/>
        </w:rPr>
        <w:t>язь между длительностью получения заместительной гемодиализной терапией</w:t>
      </w:r>
      <w:r w:rsidRPr="00620B38">
        <w:rPr>
          <w:rFonts w:ascii="Times New Roman" w:eastAsia="Times New Roman" w:hAnsi="Times New Roman" w:cs="Times New Roman"/>
          <w:sz w:val="28"/>
          <w:szCs w:val="28"/>
          <w:lang w:eastAsia="ru-RU"/>
        </w:rPr>
        <w:t xml:space="preserve"> и уровнем гликированного гемоглобина. </w:t>
      </w:r>
      <w:r w:rsidRPr="006B35BB">
        <w:rPr>
          <w:rFonts w:ascii="Times New Roman" w:eastAsia="Times New Roman" w:hAnsi="Times New Roman" w:cs="Times New Roman"/>
          <w:sz w:val="28"/>
          <w:szCs w:val="28"/>
          <w:lang w:eastAsia="ru-RU"/>
        </w:rPr>
        <w:t>Соотношение длительности получения ГДТ и HbA1</w:t>
      </w:r>
      <w:r w:rsidRPr="006B35BB">
        <w:rPr>
          <w:rFonts w:ascii="Times New Roman" w:eastAsia="Times New Roman" w:hAnsi="Times New Roman" w:cs="Times New Roman"/>
          <w:sz w:val="28"/>
          <w:szCs w:val="28"/>
          <w:lang w:val="en-US" w:eastAsia="ru-RU"/>
        </w:rPr>
        <w:t>c</w:t>
      </w:r>
      <w:r w:rsidRPr="006B35BB">
        <w:rPr>
          <w:rFonts w:ascii="Times New Roman" w:eastAsia="Times New Roman" w:hAnsi="Times New Roman" w:cs="Times New Roman"/>
          <w:sz w:val="28"/>
          <w:szCs w:val="28"/>
          <w:lang w:eastAsia="ru-RU"/>
        </w:rPr>
        <w:t xml:space="preserve"> статистически значимо; с увеличением времени ГДТ наблюдалась тенденция к декомпенсации углеводного обмена (коэффициент корреляции Спирмена (r) равен 0.701).</w:t>
      </w:r>
      <w:r w:rsidRPr="006B35BB">
        <w:rPr>
          <w:rFonts w:ascii="Times New Roman" w:eastAsia="Times New Roman" w:hAnsi="Times New Roman" w:cs="Times New Roman"/>
          <w:b/>
          <w:sz w:val="28"/>
          <w:szCs w:val="28"/>
          <w:lang w:eastAsia="ru-RU"/>
        </w:rPr>
        <w:t xml:space="preserve">  </w:t>
      </w:r>
    </w:p>
    <w:p w:rsidR="00545400" w:rsidRPr="00620B38" w:rsidRDefault="00545400" w:rsidP="00545400">
      <w:pPr>
        <w:spacing w:before="240" w:line="360" w:lineRule="auto"/>
        <w:ind w:firstLine="709"/>
        <w:jc w:val="both"/>
        <w:rPr>
          <w:rFonts w:ascii="Times New Roman" w:eastAsia="Times New Roman" w:hAnsi="Times New Roman" w:cs="Times New Roman"/>
          <w:sz w:val="28"/>
          <w:szCs w:val="28"/>
          <w:lang w:eastAsia="ru-RU"/>
        </w:rPr>
      </w:pPr>
      <w:r w:rsidRPr="00620B38">
        <w:rPr>
          <w:rFonts w:ascii="Times New Roman" w:eastAsia="Times New Roman" w:hAnsi="Times New Roman" w:cs="Times New Roman"/>
          <w:sz w:val="28"/>
          <w:szCs w:val="28"/>
          <w:lang w:eastAsia="ru-RU"/>
        </w:rPr>
        <w:t>5. Только половина пациентов групп СД1 типа имели рост целевого уровня Hb, в группе с СД2 типа таких пациентов оказалось всего 23%, а в группе сравнения 20%, при этом выше целевых значений были обнаружены только в группе с СД1 типа, что гово</w:t>
      </w:r>
      <w:r>
        <w:rPr>
          <w:rFonts w:ascii="Times New Roman" w:eastAsia="Times New Roman" w:hAnsi="Times New Roman" w:cs="Times New Roman"/>
          <w:sz w:val="28"/>
          <w:szCs w:val="28"/>
          <w:lang w:eastAsia="ru-RU"/>
        </w:rPr>
        <w:t>рит о незначительном эффекте заместительной терапии</w:t>
      </w:r>
      <w:r w:rsidRPr="00620B38">
        <w:rPr>
          <w:rFonts w:ascii="Times New Roman" w:eastAsia="Times New Roman" w:hAnsi="Times New Roman" w:cs="Times New Roman"/>
          <w:sz w:val="28"/>
          <w:szCs w:val="28"/>
          <w:lang w:eastAsia="ru-RU"/>
        </w:rPr>
        <w:t xml:space="preserve">. </w:t>
      </w:r>
    </w:p>
    <w:p w:rsidR="00545400" w:rsidRPr="00620B38" w:rsidRDefault="00545400" w:rsidP="00545400">
      <w:pPr>
        <w:spacing w:before="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Улучшение показателей крови наблюдалось в 35% случаев. Н</w:t>
      </w:r>
      <w:r w:rsidRPr="00620B38">
        <w:rPr>
          <w:rFonts w:ascii="Times New Roman" w:eastAsia="Times New Roman" w:hAnsi="Times New Roman" w:cs="Times New Roman"/>
          <w:sz w:val="28"/>
          <w:szCs w:val="28"/>
          <w:lang w:eastAsia="ru-RU"/>
        </w:rPr>
        <w:t xml:space="preserve">изкая эффективность лечения наблюдалась 52% случаев, в некоторых случаях динамика не прослеживалась. </w:t>
      </w:r>
      <w:r>
        <w:rPr>
          <w:rFonts w:ascii="Times New Roman" w:eastAsia="Times New Roman" w:hAnsi="Times New Roman" w:cs="Times New Roman"/>
          <w:sz w:val="28"/>
          <w:szCs w:val="28"/>
          <w:lang w:eastAsia="ru-RU"/>
        </w:rPr>
        <w:t>Б</w:t>
      </w:r>
      <w:r w:rsidRPr="00620B38">
        <w:rPr>
          <w:rFonts w:ascii="Times New Roman" w:eastAsia="Times New Roman" w:hAnsi="Times New Roman" w:cs="Times New Roman"/>
          <w:sz w:val="28"/>
          <w:szCs w:val="28"/>
          <w:lang w:eastAsia="ru-RU"/>
        </w:rPr>
        <w:t>ыла обнаружена корреляционная незначи</w:t>
      </w:r>
      <w:r>
        <w:rPr>
          <w:rFonts w:ascii="Times New Roman" w:eastAsia="Times New Roman" w:hAnsi="Times New Roman" w:cs="Times New Roman"/>
          <w:sz w:val="28"/>
          <w:szCs w:val="28"/>
          <w:lang w:eastAsia="ru-RU"/>
        </w:rPr>
        <w:t>мая связь между длительностью гемодиализной терапии</w:t>
      </w:r>
      <w:r w:rsidRPr="00620B38">
        <w:rPr>
          <w:rFonts w:ascii="Times New Roman" w:eastAsia="Times New Roman" w:hAnsi="Times New Roman" w:cs="Times New Roman"/>
          <w:sz w:val="28"/>
          <w:szCs w:val="28"/>
          <w:lang w:eastAsia="ru-RU"/>
        </w:rPr>
        <w:t xml:space="preserve"> и достижением целевого уровня гемоглобина у пациентов с ДН.</w:t>
      </w:r>
    </w:p>
    <w:p w:rsidR="00545400" w:rsidRDefault="00545400" w:rsidP="00545400">
      <w:pPr>
        <w:spacing w:before="24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ПРАКТИЧЕСКИЕ РЕКОМЕНДАЦИИ</w:t>
      </w:r>
    </w:p>
    <w:p w:rsidR="00545400" w:rsidRDefault="00545400" w:rsidP="00545400">
      <w:pPr>
        <w:spacing w:before="240" w:line="360" w:lineRule="auto"/>
        <w:ind w:firstLine="709"/>
        <w:jc w:val="center"/>
        <w:rPr>
          <w:rFonts w:ascii="Times New Roman" w:eastAsia="Times New Roman" w:hAnsi="Times New Roman" w:cs="Times New Roman"/>
          <w:b/>
          <w:sz w:val="28"/>
          <w:szCs w:val="28"/>
          <w:lang w:eastAsia="ru-RU"/>
        </w:rPr>
      </w:pPr>
    </w:p>
    <w:p w:rsidR="00545400" w:rsidRPr="00DC6A42" w:rsidRDefault="00545400" w:rsidP="00545400">
      <w:pPr>
        <w:pStyle w:val="a5"/>
        <w:numPr>
          <w:ilvl w:val="0"/>
          <w:numId w:val="20"/>
        </w:numPr>
        <w:spacing w:before="240" w:line="360" w:lineRule="auto"/>
        <w:ind w:left="0" w:firstLine="709"/>
        <w:jc w:val="both"/>
        <w:rPr>
          <w:rFonts w:ascii="Times New Roman" w:eastAsia="Times New Roman" w:hAnsi="Times New Roman" w:cs="Times New Roman"/>
          <w:sz w:val="28"/>
          <w:szCs w:val="28"/>
          <w:lang w:eastAsia="ru-RU"/>
        </w:rPr>
      </w:pPr>
      <w:r w:rsidRPr="00DC6A42">
        <w:rPr>
          <w:rFonts w:ascii="Times New Roman" w:eastAsia="Times New Roman" w:hAnsi="Times New Roman" w:cs="Times New Roman"/>
          <w:sz w:val="28"/>
          <w:szCs w:val="28"/>
          <w:lang w:eastAsia="ru-RU"/>
        </w:rPr>
        <w:t xml:space="preserve">При подборе гипогликемической терапии необходимо тщательно подбирать дозу и кратность препаратов инсулина, постоянно контролировать уровень гликированного гемоглобина. </w:t>
      </w:r>
    </w:p>
    <w:p w:rsidR="00545400" w:rsidRPr="00DC6A42" w:rsidRDefault="00545400" w:rsidP="00545400">
      <w:pPr>
        <w:pStyle w:val="a5"/>
        <w:numPr>
          <w:ilvl w:val="0"/>
          <w:numId w:val="20"/>
        </w:numPr>
        <w:spacing w:before="240" w:line="360" w:lineRule="auto"/>
        <w:ind w:left="0" w:firstLine="709"/>
        <w:jc w:val="both"/>
        <w:rPr>
          <w:rFonts w:ascii="Times New Roman" w:eastAsia="Times New Roman" w:hAnsi="Times New Roman" w:cs="Times New Roman"/>
          <w:sz w:val="28"/>
          <w:szCs w:val="28"/>
          <w:lang w:eastAsia="ru-RU"/>
        </w:rPr>
      </w:pPr>
      <w:r w:rsidRPr="00DC6A42">
        <w:rPr>
          <w:rFonts w:ascii="Times New Roman" w:eastAsia="Times New Roman" w:hAnsi="Times New Roman" w:cs="Times New Roman"/>
          <w:sz w:val="28"/>
          <w:szCs w:val="28"/>
          <w:lang w:eastAsia="ru-RU"/>
        </w:rPr>
        <w:t xml:space="preserve">Для всех пациентов, получающих гемодиализную терапию 10 и более лет целесообразно </w:t>
      </w:r>
      <w:r>
        <w:rPr>
          <w:rFonts w:ascii="Times New Roman" w:eastAsia="Times New Roman" w:hAnsi="Times New Roman" w:cs="Times New Roman"/>
          <w:sz w:val="28"/>
          <w:szCs w:val="28"/>
          <w:lang w:eastAsia="ru-RU"/>
        </w:rPr>
        <w:t>подбирать комбинацию гипо</w:t>
      </w:r>
      <w:r w:rsidRPr="00DC6A42">
        <w:rPr>
          <w:rFonts w:ascii="Times New Roman" w:eastAsia="Times New Roman" w:hAnsi="Times New Roman" w:cs="Times New Roman"/>
          <w:sz w:val="28"/>
          <w:szCs w:val="28"/>
          <w:lang w:eastAsia="ru-RU"/>
        </w:rPr>
        <w:t xml:space="preserve">тензивных средств, режим и продолжительность сеанса гемодиализа, что может снизить риск кардиоваскулярных осложнений. </w:t>
      </w:r>
    </w:p>
    <w:p w:rsidR="00545400" w:rsidRPr="00DC6A42" w:rsidRDefault="00545400" w:rsidP="00545400">
      <w:pPr>
        <w:spacing w:before="240" w:line="360" w:lineRule="auto"/>
        <w:ind w:firstLine="709"/>
        <w:jc w:val="both"/>
        <w:rPr>
          <w:rFonts w:ascii="Times New Roman" w:eastAsia="Times New Roman" w:hAnsi="Times New Roman" w:cs="Times New Roman"/>
          <w:sz w:val="28"/>
          <w:szCs w:val="28"/>
          <w:lang w:eastAsia="ru-RU"/>
        </w:rPr>
      </w:pPr>
    </w:p>
    <w:p w:rsidR="00545400" w:rsidRPr="002D0076" w:rsidRDefault="00545400" w:rsidP="00545400">
      <w:pPr>
        <w:spacing w:before="240" w:line="360" w:lineRule="auto"/>
        <w:ind w:firstLine="709"/>
        <w:jc w:val="both"/>
        <w:rPr>
          <w:rFonts w:ascii="Times New Roman" w:eastAsia="Times New Roman" w:hAnsi="Times New Roman" w:cs="Times New Roman"/>
          <w:b/>
          <w:sz w:val="28"/>
          <w:szCs w:val="28"/>
          <w:lang w:eastAsia="ru-RU"/>
        </w:rPr>
      </w:pPr>
    </w:p>
    <w:p w:rsidR="00545400" w:rsidRDefault="00545400" w:rsidP="00545400">
      <w:pPr>
        <w:spacing w:after="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after="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after="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after="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after="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after="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after="0" w:line="360" w:lineRule="auto"/>
        <w:ind w:firstLine="709"/>
        <w:jc w:val="both"/>
        <w:rPr>
          <w:rFonts w:ascii="Times New Roman" w:eastAsia="Times New Roman" w:hAnsi="Times New Roman" w:cs="Times New Roman"/>
          <w:color w:val="000000"/>
          <w:sz w:val="28"/>
          <w:szCs w:val="28"/>
        </w:rPr>
      </w:pPr>
    </w:p>
    <w:p w:rsidR="00545400" w:rsidRDefault="00545400" w:rsidP="00545400">
      <w:pPr>
        <w:spacing w:line="360" w:lineRule="auto"/>
        <w:ind w:firstLine="708"/>
        <w:jc w:val="both"/>
        <w:rPr>
          <w:rFonts w:ascii="Times New Roman" w:eastAsia="Times New Roman" w:hAnsi="Times New Roman" w:cs="Times New Roman"/>
          <w:color w:val="000000"/>
          <w:sz w:val="28"/>
          <w:szCs w:val="28"/>
        </w:rPr>
      </w:pPr>
    </w:p>
    <w:p w:rsidR="00545400" w:rsidRDefault="00545400" w:rsidP="00545400">
      <w:pPr>
        <w:spacing w:line="360" w:lineRule="auto"/>
        <w:ind w:firstLine="708"/>
        <w:jc w:val="both"/>
        <w:rPr>
          <w:rFonts w:ascii="Times New Roman" w:eastAsia="Times New Roman" w:hAnsi="Times New Roman" w:cs="Times New Roman"/>
          <w:color w:val="000000"/>
          <w:sz w:val="28"/>
          <w:szCs w:val="28"/>
        </w:rPr>
      </w:pPr>
    </w:p>
    <w:p w:rsidR="00545400" w:rsidRDefault="00545400" w:rsidP="00545400">
      <w:pPr>
        <w:spacing w:line="360" w:lineRule="auto"/>
        <w:ind w:firstLine="708"/>
        <w:jc w:val="both"/>
        <w:rPr>
          <w:rFonts w:ascii="Times New Roman" w:eastAsia="Times New Roman" w:hAnsi="Times New Roman" w:cs="Times New Roman"/>
          <w:color w:val="000000"/>
          <w:sz w:val="28"/>
          <w:szCs w:val="28"/>
        </w:rPr>
      </w:pPr>
    </w:p>
    <w:p w:rsidR="00545400" w:rsidRDefault="00545400" w:rsidP="00545400">
      <w:pPr>
        <w:spacing w:line="360" w:lineRule="auto"/>
        <w:ind w:firstLine="708"/>
        <w:jc w:val="both"/>
        <w:rPr>
          <w:rFonts w:ascii="Times New Roman" w:eastAsia="Times New Roman" w:hAnsi="Times New Roman" w:cs="Times New Roman"/>
          <w:color w:val="000000"/>
          <w:sz w:val="28"/>
          <w:szCs w:val="28"/>
        </w:rPr>
      </w:pPr>
    </w:p>
    <w:p w:rsidR="00545400" w:rsidRDefault="00545400" w:rsidP="00545400">
      <w:pPr>
        <w:spacing w:line="360" w:lineRule="auto"/>
        <w:rPr>
          <w:rFonts w:ascii="Times New Roman" w:eastAsia="Times New Roman" w:hAnsi="Times New Roman" w:cs="Times New Roman"/>
          <w:color w:val="000000"/>
          <w:sz w:val="28"/>
          <w:szCs w:val="28"/>
        </w:rPr>
      </w:pPr>
    </w:p>
    <w:p w:rsidR="00545400" w:rsidRDefault="00545400" w:rsidP="00545400">
      <w:pPr>
        <w:spacing w:line="360" w:lineRule="auto"/>
        <w:rPr>
          <w:rFonts w:ascii="Times New Roman" w:eastAsia="Times New Roman" w:hAnsi="Times New Roman" w:cs="Times New Roman"/>
          <w:color w:val="000000"/>
          <w:sz w:val="28"/>
          <w:szCs w:val="28"/>
        </w:rPr>
      </w:pPr>
    </w:p>
    <w:p w:rsidR="00545400" w:rsidRDefault="00545400" w:rsidP="00545400">
      <w:pPr>
        <w:spacing w:line="360" w:lineRule="auto"/>
        <w:rPr>
          <w:rFonts w:ascii="Times New Roman" w:eastAsia="Times New Roman" w:hAnsi="Times New Roman" w:cs="Times New Roman"/>
          <w:color w:val="000000"/>
          <w:sz w:val="28"/>
          <w:szCs w:val="28"/>
        </w:rPr>
      </w:pPr>
    </w:p>
    <w:p w:rsidR="00545400" w:rsidRPr="00A36EB3" w:rsidRDefault="00545400" w:rsidP="00545400">
      <w:pPr>
        <w:spacing w:line="360" w:lineRule="auto"/>
        <w:jc w:val="center"/>
        <w:rPr>
          <w:rFonts w:ascii="Times New Roman" w:eastAsia="Times New Roman" w:hAnsi="Times New Roman" w:cs="Times New Roman"/>
          <w:b/>
          <w:color w:val="000000"/>
          <w:sz w:val="28"/>
          <w:szCs w:val="28"/>
        </w:rPr>
      </w:pPr>
      <w:r w:rsidRPr="00A8747C">
        <w:rPr>
          <w:rFonts w:ascii="Times New Roman" w:eastAsia="Times New Roman" w:hAnsi="Times New Roman" w:cs="Times New Roman"/>
          <w:b/>
          <w:color w:val="000000"/>
          <w:sz w:val="28"/>
          <w:szCs w:val="28"/>
        </w:rPr>
        <w:lastRenderedPageBreak/>
        <w:t>СПИСОК ЛИТЕРАТУРЫ</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rPr>
      </w:pPr>
      <w:r w:rsidRPr="009C3501">
        <w:rPr>
          <w:rFonts w:ascii="Times New Roman" w:eastAsia="Calibri" w:hAnsi="Times New Roman" w:cs="Times New Roman"/>
          <w:sz w:val="28"/>
          <w:szCs w:val="28"/>
        </w:rPr>
        <w:t>1.</w:t>
      </w:r>
      <w:r w:rsidRPr="009C3501">
        <w:rPr>
          <w:rFonts w:ascii="Times New Roman" w:eastAsia="Calibri" w:hAnsi="Times New Roman" w:cs="Times New Roman"/>
          <w:sz w:val="28"/>
          <w:szCs w:val="28"/>
        </w:rPr>
        <w:tab/>
        <w:t xml:space="preserve">Сахарный диабет в Российской Федерации: распространенность, заболеваемость, смертность, параметры углеводного обмена и структуру сахароснижающей терапии по данным федерального регистра сахарного диабета, статус 2017 г.: часть </w:t>
      </w:r>
      <w:r w:rsidRPr="009C3501">
        <w:rPr>
          <w:rFonts w:ascii="Times New Roman" w:eastAsia="Calibri" w:hAnsi="Times New Roman" w:cs="Times New Roman"/>
          <w:sz w:val="28"/>
          <w:szCs w:val="28"/>
          <w:lang w:val="en-US"/>
        </w:rPr>
        <w:t>I</w:t>
      </w:r>
      <w:r w:rsidRPr="009C3501">
        <w:rPr>
          <w:rFonts w:ascii="Times New Roman" w:eastAsia="Calibri" w:hAnsi="Times New Roman" w:cs="Times New Roman"/>
          <w:sz w:val="28"/>
          <w:szCs w:val="28"/>
        </w:rPr>
        <w:t xml:space="preserve"> / И.И. Дедов, М.В. Шестакова, О.К. Викулова, А.В. Железнякова, М.А. Исаков // </w:t>
      </w:r>
      <w:r w:rsidRPr="009C3501">
        <w:rPr>
          <w:rFonts w:ascii="Times New Roman" w:eastAsia="Calibri" w:hAnsi="Times New Roman" w:cs="Times New Roman"/>
          <w:sz w:val="28"/>
          <w:szCs w:val="28"/>
          <w:lang w:val="en-US"/>
        </w:rPr>
        <w:t>Diabetes</w:t>
      </w:r>
      <w:r w:rsidRPr="009C3501">
        <w:rPr>
          <w:rFonts w:ascii="Times New Roman" w:eastAsia="Calibri" w:hAnsi="Times New Roman" w:cs="Times New Roman"/>
          <w:sz w:val="28"/>
          <w:szCs w:val="28"/>
        </w:rPr>
        <w:t xml:space="preserve"> </w:t>
      </w:r>
      <w:r w:rsidRPr="009C3501">
        <w:rPr>
          <w:rFonts w:ascii="Times New Roman" w:eastAsia="Calibri" w:hAnsi="Times New Roman" w:cs="Times New Roman"/>
          <w:sz w:val="28"/>
          <w:szCs w:val="28"/>
          <w:lang w:val="en-US"/>
        </w:rPr>
        <w:t>Mellitus</w:t>
      </w:r>
      <w:r w:rsidRPr="009C3501">
        <w:rPr>
          <w:rFonts w:ascii="Times New Roman" w:eastAsia="Calibri" w:hAnsi="Times New Roman" w:cs="Times New Roman"/>
          <w:sz w:val="28"/>
          <w:szCs w:val="28"/>
        </w:rPr>
        <w:t xml:space="preserve">. – 2018. – №21. – С. 147- 149.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rPr>
      </w:pPr>
      <w:r w:rsidRPr="009C3501">
        <w:rPr>
          <w:rFonts w:ascii="Times New Roman" w:eastAsia="Calibri" w:hAnsi="Times New Roman" w:cs="Times New Roman"/>
          <w:sz w:val="28"/>
          <w:szCs w:val="28"/>
        </w:rPr>
        <w:t>2.</w:t>
      </w:r>
      <w:r w:rsidRPr="009C3501">
        <w:rPr>
          <w:rFonts w:ascii="Times New Roman" w:eastAsia="Calibri" w:hAnsi="Times New Roman" w:cs="Times New Roman"/>
          <w:sz w:val="28"/>
          <w:szCs w:val="28"/>
        </w:rPr>
        <w:tab/>
        <w:t xml:space="preserve">Сахарный диабет и хроническая болезнь почек: достижения, нерешенные проблемы и перспективы лечения. Шестакова М. В. Шамхалова М.Ш. Ярек-Мартынова И.Я., Клефортова И.И., Сухарева О.Ю., Викулова О.К., Зайцева Н.В., Мартынов С.А., Кварацхелия М.В., Тарасов Е.В., Трубицына Н.П. -  2011.  </w:t>
      </w:r>
    </w:p>
    <w:p w:rsidR="00545400"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sidRPr="009C3501">
        <w:rPr>
          <w:rFonts w:ascii="Times New Roman" w:eastAsia="Calibri" w:hAnsi="Times New Roman" w:cs="Times New Roman"/>
          <w:sz w:val="28"/>
          <w:szCs w:val="28"/>
          <w:lang w:val="en-US"/>
        </w:rPr>
        <w:t>3.</w:t>
      </w:r>
      <w:r w:rsidRPr="009C3501">
        <w:rPr>
          <w:rFonts w:ascii="Times New Roman" w:eastAsia="Calibri" w:hAnsi="Times New Roman" w:cs="Times New Roman"/>
          <w:sz w:val="28"/>
          <w:szCs w:val="28"/>
          <w:lang w:val="en-US"/>
        </w:rPr>
        <w:tab/>
        <w:t xml:space="preserve"> Reutens A.T. Epidemiology of diabetic kidney disease // Med. Clin. N. Am. - 2013. -  Vol.97. - P. 1–18.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sidRPr="00275D5F">
        <w:rPr>
          <w:rFonts w:ascii="Times New Roman" w:eastAsia="Calibri" w:hAnsi="Times New Roman" w:cs="Times New Roman"/>
          <w:sz w:val="28"/>
          <w:szCs w:val="28"/>
          <w:lang w:val="en-US"/>
        </w:rPr>
        <w:t xml:space="preserve">4.           </w:t>
      </w:r>
      <w:r w:rsidRPr="009C3501">
        <w:rPr>
          <w:rFonts w:ascii="Times New Roman" w:eastAsia="Calibri" w:hAnsi="Times New Roman" w:cs="Times New Roman"/>
          <w:sz w:val="28"/>
          <w:szCs w:val="28"/>
          <w:lang w:val="en-US"/>
        </w:rPr>
        <w:t xml:space="preserve">Seaquist E.R., Goetz F.C., Rich S. Et al. Familial clustering of Diabetic Kidney disease. Evidence of genetic susceptibility to diabetic nephropathy // N. Engl. J. Med. - 1989. – Vol. 320. -  P. 1161-1165.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Papadopoulou-Marketou N., Chrousos GP., Kanaka - Gantenbein C. Author informationDiabetic Nephropathy in Type 1 Diabetes: A Review of Early Natural History, Pathogenesis and Diagnosis // Diabetes Metab Res Rev. – 2017. – Vol. 33.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Alwall N, Ekelund C, Oras L. Intercapillary glomerulosclerosis (Kimmelstiel-Wilson's disease) // Acta Med Scand. -  1950. – Vol. 136. – P. 359–370.</w:t>
      </w:r>
    </w:p>
    <w:p w:rsidR="00545400"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Brenner B.M., Hostetter T., Humes H.D. Molecular basis of proteinuria of glomerular origin // N. Engl. J. Med. — </w:t>
      </w:r>
      <w:r>
        <w:rPr>
          <w:rFonts w:ascii="Times New Roman" w:eastAsia="Calibri" w:hAnsi="Times New Roman" w:cs="Times New Roman"/>
          <w:sz w:val="28"/>
          <w:szCs w:val="28"/>
          <w:lang w:val="en-US"/>
        </w:rPr>
        <w:t>1978. — № 298. — P. 826—833. 26</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sidRPr="00275D5F">
        <w:rPr>
          <w:rFonts w:ascii="Times New Roman" w:eastAsia="Calibri" w:hAnsi="Times New Roman" w:cs="Times New Roman"/>
          <w:sz w:val="28"/>
          <w:szCs w:val="28"/>
          <w:lang w:val="en-US"/>
        </w:rPr>
        <w:t xml:space="preserve">8.        </w:t>
      </w:r>
      <w:r w:rsidRPr="009C3501">
        <w:rPr>
          <w:rFonts w:ascii="Times New Roman" w:eastAsia="Calibri" w:hAnsi="Times New Roman" w:cs="Times New Roman"/>
          <w:sz w:val="28"/>
          <w:szCs w:val="28"/>
          <w:lang w:val="en-US"/>
        </w:rPr>
        <w:t>Diamond J. Focal and segmental glomerulosclerosis: analogies to athero- sclerosis // Kidney Int. - 1988. — № 33. — P. 917—924.</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lastRenderedPageBreak/>
        <w:t>9</w:t>
      </w:r>
      <w:r w:rsidRPr="009C3501">
        <w:rPr>
          <w:rFonts w:ascii="Times New Roman" w:eastAsia="Calibri" w:hAnsi="Times New Roman" w:cs="Times New Roman"/>
          <w:sz w:val="28"/>
          <w:szCs w:val="28"/>
        </w:rPr>
        <w:t xml:space="preserve">. Смирнов И.Е., Кучеренко А.Г., Смирнова Г.И., Бадалян А.Р/ Диабетическая нефропатия/ Российский педиатрический журнал. </w:t>
      </w:r>
      <w:r w:rsidRPr="009C3501">
        <w:rPr>
          <w:rFonts w:ascii="Times New Roman" w:eastAsia="Calibri" w:hAnsi="Times New Roman" w:cs="Times New Roman"/>
          <w:sz w:val="28"/>
          <w:szCs w:val="28"/>
          <w:lang w:val="en-US"/>
        </w:rPr>
        <w:t>2015</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10</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De Zeeuw D., Remuzzi G., Parving H-H. Proteinuria, a target for renoprotection in patients with type 2 diabetic nephropathy: lessons from RENAAL // Kidney Int. — 2004. — № 65(6). — P. 2309—2320.</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9C3501">
        <w:rPr>
          <w:rFonts w:ascii="Times New Roman" w:eastAsia="Calibri" w:hAnsi="Times New Roman" w:cs="Times New Roman"/>
          <w:sz w:val="28"/>
          <w:szCs w:val="28"/>
        </w:rPr>
        <w:t xml:space="preserve">. Под редакцией И.И. Дедова, М.В. Шестаковой, А.Ю. Майорова «Алгоритмы специализированной медицинской помощи больным сахарным диабетом» / Сахарный диабет. – 2017. - №8. – С.39-51.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9C3501">
        <w:rPr>
          <w:rFonts w:ascii="Times New Roman" w:eastAsia="Calibri" w:hAnsi="Times New Roman" w:cs="Times New Roman"/>
          <w:sz w:val="28"/>
          <w:szCs w:val="28"/>
        </w:rPr>
        <w:t>.</w:t>
      </w:r>
      <w:r w:rsidRPr="009C3501">
        <w:rPr>
          <w:rFonts w:ascii="Times New Roman" w:eastAsia="Calibri" w:hAnsi="Times New Roman" w:cs="Times New Roman"/>
          <w:sz w:val="28"/>
          <w:szCs w:val="28"/>
        </w:rPr>
        <w:tab/>
        <w:t xml:space="preserve"> Лебедева Н.О., Викулова О.К. / Маркеры доклинической диагностики диабетической нефропатии у пациентов с сахарным диабетом 1 типа / Сахарный диабет. -  2012. - №2. – С. 38–45.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9C3501">
        <w:rPr>
          <w:rFonts w:ascii="Times New Roman" w:eastAsia="Calibri" w:hAnsi="Times New Roman" w:cs="Times New Roman"/>
          <w:sz w:val="28"/>
          <w:szCs w:val="28"/>
        </w:rPr>
        <w:t>.</w:t>
      </w:r>
      <w:r w:rsidRPr="009C3501">
        <w:rPr>
          <w:rFonts w:ascii="Times New Roman" w:eastAsia="Calibri" w:hAnsi="Times New Roman" w:cs="Times New Roman"/>
          <w:sz w:val="28"/>
          <w:szCs w:val="28"/>
        </w:rPr>
        <w:tab/>
        <w:t xml:space="preserve">Р.А. Надеева, О.Н. Сигитова / Клинические рекомендации по лечению диабетической нефропатии / Архив внутренней медицины. – 2015. - № 5. – с. 3-8.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9C3501">
        <w:rPr>
          <w:rFonts w:ascii="Times New Roman" w:eastAsia="Calibri" w:hAnsi="Times New Roman" w:cs="Times New Roman"/>
          <w:sz w:val="28"/>
          <w:szCs w:val="28"/>
        </w:rPr>
        <w:t>.</w:t>
      </w:r>
      <w:r w:rsidRPr="009C3501">
        <w:rPr>
          <w:rFonts w:ascii="Times New Roman" w:eastAsia="Calibri" w:hAnsi="Times New Roman" w:cs="Times New Roman"/>
          <w:sz w:val="28"/>
          <w:szCs w:val="28"/>
        </w:rPr>
        <w:tab/>
        <w:t xml:space="preserve">Консенсус </w:t>
      </w:r>
      <w:r w:rsidRPr="009C3501">
        <w:rPr>
          <w:rFonts w:ascii="Times New Roman" w:eastAsia="Calibri" w:hAnsi="Times New Roman" w:cs="Times New Roman"/>
          <w:sz w:val="28"/>
          <w:szCs w:val="28"/>
          <w:lang w:val="en-US"/>
        </w:rPr>
        <w:t>EASD</w:t>
      </w:r>
      <w:r w:rsidRPr="009C3501">
        <w:rPr>
          <w:rFonts w:ascii="Times New Roman" w:eastAsia="Calibri" w:hAnsi="Times New Roman" w:cs="Times New Roman"/>
          <w:sz w:val="28"/>
          <w:szCs w:val="28"/>
        </w:rPr>
        <w:t xml:space="preserve"> и </w:t>
      </w:r>
      <w:r w:rsidRPr="009C3501">
        <w:rPr>
          <w:rFonts w:ascii="Times New Roman" w:eastAsia="Calibri" w:hAnsi="Times New Roman" w:cs="Times New Roman"/>
          <w:sz w:val="28"/>
          <w:szCs w:val="28"/>
          <w:lang w:val="en-US"/>
        </w:rPr>
        <w:t>ADA</w:t>
      </w:r>
      <w:r w:rsidRPr="009C3501">
        <w:rPr>
          <w:rFonts w:ascii="Times New Roman" w:eastAsia="Calibri" w:hAnsi="Times New Roman" w:cs="Times New Roman"/>
          <w:sz w:val="28"/>
          <w:szCs w:val="28"/>
        </w:rPr>
        <w:t xml:space="preserve"> по управлению гипергликемией при сахарном диабете 2 типа.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15</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Valente MA1, Hillege HL, Navis G, Voors AA, Dunselman PH, van Veldhuisen DJ, Damman K. The Chronic Kidney Disease Epidemiology Collaboration equation outperforms the Modification of Diet in Renal Disease equation for estimating glomerular filtration rate in chronic systolic heart failure // Eur J Heart Fail. – 2014. – Vol. 16. - P. 86-94.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16.</w:t>
      </w:r>
      <w:r w:rsidRPr="009C3501">
        <w:rPr>
          <w:rFonts w:ascii="Times New Roman" w:eastAsia="Calibri" w:hAnsi="Times New Roman" w:cs="Times New Roman"/>
          <w:sz w:val="28"/>
          <w:szCs w:val="28"/>
          <w:lang w:val="en-US"/>
        </w:rPr>
        <w:tab/>
        <w:t xml:space="preserve">Chakraborty S., Bhattacharyya R., Banerjee D. Infections: A Possible Risk Factor for Type 2 Diabetes // Adv Clin Chem. – 2017. - Vol. 80. – P. 227-251.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17</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Tziomalos K., Athyros VG. Diabetic Nephropathy: New Risk Factors and Improvements in Diagnosis // Rev Diabet Stud. – 2015. – Vol. 12. P. 108-110.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18</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Tonelli M, Muntner P, Lloyd A, Manns BJ, Klarenbach S, Pannu N, et al. Risk of coronary events in people with chronic kidney disease compared with those with diabetes: a population - level cohort study // The Lancet. – 2012. – Vol. 380. – P. 807–814.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19</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A.V. Smirnov, V.M. Sedov, Lhaahuu Od-Erdene, I.G. Kayukov, V.A. Dobronravov, I.Yu. Panina. Reduction of the glomerular filtration rate as an independ risk factor of the cardio-vascular disease. – 2010. - № 2. С. 76-110.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20</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Fan Wang, Ping Ye  Leiming, Luo  Wenkai, Xiao  Hongmei Wu.  Association of risk factors for cardiovascular disease and glomerular filtration rate: a community-based study of 4925 adults in Beijing // Nephrology Dialysis Transplantation. – 2010. – Vol.25. – P. 3924-3931.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Pr="009C3501">
        <w:rPr>
          <w:rFonts w:ascii="Times New Roman" w:eastAsia="Calibri" w:hAnsi="Times New Roman" w:cs="Times New Roman"/>
          <w:sz w:val="28"/>
          <w:szCs w:val="28"/>
        </w:rPr>
        <w:t>.</w:t>
      </w:r>
      <w:r w:rsidRPr="009C3501">
        <w:rPr>
          <w:rFonts w:ascii="Times New Roman" w:eastAsia="Calibri" w:hAnsi="Times New Roman" w:cs="Times New Roman"/>
          <w:sz w:val="28"/>
          <w:szCs w:val="28"/>
        </w:rPr>
        <w:tab/>
        <w:t xml:space="preserve">Грачева С.А. / Распространенность, клинические особенности и прогностическая значимость сочетанного атеросклеротического поражения сосудов у больных сахарным диабетом /Сахарный диабет. – 2014. - № 1. – С. 49-55.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Pr="009C3501">
        <w:rPr>
          <w:rFonts w:ascii="Times New Roman" w:eastAsia="Calibri" w:hAnsi="Times New Roman" w:cs="Times New Roman"/>
          <w:sz w:val="28"/>
          <w:szCs w:val="28"/>
        </w:rPr>
        <w:t xml:space="preserve">. А.В. Смирнов, Е.М. Шилов, В.А. Добронравов, И.Г. Каюков, И.Н. Бобкова, М.Ю. Швецов, А.Н. Цыгин, А.М. Шутов /Хроническая болезнь почек: основные положения, определение, диагностика, скрининг, подходы к профилактике и лечению / Национальные рекомендации - 2012.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23</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Bondar I. A., Shabel'nikova, O.Yu. Genetic framework of type 2 diabetes mellitus // Diabetes mellitus. – 2013. – Vol.16. – P. 11-16.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24</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 Schernthaner G., Ritz E., Schernthaner G-H. Strict glycaemic control in diabetic patients with CKD or ESRD: beneficial or deadly? // Nephrol. Dial. Transplant. — 2010. — № 25. — P. 2044—2047.</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25</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Liu X1, Ma H, Huang H, Wang C, Tang H, Li M, Wang Y, Lou T. Is the Chronic Kidney Disease Epidemiology Collaboration creatinine-cystatin C equation useful for glomerular filtration rate estimation in the elderly? // Clin Interv Aging. -  2013. - Vol. 8. – P.1387–1391.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9C3501">
        <w:rPr>
          <w:rFonts w:ascii="Times New Roman" w:eastAsia="Calibri" w:hAnsi="Times New Roman" w:cs="Times New Roman"/>
          <w:sz w:val="28"/>
          <w:szCs w:val="28"/>
        </w:rPr>
        <w:t>.</w:t>
      </w:r>
      <w:r w:rsidRPr="009C3501">
        <w:rPr>
          <w:rFonts w:ascii="Times New Roman" w:eastAsia="Calibri" w:hAnsi="Times New Roman" w:cs="Times New Roman"/>
          <w:sz w:val="28"/>
          <w:szCs w:val="28"/>
        </w:rPr>
        <w:tab/>
        <w:t xml:space="preserve"> Влияние анемии на течение сердечно-сосудистых заболеваний/ Будневский А. В., Овсянников Е. С., Редька А. В. / Кардиоваскулярная терапия и профилактика. – 2016. - №4. – с. 45-70.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27</w:t>
      </w:r>
      <w:r w:rsidRPr="009C3501">
        <w:rPr>
          <w:rFonts w:ascii="Times New Roman" w:eastAsia="Calibri" w:hAnsi="Times New Roman" w:cs="Times New Roman"/>
          <w:sz w:val="28"/>
          <w:szCs w:val="28"/>
          <w:lang w:val="en-US"/>
        </w:rPr>
        <w:t xml:space="preserve">. Kurek T, Lenarczyk R, Kowalczyk J, et al. Effect of anemia in high - risk groups of patients with acute myocardial infarction treated with percutaneous coronary intervention // Am J Cardiol. – 2010. – Vol. 105. – P. 608-611.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28</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Bassand JP, Afzal R, Eikelboom J, et al. Relationship between baseline haemoglobin and major bleeding complications in acute coronary syndromes // Eur Heart J. – 2010. – Vol.31. – P. 50-58.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29</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Steinvil M, Banai S, Leshem-Rubinow E, et al. The development of anemia of inflammation during acute myocardial infarction // International J Cardiol. – 2012. Vol. 156 – P. 160-164.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30</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 Kidney Disease: Improving Global Outcomes (KDIGO) Anemia Work Group. KDIGO Clinical Practice Guideline for Anemia in Chronic Kidney Disease, 2012// Kidney International Supplements. -  2012. -  Vol.3. – P. 205-410.  </w:t>
      </w:r>
    </w:p>
    <w:p w:rsidR="00545400" w:rsidRPr="00FB28B2"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31</w:t>
      </w:r>
      <w:r w:rsidRPr="009C3501">
        <w:rPr>
          <w:rFonts w:ascii="Times New Roman" w:eastAsia="Calibri" w:hAnsi="Times New Roman" w:cs="Times New Roman"/>
          <w:sz w:val="28"/>
          <w:szCs w:val="28"/>
        </w:rPr>
        <w:t>.</w:t>
      </w:r>
      <w:r w:rsidRPr="009C3501">
        <w:rPr>
          <w:rFonts w:ascii="Times New Roman" w:eastAsia="Calibri" w:hAnsi="Times New Roman" w:cs="Times New Roman"/>
          <w:sz w:val="28"/>
          <w:szCs w:val="28"/>
        </w:rPr>
        <w:tab/>
        <w:t xml:space="preserve">Сердечно-сосудистый риск и хроническая болезнь почек: стратегии кардио- и нефропротекции.  </w:t>
      </w:r>
      <w:r w:rsidRPr="00FB28B2">
        <w:rPr>
          <w:rFonts w:ascii="Times New Roman" w:eastAsia="Calibri" w:hAnsi="Times New Roman" w:cs="Times New Roman"/>
          <w:sz w:val="28"/>
          <w:szCs w:val="28"/>
          <w:lang w:val="en-US"/>
        </w:rPr>
        <w:t xml:space="preserve">2014.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32</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 Patel A., MacMahon S., Chalmers J. et al. ADVANCE Collaborative Group. Intensive blood glucose and vascular outcomes in patients with type 2 diabetes // N. Engl. J. Med. — 2008. — № 358. — P. 2560—2572.</w:t>
      </w:r>
    </w:p>
    <w:p w:rsidR="00545400" w:rsidRDefault="00545400" w:rsidP="00545400">
      <w:pPr>
        <w:spacing w:before="24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275D5F">
        <w:rPr>
          <w:rFonts w:ascii="Times New Roman" w:eastAsia="Calibri" w:hAnsi="Times New Roman" w:cs="Times New Roman"/>
          <w:sz w:val="28"/>
          <w:szCs w:val="28"/>
        </w:rPr>
        <w:t>.</w:t>
      </w:r>
      <w:r w:rsidRPr="00275D5F">
        <w:rPr>
          <w:rFonts w:ascii="Times New Roman" w:eastAsia="Calibri" w:hAnsi="Times New Roman" w:cs="Times New Roman"/>
          <w:sz w:val="28"/>
          <w:szCs w:val="28"/>
        </w:rPr>
        <w:tab/>
        <w:t xml:space="preserve">М.В. Шестакова, М.Ш. Шамхалова, И.Я. Ярек-Мартынова, О.Ю. Сухарева, О.К. Викулова, С.А. Мартынов, И.И. Клефортова, Н.П. Трубицына, Н.В. Зайцева, Е. В. Тарасов / </w:t>
      </w:r>
      <w:r>
        <w:rPr>
          <w:rFonts w:ascii="Times New Roman" w:eastAsia="Calibri" w:hAnsi="Times New Roman" w:cs="Times New Roman"/>
          <w:sz w:val="28"/>
          <w:szCs w:val="28"/>
        </w:rPr>
        <w:t xml:space="preserve">Федеральные клинические рекомендации по диагностике, скринингу, профилактике и лечению хронической болезни почек у больных сахарным диабетом – 2015.  </w:t>
      </w:r>
      <w:r w:rsidRPr="00275D5F">
        <w:rPr>
          <w:rFonts w:ascii="Times New Roman" w:eastAsia="Calibri" w:hAnsi="Times New Roman" w:cs="Times New Roman"/>
          <w:sz w:val="28"/>
          <w:szCs w:val="28"/>
        </w:rPr>
        <w:t xml:space="preserve">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34</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Mogensen CE, Neldam S, Tikkanen I, Oren S, Viskoper R, Watts RW, Cooper ME. Randomised controlled trial of dual blockade of renin-angiotensin system in patients with hypertension, microalbuminuria, and non-insulin dependent diabetes: the candesartan and lisinopril microalbuminuria (CALM) study // BMJ. – 2001. - Vol.321. – P.1440-1444.</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35</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 ADA. Standards of medical care in diabetes—2013 // Diabetes Care. - 2013. - Vol.36. -  P.11-66.</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36</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David K. Packham, Rory Wolfe, Anne T. Reutens, Tomas Berl, Hiddo Lambers Heerspink, Richard Rohde, Sara Ivory, Julia Lewis, Itamar Raz, Thomas B. Wiegmann, Juliana C.N. Chan, Dick de Zeeuw, Edmund J. Lewis,and Robert C. Atkins, for the Collaborative Study Group Sulodexide Fails to Demonstrate </w:t>
      </w:r>
      <w:r w:rsidRPr="009C3501">
        <w:rPr>
          <w:rFonts w:ascii="Times New Roman" w:eastAsia="Calibri" w:hAnsi="Times New Roman" w:cs="Times New Roman"/>
          <w:sz w:val="28"/>
          <w:szCs w:val="28"/>
          <w:lang w:val="en-US"/>
        </w:rPr>
        <w:lastRenderedPageBreak/>
        <w:t xml:space="preserve">Renoprotection in Overt Type 2 Diabetic Nephropathy // JAm Soc Nephrol. – 2012. – Vol.23. – P.123–130. </w:t>
      </w:r>
    </w:p>
    <w:p w:rsidR="00545400"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37</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National Kidney Foundation. KDOQI Clinical Practice Guideline for Diabetes and CKD: 2012 update // Am J Kidney Dis. -  2012. – Vol.60. – P.850-</w:t>
      </w:r>
    </w:p>
    <w:p w:rsidR="00545400" w:rsidRDefault="00545400" w:rsidP="00545400">
      <w:pPr>
        <w:spacing w:before="240" w:line="360" w:lineRule="auto"/>
        <w:contextualSpacing/>
        <w:jc w:val="both"/>
        <w:rPr>
          <w:rFonts w:ascii="Times New Roman" w:eastAsia="Calibri" w:hAnsi="Times New Roman" w:cs="Times New Roman"/>
          <w:sz w:val="28"/>
          <w:szCs w:val="28"/>
          <w:lang w:val="en-US"/>
        </w:rPr>
      </w:pPr>
      <w:r w:rsidRPr="009C3501">
        <w:rPr>
          <w:rFonts w:ascii="Times New Roman" w:eastAsia="Calibri" w:hAnsi="Times New Roman" w:cs="Times New Roman"/>
          <w:sz w:val="28"/>
          <w:szCs w:val="28"/>
          <w:lang w:val="en-US"/>
        </w:rPr>
        <w:t>886.</w:t>
      </w:r>
    </w:p>
    <w:p w:rsidR="00545400" w:rsidRPr="00275D5F" w:rsidRDefault="00545400" w:rsidP="00545400">
      <w:pPr>
        <w:spacing w:before="240" w:line="360" w:lineRule="auto"/>
        <w:contextualSpacing/>
        <w:jc w:val="both"/>
        <w:rPr>
          <w:rFonts w:ascii="Times New Roman" w:eastAsia="Calibri" w:hAnsi="Times New Roman" w:cs="Times New Roman"/>
          <w:sz w:val="28"/>
          <w:szCs w:val="28"/>
          <w:lang w:val="en-US"/>
        </w:rPr>
      </w:pPr>
      <w:r w:rsidRPr="00275D5F">
        <w:rPr>
          <w:rFonts w:ascii="Times New Roman" w:eastAsia="Calibri" w:hAnsi="Times New Roman" w:cs="Times New Roman"/>
          <w:sz w:val="28"/>
          <w:szCs w:val="28"/>
          <w:lang w:val="en-US"/>
        </w:rPr>
        <w:t xml:space="preserve">          38. Hoc</w:t>
      </w:r>
      <w:r>
        <w:rPr>
          <w:rFonts w:ascii="Times New Roman" w:eastAsia="Calibri" w:hAnsi="Times New Roman" w:cs="Times New Roman"/>
          <w:sz w:val="28"/>
          <w:szCs w:val="28"/>
          <w:lang w:val="en-US"/>
        </w:rPr>
        <w:t xml:space="preserve">her B, Reichetzeder C, Alter M. </w:t>
      </w:r>
      <w:r w:rsidRPr="00275D5F">
        <w:rPr>
          <w:rFonts w:ascii="Times New Roman" w:eastAsia="Calibri" w:hAnsi="Times New Roman" w:cs="Times New Roman"/>
          <w:sz w:val="28"/>
          <w:szCs w:val="28"/>
          <w:lang w:val="en-US"/>
        </w:rPr>
        <w:t>/ Renal and cardiac effects of DPP4 inhibitors</w:t>
      </w:r>
      <w:r>
        <w:rPr>
          <w:rFonts w:ascii="Times New Roman" w:eastAsia="Calibri" w:hAnsi="Times New Roman" w:cs="Times New Roman"/>
          <w:sz w:val="28"/>
          <w:szCs w:val="28"/>
          <w:lang w:val="en-US"/>
        </w:rPr>
        <w:t xml:space="preserve"> // </w:t>
      </w:r>
      <w:r w:rsidRPr="00275D5F">
        <w:rPr>
          <w:rFonts w:ascii="Times New Roman" w:eastAsia="Calibri" w:hAnsi="Times New Roman" w:cs="Times New Roman"/>
          <w:sz w:val="28"/>
          <w:szCs w:val="28"/>
          <w:lang w:val="en-US"/>
        </w:rPr>
        <w:t xml:space="preserve">Kidney Blood Press Res. - </w:t>
      </w:r>
      <w:r>
        <w:rPr>
          <w:rFonts w:ascii="Times New Roman" w:eastAsia="Calibri" w:hAnsi="Times New Roman" w:cs="Times New Roman"/>
          <w:sz w:val="28"/>
          <w:szCs w:val="28"/>
          <w:lang w:val="en-US"/>
        </w:rPr>
        <w:t xml:space="preserve"> 2012.</w:t>
      </w:r>
      <w:r w:rsidRPr="00275D5F">
        <w:rPr>
          <w:rFonts w:ascii="Times New Roman" w:eastAsia="Calibri" w:hAnsi="Times New Roman" w:cs="Times New Roman"/>
          <w:sz w:val="28"/>
          <w:szCs w:val="28"/>
          <w:lang w:val="en-US"/>
        </w:rPr>
        <w:t xml:space="preserve"> - </w:t>
      </w:r>
      <w:r>
        <w:rPr>
          <w:rFonts w:ascii="Times New Roman" w:eastAsia="Calibri" w:hAnsi="Times New Roman" w:cs="Times New Roman"/>
          <w:sz w:val="28"/>
          <w:szCs w:val="28"/>
          <w:lang w:val="en-US"/>
        </w:rPr>
        <w:t xml:space="preserve"> Vol. 36. – P. </w:t>
      </w:r>
      <w:r w:rsidRPr="00275D5F">
        <w:rPr>
          <w:rFonts w:ascii="Times New Roman" w:eastAsia="Calibri" w:hAnsi="Times New Roman" w:cs="Times New Roman"/>
          <w:sz w:val="28"/>
          <w:szCs w:val="28"/>
          <w:lang w:val="en-US"/>
        </w:rPr>
        <w:t>65-84.</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39</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 KDIGO Clinical Practice Guideline for the Management of Blood Pressure in Chronic Kidney Disease // Kidney International Supplements. -  2012. -  Vol.2. – P. 335-414.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39</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Craig KJ, Williams JD, Smith H, et al. Anemia and diabetes in the absence of nephropathy // Diabetes Care. -  2005. - Vol. 28. – P. 1118-1123.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40</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 xml:space="preserve">Zeni L, Norden AGW, Cancaribini G, Unwin RJ. A more tubulocentric vew of diabetic kidney disease // J Nephrol. -  2017. – Vol. 30. – P. 701-717.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Pr="009C3501">
        <w:rPr>
          <w:rFonts w:ascii="Times New Roman" w:eastAsia="Calibri" w:hAnsi="Times New Roman" w:cs="Times New Roman"/>
          <w:sz w:val="28"/>
          <w:szCs w:val="28"/>
        </w:rPr>
        <w:t>.</w:t>
      </w:r>
      <w:r w:rsidRPr="009C3501">
        <w:rPr>
          <w:rFonts w:ascii="Times New Roman" w:eastAsia="Calibri" w:hAnsi="Times New Roman" w:cs="Times New Roman"/>
          <w:sz w:val="28"/>
          <w:szCs w:val="28"/>
        </w:rPr>
        <w:tab/>
        <w:t xml:space="preserve">Добронравов В.А., Смирнов А.В. Анемия и хроническая болезнь почек // Анемия. – 2005. – №2. – С. 2-8.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9C3501">
        <w:rPr>
          <w:rFonts w:ascii="Times New Roman" w:eastAsia="Calibri" w:hAnsi="Times New Roman" w:cs="Times New Roman"/>
          <w:sz w:val="28"/>
          <w:szCs w:val="28"/>
        </w:rPr>
        <w:t>.</w:t>
      </w:r>
      <w:r w:rsidRPr="009C3501">
        <w:rPr>
          <w:rFonts w:ascii="Times New Roman" w:eastAsia="Calibri" w:hAnsi="Times New Roman" w:cs="Times New Roman"/>
          <w:sz w:val="28"/>
          <w:szCs w:val="28"/>
        </w:rPr>
        <w:tab/>
        <w:t xml:space="preserve">Шестакова М.В., Мартынов С.А., Кутырина И.М., и др. Ранний дефицит эритропоэтина при диабетическом поражении почек // Терапевтический архив. – 2012. – Т. 84. – С. 9-13.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43</w:t>
      </w:r>
      <w:r w:rsidRPr="009C3501">
        <w:rPr>
          <w:rFonts w:ascii="Times New Roman" w:eastAsia="Calibri" w:hAnsi="Times New Roman" w:cs="Times New Roman"/>
          <w:sz w:val="28"/>
          <w:szCs w:val="28"/>
          <w:lang w:val="en-US"/>
        </w:rPr>
        <w:t>.</w:t>
      </w:r>
      <w:r w:rsidRPr="009C3501">
        <w:rPr>
          <w:rFonts w:ascii="Times New Roman" w:eastAsia="Calibri" w:hAnsi="Times New Roman" w:cs="Times New Roman"/>
          <w:sz w:val="28"/>
          <w:szCs w:val="28"/>
          <w:lang w:val="en-US"/>
        </w:rPr>
        <w:tab/>
        <w:t>Lacquaniti A, Donato V, Pintaudi B, Di Vieste G, Chirico V, Buemi A, et al. „ ormoalbuminuric‟ diabetic nephropathy: tubular damage and GA // Acta Diabetol. –</w:t>
      </w:r>
      <w:r>
        <w:rPr>
          <w:rFonts w:ascii="Times New Roman" w:eastAsia="Calibri" w:hAnsi="Times New Roman" w:cs="Times New Roman"/>
          <w:sz w:val="28"/>
          <w:szCs w:val="28"/>
          <w:lang w:val="en-US"/>
        </w:rPr>
        <w:t xml:space="preserve"> 2013. – Vol.50. – P. 935–942. </w:t>
      </w:r>
      <w:r w:rsidRPr="009C3501">
        <w:rPr>
          <w:rFonts w:ascii="Times New Roman" w:eastAsia="Calibri" w:hAnsi="Times New Roman" w:cs="Times New Roman"/>
          <w:sz w:val="28"/>
          <w:szCs w:val="28"/>
          <w:lang w:val="en-US"/>
        </w:rPr>
        <w:t xml:space="preserve">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sidRPr="009C3501">
        <w:rPr>
          <w:rFonts w:ascii="Times New Roman" w:eastAsia="Calibri" w:hAnsi="Times New Roman" w:cs="Times New Roman"/>
          <w:sz w:val="28"/>
          <w:szCs w:val="28"/>
          <w:lang w:val="en-US"/>
        </w:rPr>
        <w:t>44.</w:t>
      </w:r>
      <w:r w:rsidRPr="009C3501">
        <w:rPr>
          <w:rFonts w:ascii="Times New Roman" w:eastAsia="Calibri" w:hAnsi="Times New Roman" w:cs="Times New Roman"/>
          <w:sz w:val="28"/>
          <w:szCs w:val="28"/>
          <w:lang w:val="en-US"/>
        </w:rPr>
        <w:tab/>
        <w:t>Robinson T.W., Freedman B.I. Assessing glycemic control in diabetic patients with severe nephropathy //  J. Ren. Nutr. - 2013. - Vol. 23. - P. 199–202.</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sidRPr="009C3501">
        <w:rPr>
          <w:rFonts w:ascii="Times New Roman" w:eastAsia="Calibri" w:hAnsi="Times New Roman" w:cs="Times New Roman"/>
          <w:sz w:val="28"/>
          <w:szCs w:val="28"/>
          <w:lang w:val="en-US"/>
        </w:rPr>
        <w:t>45.</w:t>
      </w:r>
      <w:r w:rsidRPr="009C3501">
        <w:rPr>
          <w:rFonts w:ascii="Times New Roman" w:eastAsia="Calibri" w:hAnsi="Times New Roman" w:cs="Times New Roman"/>
          <w:sz w:val="28"/>
          <w:szCs w:val="28"/>
          <w:lang w:val="en-US"/>
        </w:rPr>
        <w:tab/>
        <w:t>Tervaert T.W., Mooyaart A.L., Amann K., Cohen A.H., Cook H.T., Drachenberg C.B. et al. Renal Pathology Society. Pathologic classification of diabetic nephropathy // J. Am. Soc. Nephrol.  -</w:t>
      </w:r>
      <w:r>
        <w:rPr>
          <w:rFonts w:ascii="Times New Roman" w:eastAsia="Calibri" w:hAnsi="Times New Roman" w:cs="Times New Roman"/>
          <w:sz w:val="28"/>
          <w:szCs w:val="28"/>
          <w:lang w:val="en-US"/>
        </w:rPr>
        <w:t xml:space="preserve"> 2010. - Vol. 21. - P. 556–63. </w:t>
      </w:r>
      <w:r w:rsidRPr="009C3501">
        <w:rPr>
          <w:rFonts w:ascii="Times New Roman" w:eastAsia="Calibri" w:hAnsi="Times New Roman" w:cs="Times New Roman"/>
          <w:sz w:val="28"/>
          <w:szCs w:val="28"/>
          <w:lang w:val="en-US"/>
        </w:rPr>
        <w:t xml:space="preserve">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sidRPr="009C3501">
        <w:rPr>
          <w:rFonts w:ascii="Times New Roman" w:eastAsia="Calibri" w:hAnsi="Times New Roman" w:cs="Times New Roman"/>
          <w:sz w:val="28"/>
          <w:szCs w:val="28"/>
          <w:lang w:val="en-US"/>
        </w:rPr>
        <w:t>47.</w:t>
      </w:r>
      <w:r w:rsidRPr="009C3501">
        <w:rPr>
          <w:rFonts w:ascii="Times New Roman" w:eastAsia="Calibri" w:hAnsi="Times New Roman" w:cs="Times New Roman"/>
          <w:sz w:val="28"/>
          <w:szCs w:val="28"/>
          <w:lang w:val="en-US"/>
        </w:rPr>
        <w:tab/>
        <w:t xml:space="preserve"> Mahaboob Khan Sulaiman. Diabetic nephropathy: recent advances in pathophysiology and challenges in dietary management // Diabetol Metab Syndr.  - 2019. -  Vol. 11. – P. 75.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sidRPr="009C3501">
        <w:rPr>
          <w:rFonts w:ascii="Times New Roman" w:eastAsia="Calibri" w:hAnsi="Times New Roman" w:cs="Times New Roman"/>
          <w:sz w:val="28"/>
          <w:szCs w:val="28"/>
          <w:lang w:val="en-US"/>
        </w:rPr>
        <w:lastRenderedPageBreak/>
        <w:t>48.</w:t>
      </w:r>
      <w:r w:rsidRPr="009C3501">
        <w:rPr>
          <w:rFonts w:ascii="Times New Roman" w:eastAsia="Calibri" w:hAnsi="Times New Roman" w:cs="Times New Roman"/>
          <w:sz w:val="28"/>
          <w:szCs w:val="28"/>
          <w:lang w:val="en-US"/>
        </w:rPr>
        <w:tab/>
        <w:t xml:space="preserve"> Gheith O, Farouk N, Nampoory N, Halim MA, Al-Otaibi T. Diabetic kidney disease: worldwide difference of prevalence and risk factors // J Nephropharmacol. - 2016. - Vol. 5. - P. 49–56.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sidRPr="009C3501">
        <w:rPr>
          <w:rFonts w:ascii="Times New Roman" w:eastAsia="Calibri" w:hAnsi="Times New Roman" w:cs="Times New Roman"/>
          <w:sz w:val="28"/>
          <w:szCs w:val="28"/>
          <w:lang w:val="en-US"/>
        </w:rPr>
        <w:t>49.</w:t>
      </w:r>
      <w:r w:rsidRPr="009C3501">
        <w:rPr>
          <w:rFonts w:ascii="Times New Roman" w:eastAsia="Calibri" w:hAnsi="Times New Roman" w:cs="Times New Roman"/>
          <w:sz w:val="28"/>
          <w:szCs w:val="28"/>
          <w:lang w:val="en-US"/>
        </w:rPr>
        <w:tab/>
        <w:t xml:space="preserve"> Magee C, Grieve DJ, Watson CJ, Brazil DP. Diabetic nephropathy: a tangled web to unweave // Cardiovasc Drugs Ther. - 2017. - Vol. 31. - P. 579–592.</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sidRPr="009C3501">
        <w:rPr>
          <w:rFonts w:ascii="Times New Roman" w:eastAsia="Calibri" w:hAnsi="Times New Roman" w:cs="Times New Roman"/>
          <w:sz w:val="28"/>
          <w:szCs w:val="28"/>
          <w:lang w:val="en-US"/>
        </w:rPr>
        <w:t>50.</w:t>
      </w:r>
      <w:r w:rsidRPr="009C3501">
        <w:rPr>
          <w:rFonts w:ascii="Times New Roman" w:eastAsia="Calibri" w:hAnsi="Times New Roman" w:cs="Times New Roman"/>
          <w:sz w:val="28"/>
          <w:szCs w:val="28"/>
          <w:lang w:val="en-US"/>
        </w:rPr>
        <w:tab/>
        <w:t xml:space="preserve"> Lytvyn Y, Bjornstad P, Pun N, Cherney DZ. New and old agents in the management of diabetic nephropathy// Curr Opin Nephrol Hypertens. - 2016. Vol. 25. - P. 232–239.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sidRPr="009C3501">
        <w:rPr>
          <w:rFonts w:ascii="Times New Roman" w:eastAsia="Calibri" w:hAnsi="Times New Roman" w:cs="Times New Roman"/>
          <w:sz w:val="28"/>
          <w:szCs w:val="28"/>
          <w:lang w:val="en-US"/>
        </w:rPr>
        <w:t>51.</w:t>
      </w:r>
      <w:r w:rsidRPr="009C3501">
        <w:rPr>
          <w:rFonts w:ascii="Times New Roman" w:eastAsia="Calibri" w:hAnsi="Times New Roman" w:cs="Times New Roman"/>
          <w:sz w:val="28"/>
          <w:szCs w:val="28"/>
          <w:lang w:val="en-US"/>
        </w:rPr>
        <w:tab/>
        <w:t xml:space="preserve">Otoda T, Kanasaki K, Koya D. Low - protein diet for diabetic nephropathy // Curr Diab Rep.  - 2014. Vol. 14. - P. 523.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r w:rsidRPr="009C3501">
        <w:rPr>
          <w:rFonts w:ascii="Times New Roman" w:eastAsia="Calibri" w:hAnsi="Times New Roman" w:cs="Times New Roman"/>
          <w:sz w:val="28"/>
          <w:szCs w:val="28"/>
          <w:lang w:val="en-US"/>
        </w:rPr>
        <w:t>52.</w:t>
      </w:r>
      <w:r w:rsidRPr="009C3501">
        <w:rPr>
          <w:rFonts w:ascii="Times New Roman" w:eastAsia="Calibri" w:hAnsi="Times New Roman" w:cs="Times New Roman"/>
          <w:sz w:val="28"/>
          <w:szCs w:val="28"/>
          <w:lang w:val="en-US"/>
        </w:rPr>
        <w:tab/>
        <w:t xml:space="preserve">Kanauchi N, Ookawara S, Ito K, Mogi S, Yoshida I, Kakei M, et al. Factors affecting the progression of renal dysfunction and the importance of salt restriction in patients with type 2 diabetic kidney disease // Clin Exp Nephrol. -  2015. Vol. 19. – P. 1120–1126. </w:t>
      </w: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p>
    <w:p w:rsidR="00545400" w:rsidRPr="009C3501" w:rsidRDefault="00545400" w:rsidP="00545400">
      <w:pPr>
        <w:spacing w:before="240" w:line="360" w:lineRule="auto"/>
        <w:ind w:firstLine="709"/>
        <w:contextualSpacing/>
        <w:jc w:val="both"/>
        <w:rPr>
          <w:rFonts w:ascii="Times New Roman" w:eastAsia="Calibri" w:hAnsi="Times New Roman" w:cs="Times New Roman"/>
          <w:sz w:val="28"/>
          <w:szCs w:val="28"/>
        </w:rPr>
      </w:pPr>
    </w:p>
    <w:p w:rsidR="00545400" w:rsidRPr="00F54E02"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p>
    <w:p w:rsidR="00545400" w:rsidRPr="003158BE" w:rsidRDefault="00545400" w:rsidP="00545400">
      <w:pPr>
        <w:spacing w:before="240" w:line="360" w:lineRule="auto"/>
        <w:ind w:firstLine="709"/>
        <w:contextualSpacing/>
        <w:jc w:val="both"/>
        <w:rPr>
          <w:rFonts w:ascii="Times New Roman" w:eastAsia="Calibri" w:hAnsi="Times New Roman" w:cs="Times New Roman"/>
          <w:sz w:val="28"/>
          <w:szCs w:val="28"/>
          <w:lang w:val="en-US"/>
        </w:rPr>
      </w:pPr>
    </w:p>
    <w:p w:rsidR="00545400" w:rsidRDefault="00545400" w:rsidP="00545400">
      <w:pPr>
        <w:jc w:val="center"/>
      </w:pPr>
    </w:p>
    <w:sectPr w:rsidR="00545400" w:rsidSect="00545400">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E2D" w:rsidRDefault="00691E2D" w:rsidP="00545400">
      <w:pPr>
        <w:spacing w:after="0" w:line="240" w:lineRule="auto"/>
      </w:pPr>
      <w:r>
        <w:separator/>
      </w:r>
    </w:p>
  </w:endnote>
  <w:endnote w:type="continuationSeparator" w:id="0">
    <w:p w:rsidR="00691E2D" w:rsidRDefault="00691E2D" w:rsidP="0054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088655"/>
      <w:docPartObj>
        <w:docPartGallery w:val="Page Numbers (Bottom of Page)"/>
        <w:docPartUnique/>
      </w:docPartObj>
    </w:sdtPr>
    <w:sdtContent>
      <w:p w:rsidR="00545400" w:rsidRDefault="00545400">
        <w:pPr>
          <w:pStyle w:val="a3"/>
          <w:jc w:val="right"/>
        </w:pPr>
        <w:r>
          <w:fldChar w:fldCharType="begin"/>
        </w:r>
        <w:r>
          <w:instrText>PAGE   \* MERGEFORMAT</w:instrText>
        </w:r>
        <w:r>
          <w:fldChar w:fldCharType="separate"/>
        </w:r>
        <w:r>
          <w:rPr>
            <w:noProof/>
          </w:rPr>
          <w:t>2</w:t>
        </w:r>
        <w:r>
          <w:fldChar w:fldCharType="end"/>
        </w:r>
      </w:p>
    </w:sdtContent>
  </w:sdt>
  <w:p w:rsidR="00545400" w:rsidRDefault="0054540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711369"/>
      <w:docPartObj>
        <w:docPartGallery w:val="Page Numbers (Bottom of Page)"/>
        <w:docPartUnique/>
      </w:docPartObj>
    </w:sdtPr>
    <w:sdtEndPr/>
    <w:sdtContent>
      <w:p w:rsidR="005C2891" w:rsidRDefault="00691E2D">
        <w:pPr>
          <w:pStyle w:val="a3"/>
          <w:jc w:val="right"/>
        </w:pPr>
        <w:r>
          <w:rPr>
            <w:lang w:val="en-US"/>
          </w:rPr>
          <w:t>3</w:t>
        </w:r>
      </w:p>
    </w:sdtContent>
  </w:sdt>
  <w:p w:rsidR="005C2891" w:rsidRDefault="00691E2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E2D" w:rsidRDefault="00691E2D" w:rsidP="00545400">
      <w:pPr>
        <w:spacing w:after="0" w:line="240" w:lineRule="auto"/>
      </w:pPr>
      <w:r>
        <w:separator/>
      </w:r>
    </w:p>
  </w:footnote>
  <w:footnote w:type="continuationSeparator" w:id="0">
    <w:p w:rsidR="00691E2D" w:rsidRDefault="00691E2D" w:rsidP="00545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FFB"/>
    <w:multiLevelType w:val="multilevel"/>
    <w:tmpl w:val="CE8083A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6B678DE"/>
    <w:multiLevelType w:val="hybridMultilevel"/>
    <w:tmpl w:val="54686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C370E8"/>
    <w:multiLevelType w:val="hybridMultilevel"/>
    <w:tmpl w:val="8A30F30C"/>
    <w:lvl w:ilvl="0" w:tplc="4E00E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9B0EA8"/>
    <w:multiLevelType w:val="multilevel"/>
    <w:tmpl w:val="F85EBF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2E1861"/>
    <w:multiLevelType w:val="hybridMultilevel"/>
    <w:tmpl w:val="A21EF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F743C"/>
    <w:multiLevelType w:val="hybridMultilevel"/>
    <w:tmpl w:val="DD08F9E8"/>
    <w:lvl w:ilvl="0" w:tplc="960CBC64">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C3351"/>
    <w:multiLevelType w:val="hybridMultilevel"/>
    <w:tmpl w:val="96B635E8"/>
    <w:lvl w:ilvl="0" w:tplc="8A288F22">
      <w:start w:val="4"/>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3E37067"/>
    <w:multiLevelType w:val="hybridMultilevel"/>
    <w:tmpl w:val="BFEA13FE"/>
    <w:lvl w:ilvl="0" w:tplc="E1D8B0E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917DDC"/>
    <w:multiLevelType w:val="hybridMultilevel"/>
    <w:tmpl w:val="3FD6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57AF0"/>
    <w:multiLevelType w:val="hybridMultilevel"/>
    <w:tmpl w:val="CBDE93F0"/>
    <w:lvl w:ilvl="0" w:tplc="E334CC36">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717C85"/>
    <w:multiLevelType w:val="hybridMultilevel"/>
    <w:tmpl w:val="4F0E20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E468AF"/>
    <w:multiLevelType w:val="hybridMultilevel"/>
    <w:tmpl w:val="832CD1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E46867"/>
    <w:multiLevelType w:val="hybridMultilevel"/>
    <w:tmpl w:val="E128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1E1177"/>
    <w:multiLevelType w:val="hybridMultilevel"/>
    <w:tmpl w:val="E128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448A8"/>
    <w:multiLevelType w:val="hybridMultilevel"/>
    <w:tmpl w:val="A8520112"/>
    <w:lvl w:ilvl="0" w:tplc="8864E3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A63FE2"/>
    <w:multiLevelType w:val="hybridMultilevel"/>
    <w:tmpl w:val="CC1A9E56"/>
    <w:lvl w:ilvl="0" w:tplc="E1D8B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D271288"/>
    <w:multiLevelType w:val="hybridMultilevel"/>
    <w:tmpl w:val="5BB81D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F3A79D7"/>
    <w:multiLevelType w:val="hybridMultilevel"/>
    <w:tmpl w:val="C312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A863EF"/>
    <w:multiLevelType w:val="multilevel"/>
    <w:tmpl w:val="4E1E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91795"/>
    <w:multiLevelType w:val="multilevel"/>
    <w:tmpl w:val="EABCF5B0"/>
    <w:lvl w:ilvl="0">
      <w:start w:val="1"/>
      <w:numFmt w:val="decimal"/>
      <w:lvlText w:val="%1."/>
      <w:lvlJc w:val="left"/>
      <w:pPr>
        <w:ind w:left="450" w:hanging="45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0" w15:restartNumberingAfterBreak="0">
    <w:nsid w:val="740D56F0"/>
    <w:multiLevelType w:val="hybridMultilevel"/>
    <w:tmpl w:val="CCE29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2B1030"/>
    <w:multiLevelType w:val="hybridMultilevel"/>
    <w:tmpl w:val="E38A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3"/>
  </w:num>
  <w:num w:numId="5">
    <w:abstractNumId w:val="13"/>
  </w:num>
  <w:num w:numId="6">
    <w:abstractNumId w:val="9"/>
  </w:num>
  <w:num w:numId="7">
    <w:abstractNumId w:val="12"/>
  </w:num>
  <w:num w:numId="8">
    <w:abstractNumId w:val="17"/>
  </w:num>
  <w:num w:numId="9">
    <w:abstractNumId w:val="15"/>
  </w:num>
  <w:num w:numId="10">
    <w:abstractNumId w:val="7"/>
  </w:num>
  <w:num w:numId="11">
    <w:abstractNumId w:val="6"/>
  </w:num>
  <w:num w:numId="12">
    <w:abstractNumId w:val="20"/>
  </w:num>
  <w:num w:numId="13">
    <w:abstractNumId w:val="18"/>
  </w:num>
  <w:num w:numId="14">
    <w:abstractNumId w:val="10"/>
  </w:num>
  <w:num w:numId="15">
    <w:abstractNumId w:val="5"/>
  </w:num>
  <w:num w:numId="16">
    <w:abstractNumId w:val="14"/>
  </w:num>
  <w:num w:numId="17">
    <w:abstractNumId w:val="19"/>
  </w:num>
  <w:num w:numId="18">
    <w:abstractNumId w:val="4"/>
  </w:num>
  <w:num w:numId="19">
    <w:abstractNumId w:val="8"/>
  </w:num>
  <w:num w:numId="20">
    <w:abstractNumId w:val="21"/>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00"/>
    <w:rsid w:val="002526DD"/>
    <w:rsid w:val="00545400"/>
    <w:rsid w:val="00691E2D"/>
    <w:rsid w:val="00AA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F9B242"/>
  <w15:chartTrackingRefBased/>
  <w15:docId w15:val="{A0034A5F-C1DF-46D5-A027-1574EEE9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400"/>
  </w:style>
  <w:style w:type="paragraph" w:styleId="1">
    <w:name w:val="heading 1"/>
    <w:basedOn w:val="a"/>
    <w:next w:val="a"/>
    <w:link w:val="10"/>
    <w:uiPriority w:val="9"/>
    <w:qFormat/>
    <w:rsid w:val="005454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454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540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45400"/>
  </w:style>
  <w:style w:type="paragraph" w:styleId="a5">
    <w:name w:val="List Paragraph"/>
    <w:basedOn w:val="a"/>
    <w:qFormat/>
    <w:rsid w:val="00545400"/>
    <w:pPr>
      <w:ind w:left="720"/>
      <w:contextualSpacing/>
    </w:pPr>
  </w:style>
  <w:style w:type="character" w:customStyle="1" w:styleId="10">
    <w:name w:val="Заголовок 1 Знак"/>
    <w:basedOn w:val="a0"/>
    <w:link w:val="1"/>
    <w:uiPriority w:val="9"/>
    <w:rsid w:val="0054540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45400"/>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545400"/>
    <w:rPr>
      <w:color w:val="0563C1" w:themeColor="hyperlink"/>
      <w:u w:val="single"/>
    </w:rPr>
  </w:style>
  <w:style w:type="paragraph" w:styleId="a7">
    <w:name w:val="header"/>
    <w:basedOn w:val="a"/>
    <w:link w:val="a8"/>
    <w:uiPriority w:val="99"/>
    <w:unhideWhenUsed/>
    <w:rsid w:val="005454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5400"/>
  </w:style>
  <w:style w:type="paragraph" w:styleId="HTML">
    <w:name w:val="HTML Preformatted"/>
    <w:basedOn w:val="a"/>
    <w:link w:val="HTML0"/>
    <w:uiPriority w:val="99"/>
    <w:semiHidden/>
    <w:unhideWhenUsed/>
    <w:rsid w:val="00545400"/>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545400"/>
    <w:rPr>
      <w:rFonts w:ascii="Consolas" w:hAnsi="Consolas" w:cs="Consolas"/>
      <w:sz w:val="20"/>
      <w:szCs w:val="20"/>
    </w:rPr>
  </w:style>
  <w:style w:type="paragraph" w:styleId="a9">
    <w:name w:val="Body Text"/>
    <w:basedOn w:val="a"/>
    <w:link w:val="aa"/>
    <w:uiPriority w:val="99"/>
    <w:semiHidden/>
    <w:unhideWhenUsed/>
    <w:rsid w:val="00545400"/>
    <w:pPr>
      <w:spacing w:after="120"/>
    </w:pPr>
  </w:style>
  <w:style w:type="character" w:customStyle="1" w:styleId="aa">
    <w:name w:val="Основной текст Знак"/>
    <w:basedOn w:val="a0"/>
    <w:link w:val="a9"/>
    <w:uiPriority w:val="99"/>
    <w:semiHidden/>
    <w:rsid w:val="00545400"/>
  </w:style>
  <w:style w:type="paragraph" w:styleId="ab">
    <w:name w:val="Normal (Web)"/>
    <w:basedOn w:val="a"/>
    <w:uiPriority w:val="99"/>
    <w:unhideWhenUsed/>
    <w:rsid w:val="005454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54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footer" Target="footer1.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женщин</c:v>
                </c:pt>
              </c:strCache>
            </c:strRef>
          </c:tx>
          <c:dPt>
            <c:idx val="0"/>
            <c:bubble3D val="0"/>
            <c:spPr>
              <a:solidFill>
                <a:schemeClr val="accent1"/>
              </a:solidFill>
              <a:ln>
                <a:noFill/>
              </a:ln>
              <a:effectLst/>
            </c:spPr>
            <c:extLst>
              <c:ext xmlns:c16="http://schemas.microsoft.com/office/drawing/2014/chart" uri="{C3380CC4-5D6E-409C-BE32-E72D297353CC}">
                <c16:uniqueId val="{00000001-9594-48D2-8F80-0CE7F22F9450}"/>
              </c:ext>
            </c:extLst>
          </c:dPt>
          <c:dPt>
            <c:idx val="1"/>
            <c:bubble3D val="0"/>
            <c:spPr>
              <a:solidFill>
                <a:schemeClr val="accent2"/>
              </a:solidFill>
              <a:ln>
                <a:noFill/>
              </a:ln>
              <a:effectLst/>
            </c:spPr>
            <c:extLst>
              <c:ext xmlns:c16="http://schemas.microsoft.com/office/drawing/2014/chart" uri="{C3380CC4-5D6E-409C-BE32-E72D297353CC}">
                <c16:uniqueId val="{00000003-9594-48D2-8F80-0CE7F22F9450}"/>
              </c:ext>
            </c:extLst>
          </c:dPt>
          <c:dPt>
            <c:idx val="2"/>
            <c:bubble3D val="0"/>
            <c:spPr>
              <a:solidFill>
                <a:schemeClr val="accent3"/>
              </a:solidFill>
              <a:ln>
                <a:noFill/>
              </a:ln>
              <a:effectLst/>
            </c:spPr>
            <c:extLst>
              <c:ext xmlns:c16="http://schemas.microsoft.com/office/drawing/2014/chart" uri="{C3380CC4-5D6E-409C-BE32-E72D297353CC}">
                <c16:uniqueId val="{00000005-9594-48D2-8F80-0CE7F22F9450}"/>
              </c:ext>
            </c:extLst>
          </c:dPt>
          <c:dPt>
            <c:idx val="3"/>
            <c:bubble3D val="0"/>
            <c:spPr>
              <a:solidFill>
                <a:schemeClr val="accent4"/>
              </a:solidFill>
              <a:ln>
                <a:noFill/>
              </a:ln>
              <a:effectLst/>
            </c:spPr>
            <c:extLst>
              <c:ext xmlns:c16="http://schemas.microsoft.com/office/drawing/2014/chart" uri="{C3380CC4-5D6E-409C-BE32-E72D297353CC}">
                <c16:uniqueId val="{00000007-9594-48D2-8F80-0CE7F22F94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Основная группа </c:v>
                </c:pt>
                <c:pt idx="1">
                  <c:v>группа сравнения</c:v>
                </c:pt>
              </c:strCache>
            </c:strRef>
          </c:cat>
          <c:val>
            <c:numRef>
              <c:f>Лист1!$B$2:$B$5</c:f>
              <c:numCache>
                <c:formatCode>0%</c:formatCode>
                <c:ptCount val="4"/>
                <c:pt idx="0" formatCode="0.00%">
                  <c:v>0.56499999999999995</c:v>
                </c:pt>
                <c:pt idx="1">
                  <c:v>0.6</c:v>
                </c:pt>
              </c:numCache>
            </c:numRef>
          </c:val>
          <c:extLst>
            <c:ext xmlns:c16="http://schemas.microsoft.com/office/drawing/2014/chart" uri="{C3380CC4-5D6E-409C-BE32-E72D297353CC}">
              <c16:uniqueId val="{00000008-9594-48D2-8F80-0CE7F22F9450}"/>
            </c:ext>
          </c:extLst>
        </c:ser>
        <c:ser>
          <c:idx val="1"/>
          <c:order val="1"/>
          <c:tx>
            <c:strRef>
              <c:f>Лист1!$C$1</c:f>
              <c:strCache>
                <c:ptCount val="1"/>
                <c:pt idx="0">
                  <c:v>мужчин</c:v>
                </c:pt>
              </c:strCache>
            </c:strRef>
          </c:tx>
          <c:dPt>
            <c:idx val="0"/>
            <c:bubble3D val="0"/>
            <c:spPr>
              <a:solidFill>
                <a:schemeClr val="accent1"/>
              </a:solidFill>
              <a:ln>
                <a:noFill/>
              </a:ln>
              <a:effectLst/>
            </c:spPr>
            <c:extLst>
              <c:ext xmlns:c16="http://schemas.microsoft.com/office/drawing/2014/chart" uri="{C3380CC4-5D6E-409C-BE32-E72D297353CC}">
                <c16:uniqueId val="{0000000A-9594-48D2-8F80-0CE7F22F9450}"/>
              </c:ext>
            </c:extLst>
          </c:dPt>
          <c:dPt>
            <c:idx val="1"/>
            <c:bubble3D val="0"/>
            <c:spPr>
              <a:solidFill>
                <a:schemeClr val="accent2"/>
              </a:solidFill>
              <a:ln>
                <a:noFill/>
              </a:ln>
              <a:effectLst/>
            </c:spPr>
            <c:extLst>
              <c:ext xmlns:c16="http://schemas.microsoft.com/office/drawing/2014/chart" uri="{C3380CC4-5D6E-409C-BE32-E72D297353CC}">
                <c16:uniqueId val="{0000000C-9594-48D2-8F80-0CE7F22F9450}"/>
              </c:ext>
            </c:extLst>
          </c:dPt>
          <c:dPt>
            <c:idx val="2"/>
            <c:bubble3D val="0"/>
            <c:spPr>
              <a:solidFill>
                <a:schemeClr val="accent3"/>
              </a:solidFill>
              <a:ln>
                <a:noFill/>
              </a:ln>
              <a:effectLst/>
            </c:spPr>
            <c:extLst>
              <c:ext xmlns:c16="http://schemas.microsoft.com/office/drawing/2014/chart" uri="{C3380CC4-5D6E-409C-BE32-E72D297353CC}">
                <c16:uniqueId val="{0000000E-9594-48D2-8F80-0CE7F22F9450}"/>
              </c:ext>
            </c:extLst>
          </c:dPt>
          <c:dPt>
            <c:idx val="3"/>
            <c:bubble3D val="0"/>
            <c:spPr>
              <a:solidFill>
                <a:schemeClr val="accent4"/>
              </a:solidFill>
              <a:ln>
                <a:noFill/>
              </a:ln>
              <a:effectLst/>
            </c:spPr>
            <c:extLst>
              <c:ext xmlns:c16="http://schemas.microsoft.com/office/drawing/2014/chart" uri="{C3380CC4-5D6E-409C-BE32-E72D297353CC}">
                <c16:uniqueId val="{00000010-9594-48D2-8F80-0CE7F22F9450}"/>
              </c:ext>
            </c:extLst>
          </c:dPt>
          <c:dLbls>
            <c:dLbl>
              <c:idx val="0"/>
              <c:layout>
                <c:manualLayout>
                  <c:x val="-6.420545746388443E-3"/>
                  <c:y val="8.7774294670846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94-48D2-8F80-0CE7F22F94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Основная группа </c:v>
                </c:pt>
                <c:pt idx="1">
                  <c:v>группа сравнения</c:v>
                </c:pt>
              </c:strCache>
            </c:strRef>
          </c:cat>
          <c:val>
            <c:numRef>
              <c:f>Лист1!$C$2:$C$5</c:f>
              <c:numCache>
                <c:formatCode>0%</c:formatCode>
                <c:ptCount val="4"/>
                <c:pt idx="0" formatCode="0.00%">
                  <c:v>0.435</c:v>
                </c:pt>
                <c:pt idx="1">
                  <c:v>0.4</c:v>
                </c:pt>
              </c:numCache>
            </c:numRef>
          </c:val>
          <c:extLst>
            <c:ext xmlns:c16="http://schemas.microsoft.com/office/drawing/2014/chart" uri="{C3380CC4-5D6E-409C-BE32-E72D297353CC}">
              <c16:uniqueId val="{00000011-9594-48D2-8F80-0CE7F22F9450}"/>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Лист1!$B$1</c:f>
              <c:strCache>
                <c:ptCount val="1"/>
                <c:pt idx="0">
                  <c:v>ср. АД, мм рт. ст. </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forward val="2"/>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forward val="2"/>
            <c:dispRSqr val="0"/>
            <c:dispEq val="0"/>
          </c:trendline>
          <c:errBars>
            <c:errDir val="x"/>
            <c:errBarType val="both"/>
            <c:errValType val="percentage"/>
            <c:noEndCap val="0"/>
            <c:val val="5"/>
            <c:spPr>
              <a:noFill/>
              <a:ln w="9525" cap="flat" cmpd="sng" algn="ctr">
                <a:solidFill>
                  <a:schemeClr val="accent1"/>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Лист1!$A$2:$A$11</c:f>
              <c:numCache>
                <c:formatCode>General</c:formatCode>
                <c:ptCount val="10"/>
                <c:pt idx="0">
                  <c:v>17</c:v>
                </c:pt>
                <c:pt idx="1">
                  <c:v>16</c:v>
                </c:pt>
                <c:pt idx="2">
                  <c:v>15</c:v>
                </c:pt>
                <c:pt idx="3">
                  <c:v>13</c:v>
                </c:pt>
                <c:pt idx="4">
                  <c:v>15</c:v>
                </c:pt>
                <c:pt idx="5">
                  <c:v>10</c:v>
                </c:pt>
                <c:pt idx="6">
                  <c:v>7</c:v>
                </c:pt>
                <c:pt idx="7">
                  <c:v>2</c:v>
                </c:pt>
                <c:pt idx="8">
                  <c:v>16</c:v>
                </c:pt>
                <c:pt idx="9">
                  <c:v>17</c:v>
                </c:pt>
              </c:numCache>
            </c:numRef>
          </c:xVal>
          <c:yVal>
            <c:numRef>
              <c:f>Лист1!$B$2:$B$11</c:f>
              <c:numCache>
                <c:formatCode>General</c:formatCode>
                <c:ptCount val="10"/>
                <c:pt idx="0">
                  <c:v>116</c:v>
                </c:pt>
                <c:pt idx="1">
                  <c:v>120</c:v>
                </c:pt>
                <c:pt idx="2">
                  <c:v>127</c:v>
                </c:pt>
                <c:pt idx="3">
                  <c:v>98</c:v>
                </c:pt>
                <c:pt idx="4">
                  <c:v>108</c:v>
                </c:pt>
                <c:pt idx="5">
                  <c:v>87</c:v>
                </c:pt>
                <c:pt idx="6">
                  <c:v>113</c:v>
                </c:pt>
                <c:pt idx="7">
                  <c:v>100</c:v>
                </c:pt>
                <c:pt idx="8">
                  <c:v>110</c:v>
                </c:pt>
                <c:pt idx="9">
                  <c:v>130</c:v>
                </c:pt>
              </c:numCache>
            </c:numRef>
          </c:yVal>
          <c:smooth val="0"/>
          <c:extLst>
            <c:ext xmlns:c16="http://schemas.microsoft.com/office/drawing/2014/chart" uri="{C3380CC4-5D6E-409C-BE32-E72D297353CC}">
              <c16:uniqueId val="{00000000-6E9C-4E06-B7CB-BC8F6F43B6B2}"/>
            </c:ext>
          </c:extLst>
        </c:ser>
        <c:dLbls>
          <c:showLegendKey val="0"/>
          <c:showVal val="0"/>
          <c:showCatName val="0"/>
          <c:showSerName val="0"/>
          <c:showPercent val="0"/>
          <c:showBubbleSize val="0"/>
        </c:dLbls>
        <c:axId val="544834232"/>
        <c:axId val="544834560"/>
      </c:scatterChart>
      <c:valAx>
        <c:axId val="5448342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длительность</a:t>
                </a:r>
                <a:r>
                  <a:rPr lang="ru-RU" baseline="0"/>
                  <a:t> ГДТ, лет </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4834560"/>
        <c:crosses val="autoZero"/>
        <c:crossBetween val="midCat"/>
      </c:valAx>
      <c:valAx>
        <c:axId val="544834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ср.</a:t>
                </a:r>
                <a:r>
                  <a:rPr lang="ru-RU" baseline="0"/>
                  <a:t> АД, мм рт.ст.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48342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Лист1!$B$1</c:f>
              <c:strCache>
                <c:ptCount val="1"/>
                <c:pt idx="0">
                  <c:v>HbA1c,%</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alpha val="94000"/>
                  </a:schemeClr>
                </a:solidFill>
                <a:prstDash val="sysDot"/>
              </a:ln>
              <a:effectLst/>
            </c:spPr>
            <c:trendlineType val="linear"/>
            <c:forward val="2"/>
            <c:dispRSqr val="0"/>
            <c:dispEq val="0"/>
          </c:trendline>
          <c:errBars>
            <c:errDir val="x"/>
            <c:errBarType val="both"/>
            <c:errValType val="percentage"/>
            <c:noEndCap val="0"/>
            <c:val val="5"/>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Лист1!$A$2:$A$24</c:f>
              <c:numCache>
                <c:formatCode>General</c:formatCode>
                <c:ptCount val="23"/>
                <c:pt idx="0">
                  <c:v>2</c:v>
                </c:pt>
                <c:pt idx="1">
                  <c:v>1</c:v>
                </c:pt>
                <c:pt idx="2">
                  <c:v>3</c:v>
                </c:pt>
                <c:pt idx="3">
                  <c:v>2</c:v>
                </c:pt>
                <c:pt idx="4">
                  <c:v>1</c:v>
                </c:pt>
                <c:pt idx="5">
                  <c:v>11</c:v>
                </c:pt>
                <c:pt idx="6">
                  <c:v>9</c:v>
                </c:pt>
                <c:pt idx="7">
                  <c:v>1</c:v>
                </c:pt>
                <c:pt idx="8">
                  <c:v>8</c:v>
                </c:pt>
                <c:pt idx="9">
                  <c:v>7</c:v>
                </c:pt>
                <c:pt idx="10">
                  <c:v>10</c:v>
                </c:pt>
                <c:pt idx="11">
                  <c:v>10</c:v>
                </c:pt>
                <c:pt idx="12">
                  <c:v>14</c:v>
                </c:pt>
                <c:pt idx="13">
                  <c:v>14</c:v>
                </c:pt>
                <c:pt idx="14">
                  <c:v>6</c:v>
                </c:pt>
                <c:pt idx="15">
                  <c:v>17</c:v>
                </c:pt>
                <c:pt idx="16">
                  <c:v>8</c:v>
                </c:pt>
                <c:pt idx="17">
                  <c:v>9</c:v>
                </c:pt>
                <c:pt idx="18">
                  <c:v>8</c:v>
                </c:pt>
                <c:pt idx="19">
                  <c:v>17</c:v>
                </c:pt>
                <c:pt idx="20">
                  <c:v>13</c:v>
                </c:pt>
                <c:pt idx="21">
                  <c:v>16</c:v>
                </c:pt>
                <c:pt idx="22">
                  <c:v>12</c:v>
                </c:pt>
              </c:numCache>
            </c:numRef>
          </c:xVal>
          <c:yVal>
            <c:numRef>
              <c:f>Лист1!$B$2:$B$24</c:f>
              <c:numCache>
                <c:formatCode>General</c:formatCode>
                <c:ptCount val="23"/>
                <c:pt idx="0">
                  <c:v>10</c:v>
                </c:pt>
                <c:pt idx="1">
                  <c:v>9.5</c:v>
                </c:pt>
                <c:pt idx="2">
                  <c:v>9</c:v>
                </c:pt>
                <c:pt idx="3">
                  <c:v>8.8000000000000007</c:v>
                </c:pt>
                <c:pt idx="4">
                  <c:v>8</c:v>
                </c:pt>
                <c:pt idx="5">
                  <c:v>11.5</c:v>
                </c:pt>
                <c:pt idx="6">
                  <c:v>9</c:v>
                </c:pt>
                <c:pt idx="7">
                  <c:v>8.5</c:v>
                </c:pt>
                <c:pt idx="8">
                  <c:v>9</c:v>
                </c:pt>
                <c:pt idx="9">
                  <c:v>8.8000000000000007</c:v>
                </c:pt>
                <c:pt idx="10">
                  <c:v>10.5</c:v>
                </c:pt>
                <c:pt idx="11">
                  <c:v>9.5</c:v>
                </c:pt>
                <c:pt idx="12">
                  <c:v>11</c:v>
                </c:pt>
                <c:pt idx="13">
                  <c:v>11.5</c:v>
                </c:pt>
                <c:pt idx="14">
                  <c:v>8.5</c:v>
                </c:pt>
                <c:pt idx="15">
                  <c:v>12</c:v>
                </c:pt>
                <c:pt idx="16">
                  <c:v>10.5</c:v>
                </c:pt>
                <c:pt idx="17">
                  <c:v>9.5</c:v>
                </c:pt>
                <c:pt idx="18">
                  <c:v>8.5</c:v>
                </c:pt>
                <c:pt idx="19">
                  <c:v>11.5</c:v>
                </c:pt>
                <c:pt idx="20">
                  <c:v>9</c:v>
                </c:pt>
                <c:pt idx="21">
                  <c:v>11</c:v>
                </c:pt>
                <c:pt idx="22">
                  <c:v>8.8000000000000007</c:v>
                </c:pt>
              </c:numCache>
            </c:numRef>
          </c:yVal>
          <c:smooth val="0"/>
          <c:extLst>
            <c:ext xmlns:c16="http://schemas.microsoft.com/office/drawing/2014/chart" uri="{C3380CC4-5D6E-409C-BE32-E72D297353CC}">
              <c16:uniqueId val="{00000000-D6BA-4E79-9709-E593619E9254}"/>
            </c:ext>
          </c:extLst>
        </c:ser>
        <c:dLbls>
          <c:showLegendKey val="0"/>
          <c:showVal val="0"/>
          <c:showCatName val="0"/>
          <c:showSerName val="0"/>
          <c:showPercent val="0"/>
          <c:showBubbleSize val="0"/>
        </c:dLbls>
        <c:axId val="419521552"/>
        <c:axId val="419520240"/>
      </c:scatterChart>
      <c:valAx>
        <c:axId val="4195215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длительность</a:t>
                </a:r>
                <a:r>
                  <a:rPr lang="ru-RU" baseline="0"/>
                  <a:t> ГДТ, лет</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520240"/>
        <c:crosses val="autoZero"/>
        <c:crossBetween val="midCat"/>
      </c:valAx>
      <c:valAx>
        <c:axId val="419520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HbA1c,</a:t>
                </a:r>
                <a:r>
                  <a:rPr lang="en-US" baseline="0"/>
                  <a:t> %</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5215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выше целевых значений </c:v>
                </c:pt>
              </c:strCache>
            </c:strRef>
          </c:tx>
          <c:dPt>
            <c:idx val="0"/>
            <c:bubble3D val="0"/>
            <c:spPr>
              <a:solidFill>
                <a:schemeClr val="accent1"/>
              </a:solidFill>
              <a:ln>
                <a:noFill/>
              </a:ln>
              <a:effectLst/>
            </c:spPr>
            <c:extLst>
              <c:ext xmlns:c16="http://schemas.microsoft.com/office/drawing/2014/chart" uri="{C3380CC4-5D6E-409C-BE32-E72D297353CC}">
                <c16:uniqueId val="{00000001-19A4-4C31-A9AD-1DC30B9A2132}"/>
              </c:ext>
            </c:extLst>
          </c:dPt>
          <c:dPt>
            <c:idx val="1"/>
            <c:bubble3D val="0"/>
            <c:spPr>
              <a:solidFill>
                <a:schemeClr val="accent2"/>
              </a:solidFill>
              <a:ln>
                <a:noFill/>
              </a:ln>
              <a:effectLst/>
            </c:spPr>
            <c:extLst>
              <c:ext xmlns:c16="http://schemas.microsoft.com/office/drawing/2014/chart" uri="{C3380CC4-5D6E-409C-BE32-E72D297353CC}">
                <c16:uniqueId val="{00000003-19A4-4C31-A9AD-1DC30B9A2132}"/>
              </c:ext>
            </c:extLst>
          </c:dPt>
          <c:dPt>
            <c:idx val="2"/>
            <c:bubble3D val="0"/>
            <c:spPr>
              <a:solidFill>
                <a:schemeClr val="accent3"/>
              </a:solidFill>
              <a:ln>
                <a:noFill/>
              </a:ln>
              <a:effectLst/>
            </c:spPr>
            <c:extLst>
              <c:ext xmlns:c16="http://schemas.microsoft.com/office/drawing/2014/chart" uri="{C3380CC4-5D6E-409C-BE32-E72D297353CC}">
                <c16:uniqueId val="{00000005-19A4-4C31-A9AD-1DC30B9A2132}"/>
              </c:ext>
            </c:extLst>
          </c:dPt>
          <c:dPt>
            <c:idx val="3"/>
            <c:bubble3D val="0"/>
            <c:spPr>
              <a:solidFill>
                <a:schemeClr val="accent4"/>
              </a:solidFill>
              <a:ln>
                <a:noFill/>
              </a:ln>
              <a:effectLst/>
            </c:spPr>
            <c:extLst>
              <c:ext xmlns:c16="http://schemas.microsoft.com/office/drawing/2014/chart" uri="{C3380CC4-5D6E-409C-BE32-E72D297353CC}">
                <c16:uniqueId val="{00000007-19A4-4C31-A9AD-1DC30B9A21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СД1</c:v>
                </c:pt>
                <c:pt idx="1">
                  <c:v>СД2</c:v>
                </c:pt>
                <c:pt idx="2">
                  <c:v>ХГН</c:v>
                </c:pt>
              </c:strCache>
            </c:strRef>
          </c:cat>
          <c:val>
            <c:numRef>
              <c:f>Лист1!$B$2:$B$5</c:f>
              <c:numCache>
                <c:formatCode>0%</c:formatCode>
                <c:ptCount val="4"/>
                <c:pt idx="0">
                  <c:v>0.1</c:v>
                </c:pt>
                <c:pt idx="1">
                  <c:v>0</c:v>
                </c:pt>
                <c:pt idx="2">
                  <c:v>0</c:v>
                </c:pt>
              </c:numCache>
            </c:numRef>
          </c:val>
          <c:extLst>
            <c:ext xmlns:c16="http://schemas.microsoft.com/office/drawing/2014/chart" uri="{C3380CC4-5D6E-409C-BE32-E72D297353CC}">
              <c16:uniqueId val="{00000008-19A4-4C31-A9AD-1DC30B9A2132}"/>
            </c:ext>
          </c:extLst>
        </c:ser>
        <c:ser>
          <c:idx val="1"/>
          <c:order val="1"/>
          <c:tx>
            <c:strRef>
              <c:f>Лист1!$C$1</c:f>
              <c:strCache>
                <c:ptCount val="1"/>
                <c:pt idx="0">
                  <c:v>целевые значения </c:v>
                </c:pt>
              </c:strCache>
            </c:strRef>
          </c:tx>
          <c:dPt>
            <c:idx val="0"/>
            <c:bubble3D val="0"/>
            <c:spPr>
              <a:solidFill>
                <a:schemeClr val="accent1"/>
              </a:solidFill>
              <a:ln>
                <a:noFill/>
              </a:ln>
              <a:effectLst/>
            </c:spPr>
            <c:extLst>
              <c:ext xmlns:c16="http://schemas.microsoft.com/office/drawing/2014/chart" uri="{C3380CC4-5D6E-409C-BE32-E72D297353CC}">
                <c16:uniqueId val="{0000000A-19A4-4C31-A9AD-1DC30B9A2132}"/>
              </c:ext>
            </c:extLst>
          </c:dPt>
          <c:dPt>
            <c:idx val="1"/>
            <c:bubble3D val="0"/>
            <c:spPr>
              <a:solidFill>
                <a:schemeClr val="accent2"/>
              </a:solidFill>
              <a:ln>
                <a:noFill/>
              </a:ln>
              <a:effectLst/>
            </c:spPr>
            <c:extLst>
              <c:ext xmlns:c16="http://schemas.microsoft.com/office/drawing/2014/chart" uri="{C3380CC4-5D6E-409C-BE32-E72D297353CC}">
                <c16:uniqueId val="{0000000C-19A4-4C31-A9AD-1DC30B9A2132}"/>
              </c:ext>
            </c:extLst>
          </c:dPt>
          <c:dPt>
            <c:idx val="2"/>
            <c:bubble3D val="0"/>
            <c:spPr>
              <a:solidFill>
                <a:schemeClr val="accent3"/>
              </a:solidFill>
              <a:ln>
                <a:noFill/>
              </a:ln>
              <a:effectLst/>
            </c:spPr>
            <c:extLst>
              <c:ext xmlns:c16="http://schemas.microsoft.com/office/drawing/2014/chart" uri="{C3380CC4-5D6E-409C-BE32-E72D297353CC}">
                <c16:uniqueId val="{0000000E-19A4-4C31-A9AD-1DC30B9A2132}"/>
              </c:ext>
            </c:extLst>
          </c:dPt>
          <c:dPt>
            <c:idx val="3"/>
            <c:bubble3D val="0"/>
            <c:spPr>
              <a:solidFill>
                <a:schemeClr val="accent4"/>
              </a:solidFill>
              <a:ln>
                <a:noFill/>
              </a:ln>
              <a:effectLst/>
            </c:spPr>
            <c:extLst>
              <c:ext xmlns:c16="http://schemas.microsoft.com/office/drawing/2014/chart" uri="{C3380CC4-5D6E-409C-BE32-E72D297353CC}">
                <c16:uniqueId val="{00000010-19A4-4C31-A9AD-1DC30B9A21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СД1</c:v>
                </c:pt>
                <c:pt idx="1">
                  <c:v>СД2</c:v>
                </c:pt>
                <c:pt idx="2">
                  <c:v>ХГН</c:v>
                </c:pt>
              </c:strCache>
            </c:strRef>
          </c:cat>
          <c:val>
            <c:numRef>
              <c:f>Лист1!$C$2:$C$5</c:f>
              <c:numCache>
                <c:formatCode>0%</c:formatCode>
                <c:ptCount val="4"/>
                <c:pt idx="0">
                  <c:v>0.4</c:v>
                </c:pt>
                <c:pt idx="1">
                  <c:v>0.23</c:v>
                </c:pt>
                <c:pt idx="2">
                  <c:v>0.2</c:v>
                </c:pt>
              </c:numCache>
            </c:numRef>
          </c:val>
          <c:extLst>
            <c:ext xmlns:c16="http://schemas.microsoft.com/office/drawing/2014/chart" uri="{C3380CC4-5D6E-409C-BE32-E72D297353CC}">
              <c16:uniqueId val="{00000011-19A4-4C31-A9AD-1DC30B9A2132}"/>
            </c:ext>
          </c:extLst>
        </c:ser>
        <c:ser>
          <c:idx val="2"/>
          <c:order val="2"/>
          <c:tx>
            <c:strRef>
              <c:f>Лист1!$D$1</c:f>
              <c:strCache>
                <c:ptCount val="1"/>
                <c:pt idx="0">
                  <c:v>ниже целевых значений</c:v>
                </c:pt>
              </c:strCache>
            </c:strRef>
          </c:tx>
          <c:dPt>
            <c:idx val="0"/>
            <c:bubble3D val="0"/>
            <c:spPr>
              <a:solidFill>
                <a:schemeClr val="accent1"/>
              </a:solidFill>
              <a:ln>
                <a:noFill/>
              </a:ln>
              <a:effectLst/>
            </c:spPr>
            <c:extLst>
              <c:ext xmlns:c16="http://schemas.microsoft.com/office/drawing/2014/chart" uri="{C3380CC4-5D6E-409C-BE32-E72D297353CC}">
                <c16:uniqueId val="{00000013-19A4-4C31-A9AD-1DC30B9A2132}"/>
              </c:ext>
            </c:extLst>
          </c:dPt>
          <c:dPt>
            <c:idx val="1"/>
            <c:bubble3D val="0"/>
            <c:spPr>
              <a:solidFill>
                <a:schemeClr val="accent2"/>
              </a:solidFill>
              <a:ln>
                <a:noFill/>
              </a:ln>
              <a:effectLst/>
            </c:spPr>
            <c:extLst>
              <c:ext xmlns:c16="http://schemas.microsoft.com/office/drawing/2014/chart" uri="{C3380CC4-5D6E-409C-BE32-E72D297353CC}">
                <c16:uniqueId val="{00000015-19A4-4C31-A9AD-1DC30B9A2132}"/>
              </c:ext>
            </c:extLst>
          </c:dPt>
          <c:dPt>
            <c:idx val="2"/>
            <c:bubble3D val="0"/>
            <c:spPr>
              <a:solidFill>
                <a:schemeClr val="accent3"/>
              </a:solidFill>
              <a:ln>
                <a:noFill/>
              </a:ln>
              <a:effectLst/>
            </c:spPr>
            <c:extLst>
              <c:ext xmlns:c16="http://schemas.microsoft.com/office/drawing/2014/chart" uri="{C3380CC4-5D6E-409C-BE32-E72D297353CC}">
                <c16:uniqueId val="{00000017-19A4-4C31-A9AD-1DC30B9A2132}"/>
              </c:ext>
            </c:extLst>
          </c:dPt>
          <c:dPt>
            <c:idx val="3"/>
            <c:bubble3D val="0"/>
            <c:spPr>
              <a:solidFill>
                <a:schemeClr val="accent4"/>
              </a:solidFill>
              <a:ln>
                <a:noFill/>
              </a:ln>
              <a:effectLst/>
            </c:spPr>
            <c:extLst>
              <c:ext xmlns:c16="http://schemas.microsoft.com/office/drawing/2014/chart" uri="{C3380CC4-5D6E-409C-BE32-E72D297353CC}">
                <c16:uniqueId val="{00000019-19A4-4C31-A9AD-1DC30B9A21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СД1</c:v>
                </c:pt>
                <c:pt idx="1">
                  <c:v>СД2</c:v>
                </c:pt>
                <c:pt idx="2">
                  <c:v>ХГН</c:v>
                </c:pt>
              </c:strCache>
            </c:strRef>
          </c:cat>
          <c:val>
            <c:numRef>
              <c:f>Лист1!$D$2:$D$5</c:f>
              <c:numCache>
                <c:formatCode>0%</c:formatCode>
                <c:ptCount val="4"/>
                <c:pt idx="0">
                  <c:v>0.5</c:v>
                </c:pt>
                <c:pt idx="1">
                  <c:v>0.77</c:v>
                </c:pt>
                <c:pt idx="2">
                  <c:v>0.8</c:v>
                </c:pt>
              </c:numCache>
            </c:numRef>
          </c:val>
          <c:extLst>
            <c:ext xmlns:c16="http://schemas.microsoft.com/office/drawing/2014/chart" uri="{C3380CC4-5D6E-409C-BE32-E72D297353CC}">
              <c16:uniqueId val="{0000001A-19A4-4C31-A9AD-1DC30B9A2132}"/>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Лист1!$B$1</c:f>
              <c:strCache>
                <c:ptCount val="1"/>
                <c:pt idx="0">
                  <c:v>Гемоглобин, г/л</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errBars>
            <c:errDir val="x"/>
            <c:errBarType val="minus"/>
            <c:errValType val="stdErr"/>
            <c:noEndCap val="0"/>
            <c:spPr>
              <a:noFill/>
              <a:ln w="9525" cap="flat" cmpd="sng" algn="ctr">
                <a:solidFill>
                  <a:schemeClr val="tx1">
                    <a:lumMod val="65000"/>
                    <a:lumOff val="35000"/>
                  </a:schemeClr>
                </a:solidFill>
                <a:round/>
              </a:ln>
              <a:effectLst/>
            </c:spPr>
          </c:errBars>
          <c:errBars>
            <c:errDir val="y"/>
            <c:errBarType val="both"/>
            <c:errValType val="stdDev"/>
            <c:noEndCap val="0"/>
            <c:val val="1"/>
            <c:spPr>
              <a:noFill/>
              <a:ln w="9525" cap="flat" cmpd="sng" algn="ctr">
                <a:solidFill>
                  <a:schemeClr val="tx1">
                    <a:lumMod val="65000"/>
                    <a:lumOff val="35000"/>
                  </a:schemeClr>
                </a:solidFill>
                <a:round/>
              </a:ln>
              <a:effectLst/>
            </c:spPr>
          </c:errBars>
          <c:xVal>
            <c:numRef>
              <c:f>Лист1!$A$2:$A$24</c:f>
              <c:numCache>
                <c:formatCode>General</c:formatCode>
                <c:ptCount val="23"/>
                <c:pt idx="0">
                  <c:v>2</c:v>
                </c:pt>
                <c:pt idx="1">
                  <c:v>1</c:v>
                </c:pt>
                <c:pt idx="2">
                  <c:v>3</c:v>
                </c:pt>
                <c:pt idx="3">
                  <c:v>2</c:v>
                </c:pt>
                <c:pt idx="4">
                  <c:v>1</c:v>
                </c:pt>
                <c:pt idx="5">
                  <c:v>11</c:v>
                </c:pt>
                <c:pt idx="6">
                  <c:v>9</c:v>
                </c:pt>
                <c:pt idx="7">
                  <c:v>1</c:v>
                </c:pt>
                <c:pt idx="8">
                  <c:v>8</c:v>
                </c:pt>
                <c:pt idx="9">
                  <c:v>7</c:v>
                </c:pt>
                <c:pt idx="10">
                  <c:v>10</c:v>
                </c:pt>
                <c:pt idx="11">
                  <c:v>10</c:v>
                </c:pt>
                <c:pt idx="12">
                  <c:v>14</c:v>
                </c:pt>
                <c:pt idx="13">
                  <c:v>14</c:v>
                </c:pt>
                <c:pt idx="14">
                  <c:v>6</c:v>
                </c:pt>
                <c:pt idx="15">
                  <c:v>17</c:v>
                </c:pt>
                <c:pt idx="16">
                  <c:v>8</c:v>
                </c:pt>
                <c:pt idx="17">
                  <c:v>9</c:v>
                </c:pt>
                <c:pt idx="18">
                  <c:v>8</c:v>
                </c:pt>
                <c:pt idx="19">
                  <c:v>17</c:v>
                </c:pt>
                <c:pt idx="20">
                  <c:v>13</c:v>
                </c:pt>
                <c:pt idx="21">
                  <c:v>16</c:v>
                </c:pt>
                <c:pt idx="22">
                  <c:v>12</c:v>
                </c:pt>
              </c:numCache>
            </c:numRef>
          </c:xVal>
          <c:yVal>
            <c:numRef>
              <c:f>Лист1!$B$2:$B$24</c:f>
              <c:numCache>
                <c:formatCode>General</c:formatCode>
                <c:ptCount val="23"/>
                <c:pt idx="0">
                  <c:v>100</c:v>
                </c:pt>
                <c:pt idx="1">
                  <c:v>93</c:v>
                </c:pt>
                <c:pt idx="2">
                  <c:v>95</c:v>
                </c:pt>
                <c:pt idx="3">
                  <c:v>91</c:v>
                </c:pt>
                <c:pt idx="4">
                  <c:v>84</c:v>
                </c:pt>
                <c:pt idx="5">
                  <c:v>105</c:v>
                </c:pt>
                <c:pt idx="6">
                  <c:v>95</c:v>
                </c:pt>
                <c:pt idx="7">
                  <c:v>105</c:v>
                </c:pt>
                <c:pt idx="8">
                  <c:v>93</c:v>
                </c:pt>
                <c:pt idx="9">
                  <c:v>96</c:v>
                </c:pt>
                <c:pt idx="10">
                  <c:v>98</c:v>
                </c:pt>
                <c:pt idx="11">
                  <c:v>68</c:v>
                </c:pt>
                <c:pt idx="12">
                  <c:v>82</c:v>
                </c:pt>
                <c:pt idx="13">
                  <c:v>120</c:v>
                </c:pt>
                <c:pt idx="14">
                  <c:v>96</c:v>
                </c:pt>
                <c:pt idx="15">
                  <c:v>100</c:v>
                </c:pt>
                <c:pt idx="16">
                  <c:v>135</c:v>
                </c:pt>
                <c:pt idx="17">
                  <c:v>98</c:v>
                </c:pt>
                <c:pt idx="18">
                  <c:v>120</c:v>
                </c:pt>
                <c:pt idx="19">
                  <c:v>75</c:v>
                </c:pt>
                <c:pt idx="20">
                  <c:v>72</c:v>
                </c:pt>
                <c:pt idx="21">
                  <c:v>100</c:v>
                </c:pt>
                <c:pt idx="22">
                  <c:v>90</c:v>
                </c:pt>
              </c:numCache>
            </c:numRef>
          </c:yVal>
          <c:smooth val="0"/>
          <c:extLst>
            <c:ext xmlns:c16="http://schemas.microsoft.com/office/drawing/2014/chart" uri="{C3380CC4-5D6E-409C-BE32-E72D297353CC}">
              <c16:uniqueId val="{00000000-4093-488B-8E80-E528C9E73597}"/>
            </c:ext>
          </c:extLst>
        </c:ser>
        <c:dLbls>
          <c:showLegendKey val="0"/>
          <c:showVal val="0"/>
          <c:showCatName val="0"/>
          <c:showSerName val="0"/>
          <c:showPercent val="0"/>
          <c:showBubbleSize val="0"/>
        </c:dLbls>
        <c:axId val="550719112"/>
        <c:axId val="550730920"/>
      </c:scatterChart>
      <c:valAx>
        <c:axId val="550719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длительность</a:t>
                </a:r>
                <a:r>
                  <a:rPr lang="ru-RU" baseline="0"/>
                  <a:t> ГДТ, лет </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0730920"/>
        <c:crosses val="autoZero"/>
        <c:crossBetween val="midCat"/>
      </c:valAx>
      <c:valAx>
        <c:axId val="550730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уровень</a:t>
                </a:r>
                <a:r>
                  <a:rPr lang="ru-RU" baseline="0"/>
                  <a:t> </a:t>
                </a:r>
                <a:r>
                  <a:rPr lang="en-US" baseline="0"/>
                  <a:t>Hb</a:t>
                </a:r>
                <a:r>
                  <a:rPr lang="ru-RU" baseline="0"/>
                  <a:t>, г/л</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0719112"/>
        <c:crosses val="autoZero"/>
        <c:crossBetween val="midCat"/>
      </c:valAx>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основная группа</c:v>
                </c:pt>
              </c:strCache>
            </c:strRef>
          </c:tx>
          <c:dPt>
            <c:idx val="0"/>
            <c:bubble3D val="0"/>
            <c:spPr>
              <a:solidFill>
                <a:schemeClr val="accent1"/>
              </a:solidFill>
              <a:ln>
                <a:noFill/>
              </a:ln>
              <a:effectLst/>
            </c:spPr>
            <c:extLst>
              <c:ext xmlns:c16="http://schemas.microsoft.com/office/drawing/2014/chart" uri="{C3380CC4-5D6E-409C-BE32-E72D297353CC}">
                <c16:uniqueId val="{00000001-5677-4621-BABD-53BED5D61666}"/>
              </c:ext>
            </c:extLst>
          </c:dPt>
          <c:dPt>
            <c:idx val="1"/>
            <c:bubble3D val="0"/>
            <c:spPr>
              <a:solidFill>
                <a:schemeClr val="accent2"/>
              </a:solidFill>
              <a:ln>
                <a:noFill/>
              </a:ln>
              <a:effectLst/>
            </c:spPr>
            <c:extLst>
              <c:ext xmlns:c16="http://schemas.microsoft.com/office/drawing/2014/chart" uri="{C3380CC4-5D6E-409C-BE32-E72D297353CC}">
                <c16:uniqueId val="{00000003-5677-4621-BABD-53BED5D61666}"/>
              </c:ext>
            </c:extLst>
          </c:dPt>
          <c:dPt>
            <c:idx val="2"/>
            <c:bubble3D val="0"/>
            <c:spPr>
              <a:solidFill>
                <a:schemeClr val="accent3"/>
              </a:solidFill>
              <a:ln>
                <a:noFill/>
              </a:ln>
              <a:effectLst/>
            </c:spPr>
            <c:extLst>
              <c:ext xmlns:c16="http://schemas.microsoft.com/office/drawing/2014/chart" uri="{C3380CC4-5D6E-409C-BE32-E72D297353CC}">
                <c16:uniqueId val="{00000005-5677-4621-BABD-53BED5D61666}"/>
              </c:ext>
            </c:extLst>
          </c:dPt>
          <c:dPt>
            <c:idx val="3"/>
            <c:bubble3D val="0"/>
            <c:spPr>
              <a:solidFill>
                <a:schemeClr val="accent4"/>
              </a:solidFill>
              <a:ln>
                <a:noFill/>
              </a:ln>
              <a:effectLst/>
            </c:spPr>
            <c:extLst>
              <c:ext xmlns:c16="http://schemas.microsoft.com/office/drawing/2014/chart" uri="{C3380CC4-5D6E-409C-BE32-E72D297353CC}">
                <c16:uniqueId val="{00000007-5677-4621-BABD-53BED5D616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младше 50</c:v>
                </c:pt>
                <c:pt idx="1">
                  <c:v>50-70</c:v>
                </c:pt>
                <c:pt idx="2">
                  <c:v>старше 70</c:v>
                </c:pt>
              </c:strCache>
            </c:strRef>
          </c:cat>
          <c:val>
            <c:numRef>
              <c:f>Лист1!$B$2:$B$5</c:f>
              <c:numCache>
                <c:formatCode>0.00%</c:formatCode>
                <c:ptCount val="4"/>
                <c:pt idx="0">
                  <c:v>0.217</c:v>
                </c:pt>
                <c:pt idx="1">
                  <c:v>0.34799999999999998</c:v>
                </c:pt>
                <c:pt idx="2">
                  <c:v>0.435</c:v>
                </c:pt>
              </c:numCache>
            </c:numRef>
          </c:val>
          <c:extLst>
            <c:ext xmlns:c16="http://schemas.microsoft.com/office/drawing/2014/chart" uri="{C3380CC4-5D6E-409C-BE32-E72D297353CC}">
              <c16:uniqueId val="{00000008-5677-4621-BABD-53BED5D61666}"/>
            </c:ext>
          </c:extLst>
        </c:ser>
        <c:ser>
          <c:idx val="1"/>
          <c:order val="1"/>
          <c:tx>
            <c:strRef>
              <c:f>Лист1!$C$1</c:f>
              <c:strCache>
                <c:ptCount val="1"/>
                <c:pt idx="0">
                  <c:v>группа сравнения </c:v>
                </c:pt>
              </c:strCache>
            </c:strRef>
          </c:tx>
          <c:dPt>
            <c:idx val="0"/>
            <c:bubble3D val="0"/>
            <c:spPr>
              <a:solidFill>
                <a:schemeClr val="accent1"/>
              </a:solidFill>
              <a:ln>
                <a:noFill/>
              </a:ln>
              <a:effectLst/>
            </c:spPr>
            <c:extLst>
              <c:ext xmlns:c16="http://schemas.microsoft.com/office/drawing/2014/chart" uri="{C3380CC4-5D6E-409C-BE32-E72D297353CC}">
                <c16:uniqueId val="{0000000A-5677-4621-BABD-53BED5D61666}"/>
              </c:ext>
            </c:extLst>
          </c:dPt>
          <c:dPt>
            <c:idx val="1"/>
            <c:bubble3D val="0"/>
            <c:spPr>
              <a:solidFill>
                <a:schemeClr val="accent2"/>
              </a:solidFill>
              <a:ln>
                <a:noFill/>
              </a:ln>
              <a:effectLst/>
            </c:spPr>
            <c:extLst>
              <c:ext xmlns:c16="http://schemas.microsoft.com/office/drawing/2014/chart" uri="{C3380CC4-5D6E-409C-BE32-E72D297353CC}">
                <c16:uniqueId val="{0000000C-5677-4621-BABD-53BED5D61666}"/>
              </c:ext>
            </c:extLst>
          </c:dPt>
          <c:dPt>
            <c:idx val="2"/>
            <c:bubble3D val="0"/>
            <c:spPr>
              <a:solidFill>
                <a:schemeClr val="accent3"/>
              </a:solidFill>
              <a:ln>
                <a:noFill/>
              </a:ln>
              <a:effectLst/>
            </c:spPr>
            <c:extLst>
              <c:ext xmlns:c16="http://schemas.microsoft.com/office/drawing/2014/chart" uri="{C3380CC4-5D6E-409C-BE32-E72D297353CC}">
                <c16:uniqueId val="{0000000E-5677-4621-BABD-53BED5D61666}"/>
              </c:ext>
            </c:extLst>
          </c:dPt>
          <c:dPt>
            <c:idx val="3"/>
            <c:bubble3D val="0"/>
            <c:spPr>
              <a:solidFill>
                <a:schemeClr val="accent4"/>
              </a:solidFill>
              <a:ln>
                <a:noFill/>
              </a:ln>
              <a:effectLst/>
            </c:spPr>
            <c:extLst>
              <c:ext xmlns:c16="http://schemas.microsoft.com/office/drawing/2014/chart" uri="{C3380CC4-5D6E-409C-BE32-E72D297353CC}">
                <c16:uniqueId val="{00000010-5677-4621-BABD-53BED5D61666}"/>
              </c:ext>
            </c:extLst>
          </c:dPt>
          <c:cat>
            <c:strRef>
              <c:f>Лист1!$A$2:$A$5</c:f>
              <c:strCache>
                <c:ptCount val="3"/>
                <c:pt idx="0">
                  <c:v>младше 50</c:v>
                </c:pt>
                <c:pt idx="1">
                  <c:v>50-70</c:v>
                </c:pt>
                <c:pt idx="2">
                  <c:v>старше 70</c:v>
                </c:pt>
              </c:strCache>
            </c:strRef>
          </c:cat>
          <c:val>
            <c:numRef>
              <c:f>Лист1!$C$2:$C$5</c:f>
              <c:numCache>
                <c:formatCode>0%</c:formatCode>
                <c:ptCount val="4"/>
                <c:pt idx="0">
                  <c:v>0.2</c:v>
                </c:pt>
                <c:pt idx="1">
                  <c:v>0.5</c:v>
                </c:pt>
                <c:pt idx="2">
                  <c:v>0.3</c:v>
                </c:pt>
              </c:numCache>
            </c:numRef>
          </c:val>
          <c:extLst>
            <c:ext xmlns:c16="http://schemas.microsoft.com/office/drawing/2014/chart" uri="{C3380CC4-5D6E-409C-BE32-E72D297353CC}">
              <c16:uniqueId val="{00000011-5677-4621-BABD-53BED5D6166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основная группа </c:v>
                </c:pt>
              </c:strCache>
            </c:strRef>
          </c:tx>
          <c:dPt>
            <c:idx val="0"/>
            <c:bubble3D val="0"/>
            <c:spPr>
              <a:solidFill>
                <a:schemeClr val="accent1"/>
              </a:solidFill>
              <a:ln>
                <a:noFill/>
              </a:ln>
              <a:effectLst/>
            </c:spPr>
            <c:extLst>
              <c:ext xmlns:c16="http://schemas.microsoft.com/office/drawing/2014/chart" uri="{C3380CC4-5D6E-409C-BE32-E72D297353CC}">
                <c16:uniqueId val="{00000001-C5F7-4AAF-A527-64B2966C1857}"/>
              </c:ext>
            </c:extLst>
          </c:dPt>
          <c:dPt>
            <c:idx val="1"/>
            <c:bubble3D val="0"/>
            <c:spPr>
              <a:solidFill>
                <a:schemeClr val="accent2"/>
              </a:solidFill>
              <a:ln>
                <a:noFill/>
              </a:ln>
              <a:effectLst/>
            </c:spPr>
            <c:extLst>
              <c:ext xmlns:c16="http://schemas.microsoft.com/office/drawing/2014/chart" uri="{C3380CC4-5D6E-409C-BE32-E72D297353CC}">
                <c16:uniqueId val="{00000003-C5F7-4AAF-A527-64B2966C1857}"/>
              </c:ext>
            </c:extLst>
          </c:dPt>
          <c:dPt>
            <c:idx val="2"/>
            <c:bubble3D val="0"/>
            <c:spPr>
              <a:solidFill>
                <a:schemeClr val="accent3"/>
              </a:solidFill>
              <a:ln>
                <a:noFill/>
              </a:ln>
              <a:effectLst/>
            </c:spPr>
            <c:extLst>
              <c:ext xmlns:c16="http://schemas.microsoft.com/office/drawing/2014/chart" uri="{C3380CC4-5D6E-409C-BE32-E72D297353CC}">
                <c16:uniqueId val="{00000005-C5F7-4AAF-A527-64B2966C1857}"/>
              </c:ext>
            </c:extLst>
          </c:dPt>
          <c:dPt>
            <c:idx val="3"/>
            <c:bubble3D val="0"/>
            <c:spPr>
              <a:solidFill>
                <a:schemeClr val="accent4"/>
              </a:solidFill>
              <a:ln>
                <a:noFill/>
              </a:ln>
              <a:effectLst/>
            </c:spPr>
            <c:extLst>
              <c:ext xmlns:c16="http://schemas.microsoft.com/office/drawing/2014/chart" uri="{C3380CC4-5D6E-409C-BE32-E72D297353CC}">
                <c16:uniqueId val="{00000007-C5F7-4AAF-A527-64B2966C18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меньше 50</c:v>
                </c:pt>
                <c:pt idx="1">
                  <c:v>50-70</c:v>
                </c:pt>
                <c:pt idx="2">
                  <c:v>старше 70</c:v>
                </c:pt>
              </c:strCache>
            </c:strRef>
          </c:cat>
          <c:val>
            <c:numRef>
              <c:f>Лист1!$B$2:$B$5</c:f>
              <c:numCache>
                <c:formatCode>0%</c:formatCode>
                <c:ptCount val="4"/>
                <c:pt idx="0">
                  <c:v>0.23</c:v>
                </c:pt>
                <c:pt idx="1">
                  <c:v>0.23</c:v>
                </c:pt>
                <c:pt idx="2">
                  <c:v>0.54</c:v>
                </c:pt>
              </c:numCache>
            </c:numRef>
          </c:val>
          <c:extLst>
            <c:ext xmlns:c16="http://schemas.microsoft.com/office/drawing/2014/chart" uri="{C3380CC4-5D6E-409C-BE32-E72D297353CC}">
              <c16:uniqueId val="{00000008-C5F7-4AAF-A527-64B2966C1857}"/>
            </c:ext>
          </c:extLst>
        </c:ser>
        <c:ser>
          <c:idx val="1"/>
          <c:order val="1"/>
          <c:tx>
            <c:strRef>
              <c:f>Лист1!$C$1</c:f>
              <c:strCache>
                <c:ptCount val="1"/>
                <c:pt idx="0">
                  <c:v>группа сравнения </c:v>
                </c:pt>
              </c:strCache>
            </c:strRef>
          </c:tx>
          <c:dPt>
            <c:idx val="0"/>
            <c:bubble3D val="0"/>
            <c:spPr>
              <a:solidFill>
                <a:schemeClr val="accent1"/>
              </a:solidFill>
              <a:ln>
                <a:noFill/>
              </a:ln>
              <a:effectLst/>
            </c:spPr>
            <c:extLst>
              <c:ext xmlns:c16="http://schemas.microsoft.com/office/drawing/2014/chart" uri="{C3380CC4-5D6E-409C-BE32-E72D297353CC}">
                <c16:uniqueId val="{0000000A-C5F7-4AAF-A527-64B2966C1857}"/>
              </c:ext>
            </c:extLst>
          </c:dPt>
          <c:dPt>
            <c:idx val="1"/>
            <c:bubble3D val="0"/>
            <c:spPr>
              <a:solidFill>
                <a:schemeClr val="accent2"/>
              </a:solidFill>
              <a:ln>
                <a:noFill/>
              </a:ln>
              <a:effectLst/>
            </c:spPr>
            <c:extLst>
              <c:ext xmlns:c16="http://schemas.microsoft.com/office/drawing/2014/chart" uri="{C3380CC4-5D6E-409C-BE32-E72D297353CC}">
                <c16:uniqueId val="{0000000C-C5F7-4AAF-A527-64B2966C1857}"/>
              </c:ext>
            </c:extLst>
          </c:dPt>
          <c:dPt>
            <c:idx val="2"/>
            <c:bubble3D val="0"/>
            <c:spPr>
              <a:solidFill>
                <a:schemeClr val="accent3"/>
              </a:solidFill>
              <a:ln>
                <a:noFill/>
              </a:ln>
              <a:effectLst/>
            </c:spPr>
            <c:extLst>
              <c:ext xmlns:c16="http://schemas.microsoft.com/office/drawing/2014/chart" uri="{C3380CC4-5D6E-409C-BE32-E72D297353CC}">
                <c16:uniqueId val="{0000000E-C5F7-4AAF-A527-64B2966C1857}"/>
              </c:ext>
            </c:extLst>
          </c:dPt>
          <c:dPt>
            <c:idx val="3"/>
            <c:bubble3D val="0"/>
            <c:spPr>
              <a:solidFill>
                <a:schemeClr val="accent4"/>
              </a:solidFill>
              <a:ln>
                <a:noFill/>
              </a:ln>
              <a:effectLst/>
            </c:spPr>
            <c:extLst>
              <c:ext xmlns:c16="http://schemas.microsoft.com/office/drawing/2014/chart" uri="{C3380CC4-5D6E-409C-BE32-E72D297353CC}">
                <c16:uniqueId val="{00000010-C5F7-4AAF-A527-64B2966C18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меньше 50</c:v>
                </c:pt>
                <c:pt idx="1">
                  <c:v>50-70</c:v>
                </c:pt>
                <c:pt idx="2">
                  <c:v>старше 70</c:v>
                </c:pt>
              </c:strCache>
            </c:strRef>
          </c:cat>
          <c:val>
            <c:numRef>
              <c:f>Лист1!$C$2:$C$5</c:f>
              <c:numCache>
                <c:formatCode>0%</c:formatCode>
                <c:ptCount val="4"/>
                <c:pt idx="0">
                  <c:v>0.16600000000000001</c:v>
                </c:pt>
                <c:pt idx="1">
                  <c:v>0.5</c:v>
                </c:pt>
                <c:pt idx="2">
                  <c:v>0.33</c:v>
                </c:pt>
              </c:numCache>
            </c:numRef>
          </c:val>
          <c:extLst>
            <c:ext xmlns:c16="http://schemas.microsoft.com/office/drawing/2014/chart" uri="{C3380CC4-5D6E-409C-BE32-E72D297353CC}">
              <c16:uniqueId val="{00000011-C5F7-4AAF-A527-64B2966C185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основная группа </c:v>
                </c:pt>
              </c:strCache>
            </c:strRef>
          </c:tx>
          <c:dPt>
            <c:idx val="0"/>
            <c:bubble3D val="0"/>
            <c:spPr>
              <a:solidFill>
                <a:schemeClr val="accent1"/>
              </a:solidFill>
              <a:ln>
                <a:noFill/>
              </a:ln>
              <a:effectLst/>
            </c:spPr>
            <c:extLst>
              <c:ext xmlns:c16="http://schemas.microsoft.com/office/drawing/2014/chart" uri="{C3380CC4-5D6E-409C-BE32-E72D297353CC}">
                <c16:uniqueId val="{00000001-A86A-4FC0-AB9D-BADBBDECF07E}"/>
              </c:ext>
            </c:extLst>
          </c:dPt>
          <c:dPt>
            <c:idx val="1"/>
            <c:bubble3D val="0"/>
            <c:spPr>
              <a:solidFill>
                <a:schemeClr val="accent2"/>
              </a:solidFill>
              <a:ln>
                <a:noFill/>
              </a:ln>
              <a:effectLst/>
            </c:spPr>
            <c:extLst>
              <c:ext xmlns:c16="http://schemas.microsoft.com/office/drawing/2014/chart" uri="{C3380CC4-5D6E-409C-BE32-E72D297353CC}">
                <c16:uniqueId val="{00000003-A86A-4FC0-AB9D-BADBBDECF07E}"/>
              </c:ext>
            </c:extLst>
          </c:dPt>
          <c:dPt>
            <c:idx val="2"/>
            <c:bubble3D val="0"/>
            <c:spPr>
              <a:solidFill>
                <a:schemeClr val="accent3"/>
              </a:solidFill>
              <a:ln>
                <a:noFill/>
              </a:ln>
              <a:effectLst/>
            </c:spPr>
            <c:extLst>
              <c:ext xmlns:c16="http://schemas.microsoft.com/office/drawing/2014/chart" uri="{C3380CC4-5D6E-409C-BE32-E72D297353CC}">
                <c16:uniqueId val="{00000005-A86A-4FC0-AB9D-BADBBDECF07E}"/>
              </c:ext>
            </c:extLst>
          </c:dPt>
          <c:dPt>
            <c:idx val="3"/>
            <c:bubble3D val="0"/>
            <c:spPr>
              <a:solidFill>
                <a:schemeClr val="accent4"/>
              </a:solidFill>
              <a:ln>
                <a:noFill/>
              </a:ln>
              <a:effectLst/>
            </c:spPr>
            <c:extLst>
              <c:ext xmlns:c16="http://schemas.microsoft.com/office/drawing/2014/chart" uri="{C3380CC4-5D6E-409C-BE32-E72D297353CC}">
                <c16:uniqueId val="{00000007-A86A-4FC0-AB9D-BADBBDECF0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младше 50</c:v>
                </c:pt>
                <c:pt idx="1">
                  <c:v>50-70</c:v>
                </c:pt>
                <c:pt idx="2">
                  <c:v>старше 70</c:v>
                </c:pt>
              </c:strCache>
            </c:strRef>
          </c:cat>
          <c:val>
            <c:numRef>
              <c:f>Лист1!$B$2:$B$5</c:f>
              <c:numCache>
                <c:formatCode>0%</c:formatCode>
                <c:ptCount val="4"/>
                <c:pt idx="0">
                  <c:v>0.2</c:v>
                </c:pt>
                <c:pt idx="1">
                  <c:v>0.5</c:v>
                </c:pt>
                <c:pt idx="2">
                  <c:v>0.3</c:v>
                </c:pt>
              </c:numCache>
            </c:numRef>
          </c:val>
          <c:extLst>
            <c:ext xmlns:c16="http://schemas.microsoft.com/office/drawing/2014/chart" uri="{C3380CC4-5D6E-409C-BE32-E72D297353CC}">
              <c16:uniqueId val="{00000008-A86A-4FC0-AB9D-BADBBDECF07E}"/>
            </c:ext>
          </c:extLst>
        </c:ser>
        <c:ser>
          <c:idx val="1"/>
          <c:order val="1"/>
          <c:tx>
            <c:strRef>
              <c:f>Лист1!$C$1</c:f>
              <c:strCache>
                <c:ptCount val="1"/>
                <c:pt idx="0">
                  <c:v>группа сравнения </c:v>
                </c:pt>
              </c:strCache>
            </c:strRef>
          </c:tx>
          <c:dPt>
            <c:idx val="0"/>
            <c:bubble3D val="0"/>
            <c:spPr>
              <a:solidFill>
                <a:schemeClr val="accent1"/>
              </a:solidFill>
              <a:ln>
                <a:noFill/>
              </a:ln>
              <a:effectLst/>
            </c:spPr>
            <c:extLst>
              <c:ext xmlns:c16="http://schemas.microsoft.com/office/drawing/2014/chart" uri="{C3380CC4-5D6E-409C-BE32-E72D297353CC}">
                <c16:uniqueId val="{0000000A-A86A-4FC0-AB9D-BADBBDECF07E}"/>
              </c:ext>
            </c:extLst>
          </c:dPt>
          <c:dPt>
            <c:idx val="1"/>
            <c:bubble3D val="0"/>
            <c:spPr>
              <a:solidFill>
                <a:schemeClr val="accent2"/>
              </a:solidFill>
              <a:ln>
                <a:noFill/>
              </a:ln>
              <a:effectLst/>
            </c:spPr>
            <c:extLst>
              <c:ext xmlns:c16="http://schemas.microsoft.com/office/drawing/2014/chart" uri="{C3380CC4-5D6E-409C-BE32-E72D297353CC}">
                <c16:uniqueId val="{0000000C-A86A-4FC0-AB9D-BADBBDECF07E}"/>
              </c:ext>
            </c:extLst>
          </c:dPt>
          <c:dPt>
            <c:idx val="2"/>
            <c:bubble3D val="0"/>
            <c:spPr>
              <a:solidFill>
                <a:schemeClr val="accent3"/>
              </a:solidFill>
              <a:ln>
                <a:noFill/>
              </a:ln>
              <a:effectLst/>
            </c:spPr>
            <c:extLst>
              <c:ext xmlns:c16="http://schemas.microsoft.com/office/drawing/2014/chart" uri="{C3380CC4-5D6E-409C-BE32-E72D297353CC}">
                <c16:uniqueId val="{0000000E-A86A-4FC0-AB9D-BADBBDECF07E}"/>
              </c:ext>
            </c:extLst>
          </c:dPt>
          <c:dPt>
            <c:idx val="3"/>
            <c:bubble3D val="0"/>
            <c:spPr>
              <a:solidFill>
                <a:schemeClr val="accent4"/>
              </a:solidFill>
              <a:ln>
                <a:noFill/>
              </a:ln>
              <a:effectLst/>
            </c:spPr>
            <c:extLst>
              <c:ext xmlns:c16="http://schemas.microsoft.com/office/drawing/2014/chart" uri="{C3380CC4-5D6E-409C-BE32-E72D297353CC}">
                <c16:uniqueId val="{00000010-A86A-4FC0-AB9D-BADBBDECF0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младше 50</c:v>
                </c:pt>
                <c:pt idx="1">
                  <c:v>50-70</c:v>
                </c:pt>
                <c:pt idx="2">
                  <c:v>старше 70</c:v>
                </c:pt>
              </c:strCache>
            </c:strRef>
          </c:cat>
          <c:val>
            <c:numRef>
              <c:f>Лист1!$C$2:$C$5</c:f>
              <c:numCache>
                <c:formatCode>0%</c:formatCode>
                <c:ptCount val="4"/>
                <c:pt idx="0">
                  <c:v>0.25</c:v>
                </c:pt>
                <c:pt idx="1">
                  <c:v>0.5</c:v>
                </c:pt>
                <c:pt idx="2">
                  <c:v>0.25</c:v>
                </c:pt>
              </c:numCache>
            </c:numRef>
          </c:val>
          <c:extLst>
            <c:ext xmlns:c16="http://schemas.microsoft.com/office/drawing/2014/chart" uri="{C3380CC4-5D6E-409C-BE32-E72D297353CC}">
              <c16:uniqueId val="{00000011-A86A-4FC0-AB9D-BADBBDECF07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длительность </c:v>
                </c:pt>
              </c:strCache>
            </c:strRef>
          </c:tx>
          <c:dPt>
            <c:idx val="0"/>
            <c:bubble3D val="0"/>
            <c:spPr>
              <a:solidFill>
                <a:schemeClr val="accent1"/>
              </a:solidFill>
              <a:ln>
                <a:noFill/>
              </a:ln>
              <a:effectLst/>
            </c:spPr>
            <c:extLst>
              <c:ext xmlns:c16="http://schemas.microsoft.com/office/drawing/2014/chart" uri="{C3380CC4-5D6E-409C-BE32-E72D297353CC}">
                <c16:uniqueId val="{00000001-CED8-4B3E-B987-39E79F0FD2B9}"/>
              </c:ext>
            </c:extLst>
          </c:dPt>
          <c:dPt>
            <c:idx val="1"/>
            <c:bubble3D val="0"/>
            <c:spPr>
              <a:solidFill>
                <a:schemeClr val="accent2"/>
              </a:solidFill>
              <a:ln>
                <a:noFill/>
              </a:ln>
              <a:effectLst/>
            </c:spPr>
            <c:extLst>
              <c:ext xmlns:c16="http://schemas.microsoft.com/office/drawing/2014/chart" uri="{C3380CC4-5D6E-409C-BE32-E72D297353CC}">
                <c16:uniqueId val="{00000003-CED8-4B3E-B987-39E79F0FD2B9}"/>
              </c:ext>
            </c:extLst>
          </c:dPt>
          <c:dPt>
            <c:idx val="2"/>
            <c:bubble3D val="0"/>
            <c:spPr>
              <a:solidFill>
                <a:schemeClr val="accent3"/>
              </a:solidFill>
              <a:ln>
                <a:noFill/>
              </a:ln>
              <a:effectLst/>
            </c:spPr>
            <c:extLst>
              <c:ext xmlns:c16="http://schemas.microsoft.com/office/drawing/2014/chart" uri="{C3380CC4-5D6E-409C-BE32-E72D297353CC}">
                <c16:uniqueId val="{00000005-CED8-4B3E-B987-39E79F0FD2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меньше 10 лет</c:v>
                </c:pt>
                <c:pt idx="1">
                  <c:v>10-20 лет</c:v>
                </c:pt>
                <c:pt idx="2">
                  <c:v>больше 20 лет</c:v>
                </c:pt>
              </c:strCache>
            </c:strRef>
          </c:cat>
          <c:val>
            <c:numRef>
              <c:f>Лист1!$B$2:$B$4</c:f>
              <c:numCache>
                <c:formatCode>0%</c:formatCode>
                <c:ptCount val="3"/>
                <c:pt idx="0">
                  <c:v>0.13</c:v>
                </c:pt>
                <c:pt idx="1">
                  <c:v>0.47</c:v>
                </c:pt>
                <c:pt idx="2">
                  <c:v>0.4</c:v>
                </c:pt>
              </c:numCache>
            </c:numRef>
          </c:val>
          <c:extLst>
            <c:ext xmlns:c16="http://schemas.microsoft.com/office/drawing/2014/chart" uri="{C3380CC4-5D6E-409C-BE32-E72D297353CC}">
              <c16:uniqueId val="{00000006-CED8-4B3E-B987-39E79F0FD2B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СД1</c:v>
                </c:pt>
              </c:strCache>
            </c:strRef>
          </c:tx>
          <c:dPt>
            <c:idx val="0"/>
            <c:bubble3D val="0"/>
            <c:spPr>
              <a:solidFill>
                <a:schemeClr val="accent1"/>
              </a:solidFill>
              <a:ln>
                <a:noFill/>
              </a:ln>
              <a:effectLst/>
            </c:spPr>
            <c:extLst>
              <c:ext xmlns:c16="http://schemas.microsoft.com/office/drawing/2014/chart" uri="{C3380CC4-5D6E-409C-BE32-E72D297353CC}">
                <c16:uniqueId val="{00000001-5ED4-4E04-8971-FC35E46DFF2D}"/>
              </c:ext>
            </c:extLst>
          </c:dPt>
          <c:dPt>
            <c:idx val="1"/>
            <c:bubble3D val="0"/>
            <c:spPr>
              <a:solidFill>
                <a:schemeClr val="accent2"/>
              </a:solidFill>
              <a:ln>
                <a:noFill/>
              </a:ln>
              <a:effectLst/>
            </c:spPr>
            <c:extLst>
              <c:ext xmlns:c16="http://schemas.microsoft.com/office/drawing/2014/chart" uri="{C3380CC4-5D6E-409C-BE32-E72D297353CC}">
                <c16:uniqueId val="{00000003-5ED4-4E04-8971-FC35E46DFF2D}"/>
              </c:ext>
            </c:extLst>
          </c:dPt>
          <c:dPt>
            <c:idx val="2"/>
            <c:bubble3D val="0"/>
            <c:spPr>
              <a:solidFill>
                <a:schemeClr val="accent3"/>
              </a:solidFill>
              <a:ln>
                <a:noFill/>
              </a:ln>
              <a:effectLst/>
            </c:spPr>
            <c:extLst>
              <c:ext xmlns:c16="http://schemas.microsoft.com/office/drawing/2014/chart" uri="{C3380CC4-5D6E-409C-BE32-E72D297353CC}">
                <c16:uniqueId val="{00000005-5ED4-4E04-8971-FC35E46DFF2D}"/>
              </c:ext>
            </c:extLst>
          </c:dPt>
          <c:dPt>
            <c:idx val="3"/>
            <c:bubble3D val="0"/>
            <c:spPr>
              <a:solidFill>
                <a:schemeClr val="accent4"/>
              </a:solidFill>
              <a:ln>
                <a:noFill/>
              </a:ln>
              <a:effectLst/>
            </c:spPr>
            <c:extLst>
              <c:ext xmlns:c16="http://schemas.microsoft.com/office/drawing/2014/chart" uri="{C3380CC4-5D6E-409C-BE32-E72D297353CC}">
                <c16:uniqueId val="{00000007-5ED4-4E04-8971-FC35E46DFF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меньше 10 лет </c:v>
                </c:pt>
                <c:pt idx="1">
                  <c:v>10-20 лет </c:v>
                </c:pt>
                <c:pt idx="2">
                  <c:v>больше 20 лет </c:v>
                </c:pt>
              </c:strCache>
            </c:strRef>
          </c:cat>
          <c:val>
            <c:numRef>
              <c:f>Лист1!$B$2:$B$5</c:f>
              <c:numCache>
                <c:formatCode>0%</c:formatCode>
                <c:ptCount val="4"/>
                <c:pt idx="0">
                  <c:v>0.3</c:v>
                </c:pt>
                <c:pt idx="1">
                  <c:v>0.6</c:v>
                </c:pt>
                <c:pt idx="2">
                  <c:v>0.1</c:v>
                </c:pt>
              </c:numCache>
            </c:numRef>
          </c:val>
          <c:extLst>
            <c:ext xmlns:c16="http://schemas.microsoft.com/office/drawing/2014/chart" uri="{C3380CC4-5D6E-409C-BE32-E72D297353CC}">
              <c16:uniqueId val="{00000008-5ED4-4E04-8971-FC35E46DFF2D}"/>
            </c:ext>
          </c:extLst>
        </c:ser>
        <c:ser>
          <c:idx val="1"/>
          <c:order val="1"/>
          <c:tx>
            <c:strRef>
              <c:f>Лист1!$C$1</c:f>
              <c:strCache>
                <c:ptCount val="1"/>
                <c:pt idx="0">
                  <c:v>СД2</c:v>
                </c:pt>
              </c:strCache>
            </c:strRef>
          </c:tx>
          <c:dPt>
            <c:idx val="0"/>
            <c:bubble3D val="0"/>
            <c:spPr>
              <a:solidFill>
                <a:schemeClr val="accent1"/>
              </a:solidFill>
              <a:ln>
                <a:noFill/>
              </a:ln>
              <a:effectLst/>
            </c:spPr>
            <c:extLst>
              <c:ext xmlns:c16="http://schemas.microsoft.com/office/drawing/2014/chart" uri="{C3380CC4-5D6E-409C-BE32-E72D297353CC}">
                <c16:uniqueId val="{0000000A-5ED4-4E04-8971-FC35E46DFF2D}"/>
              </c:ext>
            </c:extLst>
          </c:dPt>
          <c:dPt>
            <c:idx val="1"/>
            <c:bubble3D val="0"/>
            <c:spPr>
              <a:solidFill>
                <a:schemeClr val="accent2"/>
              </a:solidFill>
              <a:ln>
                <a:noFill/>
              </a:ln>
              <a:effectLst/>
            </c:spPr>
            <c:extLst>
              <c:ext xmlns:c16="http://schemas.microsoft.com/office/drawing/2014/chart" uri="{C3380CC4-5D6E-409C-BE32-E72D297353CC}">
                <c16:uniqueId val="{0000000C-5ED4-4E04-8971-FC35E46DFF2D}"/>
              </c:ext>
            </c:extLst>
          </c:dPt>
          <c:dPt>
            <c:idx val="2"/>
            <c:bubble3D val="0"/>
            <c:spPr>
              <a:solidFill>
                <a:schemeClr val="accent3"/>
              </a:solidFill>
              <a:ln>
                <a:noFill/>
              </a:ln>
              <a:effectLst/>
            </c:spPr>
            <c:extLst>
              <c:ext xmlns:c16="http://schemas.microsoft.com/office/drawing/2014/chart" uri="{C3380CC4-5D6E-409C-BE32-E72D297353CC}">
                <c16:uniqueId val="{0000000E-5ED4-4E04-8971-FC35E46DFF2D}"/>
              </c:ext>
            </c:extLst>
          </c:dPt>
          <c:dPt>
            <c:idx val="3"/>
            <c:bubble3D val="0"/>
            <c:spPr>
              <a:solidFill>
                <a:schemeClr val="accent4"/>
              </a:solidFill>
              <a:ln>
                <a:noFill/>
              </a:ln>
              <a:effectLst/>
            </c:spPr>
            <c:extLst>
              <c:ext xmlns:c16="http://schemas.microsoft.com/office/drawing/2014/chart" uri="{C3380CC4-5D6E-409C-BE32-E72D297353CC}">
                <c16:uniqueId val="{00000010-5ED4-4E04-8971-FC35E46DFF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меньше 10 лет </c:v>
                </c:pt>
                <c:pt idx="1">
                  <c:v>10-20 лет </c:v>
                </c:pt>
                <c:pt idx="2">
                  <c:v>больше 20 лет </c:v>
                </c:pt>
              </c:strCache>
            </c:strRef>
          </c:cat>
          <c:val>
            <c:numRef>
              <c:f>Лист1!$C$2:$C$5</c:f>
              <c:numCache>
                <c:formatCode>0%</c:formatCode>
                <c:ptCount val="4"/>
                <c:pt idx="0">
                  <c:v>0</c:v>
                </c:pt>
                <c:pt idx="1">
                  <c:v>0.39</c:v>
                </c:pt>
                <c:pt idx="2">
                  <c:v>0.61</c:v>
                </c:pt>
              </c:numCache>
            </c:numRef>
          </c:val>
          <c:extLst>
            <c:ext xmlns:c16="http://schemas.microsoft.com/office/drawing/2014/chart" uri="{C3380CC4-5D6E-409C-BE32-E72D297353CC}">
              <c16:uniqueId val="{00000011-5ED4-4E04-8971-FC35E46DFF2D}"/>
            </c:ext>
          </c:extLst>
        </c:ser>
        <c:ser>
          <c:idx val="2"/>
          <c:order val="2"/>
          <c:tx>
            <c:strRef>
              <c:f>Лист1!$D$1</c:f>
              <c:strCache>
                <c:ptCount val="1"/>
                <c:pt idx="0">
                  <c:v>Столбец1</c:v>
                </c:pt>
              </c:strCache>
            </c:strRef>
          </c:tx>
          <c:dPt>
            <c:idx val="0"/>
            <c:bubble3D val="0"/>
            <c:spPr>
              <a:solidFill>
                <a:schemeClr val="accent1"/>
              </a:solidFill>
              <a:ln>
                <a:noFill/>
              </a:ln>
              <a:effectLst/>
            </c:spPr>
            <c:extLst>
              <c:ext xmlns:c16="http://schemas.microsoft.com/office/drawing/2014/chart" uri="{C3380CC4-5D6E-409C-BE32-E72D297353CC}">
                <c16:uniqueId val="{00000013-5ED4-4E04-8971-FC35E46DFF2D}"/>
              </c:ext>
            </c:extLst>
          </c:dPt>
          <c:dPt>
            <c:idx val="1"/>
            <c:bubble3D val="0"/>
            <c:spPr>
              <a:solidFill>
                <a:schemeClr val="accent2"/>
              </a:solidFill>
              <a:ln>
                <a:noFill/>
              </a:ln>
              <a:effectLst/>
            </c:spPr>
            <c:extLst>
              <c:ext xmlns:c16="http://schemas.microsoft.com/office/drawing/2014/chart" uri="{C3380CC4-5D6E-409C-BE32-E72D297353CC}">
                <c16:uniqueId val="{00000015-5ED4-4E04-8971-FC35E46DFF2D}"/>
              </c:ext>
            </c:extLst>
          </c:dPt>
          <c:dPt>
            <c:idx val="2"/>
            <c:bubble3D val="0"/>
            <c:spPr>
              <a:solidFill>
                <a:schemeClr val="accent3"/>
              </a:solidFill>
              <a:ln>
                <a:noFill/>
              </a:ln>
              <a:effectLst/>
            </c:spPr>
            <c:extLst>
              <c:ext xmlns:c16="http://schemas.microsoft.com/office/drawing/2014/chart" uri="{C3380CC4-5D6E-409C-BE32-E72D297353CC}">
                <c16:uniqueId val="{00000017-5ED4-4E04-8971-FC35E46DFF2D}"/>
              </c:ext>
            </c:extLst>
          </c:dPt>
          <c:dPt>
            <c:idx val="3"/>
            <c:bubble3D val="0"/>
            <c:spPr>
              <a:solidFill>
                <a:schemeClr val="accent4"/>
              </a:solidFill>
              <a:ln>
                <a:noFill/>
              </a:ln>
              <a:effectLst/>
            </c:spPr>
            <c:extLst>
              <c:ext xmlns:c16="http://schemas.microsoft.com/office/drawing/2014/chart" uri="{C3380CC4-5D6E-409C-BE32-E72D297353CC}">
                <c16:uniqueId val="{00000019-5ED4-4E04-8971-FC35E46DFF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меньше 10 лет </c:v>
                </c:pt>
                <c:pt idx="1">
                  <c:v>10-20 лет </c:v>
                </c:pt>
                <c:pt idx="2">
                  <c:v>больше 20 лет </c:v>
                </c:pt>
              </c:strCache>
            </c:strRef>
          </c:cat>
          <c:val>
            <c:numRef>
              <c:f>Лист1!$D$2:$D$5</c:f>
              <c:numCache>
                <c:formatCode>General</c:formatCode>
                <c:ptCount val="4"/>
              </c:numCache>
            </c:numRef>
          </c:val>
          <c:extLst>
            <c:ext xmlns:c16="http://schemas.microsoft.com/office/drawing/2014/chart" uri="{C3380CC4-5D6E-409C-BE32-E72D297353CC}">
              <c16:uniqueId val="{0000001A-5ED4-4E04-8971-FC35E46DFF2D}"/>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b"/>
      <c:legendEntry>
        <c:idx val="3"/>
        <c:delete val="1"/>
      </c:legendEntry>
      <c:layout>
        <c:manualLayout>
          <c:xMode val="edge"/>
          <c:yMode val="edge"/>
          <c:x val="0.77799187198374398"/>
          <c:y val="0.27678515185601799"/>
          <c:w val="0.22036034205401739"/>
          <c:h val="0.266071991001124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C9C-4B89-9ED3-40B20CDDCA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C9C-4B89-9ED3-40B20CDDCA1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C9C-4B89-9ED3-40B20CDDCA1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C9C-4B89-9ED3-40B20CDDCA1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C9C-4B89-9ED3-40B20CDDCA1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C9C-4B89-9ED3-40B20CDDCA1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C9C-4B89-9ED3-40B20CDDCA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5"/>
                <c:pt idx="2">
                  <c:v>АГ</c:v>
                </c:pt>
                <c:pt idx="3">
                  <c:v>ХСН</c:v>
                </c:pt>
                <c:pt idx="4">
                  <c:v>ИБС</c:v>
                </c:pt>
              </c:strCache>
            </c:strRef>
          </c:cat>
          <c:val>
            <c:numRef>
              <c:f>Лист1!$B$2:$B$8</c:f>
              <c:numCache>
                <c:formatCode>General</c:formatCode>
                <c:ptCount val="7"/>
                <c:pt idx="2" formatCode="0%">
                  <c:v>0.85</c:v>
                </c:pt>
                <c:pt idx="3" formatCode="0%">
                  <c:v>0.75</c:v>
                </c:pt>
                <c:pt idx="4" formatCode="0%">
                  <c:v>0.98</c:v>
                </c:pt>
              </c:numCache>
            </c:numRef>
          </c:val>
          <c:extLst>
            <c:ext xmlns:c16="http://schemas.microsoft.com/office/drawing/2014/chart" uri="{C3380CC4-5D6E-409C-BE32-E72D297353CC}">
              <c16:uniqueId val="{0000000E-CC9C-4B89-9ED3-40B20CDDCA14}"/>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delete val="1"/>
      </c:legendEntry>
      <c:legendEntry>
        <c:idx val="1"/>
        <c:delete val="1"/>
      </c:legendEntry>
      <c:legendEntry>
        <c:idx val="5"/>
        <c:delete val="1"/>
      </c:legendEntry>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580605055946953E-2"/>
          <c:y val="4.9751167467702889E-2"/>
          <c:w val="0.88218941382327209"/>
          <c:h val="0.77351831021122364"/>
        </c:manualLayout>
      </c:layout>
      <c:barChart>
        <c:barDir val="col"/>
        <c:grouping val="clustered"/>
        <c:varyColors val="0"/>
        <c:ser>
          <c:idx val="0"/>
          <c:order val="0"/>
          <c:tx>
            <c:strRef>
              <c:f>Лист1!$B$1</c:f>
              <c:strCache>
                <c:ptCount val="1"/>
                <c:pt idx="0">
                  <c:v>основная группа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до ПГД</c:v>
                </c:pt>
                <c:pt idx="1">
                  <c:v>после ПГД</c:v>
                </c:pt>
              </c:strCache>
            </c:strRef>
          </c:cat>
          <c:val>
            <c:numRef>
              <c:f>Лист1!$B$2:$B$5</c:f>
              <c:numCache>
                <c:formatCode>0.00</c:formatCode>
                <c:ptCount val="4"/>
                <c:pt idx="0">
                  <c:v>103.17</c:v>
                </c:pt>
                <c:pt idx="1">
                  <c:v>110.3</c:v>
                </c:pt>
              </c:numCache>
            </c:numRef>
          </c:val>
          <c:extLst>
            <c:ext xmlns:c16="http://schemas.microsoft.com/office/drawing/2014/chart" uri="{C3380CC4-5D6E-409C-BE32-E72D297353CC}">
              <c16:uniqueId val="{00000000-5B2F-4506-B33D-3F0BE29C440C}"/>
            </c:ext>
          </c:extLst>
        </c:ser>
        <c:ser>
          <c:idx val="1"/>
          <c:order val="1"/>
          <c:tx>
            <c:strRef>
              <c:f>Лист1!$C$1</c:f>
              <c:strCache>
                <c:ptCount val="1"/>
                <c:pt idx="0">
                  <c:v>группа сравнения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до ПГД</c:v>
                </c:pt>
                <c:pt idx="1">
                  <c:v>после ПГД</c:v>
                </c:pt>
              </c:strCache>
            </c:strRef>
          </c:cat>
          <c:val>
            <c:numRef>
              <c:f>Лист1!$C$2:$C$5</c:f>
              <c:numCache>
                <c:formatCode>0.00</c:formatCode>
                <c:ptCount val="4"/>
                <c:pt idx="0">
                  <c:v>97.9</c:v>
                </c:pt>
                <c:pt idx="1">
                  <c:v>110.9</c:v>
                </c:pt>
              </c:numCache>
            </c:numRef>
          </c:val>
          <c:extLst>
            <c:ext xmlns:c16="http://schemas.microsoft.com/office/drawing/2014/chart" uri="{C3380CC4-5D6E-409C-BE32-E72D297353CC}">
              <c16:uniqueId val="{00000001-5B2F-4506-B33D-3F0BE29C440C}"/>
            </c:ext>
          </c:extLst>
        </c:ser>
        <c:dLbls>
          <c:dLblPos val="outEnd"/>
          <c:showLegendKey val="0"/>
          <c:showVal val="1"/>
          <c:showCatName val="0"/>
          <c:showSerName val="0"/>
          <c:showPercent val="0"/>
          <c:showBubbleSize val="0"/>
        </c:dLbls>
        <c:gapWidth val="219"/>
        <c:overlap val="-27"/>
        <c:axId val="504768752"/>
        <c:axId val="504770392"/>
      </c:barChart>
      <c:catAx>
        <c:axId val="5047687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4770392"/>
        <c:crosses val="autoZero"/>
        <c:auto val="1"/>
        <c:lblAlgn val="ctr"/>
        <c:lblOffset val="100"/>
        <c:noMultiLvlLbl val="0"/>
      </c:catAx>
      <c:valAx>
        <c:axId val="504770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476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Лист1!$B$1</c:f>
              <c:strCache>
                <c:ptCount val="1"/>
                <c:pt idx="0">
                  <c:v>АД, мм рт. ст. </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0"/>
            <c:dispEq val="0"/>
          </c:trendline>
          <c:trendline>
            <c:spPr>
              <a:ln w="9525" cap="rnd">
                <a:solidFill>
                  <a:schemeClr val="accent1"/>
                </a:solidFill>
              </a:ln>
              <a:effectLst/>
            </c:spPr>
            <c:trendlineType val="linear"/>
            <c:dispRSqr val="0"/>
            <c:dispEq val="0"/>
          </c:trendline>
          <c:trendline>
            <c:spPr>
              <a:ln w="9525" cap="rnd">
                <a:solidFill>
                  <a:schemeClr val="accent1"/>
                </a:solidFill>
              </a:ln>
              <a:effectLst/>
            </c:spPr>
            <c:trendlineType val="linear"/>
            <c:dispRSqr val="0"/>
            <c:dispEq val="0"/>
          </c:trendline>
          <c:trendline>
            <c:spPr>
              <a:ln w="9525" cap="rnd">
                <a:solidFill>
                  <a:schemeClr val="accent1"/>
                </a:solidFill>
              </a:ln>
              <a:effectLst/>
            </c:spPr>
            <c:trendlineType val="linear"/>
            <c:dispRSqr val="0"/>
            <c:dispEq val="0"/>
          </c:trendline>
          <c:trendline>
            <c:spPr>
              <a:ln w="9525" cap="rnd">
                <a:solidFill>
                  <a:schemeClr val="accent1"/>
                </a:solidFill>
              </a:ln>
              <a:effectLst/>
            </c:spPr>
            <c:trendlineType val="linear"/>
            <c:forward val="2"/>
            <c:dispRSqr val="0"/>
            <c:dispEq val="0"/>
          </c:trendline>
          <c:errBars>
            <c:errDir val="x"/>
            <c:errBarType val="both"/>
            <c:errValType val="percentage"/>
            <c:noEndCap val="0"/>
            <c:val val="5"/>
            <c:spPr>
              <a:noFill/>
              <a:ln w="9525">
                <a:solidFill>
                  <a:schemeClr val="tx1">
                    <a:lumMod val="65000"/>
                    <a:lumOff val="35000"/>
                  </a:schemeClr>
                </a:solidFill>
                <a:round/>
              </a:ln>
              <a:effectLst/>
            </c:spPr>
          </c:errBars>
          <c:errBars>
            <c:errDir val="y"/>
            <c:errBarType val="both"/>
            <c:errValType val="percentage"/>
            <c:noEndCap val="1"/>
            <c:val val="5"/>
            <c:spPr>
              <a:noFill/>
              <a:ln w="9525">
                <a:solidFill>
                  <a:schemeClr val="tx1">
                    <a:lumMod val="65000"/>
                    <a:lumOff val="35000"/>
                  </a:schemeClr>
                </a:solidFill>
                <a:round/>
              </a:ln>
              <a:effectLst/>
            </c:spPr>
          </c:errBars>
          <c:xVal>
            <c:numRef>
              <c:f>Лист1!$A$2:$A$24</c:f>
              <c:numCache>
                <c:formatCode>General</c:formatCode>
                <c:ptCount val="23"/>
                <c:pt idx="0">
                  <c:v>2</c:v>
                </c:pt>
                <c:pt idx="1">
                  <c:v>1</c:v>
                </c:pt>
                <c:pt idx="2">
                  <c:v>3</c:v>
                </c:pt>
                <c:pt idx="3">
                  <c:v>2</c:v>
                </c:pt>
                <c:pt idx="4">
                  <c:v>1</c:v>
                </c:pt>
                <c:pt idx="5">
                  <c:v>11</c:v>
                </c:pt>
                <c:pt idx="6">
                  <c:v>9</c:v>
                </c:pt>
                <c:pt idx="7">
                  <c:v>1</c:v>
                </c:pt>
                <c:pt idx="8">
                  <c:v>8</c:v>
                </c:pt>
                <c:pt idx="9">
                  <c:v>7</c:v>
                </c:pt>
                <c:pt idx="10">
                  <c:v>10</c:v>
                </c:pt>
                <c:pt idx="11">
                  <c:v>10</c:v>
                </c:pt>
                <c:pt idx="12">
                  <c:v>14</c:v>
                </c:pt>
                <c:pt idx="13">
                  <c:v>14</c:v>
                </c:pt>
                <c:pt idx="14">
                  <c:v>6</c:v>
                </c:pt>
                <c:pt idx="15">
                  <c:v>17</c:v>
                </c:pt>
                <c:pt idx="16">
                  <c:v>8</c:v>
                </c:pt>
                <c:pt idx="17">
                  <c:v>9</c:v>
                </c:pt>
                <c:pt idx="18">
                  <c:v>8</c:v>
                </c:pt>
                <c:pt idx="19">
                  <c:v>17</c:v>
                </c:pt>
                <c:pt idx="20">
                  <c:v>13</c:v>
                </c:pt>
                <c:pt idx="21">
                  <c:v>16</c:v>
                </c:pt>
                <c:pt idx="22">
                  <c:v>12</c:v>
                </c:pt>
              </c:numCache>
            </c:numRef>
          </c:xVal>
          <c:yVal>
            <c:numRef>
              <c:f>Лист1!$B$2:$B$24</c:f>
              <c:numCache>
                <c:formatCode>General</c:formatCode>
                <c:ptCount val="23"/>
                <c:pt idx="0">
                  <c:v>105</c:v>
                </c:pt>
                <c:pt idx="1">
                  <c:v>80</c:v>
                </c:pt>
                <c:pt idx="2">
                  <c:v>108</c:v>
                </c:pt>
                <c:pt idx="3">
                  <c:v>103</c:v>
                </c:pt>
                <c:pt idx="4">
                  <c:v>80</c:v>
                </c:pt>
                <c:pt idx="5">
                  <c:v>120</c:v>
                </c:pt>
                <c:pt idx="6">
                  <c:v>100</c:v>
                </c:pt>
                <c:pt idx="7">
                  <c:v>93</c:v>
                </c:pt>
                <c:pt idx="8">
                  <c:v>105</c:v>
                </c:pt>
                <c:pt idx="9">
                  <c:v>123</c:v>
                </c:pt>
                <c:pt idx="10">
                  <c:v>110</c:v>
                </c:pt>
                <c:pt idx="11">
                  <c:v>121</c:v>
                </c:pt>
                <c:pt idx="12">
                  <c:v>130</c:v>
                </c:pt>
                <c:pt idx="13">
                  <c:v>130</c:v>
                </c:pt>
                <c:pt idx="14">
                  <c:v>97</c:v>
                </c:pt>
                <c:pt idx="15">
                  <c:v>127</c:v>
                </c:pt>
                <c:pt idx="16">
                  <c:v>93</c:v>
                </c:pt>
                <c:pt idx="17">
                  <c:v>113</c:v>
                </c:pt>
                <c:pt idx="18">
                  <c:v>118</c:v>
                </c:pt>
                <c:pt idx="19">
                  <c:v>127</c:v>
                </c:pt>
                <c:pt idx="20">
                  <c:v>102</c:v>
                </c:pt>
                <c:pt idx="21">
                  <c:v>117</c:v>
                </c:pt>
                <c:pt idx="22">
                  <c:v>135</c:v>
                </c:pt>
              </c:numCache>
            </c:numRef>
          </c:yVal>
          <c:smooth val="0"/>
          <c:extLst>
            <c:ext xmlns:c16="http://schemas.microsoft.com/office/drawing/2014/chart" uri="{C3380CC4-5D6E-409C-BE32-E72D297353CC}">
              <c16:uniqueId val="{00000000-E805-4334-A6A7-C7C0DD2F2729}"/>
            </c:ext>
          </c:extLst>
        </c:ser>
        <c:dLbls>
          <c:showLegendKey val="0"/>
          <c:showVal val="0"/>
          <c:showCatName val="0"/>
          <c:showSerName val="0"/>
          <c:showPercent val="0"/>
          <c:showBubbleSize val="0"/>
        </c:dLbls>
        <c:axId val="420341960"/>
        <c:axId val="420345240"/>
      </c:scatterChart>
      <c:valAx>
        <c:axId val="420341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длительность</a:t>
                </a:r>
                <a:r>
                  <a:rPr lang="ru-RU" baseline="0"/>
                  <a:t> ГДТ, лет</a:t>
                </a:r>
                <a:endParaRPr lang="ru-RU"/>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ru-RU"/>
          </a:p>
        </c:txPr>
        <c:crossAx val="420345240"/>
        <c:crosses val="autoZero"/>
        <c:crossBetween val="midCat"/>
      </c:valAx>
      <c:valAx>
        <c:axId val="420345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ср.</a:t>
                </a:r>
                <a:r>
                  <a:rPr lang="ru-RU" baseline="0"/>
                  <a:t> Ад, мм рт. ст. </a:t>
                </a:r>
                <a:endParaRPr lang="ru-RU"/>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341960"/>
        <c:crosses val="autoZero"/>
        <c:crossBetween val="midCat"/>
      </c:valAx>
      <c:spPr>
        <a:noFill/>
        <a:ln>
          <a:solidFill>
            <a:schemeClr val="accent1"/>
          </a:solid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55</Pages>
  <Words>9660</Words>
  <Characters>55063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Nuriyev</dc:creator>
  <cp:keywords/>
  <dc:description/>
  <cp:lastModifiedBy>Nuriyev</cp:lastModifiedBy>
  <cp:revision>1</cp:revision>
  <dcterms:created xsi:type="dcterms:W3CDTF">2019-05-22T11:10:00Z</dcterms:created>
  <dcterms:modified xsi:type="dcterms:W3CDTF">2019-05-22T11:23:00Z</dcterms:modified>
</cp:coreProperties>
</file>