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D1A" w:rsidRDefault="009E769B" w:rsidP="005E0D82">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Федеральное государственное бюджетное образовательное учреждение</w:t>
      </w:r>
    </w:p>
    <w:p w:rsidR="009E769B" w:rsidRDefault="009E769B" w:rsidP="005E0D82">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высшего образования</w:t>
      </w:r>
    </w:p>
    <w:p w:rsidR="009E769B" w:rsidRDefault="009E769B" w:rsidP="005E0D82">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«Санкт-Петербургский государственный университет»</w:t>
      </w:r>
    </w:p>
    <w:p w:rsidR="009E769B" w:rsidRPr="009E769B" w:rsidRDefault="009E769B" w:rsidP="005E0D82">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Направление «Медицина»</w:t>
      </w:r>
    </w:p>
    <w:p w:rsidR="009E769B" w:rsidRDefault="006C7081" w:rsidP="005E0D82">
      <w:pPr>
        <w:spacing w:after="0" w:line="360" w:lineRule="auto"/>
        <w:jc w:val="center"/>
        <w:rPr>
          <w:rFonts w:ascii="Times New Roman" w:eastAsia="MS ??" w:hAnsi="Times New Roman" w:cs="Times New Roman"/>
          <w:bCs/>
          <w:sz w:val="28"/>
          <w:szCs w:val="28"/>
        </w:rPr>
      </w:pPr>
      <w:r w:rsidRPr="002E124D">
        <w:rPr>
          <w:rFonts w:ascii="Times New Roman" w:eastAsia="MS ??" w:hAnsi="Times New Roman" w:cs="Times New Roman"/>
          <w:bCs/>
          <w:sz w:val="28"/>
          <w:szCs w:val="28"/>
        </w:rPr>
        <w:t xml:space="preserve">Кафедра </w:t>
      </w:r>
      <w:r w:rsidR="00903431" w:rsidRPr="002E124D">
        <w:rPr>
          <w:rFonts w:ascii="Times New Roman" w:eastAsia="MS ??" w:hAnsi="Times New Roman" w:cs="Times New Roman"/>
          <w:bCs/>
          <w:sz w:val="28"/>
          <w:szCs w:val="28"/>
        </w:rPr>
        <w:t>онкологии</w:t>
      </w:r>
    </w:p>
    <w:p w:rsidR="009E769B" w:rsidRPr="002E124D" w:rsidRDefault="009E769B" w:rsidP="005E0D82">
      <w:pPr>
        <w:spacing w:after="0" w:line="360" w:lineRule="auto"/>
        <w:ind w:firstLine="720"/>
        <w:jc w:val="both"/>
        <w:rPr>
          <w:rFonts w:ascii="Times New Roman" w:eastAsia="MS ??" w:hAnsi="Times New Roman" w:cs="Times New Roman"/>
          <w:bCs/>
          <w:sz w:val="28"/>
          <w:szCs w:val="28"/>
        </w:rPr>
      </w:pPr>
    </w:p>
    <w:p w:rsidR="006C7081" w:rsidRPr="002E124D" w:rsidRDefault="006C7081" w:rsidP="005E0D82">
      <w:pPr>
        <w:keepNext/>
        <w:spacing w:after="0" w:line="360" w:lineRule="auto"/>
        <w:jc w:val="both"/>
        <w:outlineLvl w:val="3"/>
        <w:rPr>
          <w:rFonts w:ascii="Times New Roman" w:eastAsia="MS Mincho" w:hAnsi="Times New Roman" w:cs="Times New Roman"/>
          <w:b/>
          <w:sz w:val="28"/>
          <w:szCs w:val="28"/>
        </w:rPr>
      </w:pPr>
      <w:r w:rsidRPr="002E124D">
        <w:rPr>
          <w:rFonts w:ascii="Times New Roman" w:eastAsia="MS Mincho" w:hAnsi="Times New Roman" w:cs="Times New Roman"/>
          <w:b/>
          <w:sz w:val="28"/>
          <w:szCs w:val="28"/>
        </w:rPr>
        <w:t>Допускается к защите</w:t>
      </w:r>
    </w:p>
    <w:p w:rsidR="006C7081" w:rsidRPr="002E124D" w:rsidRDefault="006C7081" w:rsidP="005E0D82">
      <w:pPr>
        <w:spacing w:after="0" w:line="360" w:lineRule="auto"/>
        <w:jc w:val="both"/>
        <w:rPr>
          <w:rFonts w:ascii="Times New Roman" w:eastAsia="MS ??" w:hAnsi="Times New Roman" w:cs="Times New Roman"/>
          <w:bCs/>
          <w:sz w:val="28"/>
          <w:szCs w:val="28"/>
        </w:rPr>
      </w:pPr>
      <w:r w:rsidRPr="002E124D">
        <w:rPr>
          <w:rFonts w:ascii="Times New Roman" w:eastAsia="MS ??" w:hAnsi="Times New Roman" w:cs="Times New Roman"/>
          <w:bCs/>
          <w:sz w:val="28"/>
          <w:szCs w:val="28"/>
        </w:rPr>
        <w:t>Заведующ</w:t>
      </w:r>
      <w:r w:rsidR="00903431" w:rsidRPr="002E124D">
        <w:rPr>
          <w:rFonts w:ascii="Times New Roman" w:eastAsia="MS ??" w:hAnsi="Times New Roman" w:cs="Times New Roman"/>
          <w:bCs/>
          <w:sz w:val="28"/>
          <w:szCs w:val="28"/>
        </w:rPr>
        <w:t>ая</w:t>
      </w:r>
      <w:r w:rsidRPr="002E124D">
        <w:rPr>
          <w:rFonts w:ascii="Times New Roman" w:eastAsia="MS ??" w:hAnsi="Times New Roman" w:cs="Times New Roman"/>
          <w:bCs/>
          <w:sz w:val="28"/>
          <w:szCs w:val="28"/>
        </w:rPr>
        <w:t xml:space="preserve"> кафедрой</w:t>
      </w:r>
    </w:p>
    <w:p w:rsidR="006C7081" w:rsidRPr="002E124D" w:rsidRDefault="006C7081" w:rsidP="005E0D82">
      <w:pPr>
        <w:spacing w:after="0" w:line="360" w:lineRule="auto"/>
        <w:jc w:val="both"/>
        <w:rPr>
          <w:rFonts w:ascii="Times New Roman" w:eastAsia="MS ??" w:hAnsi="Times New Roman" w:cs="Times New Roman"/>
          <w:bCs/>
          <w:i/>
          <w:iCs/>
          <w:sz w:val="28"/>
          <w:szCs w:val="28"/>
        </w:rPr>
      </w:pPr>
      <w:r w:rsidRPr="002E124D">
        <w:rPr>
          <w:rFonts w:ascii="Times New Roman" w:eastAsia="MS ??" w:hAnsi="Times New Roman" w:cs="Times New Roman"/>
          <w:bCs/>
          <w:i/>
          <w:iCs/>
          <w:sz w:val="28"/>
          <w:szCs w:val="28"/>
        </w:rPr>
        <w:t xml:space="preserve">д.м.н., проф., </w:t>
      </w:r>
      <w:r w:rsidR="00903431" w:rsidRPr="002E124D">
        <w:rPr>
          <w:rFonts w:ascii="Times New Roman" w:eastAsia="MS ??" w:hAnsi="Times New Roman" w:cs="Times New Roman"/>
          <w:bCs/>
          <w:i/>
          <w:iCs/>
          <w:sz w:val="28"/>
          <w:szCs w:val="28"/>
        </w:rPr>
        <w:t>Орлова Р.В.</w:t>
      </w:r>
    </w:p>
    <w:p w:rsidR="006C7081" w:rsidRPr="002E124D" w:rsidRDefault="00903431" w:rsidP="005E0D82">
      <w:pPr>
        <w:spacing w:after="0" w:line="360" w:lineRule="auto"/>
        <w:jc w:val="both"/>
        <w:rPr>
          <w:rFonts w:ascii="Times New Roman" w:eastAsia="MS ??" w:hAnsi="Times New Roman" w:cs="Times New Roman"/>
          <w:bCs/>
          <w:i/>
          <w:iCs/>
          <w:sz w:val="28"/>
          <w:szCs w:val="28"/>
        </w:rPr>
      </w:pPr>
      <w:r w:rsidRPr="002E124D">
        <w:rPr>
          <w:rFonts w:ascii="Times New Roman" w:eastAsia="MS ??" w:hAnsi="Times New Roman" w:cs="Times New Roman"/>
          <w:bCs/>
          <w:i/>
          <w:iCs/>
          <w:sz w:val="28"/>
          <w:szCs w:val="28"/>
        </w:rPr>
        <w:t xml:space="preserve">«    »  _________ </w:t>
      </w:r>
      <w:r w:rsidR="006C7081" w:rsidRPr="002E124D">
        <w:rPr>
          <w:rFonts w:ascii="Times New Roman" w:eastAsia="MS ??" w:hAnsi="Times New Roman" w:cs="Times New Roman"/>
          <w:bCs/>
          <w:i/>
          <w:iCs/>
          <w:sz w:val="28"/>
          <w:szCs w:val="28"/>
        </w:rPr>
        <w:t>_____</w:t>
      </w:r>
      <w:r w:rsidRPr="002E124D">
        <w:rPr>
          <w:rFonts w:ascii="Times New Roman" w:eastAsia="MS ??" w:hAnsi="Times New Roman" w:cs="Times New Roman"/>
          <w:bCs/>
          <w:i/>
          <w:iCs/>
          <w:sz w:val="28"/>
          <w:szCs w:val="28"/>
        </w:rPr>
        <w:t xml:space="preserve"> г.</w:t>
      </w:r>
    </w:p>
    <w:p w:rsidR="006C7081" w:rsidRDefault="006C7081" w:rsidP="005E0D82">
      <w:pPr>
        <w:spacing w:after="0" w:line="360" w:lineRule="auto"/>
        <w:ind w:firstLine="720"/>
        <w:jc w:val="both"/>
        <w:rPr>
          <w:rFonts w:ascii="Times New Roman" w:eastAsia="Times New Roman" w:hAnsi="Times New Roman" w:cs="Times New Roman"/>
          <w:bCs/>
          <w:sz w:val="28"/>
          <w:szCs w:val="28"/>
          <w:lang w:eastAsia="ru-RU"/>
        </w:rPr>
      </w:pPr>
    </w:p>
    <w:p w:rsidR="009E769B" w:rsidRPr="002E124D" w:rsidRDefault="009E769B" w:rsidP="005E0D82">
      <w:pPr>
        <w:spacing w:after="0" w:line="360" w:lineRule="auto"/>
        <w:jc w:val="both"/>
        <w:rPr>
          <w:rFonts w:ascii="Times New Roman" w:eastAsia="Times New Roman" w:hAnsi="Times New Roman" w:cs="Times New Roman"/>
          <w:bCs/>
          <w:sz w:val="28"/>
          <w:szCs w:val="28"/>
          <w:lang w:eastAsia="ru-RU"/>
        </w:rPr>
      </w:pPr>
    </w:p>
    <w:p w:rsidR="006B3D1A" w:rsidRPr="002E124D" w:rsidRDefault="006B3D1A" w:rsidP="005E0D82">
      <w:pPr>
        <w:spacing w:after="0" w:line="360" w:lineRule="auto"/>
        <w:ind w:firstLine="720"/>
        <w:jc w:val="both"/>
        <w:rPr>
          <w:rFonts w:ascii="Times New Roman" w:eastAsia="Times New Roman" w:hAnsi="Times New Roman" w:cs="Times New Roman"/>
          <w:bCs/>
          <w:sz w:val="28"/>
          <w:szCs w:val="28"/>
          <w:lang w:eastAsia="ru-RU"/>
        </w:rPr>
      </w:pPr>
    </w:p>
    <w:p w:rsidR="006C7081" w:rsidRPr="002E124D" w:rsidRDefault="00AF1031" w:rsidP="005E0D82">
      <w:pPr>
        <w:spacing w:after="0" w:line="360" w:lineRule="auto"/>
        <w:ind w:firstLine="720"/>
        <w:jc w:val="center"/>
        <w:rPr>
          <w:rFonts w:ascii="Times New Roman" w:eastAsia="MS ??" w:hAnsi="Times New Roman" w:cs="Times New Roman"/>
          <w:b/>
          <w:bCs/>
          <w:sz w:val="28"/>
          <w:szCs w:val="28"/>
        </w:rPr>
      </w:pPr>
      <w:r w:rsidRPr="002E124D">
        <w:rPr>
          <w:rFonts w:ascii="Times New Roman" w:eastAsia="MS ??" w:hAnsi="Times New Roman" w:cs="Times New Roman"/>
          <w:b/>
          <w:bCs/>
          <w:sz w:val="28"/>
          <w:szCs w:val="28"/>
        </w:rPr>
        <w:t>ВЫПУСКНАЯ КВАЛИФИКАЦИОННАЯ РАБОТА</w:t>
      </w:r>
    </w:p>
    <w:p w:rsidR="006C7081" w:rsidRPr="002E124D" w:rsidRDefault="006C7081" w:rsidP="005E0D82">
      <w:pPr>
        <w:spacing w:after="0" w:line="360" w:lineRule="auto"/>
        <w:ind w:firstLine="720"/>
        <w:jc w:val="center"/>
        <w:rPr>
          <w:rFonts w:ascii="Times New Roman" w:eastAsia="Times New Roman" w:hAnsi="Times New Roman" w:cs="Times New Roman"/>
          <w:bCs/>
          <w:sz w:val="28"/>
          <w:szCs w:val="28"/>
          <w:lang w:eastAsia="ru-RU"/>
        </w:rPr>
      </w:pPr>
    </w:p>
    <w:p w:rsidR="006C7081" w:rsidRPr="002E124D" w:rsidRDefault="00AF1031" w:rsidP="005E0D82">
      <w:pPr>
        <w:spacing w:after="0" w:line="360" w:lineRule="auto"/>
        <w:jc w:val="center"/>
        <w:rPr>
          <w:rFonts w:ascii="Times New Roman" w:eastAsia="MS Mincho" w:hAnsi="Times New Roman" w:cs="Times New Roman"/>
          <w:iCs/>
          <w:sz w:val="28"/>
          <w:szCs w:val="28"/>
        </w:rPr>
      </w:pPr>
      <w:r w:rsidRPr="002E124D">
        <w:rPr>
          <w:rFonts w:ascii="Times New Roman" w:eastAsia="MS Mincho" w:hAnsi="Times New Roman" w:cs="Times New Roman"/>
          <w:iCs/>
          <w:sz w:val="28"/>
          <w:szCs w:val="28"/>
        </w:rPr>
        <w:t xml:space="preserve">НА ТЕМУ: </w:t>
      </w:r>
      <w:r w:rsidR="009E769B">
        <w:rPr>
          <w:rFonts w:ascii="Times New Roman" w:eastAsia="MS Mincho" w:hAnsi="Times New Roman" w:cs="Times New Roman"/>
          <w:iCs/>
          <w:sz w:val="28"/>
          <w:szCs w:val="28"/>
        </w:rPr>
        <w:t>КЛИНИЧЕСКИЕ И МОЛЕКУЛЯРНО-ГЕНЕТИЧЕСКИЕ АСПЕКТЫ ЗЛОКАЧЕСТВЕННОЙ ТРАНСФОРМАЦИИ НЕКОТОРЫХ НЕЙРОЭПИТЕЛИАЛЬНЫХ ОПУХОЛЕЙ</w:t>
      </w:r>
    </w:p>
    <w:p w:rsidR="006C7081" w:rsidRPr="002E124D" w:rsidRDefault="006C7081" w:rsidP="005E0D82">
      <w:pPr>
        <w:spacing w:after="0" w:line="360" w:lineRule="auto"/>
        <w:jc w:val="both"/>
        <w:rPr>
          <w:rFonts w:ascii="Times New Roman" w:eastAsia="MS ??" w:hAnsi="Times New Roman" w:cs="Times New Roman"/>
          <w:bCs/>
          <w:sz w:val="28"/>
          <w:szCs w:val="28"/>
        </w:rPr>
      </w:pPr>
    </w:p>
    <w:p w:rsidR="006B3D1A" w:rsidRPr="002E124D" w:rsidRDefault="006B3D1A" w:rsidP="005E0D82">
      <w:pPr>
        <w:spacing w:after="0" w:line="360" w:lineRule="auto"/>
        <w:jc w:val="both"/>
        <w:rPr>
          <w:rFonts w:ascii="Times New Roman" w:eastAsia="MS ??" w:hAnsi="Times New Roman" w:cs="Times New Roman"/>
          <w:bCs/>
          <w:sz w:val="28"/>
          <w:szCs w:val="28"/>
        </w:rPr>
      </w:pPr>
    </w:p>
    <w:p w:rsidR="006C7081" w:rsidRPr="002E124D" w:rsidRDefault="006C7081" w:rsidP="005E0D82">
      <w:pPr>
        <w:spacing w:after="0" w:line="360" w:lineRule="auto"/>
        <w:ind w:firstLine="12"/>
        <w:jc w:val="right"/>
        <w:rPr>
          <w:rFonts w:ascii="Times New Roman" w:eastAsia="MS ??" w:hAnsi="Times New Roman" w:cs="Times New Roman"/>
          <w:bCs/>
          <w:sz w:val="28"/>
          <w:szCs w:val="28"/>
        </w:rPr>
      </w:pPr>
      <w:r w:rsidRPr="002E124D">
        <w:rPr>
          <w:rFonts w:ascii="Times New Roman" w:eastAsia="MS ??" w:hAnsi="Times New Roman" w:cs="Times New Roman"/>
          <w:bCs/>
          <w:sz w:val="28"/>
          <w:szCs w:val="28"/>
        </w:rPr>
        <w:t>Выполнил студент</w:t>
      </w:r>
    </w:p>
    <w:p w:rsidR="006C7081" w:rsidRPr="009E769B" w:rsidRDefault="006C7081" w:rsidP="005E0D82">
      <w:pPr>
        <w:spacing w:after="0" w:line="360" w:lineRule="auto"/>
        <w:ind w:firstLine="12"/>
        <w:jc w:val="right"/>
        <w:rPr>
          <w:rFonts w:ascii="Times New Roman" w:eastAsia="MS ??" w:hAnsi="Times New Roman" w:cs="Times New Roman"/>
          <w:bCs/>
          <w:iCs/>
          <w:sz w:val="28"/>
          <w:szCs w:val="28"/>
        </w:rPr>
      </w:pPr>
      <w:r w:rsidRPr="002E124D">
        <w:rPr>
          <w:rFonts w:ascii="Times New Roman" w:eastAsia="MS ??" w:hAnsi="Times New Roman" w:cs="Times New Roman"/>
          <w:bCs/>
          <w:iCs/>
          <w:sz w:val="28"/>
          <w:szCs w:val="28"/>
        </w:rPr>
        <w:t>60</w:t>
      </w:r>
      <w:r w:rsidR="00903431" w:rsidRPr="002E124D">
        <w:rPr>
          <w:rFonts w:ascii="Times New Roman" w:eastAsia="MS ??" w:hAnsi="Times New Roman" w:cs="Times New Roman"/>
          <w:bCs/>
          <w:iCs/>
          <w:sz w:val="28"/>
          <w:szCs w:val="28"/>
        </w:rPr>
        <w:t>8</w:t>
      </w:r>
      <w:r w:rsidRPr="002E124D">
        <w:rPr>
          <w:rFonts w:ascii="Times New Roman" w:eastAsia="MS ??" w:hAnsi="Times New Roman" w:cs="Times New Roman"/>
          <w:bCs/>
          <w:iCs/>
          <w:sz w:val="28"/>
          <w:szCs w:val="28"/>
        </w:rPr>
        <w:t xml:space="preserve"> группы</w:t>
      </w:r>
      <w:r w:rsidR="009E769B">
        <w:rPr>
          <w:rFonts w:ascii="Times New Roman" w:eastAsia="MS ??" w:hAnsi="Times New Roman" w:cs="Times New Roman"/>
          <w:bCs/>
          <w:iCs/>
          <w:sz w:val="28"/>
          <w:szCs w:val="28"/>
        </w:rPr>
        <w:t xml:space="preserve"> (13.С08-м)</w:t>
      </w:r>
    </w:p>
    <w:p w:rsidR="006C7081" w:rsidRPr="002E124D" w:rsidRDefault="00903431" w:rsidP="005E0D82">
      <w:pPr>
        <w:tabs>
          <w:tab w:val="left" w:pos="5920"/>
        </w:tabs>
        <w:spacing w:after="0" w:line="360" w:lineRule="auto"/>
        <w:jc w:val="right"/>
        <w:rPr>
          <w:rFonts w:ascii="Times New Roman" w:eastAsia="MS ??" w:hAnsi="Times New Roman" w:cs="Times New Roman"/>
          <w:bCs/>
          <w:sz w:val="28"/>
          <w:szCs w:val="28"/>
        </w:rPr>
      </w:pPr>
      <w:r w:rsidRPr="002E124D">
        <w:rPr>
          <w:rFonts w:ascii="Times New Roman" w:eastAsia="MS ??" w:hAnsi="Times New Roman" w:cs="Times New Roman"/>
          <w:bCs/>
          <w:sz w:val="28"/>
          <w:szCs w:val="28"/>
        </w:rPr>
        <w:t xml:space="preserve">Исаев </w:t>
      </w:r>
      <w:r w:rsidR="009E769B">
        <w:rPr>
          <w:rFonts w:ascii="Times New Roman" w:eastAsia="MS ??" w:hAnsi="Times New Roman" w:cs="Times New Roman"/>
          <w:bCs/>
          <w:sz w:val="28"/>
          <w:szCs w:val="28"/>
        </w:rPr>
        <w:t>Андрей Андреевич</w:t>
      </w:r>
    </w:p>
    <w:p w:rsidR="006C7081" w:rsidRPr="002E124D" w:rsidRDefault="006C7081" w:rsidP="005E0D82">
      <w:pPr>
        <w:spacing w:after="0" w:line="360" w:lineRule="auto"/>
        <w:ind w:firstLine="720"/>
        <w:jc w:val="right"/>
        <w:rPr>
          <w:rFonts w:ascii="Times New Roman" w:eastAsia="MS ??" w:hAnsi="Times New Roman" w:cs="Times New Roman"/>
          <w:bCs/>
          <w:sz w:val="28"/>
          <w:szCs w:val="28"/>
        </w:rPr>
      </w:pPr>
    </w:p>
    <w:p w:rsidR="006C7081" w:rsidRPr="002E124D" w:rsidRDefault="006C7081" w:rsidP="005E0D82">
      <w:pPr>
        <w:spacing w:after="0" w:line="360" w:lineRule="auto"/>
        <w:ind w:firstLine="720"/>
        <w:jc w:val="right"/>
        <w:rPr>
          <w:rFonts w:ascii="Times New Roman" w:eastAsia="MS ??" w:hAnsi="Times New Roman" w:cs="Times New Roman"/>
          <w:bCs/>
          <w:sz w:val="28"/>
          <w:szCs w:val="28"/>
        </w:rPr>
      </w:pPr>
      <w:r w:rsidRPr="002E124D">
        <w:rPr>
          <w:rFonts w:ascii="Times New Roman" w:eastAsia="MS ??" w:hAnsi="Times New Roman" w:cs="Times New Roman"/>
          <w:bCs/>
          <w:sz w:val="28"/>
          <w:szCs w:val="28"/>
        </w:rPr>
        <w:t>Научный руководитель:</w:t>
      </w:r>
    </w:p>
    <w:p w:rsidR="00447AB2" w:rsidRPr="009A7934" w:rsidRDefault="006C7081" w:rsidP="005E0D82">
      <w:pPr>
        <w:spacing w:after="0" w:line="360" w:lineRule="auto"/>
        <w:jc w:val="right"/>
        <w:rPr>
          <w:rFonts w:ascii="Times New Roman" w:eastAsia="MS ??" w:hAnsi="Times New Roman" w:cs="Times New Roman"/>
          <w:bCs/>
          <w:iCs/>
          <w:sz w:val="28"/>
          <w:szCs w:val="28"/>
        </w:rPr>
      </w:pPr>
      <w:r w:rsidRPr="002E124D">
        <w:rPr>
          <w:rFonts w:ascii="Times New Roman" w:eastAsia="MS ??" w:hAnsi="Times New Roman" w:cs="Times New Roman"/>
          <w:bCs/>
          <w:iCs/>
          <w:sz w:val="28"/>
          <w:szCs w:val="28"/>
        </w:rPr>
        <w:t xml:space="preserve">к.м.н., доц. </w:t>
      </w:r>
      <w:r w:rsidR="00903431" w:rsidRPr="002E124D">
        <w:rPr>
          <w:rFonts w:ascii="Times New Roman" w:eastAsia="MS ??" w:hAnsi="Times New Roman" w:cs="Times New Roman"/>
          <w:bCs/>
          <w:iCs/>
          <w:sz w:val="28"/>
          <w:szCs w:val="28"/>
        </w:rPr>
        <w:t>Мацко М.В.</w:t>
      </w:r>
    </w:p>
    <w:p w:rsidR="009E769B" w:rsidRDefault="009E769B" w:rsidP="005E0D82">
      <w:pPr>
        <w:spacing w:after="0" w:line="360" w:lineRule="auto"/>
        <w:jc w:val="both"/>
        <w:rPr>
          <w:rFonts w:ascii="Times New Roman" w:eastAsia="MS ??" w:hAnsi="Times New Roman" w:cs="Times New Roman"/>
          <w:bCs/>
          <w:sz w:val="28"/>
          <w:szCs w:val="28"/>
        </w:rPr>
      </w:pPr>
    </w:p>
    <w:p w:rsidR="00490A37" w:rsidRPr="002E124D" w:rsidRDefault="00490A37" w:rsidP="005E0D82">
      <w:pPr>
        <w:spacing w:after="0" w:line="360" w:lineRule="auto"/>
        <w:jc w:val="both"/>
        <w:rPr>
          <w:rFonts w:ascii="Times New Roman" w:eastAsia="MS ??" w:hAnsi="Times New Roman" w:cs="Times New Roman"/>
          <w:bCs/>
          <w:sz w:val="28"/>
          <w:szCs w:val="28"/>
        </w:rPr>
      </w:pPr>
    </w:p>
    <w:p w:rsidR="006C7081" w:rsidRPr="002E124D" w:rsidRDefault="006C7081" w:rsidP="005E0D82">
      <w:pPr>
        <w:spacing w:after="0" w:line="360" w:lineRule="auto"/>
        <w:jc w:val="center"/>
        <w:rPr>
          <w:rFonts w:ascii="Times New Roman" w:eastAsia="MS ??" w:hAnsi="Times New Roman" w:cs="Times New Roman"/>
          <w:bCs/>
          <w:sz w:val="28"/>
          <w:szCs w:val="28"/>
        </w:rPr>
      </w:pPr>
      <w:r w:rsidRPr="002E124D">
        <w:rPr>
          <w:rFonts w:ascii="Times New Roman" w:eastAsia="MS ??" w:hAnsi="Times New Roman" w:cs="Times New Roman"/>
          <w:bCs/>
          <w:sz w:val="28"/>
          <w:szCs w:val="28"/>
        </w:rPr>
        <w:t>Санкт-Петербург</w:t>
      </w:r>
    </w:p>
    <w:p w:rsidR="00990FE2" w:rsidRPr="002E124D" w:rsidRDefault="006C7081" w:rsidP="005E0D82">
      <w:pPr>
        <w:spacing w:after="0" w:line="360" w:lineRule="auto"/>
        <w:jc w:val="center"/>
        <w:rPr>
          <w:rFonts w:ascii="Times New Roman" w:eastAsia="MS ??" w:hAnsi="Times New Roman" w:cs="Times New Roman"/>
          <w:bCs/>
          <w:sz w:val="28"/>
          <w:szCs w:val="28"/>
        </w:rPr>
      </w:pPr>
      <w:r w:rsidRPr="002E124D">
        <w:rPr>
          <w:rFonts w:ascii="Times New Roman" w:eastAsia="MS ??" w:hAnsi="Times New Roman" w:cs="Times New Roman"/>
          <w:bCs/>
          <w:sz w:val="28"/>
          <w:szCs w:val="28"/>
        </w:rPr>
        <w:t>201</w:t>
      </w:r>
      <w:r w:rsidR="00903431" w:rsidRPr="002E124D">
        <w:rPr>
          <w:rFonts w:ascii="Times New Roman" w:eastAsia="MS ??" w:hAnsi="Times New Roman" w:cs="Times New Roman"/>
          <w:bCs/>
          <w:sz w:val="28"/>
          <w:szCs w:val="28"/>
        </w:rPr>
        <w:t>9</w:t>
      </w:r>
      <w:r w:rsidRPr="002E124D">
        <w:rPr>
          <w:rFonts w:ascii="Times New Roman" w:eastAsia="MS ??" w:hAnsi="Times New Roman" w:cs="Times New Roman"/>
          <w:bCs/>
          <w:sz w:val="28"/>
          <w:szCs w:val="28"/>
        </w:rPr>
        <w:t xml:space="preserve"> год</w:t>
      </w:r>
    </w:p>
    <w:sdt>
      <w:sdtPr>
        <w:rPr>
          <w:rFonts w:asciiTheme="minorHAnsi" w:eastAsiaTheme="minorHAnsi" w:hAnsiTheme="minorHAnsi" w:cstheme="minorBidi"/>
          <w:b w:val="0"/>
          <w:bCs w:val="0"/>
          <w:color w:val="auto"/>
          <w:sz w:val="22"/>
          <w:szCs w:val="22"/>
          <w:lang w:eastAsia="en-US"/>
        </w:rPr>
        <w:id w:val="2120719192"/>
        <w:docPartObj>
          <w:docPartGallery w:val="Table of Contents"/>
          <w:docPartUnique/>
        </w:docPartObj>
      </w:sdtPr>
      <w:sdtEndPr>
        <w:rPr>
          <w:rFonts w:ascii="Times New Roman" w:hAnsi="Times New Roman" w:cs="Times New Roman"/>
        </w:rPr>
      </w:sdtEndPr>
      <w:sdtContent>
        <w:p w:rsidR="006D6EFB" w:rsidRDefault="006D6EFB" w:rsidP="005E0D82">
          <w:pPr>
            <w:pStyle w:val="a5"/>
            <w:spacing w:line="360" w:lineRule="auto"/>
          </w:pPr>
          <w:r>
            <w:t>Оглавление</w:t>
          </w:r>
        </w:p>
        <w:p w:rsidR="00C25FC0" w:rsidRPr="00C25FC0" w:rsidRDefault="006D6EFB">
          <w:pPr>
            <w:pStyle w:val="12"/>
            <w:tabs>
              <w:tab w:val="right" w:leader="dot" w:pos="9061"/>
            </w:tabs>
            <w:rPr>
              <w:rFonts w:ascii="Times New Roman" w:eastAsiaTheme="minorEastAsia" w:hAnsi="Times New Roman" w:cs="Times New Roman"/>
              <w:noProof/>
              <w:lang w:eastAsia="ru-RU" w:bidi="he-IL"/>
            </w:rPr>
          </w:pPr>
          <w:r w:rsidRPr="00C25FC0">
            <w:rPr>
              <w:rFonts w:ascii="Times New Roman" w:hAnsi="Times New Roman" w:cs="Times New Roman"/>
            </w:rPr>
            <w:fldChar w:fldCharType="begin"/>
          </w:r>
          <w:r w:rsidRPr="00C25FC0">
            <w:rPr>
              <w:rFonts w:ascii="Times New Roman" w:hAnsi="Times New Roman" w:cs="Times New Roman"/>
            </w:rPr>
            <w:instrText xml:space="preserve"> TOC \o "1-3" \h \z \u </w:instrText>
          </w:r>
          <w:r w:rsidRPr="00C25FC0">
            <w:rPr>
              <w:rFonts w:ascii="Times New Roman" w:hAnsi="Times New Roman" w:cs="Times New Roman"/>
            </w:rPr>
            <w:fldChar w:fldCharType="separate"/>
          </w:r>
          <w:hyperlink w:anchor="_Toc9250586" w:history="1">
            <w:r w:rsidR="00C25FC0" w:rsidRPr="00C25FC0">
              <w:rPr>
                <w:rStyle w:val="a6"/>
                <w:rFonts w:ascii="Times New Roman" w:hAnsi="Times New Roman" w:cs="Times New Roman"/>
                <w:noProof/>
              </w:rPr>
              <w:t>Список сокращений</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_Toc9250586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4</w:t>
            </w:r>
            <w:r w:rsidR="00C25FC0" w:rsidRPr="00C25FC0">
              <w:rPr>
                <w:rFonts w:ascii="Times New Roman" w:hAnsi="Times New Roman" w:cs="Times New Roman"/>
                <w:noProof/>
                <w:webHidden/>
              </w:rPr>
              <w:fldChar w:fldCharType="end"/>
            </w:r>
          </w:hyperlink>
        </w:p>
        <w:p w:rsidR="00C25FC0" w:rsidRPr="00C25FC0" w:rsidRDefault="00A32A45">
          <w:pPr>
            <w:pStyle w:val="12"/>
            <w:tabs>
              <w:tab w:val="right" w:leader="dot" w:pos="9061"/>
            </w:tabs>
            <w:rPr>
              <w:rFonts w:ascii="Times New Roman" w:eastAsiaTheme="minorEastAsia" w:hAnsi="Times New Roman" w:cs="Times New Roman"/>
              <w:noProof/>
              <w:lang w:eastAsia="ru-RU" w:bidi="he-IL"/>
            </w:rPr>
          </w:pPr>
          <w:hyperlink w:anchor="_Toc9250587" w:history="1">
            <w:r w:rsidR="00C25FC0" w:rsidRPr="00C25FC0">
              <w:rPr>
                <w:rStyle w:val="a6"/>
                <w:rFonts w:ascii="Times New Roman" w:eastAsia="MS ??" w:hAnsi="Times New Roman" w:cs="Times New Roman"/>
                <w:noProof/>
              </w:rPr>
              <w:t>Введение</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_Toc9250587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5</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588" w:history="1">
            <w:r w:rsidR="00C25FC0" w:rsidRPr="00C25FC0">
              <w:rPr>
                <w:rStyle w:val="a6"/>
                <w:rFonts w:ascii="Times New Roman" w:hAnsi="Times New Roman" w:cs="Times New Roman"/>
                <w:noProof/>
              </w:rPr>
              <w:t>Актуальность проблемы</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_Toc9250588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5</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589" w:history="1">
            <w:r w:rsidR="00C25FC0" w:rsidRPr="00C25FC0">
              <w:rPr>
                <w:rStyle w:val="a6"/>
                <w:rFonts w:ascii="Times New Roman" w:hAnsi="Times New Roman" w:cs="Times New Roman"/>
                <w:noProof/>
              </w:rPr>
              <w:t>Цель исследования:</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_Toc9250589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5</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590" w:history="1">
            <w:r w:rsidR="00C25FC0" w:rsidRPr="00C25FC0">
              <w:rPr>
                <w:rStyle w:val="a6"/>
                <w:rFonts w:ascii="Times New Roman" w:hAnsi="Times New Roman" w:cs="Times New Roman"/>
                <w:noProof/>
              </w:rPr>
              <w:t>Задачи исследования:</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_Toc9250590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5</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591" w:history="1">
            <w:r w:rsidR="00C25FC0" w:rsidRPr="00C25FC0">
              <w:rPr>
                <w:rStyle w:val="a6"/>
                <w:rFonts w:ascii="Times New Roman" w:hAnsi="Times New Roman" w:cs="Times New Roman"/>
                <w:noProof/>
              </w:rPr>
              <w:t>Теоретическое значение исследования:</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_Toc9250591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6</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592" w:history="1">
            <w:r w:rsidR="00C25FC0" w:rsidRPr="00C25FC0">
              <w:rPr>
                <w:rStyle w:val="a6"/>
                <w:rFonts w:ascii="Times New Roman" w:hAnsi="Times New Roman" w:cs="Times New Roman"/>
                <w:noProof/>
              </w:rPr>
              <w:t>Практическое значение исследования:</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_Toc9250592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7</w:t>
            </w:r>
            <w:r w:rsidR="00C25FC0" w:rsidRPr="00C25FC0">
              <w:rPr>
                <w:rFonts w:ascii="Times New Roman" w:hAnsi="Times New Roman" w:cs="Times New Roman"/>
                <w:noProof/>
                <w:webHidden/>
              </w:rPr>
              <w:fldChar w:fldCharType="end"/>
            </w:r>
          </w:hyperlink>
        </w:p>
        <w:p w:rsidR="00C25FC0" w:rsidRPr="00C25FC0" w:rsidRDefault="00A32A45">
          <w:pPr>
            <w:pStyle w:val="12"/>
            <w:tabs>
              <w:tab w:val="right" w:leader="dot" w:pos="9061"/>
            </w:tabs>
            <w:rPr>
              <w:rFonts w:ascii="Times New Roman" w:eastAsiaTheme="minorEastAsia" w:hAnsi="Times New Roman" w:cs="Times New Roman"/>
              <w:noProof/>
              <w:lang w:eastAsia="ru-RU" w:bidi="he-IL"/>
            </w:rPr>
          </w:pPr>
          <w:hyperlink w:anchor="_Toc9250593" w:history="1">
            <w:r w:rsidR="00C25FC0" w:rsidRPr="00C25FC0">
              <w:rPr>
                <w:rStyle w:val="a6"/>
                <w:rFonts w:ascii="Times New Roman" w:hAnsi="Times New Roman" w:cs="Times New Roman"/>
                <w:noProof/>
              </w:rPr>
              <w:t>Глава 1. Обзор литературы</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_Toc9250593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8</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594" w:history="1">
            <w:r w:rsidR="00C25FC0" w:rsidRPr="00C25FC0">
              <w:rPr>
                <w:rStyle w:val="a6"/>
                <w:rFonts w:ascii="Times New Roman" w:hAnsi="Times New Roman" w:cs="Times New Roman"/>
                <w:noProof/>
              </w:rPr>
              <w:t>1.1.</w:t>
            </w:r>
            <w:r w:rsidR="00C25FC0" w:rsidRPr="00C25FC0">
              <w:rPr>
                <w:rFonts w:ascii="Times New Roman" w:eastAsiaTheme="minorEastAsia" w:hAnsi="Times New Roman" w:cs="Times New Roman"/>
                <w:noProof/>
                <w:lang w:eastAsia="ru-RU" w:bidi="he-IL"/>
              </w:rPr>
              <w:tab/>
            </w:r>
            <w:r w:rsidR="00C25FC0" w:rsidRPr="00C25FC0">
              <w:rPr>
                <w:rStyle w:val="a6"/>
                <w:rFonts w:ascii="Times New Roman" w:hAnsi="Times New Roman" w:cs="Times New Roman"/>
                <w:noProof/>
              </w:rPr>
              <w:t>Современные представления об определении и классификации нейроэпителиальных опухолей</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_Toc9250594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8</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595" w:history="1">
            <w:r w:rsidR="00C25FC0" w:rsidRPr="00C25FC0">
              <w:rPr>
                <w:rStyle w:val="a6"/>
                <w:rFonts w:ascii="Times New Roman" w:hAnsi="Times New Roman" w:cs="Times New Roman"/>
                <w:noProof/>
              </w:rPr>
              <w:t>1.2.</w:t>
            </w:r>
            <w:r w:rsidR="00C25FC0" w:rsidRPr="00C25FC0">
              <w:rPr>
                <w:rFonts w:ascii="Times New Roman" w:eastAsiaTheme="minorEastAsia" w:hAnsi="Times New Roman" w:cs="Times New Roman"/>
                <w:noProof/>
                <w:lang w:eastAsia="ru-RU" w:bidi="he-IL"/>
              </w:rPr>
              <w:tab/>
            </w:r>
            <w:r w:rsidR="00C25FC0" w:rsidRPr="00C25FC0">
              <w:rPr>
                <w:rStyle w:val="a6"/>
                <w:rFonts w:ascii="Times New Roman" w:hAnsi="Times New Roman" w:cs="Times New Roman"/>
                <w:noProof/>
              </w:rPr>
              <w:t>Эпидемиология нейроэпителиальных опухолей</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_Toc9250595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11</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596" w:history="1">
            <w:r w:rsidR="00C25FC0" w:rsidRPr="00C25FC0">
              <w:rPr>
                <w:rStyle w:val="a6"/>
                <w:rFonts w:ascii="Times New Roman" w:hAnsi="Times New Roman" w:cs="Times New Roman"/>
                <w:noProof/>
              </w:rPr>
              <w:t>1.3.</w:t>
            </w:r>
            <w:r w:rsidR="00C25FC0" w:rsidRPr="00C25FC0">
              <w:rPr>
                <w:rFonts w:ascii="Times New Roman" w:eastAsiaTheme="minorEastAsia" w:hAnsi="Times New Roman" w:cs="Times New Roman"/>
                <w:noProof/>
                <w:lang w:eastAsia="ru-RU" w:bidi="he-IL"/>
              </w:rPr>
              <w:tab/>
            </w:r>
            <w:r w:rsidR="00C25FC0" w:rsidRPr="00C25FC0">
              <w:rPr>
                <w:rStyle w:val="a6"/>
                <w:rFonts w:ascii="Times New Roman" w:hAnsi="Times New Roman" w:cs="Times New Roman"/>
                <w:noProof/>
              </w:rPr>
              <w:t>Обзор клинических проявлений, характерных для нейроэпителиальных опухолей</w:t>
            </w:r>
            <w:r w:rsidR="00C25FC0" w:rsidRPr="00C25FC0">
              <w:rPr>
                <w:rFonts w:ascii="Times New Roman" w:hAnsi="Times New Roman" w:cs="Times New Roman"/>
                <w:noProof/>
                <w:webHidden/>
              </w:rPr>
              <w:t>………</w:t>
            </w:r>
            <w:r w:rsidR="00C25FC0">
              <w:rPr>
                <w:rFonts w:ascii="Times New Roman" w:hAnsi="Times New Roman" w:cs="Times New Roman"/>
                <w:noProof/>
                <w:webHidden/>
              </w:rPr>
              <w:t>..</w:t>
            </w:r>
            <w:r w:rsidR="00C25FC0" w:rsidRPr="00C25FC0">
              <w:rPr>
                <w:rFonts w:ascii="Times New Roman" w:hAnsi="Times New Roman" w:cs="Times New Roman"/>
                <w:noProof/>
                <w:webHidden/>
              </w:rPr>
              <w:t>……………………………………………………………………………………</w:t>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_Toc9250596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16</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597" w:history="1">
            <w:r w:rsidR="00C25FC0" w:rsidRPr="00C25FC0">
              <w:rPr>
                <w:rStyle w:val="a6"/>
                <w:rFonts w:ascii="Times New Roman" w:hAnsi="Times New Roman" w:cs="Times New Roman"/>
                <w:noProof/>
              </w:rPr>
              <w:t>1.4.</w:t>
            </w:r>
            <w:r w:rsidR="00C25FC0" w:rsidRPr="00C25FC0">
              <w:rPr>
                <w:rFonts w:ascii="Times New Roman" w:eastAsiaTheme="minorEastAsia" w:hAnsi="Times New Roman" w:cs="Times New Roman"/>
                <w:noProof/>
                <w:lang w:eastAsia="ru-RU" w:bidi="he-IL"/>
              </w:rPr>
              <w:tab/>
            </w:r>
            <w:r w:rsidR="00C25FC0" w:rsidRPr="00C25FC0">
              <w:rPr>
                <w:rStyle w:val="a6"/>
                <w:rFonts w:ascii="Times New Roman" w:hAnsi="Times New Roman" w:cs="Times New Roman"/>
                <w:noProof/>
              </w:rPr>
              <w:t>Основные аспекты диагностики нейроэпителиальных опухолей различных типов……</w:t>
            </w:r>
            <w:r w:rsidR="00C25FC0">
              <w:rPr>
                <w:rStyle w:val="a6"/>
                <w:rFonts w:ascii="Times New Roman" w:hAnsi="Times New Roman" w:cs="Times New Roman"/>
                <w:noProof/>
              </w:rPr>
              <w:t>..</w:t>
            </w:r>
            <w:r w:rsidR="00C25FC0" w:rsidRPr="00C25FC0">
              <w:rPr>
                <w:rStyle w:val="a6"/>
                <w:rFonts w:ascii="Times New Roman" w:hAnsi="Times New Roman" w:cs="Times New Roman"/>
                <w:noProof/>
              </w:rPr>
              <w:t>…………………………………………………………………………………………..</w:t>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_Toc9250597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19</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598" w:history="1">
            <w:r w:rsidR="00C25FC0" w:rsidRPr="00C25FC0">
              <w:rPr>
                <w:rStyle w:val="a6"/>
                <w:rFonts w:ascii="Times New Roman" w:eastAsia="Times New Roman" w:hAnsi="Times New Roman" w:cs="Times New Roman"/>
                <w:noProof/>
                <w:lang w:eastAsia="ru-RU"/>
              </w:rPr>
              <w:t>1.5.</w:t>
            </w:r>
            <w:r w:rsidR="00C25FC0" w:rsidRPr="00C25FC0">
              <w:rPr>
                <w:rFonts w:ascii="Times New Roman" w:eastAsiaTheme="minorEastAsia" w:hAnsi="Times New Roman" w:cs="Times New Roman"/>
                <w:noProof/>
                <w:lang w:eastAsia="ru-RU" w:bidi="he-IL"/>
              </w:rPr>
              <w:tab/>
            </w:r>
            <w:r w:rsidR="00C25FC0" w:rsidRPr="00C25FC0">
              <w:rPr>
                <w:rStyle w:val="a6"/>
                <w:rFonts w:ascii="Times New Roman" w:eastAsia="Times New Roman" w:hAnsi="Times New Roman" w:cs="Times New Roman"/>
                <w:noProof/>
                <w:lang w:eastAsia="ru-RU"/>
              </w:rPr>
              <w:t>Молекулярно-генетические маркеры, связанные с этиологией и патогенезом нейроэпителиальных опухолей</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_Toc9250598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25</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599" w:history="1">
            <w:r w:rsidR="00C25FC0" w:rsidRPr="00C25FC0">
              <w:rPr>
                <w:rStyle w:val="a6"/>
                <w:rFonts w:ascii="Times New Roman" w:hAnsi="Times New Roman" w:cs="Times New Roman"/>
                <w:noProof/>
              </w:rPr>
              <w:t>1.6.</w:t>
            </w:r>
            <w:r w:rsidR="00C25FC0" w:rsidRPr="00C25FC0">
              <w:rPr>
                <w:rFonts w:ascii="Times New Roman" w:eastAsiaTheme="minorEastAsia" w:hAnsi="Times New Roman" w:cs="Times New Roman"/>
                <w:noProof/>
                <w:lang w:eastAsia="ru-RU" w:bidi="he-IL"/>
              </w:rPr>
              <w:tab/>
            </w:r>
            <w:r w:rsidR="00C25FC0" w:rsidRPr="00C25FC0">
              <w:rPr>
                <w:rStyle w:val="a6"/>
                <w:rFonts w:ascii="Times New Roman" w:hAnsi="Times New Roman" w:cs="Times New Roman"/>
                <w:noProof/>
              </w:rPr>
              <w:t>Злокачественная трансформация нейроэпителиальных опухолей</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_Toc9250599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30</w:t>
            </w:r>
            <w:r w:rsidR="00C25FC0" w:rsidRPr="00C25FC0">
              <w:rPr>
                <w:rFonts w:ascii="Times New Roman" w:hAnsi="Times New Roman" w:cs="Times New Roman"/>
                <w:noProof/>
                <w:webHidden/>
              </w:rPr>
              <w:fldChar w:fldCharType="end"/>
            </w:r>
          </w:hyperlink>
        </w:p>
        <w:p w:rsidR="00C25FC0" w:rsidRPr="00C25FC0" w:rsidRDefault="00A32A45">
          <w:pPr>
            <w:pStyle w:val="12"/>
            <w:tabs>
              <w:tab w:val="right" w:leader="dot" w:pos="9061"/>
            </w:tabs>
            <w:rPr>
              <w:rFonts w:ascii="Times New Roman" w:eastAsiaTheme="minorEastAsia" w:hAnsi="Times New Roman" w:cs="Times New Roman"/>
              <w:noProof/>
              <w:lang w:eastAsia="ru-RU" w:bidi="he-IL"/>
            </w:rPr>
          </w:pPr>
          <w:hyperlink w:anchor="_Toc9250600" w:history="1">
            <w:r w:rsidR="00C25FC0" w:rsidRPr="00C25FC0">
              <w:rPr>
                <w:rStyle w:val="a6"/>
                <w:rFonts w:ascii="Times New Roman" w:hAnsi="Times New Roman" w:cs="Times New Roman"/>
                <w:noProof/>
              </w:rPr>
              <w:t>Глава 2. Материал и методы</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_Toc9250600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35</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601" w:history="1">
            <w:r w:rsidR="00C25FC0" w:rsidRPr="00C25FC0">
              <w:rPr>
                <w:rStyle w:val="a6"/>
                <w:rFonts w:ascii="Times New Roman" w:hAnsi="Times New Roman" w:cs="Times New Roman"/>
                <w:noProof/>
              </w:rPr>
              <w:t>2.1. Материал исследования</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_Toc9250601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35</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602" w:history="1">
            <w:r w:rsidR="00C25FC0" w:rsidRPr="00C25FC0">
              <w:rPr>
                <w:rStyle w:val="a6"/>
                <w:rFonts w:ascii="Times New Roman" w:hAnsi="Times New Roman" w:cs="Times New Roman"/>
                <w:noProof/>
              </w:rPr>
              <w:t>2.2. Методы исследования</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_Toc9250602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35</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603" w:history="1">
            <w:r w:rsidR="00C25FC0" w:rsidRPr="00C25FC0">
              <w:rPr>
                <w:rStyle w:val="a6"/>
                <w:rFonts w:ascii="Times New Roman" w:hAnsi="Times New Roman" w:cs="Times New Roman"/>
                <w:noProof/>
              </w:rPr>
              <w:t>2.2.</w:t>
            </w:r>
            <w:r w:rsidR="00C25FC0" w:rsidRPr="00C25FC0">
              <w:rPr>
                <w:rFonts w:ascii="Times New Roman" w:eastAsiaTheme="minorEastAsia" w:hAnsi="Times New Roman" w:cs="Times New Roman"/>
                <w:noProof/>
                <w:lang w:eastAsia="ru-RU" w:bidi="he-IL"/>
              </w:rPr>
              <w:tab/>
            </w:r>
            <w:r w:rsidR="00C25FC0" w:rsidRPr="00C25FC0">
              <w:rPr>
                <w:rStyle w:val="a6"/>
                <w:rFonts w:ascii="Times New Roman" w:hAnsi="Times New Roman" w:cs="Times New Roman"/>
                <w:noProof/>
              </w:rPr>
              <w:t>Статистическая обработка результатов</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_Toc9250603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36</w:t>
            </w:r>
            <w:r w:rsidR="00C25FC0" w:rsidRPr="00C25FC0">
              <w:rPr>
                <w:rFonts w:ascii="Times New Roman" w:hAnsi="Times New Roman" w:cs="Times New Roman"/>
                <w:noProof/>
                <w:webHidden/>
              </w:rPr>
              <w:fldChar w:fldCharType="end"/>
            </w:r>
          </w:hyperlink>
        </w:p>
        <w:p w:rsidR="00C25FC0" w:rsidRPr="00C25FC0" w:rsidRDefault="00A32A45">
          <w:pPr>
            <w:pStyle w:val="12"/>
            <w:tabs>
              <w:tab w:val="right" w:leader="dot" w:pos="9061"/>
            </w:tabs>
            <w:rPr>
              <w:rFonts w:ascii="Times New Roman" w:eastAsiaTheme="minorEastAsia" w:hAnsi="Times New Roman" w:cs="Times New Roman"/>
              <w:noProof/>
              <w:lang w:eastAsia="ru-RU" w:bidi="he-IL"/>
            </w:rPr>
          </w:pPr>
          <w:hyperlink w:anchor="_Toc9250604" w:history="1">
            <w:r w:rsidR="00C25FC0" w:rsidRPr="00C25FC0">
              <w:rPr>
                <w:rStyle w:val="a6"/>
                <w:rFonts w:ascii="Times New Roman" w:hAnsi="Times New Roman" w:cs="Times New Roman"/>
                <w:noProof/>
              </w:rPr>
              <w:t>Глава 3. Результаты собственных исследований.</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_Toc9250604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37</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605" w:history="1">
            <w:r w:rsidR="00C25FC0" w:rsidRPr="00C25FC0">
              <w:rPr>
                <w:rStyle w:val="a6"/>
                <w:rFonts w:ascii="Times New Roman" w:hAnsi="Times New Roman" w:cs="Times New Roman"/>
                <w:noProof/>
              </w:rPr>
              <w:t xml:space="preserve">3.1. Частота встречаемости мутации </w:t>
            </w:r>
            <w:r w:rsidR="00C25FC0" w:rsidRPr="00C25FC0">
              <w:rPr>
                <w:rStyle w:val="a6"/>
                <w:rFonts w:ascii="Times New Roman" w:hAnsi="Times New Roman" w:cs="Times New Roman"/>
                <w:noProof/>
                <w:lang w:val="en-US"/>
              </w:rPr>
              <w:t>IDH</w:t>
            </w:r>
            <w:r w:rsidR="00C25FC0" w:rsidRPr="00C25FC0">
              <w:rPr>
                <w:rStyle w:val="a6"/>
                <w:rFonts w:ascii="Times New Roman" w:hAnsi="Times New Roman" w:cs="Times New Roman"/>
                <w:noProof/>
              </w:rPr>
              <w:t xml:space="preserve"> в глиомах </w:t>
            </w:r>
            <w:r w:rsidR="00C25FC0" w:rsidRPr="00C25FC0">
              <w:rPr>
                <w:rStyle w:val="a6"/>
                <w:rFonts w:ascii="Times New Roman" w:hAnsi="Times New Roman" w:cs="Times New Roman"/>
                <w:noProof/>
                <w:lang w:val="en-US"/>
              </w:rPr>
              <w:t>GII</w:t>
            </w:r>
            <w:r w:rsidR="00C25FC0" w:rsidRPr="00C25FC0">
              <w:rPr>
                <w:rStyle w:val="a6"/>
                <w:rFonts w:ascii="Times New Roman" w:hAnsi="Times New Roman" w:cs="Times New Roman"/>
                <w:noProof/>
              </w:rPr>
              <w:t>/</w:t>
            </w:r>
            <w:r w:rsidR="00C25FC0" w:rsidRPr="00C25FC0">
              <w:rPr>
                <w:rStyle w:val="a6"/>
                <w:rFonts w:ascii="Times New Roman" w:hAnsi="Times New Roman" w:cs="Times New Roman"/>
                <w:noProof/>
                <w:lang w:val="en-US"/>
              </w:rPr>
              <w:t>GIII</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_Toc9250605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37</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606" w:history="1">
            <w:r w:rsidR="00C25FC0" w:rsidRPr="00C25FC0">
              <w:rPr>
                <w:rStyle w:val="a6"/>
                <w:rFonts w:ascii="Times New Roman" w:hAnsi="Times New Roman" w:cs="Times New Roman"/>
                <w:noProof/>
              </w:rPr>
              <w:t>3.2. Частота встречаемости ко-делеции 1</w:t>
            </w:r>
            <w:r w:rsidR="00C25FC0" w:rsidRPr="00C25FC0">
              <w:rPr>
                <w:rStyle w:val="a6"/>
                <w:rFonts w:ascii="Times New Roman" w:hAnsi="Times New Roman" w:cs="Times New Roman"/>
                <w:noProof/>
                <w:lang w:val="en-US"/>
              </w:rPr>
              <w:t>p</w:t>
            </w:r>
            <w:r w:rsidR="00C25FC0" w:rsidRPr="00C25FC0">
              <w:rPr>
                <w:rStyle w:val="a6"/>
                <w:rFonts w:ascii="Times New Roman" w:hAnsi="Times New Roman" w:cs="Times New Roman"/>
                <w:noProof/>
              </w:rPr>
              <w:t>19</w:t>
            </w:r>
            <w:r w:rsidR="00C25FC0" w:rsidRPr="00C25FC0">
              <w:rPr>
                <w:rStyle w:val="a6"/>
                <w:rFonts w:ascii="Times New Roman" w:hAnsi="Times New Roman" w:cs="Times New Roman"/>
                <w:noProof/>
                <w:lang w:val="en-US"/>
              </w:rPr>
              <w:t>q</w:t>
            </w:r>
            <w:r w:rsidR="00C25FC0" w:rsidRPr="00C25FC0">
              <w:rPr>
                <w:rStyle w:val="a6"/>
                <w:rFonts w:ascii="Times New Roman" w:hAnsi="Times New Roman" w:cs="Times New Roman"/>
                <w:noProof/>
              </w:rPr>
              <w:t xml:space="preserve"> в глиомах </w:t>
            </w:r>
            <w:r w:rsidR="00C25FC0" w:rsidRPr="00C25FC0">
              <w:rPr>
                <w:rStyle w:val="a6"/>
                <w:rFonts w:ascii="Times New Roman" w:hAnsi="Times New Roman" w:cs="Times New Roman"/>
                <w:noProof/>
                <w:lang w:val="en-US"/>
              </w:rPr>
              <w:t>GII</w:t>
            </w:r>
            <w:r w:rsidR="00C25FC0" w:rsidRPr="00C25FC0">
              <w:rPr>
                <w:rStyle w:val="a6"/>
                <w:rFonts w:ascii="Times New Roman" w:hAnsi="Times New Roman" w:cs="Times New Roman"/>
                <w:noProof/>
              </w:rPr>
              <w:t>/</w:t>
            </w:r>
            <w:r w:rsidR="00C25FC0" w:rsidRPr="00C25FC0">
              <w:rPr>
                <w:rStyle w:val="a6"/>
                <w:rFonts w:ascii="Times New Roman" w:hAnsi="Times New Roman" w:cs="Times New Roman"/>
                <w:noProof/>
                <w:lang w:val="en-US"/>
              </w:rPr>
              <w:t>GIII</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_Toc9250606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37</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607" w:history="1">
            <w:r w:rsidR="00C25FC0" w:rsidRPr="00C25FC0">
              <w:rPr>
                <w:rStyle w:val="a6"/>
                <w:rFonts w:ascii="Times New Roman" w:hAnsi="Times New Roman" w:cs="Times New Roman"/>
                <w:noProof/>
              </w:rPr>
              <w:t xml:space="preserve">3.3. Частота встречаемости уровней экспрессии генов TP, MGMT, PDGFR-α, VEGF, C-kit, β-тубулина в глиомах </w:t>
            </w:r>
            <w:r w:rsidR="00C25FC0" w:rsidRPr="00C25FC0">
              <w:rPr>
                <w:rStyle w:val="a6"/>
                <w:rFonts w:ascii="Times New Roman" w:hAnsi="Times New Roman" w:cs="Times New Roman"/>
                <w:noProof/>
                <w:lang w:val="en-US"/>
              </w:rPr>
              <w:t>GII</w:t>
            </w:r>
            <w:r w:rsidR="00C25FC0" w:rsidRPr="00C25FC0">
              <w:rPr>
                <w:rStyle w:val="a6"/>
                <w:rFonts w:ascii="Times New Roman" w:hAnsi="Times New Roman" w:cs="Times New Roman"/>
                <w:noProof/>
              </w:rPr>
              <w:t>/</w:t>
            </w:r>
            <w:r w:rsidR="00C25FC0" w:rsidRPr="00C25FC0">
              <w:rPr>
                <w:rStyle w:val="a6"/>
                <w:rFonts w:ascii="Times New Roman" w:hAnsi="Times New Roman" w:cs="Times New Roman"/>
                <w:noProof/>
                <w:lang w:val="en-US"/>
              </w:rPr>
              <w:t>GIII</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_Toc9250607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38</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608" w:history="1">
            <w:r w:rsidR="00C25FC0" w:rsidRPr="00C25FC0">
              <w:rPr>
                <w:rStyle w:val="a6"/>
                <w:rFonts w:ascii="Times New Roman" w:hAnsi="Times New Roman" w:cs="Times New Roman"/>
                <w:noProof/>
              </w:rPr>
              <w:t xml:space="preserve">3.4. Частота злокачественной трансформации у больных с астроцитомами </w:t>
            </w:r>
            <w:r w:rsidR="00C25FC0" w:rsidRPr="00C25FC0">
              <w:rPr>
                <w:rStyle w:val="a6"/>
                <w:rFonts w:ascii="Times New Roman" w:hAnsi="Times New Roman" w:cs="Times New Roman"/>
                <w:noProof/>
                <w:lang w:val="en-US"/>
              </w:rPr>
              <w:t>GII</w:t>
            </w:r>
            <w:r w:rsidR="00C25FC0" w:rsidRPr="00C25FC0">
              <w:rPr>
                <w:rStyle w:val="a6"/>
                <w:rFonts w:ascii="Times New Roman" w:hAnsi="Times New Roman" w:cs="Times New Roman"/>
                <w:noProof/>
              </w:rPr>
              <w:t>/</w:t>
            </w:r>
            <w:r w:rsidR="00C25FC0" w:rsidRPr="00C25FC0">
              <w:rPr>
                <w:rStyle w:val="a6"/>
                <w:rFonts w:ascii="Times New Roman" w:hAnsi="Times New Roman" w:cs="Times New Roman"/>
                <w:noProof/>
                <w:lang w:val="en-US"/>
              </w:rPr>
              <w:t>GIII</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_Toc9250608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39</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609" w:history="1">
            <w:r w:rsidR="00C25FC0" w:rsidRPr="00C25FC0">
              <w:rPr>
                <w:rStyle w:val="a6"/>
                <w:rFonts w:ascii="Times New Roman" w:hAnsi="Times New Roman" w:cs="Times New Roman"/>
                <w:noProof/>
              </w:rPr>
              <w:t xml:space="preserve">3.5. Частота злокачественной трансформации у больных с олигодендроглиомами </w:t>
            </w:r>
            <w:r w:rsidR="00C25FC0" w:rsidRPr="00C25FC0">
              <w:rPr>
                <w:rStyle w:val="a6"/>
                <w:rFonts w:ascii="Times New Roman" w:hAnsi="Times New Roman" w:cs="Times New Roman"/>
                <w:noProof/>
                <w:lang w:val="en-US"/>
              </w:rPr>
              <w:t>GII</w:t>
            </w:r>
            <w:r w:rsidR="00C25FC0" w:rsidRPr="00C25FC0">
              <w:rPr>
                <w:rStyle w:val="a6"/>
                <w:rFonts w:ascii="Times New Roman" w:hAnsi="Times New Roman" w:cs="Times New Roman"/>
                <w:noProof/>
              </w:rPr>
              <w:t>/</w:t>
            </w:r>
            <w:r w:rsidR="00C25FC0" w:rsidRPr="00C25FC0">
              <w:rPr>
                <w:rStyle w:val="a6"/>
                <w:rFonts w:ascii="Times New Roman" w:hAnsi="Times New Roman" w:cs="Times New Roman"/>
                <w:noProof/>
                <w:lang w:val="en-US"/>
              </w:rPr>
              <w:t>GIII</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_Toc9250609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40</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610" w:history="1">
            <w:r w:rsidR="00C25FC0" w:rsidRPr="00C25FC0">
              <w:rPr>
                <w:rStyle w:val="a6"/>
                <w:rFonts w:ascii="Times New Roman" w:hAnsi="Times New Roman" w:cs="Times New Roman"/>
                <w:noProof/>
              </w:rPr>
              <w:t>3.6. Сравнительная морфо-генетическая характеристика ДА</w:t>
            </w:r>
            <w:r w:rsidR="00C25FC0" w:rsidRPr="00C25FC0">
              <w:rPr>
                <w:rStyle w:val="a6"/>
                <w:rFonts w:ascii="Times New Roman" w:hAnsi="Times New Roman" w:cs="Times New Roman"/>
                <w:noProof/>
                <w:lang w:val="en-US"/>
              </w:rPr>
              <w:t>GII</w:t>
            </w:r>
            <w:r w:rsidR="00C25FC0" w:rsidRPr="00C25FC0">
              <w:rPr>
                <w:rStyle w:val="a6"/>
                <w:rFonts w:ascii="Times New Roman" w:hAnsi="Times New Roman" w:cs="Times New Roman"/>
                <w:noProof/>
              </w:rPr>
              <w:t xml:space="preserve"> и ОДГ</w:t>
            </w:r>
            <w:r w:rsidR="00C25FC0" w:rsidRPr="00C25FC0">
              <w:rPr>
                <w:rStyle w:val="a6"/>
                <w:rFonts w:ascii="Times New Roman" w:hAnsi="Times New Roman" w:cs="Times New Roman"/>
                <w:noProof/>
                <w:lang w:val="en-US"/>
              </w:rPr>
              <w:t>GII</w:t>
            </w:r>
            <w:r w:rsidR="00C25FC0" w:rsidRPr="00C25FC0">
              <w:rPr>
                <w:rStyle w:val="a6"/>
                <w:rFonts w:ascii="Times New Roman" w:hAnsi="Times New Roman" w:cs="Times New Roman"/>
                <w:noProof/>
              </w:rPr>
              <w:t xml:space="preserve"> при их злокачественной трансформации в АА</w:t>
            </w:r>
            <w:r w:rsidR="00C25FC0" w:rsidRPr="00C25FC0">
              <w:rPr>
                <w:rStyle w:val="a6"/>
                <w:rFonts w:ascii="Times New Roman" w:hAnsi="Times New Roman" w:cs="Times New Roman"/>
                <w:noProof/>
                <w:lang w:val="en-US"/>
              </w:rPr>
              <w:t>GIII</w:t>
            </w:r>
            <w:r w:rsidR="00C25FC0" w:rsidRPr="00C25FC0">
              <w:rPr>
                <w:rStyle w:val="a6"/>
                <w:rFonts w:ascii="Times New Roman" w:hAnsi="Times New Roman" w:cs="Times New Roman"/>
                <w:noProof/>
              </w:rPr>
              <w:t>, АОДГ</w:t>
            </w:r>
            <w:r w:rsidR="00C25FC0" w:rsidRPr="00C25FC0">
              <w:rPr>
                <w:rStyle w:val="a6"/>
                <w:rFonts w:ascii="Times New Roman" w:hAnsi="Times New Roman" w:cs="Times New Roman"/>
                <w:noProof/>
                <w:lang w:val="en-US"/>
              </w:rPr>
              <w:t>GIII</w:t>
            </w:r>
            <w:r w:rsidR="00C25FC0" w:rsidRPr="00C25FC0">
              <w:rPr>
                <w:rStyle w:val="a6"/>
                <w:rFonts w:ascii="Times New Roman" w:hAnsi="Times New Roman" w:cs="Times New Roman"/>
                <w:noProof/>
              </w:rPr>
              <w:t xml:space="preserve"> или вторичную ГБ</w:t>
            </w:r>
            <w:r w:rsidR="00C25FC0" w:rsidRPr="00C25FC0">
              <w:rPr>
                <w:rStyle w:val="a6"/>
                <w:rFonts w:ascii="Times New Roman" w:hAnsi="Times New Roman" w:cs="Times New Roman"/>
                <w:noProof/>
                <w:lang w:val="en-US"/>
              </w:rPr>
              <w:t>GIV</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_Toc9250610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41</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611" w:history="1">
            <w:r w:rsidR="00C25FC0" w:rsidRPr="00C25FC0">
              <w:rPr>
                <w:rStyle w:val="a6"/>
                <w:rFonts w:ascii="Times New Roman" w:hAnsi="Times New Roman" w:cs="Times New Roman"/>
                <w:noProof/>
              </w:rPr>
              <w:t>3.7. Сравнительная морфо-генетическая характеристика АА</w:t>
            </w:r>
            <w:r w:rsidR="00C25FC0" w:rsidRPr="00C25FC0">
              <w:rPr>
                <w:rStyle w:val="a6"/>
                <w:rFonts w:ascii="Times New Roman" w:hAnsi="Times New Roman" w:cs="Times New Roman"/>
                <w:noProof/>
                <w:lang w:val="en-US"/>
              </w:rPr>
              <w:t>GIII</w:t>
            </w:r>
            <w:r w:rsidR="00C25FC0" w:rsidRPr="00C25FC0">
              <w:rPr>
                <w:rStyle w:val="a6"/>
                <w:rFonts w:ascii="Times New Roman" w:hAnsi="Times New Roman" w:cs="Times New Roman"/>
                <w:noProof/>
              </w:rPr>
              <w:t xml:space="preserve"> и АОДГ</w:t>
            </w:r>
            <w:r w:rsidR="00C25FC0" w:rsidRPr="00C25FC0">
              <w:rPr>
                <w:rStyle w:val="a6"/>
                <w:rFonts w:ascii="Times New Roman" w:hAnsi="Times New Roman" w:cs="Times New Roman"/>
                <w:noProof/>
                <w:lang w:val="en-US"/>
              </w:rPr>
              <w:t>GIII</w:t>
            </w:r>
            <w:r w:rsidR="00C25FC0" w:rsidRPr="00C25FC0">
              <w:rPr>
                <w:rStyle w:val="a6"/>
                <w:rFonts w:ascii="Times New Roman" w:hAnsi="Times New Roman" w:cs="Times New Roman"/>
                <w:noProof/>
              </w:rPr>
              <w:t xml:space="preserve"> при их злокачественной трансформации во вторичную ГБ</w:t>
            </w:r>
            <w:r w:rsidR="00C25FC0" w:rsidRPr="00C25FC0">
              <w:rPr>
                <w:rStyle w:val="a6"/>
                <w:rFonts w:ascii="Times New Roman" w:hAnsi="Times New Roman" w:cs="Times New Roman"/>
                <w:noProof/>
                <w:lang w:val="en-US"/>
              </w:rPr>
              <w:t>GIV</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_Toc9250611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45</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612" w:history="1">
            <w:r w:rsidR="00C25FC0" w:rsidRPr="00C25FC0">
              <w:rPr>
                <w:rStyle w:val="a6"/>
                <w:rFonts w:ascii="Times New Roman" w:hAnsi="Times New Roman" w:cs="Times New Roman"/>
                <w:noProof/>
              </w:rPr>
              <w:t>3.8. Изменения экспрессии генов при злокачественной трансформации опухолей</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_Toc9250612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48</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613" w:history="1">
            <w:r w:rsidR="00C25FC0" w:rsidRPr="00C25FC0">
              <w:rPr>
                <w:rStyle w:val="a6"/>
                <w:rFonts w:ascii="Times New Roman" w:hAnsi="Times New Roman" w:cs="Times New Roman"/>
                <w:noProof/>
              </w:rPr>
              <w:t>3.9. Зависимость безрецидивной выживаемости от экспрессии генов и тактики лечения</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_Toc9250613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50</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614" w:history="1">
            <w:r w:rsidR="00C25FC0" w:rsidRPr="00C25FC0">
              <w:rPr>
                <w:rStyle w:val="a6"/>
                <w:rFonts w:ascii="Times New Roman" w:hAnsi="Times New Roman" w:cs="Times New Roman"/>
                <w:noProof/>
              </w:rPr>
              <w:t xml:space="preserve">3.11. Зависимость безрецидивной и общей выживаемости от мутации </w:t>
            </w:r>
            <w:r w:rsidR="00C25FC0" w:rsidRPr="00C25FC0">
              <w:rPr>
                <w:rStyle w:val="a6"/>
                <w:rFonts w:ascii="Times New Roman" w:hAnsi="Times New Roman" w:cs="Times New Roman"/>
                <w:noProof/>
                <w:lang w:val="en-US"/>
              </w:rPr>
              <w:t>IDH</w:t>
            </w:r>
            <w:r w:rsidR="00C25FC0" w:rsidRPr="00C25FC0">
              <w:rPr>
                <w:rStyle w:val="a6"/>
                <w:rFonts w:ascii="Times New Roman" w:hAnsi="Times New Roman" w:cs="Times New Roman"/>
                <w:noProof/>
              </w:rPr>
              <w:t xml:space="preserve"> и ко-делеции 1</w:t>
            </w:r>
            <w:r w:rsidR="00C25FC0" w:rsidRPr="00C25FC0">
              <w:rPr>
                <w:rStyle w:val="a6"/>
                <w:rFonts w:ascii="Times New Roman" w:hAnsi="Times New Roman" w:cs="Times New Roman"/>
                <w:noProof/>
                <w:lang w:val="en-US"/>
              </w:rPr>
              <w:t>p</w:t>
            </w:r>
            <w:r w:rsidR="00C25FC0" w:rsidRPr="00C25FC0">
              <w:rPr>
                <w:rStyle w:val="a6"/>
                <w:rFonts w:ascii="Times New Roman" w:hAnsi="Times New Roman" w:cs="Times New Roman"/>
                <w:noProof/>
              </w:rPr>
              <w:t>19</w:t>
            </w:r>
            <w:r w:rsidR="00C25FC0" w:rsidRPr="00C25FC0">
              <w:rPr>
                <w:rStyle w:val="a6"/>
                <w:rFonts w:ascii="Times New Roman" w:hAnsi="Times New Roman" w:cs="Times New Roman"/>
                <w:noProof/>
                <w:lang w:val="en-US"/>
              </w:rPr>
              <w:t>q</w:t>
            </w:r>
            <w:r w:rsidR="00C25FC0" w:rsidRPr="00C25FC0">
              <w:rPr>
                <w:rStyle w:val="a6"/>
                <w:rFonts w:ascii="Times New Roman" w:hAnsi="Times New Roman" w:cs="Times New Roman"/>
                <w:noProof/>
              </w:rPr>
              <w:t xml:space="preserve"> в случае ДА</w:t>
            </w:r>
            <w:r w:rsidR="00C25FC0" w:rsidRPr="00C25FC0">
              <w:rPr>
                <w:rStyle w:val="a6"/>
                <w:rFonts w:ascii="Times New Roman" w:hAnsi="Times New Roman" w:cs="Times New Roman"/>
                <w:noProof/>
                <w:lang w:val="en-US"/>
              </w:rPr>
              <w:t>GII</w:t>
            </w:r>
            <w:r w:rsidR="00C25FC0" w:rsidRPr="00C25FC0">
              <w:rPr>
                <w:rStyle w:val="a6"/>
                <w:rFonts w:ascii="Times New Roman" w:hAnsi="Times New Roman" w:cs="Times New Roman"/>
                <w:noProof/>
              </w:rPr>
              <w:t>/ОДГ</w:t>
            </w:r>
            <w:r w:rsidR="00C25FC0" w:rsidRPr="00C25FC0">
              <w:rPr>
                <w:rStyle w:val="a6"/>
                <w:rFonts w:ascii="Times New Roman" w:hAnsi="Times New Roman" w:cs="Times New Roman"/>
                <w:noProof/>
                <w:lang w:val="en-US"/>
              </w:rPr>
              <w:t>GII</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_Toc9250614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52</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615" w:history="1">
            <w:r w:rsidR="00C25FC0" w:rsidRPr="00C25FC0">
              <w:rPr>
                <w:rStyle w:val="a6"/>
                <w:rFonts w:ascii="Times New Roman" w:hAnsi="Times New Roman" w:cs="Times New Roman"/>
                <w:noProof/>
              </w:rPr>
              <w:t xml:space="preserve">3.12. Зависимость безрецидивной и общей выживаемости от мутации </w:t>
            </w:r>
            <w:r w:rsidR="00C25FC0" w:rsidRPr="00C25FC0">
              <w:rPr>
                <w:rStyle w:val="a6"/>
                <w:rFonts w:ascii="Times New Roman" w:hAnsi="Times New Roman" w:cs="Times New Roman"/>
                <w:noProof/>
                <w:lang w:val="en-US"/>
              </w:rPr>
              <w:t>IDH</w:t>
            </w:r>
            <w:r w:rsidR="00C25FC0" w:rsidRPr="00C25FC0">
              <w:rPr>
                <w:rStyle w:val="a6"/>
                <w:rFonts w:ascii="Times New Roman" w:hAnsi="Times New Roman" w:cs="Times New Roman"/>
                <w:noProof/>
              </w:rPr>
              <w:t xml:space="preserve"> и ко-делеции 1</w:t>
            </w:r>
            <w:r w:rsidR="00C25FC0" w:rsidRPr="00C25FC0">
              <w:rPr>
                <w:rStyle w:val="a6"/>
                <w:rFonts w:ascii="Times New Roman" w:hAnsi="Times New Roman" w:cs="Times New Roman"/>
                <w:noProof/>
                <w:lang w:val="en-US"/>
              </w:rPr>
              <w:t>p</w:t>
            </w:r>
            <w:r w:rsidR="00C25FC0" w:rsidRPr="00C25FC0">
              <w:rPr>
                <w:rStyle w:val="a6"/>
                <w:rFonts w:ascii="Times New Roman" w:hAnsi="Times New Roman" w:cs="Times New Roman"/>
                <w:noProof/>
              </w:rPr>
              <w:t>19</w:t>
            </w:r>
            <w:r w:rsidR="00C25FC0" w:rsidRPr="00C25FC0">
              <w:rPr>
                <w:rStyle w:val="a6"/>
                <w:rFonts w:ascii="Times New Roman" w:hAnsi="Times New Roman" w:cs="Times New Roman"/>
                <w:noProof/>
                <w:lang w:val="en-US"/>
              </w:rPr>
              <w:t>q</w:t>
            </w:r>
            <w:r w:rsidR="00C25FC0" w:rsidRPr="00C25FC0">
              <w:rPr>
                <w:rStyle w:val="a6"/>
                <w:rFonts w:ascii="Times New Roman" w:hAnsi="Times New Roman" w:cs="Times New Roman"/>
                <w:noProof/>
              </w:rPr>
              <w:t xml:space="preserve"> в случае АА</w:t>
            </w:r>
            <w:r w:rsidR="00C25FC0" w:rsidRPr="00C25FC0">
              <w:rPr>
                <w:rStyle w:val="a6"/>
                <w:rFonts w:ascii="Times New Roman" w:hAnsi="Times New Roman" w:cs="Times New Roman"/>
                <w:noProof/>
                <w:lang w:val="en-US"/>
              </w:rPr>
              <w:t>GIII</w:t>
            </w:r>
            <w:r w:rsidR="00C25FC0" w:rsidRPr="00C25FC0">
              <w:rPr>
                <w:rStyle w:val="a6"/>
                <w:rFonts w:ascii="Times New Roman" w:hAnsi="Times New Roman" w:cs="Times New Roman"/>
                <w:noProof/>
              </w:rPr>
              <w:t>/АОДГ</w:t>
            </w:r>
            <w:r w:rsidR="00C25FC0" w:rsidRPr="00C25FC0">
              <w:rPr>
                <w:rStyle w:val="a6"/>
                <w:rFonts w:ascii="Times New Roman" w:hAnsi="Times New Roman" w:cs="Times New Roman"/>
                <w:noProof/>
                <w:lang w:val="en-US"/>
              </w:rPr>
              <w:t>GIII</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_Toc9250615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55</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616" w:history="1">
            <w:r w:rsidR="00C25FC0" w:rsidRPr="00C25FC0">
              <w:rPr>
                <w:rStyle w:val="a6"/>
                <w:rFonts w:ascii="Times New Roman" w:hAnsi="Times New Roman" w:cs="Times New Roman"/>
                <w:noProof/>
              </w:rPr>
              <w:t>3.13. Анализ клинических и молекулярно-генетических факторов риска наступления злокачественной трансформации</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_Toc9250616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58</w:t>
            </w:r>
            <w:r w:rsidR="00C25FC0" w:rsidRPr="00C25FC0">
              <w:rPr>
                <w:rFonts w:ascii="Times New Roman" w:hAnsi="Times New Roman" w:cs="Times New Roman"/>
                <w:noProof/>
                <w:webHidden/>
              </w:rPr>
              <w:fldChar w:fldCharType="end"/>
            </w:r>
          </w:hyperlink>
        </w:p>
        <w:p w:rsidR="00C25FC0" w:rsidRPr="00C25FC0" w:rsidRDefault="00A32A45">
          <w:pPr>
            <w:pStyle w:val="12"/>
            <w:tabs>
              <w:tab w:val="right" w:leader="dot" w:pos="9061"/>
            </w:tabs>
            <w:rPr>
              <w:rFonts w:ascii="Times New Roman" w:eastAsiaTheme="minorEastAsia" w:hAnsi="Times New Roman" w:cs="Times New Roman"/>
              <w:noProof/>
              <w:lang w:eastAsia="ru-RU" w:bidi="he-IL"/>
            </w:rPr>
          </w:pPr>
          <w:hyperlink w:anchor="_Toc9250617" w:history="1">
            <w:r w:rsidR="00C25FC0" w:rsidRPr="00C25FC0">
              <w:rPr>
                <w:rStyle w:val="a6"/>
                <w:rFonts w:ascii="Times New Roman" w:hAnsi="Times New Roman" w:cs="Times New Roman"/>
                <w:noProof/>
              </w:rPr>
              <w:t>Глава 4. Заключение</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_Toc9250617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60</w:t>
            </w:r>
            <w:r w:rsidR="00C25FC0" w:rsidRPr="00C25FC0">
              <w:rPr>
                <w:rFonts w:ascii="Times New Roman" w:hAnsi="Times New Roman" w:cs="Times New Roman"/>
                <w:noProof/>
                <w:webHidden/>
              </w:rPr>
              <w:fldChar w:fldCharType="end"/>
            </w:r>
          </w:hyperlink>
        </w:p>
        <w:p w:rsidR="00C25FC0" w:rsidRPr="00C25FC0" w:rsidRDefault="00A32A45">
          <w:pPr>
            <w:pStyle w:val="12"/>
            <w:tabs>
              <w:tab w:val="right" w:leader="dot" w:pos="9061"/>
            </w:tabs>
            <w:rPr>
              <w:rFonts w:ascii="Times New Roman" w:eastAsiaTheme="minorEastAsia" w:hAnsi="Times New Roman" w:cs="Times New Roman"/>
              <w:noProof/>
              <w:lang w:eastAsia="ru-RU" w:bidi="he-IL"/>
            </w:rPr>
          </w:pPr>
          <w:hyperlink w:anchor="_Toc9250618" w:history="1">
            <w:r w:rsidR="00C25FC0" w:rsidRPr="00C25FC0">
              <w:rPr>
                <w:rStyle w:val="a6"/>
                <w:rFonts w:ascii="Times New Roman" w:hAnsi="Times New Roman" w:cs="Times New Roman"/>
                <w:noProof/>
              </w:rPr>
              <w:t>Выводы</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_Toc9250618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62</w:t>
            </w:r>
            <w:r w:rsidR="00C25FC0" w:rsidRPr="00C25FC0">
              <w:rPr>
                <w:rFonts w:ascii="Times New Roman" w:hAnsi="Times New Roman" w:cs="Times New Roman"/>
                <w:noProof/>
                <w:webHidden/>
              </w:rPr>
              <w:fldChar w:fldCharType="end"/>
            </w:r>
          </w:hyperlink>
        </w:p>
        <w:p w:rsidR="00C25FC0" w:rsidRPr="00C25FC0" w:rsidRDefault="00A32A45">
          <w:pPr>
            <w:pStyle w:val="12"/>
            <w:tabs>
              <w:tab w:val="right" w:leader="dot" w:pos="9061"/>
            </w:tabs>
            <w:rPr>
              <w:rFonts w:ascii="Times New Roman" w:eastAsiaTheme="minorEastAsia" w:hAnsi="Times New Roman" w:cs="Times New Roman"/>
              <w:noProof/>
              <w:lang w:eastAsia="ru-RU" w:bidi="he-IL"/>
            </w:rPr>
          </w:pPr>
          <w:hyperlink w:anchor="_Toc9250619" w:history="1">
            <w:r w:rsidR="00C25FC0" w:rsidRPr="00C25FC0">
              <w:rPr>
                <w:rStyle w:val="a6"/>
                <w:rFonts w:ascii="Times New Roman" w:hAnsi="Times New Roman" w:cs="Times New Roman"/>
                <w:noProof/>
              </w:rPr>
              <w:t>Список литературы</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_Toc9250619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65</w:t>
            </w:r>
            <w:r w:rsidR="00C25FC0" w:rsidRPr="00C25FC0">
              <w:rPr>
                <w:rFonts w:ascii="Times New Roman" w:hAnsi="Times New Roman" w:cs="Times New Roman"/>
                <w:noProof/>
                <w:webHidden/>
              </w:rPr>
              <w:fldChar w:fldCharType="end"/>
            </w:r>
          </w:hyperlink>
        </w:p>
        <w:p w:rsidR="00C25FC0" w:rsidRPr="00C25FC0" w:rsidRDefault="00A32A45">
          <w:pPr>
            <w:pStyle w:val="12"/>
            <w:tabs>
              <w:tab w:val="right" w:leader="dot" w:pos="9061"/>
            </w:tabs>
            <w:rPr>
              <w:rFonts w:ascii="Times New Roman" w:eastAsiaTheme="minorEastAsia" w:hAnsi="Times New Roman" w:cs="Times New Roman"/>
              <w:noProof/>
              <w:lang w:eastAsia="ru-RU" w:bidi="he-IL"/>
            </w:rPr>
          </w:pPr>
          <w:hyperlink w:anchor="_Toc9250620" w:history="1">
            <w:r w:rsidR="00C25FC0" w:rsidRPr="00C25FC0">
              <w:rPr>
                <w:rStyle w:val="a6"/>
                <w:rFonts w:ascii="Times New Roman" w:hAnsi="Times New Roman" w:cs="Times New Roman"/>
                <w:noProof/>
              </w:rPr>
              <w:t>Приложения</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_Toc9250620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75</w:t>
            </w:r>
            <w:r w:rsidR="00C25FC0" w:rsidRPr="00C25FC0">
              <w:rPr>
                <w:rFonts w:ascii="Times New Roman" w:hAnsi="Times New Roman" w:cs="Times New Roman"/>
                <w:noProof/>
                <w:webHidden/>
              </w:rPr>
              <w:fldChar w:fldCharType="end"/>
            </w:r>
          </w:hyperlink>
        </w:p>
        <w:p w:rsidR="00C25FC0" w:rsidRPr="00C25FC0" w:rsidRDefault="00A32A45">
          <w:pPr>
            <w:pStyle w:val="21"/>
            <w:rPr>
              <w:rFonts w:ascii="Times New Roman" w:eastAsiaTheme="minorEastAsia" w:hAnsi="Times New Roman" w:cs="Times New Roman"/>
              <w:noProof/>
              <w:lang w:eastAsia="ru-RU" w:bidi="he-IL"/>
            </w:rPr>
          </w:pPr>
          <w:hyperlink w:anchor="_Toc9250621" w:history="1">
            <w:r w:rsidR="00C25FC0" w:rsidRPr="00C25FC0">
              <w:rPr>
                <w:rStyle w:val="a6"/>
                <w:rFonts w:ascii="Times New Roman" w:hAnsi="Times New Roman" w:cs="Times New Roman"/>
                <w:noProof/>
              </w:rPr>
              <w:t>Приложение 1. Классификация опухолей ЦНС ВОЗ (2016) [5,6]</w:t>
            </w:r>
            <w:r w:rsidR="00C25FC0" w:rsidRPr="00C25FC0">
              <w:rPr>
                <w:rFonts w:ascii="Times New Roman" w:hAnsi="Times New Roman" w:cs="Times New Roman"/>
                <w:noProof/>
                <w:webHidden/>
              </w:rPr>
              <w:tab/>
            </w:r>
            <w:r w:rsidR="00C25FC0" w:rsidRPr="00C25FC0">
              <w:rPr>
                <w:rFonts w:ascii="Times New Roman" w:hAnsi="Times New Roman" w:cs="Times New Roman"/>
                <w:noProof/>
                <w:webHidden/>
              </w:rPr>
              <w:fldChar w:fldCharType="begin"/>
            </w:r>
            <w:r w:rsidR="00C25FC0" w:rsidRPr="00C25FC0">
              <w:rPr>
                <w:rFonts w:ascii="Times New Roman" w:hAnsi="Times New Roman" w:cs="Times New Roman"/>
                <w:noProof/>
                <w:webHidden/>
              </w:rPr>
              <w:instrText xml:space="preserve"> PAGEREF _Toc9250621 \h </w:instrText>
            </w:r>
            <w:r w:rsidR="00C25FC0" w:rsidRPr="00C25FC0">
              <w:rPr>
                <w:rFonts w:ascii="Times New Roman" w:hAnsi="Times New Roman" w:cs="Times New Roman"/>
                <w:noProof/>
                <w:webHidden/>
              </w:rPr>
            </w:r>
            <w:r w:rsidR="00C25FC0" w:rsidRPr="00C25FC0">
              <w:rPr>
                <w:rFonts w:ascii="Times New Roman" w:hAnsi="Times New Roman" w:cs="Times New Roman"/>
                <w:noProof/>
                <w:webHidden/>
              </w:rPr>
              <w:fldChar w:fldCharType="separate"/>
            </w:r>
            <w:r w:rsidR="002D5731">
              <w:rPr>
                <w:rFonts w:ascii="Times New Roman" w:hAnsi="Times New Roman" w:cs="Times New Roman"/>
                <w:noProof/>
                <w:webHidden/>
              </w:rPr>
              <w:t>75</w:t>
            </w:r>
            <w:r w:rsidR="00C25FC0" w:rsidRPr="00C25FC0">
              <w:rPr>
                <w:rFonts w:ascii="Times New Roman" w:hAnsi="Times New Roman" w:cs="Times New Roman"/>
                <w:noProof/>
                <w:webHidden/>
              </w:rPr>
              <w:fldChar w:fldCharType="end"/>
            </w:r>
          </w:hyperlink>
        </w:p>
        <w:p w:rsidR="006D6EFB" w:rsidRPr="00C25FC0" w:rsidRDefault="006D6EFB" w:rsidP="005E0D82">
          <w:pPr>
            <w:spacing w:line="360" w:lineRule="auto"/>
            <w:rPr>
              <w:rFonts w:ascii="Times New Roman" w:hAnsi="Times New Roman" w:cs="Times New Roman"/>
            </w:rPr>
          </w:pPr>
          <w:r w:rsidRPr="00C25FC0">
            <w:rPr>
              <w:rFonts w:ascii="Times New Roman" w:hAnsi="Times New Roman" w:cs="Times New Roman"/>
              <w:b/>
              <w:bCs/>
            </w:rPr>
            <w:fldChar w:fldCharType="end"/>
          </w:r>
        </w:p>
      </w:sdtContent>
    </w:sdt>
    <w:p w:rsidR="006C7081" w:rsidRDefault="006C7081" w:rsidP="005E0D82">
      <w:pPr>
        <w:pStyle w:val="a5"/>
        <w:spacing w:before="0" w:line="360" w:lineRule="auto"/>
        <w:jc w:val="both"/>
        <w:rPr>
          <w:rFonts w:ascii="Times New Roman" w:eastAsia="MS ??" w:hAnsi="Times New Roman" w:cs="Times New Roman"/>
          <w:b w:val="0"/>
        </w:rPr>
      </w:pPr>
    </w:p>
    <w:p w:rsidR="006D6EFB" w:rsidRPr="006D6EFB" w:rsidRDefault="00490A37" w:rsidP="005E0D82">
      <w:pPr>
        <w:spacing w:line="360" w:lineRule="auto"/>
        <w:rPr>
          <w:lang w:eastAsia="ru-RU"/>
        </w:rPr>
      </w:pPr>
      <w:r>
        <w:rPr>
          <w:lang w:eastAsia="ru-RU"/>
        </w:rPr>
        <w:br w:type="page"/>
      </w:r>
      <w:bookmarkStart w:id="0" w:name="_GoBack"/>
      <w:bookmarkEnd w:id="0"/>
    </w:p>
    <w:p w:rsidR="00990FE2" w:rsidRPr="00990FE2" w:rsidRDefault="006C7081" w:rsidP="005E0D82">
      <w:pPr>
        <w:pStyle w:val="1"/>
        <w:spacing w:before="0" w:after="0"/>
        <w:jc w:val="both"/>
        <w:rPr>
          <w:rFonts w:cs="Times New Roman"/>
        </w:rPr>
      </w:pPr>
      <w:bookmarkStart w:id="1" w:name="_Toc419408690"/>
      <w:bookmarkStart w:id="2" w:name="_Toc9031255"/>
      <w:bookmarkStart w:id="3" w:name="_Toc9250586"/>
      <w:r w:rsidRPr="002E124D">
        <w:rPr>
          <w:rFonts w:cs="Times New Roman"/>
        </w:rPr>
        <w:lastRenderedPageBreak/>
        <w:t>Список сокращений</w:t>
      </w:r>
      <w:bookmarkEnd w:id="1"/>
      <w:bookmarkEnd w:id="2"/>
      <w:bookmarkEnd w:id="3"/>
    </w:p>
    <w:p w:rsidR="00521A6C" w:rsidRPr="00990FE2" w:rsidRDefault="00990FE2" w:rsidP="005E0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w:t>
      </w:r>
      <w:r>
        <w:rPr>
          <w:rFonts w:ascii="Times New Roman" w:hAnsi="Times New Roman" w:cs="Times New Roman"/>
          <w:sz w:val="28"/>
          <w:szCs w:val="28"/>
          <w:lang w:val="en-US"/>
        </w:rPr>
        <w:t>GII</w:t>
      </w:r>
      <w:r w:rsidRPr="00990FE2">
        <w:rPr>
          <w:rFonts w:ascii="Times New Roman" w:hAnsi="Times New Roman" w:cs="Times New Roman"/>
          <w:sz w:val="28"/>
          <w:szCs w:val="28"/>
        </w:rPr>
        <w:t xml:space="preserve"> – </w:t>
      </w:r>
      <w:r>
        <w:rPr>
          <w:rFonts w:ascii="Times New Roman" w:hAnsi="Times New Roman" w:cs="Times New Roman"/>
          <w:sz w:val="28"/>
          <w:szCs w:val="28"/>
        </w:rPr>
        <w:t xml:space="preserve">диффузная астроцитома </w:t>
      </w:r>
      <w:r>
        <w:rPr>
          <w:rFonts w:ascii="Times New Roman" w:hAnsi="Times New Roman" w:cs="Times New Roman"/>
          <w:sz w:val="28"/>
          <w:szCs w:val="28"/>
          <w:lang w:val="en-US"/>
        </w:rPr>
        <w:t>Grade</w:t>
      </w:r>
      <w:r w:rsidRPr="00990FE2">
        <w:rPr>
          <w:rFonts w:ascii="Times New Roman" w:hAnsi="Times New Roman" w:cs="Times New Roman"/>
          <w:sz w:val="28"/>
          <w:szCs w:val="28"/>
        </w:rPr>
        <w:t xml:space="preserve"> </w:t>
      </w:r>
      <w:r>
        <w:rPr>
          <w:rFonts w:ascii="Times New Roman" w:hAnsi="Times New Roman" w:cs="Times New Roman"/>
          <w:sz w:val="28"/>
          <w:szCs w:val="28"/>
          <w:lang w:val="en-US"/>
        </w:rPr>
        <w:t>II</w:t>
      </w:r>
    </w:p>
    <w:p w:rsidR="00990FE2" w:rsidRPr="006E55A3" w:rsidRDefault="00990FE2" w:rsidP="005E0D82">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A</w:t>
      </w:r>
      <w:r>
        <w:rPr>
          <w:rFonts w:ascii="Times New Roman" w:hAnsi="Times New Roman" w:cs="Times New Roman"/>
          <w:sz w:val="28"/>
          <w:szCs w:val="28"/>
        </w:rPr>
        <w:t>А</w:t>
      </w:r>
      <w:r>
        <w:rPr>
          <w:rFonts w:ascii="Times New Roman" w:hAnsi="Times New Roman" w:cs="Times New Roman"/>
          <w:sz w:val="28"/>
          <w:szCs w:val="28"/>
          <w:lang w:val="en-US"/>
        </w:rPr>
        <w:t>GIII</w:t>
      </w:r>
      <w:r w:rsidRPr="00990FE2">
        <w:rPr>
          <w:rFonts w:ascii="Times New Roman" w:hAnsi="Times New Roman" w:cs="Times New Roman"/>
          <w:sz w:val="28"/>
          <w:szCs w:val="28"/>
        </w:rPr>
        <w:t xml:space="preserve"> – </w:t>
      </w:r>
      <w:r>
        <w:rPr>
          <w:rFonts w:ascii="Times New Roman" w:hAnsi="Times New Roman" w:cs="Times New Roman"/>
          <w:sz w:val="28"/>
          <w:szCs w:val="28"/>
        </w:rPr>
        <w:t xml:space="preserve">анапластическая астроцитома </w:t>
      </w:r>
      <w:r>
        <w:rPr>
          <w:rFonts w:ascii="Times New Roman" w:hAnsi="Times New Roman" w:cs="Times New Roman"/>
          <w:sz w:val="28"/>
          <w:szCs w:val="28"/>
          <w:lang w:val="en-US"/>
        </w:rPr>
        <w:t>Grade</w:t>
      </w:r>
      <w:r w:rsidRPr="00990FE2">
        <w:rPr>
          <w:rFonts w:ascii="Times New Roman" w:hAnsi="Times New Roman" w:cs="Times New Roman"/>
          <w:sz w:val="28"/>
          <w:szCs w:val="28"/>
        </w:rPr>
        <w:t xml:space="preserve"> </w:t>
      </w:r>
      <w:r>
        <w:rPr>
          <w:rFonts w:ascii="Times New Roman" w:hAnsi="Times New Roman" w:cs="Times New Roman"/>
          <w:sz w:val="28"/>
          <w:szCs w:val="28"/>
          <w:lang w:val="en-US"/>
        </w:rPr>
        <w:t>III</w:t>
      </w:r>
    </w:p>
    <w:p w:rsidR="00990FE2" w:rsidRDefault="00990FE2" w:rsidP="005E0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ОДГ</w:t>
      </w:r>
      <w:r>
        <w:rPr>
          <w:rFonts w:ascii="Times New Roman" w:hAnsi="Times New Roman" w:cs="Times New Roman"/>
          <w:sz w:val="28"/>
          <w:szCs w:val="28"/>
          <w:lang w:val="en-US"/>
        </w:rPr>
        <w:t>GII</w:t>
      </w:r>
      <w:r>
        <w:rPr>
          <w:rFonts w:ascii="Times New Roman" w:hAnsi="Times New Roman" w:cs="Times New Roman"/>
          <w:sz w:val="28"/>
          <w:szCs w:val="28"/>
        </w:rPr>
        <w:t xml:space="preserve"> – олигодендроглиома </w:t>
      </w:r>
      <w:r>
        <w:rPr>
          <w:rFonts w:ascii="Times New Roman" w:hAnsi="Times New Roman" w:cs="Times New Roman"/>
          <w:sz w:val="28"/>
          <w:szCs w:val="28"/>
          <w:lang w:val="en-US"/>
        </w:rPr>
        <w:t>Grade</w:t>
      </w:r>
      <w:r w:rsidRPr="006E55A3">
        <w:rPr>
          <w:rFonts w:ascii="Times New Roman" w:hAnsi="Times New Roman" w:cs="Times New Roman"/>
          <w:sz w:val="28"/>
          <w:szCs w:val="28"/>
        </w:rPr>
        <w:t xml:space="preserve"> </w:t>
      </w:r>
      <w:r>
        <w:rPr>
          <w:rFonts w:ascii="Times New Roman" w:hAnsi="Times New Roman" w:cs="Times New Roman"/>
          <w:sz w:val="28"/>
          <w:szCs w:val="28"/>
          <w:lang w:val="en-US"/>
        </w:rPr>
        <w:t>II</w:t>
      </w:r>
    </w:p>
    <w:p w:rsidR="00990FE2" w:rsidRDefault="00990FE2" w:rsidP="005E0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АОДГ</w:t>
      </w:r>
      <w:r>
        <w:rPr>
          <w:rFonts w:ascii="Times New Roman" w:hAnsi="Times New Roman" w:cs="Times New Roman"/>
          <w:sz w:val="28"/>
          <w:szCs w:val="28"/>
          <w:lang w:val="en-US"/>
        </w:rPr>
        <w:t>GIII</w:t>
      </w:r>
      <w:r>
        <w:rPr>
          <w:rFonts w:ascii="Times New Roman" w:hAnsi="Times New Roman" w:cs="Times New Roman"/>
          <w:sz w:val="28"/>
          <w:szCs w:val="28"/>
        </w:rPr>
        <w:t xml:space="preserve"> – анапластическая олигодендроглиома </w:t>
      </w:r>
      <w:r>
        <w:rPr>
          <w:rFonts w:ascii="Times New Roman" w:hAnsi="Times New Roman" w:cs="Times New Roman"/>
          <w:sz w:val="28"/>
          <w:szCs w:val="28"/>
          <w:lang w:val="en-US"/>
        </w:rPr>
        <w:t>GIII</w:t>
      </w:r>
    </w:p>
    <w:p w:rsidR="00990FE2" w:rsidRPr="00345601" w:rsidRDefault="00990FE2" w:rsidP="005E0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ГБ</w:t>
      </w:r>
      <w:r>
        <w:rPr>
          <w:rFonts w:ascii="Times New Roman" w:hAnsi="Times New Roman" w:cs="Times New Roman"/>
          <w:sz w:val="28"/>
          <w:szCs w:val="28"/>
          <w:lang w:val="en-US"/>
        </w:rPr>
        <w:t>GIV</w:t>
      </w:r>
      <w:r>
        <w:rPr>
          <w:rFonts w:ascii="Times New Roman" w:hAnsi="Times New Roman" w:cs="Times New Roman"/>
          <w:sz w:val="28"/>
          <w:szCs w:val="28"/>
        </w:rPr>
        <w:t xml:space="preserve"> – глиобластома </w:t>
      </w:r>
      <w:r>
        <w:rPr>
          <w:rFonts w:ascii="Times New Roman" w:hAnsi="Times New Roman" w:cs="Times New Roman"/>
          <w:sz w:val="28"/>
          <w:szCs w:val="28"/>
          <w:lang w:val="en-US"/>
        </w:rPr>
        <w:t>GIV</w:t>
      </w:r>
    </w:p>
    <w:p w:rsidR="006E55A3" w:rsidRDefault="006E55A3" w:rsidP="005E0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ЗТ – злокачественная трансформация</w:t>
      </w:r>
    </w:p>
    <w:p w:rsidR="006E55A3" w:rsidRDefault="006E55A3" w:rsidP="005E0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БРВ – безрецидивная выживаемость</w:t>
      </w:r>
    </w:p>
    <w:p w:rsidR="006E55A3" w:rsidRPr="006E55A3" w:rsidRDefault="006E55A3" w:rsidP="005E0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ОВ – общая выживаемость</w:t>
      </w:r>
    </w:p>
    <w:p w:rsidR="00990FE2" w:rsidRDefault="00A85373" w:rsidP="005E0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ХТ – химиотерапия</w:t>
      </w:r>
    </w:p>
    <w:p w:rsidR="00A85373" w:rsidRDefault="00A85373" w:rsidP="005E0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ЛТ – лучевая терапия</w:t>
      </w:r>
    </w:p>
    <w:p w:rsidR="00A85373" w:rsidRDefault="00A85373" w:rsidP="005E0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ХЛТ – химиолучевая терапия</w:t>
      </w:r>
    </w:p>
    <w:p w:rsidR="00A85373" w:rsidRDefault="00A85373" w:rsidP="005E0D82">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TMZ</w:t>
      </w:r>
      <w:r w:rsidRPr="00A85373">
        <w:rPr>
          <w:rFonts w:ascii="Times New Roman" w:hAnsi="Times New Roman" w:cs="Times New Roman"/>
          <w:sz w:val="28"/>
          <w:szCs w:val="28"/>
        </w:rPr>
        <w:t xml:space="preserve"> </w:t>
      </w:r>
      <w:r>
        <w:rPr>
          <w:rFonts w:ascii="Times New Roman" w:hAnsi="Times New Roman" w:cs="Times New Roman"/>
          <w:sz w:val="28"/>
          <w:szCs w:val="28"/>
        </w:rPr>
        <w:t>– темозоломид</w:t>
      </w:r>
    </w:p>
    <w:p w:rsidR="00A85373" w:rsidRDefault="00A85373" w:rsidP="005E0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БЕВ – бевацизумаб</w:t>
      </w:r>
    </w:p>
    <w:p w:rsidR="00A85373" w:rsidRDefault="00A85373" w:rsidP="005E0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ИРИ </w:t>
      </w:r>
      <w:r w:rsidR="00272B86">
        <w:rPr>
          <w:rFonts w:ascii="Times New Roman" w:hAnsi="Times New Roman" w:cs="Times New Roman"/>
          <w:sz w:val="28"/>
          <w:szCs w:val="28"/>
        </w:rPr>
        <w:t>–</w:t>
      </w:r>
      <w:r>
        <w:rPr>
          <w:rFonts w:ascii="Times New Roman" w:hAnsi="Times New Roman" w:cs="Times New Roman"/>
          <w:sz w:val="28"/>
          <w:szCs w:val="28"/>
        </w:rPr>
        <w:t xml:space="preserve"> иринотекан</w:t>
      </w:r>
    </w:p>
    <w:p w:rsidR="00272B86" w:rsidRDefault="00272B86" w:rsidP="005E0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ГМ – головной мозг</w:t>
      </w:r>
    </w:p>
    <w:p w:rsidR="00272B86" w:rsidRPr="00A85373" w:rsidRDefault="00272B86" w:rsidP="005E0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ВЧД – внутричерепное давление</w:t>
      </w:r>
    </w:p>
    <w:p w:rsidR="006C7081" w:rsidRPr="002E124D" w:rsidRDefault="006C7081" w:rsidP="005E0D82">
      <w:pPr>
        <w:pStyle w:val="1"/>
        <w:spacing w:before="0" w:after="0"/>
        <w:jc w:val="both"/>
        <w:rPr>
          <w:rFonts w:eastAsia="MS ??" w:cs="Times New Roman"/>
        </w:rPr>
      </w:pPr>
      <w:r w:rsidRPr="002E124D">
        <w:rPr>
          <w:rFonts w:eastAsia="MS ??" w:cs="Times New Roman"/>
        </w:rPr>
        <w:br w:type="page"/>
      </w:r>
    </w:p>
    <w:p w:rsidR="006C7081" w:rsidRPr="002E124D" w:rsidRDefault="006C7081" w:rsidP="005E0D82">
      <w:pPr>
        <w:pStyle w:val="1"/>
        <w:spacing w:before="0" w:after="0"/>
        <w:jc w:val="both"/>
        <w:rPr>
          <w:rFonts w:eastAsia="MS ??" w:cs="Times New Roman"/>
        </w:rPr>
      </w:pPr>
      <w:bookmarkStart w:id="4" w:name="_Toc419408691"/>
      <w:bookmarkStart w:id="5" w:name="_Toc9031256"/>
      <w:bookmarkStart w:id="6" w:name="_Toc9250587"/>
      <w:r w:rsidRPr="002E124D">
        <w:rPr>
          <w:rFonts w:eastAsia="MS ??" w:cs="Times New Roman"/>
        </w:rPr>
        <w:lastRenderedPageBreak/>
        <w:t>Введение</w:t>
      </w:r>
      <w:bookmarkEnd w:id="4"/>
      <w:bookmarkEnd w:id="5"/>
      <w:bookmarkEnd w:id="6"/>
    </w:p>
    <w:p w:rsidR="006C7081" w:rsidRPr="002E124D" w:rsidRDefault="006C7081" w:rsidP="005E0D82">
      <w:pPr>
        <w:pStyle w:val="2"/>
        <w:spacing w:before="0" w:after="0" w:line="360" w:lineRule="auto"/>
        <w:jc w:val="both"/>
        <w:rPr>
          <w:rFonts w:cs="Times New Roman"/>
          <w:b/>
          <w:szCs w:val="28"/>
        </w:rPr>
      </w:pPr>
      <w:bookmarkStart w:id="7" w:name="_Toc9031257"/>
      <w:bookmarkStart w:id="8" w:name="_Toc9250588"/>
      <w:r w:rsidRPr="002E124D">
        <w:rPr>
          <w:rFonts w:cs="Times New Roman"/>
          <w:b/>
          <w:szCs w:val="28"/>
        </w:rPr>
        <w:t>Актуальность проблемы</w:t>
      </w:r>
      <w:bookmarkEnd w:id="7"/>
      <w:bookmarkEnd w:id="8"/>
      <w:r w:rsidRPr="002E124D">
        <w:rPr>
          <w:rFonts w:cs="Times New Roman"/>
          <w:b/>
          <w:szCs w:val="28"/>
        </w:rPr>
        <w:t xml:space="preserve"> </w:t>
      </w:r>
    </w:p>
    <w:p w:rsidR="006C7081" w:rsidRPr="002E124D" w:rsidRDefault="00A03D2E" w:rsidP="005E0D82">
      <w:pPr>
        <w:spacing w:after="0" w:line="360" w:lineRule="auto"/>
        <w:jc w:val="both"/>
        <w:rPr>
          <w:rFonts w:ascii="Times New Roman" w:hAnsi="Times New Roman" w:cs="Times New Roman"/>
          <w:sz w:val="28"/>
          <w:szCs w:val="28"/>
        </w:rPr>
      </w:pPr>
      <w:r w:rsidRPr="002E124D">
        <w:rPr>
          <w:rFonts w:ascii="Times New Roman" w:hAnsi="Times New Roman" w:cs="Times New Roman"/>
          <w:sz w:val="28"/>
          <w:szCs w:val="28"/>
        </w:rPr>
        <w:t xml:space="preserve">На данный момент хирургический метод является господствующим в лечении таких нейроэндокринных опухолей, как глиомы головного мозга, и можно констатировать, что несмотря на возможности современной нейрохирургии, подавляющее большинство опухолей склонно к рецидивированию, </w:t>
      </w:r>
      <w:r w:rsidR="008D7EC1" w:rsidRPr="002E124D">
        <w:rPr>
          <w:rFonts w:ascii="Times New Roman" w:hAnsi="Times New Roman" w:cs="Times New Roman"/>
          <w:sz w:val="28"/>
          <w:szCs w:val="28"/>
        </w:rPr>
        <w:t>которое с высокой долей вероятности</w:t>
      </w:r>
      <w:r w:rsidRPr="002E124D">
        <w:rPr>
          <w:rFonts w:ascii="Times New Roman" w:hAnsi="Times New Roman" w:cs="Times New Roman"/>
          <w:sz w:val="28"/>
          <w:szCs w:val="28"/>
        </w:rPr>
        <w:t xml:space="preserve"> сопровождается злокачественной трансформаци</w:t>
      </w:r>
      <w:r w:rsidR="008D7EC1" w:rsidRPr="002E124D">
        <w:rPr>
          <w:rFonts w:ascii="Times New Roman" w:hAnsi="Times New Roman" w:cs="Times New Roman"/>
          <w:sz w:val="28"/>
          <w:szCs w:val="28"/>
        </w:rPr>
        <w:t>ей</w:t>
      </w:r>
      <w:r w:rsidRPr="002E124D">
        <w:rPr>
          <w:rFonts w:ascii="Times New Roman" w:hAnsi="Times New Roman" w:cs="Times New Roman"/>
          <w:sz w:val="28"/>
          <w:szCs w:val="28"/>
        </w:rPr>
        <w:t xml:space="preserve"> первичного новообразования. Данная тенденция наблюдается повсеместно и существенно ухудшает прогноз пациент</w:t>
      </w:r>
      <w:r w:rsidR="00AE55BF" w:rsidRPr="002E124D">
        <w:rPr>
          <w:rFonts w:ascii="Times New Roman" w:hAnsi="Times New Roman" w:cs="Times New Roman"/>
          <w:sz w:val="28"/>
          <w:szCs w:val="28"/>
        </w:rPr>
        <w:t xml:space="preserve">ов с </w:t>
      </w:r>
      <w:r w:rsidR="008D7EC1" w:rsidRPr="002E124D">
        <w:rPr>
          <w:rFonts w:ascii="Times New Roman" w:hAnsi="Times New Roman" w:cs="Times New Roman"/>
          <w:sz w:val="28"/>
          <w:szCs w:val="28"/>
        </w:rPr>
        <w:t>этой</w:t>
      </w:r>
      <w:r w:rsidR="00AE55BF" w:rsidRPr="002E124D">
        <w:rPr>
          <w:rFonts w:ascii="Times New Roman" w:hAnsi="Times New Roman" w:cs="Times New Roman"/>
          <w:sz w:val="28"/>
          <w:szCs w:val="28"/>
        </w:rPr>
        <w:t xml:space="preserve"> патологией, несколько нивелируя прогностическое значение гистологической структуры опухоли в связи с высокой частотой последующей трансформации. Кроме того, современные стандарты и рекомендации по лекарственному лечению глиом головного мозга не имеют четкой доказательной базы и зачастую противоречат друг другу, основываясь на небольшом числе исследований. На нынешнем этапе развития нейроонкологии не существует четких маркеров и предикторов лекарственного лечения опухолей головного мозга, а действующие стандарты не всегда позволяют добиваться эффективных терапевтических результатов. Наряду с проблемами стратегии лечения обращает на себя внимание отсутствие прогностических маркеров течения глиальных опухолей головного мозга, как клинических, так и молекулярно-генетических факторов, позволяющих так или иначе предсказать вероятность рецидивирования и злокачественной трансформации.</w:t>
      </w:r>
    </w:p>
    <w:p w:rsidR="006C7081" w:rsidRPr="002E124D" w:rsidRDefault="006C7081" w:rsidP="005E0D82">
      <w:pPr>
        <w:pStyle w:val="2"/>
        <w:spacing w:before="0" w:after="0" w:line="360" w:lineRule="auto"/>
        <w:jc w:val="both"/>
        <w:rPr>
          <w:rFonts w:cs="Times New Roman"/>
          <w:szCs w:val="28"/>
        </w:rPr>
      </w:pPr>
      <w:bookmarkStart w:id="9" w:name="_Toc9031258"/>
      <w:bookmarkStart w:id="10" w:name="_Toc9250589"/>
      <w:r w:rsidRPr="002E124D">
        <w:rPr>
          <w:rFonts w:cs="Times New Roman"/>
          <w:b/>
          <w:szCs w:val="28"/>
        </w:rPr>
        <w:t>Цель исследования</w:t>
      </w:r>
      <w:r w:rsidRPr="002E124D">
        <w:rPr>
          <w:rFonts w:cs="Times New Roman"/>
          <w:szCs w:val="28"/>
        </w:rPr>
        <w:t>:</w:t>
      </w:r>
      <w:bookmarkEnd w:id="9"/>
      <w:bookmarkEnd w:id="10"/>
    </w:p>
    <w:p w:rsidR="006C7081" w:rsidRPr="002E124D" w:rsidRDefault="008D7EC1" w:rsidP="005E0D82">
      <w:pPr>
        <w:spacing w:after="0" w:line="360" w:lineRule="auto"/>
        <w:jc w:val="both"/>
        <w:rPr>
          <w:rFonts w:ascii="Times New Roman" w:hAnsi="Times New Roman" w:cs="Times New Roman"/>
          <w:sz w:val="28"/>
          <w:szCs w:val="28"/>
        </w:rPr>
      </w:pPr>
      <w:r w:rsidRPr="002E124D">
        <w:rPr>
          <w:rFonts w:ascii="Times New Roman" w:hAnsi="Times New Roman" w:cs="Times New Roman"/>
          <w:sz w:val="28"/>
          <w:szCs w:val="28"/>
        </w:rPr>
        <w:t>Определить клинические и молекулярно-генетические характеристики глиом головного мозга до и после их злокачественной трансформации</w:t>
      </w:r>
    </w:p>
    <w:p w:rsidR="006C7081" w:rsidRPr="002E124D" w:rsidRDefault="006C7081" w:rsidP="005E0D82">
      <w:pPr>
        <w:pStyle w:val="2"/>
        <w:spacing w:before="0" w:after="0" w:line="360" w:lineRule="auto"/>
        <w:jc w:val="both"/>
        <w:rPr>
          <w:rFonts w:cs="Times New Roman"/>
          <w:szCs w:val="28"/>
        </w:rPr>
      </w:pPr>
      <w:bookmarkStart w:id="11" w:name="_Toc9031259"/>
      <w:bookmarkStart w:id="12" w:name="_Toc9250590"/>
      <w:r w:rsidRPr="002E124D">
        <w:rPr>
          <w:rFonts w:cs="Times New Roman"/>
          <w:b/>
          <w:szCs w:val="28"/>
        </w:rPr>
        <w:t>Задачи исследования:</w:t>
      </w:r>
      <w:bookmarkEnd w:id="11"/>
      <w:bookmarkEnd w:id="12"/>
      <w:r w:rsidRPr="002E124D">
        <w:rPr>
          <w:rFonts w:cs="Times New Roman"/>
          <w:b/>
          <w:szCs w:val="28"/>
        </w:rPr>
        <w:t xml:space="preserve"> </w:t>
      </w:r>
    </w:p>
    <w:p w:rsidR="00903431" w:rsidRPr="002E124D" w:rsidRDefault="008D7EC1" w:rsidP="005E0D82">
      <w:pPr>
        <w:pStyle w:val="a3"/>
        <w:numPr>
          <w:ilvl w:val="0"/>
          <w:numId w:val="20"/>
        </w:numPr>
        <w:spacing w:after="0" w:line="360" w:lineRule="auto"/>
        <w:ind w:left="0"/>
        <w:rPr>
          <w:rFonts w:ascii="Times New Roman" w:hAnsi="Times New Roman" w:cs="Times New Roman"/>
          <w:sz w:val="28"/>
          <w:szCs w:val="28"/>
        </w:rPr>
      </w:pPr>
      <w:r w:rsidRPr="002E124D">
        <w:rPr>
          <w:rFonts w:ascii="Times New Roman" w:hAnsi="Times New Roman" w:cs="Times New Roman"/>
          <w:sz w:val="28"/>
          <w:szCs w:val="28"/>
        </w:rPr>
        <w:t xml:space="preserve">Изучить частоту встречаемости молекулярно-генетических маркеров (мутаций в генах </w:t>
      </w:r>
      <w:r w:rsidRPr="002E124D">
        <w:rPr>
          <w:rFonts w:ascii="Times New Roman" w:hAnsi="Times New Roman" w:cs="Times New Roman"/>
          <w:sz w:val="28"/>
          <w:szCs w:val="28"/>
          <w:lang w:val="en-US"/>
        </w:rPr>
        <w:t>IDH</w:t>
      </w:r>
      <w:r w:rsidRPr="002E124D">
        <w:rPr>
          <w:rFonts w:ascii="Times New Roman" w:hAnsi="Times New Roman" w:cs="Times New Roman"/>
          <w:sz w:val="28"/>
          <w:szCs w:val="28"/>
        </w:rPr>
        <w:t xml:space="preserve">1, </w:t>
      </w:r>
      <w:r w:rsidRPr="002E124D">
        <w:rPr>
          <w:rFonts w:ascii="Times New Roman" w:hAnsi="Times New Roman" w:cs="Times New Roman"/>
          <w:sz w:val="28"/>
          <w:szCs w:val="28"/>
          <w:lang w:val="en-US"/>
        </w:rPr>
        <w:t>IDH</w:t>
      </w:r>
      <w:r w:rsidRPr="002E124D">
        <w:rPr>
          <w:rFonts w:ascii="Times New Roman" w:hAnsi="Times New Roman" w:cs="Times New Roman"/>
          <w:sz w:val="28"/>
          <w:szCs w:val="28"/>
        </w:rPr>
        <w:t>2, ко-делеции 1</w:t>
      </w:r>
      <w:r w:rsidRPr="002E124D">
        <w:rPr>
          <w:rFonts w:ascii="Times New Roman" w:hAnsi="Times New Roman" w:cs="Times New Roman"/>
          <w:sz w:val="28"/>
          <w:szCs w:val="28"/>
          <w:lang w:val="en-US"/>
        </w:rPr>
        <w:t>p</w:t>
      </w:r>
      <w:r w:rsidRPr="002E124D">
        <w:rPr>
          <w:rFonts w:ascii="Times New Roman" w:hAnsi="Times New Roman" w:cs="Times New Roman"/>
          <w:sz w:val="28"/>
          <w:szCs w:val="28"/>
        </w:rPr>
        <w:t>19</w:t>
      </w:r>
      <w:r w:rsidRPr="002E124D">
        <w:rPr>
          <w:rFonts w:ascii="Times New Roman" w:hAnsi="Times New Roman" w:cs="Times New Roman"/>
          <w:sz w:val="28"/>
          <w:szCs w:val="28"/>
          <w:lang w:val="en-US"/>
        </w:rPr>
        <w:t>q</w:t>
      </w:r>
      <w:r w:rsidRPr="002E124D">
        <w:rPr>
          <w:rFonts w:ascii="Times New Roman" w:hAnsi="Times New Roman" w:cs="Times New Roman"/>
          <w:sz w:val="28"/>
          <w:szCs w:val="28"/>
        </w:rPr>
        <w:t xml:space="preserve">, уровней экспрессии </w:t>
      </w:r>
      <w:r w:rsidRPr="002E124D">
        <w:rPr>
          <w:rFonts w:ascii="Times New Roman" w:hAnsi="Times New Roman" w:cs="Times New Roman"/>
          <w:sz w:val="28"/>
          <w:szCs w:val="28"/>
        </w:rPr>
        <w:lastRenderedPageBreak/>
        <w:t xml:space="preserve">генов: </w:t>
      </w:r>
      <w:r w:rsidRPr="002E124D">
        <w:rPr>
          <w:rFonts w:ascii="Times New Roman" w:hAnsi="Times New Roman" w:cs="Times New Roman"/>
          <w:sz w:val="28"/>
          <w:szCs w:val="28"/>
          <w:lang w:val="en-US"/>
        </w:rPr>
        <w:t>MGMT</w:t>
      </w:r>
      <w:r w:rsidRPr="002E124D">
        <w:rPr>
          <w:rFonts w:ascii="Times New Roman" w:hAnsi="Times New Roman" w:cs="Times New Roman"/>
          <w:sz w:val="28"/>
          <w:szCs w:val="28"/>
        </w:rPr>
        <w:t xml:space="preserve">, </w:t>
      </w:r>
      <w:r w:rsidRPr="002E124D">
        <w:rPr>
          <w:rFonts w:ascii="Times New Roman" w:hAnsi="Times New Roman" w:cs="Times New Roman"/>
          <w:sz w:val="28"/>
          <w:szCs w:val="28"/>
          <w:lang w:val="en-US"/>
        </w:rPr>
        <w:t>VEGF</w:t>
      </w:r>
      <w:r w:rsidRPr="002E124D">
        <w:rPr>
          <w:rFonts w:ascii="Times New Roman" w:hAnsi="Times New Roman" w:cs="Times New Roman"/>
          <w:sz w:val="28"/>
          <w:szCs w:val="28"/>
        </w:rPr>
        <w:t xml:space="preserve">, </w:t>
      </w:r>
      <w:r w:rsidRPr="002E124D">
        <w:rPr>
          <w:rFonts w:ascii="Times New Roman" w:hAnsi="Times New Roman" w:cs="Times New Roman"/>
          <w:sz w:val="28"/>
          <w:szCs w:val="28"/>
          <w:lang w:val="en-US"/>
        </w:rPr>
        <w:t>PDGFR</w:t>
      </w:r>
      <w:r w:rsidRPr="002E124D">
        <w:rPr>
          <w:rFonts w:ascii="Times New Roman" w:hAnsi="Times New Roman" w:cs="Times New Roman"/>
          <w:sz w:val="28"/>
          <w:szCs w:val="28"/>
        </w:rPr>
        <w:t xml:space="preserve">, </w:t>
      </w:r>
      <w:r w:rsidRPr="002E124D">
        <w:rPr>
          <w:rFonts w:ascii="Times New Roman" w:hAnsi="Times New Roman" w:cs="Times New Roman"/>
          <w:sz w:val="28"/>
          <w:szCs w:val="28"/>
          <w:lang w:val="en-US"/>
        </w:rPr>
        <w:t>TP</w:t>
      </w:r>
      <w:r w:rsidRPr="002E124D">
        <w:rPr>
          <w:rFonts w:ascii="Times New Roman" w:hAnsi="Times New Roman" w:cs="Times New Roman"/>
          <w:sz w:val="28"/>
          <w:szCs w:val="28"/>
        </w:rPr>
        <w:t xml:space="preserve">, </w:t>
      </w:r>
      <w:r w:rsidRPr="002E124D">
        <w:rPr>
          <w:rFonts w:ascii="Times New Roman" w:hAnsi="Times New Roman" w:cs="Times New Roman"/>
          <w:sz w:val="28"/>
          <w:szCs w:val="28"/>
          <w:lang w:val="en-US"/>
        </w:rPr>
        <w:t>c</w:t>
      </w:r>
      <w:r w:rsidRPr="002E124D">
        <w:rPr>
          <w:rFonts w:ascii="Times New Roman" w:hAnsi="Times New Roman" w:cs="Times New Roman"/>
          <w:sz w:val="28"/>
          <w:szCs w:val="28"/>
        </w:rPr>
        <w:t>-</w:t>
      </w:r>
      <w:r w:rsidRPr="002E124D">
        <w:rPr>
          <w:rFonts w:ascii="Times New Roman" w:hAnsi="Times New Roman" w:cs="Times New Roman"/>
          <w:sz w:val="28"/>
          <w:szCs w:val="28"/>
          <w:lang w:val="en-US"/>
        </w:rPr>
        <w:t>kit</w:t>
      </w:r>
      <w:r w:rsidRPr="002E124D">
        <w:rPr>
          <w:rFonts w:ascii="Times New Roman" w:hAnsi="Times New Roman" w:cs="Times New Roman"/>
          <w:sz w:val="28"/>
          <w:szCs w:val="28"/>
        </w:rPr>
        <w:t>) в ДА</w:t>
      </w:r>
      <w:r w:rsidRPr="002E124D">
        <w:rPr>
          <w:rFonts w:ascii="Times New Roman" w:hAnsi="Times New Roman" w:cs="Times New Roman"/>
          <w:sz w:val="28"/>
          <w:szCs w:val="28"/>
          <w:lang w:val="en-US"/>
        </w:rPr>
        <w:t>GII</w:t>
      </w:r>
      <w:r w:rsidRPr="002E124D">
        <w:rPr>
          <w:rFonts w:ascii="Times New Roman" w:hAnsi="Times New Roman" w:cs="Times New Roman"/>
          <w:sz w:val="28"/>
          <w:szCs w:val="28"/>
        </w:rPr>
        <w:t>, АА</w:t>
      </w:r>
      <w:r w:rsidRPr="002E124D">
        <w:rPr>
          <w:rFonts w:ascii="Times New Roman" w:hAnsi="Times New Roman" w:cs="Times New Roman"/>
          <w:sz w:val="28"/>
          <w:szCs w:val="28"/>
          <w:lang w:val="en-US"/>
        </w:rPr>
        <w:t>GIII</w:t>
      </w:r>
      <w:r w:rsidRPr="002E124D">
        <w:rPr>
          <w:rFonts w:ascii="Times New Roman" w:hAnsi="Times New Roman" w:cs="Times New Roman"/>
          <w:sz w:val="28"/>
          <w:szCs w:val="28"/>
        </w:rPr>
        <w:t>, ОДГ</w:t>
      </w:r>
      <w:r w:rsidRPr="002E124D">
        <w:rPr>
          <w:rFonts w:ascii="Times New Roman" w:hAnsi="Times New Roman" w:cs="Times New Roman"/>
          <w:sz w:val="28"/>
          <w:szCs w:val="28"/>
          <w:lang w:val="en-US"/>
        </w:rPr>
        <w:t>GII</w:t>
      </w:r>
      <w:r w:rsidRPr="002E124D">
        <w:rPr>
          <w:rFonts w:ascii="Times New Roman" w:hAnsi="Times New Roman" w:cs="Times New Roman"/>
          <w:sz w:val="28"/>
          <w:szCs w:val="28"/>
        </w:rPr>
        <w:t xml:space="preserve"> и АОДГ</w:t>
      </w:r>
      <w:r w:rsidRPr="002E124D">
        <w:rPr>
          <w:rFonts w:ascii="Times New Roman" w:hAnsi="Times New Roman" w:cs="Times New Roman"/>
          <w:sz w:val="28"/>
          <w:szCs w:val="28"/>
          <w:lang w:val="en-US"/>
        </w:rPr>
        <w:t>GIII</w:t>
      </w:r>
    </w:p>
    <w:p w:rsidR="008D7EC1" w:rsidRPr="002E124D" w:rsidRDefault="008D7EC1" w:rsidP="005E0D82">
      <w:pPr>
        <w:pStyle w:val="a3"/>
        <w:numPr>
          <w:ilvl w:val="0"/>
          <w:numId w:val="20"/>
        </w:numPr>
        <w:spacing w:after="0" w:line="360" w:lineRule="auto"/>
        <w:ind w:left="0"/>
        <w:rPr>
          <w:rFonts w:ascii="Times New Roman" w:hAnsi="Times New Roman" w:cs="Times New Roman"/>
          <w:sz w:val="28"/>
          <w:szCs w:val="28"/>
        </w:rPr>
      </w:pPr>
      <w:r w:rsidRPr="002E124D">
        <w:rPr>
          <w:rFonts w:ascii="Times New Roman" w:hAnsi="Times New Roman" w:cs="Times New Roman"/>
          <w:sz w:val="28"/>
          <w:szCs w:val="28"/>
        </w:rPr>
        <w:t xml:space="preserve">Определить частоту злокачественной трансформации глиом </w:t>
      </w:r>
      <w:r w:rsidRPr="002E124D">
        <w:rPr>
          <w:rFonts w:ascii="Times New Roman" w:hAnsi="Times New Roman" w:cs="Times New Roman"/>
          <w:sz w:val="28"/>
          <w:szCs w:val="28"/>
          <w:lang w:val="en-US"/>
        </w:rPr>
        <w:t>GII</w:t>
      </w:r>
      <w:r w:rsidRPr="002E124D">
        <w:rPr>
          <w:rFonts w:ascii="Times New Roman" w:hAnsi="Times New Roman" w:cs="Times New Roman"/>
          <w:sz w:val="28"/>
          <w:szCs w:val="28"/>
        </w:rPr>
        <w:t>/</w:t>
      </w:r>
      <w:r w:rsidRPr="002E124D">
        <w:rPr>
          <w:rFonts w:ascii="Times New Roman" w:hAnsi="Times New Roman" w:cs="Times New Roman"/>
          <w:sz w:val="28"/>
          <w:szCs w:val="28"/>
          <w:lang w:val="en-US"/>
        </w:rPr>
        <w:t>GIII</w:t>
      </w:r>
    </w:p>
    <w:p w:rsidR="008D7EC1" w:rsidRPr="002E124D" w:rsidRDefault="008D7EC1" w:rsidP="005E0D82">
      <w:pPr>
        <w:pStyle w:val="a3"/>
        <w:numPr>
          <w:ilvl w:val="0"/>
          <w:numId w:val="20"/>
        </w:numPr>
        <w:spacing w:after="0" w:line="360" w:lineRule="auto"/>
        <w:ind w:left="0"/>
        <w:rPr>
          <w:rFonts w:ascii="Times New Roman" w:hAnsi="Times New Roman" w:cs="Times New Roman"/>
          <w:sz w:val="28"/>
          <w:szCs w:val="28"/>
        </w:rPr>
      </w:pPr>
      <w:r w:rsidRPr="002E124D">
        <w:rPr>
          <w:rFonts w:ascii="Times New Roman" w:hAnsi="Times New Roman" w:cs="Times New Roman"/>
          <w:sz w:val="28"/>
          <w:szCs w:val="28"/>
        </w:rPr>
        <w:t xml:space="preserve">Выявить группы риска злокачественной трансформации у больных с глиомами </w:t>
      </w:r>
      <w:r w:rsidR="009B6A3A" w:rsidRPr="002E124D">
        <w:rPr>
          <w:rFonts w:ascii="Times New Roman" w:hAnsi="Times New Roman" w:cs="Times New Roman"/>
          <w:sz w:val="28"/>
          <w:szCs w:val="28"/>
          <w:lang w:val="en-US"/>
        </w:rPr>
        <w:t>GII</w:t>
      </w:r>
      <w:r w:rsidR="009B6A3A" w:rsidRPr="002E124D">
        <w:rPr>
          <w:rFonts w:ascii="Times New Roman" w:hAnsi="Times New Roman" w:cs="Times New Roman"/>
          <w:sz w:val="28"/>
          <w:szCs w:val="28"/>
        </w:rPr>
        <w:t>/</w:t>
      </w:r>
      <w:r w:rsidR="009B6A3A" w:rsidRPr="002E124D">
        <w:rPr>
          <w:rFonts w:ascii="Times New Roman" w:hAnsi="Times New Roman" w:cs="Times New Roman"/>
          <w:sz w:val="28"/>
          <w:szCs w:val="28"/>
          <w:lang w:val="en-US"/>
        </w:rPr>
        <w:t>GIII</w:t>
      </w:r>
      <w:r w:rsidR="009B6A3A" w:rsidRPr="002E124D">
        <w:rPr>
          <w:rFonts w:ascii="Times New Roman" w:hAnsi="Times New Roman" w:cs="Times New Roman"/>
          <w:sz w:val="28"/>
          <w:szCs w:val="28"/>
        </w:rPr>
        <w:t xml:space="preserve"> </w:t>
      </w:r>
      <w:r w:rsidRPr="002E124D">
        <w:rPr>
          <w:rFonts w:ascii="Times New Roman" w:hAnsi="Times New Roman" w:cs="Times New Roman"/>
          <w:sz w:val="28"/>
          <w:szCs w:val="28"/>
        </w:rPr>
        <w:t>в зависимости от клинических и молекулярно-генетических аспектов с целью оптимизации тактики лечения</w:t>
      </w:r>
    </w:p>
    <w:p w:rsidR="008D7EC1" w:rsidRPr="002E124D" w:rsidRDefault="009B6A3A" w:rsidP="005E0D82">
      <w:pPr>
        <w:pStyle w:val="a3"/>
        <w:numPr>
          <w:ilvl w:val="0"/>
          <w:numId w:val="20"/>
        </w:numPr>
        <w:spacing w:after="0" w:line="360" w:lineRule="auto"/>
        <w:ind w:left="0"/>
        <w:rPr>
          <w:rFonts w:ascii="Times New Roman" w:hAnsi="Times New Roman" w:cs="Times New Roman"/>
          <w:sz w:val="28"/>
          <w:szCs w:val="28"/>
        </w:rPr>
      </w:pPr>
      <w:r w:rsidRPr="002E124D">
        <w:rPr>
          <w:rFonts w:ascii="Times New Roman" w:hAnsi="Times New Roman" w:cs="Times New Roman"/>
          <w:sz w:val="28"/>
          <w:szCs w:val="28"/>
        </w:rPr>
        <w:t xml:space="preserve">Оценить изменения уровней экспрессии генов </w:t>
      </w:r>
      <w:r w:rsidRPr="002E124D">
        <w:rPr>
          <w:rFonts w:ascii="Times New Roman" w:hAnsi="Times New Roman" w:cs="Times New Roman"/>
          <w:sz w:val="28"/>
          <w:szCs w:val="28"/>
          <w:lang w:val="en-US"/>
        </w:rPr>
        <w:t>MGMT</w:t>
      </w:r>
      <w:r w:rsidRPr="002E124D">
        <w:rPr>
          <w:rFonts w:ascii="Times New Roman" w:hAnsi="Times New Roman" w:cs="Times New Roman"/>
          <w:sz w:val="28"/>
          <w:szCs w:val="28"/>
        </w:rPr>
        <w:t xml:space="preserve">, </w:t>
      </w:r>
      <w:r w:rsidRPr="002E124D">
        <w:rPr>
          <w:rFonts w:ascii="Times New Roman" w:hAnsi="Times New Roman" w:cs="Times New Roman"/>
          <w:sz w:val="28"/>
          <w:szCs w:val="28"/>
          <w:lang w:val="en-US"/>
        </w:rPr>
        <w:t>VEGF</w:t>
      </w:r>
      <w:r w:rsidRPr="002E124D">
        <w:rPr>
          <w:rFonts w:ascii="Times New Roman" w:hAnsi="Times New Roman" w:cs="Times New Roman"/>
          <w:sz w:val="28"/>
          <w:szCs w:val="28"/>
        </w:rPr>
        <w:t xml:space="preserve">, </w:t>
      </w:r>
      <w:r w:rsidRPr="002E124D">
        <w:rPr>
          <w:rFonts w:ascii="Times New Roman" w:hAnsi="Times New Roman" w:cs="Times New Roman"/>
          <w:sz w:val="28"/>
          <w:szCs w:val="28"/>
          <w:lang w:val="en-US"/>
        </w:rPr>
        <w:t>PDGFR</w:t>
      </w:r>
      <w:r w:rsidRPr="002E124D">
        <w:rPr>
          <w:rFonts w:ascii="Times New Roman" w:hAnsi="Times New Roman" w:cs="Times New Roman"/>
          <w:sz w:val="28"/>
          <w:szCs w:val="28"/>
        </w:rPr>
        <w:t xml:space="preserve">, </w:t>
      </w:r>
      <w:r w:rsidRPr="002E124D">
        <w:rPr>
          <w:rFonts w:ascii="Times New Roman" w:hAnsi="Times New Roman" w:cs="Times New Roman"/>
          <w:sz w:val="28"/>
          <w:szCs w:val="28"/>
          <w:lang w:val="en-US"/>
        </w:rPr>
        <w:t>TP</w:t>
      </w:r>
      <w:r w:rsidRPr="002E124D">
        <w:rPr>
          <w:rFonts w:ascii="Times New Roman" w:hAnsi="Times New Roman" w:cs="Times New Roman"/>
          <w:sz w:val="28"/>
          <w:szCs w:val="28"/>
        </w:rPr>
        <w:t xml:space="preserve">, </w:t>
      </w:r>
      <w:r w:rsidRPr="002E124D">
        <w:rPr>
          <w:rFonts w:ascii="Times New Roman" w:hAnsi="Times New Roman" w:cs="Times New Roman"/>
          <w:sz w:val="28"/>
          <w:szCs w:val="28"/>
          <w:lang w:val="en-US"/>
        </w:rPr>
        <w:t>c</w:t>
      </w:r>
      <w:r w:rsidRPr="002E124D">
        <w:rPr>
          <w:rFonts w:ascii="Times New Roman" w:hAnsi="Times New Roman" w:cs="Times New Roman"/>
          <w:sz w:val="28"/>
          <w:szCs w:val="28"/>
        </w:rPr>
        <w:t>-</w:t>
      </w:r>
      <w:r w:rsidRPr="002E124D">
        <w:rPr>
          <w:rFonts w:ascii="Times New Roman" w:hAnsi="Times New Roman" w:cs="Times New Roman"/>
          <w:sz w:val="28"/>
          <w:szCs w:val="28"/>
          <w:lang w:val="en-US"/>
        </w:rPr>
        <w:t>kit</w:t>
      </w:r>
      <w:r w:rsidRPr="002E124D">
        <w:rPr>
          <w:rFonts w:ascii="Times New Roman" w:hAnsi="Times New Roman" w:cs="Times New Roman"/>
          <w:sz w:val="28"/>
          <w:szCs w:val="28"/>
        </w:rPr>
        <w:t xml:space="preserve"> после злокачественной трансформации глиом </w:t>
      </w:r>
      <w:r w:rsidRPr="002E124D">
        <w:rPr>
          <w:rFonts w:ascii="Times New Roman" w:hAnsi="Times New Roman" w:cs="Times New Roman"/>
          <w:sz w:val="28"/>
          <w:szCs w:val="28"/>
          <w:lang w:val="en-US"/>
        </w:rPr>
        <w:t>GII</w:t>
      </w:r>
      <w:r w:rsidRPr="002E124D">
        <w:rPr>
          <w:rFonts w:ascii="Times New Roman" w:hAnsi="Times New Roman" w:cs="Times New Roman"/>
          <w:sz w:val="28"/>
          <w:szCs w:val="28"/>
        </w:rPr>
        <w:t>/</w:t>
      </w:r>
      <w:r w:rsidRPr="002E124D">
        <w:rPr>
          <w:rFonts w:ascii="Times New Roman" w:hAnsi="Times New Roman" w:cs="Times New Roman"/>
          <w:sz w:val="28"/>
          <w:szCs w:val="28"/>
          <w:lang w:val="en-US"/>
        </w:rPr>
        <w:t>GIII</w:t>
      </w:r>
      <w:r w:rsidRPr="002E124D">
        <w:rPr>
          <w:rFonts w:ascii="Times New Roman" w:hAnsi="Times New Roman" w:cs="Times New Roman"/>
          <w:sz w:val="28"/>
          <w:szCs w:val="28"/>
        </w:rPr>
        <w:t xml:space="preserve"> </w:t>
      </w:r>
    </w:p>
    <w:p w:rsidR="00563DEA" w:rsidRDefault="009B6A3A" w:rsidP="005E0D82">
      <w:pPr>
        <w:pStyle w:val="a3"/>
        <w:numPr>
          <w:ilvl w:val="0"/>
          <w:numId w:val="20"/>
        </w:numPr>
        <w:spacing w:after="0" w:line="360" w:lineRule="auto"/>
        <w:ind w:left="0"/>
        <w:rPr>
          <w:rFonts w:ascii="Times New Roman" w:hAnsi="Times New Roman" w:cs="Times New Roman"/>
          <w:sz w:val="28"/>
          <w:szCs w:val="28"/>
        </w:rPr>
      </w:pPr>
      <w:r w:rsidRPr="002E124D">
        <w:rPr>
          <w:rFonts w:ascii="Times New Roman" w:hAnsi="Times New Roman" w:cs="Times New Roman"/>
          <w:sz w:val="28"/>
          <w:szCs w:val="28"/>
        </w:rPr>
        <w:t xml:space="preserve">Выявить зависимость длительности безрецидивной и общей выживаемости от наличия мутации в генах </w:t>
      </w:r>
      <w:r w:rsidRPr="002E124D">
        <w:rPr>
          <w:rFonts w:ascii="Times New Roman" w:hAnsi="Times New Roman" w:cs="Times New Roman"/>
          <w:sz w:val="28"/>
          <w:szCs w:val="28"/>
          <w:lang w:val="en-US"/>
        </w:rPr>
        <w:t>IDH</w:t>
      </w:r>
      <w:r w:rsidRPr="002E124D">
        <w:rPr>
          <w:rFonts w:ascii="Times New Roman" w:hAnsi="Times New Roman" w:cs="Times New Roman"/>
          <w:sz w:val="28"/>
          <w:szCs w:val="28"/>
        </w:rPr>
        <w:t xml:space="preserve">1 и </w:t>
      </w:r>
      <w:r w:rsidRPr="002E124D">
        <w:rPr>
          <w:rFonts w:ascii="Times New Roman" w:hAnsi="Times New Roman" w:cs="Times New Roman"/>
          <w:sz w:val="28"/>
          <w:szCs w:val="28"/>
          <w:lang w:val="en-US"/>
        </w:rPr>
        <w:t>IDH</w:t>
      </w:r>
      <w:r w:rsidRPr="002E124D">
        <w:rPr>
          <w:rFonts w:ascii="Times New Roman" w:hAnsi="Times New Roman" w:cs="Times New Roman"/>
          <w:sz w:val="28"/>
          <w:szCs w:val="28"/>
        </w:rPr>
        <w:t>2, ко-делеции 1</w:t>
      </w:r>
      <w:r w:rsidRPr="002E124D">
        <w:rPr>
          <w:rFonts w:ascii="Times New Roman" w:hAnsi="Times New Roman" w:cs="Times New Roman"/>
          <w:sz w:val="28"/>
          <w:szCs w:val="28"/>
          <w:lang w:val="en-US"/>
        </w:rPr>
        <w:t>p</w:t>
      </w:r>
      <w:r w:rsidRPr="002E124D">
        <w:rPr>
          <w:rFonts w:ascii="Times New Roman" w:hAnsi="Times New Roman" w:cs="Times New Roman"/>
          <w:sz w:val="28"/>
          <w:szCs w:val="28"/>
        </w:rPr>
        <w:t>19</w:t>
      </w:r>
      <w:r w:rsidRPr="002E124D">
        <w:rPr>
          <w:rFonts w:ascii="Times New Roman" w:hAnsi="Times New Roman" w:cs="Times New Roman"/>
          <w:sz w:val="28"/>
          <w:szCs w:val="28"/>
          <w:lang w:val="en-US"/>
        </w:rPr>
        <w:t>q</w:t>
      </w:r>
      <w:r w:rsidR="00A85373">
        <w:rPr>
          <w:rFonts w:ascii="Times New Roman" w:hAnsi="Times New Roman" w:cs="Times New Roman"/>
          <w:sz w:val="28"/>
          <w:szCs w:val="28"/>
        </w:rPr>
        <w:t xml:space="preserve">, проводимого лечения </w:t>
      </w:r>
      <w:r w:rsidRPr="002E124D">
        <w:rPr>
          <w:rFonts w:ascii="Times New Roman" w:hAnsi="Times New Roman" w:cs="Times New Roman"/>
          <w:sz w:val="28"/>
          <w:szCs w:val="28"/>
        </w:rPr>
        <w:t xml:space="preserve">и уровня экспрессии генов </w:t>
      </w:r>
      <w:r w:rsidRPr="002E124D">
        <w:rPr>
          <w:rFonts w:ascii="Times New Roman" w:hAnsi="Times New Roman" w:cs="Times New Roman"/>
          <w:sz w:val="28"/>
          <w:szCs w:val="28"/>
          <w:lang w:val="en-US"/>
        </w:rPr>
        <w:t>MGMT</w:t>
      </w:r>
      <w:r w:rsidRPr="002E124D">
        <w:rPr>
          <w:rFonts w:ascii="Times New Roman" w:hAnsi="Times New Roman" w:cs="Times New Roman"/>
          <w:sz w:val="28"/>
          <w:szCs w:val="28"/>
        </w:rPr>
        <w:t xml:space="preserve">, </w:t>
      </w:r>
      <w:r w:rsidRPr="002E124D">
        <w:rPr>
          <w:rFonts w:ascii="Times New Roman" w:hAnsi="Times New Roman" w:cs="Times New Roman"/>
          <w:sz w:val="28"/>
          <w:szCs w:val="28"/>
          <w:lang w:val="en-US"/>
        </w:rPr>
        <w:t>VEGF</w:t>
      </w:r>
      <w:r w:rsidRPr="002E124D">
        <w:rPr>
          <w:rFonts w:ascii="Times New Roman" w:hAnsi="Times New Roman" w:cs="Times New Roman"/>
          <w:sz w:val="28"/>
          <w:szCs w:val="28"/>
        </w:rPr>
        <w:t xml:space="preserve">, </w:t>
      </w:r>
      <w:r w:rsidRPr="002E124D">
        <w:rPr>
          <w:rFonts w:ascii="Times New Roman" w:hAnsi="Times New Roman" w:cs="Times New Roman"/>
          <w:sz w:val="28"/>
          <w:szCs w:val="28"/>
          <w:lang w:val="en-US"/>
        </w:rPr>
        <w:t>PDGFR</w:t>
      </w:r>
      <w:r w:rsidRPr="002E124D">
        <w:rPr>
          <w:rFonts w:ascii="Times New Roman" w:hAnsi="Times New Roman" w:cs="Times New Roman"/>
          <w:sz w:val="28"/>
          <w:szCs w:val="28"/>
        </w:rPr>
        <w:t xml:space="preserve">, </w:t>
      </w:r>
      <w:r w:rsidRPr="002E124D">
        <w:rPr>
          <w:rFonts w:ascii="Times New Roman" w:hAnsi="Times New Roman" w:cs="Times New Roman"/>
          <w:sz w:val="28"/>
          <w:szCs w:val="28"/>
          <w:lang w:val="en-US"/>
        </w:rPr>
        <w:t>TP</w:t>
      </w:r>
      <w:r w:rsidRPr="002E124D">
        <w:rPr>
          <w:rFonts w:ascii="Times New Roman" w:hAnsi="Times New Roman" w:cs="Times New Roman"/>
          <w:sz w:val="28"/>
          <w:szCs w:val="28"/>
        </w:rPr>
        <w:t xml:space="preserve">, </w:t>
      </w:r>
      <w:r w:rsidRPr="002E124D">
        <w:rPr>
          <w:rFonts w:ascii="Times New Roman" w:hAnsi="Times New Roman" w:cs="Times New Roman"/>
          <w:sz w:val="28"/>
          <w:szCs w:val="28"/>
          <w:lang w:val="en-US"/>
        </w:rPr>
        <w:t>c</w:t>
      </w:r>
      <w:r w:rsidRPr="002E124D">
        <w:rPr>
          <w:rFonts w:ascii="Times New Roman" w:hAnsi="Times New Roman" w:cs="Times New Roman"/>
          <w:sz w:val="28"/>
          <w:szCs w:val="28"/>
        </w:rPr>
        <w:t>-</w:t>
      </w:r>
      <w:r w:rsidRPr="002E124D">
        <w:rPr>
          <w:rFonts w:ascii="Times New Roman" w:hAnsi="Times New Roman" w:cs="Times New Roman"/>
          <w:sz w:val="28"/>
          <w:szCs w:val="28"/>
          <w:lang w:val="en-US"/>
        </w:rPr>
        <w:t>kit</w:t>
      </w:r>
      <w:r w:rsidRPr="002E124D">
        <w:rPr>
          <w:rFonts w:ascii="Times New Roman" w:hAnsi="Times New Roman" w:cs="Times New Roman"/>
          <w:sz w:val="28"/>
          <w:szCs w:val="28"/>
        </w:rPr>
        <w:t xml:space="preserve">. </w:t>
      </w:r>
    </w:p>
    <w:p w:rsidR="00037502" w:rsidRDefault="00037502" w:rsidP="005E0D82">
      <w:pPr>
        <w:pStyle w:val="a3"/>
        <w:numPr>
          <w:ilvl w:val="0"/>
          <w:numId w:val="20"/>
        </w:numPr>
        <w:spacing w:after="0" w:line="360" w:lineRule="auto"/>
        <w:ind w:left="0"/>
        <w:rPr>
          <w:rFonts w:ascii="Times New Roman" w:hAnsi="Times New Roman" w:cs="Times New Roman"/>
          <w:sz w:val="28"/>
          <w:szCs w:val="28"/>
        </w:rPr>
      </w:pPr>
      <w:r>
        <w:rPr>
          <w:rFonts w:ascii="Times New Roman" w:hAnsi="Times New Roman" w:cs="Times New Roman"/>
          <w:sz w:val="28"/>
          <w:szCs w:val="28"/>
        </w:rPr>
        <w:t>Провести сравнительную морфо-генетическую характеристику опухолей при их злокачественной трансформации</w:t>
      </w:r>
    </w:p>
    <w:p w:rsidR="005E0D82" w:rsidRPr="002E124D" w:rsidRDefault="005E0D82" w:rsidP="005E0D82">
      <w:pPr>
        <w:pStyle w:val="a3"/>
        <w:spacing w:after="0" w:line="360" w:lineRule="auto"/>
        <w:ind w:left="0"/>
        <w:rPr>
          <w:rFonts w:ascii="Times New Roman" w:hAnsi="Times New Roman" w:cs="Times New Roman"/>
          <w:sz w:val="28"/>
          <w:szCs w:val="28"/>
        </w:rPr>
      </w:pPr>
    </w:p>
    <w:p w:rsidR="006C7081" w:rsidRDefault="009B6A3A" w:rsidP="005E0D82">
      <w:pPr>
        <w:pStyle w:val="a3"/>
        <w:spacing w:after="0" w:line="360" w:lineRule="auto"/>
        <w:ind w:left="0"/>
        <w:jc w:val="both"/>
        <w:outlineLvl w:val="1"/>
        <w:rPr>
          <w:rFonts w:ascii="Times New Roman" w:hAnsi="Times New Roman" w:cs="Times New Roman"/>
          <w:b/>
          <w:sz w:val="28"/>
          <w:szCs w:val="28"/>
        </w:rPr>
      </w:pPr>
      <w:bookmarkStart w:id="13" w:name="_Toc9031260"/>
      <w:bookmarkStart w:id="14" w:name="_Toc9250591"/>
      <w:r w:rsidRPr="002E124D">
        <w:rPr>
          <w:rFonts w:ascii="Times New Roman" w:hAnsi="Times New Roman" w:cs="Times New Roman"/>
          <w:b/>
          <w:sz w:val="28"/>
          <w:szCs w:val="28"/>
        </w:rPr>
        <w:t>Теоретическое</w:t>
      </w:r>
      <w:r w:rsidR="006C7081" w:rsidRPr="002E124D">
        <w:rPr>
          <w:rFonts w:ascii="Times New Roman" w:hAnsi="Times New Roman" w:cs="Times New Roman"/>
          <w:b/>
          <w:sz w:val="28"/>
          <w:szCs w:val="28"/>
        </w:rPr>
        <w:t xml:space="preserve"> значение </w:t>
      </w:r>
      <w:r w:rsidRPr="002E124D">
        <w:rPr>
          <w:rFonts w:ascii="Times New Roman" w:hAnsi="Times New Roman" w:cs="Times New Roman"/>
          <w:b/>
          <w:sz w:val="28"/>
          <w:szCs w:val="28"/>
        </w:rPr>
        <w:t>исследования</w:t>
      </w:r>
      <w:r w:rsidR="006C7081" w:rsidRPr="002E124D">
        <w:rPr>
          <w:rFonts w:ascii="Times New Roman" w:hAnsi="Times New Roman" w:cs="Times New Roman"/>
          <w:b/>
          <w:sz w:val="28"/>
          <w:szCs w:val="28"/>
        </w:rPr>
        <w:t>:</w:t>
      </w:r>
      <w:bookmarkEnd w:id="13"/>
      <w:bookmarkEnd w:id="14"/>
    </w:p>
    <w:p w:rsidR="00490A37" w:rsidRPr="005E0D82" w:rsidRDefault="00490A37" w:rsidP="005E0D82">
      <w:pPr>
        <w:spacing w:line="360" w:lineRule="auto"/>
        <w:rPr>
          <w:rFonts w:ascii="Times New Roman" w:hAnsi="Times New Roman" w:cs="Times New Roman"/>
          <w:sz w:val="28"/>
          <w:szCs w:val="28"/>
        </w:rPr>
      </w:pPr>
      <w:r w:rsidRPr="005E0D82">
        <w:rPr>
          <w:rFonts w:ascii="Times New Roman" w:hAnsi="Times New Roman" w:cs="Times New Roman"/>
          <w:sz w:val="28"/>
          <w:szCs w:val="28"/>
        </w:rPr>
        <w:t xml:space="preserve">В рамках данного исследования было проанализирована молекулярно-генетическая картина нейроэпителиальных опухолей с учетом их биологической гетерогенности, произведена оценка экспрессии основных генов, характерных для данных опухолевых подтипов как до рецидива и злокачественной трансформации, так и после. Была проанализирована частота рецидивирования и злокачественной трансформации нейроэпителиальных опухолей на примере популяции г. Санкт-Петербурга, выявлены биологические и молекулярно-генетические факторы риска злокачественной трансформации, оценены показатели выживаемости, такие как безрецидивная выживаемость и общая выживаемость и рассчитана возможная зависимость данных показателей от молекулярной структуры опухоли, тактики лечения и различных клинических факторов, а также была описана морфологическая характеристика </w:t>
      </w:r>
      <w:r w:rsidR="00DF6641" w:rsidRPr="005E0D82">
        <w:rPr>
          <w:rFonts w:ascii="Times New Roman" w:hAnsi="Times New Roman" w:cs="Times New Roman"/>
          <w:sz w:val="28"/>
          <w:szCs w:val="28"/>
        </w:rPr>
        <w:t>новообразований</w:t>
      </w:r>
      <w:r w:rsidRPr="005E0D82">
        <w:rPr>
          <w:rFonts w:ascii="Times New Roman" w:hAnsi="Times New Roman" w:cs="Times New Roman"/>
          <w:sz w:val="28"/>
          <w:szCs w:val="28"/>
        </w:rPr>
        <w:t xml:space="preserve"> головного мозга до и после их злокачественной трансформации. </w:t>
      </w:r>
      <w:r w:rsidR="00DF6641" w:rsidRPr="005E0D82">
        <w:rPr>
          <w:rFonts w:ascii="Times New Roman" w:hAnsi="Times New Roman" w:cs="Times New Roman"/>
          <w:sz w:val="28"/>
          <w:szCs w:val="28"/>
        </w:rPr>
        <w:t xml:space="preserve">Данная работа дает представление об </w:t>
      </w:r>
      <w:r w:rsidR="00DF6641" w:rsidRPr="005E0D82">
        <w:rPr>
          <w:rFonts w:ascii="Times New Roman" w:hAnsi="Times New Roman" w:cs="Times New Roman"/>
          <w:sz w:val="28"/>
          <w:szCs w:val="28"/>
        </w:rPr>
        <w:lastRenderedPageBreak/>
        <w:t>этиопатогенезе развития нейроэпителиальных опухолей, формирует понятие о комплексе изменений клинического, генетического и морфологического характера, сопутствующих такому распространенному и малоизученному событию, как злокачественная трансформация, что имеет несомненную теоретическую ценность для понимая природы этой группы новообразований.</w:t>
      </w:r>
    </w:p>
    <w:p w:rsidR="006C7081" w:rsidRDefault="006C7081" w:rsidP="005E0D82">
      <w:pPr>
        <w:spacing w:after="0" w:line="360" w:lineRule="auto"/>
        <w:jc w:val="both"/>
        <w:outlineLvl w:val="1"/>
        <w:rPr>
          <w:rFonts w:ascii="Times New Roman" w:hAnsi="Times New Roman" w:cs="Times New Roman"/>
          <w:b/>
          <w:sz w:val="28"/>
          <w:szCs w:val="28"/>
        </w:rPr>
      </w:pPr>
      <w:bookmarkStart w:id="15" w:name="_Toc9031261"/>
      <w:bookmarkStart w:id="16" w:name="_Toc9250592"/>
      <w:r w:rsidRPr="00990FE2">
        <w:rPr>
          <w:rFonts w:ascii="Times New Roman" w:hAnsi="Times New Roman" w:cs="Times New Roman"/>
          <w:b/>
          <w:sz w:val="28"/>
          <w:szCs w:val="28"/>
        </w:rPr>
        <w:t>Практическое значение исследования:</w:t>
      </w:r>
      <w:bookmarkEnd w:id="15"/>
      <w:bookmarkEnd w:id="16"/>
      <w:r w:rsidRPr="00990FE2">
        <w:rPr>
          <w:rFonts w:ascii="Times New Roman" w:hAnsi="Times New Roman" w:cs="Times New Roman"/>
          <w:b/>
          <w:sz w:val="28"/>
          <w:szCs w:val="28"/>
        </w:rPr>
        <w:t xml:space="preserve"> </w:t>
      </w:r>
    </w:p>
    <w:p w:rsidR="00DF6641" w:rsidRPr="005E0D82" w:rsidRDefault="00DF6641" w:rsidP="005E0D82">
      <w:pPr>
        <w:spacing w:line="360" w:lineRule="auto"/>
        <w:rPr>
          <w:rFonts w:ascii="Times New Roman" w:hAnsi="Times New Roman" w:cs="Times New Roman"/>
          <w:sz w:val="28"/>
          <w:szCs w:val="28"/>
        </w:rPr>
      </w:pPr>
      <w:r w:rsidRPr="005E0D82">
        <w:rPr>
          <w:rFonts w:ascii="Times New Roman" w:hAnsi="Times New Roman" w:cs="Times New Roman"/>
          <w:sz w:val="28"/>
          <w:szCs w:val="28"/>
        </w:rPr>
        <w:t xml:space="preserve">В ходе исследования было проанализировано влияние клинических и молекулярных факторов на злокачественную трансформацию нейроэпителиальных опухолей, что имеет очевидное практическое значение, так как позволяет стратифицировать опухоли головного мозга на </w:t>
      </w:r>
      <w:r w:rsidR="00960063" w:rsidRPr="005E0D82">
        <w:rPr>
          <w:rFonts w:ascii="Times New Roman" w:hAnsi="Times New Roman" w:cs="Times New Roman"/>
          <w:sz w:val="28"/>
          <w:szCs w:val="28"/>
        </w:rPr>
        <w:t>этапе</w:t>
      </w:r>
      <w:r w:rsidRPr="005E0D82">
        <w:rPr>
          <w:rFonts w:ascii="Times New Roman" w:hAnsi="Times New Roman" w:cs="Times New Roman"/>
          <w:sz w:val="28"/>
          <w:szCs w:val="28"/>
        </w:rPr>
        <w:t xml:space="preserve"> диагностики для установления приблизительного риска возможной малигнизации. Кроме того, была изучена взаимосвязь молекулярно-генетических и клинических факторов и показателей выживаемости, что позволяет вывести возможные прогностические паттерны общей и безрецидивной выживаемости ещё на </w:t>
      </w:r>
      <w:r w:rsidR="00960063" w:rsidRPr="005E0D82">
        <w:rPr>
          <w:rFonts w:ascii="Times New Roman" w:hAnsi="Times New Roman" w:cs="Times New Roman"/>
          <w:sz w:val="28"/>
          <w:szCs w:val="28"/>
        </w:rPr>
        <w:t>уровне</w:t>
      </w:r>
      <w:r w:rsidRPr="005E0D82">
        <w:rPr>
          <w:rFonts w:ascii="Times New Roman" w:hAnsi="Times New Roman" w:cs="Times New Roman"/>
          <w:sz w:val="28"/>
          <w:szCs w:val="28"/>
        </w:rPr>
        <w:t xml:space="preserve"> обследования первичной опухоли. Немаловажным также представляется тот факт, что в рамках работы была оценена корреляция показателей выживаемости и терапевтического подхода, на основе чего можно указать предпочтительные с точки зрения более благоприятного прогноза лекарственные тактики и, на</w:t>
      </w:r>
      <w:r w:rsidR="00960063" w:rsidRPr="005E0D82">
        <w:rPr>
          <w:rFonts w:ascii="Times New Roman" w:hAnsi="Times New Roman" w:cs="Times New Roman"/>
          <w:sz w:val="28"/>
          <w:szCs w:val="28"/>
        </w:rPr>
        <w:t xml:space="preserve">оборот, нежелательные для нейроэпителиальных опухолей лечебные стратегии. В дополнение к этому была проанализирована эффективность исследования определенных молекулярно-генетических маркеров в качестве предикторов лекарственного лечения и была выявлена корреляция экспрессии тех или иных генов и терапевтического ответа на определенные фармакологические средства. Вышеупомянутые этапы проведенной работы обладают практическим значением и способны оказать </w:t>
      </w:r>
      <w:r w:rsidR="00960063" w:rsidRPr="005E0D82">
        <w:rPr>
          <w:rFonts w:ascii="Times New Roman" w:hAnsi="Times New Roman" w:cs="Times New Roman"/>
          <w:sz w:val="28"/>
          <w:szCs w:val="28"/>
        </w:rPr>
        <w:lastRenderedPageBreak/>
        <w:t>положительное влияние на лечебный подход к нейроэпителиальным опухолям.</w:t>
      </w:r>
    </w:p>
    <w:p w:rsidR="00721EB7" w:rsidRDefault="006C7081" w:rsidP="005E0D82">
      <w:pPr>
        <w:pStyle w:val="1"/>
        <w:spacing w:before="0" w:after="0"/>
        <w:jc w:val="both"/>
        <w:rPr>
          <w:rFonts w:cs="Times New Roman"/>
        </w:rPr>
      </w:pPr>
      <w:bookmarkStart w:id="17" w:name="_Toc419408692"/>
      <w:bookmarkStart w:id="18" w:name="_Toc9031262"/>
      <w:bookmarkStart w:id="19" w:name="_Toc9250593"/>
      <w:r w:rsidRPr="002E124D">
        <w:rPr>
          <w:rFonts w:cs="Times New Roman"/>
        </w:rPr>
        <w:t xml:space="preserve">Глава 1. </w:t>
      </w:r>
      <w:bookmarkEnd w:id="17"/>
      <w:r w:rsidR="009B6A3A" w:rsidRPr="002E124D">
        <w:rPr>
          <w:rFonts w:cs="Times New Roman"/>
        </w:rPr>
        <w:t>Обзор литературы</w:t>
      </w:r>
      <w:bookmarkEnd w:id="18"/>
      <w:bookmarkEnd w:id="19"/>
    </w:p>
    <w:p w:rsidR="00721EB7" w:rsidRPr="006D546C" w:rsidRDefault="00721EB7" w:rsidP="005E0D82">
      <w:pPr>
        <w:pStyle w:val="2"/>
        <w:numPr>
          <w:ilvl w:val="1"/>
          <w:numId w:val="29"/>
        </w:numPr>
        <w:spacing w:line="360" w:lineRule="auto"/>
        <w:rPr>
          <w:b/>
          <w:bCs w:val="0"/>
        </w:rPr>
      </w:pPr>
      <w:bookmarkStart w:id="20" w:name="_Toc9031263"/>
      <w:bookmarkStart w:id="21" w:name="_Toc9250594"/>
      <w:r w:rsidRPr="006D546C">
        <w:rPr>
          <w:b/>
          <w:bCs w:val="0"/>
        </w:rPr>
        <w:t>Современные представления об определении и классификации нейроэпителиальных опухолей</w:t>
      </w:r>
      <w:bookmarkEnd w:id="20"/>
      <w:bookmarkEnd w:id="21"/>
    </w:p>
    <w:p w:rsidR="003B2864" w:rsidRDefault="00721EB7" w:rsidP="005E0D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Нейроэпителиальные опухоли – это гетерогенная и крупная группа новообразований, </w:t>
      </w:r>
      <w:r w:rsidR="00017931">
        <w:rPr>
          <w:rFonts w:ascii="Times New Roman" w:hAnsi="Times New Roman" w:cs="Times New Roman"/>
          <w:sz w:val="28"/>
          <w:szCs w:val="28"/>
        </w:rPr>
        <w:t xml:space="preserve">входящая, наряду с опухолями из оболочек мозга и черепных и спинальных нервов в обширный класс первичных опухолей центральной нервной системы. Все нейроэпителиальные опухоли объединяет их происхождение из нейроэктодермальной ткани, во взрослом организме существующей в ЦНС и головном мозге в частности. Глиомы, т.е., опухоли имеющие гистологические сходства с нормальными глиальными клетками (астроцитами, олигодендроцитами, эпендимиоцитами), составляют подавляющее большинство встречаемых в практике нейроэпителиальных опухолей </w:t>
      </w:r>
      <w:r w:rsidR="00017931" w:rsidRPr="00017931">
        <w:rPr>
          <w:rFonts w:ascii="Times New Roman" w:hAnsi="Times New Roman" w:cs="Times New Roman"/>
          <w:sz w:val="28"/>
          <w:szCs w:val="28"/>
        </w:rPr>
        <w:t>[2]</w:t>
      </w:r>
      <w:r w:rsidR="00017931">
        <w:rPr>
          <w:rFonts w:ascii="Times New Roman" w:hAnsi="Times New Roman" w:cs="Times New Roman"/>
          <w:sz w:val="28"/>
          <w:szCs w:val="28"/>
        </w:rPr>
        <w:t>, однако многообразие и многогран</w:t>
      </w:r>
      <w:r w:rsidR="00BE2D98">
        <w:rPr>
          <w:rFonts w:ascii="Times New Roman" w:hAnsi="Times New Roman" w:cs="Times New Roman"/>
          <w:sz w:val="28"/>
          <w:szCs w:val="28"/>
        </w:rPr>
        <w:t>ность различных новообразований ЦНС на протяжении десятилетий обуславливало актуальность и создавало трудности в создании рациональной и не перегруженной классификации данных нозологий</w:t>
      </w:r>
      <w:r w:rsidR="003B2864">
        <w:rPr>
          <w:rFonts w:ascii="Times New Roman" w:hAnsi="Times New Roman" w:cs="Times New Roman"/>
          <w:sz w:val="28"/>
          <w:szCs w:val="28"/>
        </w:rPr>
        <w:t>.</w:t>
      </w:r>
    </w:p>
    <w:p w:rsidR="003B2864" w:rsidRDefault="003B2864" w:rsidP="005E0D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Первая попытка создания единой классификации опухолей ЦНС датируется 1926 годом, когда по системе Бейли и Кушинга новообразования мозга были впервые разделены по гистологическим признакам на глиальные и происходящие из оболочек мозга </w:t>
      </w:r>
      <w:r w:rsidRPr="003B2864">
        <w:rPr>
          <w:rFonts w:ascii="Times New Roman" w:hAnsi="Times New Roman" w:cs="Times New Roman"/>
          <w:sz w:val="28"/>
          <w:szCs w:val="28"/>
        </w:rPr>
        <w:t>[3]</w:t>
      </w:r>
      <w:r>
        <w:rPr>
          <w:rFonts w:ascii="Times New Roman" w:hAnsi="Times New Roman" w:cs="Times New Roman"/>
          <w:sz w:val="28"/>
          <w:szCs w:val="28"/>
        </w:rPr>
        <w:t xml:space="preserve">. В 1949-1950-х годах система была несколько модифицирована </w:t>
      </w:r>
      <w:r w:rsidR="001403F8">
        <w:rPr>
          <w:rFonts w:ascii="Times New Roman" w:hAnsi="Times New Roman" w:cs="Times New Roman"/>
          <w:sz w:val="28"/>
          <w:szCs w:val="28"/>
        </w:rPr>
        <w:t xml:space="preserve">Керноганом и Рингерцем </w:t>
      </w:r>
      <w:r w:rsidR="001403F8" w:rsidRPr="001403F8">
        <w:rPr>
          <w:rFonts w:ascii="Times New Roman" w:hAnsi="Times New Roman" w:cs="Times New Roman"/>
          <w:sz w:val="28"/>
          <w:szCs w:val="28"/>
        </w:rPr>
        <w:t>[4]</w:t>
      </w:r>
      <w:r w:rsidR="001403F8">
        <w:rPr>
          <w:rFonts w:ascii="Times New Roman" w:hAnsi="Times New Roman" w:cs="Times New Roman"/>
          <w:sz w:val="28"/>
          <w:szCs w:val="28"/>
        </w:rPr>
        <w:t xml:space="preserve">, что и послужило основой для создания первой классификации ВОЗ, что была представлена в 1979 году и пересматривалась четырежды. Именно последняя редакция классификации опухолей ЦНС ВОЗ, опубликованная в 2016 году, является на данный момент ведущей и эталонной, и именно на ней базируется современная </w:t>
      </w:r>
      <w:r w:rsidR="001403F8">
        <w:rPr>
          <w:rFonts w:ascii="Times New Roman" w:hAnsi="Times New Roman" w:cs="Times New Roman"/>
          <w:sz w:val="28"/>
          <w:szCs w:val="28"/>
        </w:rPr>
        <w:lastRenderedPageBreak/>
        <w:t xml:space="preserve">нейроонкология (Приложение 1) </w:t>
      </w:r>
      <w:r w:rsidR="001403F8" w:rsidRPr="001403F8">
        <w:rPr>
          <w:rFonts w:ascii="Times New Roman" w:hAnsi="Times New Roman" w:cs="Times New Roman"/>
          <w:sz w:val="28"/>
          <w:szCs w:val="28"/>
        </w:rPr>
        <w:t>[5]</w:t>
      </w:r>
      <w:r w:rsidR="001403F8">
        <w:rPr>
          <w:rFonts w:ascii="Times New Roman" w:hAnsi="Times New Roman" w:cs="Times New Roman"/>
          <w:sz w:val="28"/>
          <w:szCs w:val="28"/>
        </w:rPr>
        <w:t xml:space="preserve">. Классификация 2016 года заслуженно считается революционной, т.к. впервые за всю историю изучения опухолей ЦНС в основу положено не только гистологическое строение того или иного новообразования, но и его молекулярно-генетическая характеристика </w:t>
      </w:r>
      <w:r w:rsidR="001403F8" w:rsidRPr="001403F8">
        <w:rPr>
          <w:rFonts w:ascii="Times New Roman" w:hAnsi="Times New Roman" w:cs="Times New Roman"/>
          <w:sz w:val="28"/>
          <w:szCs w:val="28"/>
        </w:rPr>
        <w:t>[6]</w:t>
      </w:r>
      <w:r w:rsidR="001403F8">
        <w:rPr>
          <w:rFonts w:ascii="Times New Roman" w:hAnsi="Times New Roman" w:cs="Times New Roman"/>
          <w:sz w:val="28"/>
          <w:szCs w:val="28"/>
        </w:rPr>
        <w:t xml:space="preserve">. </w:t>
      </w:r>
      <w:r w:rsidR="00913AFC">
        <w:rPr>
          <w:rFonts w:ascii="Times New Roman" w:hAnsi="Times New Roman" w:cs="Times New Roman"/>
          <w:sz w:val="28"/>
          <w:szCs w:val="28"/>
        </w:rPr>
        <w:t xml:space="preserve">Основными нововведениями этой классификации стало появление диффузных глиом разной степени злокачественности с мутацией в гене </w:t>
      </w:r>
      <w:r w:rsidR="00913AFC">
        <w:rPr>
          <w:rFonts w:ascii="Times New Roman" w:hAnsi="Times New Roman" w:cs="Times New Roman"/>
          <w:sz w:val="28"/>
          <w:szCs w:val="28"/>
          <w:lang w:val="en-US"/>
        </w:rPr>
        <w:t>IDH</w:t>
      </w:r>
      <w:r w:rsidR="00913AFC">
        <w:rPr>
          <w:rFonts w:ascii="Times New Roman" w:hAnsi="Times New Roman" w:cs="Times New Roman"/>
          <w:sz w:val="28"/>
          <w:szCs w:val="28"/>
        </w:rPr>
        <w:t xml:space="preserve"> и без нее;</w:t>
      </w:r>
      <w:r w:rsidR="004B3E32">
        <w:rPr>
          <w:rFonts w:ascii="Times New Roman" w:hAnsi="Times New Roman" w:cs="Times New Roman"/>
          <w:sz w:val="28"/>
          <w:szCs w:val="28"/>
        </w:rPr>
        <w:t xml:space="preserve"> глиомы с наличием или отсутствием ко-делеции 1</w:t>
      </w:r>
      <w:r w:rsidR="004B3E32">
        <w:rPr>
          <w:rFonts w:ascii="Times New Roman" w:hAnsi="Times New Roman" w:cs="Times New Roman"/>
          <w:sz w:val="28"/>
          <w:szCs w:val="28"/>
          <w:lang w:val="en-US"/>
        </w:rPr>
        <w:t>p</w:t>
      </w:r>
      <w:r w:rsidR="004B3E32" w:rsidRPr="00913AFC">
        <w:rPr>
          <w:rFonts w:ascii="Times New Roman" w:hAnsi="Times New Roman" w:cs="Times New Roman"/>
          <w:sz w:val="28"/>
          <w:szCs w:val="28"/>
        </w:rPr>
        <w:t>19</w:t>
      </w:r>
      <w:r w:rsidR="004B3E32">
        <w:rPr>
          <w:rFonts w:ascii="Times New Roman" w:hAnsi="Times New Roman" w:cs="Times New Roman"/>
          <w:sz w:val="28"/>
          <w:szCs w:val="28"/>
          <w:lang w:val="en-US"/>
        </w:rPr>
        <w:t>q</w:t>
      </w:r>
      <w:r w:rsidR="004B3E32">
        <w:rPr>
          <w:rFonts w:ascii="Times New Roman" w:hAnsi="Times New Roman" w:cs="Times New Roman"/>
          <w:sz w:val="28"/>
          <w:szCs w:val="28"/>
        </w:rPr>
        <w:t>;</w:t>
      </w:r>
      <w:r w:rsidR="00913AFC">
        <w:rPr>
          <w:rFonts w:ascii="Times New Roman" w:hAnsi="Times New Roman" w:cs="Times New Roman"/>
          <w:sz w:val="28"/>
          <w:szCs w:val="28"/>
        </w:rPr>
        <w:t xml:space="preserve"> диффузная глиома средней линии с мутацией К27М в гене Н3; анапластическая плеоморфная ксантоастроцитома и эпителиоидная глиобластома. При этом в случае глиом наиболее значимыми являются такие молекулярные маркеры, как наличие/отсутствие мутации </w:t>
      </w:r>
      <w:r w:rsidR="00913AFC">
        <w:rPr>
          <w:rFonts w:ascii="Times New Roman" w:hAnsi="Times New Roman" w:cs="Times New Roman"/>
          <w:sz w:val="28"/>
          <w:szCs w:val="28"/>
          <w:lang w:val="en-US"/>
        </w:rPr>
        <w:t>IDH</w:t>
      </w:r>
      <w:r w:rsidR="00913AFC">
        <w:rPr>
          <w:rFonts w:ascii="Times New Roman" w:hAnsi="Times New Roman" w:cs="Times New Roman"/>
          <w:sz w:val="28"/>
          <w:szCs w:val="28"/>
        </w:rPr>
        <w:t xml:space="preserve"> и ко-делеции 1</w:t>
      </w:r>
      <w:r w:rsidR="00913AFC">
        <w:rPr>
          <w:rFonts w:ascii="Times New Roman" w:hAnsi="Times New Roman" w:cs="Times New Roman"/>
          <w:sz w:val="28"/>
          <w:szCs w:val="28"/>
          <w:lang w:val="en-US"/>
        </w:rPr>
        <w:t>p</w:t>
      </w:r>
      <w:r w:rsidR="00913AFC" w:rsidRPr="00913AFC">
        <w:rPr>
          <w:rFonts w:ascii="Times New Roman" w:hAnsi="Times New Roman" w:cs="Times New Roman"/>
          <w:sz w:val="28"/>
          <w:szCs w:val="28"/>
        </w:rPr>
        <w:t>19</w:t>
      </w:r>
      <w:r w:rsidR="00913AFC">
        <w:rPr>
          <w:rFonts w:ascii="Times New Roman" w:hAnsi="Times New Roman" w:cs="Times New Roman"/>
          <w:sz w:val="28"/>
          <w:szCs w:val="28"/>
          <w:lang w:val="en-US"/>
        </w:rPr>
        <w:t>q</w:t>
      </w:r>
      <w:r w:rsidR="00913AFC">
        <w:rPr>
          <w:rFonts w:ascii="Times New Roman" w:hAnsi="Times New Roman" w:cs="Times New Roman"/>
          <w:sz w:val="28"/>
          <w:szCs w:val="28"/>
        </w:rPr>
        <w:t xml:space="preserve"> – именно от этих генетических факторов зависит окончательный диагноз, до этого ограниченный морфологическим исследованием и гистологической оценкой (рис. 19). </w:t>
      </w:r>
    </w:p>
    <w:p w:rsidR="004B3E32" w:rsidRDefault="004B3E32" w:rsidP="005E0D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Так, диффузные глиомы (астроцитарных и олигодендроглиальных – самых распространенных нейроэпителиальных опухолей) с мутацией </w:t>
      </w:r>
      <w:r>
        <w:rPr>
          <w:rFonts w:ascii="Times New Roman" w:hAnsi="Times New Roman" w:cs="Times New Roman"/>
          <w:sz w:val="28"/>
          <w:szCs w:val="28"/>
          <w:lang w:val="en-US"/>
        </w:rPr>
        <w:t>IDH</w:t>
      </w:r>
      <w:r>
        <w:rPr>
          <w:rFonts w:ascii="Times New Roman" w:hAnsi="Times New Roman" w:cs="Times New Roman"/>
          <w:sz w:val="28"/>
          <w:szCs w:val="28"/>
        </w:rPr>
        <w:t xml:space="preserve"> считаются опухолями с более благоприятным прогнозом, хоть морфологические опухоли первой и второй группы совершенно неотличимы. То же касается наличие ко-делеции 1</w:t>
      </w:r>
      <w:r>
        <w:rPr>
          <w:rFonts w:ascii="Times New Roman" w:hAnsi="Times New Roman" w:cs="Times New Roman"/>
          <w:sz w:val="28"/>
          <w:szCs w:val="28"/>
          <w:lang w:val="en-US"/>
        </w:rPr>
        <w:t>p</w:t>
      </w:r>
      <w:r w:rsidRPr="00913AFC">
        <w:rPr>
          <w:rFonts w:ascii="Times New Roman" w:hAnsi="Times New Roman" w:cs="Times New Roman"/>
          <w:sz w:val="28"/>
          <w:szCs w:val="28"/>
        </w:rPr>
        <w:t>19</w:t>
      </w:r>
      <w:r>
        <w:rPr>
          <w:rFonts w:ascii="Times New Roman" w:hAnsi="Times New Roman" w:cs="Times New Roman"/>
          <w:sz w:val="28"/>
          <w:szCs w:val="28"/>
          <w:lang w:val="en-US"/>
        </w:rPr>
        <w:t>q</w:t>
      </w:r>
      <w:r>
        <w:rPr>
          <w:rFonts w:ascii="Times New Roman" w:hAnsi="Times New Roman" w:cs="Times New Roman"/>
          <w:sz w:val="28"/>
          <w:szCs w:val="28"/>
        </w:rPr>
        <w:t xml:space="preserve">. </w:t>
      </w:r>
    </w:p>
    <w:p w:rsidR="00130234" w:rsidRPr="007B7064" w:rsidRDefault="004B3E32" w:rsidP="005E0D82">
      <w:pPr>
        <w:pStyle w:val="af"/>
        <w:spacing w:before="0" w:beforeAutospacing="0" w:after="0" w:afterAutospacing="0" w:line="360" w:lineRule="auto"/>
        <w:rPr>
          <w:color w:val="000000"/>
          <w:sz w:val="28"/>
          <w:szCs w:val="28"/>
        </w:rPr>
      </w:pPr>
      <w:r>
        <w:rPr>
          <w:sz w:val="28"/>
          <w:szCs w:val="28"/>
        </w:rPr>
        <w:t>При этом новая классификация сохранила привычное разделение опухоли по степени дифференцировки (</w:t>
      </w:r>
      <w:r>
        <w:rPr>
          <w:sz w:val="28"/>
          <w:szCs w:val="28"/>
          <w:lang w:val="en-US"/>
        </w:rPr>
        <w:t>grade</w:t>
      </w:r>
      <w:r w:rsidRPr="004B3E32">
        <w:rPr>
          <w:sz w:val="28"/>
          <w:szCs w:val="28"/>
        </w:rPr>
        <w:t>)</w:t>
      </w:r>
      <w:r>
        <w:rPr>
          <w:sz w:val="28"/>
          <w:szCs w:val="28"/>
        </w:rPr>
        <w:t xml:space="preserve">: медленно растущие глиомы соответствуют </w:t>
      </w:r>
      <w:r>
        <w:rPr>
          <w:sz w:val="28"/>
          <w:szCs w:val="28"/>
          <w:lang w:val="en-US"/>
        </w:rPr>
        <w:t>grade</w:t>
      </w:r>
      <w:r w:rsidRPr="004B3E32">
        <w:rPr>
          <w:sz w:val="28"/>
          <w:szCs w:val="28"/>
        </w:rPr>
        <w:t xml:space="preserve"> </w:t>
      </w:r>
      <w:r>
        <w:rPr>
          <w:sz w:val="28"/>
          <w:szCs w:val="28"/>
          <w:lang w:val="en-US"/>
        </w:rPr>
        <w:t>I</w:t>
      </w:r>
      <w:r w:rsidR="00130234">
        <w:rPr>
          <w:sz w:val="28"/>
          <w:szCs w:val="28"/>
        </w:rPr>
        <w:t xml:space="preserve"> (пилоцитарная астроцитома, субэпендимома, </w:t>
      </w:r>
      <w:r w:rsidR="00130234" w:rsidRPr="00130234">
        <w:rPr>
          <w:sz w:val="28"/>
          <w:szCs w:val="28"/>
        </w:rPr>
        <w:t>ганглиоцитома и т.п.)</w:t>
      </w:r>
      <w:r w:rsidRPr="00130234">
        <w:rPr>
          <w:sz w:val="28"/>
          <w:szCs w:val="28"/>
        </w:rPr>
        <w:t xml:space="preserve"> и </w:t>
      </w:r>
      <w:r w:rsidRPr="00130234">
        <w:rPr>
          <w:sz w:val="28"/>
          <w:szCs w:val="28"/>
          <w:lang w:val="en-US"/>
        </w:rPr>
        <w:t>grade</w:t>
      </w:r>
      <w:r w:rsidRPr="00130234">
        <w:rPr>
          <w:sz w:val="28"/>
          <w:szCs w:val="28"/>
        </w:rPr>
        <w:t xml:space="preserve"> </w:t>
      </w:r>
      <w:r w:rsidRPr="00130234">
        <w:rPr>
          <w:sz w:val="28"/>
          <w:szCs w:val="28"/>
          <w:lang w:val="en-US"/>
        </w:rPr>
        <w:t>II</w:t>
      </w:r>
      <w:r w:rsidRPr="00130234">
        <w:rPr>
          <w:sz w:val="28"/>
          <w:szCs w:val="28"/>
        </w:rPr>
        <w:t xml:space="preserve"> </w:t>
      </w:r>
      <w:r w:rsidR="00130234" w:rsidRPr="00130234">
        <w:rPr>
          <w:sz w:val="28"/>
          <w:szCs w:val="28"/>
        </w:rPr>
        <w:t xml:space="preserve">(диффузная астроцитома, олигодендроглиома, эпендимома и проч.) </w:t>
      </w:r>
      <w:r w:rsidRPr="00130234">
        <w:rPr>
          <w:sz w:val="28"/>
          <w:szCs w:val="28"/>
        </w:rPr>
        <w:t xml:space="preserve">и исторически обозначаются, как </w:t>
      </w:r>
      <w:r w:rsidRPr="00130234">
        <w:rPr>
          <w:sz w:val="28"/>
          <w:szCs w:val="28"/>
          <w:lang w:val="en-US"/>
        </w:rPr>
        <w:t>low</w:t>
      </w:r>
      <w:r w:rsidRPr="00130234">
        <w:rPr>
          <w:sz w:val="28"/>
          <w:szCs w:val="28"/>
        </w:rPr>
        <w:t>-</w:t>
      </w:r>
      <w:r w:rsidRPr="00130234">
        <w:rPr>
          <w:sz w:val="28"/>
          <w:szCs w:val="28"/>
          <w:lang w:val="en-US"/>
        </w:rPr>
        <w:t>grade</w:t>
      </w:r>
      <w:r w:rsidRPr="00130234">
        <w:rPr>
          <w:sz w:val="28"/>
          <w:szCs w:val="28"/>
        </w:rPr>
        <w:t xml:space="preserve"> глиомы, или глиомы низкой степени злокачественности, в то время, как гл</w:t>
      </w:r>
      <w:r w:rsidRPr="00130234">
        <w:rPr>
          <w:color w:val="000000"/>
          <w:sz w:val="28"/>
          <w:szCs w:val="28"/>
        </w:rPr>
        <w:t xml:space="preserve">иомы, прогрессирующие с более высокой скоростью, обозначаются как high-grade глиомы, или глиомы высокой степени злокачественности – этому подтипу соответствуют </w:t>
      </w:r>
      <w:r w:rsidRPr="00130234">
        <w:rPr>
          <w:color w:val="000000"/>
          <w:sz w:val="28"/>
          <w:szCs w:val="28"/>
          <w:lang w:val="en-US"/>
        </w:rPr>
        <w:t>grade</w:t>
      </w:r>
      <w:r w:rsidRPr="00130234">
        <w:rPr>
          <w:color w:val="000000"/>
          <w:sz w:val="28"/>
          <w:szCs w:val="28"/>
        </w:rPr>
        <w:t xml:space="preserve"> </w:t>
      </w:r>
      <w:r w:rsidRPr="00130234">
        <w:rPr>
          <w:color w:val="000000"/>
          <w:sz w:val="28"/>
          <w:szCs w:val="28"/>
          <w:lang w:val="en-US"/>
        </w:rPr>
        <w:t>III</w:t>
      </w:r>
      <w:r w:rsidR="00130234">
        <w:rPr>
          <w:color w:val="000000"/>
          <w:sz w:val="28"/>
          <w:szCs w:val="28"/>
        </w:rPr>
        <w:t xml:space="preserve"> (анапластическая астроцитома, анапластическая олигодндроглиома)</w:t>
      </w:r>
      <w:r w:rsidRPr="00130234">
        <w:rPr>
          <w:color w:val="000000"/>
          <w:sz w:val="28"/>
          <w:szCs w:val="28"/>
        </w:rPr>
        <w:t xml:space="preserve"> и </w:t>
      </w:r>
      <w:r w:rsidRPr="00130234">
        <w:rPr>
          <w:color w:val="000000"/>
          <w:sz w:val="28"/>
          <w:szCs w:val="28"/>
          <w:lang w:val="en-US"/>
        </w:rPr>
        <w:t>grade</w:t>
      </w:r>
      <w:r w:rsidRPr="00130234">
        <w:rPr>
          <w:color w:val="000000"/>
          <w:sz w:val="28"/>
          <w:szCs w:val="28"/>
        </w:rPr>
        <w:t xml:space="preserve"> </w:t>
      </w:r>
      <w:r w:rsidRPr="00130234">
        <w:rPr>
          <w:color w:val="000000"/>
          <w:sz w:val="28"/>
          <w:szCs w:val="28"/>
          <w:lang w:val="en-US"/>
        </w:rPr>
        <w:t>IV</w:t>
      </w:r>
      <w:r w:rsidRPr="00130234">
        <w:rPr>
          <w:color w:val="000000"/>
          <w:sz w:val="28"/>
          <w:szCs w:val="28"/>
        </w:rPr>
        <w:t xml:space="preserve"> опухоли</w:t>
      </w:r>
      <w:r w:rsidR="00130234">
        <w:rPr>
          <w:color w:val="000000"/>
          <w:sz w:val="28"/>
          <w:szCs w:val="28"/>
        </w:rPr>
        <w:t xml:space="preserve"> (глиобластома, диффузная глиома средней линии, </w:t>
      </w:r>
      <w:r w:rsidR="00130234">
        <w:rPr>
          <w:color w:val="000000"/>
          <w:sz w:val="28"/>
          <w:szCs w:val="28"/>
        </w:rPr>
        <w:lastRenderedPageBreak/>
        <w:t>медуллобластома)</w:t>
      </w:r>
      <w:r w:rsidRPr="00130234">
        <w:rPr>
          <w:color w:val="000000"/>
          <w:sz w:val="28"/>
          <w:szCs w:val="28"/>
        </w:rPr>
        <w:t xml:space="preserve">. При этом ВОЗ рекомендует избегать термина «low-grade глиома», т.к. этот термин объединяет довольно различные по биологической структуре, тактике </w:t>
      </w:r>
      <w:r w:rsidR="00130234" w:rsidRPr="00130234">
        <w:rPr>
          <w:color w:val="000000"/>
          <w:sz w:val="28"/>
          <w:szCs w:val="28"/>
        </w:rPr>
        <w:t>лечения и прогнозу опухоли [7]</w:t>
      </w:r>
      <w:r w:rsidRPr="00130234">
        <w:rPr>
          <w:color w:val="000000"/>
          <w:sz w:val="28"/>
          <w:szCs w:val="28"/>
        </w:rPr>
        <w:t xml:space="preserve">. К примеру, диффузная астроцитома GII и пилоцитарная астроцитома GI </w:t>
      </w:r>
      <w:r w:rsidRPr="007B7064">
        <w:rPr>
          <w:color w:val="000000"/>
          <w:sz w:val="28"/>
          <w:szCs w:val="28"/>
        </w:rPr>
        <w:t>имеют множество отличий, хоть и относятся обе к low-grade</w:t>
      </w:r>
      <w:r w:rsidR="00130234" w:rsidRPr="007B7064">
        <w:rPr>
          <w:color w:val="000000"/>
          <w:sz w:val="28"/>
          <w:szCs w:val="28"/>
        </w:rPr>
        <w:t>. Опухоли с более высокой дифференцировкой, соответственно, имеют позитивный прогноз и лучшие показатели выживаемости.</w:t>
      </w:r>
    </w:p>
    <w:p w:rsidR="00130234" w:rsidRDefault="00130234" w:rsidP="005E0D82">
      <w:pPr>
        <w:pStyle w:val="af"/>
        <w:spacing w:before="0" w:beforeAutospacing="0" w:after="0" w:afterAutospacing="0" w:line="360" w:lineRule="auto"/>
        <w:rPr>
          <w:color w:val="000000"/>
          <w:sz w:val="28"/>
          <w:szCs w:val="28"/>
        </w:rPr>
      </w:pPr>
      <w:r w:rsidRPr="007B7064">
        <w:rPr>
          <w:color w:val="000000"/>
          <w:sz w:val="28"/>
          <w:szCs w:val="28"/>
        </w:rPr>
        <w:t>Разделение опухолей по различному «</w:t>
      </w:r>
      <w:r w:rsidRPr="007B7064">
        <w:rPr>
          <w:color w:val="000000"/>
          <w:sz w:val="28"/>
          <w:szCs w:val="28"/>
          <w:lang w:val="en-US"/>
        </w:rPr>
        <w:t>grade</w:t>
      </w:r>
      <w:r w:rsidRPr="007B7064">
        <w:rPr>
          <w:color w:val="000000"/>
          <w:sz w:val="28"/>
          <w:szCs w:val="28"/>
        </w:rPr>
        <w:t xml:space="preserve">» с появлением новой классификации несколько ушло на второй план но сохранило свою актуальность и значимость, существуя как бы параллельно с молекулярно-генетической характеристикой той или иной опухоли. Сама по себе </w:t>
      </w:r>
      <w:r w:rsidRPr="007B7064">
        <w:rPr>
          <w:color w:val="000000"/>
          <w:sz w:val="28"/>
          <w:szCs w:val="28"/>
          <w:lang w:val="en-US"/>
        </w:rPr>
        <w:t>grade</w:t>
      </w:r>
      <w:r w:rsidRPr="007B7064">
        <w:rPr>
          <w:color w:val="000000"/>
          <w:sz w:val="28"/>
          <w:szCs w:val="28"/>
        </w:rPr>
        <w:t xml:space="preserve">-классификация основывается на таких признаках, как: клеточная атипия, анаплазия, митотическая активность, наличие микроваскулярной пролиферации и некрозов [8]. Так, для </w:t>
      </w:r>
      <w:r w:rsidRPr="007B7064">
        <w:rPr>
          <w:color w:val="000000"/>
          <w:sz w:val="28"/>
          <w:szCs w:val="28"/>
          <w:lang w:val="en-US"/>
        </w:rPr>
        <w:t>Grade</w:t>
      </w:r>
      <w:r w:rsidRPr="007B7064">
        <w:rPr>
          <w:color w:val="000000"/>
          <w:sz w:val="28"/>
          <w:szCs w:val="28"/>
        </w:rPr>
        <w:t xml:space="preserve"> </w:t>
      </w:r>
      <w:r w:rsidRPr="007B7064">
        <w:rPr>
          <w:color w:val="000000"/>
          <w:sz w:val="28"/>
          <w:szCs w:val="28"/>
          <w:lang w:val="en-US"/>
        </w:rPr>
        <w:t>I</w:t>
      </w:r>
      <w:r w:rsidRPr="007B7064">
        <w:rPr>
          <w:color w:val="000000"/>
          <w:sz w:val="28"/>
          <w:szCs w:val="28"/>
        </w:rPr>
        <w:t xml:space="preserve"> опухолей характерна низкая пролиферативная активность, </w:t>
      </w:r>
      <w:r w:rsidR="007B7064" w:rsidRPr="007B7064">
        <w:rPr>
          <w:color w:val="000000"/>
          <w:sz w:val="28"/>
          <w:szCs w:val="28"/>
        </w:rPr>
        <w:t xml:space="preserve">отсутствие выраженной атипии, индекс </w:t>
      </w:r>
      <w:r w:rsidR="007B7064" w:rsidRPr="007B7064">
        <w:rPr>
          <w:color w:val="000000"/>
          <w:sz w:val="28"/>
          <w:szCs w:val="28"/>
          <w:lang w:val="en-US"/>
        </w:rPr>
        <w:t>Ki</w:t>
      </w:r>
      <w:r w:rsidR="007B7064" w:rsidRPr="007B7064">
        <w:rPr>
          <w:color w:val="000000"/>
          <w:sz w:val="28"/>
          <w:szCs w:val="28"/>
        </w:rPr>
        <w:t xml:space="preserve">-67, равный 1-3%. Напротив, для </w:t>
      </w:r>
      <w:r w:rsidR="007B7064" w:rsidRPr="007B7064">
        <w:rPr>
          <w:color w:val="000000"/>
          <w:sz w:val="28"/>
          <w:szCs w:val="28"/>
          <w:lang w:val="en-US"/>
        </w:rPr>
        <w:t>Grade</w:t>
      </w:r>
      <w:r w:rsidR="007B7064" w:rsidRPr="007B7064">
        <w:rPr>
          <w:color w:val="000000"/>
          <w:sz w:val="28"/>
          <w:szCs w:val="28"/>
        </w:rPr>
        <w:t xml:space="preserve"> </w:t>
      </w:r>
      <w:r w:rsidR="007B7064" w:rsidRPr="007B7064">
        <w:rPr>
          <w:color w:val="000000"/>
          <w:sz w:val="28"/>
          <w:szCs w:val="28"/>
          <w:lang w:val="en-US"/>
        </w:rPr>
        <w:t>IV</w:t>
      </w:r>
      <w:r w:rsidR="007B7064" w:rsidRPr="007B7064">
        <w:rPr>
          <w:color w:val="000000"/>
          <w:sz w:val="28"/>
          <w:szCs w:val="28"/>
        </w:rPr>
        <w:t xml:space="preserve"> опухолей характерна ядерная атипия, митозы, пролиферация эндотелия сосудов, некроз, инфильтрация окружающих тканей и индекс </w:t>
      </w:r>
      <w:r w:rsidR="007B7064" w:rsidRPr="007B7064">
        <w:rPr>
          <w:color w:val="000000"/>
          <w:sz w:val="28"/>
          <w:szCs w:val="28"/>
          <w:lang w:val="en-US"/>
        </w:rPr>
        <w:t>Ki</w:t>
      </w:r>
      <w:r w:rsidR="007B7064" w:rsidRPr="007B7064">
        <w:rPr>
          <w:color w:val="000000"/>
          <w:sz w:val="28"/>
          <w:szCs w:val="28"/>
        </w:rPr>
        <w:t>-67 равный 15-20% [9]</w:t>
      </w:r>
      <w:r w:rsidR="007B7064">
        <w:rPr>
          <w:color w:val="000000"/>
          <w:sz w:val="28"/>
          <w:szCs w:val="28"/>
        </w:rPr>
        <w:t>.</w:t>
      </w:r>
    </w:p>
    <w:p w:rsidR="007B7064" w:rsidRPr="007B7064" w:rsidRDefault="007B7064" w:rsidP="005E0D82">
      <w:pPr>
        <w:pStyle w:val="af"/>
        <w:spacing w:before="0" w:beforeAutospacing="0" w:after="0" w:afterAutospacing="0" w:line="360" w:lineRule="auto"/>
        <w:rPr>
          <w:color w:val="000000"/>
          <w:sz w:val="28"/>
          <w:szCs w:val="28"/>
        </w:rPr>
      </w:pPr>
      <w:r>
        <w:rPr>
          <w:color w:val="000000"/>
          <w:sz w:val="28"/>
          <w:szCs w:val="28"/>
        </w:rPr>
        <w:t xml:space="preserve">В данном исследовании все опухоли диагностированы в соответствии с классификацией ВОЗ 2016 года, с учетом всех молекулярно-генетических критериев. Наряду с этим целесообразным является указание </w:t>
      </w:r>
      <w:r w:rsidR="006D546C">
        <w:rPr>
          <w:color w:val="000000"/>
          <w:sz w:val="28"/>
          <w:szCs w:val="28"/>
        </w:rPr>
        <w:t>степени дифференцировки</w:t>
      </w:r>
      <w:r>
        <w:rPr>
          <w:color w:val="000000"/>
          <w:sz w:val="28"/>
          <w:szCs w:val="28"/>
        </w:rPr>
        <w:t xml:space="preserve"> той или иной опухоли, позволяющее осуществлять быструю и четкую градацию новообразований по их морфологии, патогенезу и прогнозу.</w:t>
      </w:r>
    </w:p>
    <w:p w:rsidR="00913AFC" w:rsidRDefault="002D5731" w:rsidP="005E0D82">
      <w:pPr>
        <w:keepNext/>
        <w:spacing w:after="0" w:line="360" w:lineRule="auto"/>
      </w:pPr>
      <w:r>
        <w:rPr>
          <w:rFonts w:ascii="Times New Roman" w:hAnsi="Times New Roman" w:cs="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357pt;height:334.2pt">
            <v:imagedata r:id="rId8" o:title="Screenshot_78"/>
          </v:shape>
        </w:pict>
      </w:r>
    </w:p>
    <w:p w:rsidR="00913AFC" w:rsidRDefault="00913AFC" w:rsidP="005E0D82">
      <w:pPr>
        <w:pStyle w:val="ae"/>
        <w:spacing w:after="0" w:line="360" w:lineRule="auto"/>
      </w:pPr>
      <w:r>
        <w:t>Рисуно</w:t>
      </w:r>
      <w:r w:rsidR="006D546C">
        <w:t xml:space="preserve">к </w:t>
      </w:r>
      <w:fldSimple w:instr=" SEQ Рисунок \* ARABIC ">
        <w:r w:rsidR="005F175D">
          <w:rPr>
            <w:noProof/>
          </w:rPr>
          <w:t>1</w:t>
        </w:r>
      </w:fldSimple>
      <w:r>
        <w:t xml:space="preserve">9. Алгоритм постановки диагноза глиальных опухолей ЦНС в соответствии с классификацией ВОЗ (2016) </w:t>
      </w:r>
      <w:r w:rsidRPr="00913AFC">
        <w:t>[5.6]</w:t>
      </w:r>
    </w:p>
    <w:p w:rsidR="007B7064" w:rsidRPr="008718DC" w:rsidRDefault="007B7064" w:rsidP="005E0D82">
      <w:pPr>
        <w:spacing w:line="360" w:lineRule="auto"/>
        <w:rPr>
          <w:rFonts w:ascii="Times New Roman" w:hAnsi="Times New Roman" w:cs="Times New Roman"/>
          <w:b/>
          <w:bCs/>
          <w:sz w:val="28"/>
          <w:szCs w:val="28"/>
        </w:rPr>
      </w:pPr>
    </w:p>
    <w:p w:rsidR="00323A5A" w:rsidRPr="00323A5A" w:rsidRDefault="008718DC" w:rsidP="005E0D82">
      <w:pPr>
        <w:pStyle w:val="2"/>
        <w:numPr>
          <w:ilvl w:val="1"/>
          <w:numId w:val="29"/>
        </w:numPr>
        <w:spacing w:line="360" w:lineRule="auto"/>
        <w:rPr>
          <w:b/>
          <w:bCs w:val="0"/>
        </w:rPr>
      </w:pPr>
      <w:bookmarkStart w:id="22" w:name="_Toc9031264"/>
      <w:bookmarkStart w:id="23" w:name="_Toc9250595"/>
      <w:r w:rsidRPr="00323A5A">
        <w:rPr>
          <w:b/>
          <w:bCs w:val="0"/>
        </w:rPr>
        <w:t>Эпидемиология нейроэпителиальных опухолей</w:t>
      </w:r>
      <w:bookmarkEnd w:id="22"/>
      <w:bookmarkEnd w:id="23"/>
    </w:p>
    <w:p w:rsidR="008718DC" w:rsidRDefault="009163C7" w:rsidP="005E0D82">
      <w:pPr>
        <w:pStyle w:val="af0"/>
        <w:spacing w:line="360" w:lineRule="auto"/>
        <w:rPr>
          <w:rFonts w:ascii="Times New Roman" w:hAnsi="Times New Roman" w:cs="Times New Roman"/>
          <w:sz w:val="28"/>
          <w:szCs w:val="28"/>
        </w:rPr>
      </w:pPr>
      <w:r>
        <w:rPr>
          <w:rFonts w:ascii="Times New Roman" w:hAnsi="Times New Roman" w:cs="Times New Roman"/>
          <w:sz w:val="28"/>
          <w:szCs w:val="28"/>
        </w:rPr>
        <w:t>Как уже было у</w:t>
      </w:r>
      <w:r w:rsidR="008718DC">
        <w:rPr>
          <w:rFonts w:ascii="Times New Roman" w:hAnsi="Times New Roman" w:cs="Times New Roman"/>
          <w:sz w:val="28"/>
          <w:szCs w:val="28"/>
        </w:rPr>
        <w:t xml:space="preserve">казано, </w:t>
      </w:r>
      <w:r>
        <w:rPr>
          <w:rFonts w:ascii="Times New Roman" w:hAnsi="Times New Roman" w:cs="Times New Roman"/>
          <w:sz w:val="28"/>
          <w:szCs w:val="28"/>
        </w:rPr>
        <w:t xml:space="preserve">среди первичных опухолей ЦНС у взрослых преобладают глиомы и менингиомы, составляя более двух третей от общего числа новообразований данной локализации </w:t>
      </w:r>
      <w:r w:rsidRPr="009163C7">
        <w:rPr>
          <w:rFonts w:ascii="Times New Roman" w:hAnsi="Times New Roman" w:cs="Times New Roman"/>
          <w:sz w:val="28"/>
          <w:szCs w:val="28"/>
        </w:rPr>
        <w:t>[</w:t>
      </w:r>
      <w:r>
        <w:rPr>
          <w:rFonts w:ascii="Times New Roman" w:hAnsi="Times New Roman" w:cs="Times New Roman"/>
          <w:sz w:val="28"/>
          <w:szCs w:val="28"/>
        </w:rPr>
        <w:t>10</w:t>
      </w:r>
      <w:r w:rsidRPr="009163C7">
        <w:rPr>
          <w:rFonts w:ascii="Times New Roman" w:hAnsi="Times New Roman" w:cs="Times New Roman"/>
          <w:sz w:val="28"/>
          <w:szCs w:val="28"/>
        </w:rPr>
        <w:t>]</w:t>
      </w:r>
      <w:r>
        <w:rPr>
          <w:rFonts w:ascii="Times New Roman" w:hAnsi="Times New Roman" w:cs="Times New Roman"/>
          <w:sz w:val="28"/>
          <w:szCs w:val="28"/>
        </w:rPr>
        <w:t>. В связи с тем, что в данном исследовании будут рассматриваться только глиальные опухоли, целесообразным является эпидемиологический анализ именно этой патологии.</w:t>
      </w:r>
    </w:p>
    <w:p w:rsidR="009163C7" w:rsidRPr="00141202" w:rsidRDefault="009163C7" w:rsidP="005E0D82">
      <w:pPr>
        <w:pStyle w:val="af0"/>
        <w:spacing w:line="360" w:lineRule="auto"/>
        <w:rPr>
          <w:rFonts w:ascii="Times New Roman" w:hAnsi="Times New Roman" w:cs="Times New Roman"/>
          <w:sz w:val="28"/>
          <w:szCs w:val="28"/>
        </w:rPr>
      </w:pPr>
      <w:r>
        <w:rPr>
          <w:rFonts w:ascii="Times New Roman" w:hAnsi="Times New Roman" w:cs="Times New Roman"/>
          <w:sz w:val="28"/>
          <w:szCs w:val="28"/>
        </w:rPr>
        <w:t>Наиболее полной и качественной статистической базой заболеваемости первичными опухолями ЦНС является Центральный регистр опухолей мозга США (</w:t>
      </w:r>
      <w:r>
        <w:rPr>
          <w:rFonts w:ascii="Times New Roman" w:hAnsi="Times New Roman" w:cs="Times New Roman"/>
          <w:sz w:val="28"/>
          <w:szCs w:val="28"/>
          <w:lang w:val="en-US"/>
        </w:rPr>
        <w:t>CBTRUS</w:t>
      </w:r>
      <w:r>
        <w:rPr>
          <w:rFonts w:ascii="Times New Roman" w:hAnsi="Times New Roman" w:cs="Times New Roman"/>
          <w:sz w:val="28"/>
          <w:szCs w:val="28"/>
        </w:rPr>
        <w:t xml:space="preserve">), архив которого пополняется с 1992 года. Данный регистр собирает информацию с 12 государственных онкологических баз данных </w:t>
      </w:r>
      <w:r w:rsidRPr="009163C7">
        <w:rPr>
          <w:rFonts w:ascii="Times New Roman" w:hAnsi="Times New Roman" w:cs="Times New Roman"/>
          <w:sz w:val="28"/>
          <w:szCs w:val="28"/>
        </w:rPr>
        <w:t>[</w:t>
      </w:r>
      <w:r>
        <w:rPr>
          <w:rFonts w:ascii="Times New Roman" w:hAnsi="Times New Roman" w:cs="Times New Roman"/>
          <w:sz w:val="28"/>
          <w:szCs w:val="28"/>
        </w:rPr>
        <w:t>11</w:t>
      </w:r>
      <w:r w:rsidRPr="009163C7">
        <w:rPr>
          <w:rFonts w:ascii="Times New Roman" w:hAnsi="Times New Roman" w:cs="Times New Roman"/>
          <w:sz w:val="28"/>
          <w:szCs w:val="28"/>
        </w:rPr>
        <w:t>]</w:t>
      </w:r>
      <w:r>
        <w:rPr>
          <w:rFonts w:ascii="Times New Roman" w:hAnsi="Times New Roman" w:cs="Times New Roman"/>
          <w:sz w:val="28"/>
          <w:szCs w:val="28"/>
        </w:rPr>
        <w:t xml:space="preserve">. Так, </w:t>
      </w:r>
      <w:r w:rsidR="00DF5E63">
        <w:rPr>
          <w:rFonts w:ascii="Times New Roman" w:hAnsi="Times New Roman" w:cs="Times New Roman"/>
          <w:sz w:val="28"/>
          <w:szCs w:val="28"/>
        </w:rPr>
        <w:t xml:space="preserve">только </w:t>
      </w:r>
      <w:r>
        <w:rPr>
          <w:rFonts w:ascii="Times New Roman" w:hAnsi="Times New Roman" w:cs="Times New Roman"/>
          <w:sz w:val="28"/>
          <w:szCs w:val="28"/>
        </w:rPr>
        <w:t xml:space="preserve">в 2012 году в США было диагностировано более 60 000 первичных опухолей ЦНС, из которого 30% составляют глиомы </w:t>
      </w:r>
      <w:r>
        <w:rPr>
          <w:rFonts w:ascii="Times New Roman" w:hAnsi="Times New Roman" w:cs="Times New Roman"/>
          <w:sz w:val="28"/>
          <w:szCs w:val="28"/>
        </w:rPr>
        <w:lastRenderedPageBreak/>
        <w:t>различной степени злокачественности</w:t>
      </w:r>
      <w:r w:rsidR="00DF5E63">
        <w:rPr>
          <w:rFonts w:ascii="Times New Roman" w:hAnsi="Times New Roman" w:cs="Times New Roman"/>
          <w:sz w:val="28"/>
          <w:szCs w:val="28"/>
        </w:rPr>
        <w:t>. Всего с 2011 по 2015 годы было диагностировано 388 786 опухолей</w:t>
      </w:r>
      <w:r>
        <w:rPr>
          <w:rFonts w:ascii="Times New Roman" w:hAnsi="Times New Roman" w:cs="Times New Roman"/>
          <w:sz w:val="28"/>
          <w:szCs w:val="28"/>
        </w:rPr>
        <w:t xml:space="preserve"> </w:t>
      </w:r>
      <w:r w:rsidRPr="009163C7">
        <w:rPr>
          <w:rFonts w:ascii="Times New Roman" w:hAnsi="Times New Roman" w:cs="Times New Roman"/>
          <w:sz w:val="28"/>
          <w:szCs w:val="28"/>
        </w:rPr>
        <w:t>[</w:t>
      </w:r>
      <w:r w:rsidR="00C82142">
        <w:rPr>
          <w:rFonts w:ascii="Times New Roman" w:hAnsi="Times New Roman" w:cs="Times New Roman"/>
          <w:sz w:val="28"/>
          <w:szCs w:val="28"/>
        </w:rPr>
        <w:t>1</w:t>
      </w:r>
      <w:r w:rsidRPr="009163C7">
        <w:rPr>
          <w:rFonts w:ascii="Times New Roman" w:hAnsi="Times New Roman" w:cs="Times New Roman"/>
          <w:sz w:val="28"/>
          <w:szCs w:val="28"/>
        </w:rPr>
        <w:t>]</w:t>
      </w:r>
      <w:r w:rsidR="00C82142">
        <w:rPr>
          <w:rFonts w:ascii="Times New Roman" w:hAnsi="Times New Roman" w:cs="Times New Roman"/>
          <w:sz w:val="28"/>
          <w:szCs w:val="28"/>
        </w:rPr>
        <w:t xml:space="preserve">. В период времени с 2000 по 2014 годы в США среди всех опухолей ЦНС было обнаружено 28% глиом, из которых астроцитомы составляют 26%, а глиобластомы – 65%. При этом у молодых американцев </w:t>
      </w:r>
      <w:r w:rsidR="00C82142" w:rsidRPr="00C82142">
        <w:rPr>
          <w:rFonts w:ascii="Times New Roman" w:hAnsi="Times New Roman" w:cs="Times New Roman"/>
          <w:sz w:val="28"/>
          <w:szCs w:val="28"/>
        </w:rPr>
        <w:t xml:space="preserve">(15-19 </w:t>
      </w:r>
      <w:r w:rsidR="00C82142">
        <w:rPr>
          <w:rFonts w:ascii="Times New Roman" w:hAnsi="Times New Roman" w:cs="Times New Roman"/>
          <w:sz w:val="28"/>
          <w:szCs w:val="28"/>
        </w:rPr>
        <w:t>лет)</w:t>
      </w:r>
      <w:r w:rsidR="00C82142" w:rsidRPr="00C82142">
        <w:rPr>
          <w:rFonts w:ascii="Times New Roman" w:hAnsi="Times New Roman" w:cs="Times New Roman"/>
          <w:sz w:val="28"/>
          <w:szCs w:val="28"/>
        </w:rPr>
        <w:t xml:space="preserve"> </w:t>
      </w:r>
      <w:r w:rsidR="00C82142">
        <w:rPr>
          <w:rFonts w:ascii="Times New Roman" w:hAnsi="Times New Roman" w:cs="Times New Roman"/>
          <w:sz w:val="28"/>
          <w:szCs w:val="28"/>
        </w:rPr>
        <w:t xml:space="preserve">глиомы составляют также 27%, но астроцитомы среди них занимают 81%, 6% - олигодендроглиомы и 13% - глиобластомы </w:t>
      </w:r>
      <w:r w:rsidR="00C82142" w:rsidRPr="00C82142">
        <w:rPr>
          <w:rFonts w:ascii="Times New Roman" w:hAnsi="Times New Roman" w:cs="Times New Roman"/>
          <w:sz w:val="28"/>
          <w:szCs w:val="28"/>
        </w:rPr>
        <w:t>[</w:t>
      </w:r>
      <w:r w:rsidR="00C82142">
        <w:rPr>
          <w:rFonts w:ascii="Times New Roman" w:hAnsi="Times New Roman" w:cs="Times New Roman"/>
          <w:sz w:val="28"/>
          <w:szCs w:val="28"/>
        </w:rPr>
        <w:t>12</w:t>
      </w:r>
      <w:r w:rsidR="00C82142" w:rsidRPr="00C82142">
        <w:rPr>
          <w:rFonts w:ascii="Times New Roman" w:hAnsi="Times New Roman" w:cs="Times New Roman"/>
          <w:sz w:val="28"/>
          <w:szCs w:val="28"/>
        </w:rPr>
        <w:t>]</w:t>
      </w:r>
      <w:r w:rsidR="00C82142">
        <w:rPr>
          <w:rFonts w:ascii="Times New Roman" w:hAnsi="Times New Roman" w:cs="Times New Roman"/>
          <w:sz w:val="28"/>
          <w:szCs w:val="28"/>
        </w:rPr>
        <w:t xml:space="preserve">. В целом заболеваемость первичными опухолями головного мозга в США составляет 29,9 на 100 000 человек у взрослых, приблизительно треть опухолей – злокачественные (т.е., имеющие </w:t>
      </w:r>
      <w:r w:rsidR="00C82142">
        <w:rPr>
          <w:rFonts w:ascii="Times New Roman" w:hAnsi="Times New Roman" w:cs="Times New Roman"/>
          <w:sz w:val="28"/>
          <w:szCs w:val="28"/>
          <w:lang w:val="en-US"/>
        </w:rPr>
        <w:t>grade</w:t>
      </w:r>
      <w:r w:rsidR="00C82142" w:rsidRPr="00C82142">
        <w:rPr>
          <w:rFonts w:ascii="Times New Roman" w:hAnsi="Times New Roman" w:cs="Times New Roman"/>
          <w:sz w:val="28"/>
          <w:szCs w:val="28"/>
        </w:rPr>
        <w:t xml:space="preserve"> </w:t>
      </w:r>
      <w:r w:rsidR="00C82142">
        <w:rPr>
          <w:rFonts w:ascii="Times New Roman" w:hAnsi="Times New Roman" w:cs="Times New Roman"/>
          <w:sz w:val="28"/>
          <w:szCs w:val="28"/>
          <w:lang w:val="en-US"/>
        </w:rPr>
        <w:t>III</w:t>
      </w:r>
      <w:r w:rsidR="00C82142">
        <w:rPr>
          <w:rFonts w:ascii="Times New Roman" w:hAnsi="Times New Roman" w:cs="Times New Roman"/>
          <w:sz w:val="28"/>
          <w:szCs w:val="28"/>
        </w:rPr>
        <w:t>-</w:t>
      </w:r>
      <w:r w:rsidR="00C82142">
        <w:rPr>
          <w:rFonts w:ascii="Times New Roman" w:hAnsi="Times New Roman" w:cs="Times New Roman"/>
          <w:sz w:val="28"/>
          <w:szCs w:val="28"/>
          <w:lang w:val="en-US"/>
        </w:rPr>
        <w:t>IV</w:t>
      </w:r>
      <w:r w:rsidR="00C82142">
        <w:rPr>
          <w:rFonts w:ascii="Times New Roman" w:hAnsi="Times New Roman" w:cs="Times New Roman"/>
          <w:sz w:val="28"/>
          <w:szCs w:val="28"/>
        </w:rPr>
        <w:t>), остальные две трети – доброкачественные или пограничные (</w:t>
      </w:r>
      <w:r w:rsidR="00C82142">
        <w:rPr>
          <w:rFonts w:ascii="Times New Roman" w:hAnsi="Times New Roman" w:cs="Times New Roman"/>
          <w:sz w:val="28"/>
          <w:szCs w:val="28"/>
          <w:lang w:val="en-US"/>
        </w:rPr>
        <w:t>grade</w:t>
      </w:r>
      <w:r w:rsidR="00C82142" w:rsidRPr="00C82142">
        <w:rPr>
          <w:rFonts w:ascii="Times New Roman" w:hAnsi="Times New Roman" w:cs="Times New Roman"/>
          <w:sz w:val="28"/>
          <w:szCs w:val="28"/>
        </w:rPr>
        <w:t xml:space="preserve"> </w:t>
      </w:r>
      <w:r w:rsidR="00C82142">
        <w:rPr>
          <w:rFonts w:ascii="Times New Roman" w:hAnsi="Times New Roman" w:cs="Times New Roman"/>
          <w:sz w:val="28"/>
          <w:szCs w:val="28"/>
          <w:lang w:val="en-US"/>
        </w:rPr>
        <w:t>I</w:t>
      </w:r>
      <w:r w:rsidR="00C82142" w:rsidRPr="00C82142">
        <w:rPr>
          <w:rFonts w:ascii="Times New Roman" w:hAnsi="Times New Roman" w:cs="Times New Roman"/>
          <w:sz w:val="28"/>
          <w:szCs w:val="28"/>
        </w:rPr>
        <w:t>-</w:t>
      </w:r>
      <w:r w:rsidR="00C82142">
        <w:rPr>
          <w:rFonts w:ascii="Times New Roman" w:hAnsi="Times New Roman" w:cs="Times New Roman"/>
          <w:sz w:val="28"/>
          <w:szCs w:val="28"/>
          <w:lang w:val="en-US"/>
        </w:rPr>
        <w:t>II</w:t>
      </w:r>
      <w:r w:rsidR="00C82142">
        <w:rPr>
          <w:rFonts w:ascii="Times New Roman" w:hAnsi="Times New Roman" w:cs="Times New Roman"/>
          <w:sz w:val="28"/>
          <w:szCs w:val="28"/>
        </w:rPr>
        <w:t>)</w:t>
      </w:r>
      <w:r w:rsidR="00E62147" w:rsidRPr="00E62147">
        <w:rPr>
          <w:rFonts w:ascii="Times New Roman" w:hAnsi="Times New Roman" w:cs="Times New Roman"/>
          <w:sz w:val="28"/>
          <w:szCs w:val="28"/>
        </w:rPr>
        <w:t xml:space="preserve"> [13]</w:t>
      </w:r>
      <w:r w:rsidR="00C82142">
        <w:rPr>
          <w:rFonts w:ascii="Times New Roman" w:hAnsi="Times New Roman" w:cs="Times New Roman"/>
          <w:sz w:val="28"/>
          <w:szCs w:val="28"/>
        </w:rPr>
        <w:t xml:space="preserve">. Наиболее распространенными первичные опухоли ЦНС в США </w:t>
      </w:r>
      <w:r w:rsidR="00E62147">
        <w:rPr>
          <w:rFonts w:ascii="Times New Roman" w:hAnsi="Times New Roman" w:cs="Times New Roman"/>
          <w:sz w:val="28"/>
          <w:szCs w:val="28"/>
        </w:rPr>
        <w:t xml:space="preserve">являются менингиомы, опухоли шишковидного тела, глиобластомы, доброкачественные опухоли оболочек мозга и другие </w:t>
      </w:r>
      <w:r w:rsidR="00E62147" w:rsidRPr="00E62147">
        <w:rPr>
          <w:rFonts w:ascii="Times New Roman" w:hAnsi="Times New Roman" w:cs="Times New Roman"/>
          <w:sz w:val="28"/>
          <w:szCs w:val="28"/>
        </w:rPr>
        <w:t>(</w:t>
      </w:r>
      <w:r w:rsidR="00E62147">
        <w:rPr>
          <w:rFonts w:ascii="Times New Roman" w:hAnsi="Times New Roman" w:cs="Times New Roman"/>
          <w:sz w:val="28"/>
          <w:szCs w:val="28"/>
        </w:rPr>
        <w:t xml:space="preserve">рис. 20). Среди глиальных опухолей преобладают глиобластомы, диффузные астроцитомы, анапластические астроцмитомы, олигодендроглиомы, эпиндимомы, пилоцитарные астроцитомы и другие (рис. 21).  </w:t>
      </w:r>
      <w:r w:rsidR="00E62147" w:rsidRPr="00E62147">
        <w:rPr>
          <w:rFonts w:ascii="Times New Roman" w:hAnsi="Times New Roman" w:cs="Times New Roman"/>
          <w:sz w:val="28"/>
          <w:szCs w:val="28"/>
        </w:rPr>
        <w:t>[12]</w:t>
      </w:r>
      <w:r w:rsidR="00E62147">
        <w:rPr>
          <w:rFonts w:ascii="Times New Roman" w:hAnsi="Times New Roman" w:cs="Times New Roman"/>
          <w:sz w:val="28"/>
          <w:szCs w:val="28"/>
        </w:rPr>
        <w:t xml:space="preserve">. </w:t>
      </w:r>
      <w:r w:rsidR="006C36CD">
        <w:rPr>
          <w:rFonts w:ascii="Times New Roman" w:hAnsi="Times New Roman" w:cs="Times New Roman"/>
          <w:sz w:val="28"/>
          <w:szCs w:val="28"/>
        </w:rPr>
        <w:t xml:space="preserve">Согласно американским данным, диагноз </w:t>
      </w:r>
      <w:r w:rsidR="00141202">
        <w:rPr>
          <w:rFonts w:ascii="Times New Roman" w:hAnsi="Times New Roman" w:cs="Times New Roman"/>
          <w:sz w:val="28"/>
          <w:szCs w:val="28"/>
        </w:rPr>
        <w:t>«</w:t>
      </w:r>
      <w:r w:rsidR="00141202">
        <w:rPr>
          <w:rFonts w:ascii="Times New Roman" w:hAnsi="Times New Roman" w:cs="Times New Roman"/>
          <w:sz w:val="28"/>
          <w:szCs w:val="28"/>
          <w:lang w:val="en-US"/>
        </w:rPr>
        <w:t>low</w:t>
      </w:r>
      <w:r w:rsidR="00141202" w:rsidRPr="00141202">
        <w:rPr>
          <w:rFonts w:ascii="Times New Roman" w:hAnsi="Times New Roman" w:cs="Times New Roman"/>
          <w:sz w:val="28"/>
          <w:szCs w:val="28"/>
        </w:rPr>
        <w:t>-</w:t>
      </w:r>
      <w:r w:rsidR="00141202">
        <w:rPr>
          <w:rFonts w:ascii="Times New Roman" w:hAnsi="Times New Roman" w:cs="Times New Roman"/>
          <w:sz w:val="28"/>
          <w:szCs w:val="28"/>
          <w:lang w:val="en-US"/>
        </w:rPr>
        <w:t>grade</w:t>
      </w:r>
      <w:r w:rsidR="00141202" w:rsidRPr="00141202">
        <w:rPr>
          <w:rFonts w:ascii="Times New Roman" w:hAnsi="Times New Roman" w:cs="Times New Roman"/>
          <w:sz w:val="28"/>
          <w:szCs w:val="28"/>
        </w:rPr>
        <w:t xml:space="preserve"> </w:t>
      </w:r>
      <w:r w:rsidR="00141202">
        <w:rPr>
          <w:rFonts w:ascii="Times New Roman" w:hAnsi="Times New Roman" w:cs="Times New Roman"/>
          <w:sz w:val="28"/>
          <w:szCs w:val="28"/>
          <w:lang w:val="en-US"/>
        </w:rPr>
        <w:t>glioma</w:t>
      </w:r>
      <w:r w:rsidR="00141202">
        <w:rPr>
          <w:rFonts w:ascii="Times New Roman" w:hAnsi="Times New Roman" w:cs="Times New Roman"/>
          <w:sz w:val="28"/>
          <w:szCs w:val="28"/>
        </w:rPr>
        <w:t xml:space="preserve">», соответствующий </w:t>
      </w:r>
      <w:r w:rsidR="00141202">
        <w:rPr>
          <w:rFonts w:ascii="Times New Roman" w:hAnsi="Times New Roman" w:cs="Times New Roman"/>
          <w:sz w:val="28"/>
          <w:szCs w:val="28"/>
          <w:lang w:val="en-US"/>
        </w:rPr>
        <w:t>GI</w:t>
      </w:r>
      <w:r w:rsidR="00141202" w:rsidRPr="00141202">
        <w:rPr>
          <w:rFonts w:ascii="Times New Roman" w:hAnsi="Times New Roman" w:cs="Times New Roman"/>
          <w:sz w:val="28"/>
          <w:szCs w:val="28"/>
        </w:rPr>
        <w:t>-</w:t>
      </w:r>
      <w:r w:rsidR="00141202">
        <w:rPr>
          <w:rFonts w:ascii="Times New Roman" w:hAnsi="Times New Roman" w:cs="Times New Roman"/>
          <w:sz w:val="28"/>
          <w:szCs w:val="28"/>
          <w:lang w:val="en-US"/>
        </w:rPr>
        <w:t>II</w:t>
      </w:r>
      <w:r w:rsidR="00141202">
        <w:rPr>
          <w:rFonts w:ascii="Times New Roman" w:hAnsi="Times New Roman" w:cs="Times New Roman"/>
          <w:sz w:val="28"/>
          <w:szCs w:val="28"/>
        </w:rPr>
        <w:t xml:space="preserve"> глиомам, ставится каждому восьмому человеку с опухолью мозга (учитываются в т.ч. вторичные метастатические опухоли) </w:t>
      </w:r>
      <w:r w:rsidR="00141202" w:rsidRPr="00141202">
        <w:rPr>
          <w:rFonts w:ascii="Times New Roman" w:hAnsi="Times New Roman" w:cs="Times New Roman"/>
          <w:sz w:val="28"/>
          <w:szCs w:val="28"/>
        </w:rPr>
        <w:t>[</w:t>
      </w:r>
      <w:r w:rsidR="00141202">
        <w:rPr>
          <w:rFonts w:ascii="Times New Roman" w:hAnsi="Times New Roman" w:cs="Times New Roman"/>
          <w:sz w:val="28"/>
          <w:szCs w:val="28"/>
        </w:rPr>
        <w:t>17</w:t>
      </w:r>
      <w:r w:rsidR="00141202" w:rsidRPr="00141202">
        <w:rPr>
          <w:rFonts w:ascii="Times New Roman" w:hAnsi="Times New Roman" w:cs="Times New Roman"/>
          <w:sz w:val="28"/>
          <w:szCs w:val="28"/>
        </w:rPr>
        <w:t>]</w:t>
      </w:r>
      <w:r w:rsidR="00141202">
        <w:rPr>
          <w:rFonts w:ascii="Times New Roman" w:hAnsi="Times New Roman" w:cs="Times New Roman"/>
          <w:sz w:val="28"/>
          <w:szCs w:val="28"/>
        </w:rPr>
        <w:t xml:space="preserve">. </w:t>
      </w:r>
    </w:p>
    <w:p w:rsidR="005F175D" w:rsidRDefault="002D5731" w:rsidP="005E0D82">
      <w:pPr>
        <w:pStyle w:val="af0"/>
        <w:keepNext/>
        <w:spacing w:line="360" w:lineRule="auto"/>
      </w:pPr>
      <w:r>
        <w:rPr>
          <w:rFonts w:ascii="Times New Roman" w:hAnsi="Times New Roman" w:cs="Times New Roman"/>
          <w:sz w:val="28"/>
          <w:szCs w:val="28"/>
        </w:rPr>
        <w:lastRenderedPageBreak/>
        <w:pict>
          <v:shape id="_x0000_i1091" type="#_x0000_t75" style="width:421.8pt;height:304.8pt">
            <v:imagedata r:id="rId9" o:title="Screenshot_79"/>
          </v:shape>
        </w:pict>
      </w:r>
    </w:p>
    <w:p w:rsidR="00E62147" w:rsidRDefault="005F175D" w:rsidP="005E0D82">
      <w:pPr>
        <w:pStyle w:val="ae"/>
        <w:spacing w:line="360" w:lineRule="auto"/>
        <w:rPr>
          <w:rFonts w:ascii="Times New Roman" w:hAnsi="Times New Roman" w:cs="Times New Roman"/>
          <w:sz w:val="28"/>
          <w:szCs w:val="28"/>
        </w:rPr>
      </w:pPr>
      <w:r>
        <w:t xml:space="preserve">Рисунок </w:t>
      </w:r>
      <w:fldSimple w:instr=" SEQ Рисунок \* ARABIC ">
        <w:r>
          <w:rPr>
            <w:noProof/>
          </w:rPr>
          <w:t>2</w:t>
        </w:r>
      </w:fldSimple>
      <w:r>
        <w:t xml:space="preserve">0. </w:t>
      </w:r>
      <w:r w:rsidRPr="00454B79">
        <w:t xml:space="preserve">Эпидемиология </w:t>
      </w:r>
      <w:r>
        <w:t>первичных</w:t>
      </w:r>
      <w:r w:rsidRPr="00454B79">
        <w:t xml:space="preserve"> опухолей</w:t>
      </w:r>
      <w:r>
        <w:t xml:space="preserve"> ЦНС</w:t>
      </w:r>
      <w:r w:rsidRPr="00454B79">
        <w:t xml:space="preserve"> в США (2000-2014 годы) (%) [12]</w:t>
      </w:r>
    </w:p>
    <w:p w:rsidR="005F175D" w:rsidRPr="005F175D" w:rsidRDefault="002D5731" w:rsidP="005E0D82">
      <w:pPr>
        <w:pStyle w:val="af0"/>
        <w:keepNext/>
        <w:spacing w:line="360" w:lineRule="auto"/>
        <w:rPr>
          <w:rFonts w:ascii="Times New Roman" w:hAnsi="Times New Roman" w:cs="Times New Roman"/>
          <w:sz w:val="28"/>
          <w:szCs w:val="28"/>
        </w:rPr>
      </w:pPr>
      <w:r>
        <w:rPr>
          <w:rFonts w:ascii="Times New Roman" w:hAnsi="Times New Roman" w:cs="Times New Roman"/>
          <w:sz w:val="28"/>
          <w:szCs w:val="28"/>
        </w:rPr>
        <w:pict>
          <v:shape id="_x0000_i1092" type="#_x0000_t75" style="width:394.8pt;height:296.4pt">
            <v:imagedata r:id="rId10" o:title="Screenshot_80"/>
          </v:shape>
        </w:pict>
      </w:r>
    </w:p>
    <w:p w:rsidR="005F175D" w:rsidRDefault="005F175D" w:rsidP="005E0D82">
      <w:pPr>
        <w:pStyle w:val="ae"/>
        <w:spacing w:line="360" w:lineRule="auto"/>
      </w:pPr>
      <w:r>
        <w:t xml:space="preserve">Рисунок 21. </w:t>
      </w:r>
      <w:r w:rsidRPr="007F03FD">
        <w:t>Эпидемиология глиальных опухолей в США (2000-2014 годы) (%) [12]</w:t>
      </w:r>
    </w:p>
    <w:p w:rsidR="005F175D" w:rsidRPr="00141202" w:rsidRDefault="00716330" w:rsidP="005E0D82">
      <w:pPr>
        <w:spacing w:after="0" w:line="360" w:lineRule="auto"/>
        <w:rPr>
          <w:rFonts w:ascii="Times New Roman" w:hAnsi="Times New Roman" w:cs="Times New Roman"/>
          <w:color w:val="000000"/>
          <w:sz w:val="28"/>
          <w:szCs w:val="28"/>
        </w:rPr>
      </w:pPr>
      <w:r>
        <w:rPr>
          <w:rFonts w:ascii="Times New Roman" w:hAnsi="Times New Roman" w:cs="Times New Roman"/>
          <w:sz w:val="28"/>
          <w:szCs w:val="28"/>
        </w:rPr>
        <w:t xml:space="preserve">В Великобритании каждый год около 4400 человек получают диагноз злокачественной опухоли мозга </w:t>
      </w:r>
      <w:r w:rsidRPr="00716330">
        <w:rPr>
          <w:rFonts w:ascii="Times New Roman" w:hAnsi="Times New Roman" w:cs="Times New Roman"/>
          <w:sz w:val="28"/>
          <w:szCs w:val="28"/>
        </w:rPr>
        <w:t>[28]</w:t>
      </w:r>
      <w:r>
        <w:rPr>
          <w:rFonts w:ascii="Times New Roman" w:hAnsi="Times New Roman" w:cs="Times New Roman"/>
          <w:sz w:val="28"/>
          <w:szCs w:val="28"/>
        </w:rPr>
        <w:t xml:space="preserve">. </w:t>
      </w:r>
      <w:r w:rsidR="00DF5E63">
        <w:rPr>
          <w:rFonts w:ascii="Times New Roman" w:hAnsi="Times New Roman" w:cs="Times New Roman"/>
          <w:sz w:val="28"/>
          <w:szCs w:val="28"/>
        </w:rPr>
        <w:t xml:space="preserve">В Российской Федерации с 2007 по </w:t>
      </w:r>
      <w:r w:rsidR="00DF5E63">
        <w:rPr>
          <w:rFonts w:ascii="Times New Roman" w:hAnsi="Times New Roman" w:cs="Times New Roman"/>
          <w:sz w:val="28"/>
          <w:szCs w:val="28"/>
        </w:rPr>
        <w:lastRenderedPageBreak/>
        <w:t xml:space="preserve">2017 годы было диагностировано 84 239 случаев первичных опухолей ЦНС, 41 927 у мужчин, и 42 312 у женщин. Примечательно, что заболеваемость опухолями ЦНС в РФ растет и за последние десять лет увеличилась с 6262 случаев в 2007 году до 8844 – в 2017 году </w:t>
      </w:r>
      <w:r w:rsidR="00DF5E63" w:rsidRPr="00DF5E63">
        <w:rPr>
          <w:rFonts w:ascii="Times New Roman" w:hAnsi="Times New Roman" w:cs="Times New Roman"/>
          <w:sz w:val="28"/>
          <w:szCs w:val="28"/>
        </w:rPr>
        <w:t>[13]</w:t>
      </w:r>
      <w:r w:rsidR="00DF5E63">
        <w:rPr>
          <w:rFonts w:ascii="Times New Roman" w:hAnsi="Times New Roman" w:cs="Times New Roman"/>
          <w:sz w:val="28"/>
          <w:szCs w:val="28"/>
        </w:rPr>
        <w:t xml:space="preserve">. </w:t>
      </w:r>
      <w:r w:rsidR="005F175D">
        <w:rPr>
          <w:rFonts w:ascii="Times New Roman" w:hAnsi="Times New Roman" w:cs="Times New Roman"/>
          <w:sz w:val="28"/>
          <w:szCs w:val="28"/>
        </w:rPr>
        <w:t xml:space="preserve">Несмотря на то, что опухоли головного мозга составляют около 2% </w:t>
      </w:r>
      <w:r w:rsidR="006C36CD">
        <w:rPr>
          <w:rFonts w:ascii="Times New Roman" w:hAnsi="Times New Roman" w:cs="Times New Roman"/>
          <w:sz w:val="28"/>
          <w:szCs w:val="28"/>
        </w:rPr>
        <w:t xml:space="preserve">от общего количества регистрируемых новообразований, они обладают непропорционально высоким процентом смертности. Так, смертность от первичных опухолей ЦНС в США составляет 4,4 на 100 тысяч человек. 5-летняя выживаемость так же демонстрирует низкие значения и составляет около 35% для </w:t>
      </w:r>
      <w:r w:rsidR="006C36CD" w:rsidRPr="00141202">
        <w:rPr>
          <w:rFonts w:ascii="Times New Roman" w:hAnsi="Times New Roman" w:cs="Times New Roman"/>
          <w:sz w:val="28"/>
          <w:szCs w:val="28"/>
        </w:rPr>
        <w:t xml:space="preserve">злокачественных опухолей головного мозга (30% для анапластической астроцитомы </w:t>
      </w:r>
      <w:r w:rsidR="006C36CD" w:rsidRPr="00141202">
        <w:rPr>
          <w:rFonts w:ascii="Times New Roman" w:hAnsi="Times New Roman" w:cs="Times New Roman"/>
          <w:sz w:val="28"/>
          <w:szCs w:val="28"/>
          <w:lang w:val="en-US"/>
        </w:rPr>
        <w:t>GIII</w:t>
      </w:r>
      <w:r w:rsidR="006C36CD" w:rsidRPr="00141202">
        <w:rPr>
          <w:rFonts w:ascii="Times New Roman" w:hAnsi="Times New Roman" w:cs="Times New Roman"/>
          <w:sz w:val="28"/>
          <w:szCs w:val="28"/>
        </w:rPr>
        <w:t xml:space="preserve"> и 5.6% для глиобластомы </w:t>
      </w:r>
      <w:r w:rsidR="006C36CD" w:rsidRPr="00141202">
        <w:rPr>
          <w:rFonts w:ascii="Times New Roman" w:hAnsi="Times New Roman" w:cs="Times New Roman"/>
          <w:sz w:val="28"/>
          <w:szCs w:val="28"/>
          <w:lang w:val="en-US"/>
        </w:rPr>
        <w:t>GIV</w:t>
      </w:r>
      <w:r w:rsidR="006C36CD" w:rsidRPr="00141202">
        <w:rPr>
          <w:rFonts w:ascii="Times New Roman" w:hAnsi="Times New Roman" w:cs="Times New Roman"/>
          <w:sz w:val="28"/>
          <w:szCs w:val="28"/>
        </w:rPr>
        <w:t>) [12, 14]. О</w:t>
      </w:r>
      <w:r w:rsidR="006C36CD" w:rsidRPr="00141202">
        <w:rPr>
          <w:rFonts w:ascii="Times New Roman" w:hAnsi="Times New Roman" w:cs="Times New Roman"/>
          <w:color w:val="000000"/>
          <w:sz w:val="28"/>
          <w:szCs w:val="28"/>
        </w:rPr>
        <w:t xml:space="preserve">бщая выживаемость пациентов со злокачественными опухолями не сильно изменилась за последние 50 лет, однако показатели выживаемости разнятся, и для различных гистологических типов и возрастов пациентов эти показатели всё же изменились, несколько увеличившись для глиом </w:t>
      </w:r>
      <w:r w:rsidR="006C36CD" w:rsidRPr="00141202">
        <w:rPr>
          <w:rFonts w:ascii="Times New Roman" w:hAnsi="Times New Roman" w:cs="Times New Roman"/>
          <w:color w:val="000000"/>
          <w:sz w:val="28"/>
          <w:szCs w:val="28"/>
          <w:lang w:val="en-US"/>
        </w:rPr>
        <w:t>GI</w:t>
      </w:r>
      <w:r w:rsidR="006C36CD" w:rsidRPr="00141202">
        <w:rPr>
          <w:rFonts w:ascii="Times New Roman" w:hAnsi="Times New Roman" w:cs="Times New Roman"/>
          <w:color w:val="000000"/>
          <w:sz w:val="28"/>
          <w:szCs w:val="28"/>
        </w:rPr>
        <w:t>-</w:t>
      </w:r>
      <w:r w:rsidR="006C36CD" w:rsidRPr="00141202">
        <w:rPr>
          <w:rFonts w:ascii="Times New Roman" w:hAnsi="Times New Roman" w:cs="Times New Roman"/>
          <w:color w:val="000000"/>
          <w:sz w:val="28"/>
          <w:szCs w:val="28"/>
          <w:lang w:val="en-US"/>
        </w:rPr>
        <w:t>II</w:t>
      </w:r>
      <w:r w:rsidR="006C36CD" w:rsidRPr="00141202">
        <w:rPr>
          <w:rFonts w:ascii="Times New Roman" w:hAnsi="Times New Roman" w:cs="Times New Roman"/>
          <w:color w:val="000000"/>
          <w:sz w:val="28"/>
          <w:szCs w:val="28"/>
        </w:rPr>
        <w:t>. С 1975 по 1975 год несколько возросла выживаемость пациентов моложе 65 лет, чего нельзя сказать о пациентах из более старшей группы [15]. Для глиобластомы прогресс за последние 30 лет оказался незначительным, хотя, к примеру, выживаемость при медуллобластоме возросла на 20% в период с 1970 по 1980 годы. На основе эпидемиологических данных выделилась группа благоприятных прогностических факторов при первичных опухолях ЦНС: к ним можно отнести: молодой возраст, хороший соматический статус, высокодифференцированная опухоль, и другие, менее значимые – отсутствие когнитивных симптомов, локализация опухоли в полушариях, небольшой предоперационный объем опухоли, возможность проведения радикального хирургического вмешательства и другие [16]</w:t>
      </w:r>
      <w:r w:rsidR="00141202" w:rsidRPr="00141202">
        <w:rPr>
          <w:rFonts w:ascii="Times New Roman" w:hAnsi="Times New Roman" w:cs="Times New Roman"/>
          <w:color w:val="000000"/>
          <w:sz w:val="28"/>
          <w:szCs w:val="28"/>
        </w:rPr>
        <w:t>.</w:t>
      </w:r>
    </w:p>
    <w:p w:rsidR="006C36CD" w:rsidRDefault="00141202" w:rsidP="005E0D82">
      <w:pPr>
        <w:spacing w:after="0" w:line="360" w:lineRule="auto"/>
        <w:rPr>
          <w:rFonts w:ascii="Times New Roman" w:hAnsi="Times New Roman" w:cs="Times New Roman"/>
          <w:color w:val="000000"/>
          <w:sz w:val="28"/>
          <w:szCs w:val="28"/>
        </w:rPr>
      </w:pPr>
      <w:r w:rsidRPr="00141202">
        <w:rPr>
          <w:rFonts w:ascii="Times New Roman" w:hAnsi="Times New Roman" w:cs="Times New Roman"/>
          <w:color w:val="000000"/>
          <w:sz w:val="28"/>
          <w:szCs w:val="28"/>
        </w:rPr>
        <w:t xml:space="preserve">Большинство первичных опухолей ГМ спорадические и не имеют идентифицирцемых факторов риска. Исключение составляют ионизирующее излучение и относительно редкие генетические синдромы, </w:t>
      </w:r>
      <w:r w:rsidRPr="00141202">
        <w:rPr>
          <w:rFonts w:ascii="Times New Roman" w:hAnsi="Times New Roman" w:cs="Times New Roman"/>
          <w:color w:val="000000"/>
          <w:sz w:val="28"/>
          <w:szCs w:val="28"/>
        </w:rPr>
        <w:lastRenderedPageBreak/>
        <w:t>такие как нейрофиброматоз и с. Ли-Фраумени (обусловлен мутациями в гене ТР53, значительно повышает риск развития сарком, РМЖ, опухолей ГМ, лейкозов и т.д) [18].</w:t>
      </w:r>
    </w:p>
    <w:p w:rsidR="004A55BE" w:rsidRDefault="00141202" w:rsidP="005E0D82">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Злокачественные глиомы головного мозга встречаются несколько чаще у мужчин, чем у женщин (7,2 против 5,1 на 100 000 населения) </w:t>
      </w:r>
      <w:r w:rsidRPr="00141202">
        <w:rPr>
          <w:rFonts w:ascii="Times New Roman" w:hAnsi="Times New Roman" w:cs="Times New Roman"/>
          <w:color w:val="000000"/>
          <w:sz w:val="28"/>
          <w:szCs w:val="28"/>
        </w:rPr>
        <w:t>[12]</w:t>
      </w:r>
      <w:r>
        <w:rPr>
          <w:rFonts w:ascii="Times New Roman" w:hAnsi="Times New Roman" w:cs="Times New Roman"/>
          <w:color w:val="000000"/>
          <w:sz w:val="28"/>
          <w:szCs w:val="28"/>
        </w:rPr>
        <w:t>. В РФ эти показатели равны 4,7 против 3,4 соответственно</w:t>
      </w:r>
      <w:r w:rsidRPr="00141202">
        <w:rPr>
          <w:rFonts w:ascii="Times New Roman" w:hAnsi="Times New Roman" w:cs="Times New Roman"/>
          <w:color w:val="000000"/>
          <w:sz w:val="28"/>
          <w:szCs w:val="28"/>
        </w:rPr>
        <w:t xml:space="preserve"> [13]</w:t>
      </w:r>
      <w:r>
        <w:rPr>
          <w:rFonts w:ascii="Times New Roman" w:hAnsi="Times New Roman" w:cs="Times New Roman"/>
          <w:color w:val="000000"/>
          <w:sz w:val="28"/>
          <w:szCs w:val="28"/>
        </w:rPr>
        <w:t>. Мужчины несколько чаще заболевают злокачественными опухолями ЦНС, однако если рассчитывать общее число первичных опухолей ЦНС, то процент мужчин (42%) и женщин (58%) меняется в пользу последних, что, вероятно обусловлено тем фактом, что женщины несколько чаще заболевают менингиомами</w:t>
      </w:r>
      <w:r w:rsidR="004A55BE">
        <w:rPr>
          <w:rFonts w:ascii="Times New Roman" w:hAnsi="Times New Roman" w:cs="Times New Roman"/>
          <w:color w:val="000000"/>
          <w:sz w:val="28"/>
          <w:szCs w:val="28"/>
        </w:rPr>
        <w:t xml:space="preserve"> </w:t>
      </w:r>
      <w:r w:rsidR="004A55BE" w:rsidRPr="004A55BE">
        <w:rPr>
          <w:rFonts w:ascii="Times New Roman" w:hAnsi="Times New Roman" w:cs="Times New Roman"/>
          <w:color w:val="000000"/>
          <w:sz w:val="28"/>
          <w:szCs w:val="28"/>
        </w:rPr>
        <w:t>[10]</w:t>
      </w:r>
      <w:r>
        <w:rPr>
          <w:rFonts w:ascii="Times New Roman" w:hAnsi="Times New Roman" w:cs="Times New Roman"/>
          <w:color w:val="000000"/>
          <w:sz w:val="28"/>
          <w:szCs w:val="28"/>
        </w:rPr>
        <w:t>.</w:t>
      </w:r>
      <w:r w:rsidR="004A55BE">
        <w:rPr>
          <w:rFonts w:ascii="Times New Roman" w:hAnsi="Times New Roman" w:cs="Times New Roman"/>
          <w:color w:val="000000"/>
          <w:sz w:val="28"/>
          <w:szCs w:val="28"/>
        </w:rPr>
        <w:t xml:space="preserve"> </w:t>
      </w:r>
    </w:p>
    <w:p w:rsidR="00141202" w:rsidRPr="00323A5A" w:rsidRDefault="004A55BE" w:rsidP="005E0D82">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Возрастной пик заболеваемости приходится на 50 лет, и процент молодых и людей среднего возраста явно преобладает в эпидемиологии первичных опухолей ЦНС, особенно если проводить параллель с другими онкологическими нозологиями. Однако данные аутопсий говорят о том, что с возрастом вероятность заболевания возрастает, несмотря на явное возрастное превалирование </w:t>
      </w:r>
      <w:r w:rsidRPr="004A55BE">
        <w:rPr>
          <w:rFonts w:ascii="Times New Roman" w:hAnsi="Times New Roman" w:cs="Times New Roman"/>
          <w:color w:val="000000"/>
          <w:sz w:val="28"/>
          <w:szCs w:val="28"/>
        </w:rPr>
        <w:t>[19]</w:t>
      </w:r>
      <w:r>
        <w:rPr>
          <w:rFonts w:ascii="Times New Roman" w:hAnsi="Times New Roman" w:cs="Times New Roman"/>
          <w:color w:val="000000"/>
          <w:sz w:val="28"/>
          <w:szCs w:val="28"/>
        </w:rPr>
        <w:t xml:space="preserve">. В Европе пик заболеваемостью глиомами приходится на возрастной диапазон 55-74 года, после 75 лет заболеваемость не возрастает </w:t>
      </w:r>
      <w:r w:rsidRPr="004A55BE">
        <w:rPr>
          <w:rFonts w:ascii="Times New Roman" w:hAnsi="Times New Roman" w:cs="Times New Roman"/>
          <w:color w:val="000000"/>
          <w:sz w:val="28"/>
          <w:szCs w:val="28"/>
        </w:rPr>
        <w:t>[21]</w:t>
      </w:r>
      <w:r>
        <w:rPr>
          <w:rFonts w:ascii="Times New Roman" w:hAnsi="Times New Roman" w:cs="Times New Roman"/>
          <w:color w:val="000000"/>
          <w:sz w:val="28"/>
          <w:szCs w:val="28"/>
        </w:rPr>
        <w:t xml:space="preserve">. В России пик заболеваемости первичными опухолями ЦНС приходится на возраст 60-64 лет </w:t>
      </w:r>
      <w:r w:rsidRPr="004A55BE">
        <w:rPr>
          <w:rFonts w:ascii="Times New Roman" w:hAnsi="Times New Roman" w:cs="Times New Roman"/>
          <w:color w:val="000000"/>
          <w:sz w:val="28"/>
          <w:szCs w:val="28"/>
        </w:rPr>
        <w:t>[15]</w:t>
      </w:r>
      <w:r>
        <w:rPr>
          <w:rFonts w:ascii="Times New Roman" w:hAnsi="Times New Roman" w:cs="Times New Roman"/>
          <w:color w:val="000000"/>
          <w:sz w:val="28"/>
          <w:szCs w:val="28"/>
        </w:rPr>
        <w:t xml:space="preserve">. Имеется некоторая зависимость подтипов глиальных опухолей и возрастных паттернов – так, максимальная заболеваемость астроцитомами </w:t>
      </w:r>
      <w:r>
        <w:rPr>
          <w:rFonts w:ascii="Times New Roman" w:hAnsi="Times New Roman" w:cs="Times New Roman"/>
          <w:color w:val="000000"/>
          <w:sz w:val="28"/>
          <w:szCs w:val="28"/>
          <w:lang w:val="en-US"/>
        </w:rPr>
        <w:t>GII</w:t>
      </w:r>
      <w:r w:rsidRPr="004A55BE">
        <w:rPr>
          <w:rFonts w:ascii="Times New Roman" w:hAnsi="Times New Roman" w:cs="Times New Roman"/>
          <w:color w:val="000000"/>
          <w:sz w:val="28"/>
          <w:szCs w:val="28"/>
        </w:rPr>
        <w:t>-</w:t>
      </w:r>
      <w:r>
        <w:rPr>
          <w:rFonts w:ascii="Times New Roman" w:hAnsi="Times New Roman" w:cs="Times New Roman"/>
          <w:color w:val="000000"/>
          <w:sz w:val="28"/>
          <w:szCs w:val="28"/>
          <w:lang w:val="en-US"/>
        </w:rPr>
        <w:t>GIII</w:t>
      </w:r>
      <w:r>
        <w:rPr>
          <w:rFonts w:ascii="Times New Roman" w:hAnsi="Times New Roman" w:cs="Times New Roman"/>
          <w:color w:val="000000"/>
          <w:sz w:val="28"/>
          <w:szCs w:val="28"/>
        </w:rPr>
        <w:t xml:space="preserve"> приходится на промежуток с 45 до 55 лет, когда встречаемость глиобластомы выходит в максимальные значения с 75 до 84 лет. Известно, что глиобластома практически не встречается до 20 лет, но после 45 лет </w:t>
      </w:r>
      <w:r w:rsidRPr="00323A5A">
        <w:rPr>
          <w:rFonts w:ascii="Times New Roman" w:hAnsi="Times New Roman" w:cs="Times New Roman"/>
          <w:color w:val="000000"/>
          <w:sz w:val="28"/>
          <w:szCs w:val="28"/>
        </w:rPr>
        <w:t>заболеваемость ею начинает резко возрастать [20].</w:t>
      </w:r>
      <w:r w:rsidR="00323A5A" w:rsidRPr="00323A5A">
        <w:rPr>
          <w:rFonts w:ascii="Times New Roman" w:hAnsi="Times New Roman" w:cs="Times New Roman"/>
          <w:color w:val="000000"/>
          <w:sz w:val="28"/>
          <w:szCs w:val="28"/>
        </w:rPr>
        <w:t xml:space="preserve"> У молодых людей в США (15-19 лет) глиомы встречаются в 27% от всех первичных опухолей ЦНС, 81% из них - </w:t>
      </w:r>
      <w:r w:rsidR="00572B16" w:rsidRPr="00323A5A">
        <w:rPr>
          <w:rFonts w:ascii="Times New Roman" w:hAnsi="Times New Roman" w:cs="Times New Roman"/>
          <w:color w:val="000000"/>
          <w:sz w:val="28"/>
          <w:szCs w:val="28"/>
        </w:rPr>
        <w:t>астроцитомы; 13</w:t>
      </w:r>
      <w:r w:rsidR="00323A5A" w:rsidRPr="00323A5A">
        <w:rPr>
          <w:rFonts w:ascii="Times New Roman" w:hAnsi="Times New Roman" w:cs="Times New Roman"/>
          <w:color w:val="000000"/>
          <w:sz w:val="28"/>
          <w:szCs w:val="28"/>
        </w:rPr>
        <w:t>% - глиобластомы, 6% - олигодендроглиомы [12].</w:t>
      </w:r>
      <w:r w:rsidRPr="00323A5A">
        <w:rPr>
          <w:rFonts w:ascii="Times New Roman" w:hAnsi="Times New Roman" w:cs="Times New Roman"/>
          <w:color w:val="000000"/>
          <w:sz w:val="28"/>
          <w:szCs w:val="28"/>
        </w:rPr>
        <w:t xml:space="preserve"> Среди детей эпидемиологическая характеристика </w:t>
      </w:r>
      <w:r w:rsidRPr="00323A5A">
        <w:rPr>
          <w:rFonts w:ascii="Times New Roman" w:hAnsi="Times New Roman" w:cs="Times New Roman"/>
          <w:color w:val="000000"/>
          <w:sz w:val="28"/>
          <w:szCs w:val="28"/>
        </w:rPr>
        <w:lastRenderedPageBreak/>
        <w:t xml:space="preserve">совершенно другая – среди опухолей ЦНС преобладают дизэмбриональные, медуллобластомы и т.п. </w:t>
      </w:r>
    </w:p>
    <w:p w:rsidR="00CA5226" w:rsidRDefault="00323A5A" w:rsidP="005E0D82">
      <w:pPr>
        <w:spacing w:after="0" w:line="360" w:lineRule="auto"/>
        <w:rPr>
          <w:rFonts w:ascii="Times New Roman" w:hAnsi="Times New Roman" w:cs="Times New Roman"/>
          <w:color w:val="000000"/>
          <w:sz w:val="28"/>
          <w:szCs w:val="28"/>
        </w:rPr>
      </w:pPr>
      <w:r w:rsidRPr="00323A5A">
        <w:rPr>
          <w:rFonts w:ascii="Times New Roman" w:hAnsi="Times New Roman" w:cs="Times New Roman"/>
          <w:color w:val="000000"/>
          <w:sz w:val="28"/>
          <w:szCs w:val="28"/>
        </w:rPr>
        <w:t>Представители европеоидной расы заболевают чаще афроамериканцев, это касается всех гистологических типов опухоли. Однако менингиомы, опухоли эпифиза и краниофарингиомы чаще встречаются у представителей негроидной расы. В целом, злокачественные опухоли статистически реже встречаются среди азиатов и американских индейцев [14].</w:t>
      </w:r>
    </w:p>
    <w:p w:rsidR="00E70E65" w:rsidRPr="00E70E65" w:rsidRDefault="00CA5226" w:rsidP="005E0D82">
      <w:pPr>
        <w:pStyle w:val="2"/>
        <w:numPr>
          <w:ilvl w:val="1"/>
          <w:numId w:val="29"/>
        </w:numPr>
        <w:spacing w:line="360" w:lineRule="auto"/>
        <w:rPr>
          <w:b/>
          <w:bCs w:val="0"/>
        </w:rPr>
      </w:pPr>
      <w:bookmarkStart w:id="24" w:name="_Toc9031265"/>
      <w:bookmarkStart w:id="25" w:name="_Toc9250596"/>
      <w:r w:rsidRPr="00CA5226">
        <w:rPr>
          <w:b/>
          <w:bCs w:val="0"/>
        </w:rPr>
        <w:t>Обзор клинических проявлений</w:t>
      </w:r>
      <w:r>
        <w:rPr>
          <w:b/>
          <w:bCs w:val="0"/>
        </w:rPr>
        <w:t>, характерных для</w:t>
      </w:r>
      <w:r w:rsidRPr="00CA5226">
        <w:rPr>
          <w:b/>
          <w:bCs w:val="0"/>
        </w:rPr>
        <w:t xml:space="preserve"> нейроэпителиальных опухолей</w:t>
      </w:r>
      <w:bookmarkEnd w:id="24"/>
      <w:bookmarkEnd w:id="25"/>
      <w:r w:rsidR="00E70E65">
        <w:rPr>
          <w:b/>
          <w:bCs w:val="0"/>
        </w:rPr>
        <w:t xml:space="preserve"> </w:t>
      </w:r>
    </w:p>
    <w:p w:rsidR="00E70E65" w:rsidRDefault="00E70E65" w:rsidP="005E0D82">
      <w:pPr>
        <w:pStyle w:val="af"/>
        <w:spacing w:before="0" w:beforeAutospacing="0" w:after="0" w:afterAutospacing="0" w:line="360" w:lineRule="auto"/>
        <w:rPr>
          <w:color w:val="000000"/>
          <w:sz w:val="28"/>
          <w:szCs w:val="28"/>
        </w:rPr>
      </w:pPr>
      <w:r>
        <w:rPr>
          <w:color w:val="000000"/>
          <w:sz w:val="28"/>
          <w:szCs w:val="28"/>
        </w:rPr>
        <w:t xml:space="preserve">Наиболее частой локализацией нейроэндокринных опухолей является именно головной мозг, кроме того, в рамках данного исследования рассматриваются исключительно опухоли головного мозга, следовательно, симптомам, характерным для внутримозговых опухолей будет посвящен этот раздел. </w:t>
      </w:r>
      <w:r w:rsidRPr="00E70E65">
        <w:rPr>
          <w:color w:val="000000"/>
          <w:sz w:val="28"/>
          <w:szCs w:val="28"/>
        </w:rPr>
        <w:t xml:space="preserve">Пациенты с опухолями мозга могут предъявлять как генерализованные, так и локальные симптомы, или, </w:t>
      </w:r>
      <w:r>
        <w:rPr>
          <w:color w:val="000000"/>
          <w:sz w:val="28"/>
          <w:szCs w:val="28"/>
        </w:rPr>
        <w:t>что реже</w:t>
      </w:r>
      <w:r w:rsidRPr="00E70E65">
        <w:rPr>
          <w:color w:val="000000"/>
          <w:sz w:val="28"/>
          <w:szCs w:val="28"/>
        </w:rPr>
        <w:t>, не предъявлять</w:t>
      </w:r>
      <w:r>
        <w:rPr>
          <w:color w:val="000000"/>
          <w:sz w:val="28"/>
          <w:szCs w:val="28"/>
        </w:rPr>
        <w:t xml:space="preserve"> никаких жалоб</w:t>
      </w:r>
      <w:r w:rsidRPr="00E70E65">
        <w:rPr>
          <w:color w:val="000000"/>
          <w:sz w:val="28"/>
          <w:szCs w:val="28"/>
        </w:rPr>
        <w:t xml:space="preserve"> [</w:t>
      </w:r>
      <w:r>
        <w:rPr>
          <w:color w:val="000000"/>
          <w:sz w:val="28"/>
          <w:szCs w:val="28"/>
        </w:rPr>
        <w:t>22</w:t>
      </w:r>
      <w:r w:rsidRPr="00E70E65">
        <w:rPr>
          <w:color w:val="000000"/>
          <w:sz w:val="28"/>
          <w:szCs w:val="28"/>
        </w:rPr>
        <w:t>].</w:t>
      </w:r>
      <w:r>
        <w:rPr>
          <w:sz w:val="28"/>
          <w:szCs w:val="28"/>
        </w:rPr>
        <w:t xml:space="preserve"> </w:t>
      </w:r>
      <w:r>
        <w:rPr>
          <w:color w:val="000000"/>
          <w:sz w:val="28"/>
          <w:szCs w:val="28"/>
        </w:rPr>
        <w:t>Отмечено, что с</w:t>
      </w:r>
      <w:r w:rsidRPr="00E70E65">
        <w:rPr>
          <w:color w:val="000000"/>
          <w:sz w:val="28"/>
          <w:szCs w:val="28"/>
        </w:rPr>
        <w:t xml:space="preserve">имптомы метастазов в ГМ или первичных злокачественных опухолей прогрессируют с каждым днем или неделей, в том время как low-grade глиомы могут давать стабильную симптоматику </w:t>
      </w:r>
      <w:r>
        <w:rPr>
          <w:color w:val="000000"/>
          <w:sz w:val="28"/>
          <w:szCs w:val="28"/>
        </w:rPr>
        <w:t>в течение нескольких месяцев или даже лет.</w:t>
      </w:r>
      <w:r>
        <w:rPr>
          <w:sz w:val="28"/>
          <w:szCs w:val="28"/>
        </w:rPr>
        <w:t xml:space="preserve"> </w:t>
      </w:r>
      <w:r w:rsidRPr="00E70E65">
        <w:rPr>
          <w:color w:val="000000"/>
          <w:sz w:val="28"/>
          <w:szCs w:val="28"/>
        </w:rPr>
        <w:t>Отсутствие симптомов</w:t>
      </w:r>
      <w:r>
        <w:rPr>
          <w:color w:val="000000"/>
          <w:sz w:val="28"/>
          <w:szCs w:val="28"/>
        </w:rPr>
        <w:t xml:space="preserve"> или слабо выраженная симптоматика</w:t>
      </w:r>
      <w:r w:rsidRPr="00E70E65">
        <w:rPr>
          <w:color w:val="000000"/>
          <w:sz w:val="28"/>
          <w:szCs w:val="28"/>
        </w:rPr>
        <w:t xml:space="preserve"> более характерно для low-grade глиом или маленьких опухолей без </w:t>
      </w:r>
      <w:r>
        <w:rPr>
          <w:color w:val="000000"/>
          <w:sz w:val="28"/>
          <w:szCs w:val="28"/>
        </w:rPr>
        <w:t>интенсивного</w:t>
      </w:r>
      <w:r w:rsidRPr="00E70E65">
        <w:rPr>
          <w:color w:val="000000"/>
          <w:sz w:val="28"/>
          <w:szCs w:val="28"/>
        </w:rPr>
        <w:t xml:space="preserve"> окружающего отека.</w:t>
      </w:r>
    </w:p>
    <w:p w:rsidR="00272B86" w:rsidRPr="00E70E65" w:rsidRDefault="00272B86" w:rsidP="005E0D82">
      <w:pPr>
        <w:pStyle w:val="af"/>
        <w:spacing w:before="0" w:beforeAutospacing="0" w:after="0" w:afterAutospacing="0" w:line="360" w:lineRule="auto"/>
        <w:rPr>
          <w:sz w:val="28"/>
          <w:szCs w:val="28"/>
        </w:rPr>
      </w:pPr>
      <w:r>
        <w:rPr>
          <w:color w:val="000000"/>
          <w:sz w:val="28"/>
          <w:szCs w:val="28"/>
        </w:rPr>
        <w:t>Наиболее распространенными симптомами нейроэпителиальных опухолей головного мозга являются: головная боль, судороги, повышение ВЧД и группа локальных проявлений.</w:t>
      </w:r>
      <w:r w:rsidR="00572B16">
        <w:rPr>
          <w:color w:val="000000"/>
          <w:sz w:val="28"/>
          <w:szCs w:val="28"/>
        </w:rPr>
        <w:t xml:space="preserve"> Каждая группа симптомов имеет свои особенности и требует отдельного рассмотрения.</w:t>
      </w:r>
    </w:p>
    <w:p w:rsidR="00E70E65" w:rsidRPr="00E70E65" w:rsidRDefault="00E70E65" w:rsidP="005E0D82">
      <w:pPr>
        <w:pStyle w:val="af"/>
        <w:spacing w:before="0" w:beforeAutospacing="0" w:after="0" w:afterAutospacing="0" w:line="360" w:lineRule="auto"/>
        <w:rPr>
          <w:sz w:val="28"/>
          <w:szCs w:val="28"/>
        </w:rPr>
      </w:pPr>
      <w:r w:rsidRPr="00E70E65">
        <w:rPr>
          <w:color w:val="000000"/>
          <w:sz w:val="28"/>
          <w:szCs w:val="28"/>
        </w:rPr>
        <w:t>ГОЛОВНАЯ БОЛЬ</w:t>
      </w:r>
    </w:p>
    <w:p w:rsidR="00E70E65" w:rsidRPr="00E70E65" w:rsidRDefault="00E70E65" w:rsidP="005E0D82">
      <w:pPr>
        <w:pStyle w:val="af"/>
        <w:spacing w:before="0" w:beforeAutospacing="0" w:after="0" w:afterAutospacing="0" w:line="360" w:lineRule="auto"/>
        <w:rPr>
          <w:sz w:val="28"/>
          <w:szCs w:val="28"/>
        </w:rPr>
      </w:pPr>
      <w:r w:rsidRPr="00E70E65">
        <w:rPr>
          <w:color w:val="000000"/>
          <w:sz w:val="28"/>
          <w:szCs w:val="28"/>
        </w:rPr>
        <w:lastRenderedPageBreak/>
        <w:t xml:space="preserve">С головной боли наиболее часто манифестируют опухоли ГМ и </w:t>
      </w:r>
      <w:r w:rsidR="00572B16">
        <w:rPr>
          <w:color w:val="000000"/>
          <w:sz w:val="28"/>
          <w:szCs w:val="28"/>
        </w:rPr>
        <w:t xml:space="preserve">это </w:t>
      </w:r>
      <w:r w:rsidRPr="00E70E65">
        <w:rPr>
          <w:color w:val="000000"/>
          <w:sz w:val="28"/>
          <w:szCs w:val="28"/>
        </w:rPr>
        <w:t>является ведущим симптомом у около половины пациентов.</w:t>
      </w:r>
      <w:r w:rsidR="00572B16">
        <w:rPr>
          <w:sz w:val="28"/>
          <w:szCs w:val="28"/>
        </w:rPr>
        <w:t xml:space="preserve"> </w:t>
      </w:r>
      <w:r w:rsidRPr="00E70E65">
        <w:rPr>
          <w:color w:val="000000"/>
          <w:sz w:val="28"/>
          <w:szCs w:val="28"/>
        </w:rPr>
        <w:t xml:space="preserve">Головная боль, как правило, имеет тупой и постоянный характер, иногда пульсирующий. 40-80% головных болей проявляются по типу головных болей напряжения, около </w:t>
      </w:r>
      <w:r w:rsidR="00572B16">
        <w:rPr>
          <w:color w:val="000000"/>
          <w:sz w:val="28"/>
          <w:szCs w:val="28"/>
        </w:rPr>
        <w:t xml:space="preserve">10% маскируются под мигрени </w:t>
      </w:r>
      <w:r w:rsidR="00572B16" w:rsidRPr="00572B16">
        <w:rPr>
          <w:color w:val="000000"/>
          <w:sz w:val="28"/>
          <w:szCs w:val="28"/>
        </w:rPr>
        <w:t>[</w:t>
      </w:r>
      <w:r w:rsidR="00572B16">
        <w:rPr>
          <w:color w:val="000000"/>
          <w:sz w:val="28"/>
          <w:szCs w:val="28"/>
        </w:rPr>
        <w:t>23</w:t>
      </w:r>
      <w:r w:rsidR="00572B16" w:rsidRPr="00572B16">
        <w:rPr>
          <w:color w:val="000000"/>
          <w:sz w:val="28"/>
          <w:szCs w:val="28"/>
        </w:rPr>
        <w:t>]</w:t>
      </w:r>
      <w:r w:rsidRPr="00E70E65">
        <w:rPr>
          <w:color w:val="000000"/>
          <w:sz w:val="28"/>
          <w:szCs w:val="28"/>
        </w:rPr>
        <w:t>. Чаще боли двухсторонние, боль на стороне поражения встречается реже.</w:t>
      </w:r>
      <w:r w:rsidR="00572B16">
        <w:rPr>
          <w:sz w:val="28"/>
          <w:szCs w:val="28"/>
        </w:rPr>
        <w:t xml:space="preserve"> </w:t>
      </w:r>
      <w:r w:rsidRPr="00E70E65">
        <w:rPr>
          <w:color w:val="000000"/>
          <w:sz w:val="28"/>
          <w:szCs w:val="28"/>
        </w:rPr>
        <w:t xml:space="preserve">Пациенты могут отмечать ухудшение головной боли после смены положения тела, кашля, чихания, </w:t>
      </w:r>
      <w:r w:rsidR="00232B5E">
        <w:rPr>
          <w:color w:val="000000"/>
          <w:sz w:val="28"/>
          <w:szCs w:val="28"/>
        </w:rPr>
        <w:t>при проведении маневра</w:t>
      </w:r>
      <w:r w:rsidRPr="00E70E65">
        <w:rPr>
          <w:color w:val="000000"/>
          <w:sz w:val="28"/>
          <w:szCs w:val="28"/>
        </w:rPr>
        <w:t xml:space="preserve"> Вальсальвы (попытка сделать резкий выдох при зажатых рте и носе). Это обусловлено повышением ВЧД.</w:t>
      </w:r>
      <w:r w:rsidR="00232B5E">
        <w:rPr>
          <w:sz w:val="28"/>
          <w:szCs w:val="28"/>
        </w:rPr>
        <w:t xml:space="preserve"> </w:t>
      </w:r>
      <w:r w:rsidRPr="00E70E65">
        <w:rPr>
          <w:color w:val="000000"/>
          <w:sz w:val="28"/>
          <w:szCs w:val="28"/>
        </w:rPr>
        <w:t>Головные боли могут усиливаться ночью и способны разбудить пациента. Ночные боли обусловлены повышением парциального давления СО2 во время сна</w:t>
      </w:r>
      <w:r w:rsidR="00232B5E">
        <w:rPr>
          <w:color w:val="000000"/>
          <w:sz w:val="28"/>
          <w:szCs w:val="28"/>
        </w:rPr>
        <w:t xml:space="preserve"> </w:t>
      </w:r>
      <w:r w:rsidR="00232B5E" w:rsidRPr="00232B5E">
        <w:rPr>
          <w:color w:val="000000"/>
          <w:sz w:val="28"/>
          <w:szCs w:val="28"/>
        </w:rPr>
        <w:t>[24]</w:t>
      </w:r>
      <w:r w:rsidRPr="00E70E65">
        <w:rPr>
          <w:color w:val="000000"/>
          <w:sz w:val="28"/>
          <w:szCs w:val="28"/>
        </w:rPr>
        <w:t>.</w:t>
      </w:r>
      <w:r w:rsidR="00232B5E">
        <w:rPr>
          <w:sz w:val="28"/>
          <w:szCs w:val="28"/>
        </w:rPr>
        <w:t xml:space="preserve"> </w:t>
      </w:r>
      <w:r w:rsidRPr="00E70E65">
        <w:rPr>
          <w:color w:val="000000"/>
          <w:sz w:val="28"/>
          <w:szCs w:val="28"/>
        </w:rPr>
        <w:t>Навести на мысль об опухоли головного мозга может прогрессирование боли, утренняя тошнота и рвота, негативная динамика характера головной боли или нарушения, выявленные при неврологическом осмотре.</w:t>
      </w:r>
    </w:p>
    <w:p w:rsidR="00E70E65" w:rsidRPr="00E70E65" w:rsidRDefault="00E70E65" w:rsidP="005E0D82">
      <w:pPr>
        <w:pStyle w:val="af"/>
        <w:spacing w:before="0" w:beforeAutospacing="0" w:after="0" w:afterAutospacing="0" w:line="360" w:lineRule="auto"/>
        <w:rPr>
          <w:sz w:val="28"/>
          <w:szCs w:val="28"/>
        </w:rPr>
      </w:pPr>
      <w:r w:rsidRPr="00E70E65">
        <w:rPr>
          <w:color w:val="000000"/>
          <w:sz w:val="28"/>
          <w:szCs w:val="28"/>
        </w:rPr>
        <w:t>СУДОРОГИ</w:t>
      </w:r>
    </w:p>
    <w:p w:rsidR="00E70E65" w:rsidRPr="00E70E65" w:rsidRDefault="00E70E65" w:rsidP="005E0D82">
      <w:pPr>
        <w:pStyle w:val="af"/>
        <w:spacing w:before="0" w:beforeAutospacing="0" w:after="0" w:afterAutospacing="0" w:line="360" w:lineRule="auto"/>
        <w:rPr>
          <w:sz w:val="28"/>
          <w:szCs w:val="28"/>
        </w:rPr>
      </w:pPr>
      <w:r w:rsidRPr="00E70E65">
        <w:rPr>
          <w:color w:val="000000"/>
          <w:sz w:val="28"/>
          <w:szCs w:val="28"/>
        </w:rPr>
        <w:t>Фокальные судороги - это один из наиболее встречаемых симптомов первичных или метастатических опухолей ГМ. Судороги встречаются у 50-80% пациентов с первичными опухолями ГМ и у 10-20% пациентов с метастатическими опухолями. Примечательно, что low-grade опухоли вызывают судороги чаще, чем high-grade</w:t>
      </w:r>
      <w:r w:rsidR="00EF5BB5">
        <w:rPr>
          <w:color w:val="000000"/>
          <w:sz w:val="28"/>
          <w:szCs w:val="28"/>
        </w:rPr>
        <w:t xml:space="preserve"> </w:t>
      </w:r>
      <w:r w:rsidR="00EF5BB5" w:rsidRPr="00EF5BB5">
        <w:rPr>
          <w:color w:val="000000"/>
          <w:sz w:val="28"/>
          <w:szCs w:val="28"/>
        </w:rPr>
        <w:t>[</w:t>
      </w:r>
      <w:r w:rsidR="00EF5BB5">
        <w:rPr>
          <w:color w:val="000000"/>
          <w:sz w:val="28"/>
          <w:szCs w:val="28"/>
        </w:rPr>
        <w:t>22</w:t>
      </w:r>
      <w:r w:rsidR="00EF5BB5" w:rsidRPr="00EF5BB5">
        <w:rPr>
          <w:color w:val="000000"/>
          <w:sz w:val="28"/>
          <w:szCs w:val="28"/>
        </w:rPr>
        <w:t>]</w:t>
      </w:r>
      <w:r w:rsidRPr="00E70E65">
        <w:rPr>
          <w:color w:val="000000"/>
          <w:sz w:val="28"/>
          <w:szCs w:val="28"/>
        </w:rPr>
        <w:t>. Клинические проявления фокальных судорог зависят от локализации опухоли. Так, локализация в лобной доле обусловливает тонико-клонические судороги, в париетальной доле - расстройства зрения. Опухоли височной доли дают наиболее сложную картину - припадки могут сопровождаться нарушениями вкуса, обоняния, симптомами нарушения работы ЖКТ.</w:t>
      </w:r>
      <w:r w:rsidR="00EF5BB5">
        <w:rPr>
          <w:sz w:val="28"/>
          <w:szCs w:val="28"/>
        </w:rPr>
        <w:t xml:space="preserve"> </w:t>
      </w:r>
      <w:r w:rsidRPr="00E70E65">
        <w:rPr>
          <w:color w:val="000000"/>
          <w:sz w:val="28"/>
          <w:szCs w:val="28"/>
        </w:rPr>
        <w:t>Судороги, вызванные опухолью, как правило, стереотипны и повторяются в точности. Иногда судорогам предшествует аура, после приступа наблюдается усталость и сон, реже - постиктальный парез (т.н. паралич Тодда).</w:t>
      </w:r>
      <w:r w:rsidR="00EF5BB5">
        <w:rPr>
          <w:sz w:val="28"/>
          <w:szCs w:val="28"/>
        </w:rPr>
        <w:t xml:space="preserve"> </w:t>
      </w:r>
      <w:r w:rsidRPr="00E70E65">
        <w:rPr>
          <w:color w:val="000000"/>
          <w:sz w:val="28"/>
          <w:szCs w:val="28"/>
        </w:rPr>
        <w:t>Фокальные припадки со временем могут перерасти в генерализованные тонико-</w:t>
      </w:r>
      <w:r w:rsidRPr="00E70E65">
        <w:rPr>
          <w:color w:val="000000"/>
          <w:sz w:val="28"/>
          <w:szCs w:val="28"/>
        </w:rPr>
        <w:lastRenderedPageBreak/>
        <w:t>клонические судороги. Опухоли ГМ могут прив</w:t>
      </w:r>
      <w:r w:rsidR="00EF5BB5">
        <w:rPr>
          <w:color w:val="000000"/>
          <w:sz w:val="28"/>
          <w:szCs w:val="28"/>
        </w:rPr>
        <w:t xml:space="preserve">ести к эпилептическому статусу </w:t>
      </w:r>
      <w:r w:rsidR="00EF5BB5" w:rsidRPr="00EF5BB5">
        <w:rPr>
          <w:color w:val="000000"/>
          <w:sz w:val="28"/>
          <w:szCs w:val="28"/>
        </w:rPr>
        <w:t>[</w:t>
      </w:r>
      <w:r w:rsidR="00EF5BB5">
        <w:rPr>
          <w:color w:val="000000"/>
          <w:sz w:val="28"/>
          <w:szCs w:val="28"/>
        </w:rPr>
        <w:t>25</w:t>
      </w:r>
      <w:r w:rsidR="00EF5BB5" w:rsidRPr="00EF5BB5">
        <w:rPr>
          <w:color w:val="000000"/>
          <w:sz w:val="28"/>
          <w:szCs w:val="28"/>
        </w:rPr>
        <w:t>]</w:t>
      </w:r>
      <w:r w:rsidRPr="00E70E65">
        <w:rPr>
          <w:color w:val="000000"/>
          <w:sz w:val="28"/>
          <w:szCs w:val="28"/>
        </w:rPr>
        <w:t>.</w:t>
      </w:r>
      <w:r w:rsidR="00EF5BB5">
        <w:rPr>
          <w:sz w:val="28"/>
          <w:szCs w:val="28"/>
        </w:rPr>
        <w:t xml:space="preserve"> </w:t>
      </w:r>
      <w:r w:rsidRPr="00E70E65">
        <w:rPr>
          <w:color w:val="000000"/>
          <w:sz w:val="28"/>
          <w:szCs w:val="28"/>
        </w:rPr>
        <w:t xml:space="preserve">Судороги следует дифференцировать от синкопальных явлений, обусловленных повышением ВЧД. Судороги, вызванные опухолью, лечат противосудорожными препаратами, а повышение ВЧД контролируется приемом </w:t>
      </w:r>
      <w:r w:rsidR="00EF5BB5">
        <w:rPr>
          <w:color w:val="000000"/>
          <w:sz w:val="28"/>
          <w:szCs w:val="28"/>
        </w:rPr>
        <w:t>глюкокортикоидов</w:t>
      </w:r>
      <w:r w:rsidRPr="00E70E65">
        <w:rPr>
          <w:color w:val="000000"/>
          <w:sz w:val="28"/>
          <w:szCs w:val="28"/>
        </w:rPr>
        <w:t>.</w:t>
      </w:r>
    </w:p>
    <w:p w:rsidR="00E70E65" w:rsidRPr="00E70E65" w:rsidRDefault="00E70E65" w:rsidP="005E0D82">
      <w:pPr>
        <w:pStyle w:val="af"/>
        <w:spacing w:before="0" w:beforeAutospacing="0" w:after="0" w:afterAutospacing="0" w:line="360" w:lineRule="auto"/>
        <w:rPr>
          <w:sz w:val="28"/>
          <w:szCs w:val="28"/>
        </w:rPr>
      </w:pPr>
      <w:r w:rsidRPr="00E70E65">
        <w:rPr>
          <w:color w:val="000000"/>
          <w:sz w:val="28"/>
          <w:szCs w:val="28"/>
        </w:rPr>
        <w:t>ЛОКАЛЬНЫЕ ПРОЯВЛЕНИЯ</w:t>
      </w:r>
    </w:p>
    <w:p w:rsidR="00E70E65" w:rsidRPr="00E70E65" w:rsidRDefault="00E70E65" w:rsidP="005E0D82">
      <w:pPr>
        <w:pStyle w:val="af"/>
        <w:spacing w:before="0" w:beforeAutospacing="0" w:after="0" w:afterAutospacing="0" w:line="360" w:lineRule="auto"/>
        <w:rPr>
          <w:sz w:val="28"/>
          <w:szCs w:val="28"/>
        </w:rPr>
      </w:pPr>
      <w:r w:rsidRPr="00E70E65">
        <w:rPr>
          <w:color w:val="000000"/>
          <w:sz w:val="28"/>
          <w:szCs w:val="28"/>
        </w:rPr>
        <w:t xml:space="preserve">Локальные проявления вариабельны и зависят от локализации опухоли. Симптомы могут быть </w:t>
      </w:r>
      <w:r w:rsidR="005F31CA" w:rsidRPr="00E70E65">
        <w:rPr>
          <w:color w:val="000000"/>
          <w:sz w:val="28"/>
          <w:szCs w:val="28"/>
        </w:rPr>
        <w:t>вызваны местным</w:t>
      </w:r>
      <w:r w:rsidR="005F31CA">
        <w:rPr>
          <w:color w:val="000000"/>
          <w:sz w:val="28"/>
          <w:szCs w:val="28"/>
        </w:rPr>
        <w:t xml:space="preserve"> разрушением тканей, поражением </w:t>
      </w:r>
      <w:r w:rsidRPr="00E70E65">
        <w:rPr>
          <w:color w:val="000000"/>
          <w:sz w:val="28"/>
          <w:szCs w:val="28"/>
        </w:rPr>
        <w:t>соседних структур, вазогенным отеком и т.д.</w:t>
      </w:r>
      <w:r w:rsidR="005F31CA">
        <w:rPr>
          <w:color w:val="000000"/>
          <w:sz w:val="28"/>
          <w:szCs w:val="28"/>
        </w:rPr>
        <w:t xml:space="preserve"> Симптомокомпекс представлен слабостью, сенсорными нарушениями, афазией, визуальными, пространственными и когнитивными нарушениями.</w:t>
      </w:r>
    </w:p>
    <w:p w:rsidR="00E70E65" w:rsidRPr="00E70E65" w:rsidRDefault="005F31CA" w:rsidP="005E0D82">
      <w:pPr>
        <w:pStyle w:val="af"/>
        <w:spacing w:before="0" w:beforeAutospacing="0" w:after="0" w:afterAutospacing="0" w:line="360" w:lineRule="auto"/>
        <w:rPr>
          <w:sz w:val="28"/>
          <w:szCs w:val="28"/>
        </w:rPr>
      </w:pPr>
      <w:r>
        <w:rPr>
          <w:color w:val="000000"/>
          <w:sz w:val="28"/>
          <w:szCs w:val="28"/>
        </w:rPr>
        <w:t>М</w:t>
      </w:r>
      <w:r w:rsidR="00E70E65" w:rsidRPr="00E70E65">
        <w:rPr>
          <w:color w:val="000000"/>
          <w:sz w:val="28"/>
          <w:szCs w:val="28"/>
        </w:rPr>
        <w:t xml:space="preserve">ышечная слабость зачастую сопровождает пациентов с опухолями мозга. Изначально слабость может быть незначительной. Мышечная слабость более выражена в мышцах-сгибателях на нижних конечностях и в мышцах-разгибателях на верхних конечностях. Мышечная слабость хорошо купируется </w:t>
      </w:r>
      <w:r>
        <w:rPr>
          <w:color w:val="000000"/>
          <w:sz w:val="28"/>
          <w:szCs w:val="28"/>
        </w:rPr>
        <w:t>глюкокртикоидами</w:t>
      </w:r>
      <w:r w:rsidR="00E70E65" w:rsidRPr="00E70E65">
        <w:rPr>
          <w:color w:val="000000"/>
          <w:sz w:val="28"/>
          <w:szCs w:val="28"/>
        </w:rPr>
        <w:t>, особенно при локализации опухоли вблизи моторной коры или восходящих трактов - если человек хорошо отвечает на ГКС, значит, слабость была вызвана отеком, а не инвазией</w:t>
      </w:r>
      <w:r>
        <w:rPr>
          <w:color w:val="000000"/>
          <w:sz w:val="28"/>
          <w:szCs w:val="28"/>
        </w:rPr>
        <w:t xml:space="preserve"> </w:t>
      </w:r>
      <w:r w:rsidRPr="005F31CA">
        <w:rPr>
          <w:color w:val="000000"/>
          <w:sz w:val="28"/>
          <w:szCs w:val="28"/>
        </w:rPr>
        <w:t>[</w:t>
      </w:r>
      <w:r>
        <w:rPr>
          <w:color w:val="000000"/>
          <w:sz w:val="28"/>
          <w:szCs w:val="28"/>
        </w:rPr>
        <w:t xml:space="preserve">26 </w:t>
      </w:r>
      <w:r w:rsidRPr="005F31CA">
        <w:rPr>
          <w:color w:val="000000"/>
          <w:sz w:val="28"/>
          <w:szCs w:val="28"/>
        </w:rPr>
        <w:t>]</w:t>
      </w:r>
      <w:r w:rsidR="00E70E65" w:rsidRPr="00E70E65">
        <w:rPr>
          <w:color w:val="000000"/>
          <w:sz w:val="28"/>
          <w:szCs w:val="28"/>
        </w:rPr>
        <w:t xml:space="preserve">. </w:t>
      </w:r>
    </w:p>
    <w:p w:rsidR="00E70E65" w:rsidRPr="00E70E65" w:rsidRDefault="005F31CA" w:rsidP="005E0D82">
      <w:pPr>
        <w:pStyle w:val="af"/>
        <w:spacing w:before="0" w:beforeAutospacing="0" w:after="0" w:afterAutospacing="0" w:line="360" w:lineRule="auto"/>
        <w:rPr>
          <w:sz w:val="28"/>
          <w:szCs w:val="28"/>
        </w:rPr>
      </w:pPr>
      <w:r>
        <w:rPr>
          <w:color w:val="000000"/>
          <w:sz w:val="28"/>
          <w:szCs w:val="28"/>
        </w:rPr>
        <w:t>Нарушения</w:t>
      </w:r>
      <w:r w:rsidR="00E70E65" w:rsidRPr="00E70E65">
        <w:rPr>
          <w:color w:val="000000"/>
          <w:sz w:val="28"/>
          <w:szCs w:val="28"/>
        </w:rPr>
        <w:t xml:space="preserve"> кортикальных функций - графестезии и стереогнозиса - могут развиться у пациентов, опухоль которых вовлекает первичную сенсорную кору. Нарушения зависят от локализации опухоли и могут выражаться нарушениями ориентации в пространстве или координации.</w:t>
      </w:r>
    </w:p>
    <w:p w:rsidR="00E70E65" w:rsidRPr="00E70E65" w:rsidRDefault="005F31CA" w:rsidP="005E0D82">
      <w:pPr>
        <w:pStyle w:val="af"/>
        <w:spacing w:before="0" w:beforeAutospacing="0" w:after="0" w:afterAutospacing="0" w:line="360" w:lineRule="auto"/>
        <w:rPr>
          <w:sz w:val="28"/>
          <w:szCs w:val="28"/>
        </w:rPr>
      </w:pPr>
      <w:r>
        <w:rPr>
          <w:color w:val="000000"/>
          <w:sz w:val="28"/>
          <w:szCs w:val="28"/>
        </w:rPr>
        <w:t>Афазия м</w:t>
      </w:r>
      <w:r w:rsidR="00E70E65" w:rsidRPr="00E70E65">
        <w:rPr>
          <w:color w:val="000000"/>
          <w:sz w:val="28"/>
          <w:szCs w:val="28"/>
        </w:rPr>
        <w:t>ожет быть различной выраженности или типа и характерна для поражения левого полушария (у правшей). Опухоли вблизи прецентральной извилины обычно вызывают моторную афазию, в то время как локализации опухоли в районе постцентральной извилины чаще приводит к сенсорной афазии. При локализации опухоли вблизи париетальной доли и таламуса наблюдаются нарушения речи.</w:t>
      </w:r>
    </w:p>
    <w:p w:rsidR="00E70E65" w:rsidRPr="00E70E65" w:rsidRDefault="005F31CA" w:rsidP="005E0D82">
      <w:pPr>
        <w:pStyle w:val="af"/>
        <w:spacing w:before="0" w:beforeAutospacing="0" w:after="0" w:afterAutospacing="0" w:line="360" w:lineRule="auto"/>
        <w:rPr>
          <w:sz w:val="28"/>
          <w:szCs w:val="28"/>
        </w:rPr>
      </w:pPr>
      <w:r>
        <w:rPr>
          <w:color w:val="000000"/>
          <w:sz w:val="28"/>
          <w:szCs w:val="28"/>
        </w:rPr>
        <w:lastRenderedPageBreak/>
        <w:t>Визуальные и пространственные нарушения:</w:t>
      </w:r>
      <w:r w:rsidR="00E70E65" w:rsidRPr="00E70E65">
        <w:rPr>
          <w:color w:val="000000"/>
          <w:sz w:val="28"/>
          <w:szCs w:val="28"/>
        </w:rPr>
        <w:t xml:space="preserve"> при локализации опухоли вблизи хиазмы наблюдается битемпоральная гемианопсия, реже - односторонняя гемианопсия или центральная скотома</w:t>
      </w:r>
      <w:r w:rsidR="00716330">
        <w:rPr>
          <w:color w:val="000000"/>
          <w:sz w:val="28"/>
          <w:szCs w:val="28"/>
        </w:rPr>
        <w:t xml:space="preserve"> </w:t>
      </w:r>
      <w:r w:rsidR="00716330" w:rsidRPr="00716330">
        <w:rPr>
          <w:color w:val="000000"/>
          <w:sz w:val="28"/>
          <w:szCs w:val="28"/>
        </w:rPr>
        <w:t>[</w:t>
      </w:r>
      <w:r w:rsidR="00716330">
        <w:rPr>
          <w:color w:val="000000"/>
          <w:sz w:val="28"/>
          <w:szCs w:val="28"/>
        </w:rPr>
        <w:t>29</w:t>
      </w:r>
      <w:r w:rsidR="00716330" w:rsidRPr="00716330">
        <w:rPr>
          <w:color w:val="000000"/>
          <w:sz w:val="28"/>
          <w:szCs w:val="28"/>
        </w:rPr>
        <w:t>]</w:t>
      </w:r>
      <w:r w:rsidR="00E70E65" w:rsidRPr="00E70E65">
        <w:rPr>
          <w:color w:val="000000"/>
          <w:sz w:val="28"/>
          <w:szCs w:val="28"/>
        </w:rPr>
        <w:t xml:space="preserve">. </w:t>
      </w:r>
    </w:p>
    <w:p w:rsidR="00E70E65" w:rsidRPr="00E70E65" w:rsidRDefault="005F31CA" w:rsidP="005E0D82">
      <w:pPr>
        <w:pStyle w:val="af"/>
        <w:spacing w:before="0" w:beforeAutospacing="0" w:after="0" w:afterAutospacing="0" w:line="360" w:lineRule="auto"/>
        <w:rPr>
          <w:sz w:val="28"/>
          <w:szCs w:val="28"/>
        </w:rPr>
      </w:pPr>
      <w:r>
        <w:rPr>
          <w:color w:val="000000"/>
          <w:sz w:val="28"/>
          <w:szCs w:val="28"/>
        </w:rPr>
        <w:t>Когнитивные нарушения</w:t>
      </w:r>
      <w:r w:rsidR="00E70E65" w:rsidRPr="00E70E65">
        <w:rPr>
          <w:color w:val="000000"/>
          <w:sz w:val="28"/>
          <w:szCs w:val="28"/>
        </w:rPr>
        <w:t xml:space="preserve"> могут включать в себя нарушения памяти, настроения, личностные изменения. Как правило симптоматика слабая. Пациенты часто жалуются на отсутствие энергии, слабость, тягу ко сну, потерю интереса к ежедневной деятельности. Они могут стать депрессивными, их действия приобретают однообразность. Как правило, опухоль-опосредованные когнитивные нарушения выявляются ретроспективно в силу своей неспецифичности и крайне редко служат толчком к диагностике опухоли</w:t>
      </w:r>
      <w:r w:rsidR="00716330">
        <w:rPr>
          <w:color w:val="000000"/>
          <w:sz w:val="28"/>
          <w:szCs w:val="28"/>
        </w:rPr>
        <w:t xml:space="preserve"> </w:t>
      </w:r>
      <w:r w:rsidR="00716330" w:rsidRPr="00716330">
        <w:rPr>
          <w:color w:val="000000"/>
          <w:sz w:val="28"/>
          <w:szCs w:val="28"/>
        </w:rPr>
        <w:t>[30]</w:t>
      </w:r>
      <w:r w:rsidR="00E70E65" w:rsidRPr="00E70E65">
        <w:rPr>
          <w:color w:val="000000"/>
          <w:sz w:val="28"/>
          <w:szCs w:val="28"/>
        </w:rPr>
        <w:t>.</w:t>
      </w:r>
    </w:p>
    <w:p w:rsidR="00E70E65" w:rsidRDefault="00E70E65" w:rsidP="005E0D82">
      <w:pPr>
        <w:pStyle w:val="af"/>
        <w:spacing w:before="0" w:beforeAutospacing="0" w:after="0" w:afterAutospacing="0" w:line="360" w:lineRule="auto"/>
        <w:rPr>
          <w:color w:val="000000"/>
          <w:sz w:val="28"/>
          <w:szCs w:val="28"/>
        </w:rPr>
      </w:pPr>
      <w:r w:rsidRPr="00E70E65">
        <w:rPr>
          <w:color w:val="000000"/>
          <w:sz w:val="28"/>
          <w:szCs w:val="28"/>
        </w:rPr>
        <w:t>ПОВЫШЕНИЕ В</w:t>
      </w:r>
      <w:r w:rsidR="005F31CA">
        <w:rPr>
          <w:color w:val="000000"/>
          <w:sz w:val="28"/>
          <w:szCs w:val="28"/>
        </w:rPr>
        <w:t>НУТРИЧЕРЕПНОГО ДАВЛЕНИЯ</w:t>
      </w:r>
      <w:r w:rsidR="005F31CA">
        <w:rPr>
          <w:color w:val="000000"/>
          <w:sz w:val="28"/>
          <w:szCs w:val="28"/>
        </w:rPr>
        <w:br/>
      </w:r>
      <w:r w:rsidRPr="00E70E65">
        <w:rPr>
          <w:color w:val="000000"/>
          <w:sz w:val="28"/>
          <w:szCs w:val="28"/>
        </w:rPr>
        <w:t>Как правило, развивается из-за нарушения циркуляции ликвора и последующей гидроцефалии той или иной степени выраженности. Симптомы могут быть рне выражены, но чаще включают классическую триаду (головная боль, тошнота, отек зрительного нерва).</w:t>
      </w:r>
      <w:r w:rsidR="005F31CA">
        <w:rPr>
          <w:sz w:val="28"/>
          <w:szCs w:val="28"/>
        </w:rPr>
        <w:t xml:space="preserve"> </w:t>
      </w:r>
      <w:r w:rsidR="005F31CA">
        <w:rPr>
          <w:color w:val="000000"/>
          <w:sz w:val="28"/>
          <w:szCs w:val="28"/>
        </w:rPr>
        <w:t>Тошнота и рвота не являются достоверными диагностическими критериями</w:t>
      </w:r>
      <w:r w:rsidRPr="00E70E65">
        <w:rPr>
          <w:color w:val="000000"/>
          <w:sz w:val="28"/>
          <w:szCs w:val="28"/>
        </w:rPr>
        <w:t xml:space="preserve">, </w:t>
      </w:r>
      <w:r w:rsidR="005F31CA">
        <w:rPr>
          <w:color w:val="000000"/>
          <w:sz w:val="28"/>
          <w:szCs w:val="28"/>
        </w:rPr>
        <w:t>так как</w:t>
      </w:r>
      <w:r w:rsidRPr="00E70E65">
        <w:rPr>
          <w:color w:val="000000"/>
          <w:sz w:val="28"/>
          <w:szCs w:val="28"/>
        </w:rPr>
        <w:t xml:space="preserve"> часто сопровождают головную боль и при других заболеваниях, таких как мигрень. Опорным элементом может служить то, что неврогенная тошнота часто сочетается с другими симптомами неврологического дефицита.</w:t>
      </w:r>
      <w:r w:rsidR="005F31CA">
        <w:rPr>
          <w:sz w:val="28"/>
          <w:szCs w:val="28"/>
        </w:rPr>
        <w:t xml:space="preserve"> </w:t>
      </w:r>
      <w:r w:rsidRPr="00E70E65">
        <w:rPr>
          <w:color w:val="000000"/>
          <w:sz w:val="28"/>
          <w:szCs w:val="28"/>
        </w:rPr>
        <w:t>При значительном объеме опухоли толерантность мозга к перепадам ВЧД снижается. и даже небольшое повышение объема ликвора может привести к резкому повышению ВЧД.</w:t>
      </w:r>
      <w:r w:rsidR="005F31CA">
        <w:rPr>
          <w:sz w:val="28"/>
          <w:szCs w:val="28"/>
        </w:rPr>
        <w:t xml:space="preserve"> </w:t>
      </w:r>
      <w:r w:rsidRPr="00E70E65">
        <w:rPr>
          <w:color w:val="000000"/>
          <w:sz w:val="28"/>
          <w:szCs w:val="28"/>
        </w:rPr>
        <w:t>Значительные повышения ВЧД ведут к обморокам или синкопальным состояниям по типу тонико-клонических судорог</w:t>
      </w:r>
      <w:r w:rsidR="005F31CA">
        <w:rPr>
          <w:color w:val="000000"/>
          <w:sz w:val="28"/>
          <w:szCs w:val="28"/>
        </w:rPr>
        <w:t xml:space="preserve"> </w:t>
      </w:r>
      <w:r w:rsidR="005F31CA" w:rsidRPr="005F31CA">
        <w:rPr>
          <w:color w:val="000000"/>
          <w:sz w:val="28"/>
          <w:szCs w:val="28"/>
        </w:rPr>
        <w:t>[</w:t>
      </w:r>
      <w:r w:rsidR="005F31CA">
        <w:rPr>
          <w:color w:val="000000"/>
          <w:sz w:val="28"/>
          <w:szCs w:val="28"/>
        </w:rPr>
        <w:t>27</w:t>
      </w:r>
      <w:r w:rsidR="005F31CA" w:rsidRPr="005F31CA">
        <w:rPr>
          <w:color w:val="000000"/>
          <w:sz w:val="28"/>
          <w:szCs w:val="28"/>
        </w:rPr>
        <w:t>]</w:t>
      </w:r>
      <w:r w:rsidRPr="00E70E65">
        <w:rPr>
          <w:color w:val="000000"/>
          <w:sz w:val="28"/>
          <w:szCs w:val="28"/>
        </w:rPr>
        <w:t xml:space="preserve">. </w:t>
      </w:r>
    </w:p>
    <w:p w:rsidR="00716330" w:rsidRDefault="006D6EFB" w:rsidP="005E0D82">
      <w:pPr>
        <w:pStyle w:val="2"/>
        <w:numPr>
          <w:ilvl w:val="1"/>
          <w:numId w:val="29"/>
        </w:numPr>
        <w:spacing w:line="360" w:lineRule="auto"/>
        <w:rPr>
          <w:b/>
          <w:bCs w:val="0"/>
        </w:rPr>
      </w:pPr>
      <w:bookmarkStart w:id="26" w:name="_Toc9031266"/>
      <w:bookmarkStart w:id="27" w:name="_Toc9250597"/>
      <w:r w:rsidRPr="006D6EFB">
        <w:rPr>
          <w:b/>
          <w:bCs w:val="0"/>
        </w:rPr>
        <w:t>Основные аспекты диагностики нейроэпителиальных опухолей</w:t>
      </w:r>
      <w:r>
        <w:rPr>
          <w:b/>
          <w:bCs w:val="0"/>
        </w:rPr>
        <w:t xml:space="preserve"> различных типов</w:t>
      </w:r>
      <w:bookmarkEnd w:id="26"/>
      <w:bookmarkEnd w:id="27"/>
    </w:p>
    <w:p w:rsidR="000B2EB9" w:rsidRDefault="0098541F" w:rsidP="005E0D82">
      <w:pPr>
        <w:pStyle w:val="af"/>
        <w:spacing w:before="0" w:beforeAutospacing="0" w:after="0" w:afterAutospacing="0" w:line="360" w:lineRule="auto"/>
        <w:rPr>
          <w:color w:val="000000"/>
          <w:sz w:val="28"/>
          <w:szCs w:val="28"/>
        </w:rPr>
      </w:pPr>
      <w:r>
        <w:rPr>
          <w:sz w:val="28"/>
          <w:szCs w:val="28"/>
        </w:rPr>
        <w:t xml:space="preserve">Спектр диагностических методов в случае нейроэпителиальных опухолей, в том числе, глиом головного мозга, очень широк и многообразен. Условно </w:t>
      </w:r>
      <w:r>
        <w:rPr>
          <w:sz w:val="28"/>
          <w:szCs w:val="28"/>
        </w:rPr>
        <w:lastRenderedPageBreak/>
        <w:t>можно разделить методы диагностики на три категории: инструментальные, морфологические и молекулярно-генетические.</w:t>
      </w:r>
      <w:r>
        <w:rPr>
          <w:sz w:val="28"/>
          <w:szCs w:val="28"/>
        </w:rPr>
        <w:br/>
        <w:t xml:space="preserve">К основным инструментальным методам диагностики  глиальных опухолей ГМ можно отнести: компьютерную томографию, магнитно-резонансную томографию, позитронно-эмиссионную томографию и другие, менее востребованные методы. </w:t>
      </w:r>
      <w:r>
        <w:rPr>
          <w:sz w:val="28"/>
          <w:szCs w:val="28"/>
        </w:rPr>
        <w:br/>
        <w:t xml:space="preserve">КТ головного мозга является классическим методом, уступающим в степени визуализации МРТ, и, в первую очередь, полезным для диагностики острых состояний, таких как геморрагические осложнения и отек мозга. Чувствительность КТ с внутривенным контрастированием составляет 65%, специфичность - 72%. КТ рекомендуется использовать при недоступности МРТ или наличии противопоказаний к проведению магнитно-резонансной томографии. </w:t>
      </w:r>
      <w:r w:rsidR="000E08C0">
        <w:rPr>
          <w:sz w:val="28"/>
          <w:szCs w:val="28"/>
        </w:rPr>
        <w:t xml:space="preserve">Кроме того, КТ может быть рекомендована, если кальцификация затрудняет визуализацию опухоли на МРТ </w:t>
      </w:r>
      <w:r w:rsidR="000E08C0" w:rsidRPr="000E08C0">
        <w:rPr>
          <w:sz w:val="28"/>
          <w:szCs w:val="28"/>
        </w:rPr>
        <w:t>[31]</w:t>
      </w:r>
      <w:r w:rsidR="000E08C0">
        <w:rPr>
          <w:sz w:val="28"/>
          <w:szCs w:val="28"/>
        </w:rPr>
        <w:t xml:space="preserve">. При проведении КТ головного мозга в случае наличия опухоли будет визуализироваться объемное гипоинтенсивное образование; захват контрастного вещества при этом коррелирует со степенью дифференцировки опухоли, гиперинтенсивные участки и кальцификация наблюдаются при злокачественных опухолях, в случае глиобластом возможны кровоизлияния и некрозы </w:t>
      </w:r>
      <w:r w:rsidR="000E08C0" w:rsidRPr="000E08C0">
        <w:rPr>
          <w:sz w:val="28"/>
          <w:szCs w:val="28"/>
        </w:rPr>
        <w:t>[32]</w:t>
      </w:r>
      <w:r w:rsidR="000E08C0">
        <w:rPr>
          <w:sz w:val="28"/>
          <w:szCs w:val="28"/>
        </w:rPr>
        <w:t xml:space="preserve">. </w:t>
      </w:r>
      <w:r w:rsidR="000E08C0">
        <w:rPr>
          <w:sz w:val="28"/>
          <w:szCs w:val="28"/>
        </w:rPr>
        <w:br/>
        <w:t xml:space="preserve">МРТ головного мозга с контрастированием является «золотым стандартом» </w:t>
      </w:r>
      <w:r w:rsidR="005F56BD">
        <w:rPr>
          <w:sz w:val="28"/>
          <w:szCs w:val="28"/>
        </w:rPr>
        <w:t xml:space="preserve">неинвазивной </w:t>
      </w:r>
      <w:r w:rsidR="000E08C0">
        <w:rPr>
          <w:sz w:val="28"/>
          <w:szCs w:val="28"/>
        </w:rPr>
        <w:t xml:space="preserve">диагностики первичных опухолей головного мозга. </w:t>
      </w:r>
      <w:r w:rsidR="000B2EB9">
        <w:rPr>
          <w:sz w:val="28"/>
          <w:szCs w:val="28"/>
        </w:rPr>
        <w:t xml:space="preserve">Метод магнитно-резонансной томографии обладает максимальной специфичностью относительно других неинвазивных способов постановки диагноза. Глиальная опухоль при МРТ визуализируется как </w:t>
      </w:r>
      <w:r w:rsidR="000B2EB9" w:rsidRPr="000B2EB9">
        <w:rPr>
          <w:sz w:val="28"/>
          <w:szCs w:val="28"/>
        </w:rPr>
        <w:t xml:space="preserve">гипотинтенсивная область в Т1-режиме или гипертинтенсивная в Т2-режиме, реагирующая на введение контраста различным образом в зависимости от клеточной дифференцировки опухоли. </w:t>
      </w:r>
      <w:r w:rsidR="000B2EB9" w:rsidRPr="000B2EB9">
        <w:rPr>
          <w:sz w:val="28"/>
          <w:szCs w:val="28"/>
          <w:lang w:val="en-US"/>
        </w:rPr>
        <w:t>GI</w:t>
      </w:r>
      <w:r w:rsidR="000B2EB9" w:rsidRPr="000B2EB9">
        <w:rPr>
          <w:sz w:val="28"/>
          <w:szCs w:val="28"/>
        </w:rPr>
        <w:t>-</w:t>
      </w:r>
      <w:r w:rsidR="000B2EB9" w:rsidRPr="000B2EB9">
        <w:rPr>
          <w:sz w:val="28"/>
          <w:szCs w:val="28"/>
          <w:lang w:val="en-US"/>
        </w:rPr>
        <w:t>II</w:t>
      </w:r>
      <w:r w:rsidR="000B2EB9" w:rsidRPr="000B2EB9">
        <w:rPr>
          <w:sz w:val="28"/>
          <w:szCs w:val="28"/>
        </w:rPr>
        <w:t xml:space="preserve"> глиомы обычно </w:t>
      </w:r>
      <w:r w:rsidR="000B2EB9" w:rsidRPr="000B2EB9">
        <w:rPr>
          <w:color w:val="000000"/>
          <w:sz w:val="28"/>
          <w:szCs w:val="28"/>
        </w:rPr>
        <w:t xml:space="preserve">визуализируются в Т2-режиме как гиперинтенсивные, увеличивающиеся в динамике опухоли, вовлекающие кору и подлежащее </w:t>
      </w:r>
      <w:r w:rsidR="000B2EB9" w:rsidRPr="000B2EB9">
        <w:rPr>
          <w:color w:val="000000"/>
          <w:sz w:val="28"/>
          <w:szCs w:val="28"/>
        </w:rPr>
        <w:lastRenderedPageBreak/>
        <w:t xml:space="preserve">белое вещество ГМ. Отек не характерен. Большинство таких глиом слабо поглощают контрастное вещество, но это не должно служить определяющим фактором при диагностике. Кальцификация обнаруживается не во всех опухолях и совершенно не специфична для олигодендроглиом. Большинство </w:t>
      </w:r>
      <w:r w:rsidR="000B2EB9" w:rsidRPr="000B2EB9">
        <w:rPr>
          <w:color w:val="000000"/>
          <w:sz w:val="28"/>
          <w:szCs w:val="28"/>
          <w:lang w:val="en-US"/>
        </w:rPr>
        <w:t>low</w:t>
      </w:r>
      <w:r w:rsidR="000B2EB9" w:rsidRPr="000B2EB9">
        <w:rPr>
          <w:color w:val="000000"/>
          <w:sz w:val="28"/>
          <w:szCs w:val="28"/>
        </w:rPr>
        <w:t>-</w:t>
      </w:r>
      <w:r w:rsidR="000B2EB9" w:rsidRPr="000B2EB9">
        <w:rPr>
          <w:color w:val="000000"/>
          <w:sz w:val="28"/>
          <w:szCs w:val="28"/>
          <w:lang w:val="en-US"/>
        </w:rPr>
        <w:t>grade</w:t>
      </w:r>
      <w:r w:rsidR="000B2EB9" w:rsidRPr="000B2EB9">
        <w:rPr>
          <w:color w:val="000000"/>
          <w:sz w:val="28"/>
          <w:szCs w:val="28"/>
        </w:rPr>
        <w:t xml:space="preserve"> глиом у взрослых развиваются в полушариях ГМ или в таламусе. Глиомы ствола ГМ более характерны для детей [33]. Злокачественные глиомы </w:t>
      </w:r>
      <w:r w:rsidR="000B2EB9" w:rsidRPr="000B2EB9">
        <w:rPr>
          <w:color w:val="000000"/>
          <w:sz w:val="28"/>
          <w:szCs w:val="28"/>
          <w:lang w:val="en-US"/>
        </w:rPr>
        <w:t>GIII</w:t>
      </w:r>
      <w:r w:rsidR="000B2EB9" w:rsidRPr="000B2EB9">
        <w:rPr>
          <w:color w:val="000000"/>
          <w:sz w:val="28"/>
          <w:szCs w:val="28"/>
        </w:rPr>
        <w:t>-</w:t>
      </w:r>
      <w:r w:rsidR="000B2EB9" w:rsidRPr="000B2EB9">
        <w:rPr>
          <w:color w:val="000000"/>
          <w:sz w:val="28"/>
          <w:szCs w:val="28"/>
          <w:lang w:val="en-US"/>
        </w:rPr>
        <w:t>IV</w:t>
      </w:r>
      <w:r w:rsidR="000B2EB9" w:rsidRPr="000B2EB9">
        <w:rPr>
          <w:color w:val="000000"/>
          <w:sz w:val="28"/>
          <w:szCs w:val="28"/>
        </w:rPr>
        <w:t>, как правило, представляют собой гипоинтенсивное образование в Т1-режиме, гетерогенно и активно поглощающее контрастное вещество. Собственно опухоль следует отграничивать от гипоинтенсивного сигнала отека ткани ГМ, характерного для злокачественных опухолей. Отек сосудистого генеза проявляется в Т2 режиме как гиперинтенсивный участок. Для глиобластом характерен плотный ободок вдоль краев опухоли с пустотой в центре, обусловленной некрозом или кистозными изменениями. О высокой степени злокачественности также говорит увеличение кровотока и объема перфузии, кровоизлияния в поле опухоли</w:t>
      </w:r>
      <w:r w:rsidR="000B2EB9">
        <w:rPr>
          <w:color w:val="000000"/>
          <w:sz w:val="28"/>
          <w:szCs w:val="28"/>
        </w:rPr>
        <w:t xml:space="preserve"> </w:t>
      </w:r>
      <w:r w:rsidR="000B2EB9" w:rsidRPr="000B2EB9">
        <w:rPr>
          <w:color w:val="000000"/>
          <w:sz w:val="28"/>
          <w:szCs w:val="28"/>
        </w:rPr>
        <w:t>[</w:t>
      </w:r>
      <w:r w:rsidR="000B2EB9">
        <w:rPr>
          <w:color w:val="000000"/>
          <w:sz w:val="28"/>
          <w:szCs w:val="28"/>
        </w:rPr>
        <w:t>22</w:t>
      </w:r>
      <w:r w:rsidR="000B2EB9" w:rsidRPr="000B2EB9">
        <w:rPr>
          <w:color w:val="000000"/>
          <w:sz w:val="28"/>
          <w:szCs w:val="28"/>
        </w:rPr>
        <w:t>].</w:t>
      </w:r>
    </w:p>
    <w:p w:rsidR="00245FC8" w:rsidRPr="0042212E" w:rsidRDefault="005F56BD" w:rsidP="005E0D82">
      <w:pPr>
        <w:pStyle w:val="af"/>
        <w:spacing w:before="0" w:beforeAutospacing="0" w:after="0" w:afterAutospacing="0" w:line="360" w:lineRule="auto"/>
        <w:rPr>
          <w:color w:val="000000"/>
          <w:sz w:val="28"/>
          <w:szCs w:val="28"/>
        </w:rPr>
      </w:pPr>
      <w:r>
        <w:rPr>
          <w:color w:val="000000"/>
          <w:sz w:val="28"/>
          <w:szCs w:val="28"/>
        </w:rPr>
        <w:t xml:space="preserve">Для неинвазивного определения дифференцировки опухоли применяются спетроскопическая МРТ головы с использованием </w:t>
      </w:r>
      <w:r>
        <w:rPr>
          <w:color w:val="000000"/>
          <w:sz w:val="28"/>
          <w:szCs w:val="28"/>
          <w:lang w:val="en-US"/>
        </w:rPr>
        <w:t>N</w:t>
      </w:r>
      <w:r>
        <w:rPr>
          <w:color w:val="000000"/>
          <w:sz w:val="28"/>
          <w:szCs w:val="28"/>
        </w:rPr>
        <w:t>-ацетил-аспартата, холина, отношения холина и креатина и т.п. Подобные методы с высокой достоверностью помогают установить степень злокачественности новообразования.</w:t>
      </w:r>
      <w:r>
        <w:rPr>
          <w:color w:val="000000"/>
          <w:sz w:val="28"/>
          <w:szCs w:val="28"/>
        </w:rPr>
        <w:br/>
        <w:t xml:space="preserve">Главным диагностическим методом в случае опухолей головного мозга является, без сомнения, морфологическое исследование. Для получения материала, как правило, применяется стереотаксическая биопсия головного мозга. Современные технологии позволили сделать данную процедуру значительно менее травматичной, чем несколько десятилетий назад, при этом степень специфичности метода лимитируется только особенностями самой опухоли – явление опухолевой гетерогенности встречается в большинстве опухолей мозга и зачастую способствует получению ложных данных </w:t>
      </w:r>
      <w:r w:rsidRPr="005F56BD">
        <w:rPr>
          <w:color w:val="000000"/>
          <w:sz w:val="28"/>
          <w:szCs w:val="28"/>
        </w:rPr>
        <w:t>[</w:t>
      </w:r>
      <w:r>
        <w:rPr>
          <w:color w:val="000000"/>
          <w:sz w:val="28"/>
          <w:szCs w:val="28"/>
        </w:rPr>
        <w:t>34</w:t>
      </w:r>
      <w:r w:rsidRPr="005F56BD">
        <w:rPr>
          <w:color w:val="000000"/>
          <w:sz w:val="28"/>
          <w:szCs w:val="28"/>
        </w:rPr>
        <w:t>]</w:t>
      </w:r>
      <w:r>
        <w:rPr>
          <w:color w:val="000000"/>
          <w:sz w:val="28"/>
          <w:szCs w:val="28"/>
        </w:rPr>
        <w:t xml:space="preserve">. Морфологические исследование является </w:t>
      </w:r>
      <w:r>
        <w:rPr>
          <w:color w:val="000000"/>
          <w:sz w:val="28"/>
          <w:szCs w:val="28"/>
        </w:rPr>
        <w:lastRenderedPageBreak/>
        <w:t>основным и, согласно канонам онкологии, единственным методом верификации диагн</w:t>
      </w:r>
      <w:r w:rsidR="00245FC8">
        <w:rPr>
          <w:color w:val="000000"/>
          <w:sz w:val="28"/>
          <w:szCs w:val="28"/>
        </w:rPr>
        <w:t xml:space="preserve">оза нейроэпителиальной опухоли вне зависимости от ее гистологической структуры. В наше время гистологические методы дополняются молекулярно-генетическими исследованиями, чего требует </w:t>
      </w:r>
      <w:r w:rsidR="00245FC8" w:rsidRPr="0042212E">
        <w:rPr>
          <w:color w:val="000000"/>
          <w:sz w:val="28"/>
          <w:szCs w:val="28"/>
        </w:rPr>
        <w:t>современный классификационный подход, однако ценность микроскопии по сей день неоспорима и чрезвычайно значительна. На данном этапе развития нейроонкологии основа классификации глиом - это световая микроскопия. В последние годы наряду с ней используется ИГХ, молекулярное тестирование, электронная микроскопия и генетические тесты. В настоящее время приветствуется</w:t>
      </w:r>
      <w:r w:rsidR="00245FC8" w:rsidRPr="00245FC8">
        <w:rPr>
          <w:color w:val="000000"/>
          <w:sz w:val="28"/>
          <w:szCs w:val="28"/>
        </w:rPr>
        <w:t xml:space="preserve"> использование многоуровневых интегрированных диагнозов. Такой системы придерживается и ВОЗ, и </w:t>
      </w:r>
      <w:r w:rsidR="00245FC8" w:rsidRPr="0042212E">
        <w:rPr>
          <w:color w:val="000000"/>
          <w:sz w:val="28"/>
          <w:szCs w:val="28"/>
        </w:rPr>
        <w:t>рекомендации</w:t>
      </w:r>
      <w:r w:rsidR="00245FC8" w:rsidRPr="00245FC8">
        <w:rPr>
          <w:color w:val="000000"/>
          <w:sz w:val="28"/>
          <w:szCs w:val="28"/>
        </w:rPr>
        <w:t xml:space="preserve"> Международного общества по </w:t>
      </w:r>
      <w:r w:rsidR="00245FC8" w:rsidRPr="0042212E">
        <w:rPr>
          <w:color w:val="000000"/>
          <w:sz w:val="28"/>
          <w:szCs w:val="28"/>
        </w:rPr>
        <w:t>невропатологии Гарлема [35]</w:t>
      </w:r>
      <w:r w:rsidR="00245FC8" w:rsidRPr="00245FC8">
        <w:rPr>
          <w:color w:val="000000"/>
          <w:sz w:val="28"/>
          <w:szCs w:val="28"/>
        </w:rPr>
        <w:t>.</w:t>
      </w:r>
      <w:r w:rsidR="00245FC8" w:rsidRPr="0042212E">
        <w:rPr>
          <w:color w:val="000000"/>
          <w:sz w:val="28"/>
          <w:szCs w:val="28"/>
        </w:rPr>
        <w:t xml:space="preserve"> </w:t>
      </w:r>
      <w:r w:rsidR="00245FC8" w:rsidRPr="00245FC8">
        <w:rPr>
          <w:color w:val="000000"/>
          <w:sz w:val="28"/>
          <w:szCs w:val="28"/>
        </w:rPr>
        <w:t>Диффузные астроцитарные и олигодендроглиальные опухоли - это те образования, по отношению которых новая классификация максимально отличается от предыдущих редакций: они</w:t>
      </w:r>
      <w:r w:rsidR="00245FC8" w:rsidRPr="0042212E">
        <w:rPr>
          <w:color w:val="000000"/>
          <w:sz w:val="28"/>
          <w:szCs w:val="28"/>
        </w:rPr>
        <w:t xml:space="preserve"> классифицируются на основе IDH-</w:t>
      </w:r>
      <w:r w:rsidR="00245FC8" w:rsidRPr="00245FC8">
        <w:rPr>
          <w:color w:val="000000"/>
          <w:sz w:val="28"/>
          <w:szCs w:val="28"/>
        </w:rPr>
        <w:t>статуса наряду с некоторыми другими ключевыми молекулярно-генетическими маркерами.</w:t>
      </w:r>
      <w:r w:rsidR="00245FC8" w:rsidRPr="0042212E">
        <w:rPr>
          <w:color w:val="000000"/>
          <w:sz w:val="28"/>
          <w:szCs w:val="28"/>
        </w:rPr>
        <w:br/>
        <w:t xml:space="preserve">Каждый морфологический подтип опухолей ЦНС имеет свои особенности, из общих признаков можно выделить следующее: для астроцитом характерны клетки с удлиненными или неправильными гиперхромными ядрами и т.н. глиальным фибриллярным кислотным белком (GFAP) в цитоплазме. </w:t>
      </w:r>
      <w:r w:rsidR="00245FC8" w:rsidRPr="00245FC8">
        <w:rPr>
          <w:color w:val="000000"/>
          <w:sz w:val="28"/>
          <w:szCs w:val="28"/>
        </w:rPr>
        <w:t>Олигодендроглиомы</w:t>
      </w:r>
      <w:r w:rsidR="00245FC8" w:rsidRPr="0042212E">
        <w:rPr>
          <w:color w:val="000000"/>
          <w:sz w:val="28"/>
          <w:szCs w:val="28"/>
        </w:rPr>
        <w:t xml:space="preserve"> визуализируются как</w:t>
      </w:r>
      <w:r w:rsidR="00245FC8" w:rsidRPr="00245FC8">
        <w:rPr>
          <w:color w:val="000000"/>
          <w:sz w:val="28"/>
          <w:szCs w:val="28"/>
        </w:rPr>
        <w:t xml:space="preserve"> клетки с округлыми ядрами, перинуклеарным гало, кальцификацией и тонкими, ветвящимися сосудами</w:t>
      </w:r>
      <w:r w:rsidR="00245FC8" w:rsidRPr="0042212E">
        <w:rPr>
          <w:color w:val="000000"/>
          <w:sz w:val="28"/>
          <w:szCs w:val="28"/>
        </w:rPr>
        <w:t xml:space="preserve"> [36]. Для АА</w:t>
      </w:r>
      <w:r w:rsidR="00245FC8" w:rsidRPr="0042212E">
        <w:rPr>
          <w:color w:val="000000"/>
          <w:sz w:val="28"/>
          <w:szCs w:val="28"/>
          <w:lang w:val="en-US"/>
        </w:rPr>
        <w:t>GIII</w:t>
      </w:r>
      <w:r w:rsidR="00245FC8" w:rsidRPr="0042212E">
        <w:rPr>
          <w:color w:val="000000"/>
          <w:sz w:val="28"/>
          <w:szCs w:val="28"/>
        </w:rPr>
        <w:t xml:space="preserve"> и АОДГ</w:t>
      </w:r>
      <w:r w:rsidR="00245FC8" w:rsidRPr="0042212E">
        <w:rPr>
          <w:color w:val="000000"/>
          <w:sz w:val="28"/>
          <w:szCs w:val="28"/>
          <w:lang w:val="en-US"/>
        </w:rPr>
        <w:t>GIII</w:t>
      </w:r>
      <w:r w:rsidR="00245FC8" w:rsidRPr="0042212E">
        <w:rPr>
          <w:color w:val="000000"/>
          <w:sz w:val="28"/>
          <w:szCs w:val="28"/>
        </w:rPr>
        <w:t xml:space="preserve"> характерны </w:t>
      </w:r>
      <w:r w:rsidR="00245FC8" w:rsidRPr="00245FC8">
        <w:rPr>
          <w:color w:val="000000"/>
          <w:sz w:val="28"/>
          <w:szCs w:val="28"/>
        </w:rPr>
        <w:t>ядерная атипия и повышенная митотическая активность</w:t>
      </w:r>
      <w:r w:rsidR="00245FC8" w:rsidRPr="0042212E">
        <w:rPr>
          <w:color w:val="000000"/>
          <w:sz w:val="28"/>
          <w:szCs w:val="28"/>
        </w:rPr>
        <w:t xml:space="preserve">. Определяющими признаками глиобластомы </w:t>
      </w:r>
      <w:r w:rsidR="00245FC8" w:rsidRPr="0042212E">
        <w:rPr>
          <w:color w:val="000000"/>
          <w:sz w:val="28"/>
          <w:szCs w:val="28"/>
          <w:lang w:val="en-US"/>
        </w:rPr>
        <w:t>GIV</w:t>
      </w:r>
      <w:r w:rsidR="00245FC8" w:rsidRPr="0042212E">
        <w:rPr>
          <w:color w:val="000000"/>
          <w:sz w:val="28"/>
          <w:szCs w:val="28"/>
        </w:rPr>
        <w:t xml:space="preserve"> являются </w:t>
      </w:r>
      <w:r w:rsidR="00245FC8" w:rsidRPr="00245FC8">
        <w:rPr>
          <w:color w:val="000000"/>
          <w:sz w:val="28"/>
          <w:szCs w:val="28"/>
        </w:rPr>
        <w:t>микроваскулярная пролиферация и некроз</w:t>
      </w:r>
      <w:r w:rsidR="00245FC8" w:rsidRPr="0042212E">
        <w:rPr>
          <w:color w:val="000000"/>
          <w:sz w:val="28"/>
          <w:szCs w:val="28"/>
        </w:rPr>
        <w:t>. Стоит отметить, что, согласно современному гистопатологическому подходу, п</w:t>
      </w:r>
      <w:r w:rsidR="00245FC8" w:rsidRPr="00245FC8">
        <w:rPr>
          <w:color w:val="000000"/>
          <w:sz w:val="28"/>
          <w:szCs w:val="28"/>
        </w:rPr>
        <w:t xml:space="preserve">рогностическая сила и оценка злокачественности опухолей гистологическим методом проигрывает в достоверности молекулярным </w:t>
      </w:r>
      <w:r w:rsidR="00A073A9" w:rsidRPr="0042212E">
        <w:rPr>
          <w:color w:val="000000"/>
          <w:sz w:val="28"/>
          <w:szCs w:val="28"/>
        </w:rPr>
        <w:t>аналогам.</w:t>
      </w:r>
      <w:r w:rsidR="00A073A9" w:rsidRPr="0042212E">
        <w:rPr>
          <w:color w:val="000000"/>
          <w:sz w:val="28"/>
          <w:szCs w:val="28"/>
        </w:rPr>
        <w:br/>
      </w:r>
      <w:r w:rsidR="00A073A9" w:rsidRPr="0042212E">
        <w:rPr>
          <w:color w:val="000000"/>
          <w:sz w:val="28"/>
          <w:szCs w:val="28"/>
        </w:rPr>
        <w:lastRenderedPageBreak/>
        <w:t>Далее имеет смысл обозначить ведущие морфологические признаки основных подтипов глиом головного мозга в соответствии с классификацией ВОЗ.</w:t>
      </w:r>
    </w:p>
    <w:p w:rsidR="00A073A9" w:rsidRPr="0042212E" w:rsidRDefault="00A073A9" w:rsidP="005E0D82">
      <w:pPr>
        <w:pStyle w:val="af"/>
        <w:spacing w:before="0" w:beforeAutospacing="0" w:after="0" w:afterAutospacing="0" w:line="360" w:lineRule="auto"/>
        <w:rPr>
          <w:color w:val="000000"/>
          <w:sz w:val="28"/>
          <w:szCs w:val="28"/>
        </w:rPr>
      </w:pPr>
      <w:r w:rsidRPr="0042212E">
        <w:rPr>
          <w:color w:val="000000"/>
          <w:sz w:val="28"/>
          <w:szCs w:val="28"/>
        </w:rPr>
        <w:t>ДИФФУЗНАЯ АСТРОЦИТОМА GII IDH+</w:t>
      </w:r>
      <w:r w:rsidRPr="0042212E">
        <w:rPr>
          <w:color w:val="000000"/>
          <w:sz w:val="28"/>
          <w:szCs w:val="28"/>
        </w:rPr>
        <w:br/>
        <w:t>Данный тип значительно чаще обнаруживается в полушариях ГМ. Клетки ДА</w:t>
      </w:r>
      <w:r w:rsidRPr="0042212E">
        <w:rPr>
          <w:color w:val="000000"/>
          <w:sz w:val="28"/>
          <w:szCs w:val="28"/>
          <w:lang w:val="en-US"/>
        </w:rPr>
        <w:t>GII</w:t>
      </w:r>
      <w:r w:rsidRPr="0042212E">
        <w:rPr>
          <w:color w:val="000000"/>
          <w:sz w:val="28"/>
          <w:szCs w:val="28"/>
        </w:rPr>
        <w:t xml:space="preserve"> выглядят как диффузно-инфильтративные астроцитарные опухолевые массы с повышенной клеточностью и атипией, но без митозов, пролиферации эндотелия или некроза</w:t>
      </w:r>
      <w:r w:rsidRPr="0042212E">
        <w:rPr>
          <w:sz w:val="28"/>
          <w:szCs w:val="28"/>
        </w:rPr>
        <w:t xml:space="preserve">. </w:t>
      </w:r>
      <w:r w:rsidRPr="0042212E">
        <w:rPr>
          <w:color w:val="000000"/>
          <w:sz w:val="28"/>
          <w:szCs w:val="28"/>
        </w:rPr>
        <w:t>Опухоли этого подтипа способны к прогрессии в более злокачественные классы со средней выживаемостью 11 лет [37]</w:t>
      </w:r>
      <w:r w:rsidRPr="0042212E">
        <w:rPr>
          <w:sz w:val="28"/>
          <w:szCs w:val="28"/>
        </w:rPr>
        <w:t xml:space="preserve">. </w:t>
      </w:r>
      <w:r w:rsidRPr="0042212E">
        <w:rPr>
          <w:color w:val="000000"/>
          <w:sz w:val="28"/>
          <w:szCs w:val="28"/>
        </w:rPr>
        <w:t>Из троих гистопатологических вариантов диффузной астроцитомы, которые диагностировались раньше (фибриллярная, протоплазматическая и гемистоцитарная) сейчас остались только гемистоцитарная [38]. Гемистоцитарная астроцитома состоит из многочисленных крупных, плотно упакованных и глобоидных клеток-гемистоцитов. Есть исследования, что гемистоцитарные опухоли определяют худший прогноз по сравнению с другими ДА и более ассоциированы со злокачественной трансформацией.</w:t>
      </w:r>
      <w:r w:rsidRPr="0042212E">
        <w:rPr>
          <w:color w:val="000000"/>
          <w:sz w:val="28"/>
          <w:szCs w:val="28"/>
        </w:rPr>
        <w:br/>
        <w:t xml:space="preserve">Диффузные астроцитомы </w:t>
      </w:r>
      <w:r w:rsidRPr="0042212E">
        <w:rPr>
          <w:color w:val="000000"/>
          <w:sz w:val="28"/>
          <w:szCs w:val="28"/>
          <w:lang w:val="en-US"/>
        </w:rPr>
        <w:t>GII</w:t>
      </w:r>
      <w:r w:rsidRPr="0042212E">
        <w:rPr>
          <w:color w:val="000000"/>
          <w:sz w:val="28"/>
          <w:szCs w:val="28"/>
        </w:rPr>
        <w:t xml:space="preserve"> с </w:t>
      </w:r>
      <w:r w:rsidRPr="0042212E">
        <w:rPr>
          <w:color w:val="000000"/>
          <w:sz w:val="28"/>
          <w:szCs w:val="28"/>
          <w:lang w:val="en-US"/>
        </w:rPr>
        <w:t>IDH</w:t>
      </w:r>
      <w:r w:rsidRPr="0042212E">
        <w:rPr>
          <w:color w:val="000000"/>
          <w:sz w:val="28"/>
          <w:szCs w:val="28"/>
        </w:rPr>
        <w:t xml:space="preserve"> дикого типа морфологически ничем не отличаются от </w:t>
      </w:r>
      <w:r w:rsidRPr="0042212E">
        <w:rPr>
          <w:color w:val="000000"/>
          <w:sz w:val="28"/>
          <w:szCs w:val="28"/>
          <w:lang w:val="en-US"/>
        </w:rPr>
        <w:t>IDH</w:t>
      </w:r>
      <w:r w:rsidRPr="0042212E">
        <w:rPr>
          <w:color w:val="000000"/>
          <w:sz w:val="28"/>
          <w:szCs w:val="28"/>
        </w:rPr>
        <w:t xml:space="preserve">+ опухоль, однако есть исследования, согласно которым для </w:t>
      </w:r>
      <w:r w:rsidRPr="0042212E">
        <w:rPr>
          <w:color w:val="000000"/>
          <w:sz w:val="28"/>
          <w:szCs w:val="28"/>
          <w:lang w:val="en-US"/>
        </w:rPr>
        <w:t>IDHwt</w:t>
      </w:r>
      <w:r w:rsidRPr="0042212E">
        <w:rPr>
          <w:color w:val="000000"/>
          <w:sz w:val="28"/>
          <w:szCs w:val="28"/>
        </w:rPr>
        <w:t xml:space="preserve"> ДА</w:t>
      </w:r>
      <w:r w:rsidRPr="0042212E">
        <w:rPr>
          <w:color w:val="000000"/>
          <w:sz w:val="28"/>
          <w:szCs w:val="28"/>
          <w:lang w:val="en-US"/>
        </w:rPr>
        <w:t>GIII</w:t>
      </w:r>
      <w:r w:rsidRPr="0042212E">
        <w:rPr>
          <w:color w:val="000000"/>
          <w:sz w:val="28"/>
          <w:szCs w:val="28"/>
        </w:rPr>
        <w:t xml:space="preserve"> характерен высокий уровень глиоматозов [2]. </w:t>
      </w:r>
    </w:p>
    <w:p w:rsidR="00A073A9" w:rsidRPr="0042212E" w:rsidRDefault="00A073A9" w:rsidP="005E0D82">
      <w:pPr>
        <w:pStyle w:val="af"/>
        <w:spacing w:before="0" w:beforeAutospacing="0" w:after="0" w:afterAutospacing="0" w:line="360" w:lineRule="auto"/>
        <w:rPr>
          <w:color w:val="000000"/>
          <w:sz w:val="28"/>
          <w:szCs w:val="28"/>
        </w:rPr>
      </w:pPr>
      <w:r w:rsidRPr="0042212E">
        <w:rPr>
          <w:color w:val="000000"/>
          <w:sz w:val="28"/>
          <w:szCs w:val="28"/>
        </w:rPr>
        <w:t>АНАПЛАСТИЧЕСКАЯ АСТРОЦИТОМА GIII IDH+</w:t>
      </w:r>
    </w:p>
    <w:p w:rsidR="00A073A9" w:rsidRPr="0042212E" w:rsidRDefault="00A073A9" w:rsidP="005E0D82">
      <w:pPr>
        <w:pStyle w:val="af"/>
        <w:spacing w:before="0" w:beforeAutospacing="0" w:after="0" w:afterAutospacing="0" w:line="360" w:lineRule="auto"/>
        <w:rPr>
          <w:color w:val="000000"/>
          <w:sz w:val="28"/>
          <w:szCs w:val="28"/>
        </w:rPr>
      </w:pPr>
      <w:r w:rsidRPr="0042212E">
        <w:rPr>
          <w:color w:val="000000"/>
          <w:sz w:val="28"/>
          <w:szCs w:val="28"/>
        </w:rPr>
        <w:t>Опухоли этого подтипа о</w:t>
      </w:r>
      <w:r w:rsidRPr="00A073A9">
        <w:rPr>
          <w:color w:val="000000"/>
          <w:sz w:val="28"/>
          <w:szCs w:val="28"/>
        </w:rPr>
        <w:t>тличаю</w:t>
      </w:r>
      <w:r w:rsidRPr="0042212E">
        <w:rPr>
          <w:color w:val="000000"/>
          <w:sz w:val="28"/>
          <w:szCs w:val="28"/>
        </w:rPr>
        <w:t>тся более высокой клеточностью,</w:t>
      </w:r>
      <w:r w:rsidRPr="00A073A9">
        <w:rPr>
          <w:color w:val="000000"/>
          <w:sz w:val="28"/>
          <w:szCs w:val="28"/>
        </w:rPr>
        <w:t xml:space="preserve"> выраженной ядерной атипией и гиперхромазией, митозами, но без пролиферации эндотелия и некрозов.</w:t>
      </w:r>
      <w:r w:rsidR="00B73E9C" w:rsidRPr="0042212E">
        <w:rPr>
          <w:color w:val="000000"/>
          <w:sz w:val="28"/>
          <w:szCs w:val="28"/>
        </w:rPr>
        <w:t xml:space="preserve"> </w:t>
      </w:r>
      <w:r w:rsidRPr="00A073A9">
        <w:rPr>
          <w:color w:val="000000"/>
          <w:sz w:val="28"/>
          <w:szCs w:val="28"/>
        </w:rPr>
        <w:t>Некоторые АА имеют в своем составе больше гемистоцитарных клеток, а некторые диффузные по составу</w:t>
      </w:r>
      <w:r w:rsidR="00B73E9C" w:rsidRPr="0042212E">
        <w:rPr>
          <w:color w:val="000000"/>
          <w:sz w:val="28"/>
          <w:szCs w:val="28"/>
        </w:rPr>
        <w:t xml:space="preserve">. </w:t>
      </w:r>
      <w:r w:rsidRPr="00A073A9">
        <w:rPr>
          <w:color w:val="000000"/>
          <w:sz w:val="28"/>
          <w:szCs w:val="28"/>
        </w:rPr>
        <w:t xml:space="preserve">Прогноз, </w:t>
      </w:r>
      <w:r w:rsidR="00B73E9C" w:rsidRPr="0042212E">
        <w:rPr>
          <w:color w:val="000000"/>
          <w:sz w:val="28"/>
          <w:szCs w:val="28"/>
        </w:rPr>
        <w:t>в зависимости от наличия</w:t>
      </w:r>
      <w:r w:rsidRPr="00A073A9">
        <w:rPr>
          <w:color w:val="000000"/>
          <w:sz w:val="28"/>
          <w:szCs w:val="28"/>
        </w:rPr>
        <w:t xml:space="preserve"> IDH</w:t>
      </w:r>
      <w:r w:rsidR="00B73E9C" w:rsidRPr="0042212E">
        <w:rPr>
          <w:color w:val="000000"/>
          <w:sz w:val="28"/>
          <w:szCs w:val="28"/>
        </w:rPr>
        <w:t>-мутации</w:t>
      </w:r>
      <w:r w:rsidRPr="00A073A9">
        <w:rPr>
          <w:color w:val="000000"/>
          <w:sz w:val="28"/>
          <w:szCs w:val="28"/>
        </w:rPr>
        <w:t>, колеблется от трех до пяти лет.</w:t>
      </w:r>
      <w:r w:rsidR="00B73E9C" w:rsidRPr="0042212E">
        <w:rPr>
          <w:color w:val="000000"/>
          <w:sz w:val="28"/>
          <w:szCs w:val="28"/>
        </w:rPr>
        <w:t xml:space="preserve"> </w:t>
      </w:r>
      <w:r w:rsidRPr="00A073A9">
        <w:rPr>
          <w:color w:val="000000"/>
          <w:sz w:val="28"/>
          <w:szCs w:val="28"/>
        </w:rPr>
        <w:t>Определенное подмножество IDH+ опухолей имеет более хороший пр</w:t>
      </w:r>
      <w:r w:rsidR="00B73E9C" w:rsidRPr="0042212E">
        <w:rPr>
          <w:color w:val="000000"/>
          <w:sz w:val="28"/>
          <w:szCs w:val="28"/>
        </w:rPr>
        <w:t xml:space="preserve">огноз, стремящийся к 10 годам [37]. Примечательно, что </w:t>
      </w:r>
      <w:r w:rsidR="00B73E9C" w:rsidRPr="0042212E">
        <w:rPr>
          <w:color w:val="000000"/>
          <w:sz w:val="28"/>
          <w:szCs w:val="28"/>
          <w:lang w:val="en-US"/>
        </w:rPr>
        <w:t>IDHwt</w:t>
      </w:r>
      <w:r w:rsidR="00B73E9C" w:rsidRPr="0042212E">
        <w:rPr>
          <w:color w:val="000000"/>
          <w:sz w:val="28"/>
          <w:szCs w:val="28"/>
        </w:rPr>
        <w:t xml:space="preserve"> АА</w:t>
      </w:r>
      <w:r w:rsidR="00B73E9C" w:rsidRPr="0042212E">
        <w:rPr>
          <w:color w:val="000000"/>
          <w:sz w:val="28"/>
          <w:szCs w:val="28"/>
          <w:lang w:val="en-US"/>
        </w:rPr>
        <w:t>GIII</w:t>
      </w:r>
      <w:r w:rsidR="00B73E9C" w:rsidRPr="0042212E">
        <w:rPr>
          <w:color w:val="000000"/>
          <w:sz w:val="28"/>
          <w:szCs w:val="28"/>
        </w:rPr>
        <w:t xml:space="preserve"> имеет больше морфологических сходств с глиобластомой и патогенетически обладают более агрессивным течением. </w:t>
      </w:r>
    </w:p>
    <w:p w:rsidR="00B73E9C" w:rsidRPr="0042212E" w:rsidRDefault="00B73E9C" w:rsidP="005E0D82">
      <w:pPr>
        <w:pStyle w:val="af"/>
        <w:spacing w:before="0" w:beforeAutospacing="0" w:after="0" w:afterAutospacing="0" w:line="360" w:lineRule="auto"/>
        <w:rPr>
          <w:color w:val="000000"/>
          <w:sz w:val="28"/>
          <w:szCs w:val="28"/>
        </w:rPr>
      </w:pPr>
      <w:r w:rsidRPr="0042212E">
        <w:rPr>
          <w:color w:val="000000"/>
          <w:sz w:val="28"/>
          <w:szCs w:val="28"/>
        </w:rPr>
        <w:lastRenderedPageBreak/>
        <w:t xml:space="preserve">ГЛИОБЛАСТОМА </w:t>
      </w:r>
      <w:r w:rsidRPr="0042212E">
        <w:rPr>
          <w:color w:val="000000"/>
          <w:sz w:val="28"/>
          <w:szCs w:val="28"/>
          <w:lang w:val="en-US"/>
        </w:rPr>
        <w:t>GIV</w:t>
      </w:r>
      <w:r w:rsidRPr="0042212E">
        <w:rPr>
          <w:color w:val="000000"/>
          <w:sz w:val="28"/>
          <w:szCs w:val="28"/>
        </w:rPr>
        <w:t xml:space="preserve"> IDH-</w:t>
      </w:r>
      <w:r w:rsidRPr="0042212E">
        <w:rPr>
          <w:color w:val="000000"/>
          <w:sz w:val="28"/>
          <w:szCs w:val="28"/>
          <w:lang w:val="en-US"/>
        </w:rPr>
        <w:t>wild</w:t>
      </w:r>
      <w:r w:rsidRPr="0042212E">
        <w:rPr>
          <w:color w:val="000000"/>
          <w:sz w:val="28"/>
          <w:szCs w:val="28"/>
        </w:rPr>
        <w:t>-</w:t>
      </w:r>
      <w:r w:rsidRPr="0042212E">
        <w:rPr>
          <w:color w:val="000000"/>
          <w:sz w:val="28"/>
          <w:szCs w:val="28"/>
          <w:lang w:val="en-US"/>
        </w:rPr>
        <w:t>type</w:t>
      </w:r>
      <w:r w:rsidRPr="0042212E">
        <w:rPr>
          <w:color w:val="000000"/>
          <w:sz w:val="28"/>
          <w:szCs w:val="28"/>
        </w:rPr>
        <w:br/>
        <w:t xml:space="preserve">Наиболее распространенная злокачественная первичная опухоль ГМ у взрослых. Преобладает по отношению к </w:t>
      </w:r>
      <w:r w:rsidRPr="0042212E">
        <w:rPr>
          <w:color w:val="000000"/>
          <w:sz w:val="28"/>
          <w:szCs w:val="28"/>
          <w:lang w:val="en-US"/>
        </w:rPr>
        <w:t>IDH</w:t>
      </w:r>
      <w:r w:rsidRPr="0042212E">
        <w:rPr>
          <w:color w:val="000000"/>
          <w:sz w:val="28"/>
          <w:szCs w:val="28"/>
        </w:rPr>
        <w:t xml:space="preserve">+ глиобластомам, составляя около 90% опухолей. Считается, что для </w:t>
      </w:r>
      <w:r w:rsidRPr="0042212E">
        <w:rPr>
          <w:color w:val="000000"/>
          <w:sz w:val="28"/>
          <w:szCs w:val="28"/>
          <w:lang w:val="en-US"/>
        </w:rPr>
        <w:t>IDH</w:t>
      </w:r>
      <w:r w:rsidRPr="0042212E">
        <w:rPr>
          <w:color w:val="000000"/>
          <w:sz w:val="28"/>
          <w:szCs w:val="28"/>
        </w:rPr>
        <w:t xml:space="preserve">+ опухолей менее характерен палисадный некроз и более характерны клетки, имеющие сходство с олигодендроцитами, кроме того, во нескольких исследованиях </w:t>
      </w:r>
      <w:r w:rsidRPr="0042212E">
        <w:rPr>
          <w:color w:val="000000"/>
          <w:sz w:val="28"/>
          <w:szCs w:val="28"/>
          <w:lang w:val="en-US"/>
        </w:rPr>
        <w:t>IDH</w:t>
      </w:r>
      <w:r w:rsidRPr="0042212E">
        <w:rPr>
          <w:color w:val="000000"/>
          <w:sz w:val="28"/>
          <w:szCs w:val="28"/>
        </w:rPr>
        <w:t xml:space="preserve">+ глиобластомы указаны, как более прогностически благоприятные [39]. </w:t>
      </w:r>
      <w:r w:rsidRPr="00B73E9C">
        <w:rPr>
          <w:color w:val="000000"/>
          <w:sz w:val="28"/>
          <w:szCs w:val="28"/>
        </w:rPr>
        <w:t>Гистологически</w:t>
      </w:r>
      <w:r w:rsidRPr="0042212E">
        <w:rPr>
          <w:color w:val="000000"/>
          <w:sz w:val="28"/>
          <w:szCs w:val="28"/>
        </w:rPr>
        <w:t xml:space="preserve"> глиобластомы</w:t>
      </w:r>
      <w:r w:rsidRPr="00B73E9C">
        <w:rPr>
          <w:color w:val="000000"/>
          <w:sz w:val="28"/>
          <w:szCs w:val="28"/>
        </w:rPr>
        <w:t xml:space="preserve"> выглядят как плотноклеточные, плеоморфные, с митотической активностью, микрососудистой пролиферацией и некрозом.</w:t>
      </w:r>
      <w:r w:rsidRPr="0042212E">
        <w:rPr>
          <w:color w:val="000000"/>
          <w:sz w:val="28"/>
          <w:szCs w:val="28"/>
        </w:rPr>
        <w:t xml:space="preserve"> Исторически глиобластомы </w:t>
      </w:r>
      <w:r w:rsidRPr="00B73E9C">
        <w:rPr>
          <w:color w:val="000000"/>
          <w:sz w:val="28"/>
          <w:szCs w:val="28"/>
        </w:rPr>
        <w:t>делят на гигантоклеточную глиобластому, глиосаркому и эпителиоидную глиобластому (последняя характеризуется V600E мутацией, поверхностным расположением, молодым возрастом и плохим прогнозом)</w:t>
      </w:r>
      <w:r w:rsidRPr="0042212E">
        <w:rPr>
          <w:color w:val="000000"/>
          <w:sz w:val="28"/>
          <w:szCs w:val="28"/>
        </w:rPr>
        <w:t xml:space="preserve">. </w:t>
      </w:r>
      <w:r w:rsidRPr="00B73E9C">
        <w:rPr>
          <w:color w:val="000000"/>
          <w:sz w:val="28"/>
          <w:szCs w:val="28"/>
        </w:rPr>
        <w:t xml:space="preserve">Прогноз </w:t>
      </w:r>
      <w:r w:rsidRPr="0042212E">
        <w:rPr>
          <w:color w:val="000000"/>
          <w:sz w:val="28"/>
          <w:szCs w:val="28"/>
        </w:rPr>
        <w:t>при глиобластомах в целом неблагоприятный</w:t>
      </w:r>
      <w:r w:rsidRPr="00B73E9C">
        <w:rPr>
          <w:color w:val="000000"/>
          <w:sz w:val="28"/>
          <w:szCs w:val="28"/>
        </w:rPr>
        <w:t>, выживаемость обычно составляет менее двух лет</w:t>
      </w:r>
      <w:r w:rsidRPr="0042212E">
        <w:rPr>
          <w:color w:val="000000"/>
          <w:sz w:val="28"/>
          <w:szCs w:val="28"/>
        </w:rPr>
        <w:t xml:space="preserve"> [40]. </w:t>
      </w:r>
    </w:p>
    <w:p w:rsidR="00B73E9C" w:rsidRPr="00B73E9C" w:rsidRDefault="00B73E9C" w:rsidP="005E0D82">
      <w:pPr>
        <w:spacing w:after="0" w:line="360" w:lineRule="auto"/>
        <w:rPr>
          <w:rFonts w:ascii="Times New Roman" w:eastAsia="Times New Roman" w:hAnsi="Times New Roman" w:cs="Times New Roman"/>
          <w:sz w:val="28"/>
          <w:szCs w:val="28"/>
          <w:lang w:eastAsia="ru-RU" w:bidi="he-IL"/>
        </w:rPr>
      </w:pPr>
      <w:r w:rsidRPr="00B73E9C">
        <w:rPr>
          <w:rFonts w:ascii="Times New Roman" w:eastAsia="Times New Roman" w:hAnsi="Times New Roman" w:cs="Times New Roman"/>
          <w:color w:val="000000"/>
          <w:sz w:val="28"/>
          <w:szCs w:val="28"/>
          <w:lang w:eastAsia="ru-RU" w:bidi="he-IL"/>
        </w:rPr>
        <w:t>ОЛИГОДЕНДРОГЛИОМА IDH+ 1p19q+ GII</w:t>
      </w:r>
    </w:p>
    <w:p w:rsidR="00B73E9C" w:rsidRPr="0042212E" w:rsidRDefault="00B73E9C" w:rsidP="005E0D82">
      <w:pPr>
        <w:spacing w:after="0" w:line="360" w:lineRule="auto"/>
        <w:rPr>
          <w:rFonts w:ascii="Times New Roman" w:eastAsia="Times New Roman" w:hAnsi="Times New Roman" w:cs="Times New Roman"/>
          <w:color w:val="000000"/>
          <w:sz w:val="28"/>
          <w:szCs w:val="28"/>
          <w:lang w:eastAsia="ru-RU" w:bidi="he-IL"/>
        </w:rPr>
      </w:pPr>
      <w:r w:rsidRPr="00B73E9C">
        <w:rPr>
          <w:rFonts w:ascii="Times New Roman" w:eastAsia="Times New Roman" w:hAnsi="Times New Roman" w:cs="Times New Roman"/>
          <w:color w:val="000000"/>
          <w:sz w:val="28"/>
          <w:szCs w:val="28"/>
          <w:lang w:eastAsia="ru-RU" w:bidi="he-IL"/>
        </w:rPr>
        <w:t>Гистологически</w:t>
      </w:r>
      <w:r w:rsidRPr="0042212E">
        <w:rPr>
          <w:rFonts w:ascii="Times New Roman" w:eastAsia="Times New Roman" w:hAnsi="Times New Roman" w:cs="Times New Roman"/>
          <w:color w:val="000000"/>
          <w:sz w:val="28"/>
          <w:szCs w:val="28"/>
          <w:lang w:eastAsia="ru-RU" w:bidi="he-IL"/>
        </w:rPr>
        <w:t xml:space="preserve"> олигодендроглиотические</w:t>
      </w:r>
      <w:r w:rsidRPr="00B73E9C">
        <w:rPr>
          <w:rFonts w:ascii="Times New Roman" w:eastAsia="Times New Roman" w:hAnsi="Times New Roman" w:cs="Times New Roman"/>
          <w:color w:val="000000"/>
          <w:sz w:val="28"/>
          <w:szCs w:val="28"/>
          <w:lang w:eastAsia="ru-RU" w:bidi="he-IL"/>
        </w:rPr>
        <w:t xml:space="preserve"> клетки напоминают круглые ядра с перинуклеарными ореолами (</w:t>
      </w:r>
      <w:r w:rsidRPr="0042212E">
        <w:rPr>
          <w:rFonts w:ascii="Times New Roman" w:eastAsia="Times New Roman" w:hAnsi="Times New Roman" w:cs="Times New Roman"/>
          <w:color w:val="000000"/>
          <w:sz w:val="28"/>
          <w:szCs w:val="28"/>
          <w:lang w:eastAsia="ru-RU" w:bidi="he-IL"/>
        </w:rPr>
        <w:t>по аналогии с</w:t>
      </w:r>
      <w:r w:rsidRPr="00B73E9C">
        <w:rPr>
          <w:rFonts w:ascii="Times New Roman" w:eastAsia="Times New Roman" w:hAnsi="Times New Roman" w:cs="Times New Roman"/>
          <w:color w:val="000000"/>
          <w:sz w:val="28"/>
          <w:szCs w:val="28"/>
          <w:lang w:eastAsia="ru-RU" w:bidi="he-IL"/>
        </w:rPr>
        <w:t xml:space="preserve"> “</w:t>
      </w:r>
      <w:r w:rsidRPr="0042212E">
        <w:rPr>
          <w:rFonts w:ascii="Times New Roman" w:eastAsia="Times New Roman" w:hAnsi="Times New Roman" w:cs="Times New Roman"/>
          <w:color w:val="000000"/>
          <w:sz w:val="28"/>
          <w:szCs w:val="28"/>
          <w:lang w:eastAsia="ru-RU" w:bidi="he-IL"/>
        </w:rPr>
        <w:t>ж</w:t>
      </w:r>
      <w:r w:rsidRPr="00B73E9C">
        <w:rPr>
          <w:rFonts w:ascii="Times New Roman" w:eastAsia="Times New Roman" w:hAnsi="Times New Roman" w:cs="Times New Roman"/>
          <w:color w:val="000000"/>
          <w:sz w:val="28"/>
          <w:szCs w:val="28"/>
          <w:lang w:eastAsia="ru-RU" w:bidi="he-IL"/>
        </w:rPr>
        <w:t>арен</w:t>
      </w:r>
      <w:r w:rsidRPr="0042212E">
        <w:rPr>
          <w:rFonts w:ascii="Times New Roman" w:eastAsia="Times New Roman" w:hAnsi="Times New Roman" w:cs="Times New Roman"/>
          <w:color w:val="000000"/>
          <w:sz w:val="28"/>
          <w:szCs w:val="28"/>
          <w:lang w:eastAsia="ru-RU" w:bidi="he-IL"/>
        </w:rPr>
        <w:t>ым</w:t>
      </w:r>
      <w:r w:rsidRPr="00B73E9C">
        <w:rPr>
          <w:rFonts w:ascii="Times New Roman" w:eastAsia="Times New Roman" w:hAnsi="Times New Roman" w:cs="Times New Roman"/>
          <w:color w:val="000000"/>
          <w:sz w:val="28"/>
          <w:szCs w:val="28"/>
          <w:lang w:eastAsia="ru-RU" w:bidi="he-IL"/>
        </w:rPr>
        <w:t xml:space="preserve"> яйцо</w:t>
      </w:r>
      <w:r w:rsidRPr="0042212E">
        <w:rPr>
          <w:rFonts w:ascii="Times New Roman" w:eastAsia="Times New Roman" w:hAnsi="Times New Roman" w:cs="Times New Roman"/>
          <w:color w:val="000000"/>
          <w:sz w:val="28"/>
          <w:szCs w:val="28"/>
          <w:lang w:eastAsia="ru-RU" w:bidi="he-IL"/>
        </w:rPr>
        <w:t>м</w:t>
      </w:r>
      <w:r w:rsidRPr="00B73E9C">
        <w:rPr>
          <w:rFonts w:ascii="Times New Roman" w:eastAsia="Times New Roman" w:hAnsi="Times New Roman" w:cs="Times New Roman"/>
          <w:color w:val="000000"/>
          <w:sz w:val="28"/>
          <w:szCs w:val="28"/>
          <w:lang w:eastAsia="ru-RU" w:bidi="he-IL"/>
        </w:rPr>
        <w:t>”) и имеют остро развлетвленный (проволочный) капиллярный паттерн. Олигодендроглиомы - это диффузно инфильтрирующие опухоли, обычно поражающие белое вещество и кору, чаще</w:t>
      </w:r>
      <w:r w:rsidRPr="0042212E">
        <w:rPr>
          <w:rFonts w:ascii="Times New Roman" w:eastAsia="Times New Roman" w:hAnsi="Times New Roman" w:cs="Times New Roman"/>
          <w:color w:val="000000"/>
          <w:sz w:val="28"/>
          <w:szCs w:val="28"/>
          <w:lang w:eastAsia="ru-RU" w:bidi="he-IL"/>
        </w:rPr>
        <w:t xml:space="preserve"> локализующиеся</w:t>
      </w:r>
      <w:r w:rsidRPr="00B73E9C">
        <w:rPr>
          <w:rFonts w:ascii="Times New Roman" w:eastAsia="Times New Roman" w:hAnsi="Times New Roman" w:cs="Times New Roman"/>
          <w:color w:val="000000"/>
          <w:sz w:val="28"/>
          <w:szCs w:val="28"/>
          <w:lang w:eastAsia="ru-RU" w:bidi="he-IL"/>
        </w:rPr>
        <w:t xml:space="preserve"> в лобных и височных долях</w:t>
      </w:r>
      <w:r w:rsidRPr="0042212E">
        <w:rPr>
          <w:rFonts w:ascii="Times New Roman" w:eastAsia="Times New Roman" w:hAnsi="Times New Roman" w:cs="Times New Roman"/>
          <w:color w:val="000000"/>
          <w:sz w:val="28"/>
          <w:szCs w:val="28"/>
          <w:lang w:eastAsia="ru-RU" w:bidi="he-IL"/>
        </w:rPr>
        <w:t xml:space="preserve"> [36]. </w:t>
      </w:r>
    </w:p>
    <w:p w:rsidR="0042212E" w:rsidRPr="0042212E" w:rsidRDefault="00B73E9C" w:rsidP="005E0D82">
      <w:pPr>
        <w:spacing w:after="0" w:line="360" w:lineRule="auto"/>
        <w:rPr>
          <w:rFonts w:ascii="Times New Roman" w:eastAsia="Times New Roman" w:hAnsi="Times New Roman" w:cs="Times New Roman"/>
          <w:sz w:val="28"/>
          <w:szCs w:val="28"/>
          <w:lang w:eastAsia="ru-RU" w:bidi="he-IL"/>
        </w:rPr>
      </w:pPr>
      <w:r w:rsidRPr="00B73E9C">
        <w:rPr>
          <w:rFonts w:ascii="Times New Roman" w:eastAsia="Times New Roman" w:hAnsi="Times New Roman" w:cs="Times New Roman"/>
          <w:color w:val="000000"/>
          <w:sz w:val="28"/>
          <w:szCs w:val="28"/>
          <w:lang w:eastAsia="ru-RU" w:bidi="he-IL"/>
        </w:rPr>
        <w:t>АНАПЛАСТИЧЕСКАЯ ОЛИГОДЕНДРОГЛИОМА IDH</w:t>
      </w:r>
      <w:r w:rsidR="0042212E" w:rsidRPr="0042212E">
        <w:rPr>
          <w:rFonts w:ascii="Times New Roman" w:eastAsia="Times New Roman" w:hAnsi="Times New Roman" w:cs="Times New Roman"/>
          <w:color w:val="000000"/>
          <w:sz w:val="28"/>
          <w:szCs w:val="28"/>
          <w:lang w:eastAsia="ru-RU" w:bidi="he-IL"/>
        </w:rPr>
        <w:t>+ 1</w:t>
      </w:r>
      <w:r w:rsidRPr="00B73E9C">
        <w:rPr>
          <w:rFonts w:ascii="Times New Roman" w:eastAsia="Times New Roman" w:hAnsi="Times New Roman" w:cs="Times New Roman"/>
          <w:color w:val="000000"/>
          <w:sz w:val="28"/>
          <w:szCs w:val="28"/>
          <w:lang w:eastAsia="ru-RU" w:bidi="he-IL"/>
        </w:rPr>
        <w:t>p19q+ GIII</w:t>
      </w:r>
    </w:p>
    <w:p w:rsidR="00B73E9C" w:rsidRPr="00B73E9C" w:rsidRDefault="0042212E" w:rsidP="005E0D82">
      <w:pPr>
        <w:spacing w:after="0" w:line="360" w:lineRule="auto"/>
        <w:rPr>
          <w:rFonts w:ascii="Times New Roman" w:eastAsia="Times New Roman" w:hAnsi="Times New Roman" w:cs="Times New Roman"/>
          <w:sz w:val="28"/>
          <w:szCs w:val="28"/>
          <w:lang w:eastAsia="ru-RU" w:bidi="he-IL"/>
        </w:rPr>
      </w:pPr>
      <w:r w:rsidRPr="0042212E">
        <w:rPr>
          <w:rFonts w:ascii="Times New Roman" w:eastAsia="Times New Roman" w:hAnsi="Times New Roman" w:cs="Times New Roman"/>
          <w:sz w:val="28"/>
          <w:szCs w:val="28"/>
          <w:lang w:eastAsia="ru-RU" w:bidi="he-IL"/>
        </w:rPr>
        <w:t>Данный подтип х</w:t>
      </w:r>
      <w:r w:rsidR="00B73E9C" w:rsidRPr="00B73E9C">
        <w:rPr>
          <w:rFonts w:ascii="Times New Roman" w:eastAsia="Times New Roman" w:hAnsi="Times New Roman" w:cs="Times New Roman"/>
          <w:color w:val="000000"/>
          <w:sz w:val="28"/>
          <w:szCs w:val="28"/>
          <w:lang w:eastAsia="ru-RU" w:bidi="he-IL"/>
        </w:rPr>
        <w:t>арактеризу</w:t>
      </w:r>
      <w:r w:rsidRPr="0042212E">
        <w:rPr>
          <w:rFonts w:ascii="Times New Roman" w:eastAsia="Times New Roman" w:hAnsi="Times New Roman" w:cs="Times New Roman"/>
          <w:color w:val="000000"/>
          <w:sz w:val="28"/>
          <w:szCs w:val="28"/>
          <w:lang w:eastAsia="ru-RU" w:bidi="he-IL"/>
        </w:rPr>
        <w:t>е</w:t>
      </w:r>
      <w:r w:rsidR="00B73E9C" w:rsidRPr="00B73E9C">
        <w:rPr>
          <w:rFonts w:ascii="Times New Roman" w:eastAsia="Times New Roman" w:hAnsi="Times New Roman" w:cs="Times New Roman"/>
          <w:color w:val="000000"/>
          <w:sz w:val="28"/>
          <w:szCs w:val="28"/>
          <w:lang w:eastAsia="ru-RU" w:bidi="he-IL"/>
        </w:rPr>
        <w:t>тся повышенной клеточностью, пл</w:t>
      </w:r>
      <w:r w:rsidRPr="0042212E">
        <w:rPr>
          <w:rFonts w:ascii="Times New Roman" w:eastAsia="Times New Roman" w:hAnsi="Times New Roman" w:cs="Times New Roman"/>
          <w:color w:val="000000"/>
          <w:sz w:val="28"/>
          <w:szCs w:val="28"/>
          <w:lang w:eastAsia="ru-RU" w:bidi="he-IL"/>
        </w:rPr>
        <w:t>е</w:t>
      </w:r>
      <w:r w:rsidR="00B73E9C" w:rsidRPr="00B73E9C">
        <w:rPr>
          <w:rFonts w:ascii="Times New Roman" w:eastAsia="Times New Roman" w:hAnsi="Times New Roman" w:cs="Times New Roman"/>
          <w:color w:val="000000"/>
          <w:sz w:val="28"/>
          <w:szCs w:val="28"/>
          <w:lang w:eastAsia="ru-RU" w:bidi="he-IL"/>
        </w:rPr>
        <w:t>оморфизмом, высокой скоростью митоза и микрососудистой пролиферацией.</w:t>
      </w:r>
    </w:p>
    <w:p w:rsidR="00B73E9C" w:rsidRPr="00B73E9C" w:rsidRDefault="0042212E" w:rsidP="005E0D82">
      <w:pPr>
        <w:spacing w:after="0" w:line="360" w:lineRule="auto"/>
        <w:rPr>
          <w:rFonts w:ascii="Times New Roman" w:eastAsia="Times New Roman" w:hAnsi="Times New Roman" w:cs="Times New Roman"/>
          <w:sz w:val="28"/>
          <w:szCs w:val="28"/>
          <w:lang w:eastAsia="ru-RU" w:bidi="he-IL"/>
        </w:rPr>
      </w:pPr>
      <w:r w:rsidRPr="0042212E">
        <w:rPr>
          <w:rFonts w:ascii="Times New Roman" w:eastAsia="Times New Roman" w:hAnsi="Times New Roman" w:cs="Times New Roman"/>
          <w:color w:val="000000"/>
          <w:sz w:val="28"/>
          <w:szCs w:val="28"/>
          <w:lang w:eastAsia="ru-RU" w:bidi="he-IL"/>
        </w:rPr>
        <w:t>Ранее АОДГ</w:t>
      </w:r>
      <w:r w:rsidRPr="0042212E">
        <w:rPr>
          <w:rFonts w:ascii="Times New Roman" w:eastAsia="Times New Roman" w:hAnsi="Times New Roman" w:cs="Times New Roman"/>
          <w:color w:val="000000"/>
          <w:sz w:val="28"/>
          <w:szCs w:val="28"/>
          <w:lang w:val="en-US" w:eastAsia="ru-RU" w:bidi="he-IL"/>
        </w:rPr>
        <w:t>GIII</w:t>
      </w:r>
      <w:r w:rsidR="00B73E9C" w:rsidRPr="00B73E9C">
        <w:rPr>
          <w:rFonts w:ascii="Times New Roman" w:eastAsia="Times New Roman" w:hAnsi="Times New Roman" w:cs="Times New Roman"/>
          <w:color w:val="000000"/>
          <w:sz w:val="28"/>
          <w:szCs w:val="28"/>
          <w:lang w:eastAsia="ru-RU" w:bidi="he-IL"/>
        </w:rPr>
        <w:t xml:space="preserve"> ассоциировались с более короткой медианой выживаемости по сравнению с GII ОДГ. Сейчас считается, что прогностическая значимость GII ОДГ по сравнению с GIII менее важна, чем считалось раньше </w:t>
      </w:r>
      <w:r w:rsidRPr="0042212E">
        <w:rPr>
          <w:rFonts w:ascii="Times New Roman" w:eastAsia="Times New Roman" w:hAnsi="Times New Roman" w:cs="Times New Roman"/>
          <w:color w:val="000000"/>
          <w:sz w:val="28"/>
          <w:szCs w:val="28"/>
          <w:lang w:eastAsia="ru-RU" w:bidi="he-IL"/>
        </w:rPr>
        <w:t xml:space="preserve">[41]. </w:t>
      </w:r>
    </w:p>
    <w:p w:rsidR="0042212E" w:rsidRDefault="0042212E" w:rsidP="005E0D82">
      <w:pPr>
        <w:spacing w:after="0" w:line="360" w:lineRule="auto"/>
        <w:rPr>
          <w:rFonts w:ascii="Times New Roman" w:eastAsia="Times New Roman" w:hAnsi="Times New Roman" w:cs="Times New Roman"/>
          <w:color w:val="000000"/>
          <w:sz w:val="28"/>
          <w:szCs w:val="28"/>
          <w:lang w:eastAsia="ru-RU" w:bidi="he-IL"/>
        </w:rPr>
      </w:pPr>
      <w:r w:rsidRPr="0042212E">
        <w:rPr>
          <w:rFonts w:ascii="Times New Roman" w:eastAsia="Times New Roman" w:hAnsi="Times New Roman" w:cs="Times New Roman"/>
          <w:color w:val="000000"/>
          <w:sz w:val="28"/>
          <w:szCs w:val="28"/>
          <w:lang w:eastAsia="ru-RU" w:bidi="he-IL"/>
        </w:rPr>
        <w:lastRenderedPageBreak/>
        <w:t>ПИЛОЦИТАРНАЯ АСТРОЦИТОМА GI</w:t>
      </w:r>
      <w:r w:rsidRPr="0042212E">
        <w:rPr>
          <w:rFonts w:ascii="Times New Roman" w:eastAsia="Times New Roman" w:hAnsi="Times New Roman" w:cs="Times New Roman"/>
          <w:color w:val="000000"/>
          <w:sz w:val="28"/>
          <w:szCs w:val="28"/>
          <w:lang w:eastAsia="ru-RU" w:bidi="he-IL"/>
        </w:rPr>
        <w:br/>
        <w:t>Медленно растущие, хорошо отграниченные опухоли, обычно являющиеся кистозными по структуре.</w:t>
      </w:r>
      <w:r w:rsidRPr="0042212E">
        <w:rPr>
          <w:rFonts w:ascii="Times New Roman" w:eastAsia="Times New Roman" w:hAnsi="Times New Roman" w:cs="Times New Roman"/>
          <w:sz w:val="28"/>
          <w:szCs w:val="28"/>
          <w:lang w:eastAsia="ru-RU" w:bidi="he-IL"/>
        </w:rPr>
        <w:t xml:space="preserve"> </w:t>
      </w:r>
      <w:r w:rsidRPr="0042212E">
        <w:rPr>
          <w:rFonts w:ascii="Times New Roman" w:eastAsia="Times New Roman" w:hAnsi="Times New Roman" w:cs="Times New Roman"/>
          <w:color w:val="000000"/>
          <w:sz w:val="28"/>
          <w:szCs w:val="28"/>
          <w:lang w:eastAsia="ru-RU" w:bidi="he-IL"/>
        </w:rPr>
        <w:t>Встречаются чаще у детей или молодых людей.</w:t>
      </w:r>
      <w:r w:rsidRPr="0042212E">
        <w:rPr>
          <w:rFonts w:ascii="Times New Roman" w:eastAsia="Times New Roman" w:hAnsi="Times New Roman" w:cs="Times New Roman"/>
          <w:sz w:val="28"/>
          <w:szCs w:val="28"/>
          <w:lang w:eastAsia="ru-RU" w:bidi="he-IL"/>
        </w:rPr>
        <w:t xml:space="preserve"> </w:t>
      </w:r>
      <w:r w:rsidRPr="0042212E">
        <w:rPr>
          <w:rFonts w:ascii="Times New Roman" w:eastAsia="Times New Roman" w:hAnsi="Times New Roman" w:cs="Times New Roman"/>
          <w:color w:val="000000"/>
          <w:sz w:val="28"/>
          <w:szCs w:val="28"/>
          <w:lang w:eastAsia="ru-RU" w:bidi="he-IL"/>
        </w:rPr>
        <w:t>Чаще всего возникают в полушариях мозжечка и вокруг третьего желудочка, но также встречаются в полушариях [42]. Гистологически пилоцитарные астроцитомы напоминают фибриллярные астроцитомы, но умеют удлиненные клетки с длинными отростками, образующие плотный фибриллярный фон, чередуемый с участками рыхлого и бедноклеточного вида</w:t>
      </w:r>
      <w:r w:rsidRPr="0042212E">
        <w:rPr>
          <w:rFonts w:ascii="Times New Roman" w:eastAsia="Times New Roman" w:hAnsi="Times New Roman" w:cs="Times New Roman"/>
          <w:sz w:val="28"/>
          <w:szCs w:val="28"/>
          <w:lang w:eastAsia="ru-RU" w:bidi="he-IL"/>
        </w:rPr>
        <w:t xml:space="preserve">. </w:t>
      </w:r>
      <w:r w:rsidRPr="0042212E">
        <w:rPr>
          <w:rFonts w:ascii="Times New Roman" w:eastAsia="Times New Roman" w:hAnsi="Times New Roman" w:cs="Times New Roman"/>
          <w:color w:val="000000"/>
          <w:sz w:val="28"/>
          <w:szCs w:val="28"/>
          <w:lang w:eastAsia="ru-RU" w:bidi="he-IL"/>
        </w:rPr>
        <w:t xml:space="preserve">Характерные розентальные волокна являются хорошим патологическим признаком. </w:t>
      </w:r>
      <w:r w:rsidRPr="0042212E">
        <w:rPr>
          <w:rFonts w:ascii="Times New Roman" w:eastAsia="Times New Roman" w:hAnsi="Times New Roman" w:cs="Times New Roman"/>
          <w:sz w:val="28"/>
          <w:szCs w:val="28"/>
          <w:lang w:eastAsia="ru-RU" w:bidi="he-IL"/>
        </w:rPr>
        <w:t xml:space="preserve"> </w:t>
      </w:r>
      <w:r w:rsidRPr="0042212E">
        <w:rPr>
          <w:rFonts w:ascii="Times New Roman" w:eastAsia="Times New Roman" w:hAnsi="Times New Roman" w:cs="Times New Roman"/>
          <w:color w:val="000000"/>
          <w:sz w:val="28"/>
          <w:szCs w:val="28"/>
          <w:lang w:eastAsia="ru-RU" w:bidi="he-IL"/>
        </w:rPr>
        <w:t>Пилоцитарные астроцитомы часто имеют тандемную дупликацию хромосомы 7q34, связанную с геном слияния BRAF-KIAA, вплоть до 60-80%. Некоторые пилоцитарные астрцоцитомы, особенно супратенториальные, могут иметь V600E мутации.</w:t>
      </w:r>
      <w:r w:rsidRPr="0042212E">
        <w:rPr>
          <w:rFonts w:ascii="Times New Roman" w:eastAsia="Times New Roman" w:hAnsi="Times New Roman" w:cs="Times New Roman"/>
          <w:sz w:val="28"/>
          <w:szCs w:val="28"/>
          <w:lang w:eastAsia="ru-RU" w:bidi="he-IL"/>
        </w:rPr>
        <w:t xml:space="preserve"> </w:t>
      </w:r>
      <w:r w:rsidRPr="0042212E">
        <w:rPr>
          <w:rFonts w:ascii="Times New Roman" w:eastAsia="Times New Roman" w:hAnsi="Times New Roman" w:cs="Times New Roman"/>
          <w:color w:val="000000"/>
          <w:sz w:val="28"/>
          <w:szCs w:val="28"/>
          <w:lang w:eastAsia="ru-RU" w:bidi="he-IL"/>
        </w:rPr>
        <w:t>Пилоцитарные астроцитомы, ассоциированные с нейрофиброматозом I типа, лишены этих мутаций [43]</w:t>
      </w:r>
      <w:r>
        <w:rPr>
          <w:rFonts w:ascii="Times New Roman" w:eastAsia="Times New Roman" w:hAnsi="Times New Roman" w:cs="Times New Roman"/>
          <w:color w:val="000000"/>
          <w:sz w:val="28"/>
          <w:szCs w:val="28"/>
          <w:lang w:eastAsia="ru-RU" w:bidi="he-IL"/>
        </w:rPr>
        <w:t>.</w:t>
      </w:r>
    </w:p>
    <w:p w:rsidR="0078256A" w:rsidRPr="0078256A" w:rsidRDefault="0078256A" w:rsidP="005E0D82">
      <w:pPr>
        <w:pStyle w:val="2"/>
        <w:numPr>
          <w:ilvl w:val="1"/>
          <w:numId w:val="29"/>
        </w:numPr>
        <w:spacing w:line="360" w:lineRule="auto"/>
        <w:rPr>
          <w:rFonts w:eastAsia="Times New Roman"/>
          <w:b/>
          <w:bCs w:val="0"/>
          <w:lang w:eastAsia="ru-RU" w:bidi="he-IL"/>
        </w:rPr>
      </w:pPr>
      <w:bookmarkStart w:id="28" w:name="_Toc9250598"/>
      <w:r>
        <w:rPr>
          <w:rFonts w:eastAsia="Times New Roman"/>
          <w:b/>
          <w:bCs w:val="0"/>
          <w:lang w:eastAsia="ru-RU" w:bidi="he-IL"/>
        </w:rPr>
        <w:t>М</w:t>
      </w:r>
      <w:r w:rsidRPr="0078256A">
        <w:rPr>
          <w:rFonts w:eastAsia="Times New Roman"/>
          <w:b/>
          <w:bCs w:val="0"/>
          <w:lang w:eastAsia="ru-RU" w:bidi="he-IL"/>
        </w:rPr>
        <w:t xml:space="preserve">олекулярно-генетические маркеры, связанные с </w:t>
      </w:r>
      <w:r>
        <w:rPr>
          <w:rFonts w:eastAsia="Times New Roman"/>
          <w:b/>
          <w:bCs w:val="0"/>
          <w:lang w:eastAsia="ru-RU" w:bidi="he-IL"/>
        </w:rPr>
        <w:t xml:space="preserve">этиологией и </w:t>
      </w:r>
      <w:r w:rsidRPr="0078256A">
        <w:rPr>
          <w:rFonts w:eastAsia="Times New Roman"/>
          <w:b/>
          <w:bCs w:val="0"/>
          <w:lang w:eastAsia="ru-RU" w:bidi="he-IL"/>
        </w:rPr>
        <w:t>патогенезом нейроэпителиальных опухолей</w:t>
      </w:r>
      <w:bookmarkEnd w:id="28"/>
    </w:p>
    <w:p w:rsidR="00375155" w:rsidRPr="00375155" w:rsidRDefault="0078256A" w:rsidP="005E0D82">
      <w:pPr>
        <w:pStyle w:val="af"/>
        <w:spacing w:before="0" w:beforeAutospacing="0" w:after="0" w:afterAutospacing="0" w:line="360" w:lineRule="auto"/>
        <w:rPr>
          <w:sz w:val="28"/>
          <w:szCs w:val="28"/>
        </w:rPr>
      </w:pPr>
      <w:r w:rsidRPr="00EE0F75">
        <w:rPr>
          <w:sz w:val="28"/>
          <w:szCs w:val="28"/>
        </w:rPr>
        <w:t xml:space="preserve">В предыдущих разделах данной работы неоднократно указывалось, что в диагностике и прогнозировании течения опухолей ЦНС приоритетное значение отдается именно молекулярно-генетическому исследованию, от которого напрямую зависит лечебная тактика и предполагаемые риски и осложнения. </w:t>
      </w:r>
      <w:r w:rsidR="000E2110" w:rsidRPr="00EE0F75">
        <w:rPr>
          <w:sz w:val="28"/>
          <w:szCs w:val="28"/>
        </w:rPr>
        <w:t xml:space="preserve">Понимание молекулярной природы новообразований головного мозга значительно возросло за последние два десятилетия и позволили получить представление о биологических основах формирования и прогрессирования опухолей. Некоторые из этих молекулярных паттернов могут представлять собой потенциальные мишени для лекарственной терапии, что только приумножает их ценность [49]. </w:t>
      </w:r>
      <w:r w:rsidRPr="00EE0F75">
        <w:rPr>
          <w:sz w:val="28"/>
          <w:szCs w:val="28"/>
        </w:rPr>
        <w:t xml:space="preserve">Далее будут рассмотрены основные </w:t>
      </w:r>
      <w:r w:rsidR="00042AED" w:rsidRPr="00EE0F75">
        <w:rPr>
          <w:sz w:val="28"/>
          <w:szCs w:val="28"/>
        </w:rPr>
        <w:t>генетические и молекулярные аспекты диагностики опухолей головного мозга.</w:t>
      </w:r>
      <w:r w:rsidR="00042AED" w:rsidRPr="00EE0F75">
        <w:rPr>
          <w:sz w:val="28"/>
          <w:szCs w:val="28"/>
        </w:rPr>
        <w:br/>
      </w:r>
      <w:r w:rsidR="00042AED" w:rsidRPr="00EE0F75">
        <w:rPr>
          <w:color w:val="000000"/>
          <w:sz w:val="28"/>
          <w:szCs w:val="28"/>
        </w:rPr>
        <w:lastRenderedPageBreak/>
        <w:t xml:space="preserve">Главным генетическим маркером глиальных опухолей являются IDH1-2 мутации в изоцитратдегидрогеназе типа 1 и 2. </w:t>
      </w:r>
      <w:r w:rsidR="000E2110" w:rsidRPr="00EE0F75">
        <w:rPr>
          <w:color w:val="000000"/>
          <w:sz w:val="28"/>
          <w:szCs w:val="28"/>
        </w:rPr>
        <w:t xml:space="preserve">Соматические мутации изоцитратдегидрогеназы, влияющие на активные сайты фермента цикла Кребса, были впервые идентифицированы в 2008 году в рамках геномного анализа образцов опухолей глиобластомы человека. В дальнейшем это открытие было экстраполировано на глиомы различной степени дифференцировки, где его значение оказалось более внушительным [50]. Мутация </w:t>
      </w:r>
      <w:r w:rsidR="000E2110" w:rsidRPr="00EE0F75">
        <w:rPr>
          <w:color w:val="000000"/>
          <w:sz w:val="28"/>
          <w:szCs w:val="28"/>
          <w:lang w:val="en-US"/>
        </w:rPr>
        <w:t>IDH</w:t>
      </w:r>
      <w:r w:rsidR="000E2110" w:rsidRPr="00EE0F75">
        <w:rPr>
          <w:color w:val="000000"/>
          <w:sz w:val="28"/>
          <w:szCs w:val="28"/>
        </w:rPr>
        <w:t xml:space="preserve"> признана самым ранним генетическим событие в патогенезе развития глиальных опухолей. </w:t>
      </w:r>
      <w:r w:rsidR="00042AED" w:rsidRPr="00EE0F75">
        <w:rPr>
          <w:color w:val="000000"/>
          <w:sz w:val="28"/>
          <w:szCs w:val="28"/>
        </w:rPr>
        <w:t>Это определяющий признак диффузных опухолей по новой классификации ВОЗ, доказан более благополучный прогноз IDH+ опухолей по сравнению с диким типом [44]. Исследование IDH методом ИГХ необходимо проводить на всех образцах диффузной глиомы для диагностических целей. Более того, этот тест также может помочь отличить инфильтрирующие астроцитарные клетки от реактивного глиоза [45]. Однако не все IDH мутации можно обнаружить методом ИГХ, встречаются неканонические мутации (от 10 до 20%), которые можно идентифицировать методами ДНК-секвенирования. Примером такой мутации служит IDH R132, часто наблюдаемая у пациентов моложе 55 лет [46]. Неканонические IDH-мутации чаще встречаются при олигодендроглиальных опухолях и опухолях ствола мозга [47]. Согласно некоторым рекомендациям, даже если у пациента моложе 55 лет с глиобластомой или диффузными глиомами ИГХ результаты IDH1 R132H негативны, рекомендуется секвенирование IDH1 (132 кодон) и IDH2 (172 кодон). Если такое исследование невозможно, к результату ИГХ добавляют NOS (“не указано другое”).</w:t>
      </w:r>
      <w:r w:rsidR="00042AED" w:rsidRPr="00EE0F75">
        <w:rPr>
          <w:sz w:val="28"/>
          <w:szCs w:val="28"/>
        </w:rPr>
        <w:t xml:space="preserve"> </w:t>
      </w:r>
      <w:r w:rsidR="00375155" w:rsidRPr="00EE0F75">
        <w:rPr>
          <w:color w:val="000000"/>
          <w:sz w:val="28"/>
          <w:szCs w:val="28"/>
        </w:rPr>
        <w:t xml:space="preserve">Иногда банальные методы IDH типирования оказываются неэффективными, тогда становятся актуальными альтернативные молекулярные подходы к классификации (в том числе оценка ингибитора циклин-зависимой киназы 2А/В (CDKN2A/B) [55]. </w:t>
      </w:r>
      <w:r w:rsidR="00042AED" w:rsidRPr="00EE0F75">
        <w:rPr>
          <w:color w:val="000000"/>
          <w:sz w:val="28"/>
          <w:szCs w:val="28"/>
        </w:rPr>
        <w:t xml:space="preserve">Мутация IDH ведет к накоплению 2-гидроксиглутарата, который можно обнаружить при магнитной спектроскопии, это - </w:t>
      </w:r>
      <w:r w:rsidR="00042AED" w:rsidRPr="00EE0F75">
        <w:rPr>
          <w:color w:val="000000"/>
          <w:sz w:val="28"/>
          <w:szCs w:val="28"/>
        </w:rPr>
        <w:lastRenderedPageBreak/>
        <w:t xml:space="preserve">возможный диагностический и прогностический метод неинвазивного установления </w:t>
      </w:r>
      <w:r w:rsidR="00042AED" w:rsidRPr="00EE0F75">
        <w:rPr>
          <w:color w:val="000000"/>
          <w:sz w:val="28"/>
          <w:szCs w:val="28"/>
          <w:lang w:val="en-US"/>
        </w:rPr>
        <w:t>IDH</w:t>
      </w:r>
      <w:r w:rsidR="00042AED" w:rsidRPr="00EE0F75">
        <w:rPr>
          <w:color w:val="000000"/>
          <w:sz w:val="28"/>
          <w:szCs w:val="28"/>
        </w:rPr>
        <w:t>-статуса, количество публикаций о котором растет с каждым месяцем [48].</w:t>
      </w:r>
      <w:r w:rsidR="000E2110" w:rsidRPr="00EE0F75">
        <w:rPr>
          <w:color w:val="000000"/>
          <w:sz w:val="28"/>
          <w:szCs w:val="28"/>
        </w:rPr>
        <w:br/>
        <w:t xml:space="preserve">Мутации </w:t>
      </w:r>
      <w:r w:rsidR="000E2110" w:rsidRPr="00EE0F75">
        <w:rPr>
          <w:color w:val="000000"/>
          <w:sz w:val="28"/>
          <w:szCs w:val="28"/>
          <w:lang w:val="en-US"/>
        </w:rPr>
        <w:t>IDH</w:t>
      </w:r>
      <w:r w:rsidR="000E2110" w:rsidRPr="00EE0F75">
        <w:rPr>
          <w:color w:val="000000"/>
          <w:sz w:val="28"/>
          <w:szCs w:val="28"/>
        </w:rPr>
        <w:t xml:space="preserve">1-2 присутствуют в 50-80% астроцитарных и олигодендроглиальных опухолей </w:t>
      </w:r>
      <w:r w:rsidR="000E2110" w:rsidRPr="00EE0F75">
        <w:rPr>
          <w:color w:val="000000"/>
          <w:sz w:val="28"/>
          <w:szCs w:val="28"/>
          <w:lang w:val="en-US"/>
        </w:rPr>
        <w:t>GII</w:t>
      </w:r>
      <w:r w:rsidR="000E2110" w:rsidRPr="00EE0F75">
        <w:rPr>
          <w:color w:val="000000"/>
          <w:sz w:val="28"/>
          <w:szCs w:val="28"/>
        </w:rPr>
        <w:t>-</w:t>
      </w:r>
      <w:r w:rsidR="000E2110" w:rsidRPr="00EE0F75">
        <w:rPr>
          <w:color w:val="000000"/>
          <w:sz w:val="28"/>
          <w:szCs w:val="28"/>
          <w:lang w:val="en-US"/>
        </w:rPr>
        <w:t>III</w:t>
      </w:r>
      <w:r w:rsidR="000E2110" w:rsidRPr="00EE0F75">
        <w:rPr>
          <w:color w:val="000000"/>
          <w:sz w:val="28"/>
          <w:szCs w:val="28"/>
        </w:rPr>
        <w:t xml:space="preserve"> и в 5-10% первичных глиобластом </w:t>
      </w:r>
      <w:r w:rsidR="000E2110" w:rsidRPr="00EE0F75">
        <w:rPr>
          <w:color w:val="000000"/>
          <w:sz w:val="28"/>
          <w:szCs w:val="28"/>
          <w:lang w:val="en-US"/>
        </w:rPr>
        <w:t>GIV</w:t>
      </w:r>
      <w:r w:rsidR="000E2110" w:rsidRPr="00EE0F75">
        <w:rPr>
          <w:color w:val="000000"/>
          <w:sz w:val="28"/>
          <w:szCs w:val="28"/>
        </w:rPr>
        <w:t xml:space="preserve"> [51]. Достоверно доказано, что мутации </w:t>
      </w:r>
      <w:r w:rsidR="000E2110" w:rsidRPr="00EE0F75">
        <w:rPr>
          <w:color w:val="000000"/>
          <w:sz w:val="28"/>
          <w:szCs w:val="28"/>
          <w:lang w:val="en-US"/>
        </w:rPr>
        <w:t>IDH</w:t>
      </w:r>
      <w:r w:rsidR="000E2110" w:rsidRPr="00EE0F75">
        <w:rPr>
          <w:color w:val="000000"/>
          <w:sz w:val="28"/>
          <w:szCs w:val="28"/>
        </w:rPr>
        <w:t xml:space="preserve"> связаны с более длительной ВБП и ОВ по сравнению с сопоставимыми опухолями дикого типа [52-54]. Среди </w:t>
      </w:r>
      <w:r w:rsidR="000E2110" w:rsidRPr="00EE0F75">
        <w:rPr>
          <w:color w:val="000000"/>
          <w:sz w:val="28"/>
          <w:szCs w:val="28"/>
          <w:lang w:val="en-US"/>
        </w:rPr>
        <w:t>IDH</w:t>
      </w:r>
      <w:r w:rsidR="000E2110" w:rsidRPr="00EE0F75">
        <w:rPr>
          <w:color w:val="000000"/>
          <w:sz w:val="28"/>
          <w:szCs w:val="28"/>
        </w:rPr>
        <w:t xml:space="preserve">+ астроцитом различают три уровня экспрессии, каждый из которых в своей степени имеет более благоприятный прогноз по отношению к дикому типу. </w:t>
      </w:r>
      <w:r w:rsidR="00375155" w:rsidRPr="00EE0F75">
        <w:rPr>
          <w:color w:val="000000"/>
          <w:sz w:val="28"/>
          <w:szCs w:val="28"/>
        </w:rPr>
        <w:t xml:space="preserve">Согласно современной классификации ВОЗ, опухоли GII и GIII имеет смысл делить на три типа: </w:t>
      </w:r>
      <w:r w:rsidR="00375155" w:rsidRPr="00375155">
        <w:rPr>
          <w:color w:val="000000"/>
          <w:sz w:val="28"/>
          <w:szCs w:val="28"/>
        </w:rPr>
        <w:t>опухоли с IDH+ и 1р/19q ко-делецией (хороший прогноз)</w:t>
      </w:r>
      <w:r w:rsidR="00375155" w:rsidRPr="00EE0F75">
        <w:rPr>
          <w:color w:val="000000"/>
          <w:sz w:val="28"/>
          <w:szCs w:val="28"/>
        </w:rPr>
        <w:t xml:space="preserve">; </w:t>
      </w:r>
      <w:r w:rsidR="00375155" w:rsidRPr="00375155">
        <w:rPr>
          <w:color w:val="000000"/>
          <w:sz w:val="28"/>
          <w:szCs w:val="28"/>
        </w:rPr>
        <w:t>опухоли с потерей ATRX-экспрессии (промежуточный прогноз)</w:t>
      </w:r>
      <w:r w:rsidR="00375155" w:rsidRPr="00EE0F75">
        <w:rPr>
          <w:color w:val="000000"/>
          <w:sz w:val="28"/>
          <w:szCs w:val="28"/>
        </w:rPr>
        <w:t xml:space="preserve">; </w:t>
      </w:r>
      <w:r w:rsidR="00375155" w:rsidRPr="00375155">
        <w:rPr>
          <w:color w:val="000000"/>
          <w:sz w:val="28"/>
          <w:szCs w:val="28"/>
        </w:rPr>
        <w:t>опухоли с IDH-диким типом (плохой прогноз) (наиболее характерно для ГЛБ и анапластической астроцитомы)</w:t>
      </w:r>
      <w:r w:rsidR="00375155" w:rsidRPr="00EE0F75">
        <w:rPr>
          <w:color w:val="000000"/>
          <w:sz w:val="28"/>
          <w:szCs w:val="28"/>
        </w:rPr>
        <w:t xml:space="preserve"> [5, 6, 56].</w:t>
      </w:r>
    </w:p>
    <w:p w:rsidR="00042AED" w:rsidRPr="00EE0F75" w:rsidRDefault="00042AED" w:rsidP="005E0D82">
      <w:pPr>
        <w:pStyle w:val="af"/>
        <w:spacing w:before="0" w:beforeAutospacing="0" w:after="0" w:afterAutospacing="0" w:line="360" w:lineRule="auto"/>
        <w:rPr>
          <w:sz w:val="28"/>
          <w:szCs w:val="28"/>
        </w:rPr>
      </w:pPr>
      <w:r w:rsidRPr="00EE0F75">
        <w:rPr>
          <w:color w:val="000000"/>
          <w:sz w:val="28"/>
          <w:szCs w:val="28"/>
        </w:rPr>
        <w:t>1р/19q ко-делеция - делеция всего плеча 1р и 19q хромосом из-за несбалансированно</w:t>
      </w:r>
      <w:r w:rsidR="00375155" w:rsidRPr="00EE0F75">
        <w:rPr>
          <w:color w:val="000000"/>
          <w:sz w:val="28"/>
          <w:szCs w:val="28"/>
        </w:rPr>
        <w:t>й</w:t>
      </w:r>
      <w:r w:rsidRPr="00EE0F75">
        <w:rPr>
          <w:color w:val="000000"/>
          <w:sz w:val="28"/>
          <w:szCs w:val="28"/>
        </w:rPr>
        <w:t xml:space="preserve"> транслокации между 1 и 19 хромосомами. Это предиктор хорошего терапевтического ответа и выживаемости среди пациентов с диффузной глиомой</w:t>
      </w:r>
      <w:r w:rsidR="00E36435" w:rsidRPr="00EE0F75">
        <w:rPr>
          <w:color w:val="000000"/>
          <w:sz w:val="28"/>
          <w:szCs w:val="28"/>
        </w:rPr>
        <w:t xml:space="preserve"> и олигоастроцитомой в связи с тем, что на данном участке находятся гены-супрессоры опухолевого роста</w:t>
      </w:r>
      <w:r w:rsidRPr="00EE0F75">
        <w:rPr>
          <w:color w:val="000000"/>
          <w:sz w:val="28"/>
          <w:szCs w:val="28"/>
        </w:rPr>
        <w:t xml:space="preserve"> </w:t>
      </w:r>
      <w:r w:rsidR="00375155" w:rsidRPr="00EE0F75">
        <w:rPr>
          <w:color w:val="000000"/>
          <w:sz w:val="28"/>
          <w:szCs w:val="28"/>
        </w:rPr>
        <w:t>[57]. 1р/19q ко-делеция встречается в подавляющем большинстве олигодендроглиальных</w:t>
      </w:r>
      <w:r w:rsidR="00E36435" w:rsidRPr="00EE0F75">
        <w:rPr>
          <w:color w:val="000000"/>
          <w:sz w:val="28"/>
          <w:szCs w:val="28"/>
        </w:rPr>
        <w:t xml:space="preserve"> и олигоастроцитарных</w:t>
      </w:r>
      <w:r w:rsidR="00375155" w:rsidRPr="00EE0F75">
        <w:rPr>
          <w:color w:val="000000"/>
          <w:sz w:val="28"/>
          <w:szCs w:val="28"/>
        </w:rPr>
        <w:t xml:space="preserve"> опухолей (70-80%) и достаточно редко – в астроцитомах</w:t>
      </w:r>
      <w:r w:rsidR="00E36435" w:rsidRPr="00EE0F75">
        <w:rPr>
          <w:color w:val="000000"/>
          <w:sz w:val="28"/>
          <w:szCs w:val="28"/>
        </w:rPr>
        <w:t xml:space="preserve"> [5]. </w:t>
      </w:r>
      <w:r w:rsidRPr="00EE0F75">
        <w:rPr>
          <w:color w:val="000000"/>
          <w:sz w:val="28"/>
          <w:szCs w:val="28"/>
        </w:rPr>
        <w:t xml:space="preserve">Исследование на 1р/19q следует проводить </w:t>
      </w:r>
      <w:r w:rsidR="00375155" w:rsidRPr="00EE0F75">
        <w:rPr>
          <w:color w:val="000000"/>
          <w:sz w:val="28"/>
          <w:szCs w:val="28"/>
        </w:rPr>
        <w:t>для</w:t>
      </w:r>
      <w:r w:rsidRPr="00EE0F75">
        <w:rPr>
          <w:color w:val="000000"/>
          <w:sz w:val="28"/>
          <w:szCs w:val="28"/>
        </w:rPr>
        <w:t xml:space="preserve"> всех олигодендроглиальных опухолей, однако это не обязательно, если опухоль IDH+, ТР53+ и ATRX+</w:t>
      </w:r>
      <w:r w:rsidR="00375155" w:rsidRPr="00EE0F75">
        <w:rPr>
          <w:color w:val="000000"/>
          <w:sz w:val="28"/>
          <w:szCs w:val="28"/>
        </w:rPr>
        <w:t xml:space="preserve">, или хотя бы </w:t>
      </w:r>
      <w:r w:rsidR="00375155" w:rsidRPr="00EE0F75">
        <w:rPr>
          <w:color w:val="000000"/>
          <w:sz w:val="28"/>
          <w:szCs w:val="28"/>
          <w:lang w:val="en-US"/>
        </w:rPr>
        <w:t>IDH</w:t>
      </w:r>
      <w:r w:rsidR="00375155" w:rsidRPr="00EE0F75">
        <w:rPr>
          <w:color w:val="000000"/>
          <w:sz w:val="28"/>
          <w:szCs w:val="28"/>
        </w:rPr>
        <w:t>+. [58]</w:t>
      </w:r>
      <w:r w:rsidRPr="00EE0F75">
        <w:rPr>
          <w:color w:val="000000"/>
          <w:sz w:val="28"/>
          <w:szCs w:val="28"/>
        </w:rPr>
        <w:t xml:space="preserve">. В большинстве лабораторий 1р/19q оценивается методом FISH, но иногда FISH бывает ложноположительным </w:t>
      </w:r>
      <w:r w:rsidR="00375155" w:rsidRPr="00EE0F75">
        <w:rPr>
          <w:color w:val="000000"/>
          <w:sz w:val="28"/>
          <w:szCs w:val="28"/>
        </w:rPr>
        <w:t>в случае</w:t>
      </w:r>
      <w:r w:rsidRPr="00EE0F75">
        <w:rPr>
          <w:color w:val="000000"/>
          <w:sz w:val="28"/>
          <w:szCs w:val="28"/>
        </w:rPr>
        <w:t xml:space="preserve"> частичной делеции.</w:t>
      </w:r>
      <w:r w:rsidR="00375155" w:rsidRPr="00EE0F75">
        <w:rPr>
          <w:sz w:val="28"/>
          <w:szCs w:val="28"/>
        </w:rPr>
        <w:t xml:space="preserve"> </w:t>
      </w:r>
      <w:r w:rsidRPr="00EE0F75">
        <w:rPr>
          <w:color w:val="000000"/>
          <w:sz w:val="28"/>
          <w:szCs w:val="28"/>
        </w:rPr>
        <w:t xml:space="preserve">1р/19q </w:t>
      </w:r>
      <w:r w:rsidR="00375155" w:rsidRPr="00EE0F75">
        <w:rPr>
          <w:color w:val="000000"/>
          <w:sz w:val="28"/>
          <w:szCs w:val="28"/>
        </w:rPr>
        <w:t>практически всегда сочетается с IDH [5, 6]</w:t>
      </w:r>
      <w:r w:rsidRPr="00EE0F75">
        <w:rPr>
          <w:color w:val="000000"/>
          <w:sz w:val="28"/>
          <w:szCs w:val="28"/>
        </w:rPr>
        <w:t>, поэтому подтверждение 1р/19q при отсутствии IDH должно вызывать определенные подозрения</w:t>
      </w:r>
      <w:r w:rsidR="00375155" w:rsidRPr="00EE0F75">
        <w:rPr>
          <w:color w:val="000000"/>
          <w:sz w:val="28"/>
          <w:szCs w:val="28"/>
        </w:rPr>
        <w:t xml:space="preserve"> о </w:t>
      </w:r>
      <w:r w:rsidR="00375155" w:rsidRPr="00EE0F75">
        <w:rPr>
          <w:color w:val="000000"/>
          <w:sz w:val="28"/>
          <w:szCs w:val="28"/>
        </w:rPr>
        <w:lastRenderedPageBreak/>
        <w:t>гетерогенности опухоли</w:t>
      </w:r>
      <w:r w:rsidRPr="00EE0F75">
        <w:rPr>
          <w:color w:val="000000"/>
          <w:sz w:val="28"/>
          <w:szCs w:val="28"/>
        </w:rPr>
        <w:t>. Это особенно важно потому, что неполная делеция</w:t>
      </w:r>
      <w:r w:rsidR="00375155" w:rsidRPr="00EE0F75">
        <w:rPr>
          <w:color w:val="000000"/>
          <w:sz w:val="28"/>
          <w:szCs w:val="28"/>
        </w:rPr>
        <w:t xml:space="preserve"> 1</w:t>
      </w:r>
      <w:r w:rsidR="00375155" w:rsidRPr="00EE0F75">
        <w:rPr>
          <w:color w:val="000000"/>
          <w:sz w:val="28"/>
          <w:szCs w:val="28"/>
          <w:lang w:val="en-US"/>
        </w:rPr>
        <w:t>p</w:t>
      </w:r>
      <w:r w:rsidR="00375155" w:rsidRPr="00EE0F75">
        <w:rPr>
          <w:color w:val="000000"/>
          <w:sz w:val="28"/>
          <w:szCs w:val="28"/>
        </w:rPr>
        <w:t>19</w:t>
      </w:r>
      <w:r w:rsidR="00375155" w:rsidRPr="00EE0F75">
        <w:rPr>
          <w:color w:val="000000"/>
          <w:sz w:val="28"/>
          <w:szCs w:val="28"/>
          <w:lang w:val="en-US"/>
        </w:rPr>
        <w:t>q</w:t>
      </w:r>
      <w:r w:rsidRPr="00EE0F75">
        <w:rPr>
          <w:color w:val="000000"/>
          <w:sz w:val="28"/>
          <w:szCs w:val="28"/>
        </w:rPr>
        <w:t xml:space="preserve"> может сочетаться с более агрессивным течением опухоли. </w:t>
      </w:r>
    </w:p>
    <w:p w:rsidR="00042AED" w:rsidRPr="00EE0F75" w:rsidRDefault="00042AED" w:rsidP="005E0D82">
      <w:pPr>
        <w:pStyle w:val="af"/>
        <w:spacing w:before="0" w:beforeAutospacing="0" w:after="0" w:afterAutospacing="0" w:line="360" w:lineRule="auto"/>
        <w:rPr>
          <w:sz w:val="28"/>
          <w:szCs w:val="28"/>
        </w:rPr>
      </w:pPr>
      <w:r w:rsidRPr="00EE0F75">
        <w:rPr>
          <w:color w:val="000000"/>
          <w:sz w:val="28"/>
          <w:szCs w:val="28"/>
        </w:rPr>
        <w:t xml:space="preserve">ATRX мутация в гене-регуляторе хроматина, </w:t>
      </w:r>
      <w:r w:rsidR="00E36435" w:rsidRPr="00EE0F75">
        <w:rPr>
          <w:color w:val="000000"/>
          <w:sz w:val="28"/>
          <w:szCs w:val="28"/>
        </w:rPr>
        <w:t>в так называемом</w:t>
      </w:r>
      <w:r w:rsidRPr="00EE0F75">
        <w:rPr>
          <w:color w:val="000000"/>
          <w:sz w:val="28"/>
          <w:szCs w:val="28"/>
        </w:rPr>
        <w:t xml:space="preserve"> ген</w:t>
      </w:r>
      <w:r w:rsidR="00E36435" w:rsidRPr="00EE0F75">
        <w:rPr>
          <w:color w:val="000000"/>
          <w:sz w:val="28"/>
          <w:szCs w:val="28"/>
        </w:rPr>
        <w:t>е</w:t>
      </w:r>
      <w:r w:rsidRPr="00EE0F75">
        <w:rPr>
          <w:color w:val="000000"/>
          <w:sz w:val="28"/>
          <w:szCs w:val="28"/>
        </w:rPr>
        <w:t xml:space="preserve"> альфа-талассемии / синдрома умственной отсталости, сцепленным с Х-хромосомой, часто встречается при диффузных астроцитомах</w:t>
      </w:r>
      <w:r w:rsidR="00E36435" w:rsidRPr="00EE0F75">
        <w:rPr>
          <w:color w:val="000000"/>
          <w:sz w:val="28"/>
          <w:szCs w:val="28"/>
        </w:rPr>
        <w:t xml:space="preserve"> (70%)</w:t>
      </w:r>
      <w:r w:rsidRPr="00EE0F75">
        <w:rPr>
          <w:color w:val="000000"/>
          <w:sz w:val="28"/>
          <w:szCs w:val="28"/>
        </w:rPr>
        <w:t xml:space="preserve"> и является их молекулярным маркером. </w:t>
      </w:r>
      <w:r w:rsidR="00E36435" w:rsidRPr="00EE0F75">
        <w:rPr>
          <w:color w:val="000000"/>
          <w:sz w:val="28"/>
          <w:szCs w:val="28"/>
        </w:rPr>
        <w:t>Как правило, данная мутация</w:t>
      </w:r>
      <w:r w:rsidRPr="00EE0F75">
        <w:rPr>
          <w:color w:val="000000"/>
          <w:sz w:val="28"/>
          <w:szCs w:val="28"/>
        </w:rPr>
        <w:t xml:space="preserve"> коррелирует с IDH1/2 и </w:t>
      </w:r>
      <w:r w:rsidR="00E36435" w:rsidRPr="00EE0F75">
        <w:rPr>
          <w:color w:val="000000"/>
          <w:sz w:val="28"/>
          <w:szCs w:val="28"/>
        </w:rPr>
        <w:t xml:space="preserve">ТР53 и является взаимоисключающей с ко-делецией </w:t>
      </w:r>
      <w:r w:rsidRPr="00EE0F75">
        <w:rPr>
          <w:color w:val="000000"/>
          <w:sz w:val="28"/>
          <w:szCs w:val="28"/>
        </w:rPr>
        <w:t>1р/19q</w:t>
      </w:r>
      <w:r w:rsidR="00E36435" w:rsidRPr="00EE0F75">
        <w:rPr>
          <w:color w:val="000000"/>
          <w:sz w:val="28"/>
          <w:szCs w:val="28"/>
        </w:rPr>
        <w:t xml:space="preserve"> [5, 59]</w:t>
      </w:r>
      <w:r w:rsidRPr="00EE0F75">
        <w:rPr>
          <w:color w:val="000000"/>
          <w:sz w:val="28"/>
          <w:szCs w:val="28"/>
        </w:rPr>
        <w:t>.</w:t>
      </w:r>
      <w:r w:rsidR="00E36435" w:rsidRPr="00EE0F75">
        <w:rPr>
          <w:color w:val="000000"/>
          <w:sz w:val="28"/>
          <w:szCs w:val="28"/>
        </w:rPr>
        <w:t xml:space="preserve"> Ген </w:t>
      </w:r>
      <w:r w:rsidR="00E36435" w:rsidRPr="00EE0F75">
        <w:rPr>
          <w:color w:val="000000"/>
          <w:sz w:val="28"/>
          <w:szCs w:val="28"/>
          <w:lang w:val="en-US"/>
        </w:rPr>
        <w:t>ATRX</w:t>
      </w:r>
      <w:r w:rsidR="00E36435" w:rsidRPr="00EE0F75">
        <w:rPr>
          <w:color w:val="000000"/>
          <w:sz w:val="28"/>
          <w:szCs w:val="28"/>
        </w:rPr>
        <w:t xml:space="preserve"> несет ответственность за поддержание целостности теломер в хромосомах глиальных клеток. О корреляции мутации </w:t>
      </w:r>
      <w:r w:rsidR="00E36435" w:rsidRPr="00EE0F75">
        <w:rPr>
          <w:color w:val="000000"/>
          <w:sz w:val="28"/>
          <w:szCs w:val="28"/>
          <w:lang w:val="en-US"/>
        </w:rPr>
        <w:t>ATRX</w:t>
      </w:r>
      <w:r w:rsidR="00E36435" w:rsidRPr="00EE0F75">
        <w:rPr>
          <w:color w:val="000000"/>
          <w:sz w:val="28"/>
          <w:szCs w:val="28"/>
        </w:rPr>
        <w:t xml:space="preserve"> с показателями выживаемости достоверных данных на этот момент нет.</w:t>
      </w:r>
    </w:p>
    <w:p w:rsidR="00042AED" w:rsidRPr="00EE0F75" w:rsidRDefault="00E36435" w:rsidP="005E0D82">
      <w:pPr>
        <w:pStyle w:val="af"/>
        <w:spacing w:before="0" w:beforeAutospacing="0" w:after="0" w:afterAutospacing="0" w:line="360" w:lineRule="auto"/>
        <w:rPr>
          <w:sz w:val="28"/>
          <w:szCs w:val="28"/>
        </w:rPr>
      </w:pPr>
      <w:r w:rsidRPr="00EE0F75">
        <w:rPr>
          <w:color w:val="000000"/>
          <w:sz w:val="28"/>
          <w:szCs w:val="28"/>
        </w:rPr>
        <w:t xml:space="preserve">ТР53 является одним из первых открытых генов-супрессоров опухолей и </w:t>
      </w:r>
      <w:r w:rsidR="00042AED" w:rsidRPr="00EE0F75">
        <w:rPr>
          <w:color w:val="000000"/>
          <w:sz w:val="28"/>
          <w:szCs w:val="28"/>
        </w:rPr>
        <w:t xml:space="preserve">положительно коррелирует с IDH+. </w:t>
      </w:r>
      <w:r w:rsidRPr="00EE0F75">
        <w:rPr>
          <w:color w:val="000000"/>
          <w:sz w:val="28"/>
          <w:szCs w:val="28"/>
        </w:rPr>
        <w:t xml:space="preserve">TP53 соответствует хромосоме 17p и кодирует белок p53, который играет важную роль в ряде клеточных процессов, включая остановку клеточного цикла, реакцию на повреждение ДНК и апоптоз. </w:t>
      </w:r>
      <w:r w:rsidR="00EE0F75" w:rsidRPr="00EE0F75">
        <w:rPr>
          <w:color w:val="000000"/>
          <w:sz w:val="28"/>
          <w:szCs w:val="28"/>
        </w:rPr>
        <w:t xml:space="preserve">Инактивация гена </w:t>
      </w:r>
      <w:r w:rsidR="00EE0F75" w:rsidRPr="00EE0F75">
        <w:rPr>
          <w:color w:val="000000"/>
          <w:sz w:val="28"/>
          <w:szCs w:val="28"/>
          <w:lang w:val="en-US"/>
        </w:rPr>
        <w:t>TP</w:t>
      </w:r>
      <w:r w:rsidR="00EE0F75" w:rsidRPr="00EE0F75">
        <w:rPr>
          <w:color w:val="000000"/>
          <w:sz w:val="28"/>
          <w:szCs w:val="28"/>
        </w:rPr>
        <w:t xml:space="preserve">53 происходит примерно в половине диффузных астроцитом, примерно в трети анапластических астроцитом и глиобластом [5, 60].  </w:t>
      </w:r>
      <w:r w:rsidR="00042AED" w:rsidRPr="00EE0F75">
        <w:rPr>
          <w:color w:val="000000"/>
          <w:sz w:val="28"/>
          <w:szCs w:val="28"/>
        </w:rPr>
        <w:t>Однако мутация ТР53 не всегда специфична, так как р53 часто дает ложноположительный результат.</w:t>
      </w:r>
      <w:r w:rsidR="00EE0F75" w:rsidRPr="00EE0F75">
        <w:rPr>
          <w:color w:val="000000"/>
          <w:sz w:val="28"/>
          <w:szCs w:val="28"/>
        </w:rPr>
        <w:t xml:space="preserve"> Существуют исследования, согласно которым приобретенная мутация ТР53 может способствовать прогрессированию опухоли из-за повышения хромосомной нестабильности [61].</w:t>
      </w:r>
    </w:p>
    <w:p w:rsidR="00042AED" w:rsidRPr="00EE0F75" w:rsidRDefault="00042AED" w:rsidP="005E0D82">
      <w:pPr>
        <w:pStyle w:val="af"/>
        <w:spacing w:before="0" w:beforeAutospacing="0" w:after="0" w:afterAutospacing="0" w:line="360" w:lineRule="auto"/>
        <w:rPr>
          <w:sz w:val="28"/>
          <w:szCs w:val="28"/>
        </w:rPr>
      </w:pPr>
      <w:r w:rsidRPr="00EE0F75">
        <w:rPr>
          <w:color w:val="000000"/>
          <w:sz w:val="28"/>
          <w:szCs w:val="28"/>
        </w:rPr>
        <w:t>Н3 К27М мутация - характерна наряду с Н3F3А для диффузных глиом моста, таламуса и спинного мозга. Чаще встречается у</w:t>
      </w:r>
      <w:r w:rsidR="00EE0F75" w:rsidRPr="00EE0F75">
        <w:rPr>
          <w:color w:val="000000"/>
          <w:sz w:val="28"/>
          <w:szCs w:val="28"/>
        </w:rPr>
        <w:t xml:space="preserve"> детей, где </w:t>
      </w:r>
      <w:r w:rsidRPr="00EE0F75">
        <w:rPr>
          <w:color w:val="000000"/>
          <w:sz w:val="28"/>
          <w:szCs w:val="28"/>
        </w:rPr>
        <w:t>ассоциированн</w:t>
      </w:r>
      <w:r w:rsidR="00EE0F75" w:rsidRPr="00EE0F75">
        <w:rPr>
          <w:color w:val="000000"/>
          <w:sz w:val="28"/>
          <w:szCs w:val="28"/>
        </w:rPr>
        <w:t>а</w:t>
      </w:r>
      <w:r w:rsidRPr="00EE0F75">
        <w:rPr>
          <w:color w:val="000000"/>
          <w:sz w:val="28"/>
          <w:szCs w:val="28"/>
        </w:rPr>
        <w:t xml:space="preserve"> с худшим прогнозом.</w:t>
      </w:r>
    </w:p>
    <w:p w:rsidR="00523362" w:rsidRDefault="00042AED" w:rsidP="005E0D82">
      <w:pPr>
        <w:pStyle w:val="af"/>
        <w:spacing w:before="0" w:beforeAutospacing="0" w:after="0" w:afterAutospacing="0" w:line="360" w:lineRule="auto"/>
        <w:rPr>
          <w:color w:val="000000"/>
          <w:sz w:val="28"/>
          <w:szCs w:val="28"/>
        </w:rPr>
      </w:pPr>
      <w:r w:rsidRPr="00EE0F75">
        <w:rPr>
          <w:color w:val="000000"/>
          <w:sz w:val="28"/>
          <w:szCs w:val="28"/>
        </w:rPr>
        <w:t>BRAF-мутации</w:t>
      </w:r>
      <w:r w:rsidR="00EE0F75" w:rsidRPr="00EE0F75">
        <w:rPr>
          <w:color w:val="000000"/>
          <w:sz w:val="28"/>
          <w:szCs w:val="28"/>
        </w:rPr>
        <w:t xml:space="preserve"> – широко известная в онкологии группа регуляторов клеточного цикла, характеризующая </w:t>
      </w:r>
      <w:r w:rsidRPr="00EE0F75">
        <w:rPr>
          <w:color w:val="000000"/>
          <w:sz w:val="28"/>
          <w:szCs w:val="28"/>
        </w:rPr>
        <w:t>определенные разновидности глиом:</w:t>
      </w:r>
      <w:r w:rsidR="00EE0F75" w:rsidRPr="00EE0F75">
        <w:rPr>
          <w:sz w:val="28"/>
          <w:szCs w:val="28"/>
        </w:rPr>
        <w:t xml:space="preserve"> </w:t>
      </w:r>
      <w:r w:rsidR="00EE0F75" w:rsidRPr="00EE0F75">
        <w:rPr>
          <w:color w:val="000000"/>
          <w:sz w:val="28"/>
          <w:szCs w:val="28"/>
        </w:rPr>
        <w:t xml:space="preserve">KIAA1549-BRAF слияние </w:t>
      </w:r>
      <w:r w:rsidRPr="00EE0F75">
        <w:rPr>
          <w:color w:val="000000"/>
          <w:sz w:val="28"/>
          <w:szCs w:val="28"/>
        </w:rPr>
        <w:t>наблюдается в 60-</w:t>
      </w:r>
      <w:r w:rsidR="00EE0F75" w:rsidRPr="00EE0F75">
        <w:rPr>
          <w:color w:val="000000"/>
          <w:sz w:val="28"/>
          <w:szCs w:val="28"/>
        </w:rPr>
        <w:t>80% пилоцитарных астроцитом [62]</w:t>
      </w:r>
      <w:r w:rsidRPr="00EE0F75">
        <w:rPr>
          <w:color w:val="000000"/>
          <w:sz w:val="28"/>
          <w:szCs w:val="28"/>
        </w:rPr>
        <w:t xml:space="preserve">. На FISH ее можно обнаружить, </w:t>
      </w:r>
      <w:r w:rsidR="00EE0F75" w:rsidRPr="00EE0F75">
        <w:rPr>
          <w:color w:val="000000"/>
          <w:sz w:val="28"/>
          <w:szCs w:val="28"/>
        </w:rPr>
        <w:t>в виде</w:t>
      </w:r>
      <w:r w:rsidRPr="00EE0F75">
        <w:rPr>
          <w:color w:val="000000"/>
          <w:sz w:val="28"/>
          <w:szCs w:val="28"/>
        </w:rPr>
        <w:t xml:space="preserve"> дублировани</w:t>
      </w:r>
      <w:r w:rsidR="00EE0F75" w:rsidRPr="00EE0F75">
        <w:rPr>
          <w:color w:val="000000"/>
          <w:sz w:val="28"/>
          <w:szCs w:val="28"/>
        </w:rPr>
        <w:t>я 7q34 [5]</w:t>
      </w:r>
      <w:r w:rsidRPr="00EE0F75">
        <w:rPr>
          <w:color w:val="000000"/>
          <w:sz w:val="28"/>
          <w:szCs w:val="28"/>
        </w:rPr>
        <w:t xml:space="preserve">. BRAF V600E встречаются в 60% полиморфных астроцитом, 20% </w:t>
      </w:r>
      <w:r w:rsidRPr="00EE0F75">
        <w:rPr>
          <w:color w:val="000000"/>
          <w:sz w:val="28"/>
          <w:szCs w:val="28"/>
        </w:rPr>
        <w:lastRenderedPageBreak/>
        <w:t xml:space="preserve">ганглиоглиом и 10% </w:t>
      </w:r>
      <w:r w:rsidR="00EE0F75" w:rsidRPr="00EE0F75">
        <w:rPr>
          <w:color w:val="000000"/>
          <w:sz w:val="28"/>
          <w:szCs w:val="28"/>
        </w:rPr>
        <w:t>пилоцитарных астроцитом [63]</w:t>
      </w:r>
      <w:r w:rsidRPr="00EE0F75">
        <w:rPr>
          <w:color w:val="000000"/>
          <w:sz w:val="28"/>
          <w:szCs w:val="28"/>
        </w:rPr>
        <w:t>. В детских low-grade глиомах BRAF V600E свидетельству</w:t>
      </w:r>
      <w:r w:rsidR="00EE0F75" w:rsidRPr="00EE0F75">
        <w:rPr>
          <w:color w:val="000000"/>
          <w:sz w:val="28"/>
          <w:szCs w:val="28"/>
        </w:rPr>
        <w:t>ет о повышении риска рецидива [64]</w:t>
      </w:r>
      <w:r w:rsidRPr="00EE0F75">
        <w:rPr>
          <w:color w:val="000000"/>
          <w:sz w:val="28"/>
          <w:szCs w:val="28"/>
        </w:rPr>
        <w:t>.</w:t>
      </w:r>
      <w:r w:rsidR="00F80DD3">
        <w:rPr>
          <w:color w:val="000000"/>
          <w:sz w:val="28"/>
          <w:szCs w:val="28"/>
        </w:rPr>
        <w:br/>
      </w:r>
      <w:r w:rsidR="00F80DD3">
        <w:rPr>
          <w:color w:val="000000"/>
          <w:sz w:val="28"/>
          <w:szCs w:val="28"/>
          <w:lang w:val="en-US"/>
        </w:rPr>
        <w:t>PDGFR</w:t>
      </w:r>
      <w:r w:rsidR="00F80DD3" w:rsidRPr="00F80DD3">
        <w:rPr>
          <w:color w:val="000000"/>
          <w:sz w:val="28"/>
          <w:szCs w:val="28"/>
        </w:rPr>
        <w:t>-</w:t>
      </w:r>
      <w:r w:rsidR="00F80DD3">
        <w:rPr>
          <w:color w:val="000000"/>
          <w:sz w:val="28"/>
          <w:szCs w:val="28"/>
        </w:rPr>
        <w:t xml:space="preserve">а является рецептором альфа-лиганда гена </w:t>
      </w:r>
      <w:r w:rsidR="00F80DD3">
        <w:rPr>
          <w:color w:val="000000"/>
          <w:sz w:val="28"/>
          <w:szCs w:val="28"/>
          <w:lang w:val="en-US"/>
        </w:rPr>
        <w:t>PDGF</w:t>
      </w:r>
      <w:r w:rsidR="00F80DD3">
        <w:rPr>
          <w:color w:val="000000"/>
          <w:sz w:val="28"/>
          <w:szCs w:val="28"/>
        </w:rPr>
        <w:t xml:space="preserve">, ассоциированного с пролиферацией и клеточным циклом. Данный ген экспрессируется в подавляющем большинстве диффузных астроцитарных опухолей, особенности степени экспрессии с точки зрения прогноза на данный момент не изучены </w:t>
      </w:r>
      <w:r w:rsidR="00F80DD3" w:rsidRPr="00F80DD3">
        <w:rPr>
          <w:color w:val="000000"/>
          <w:sz w:val="28"/>
          <w:szCs w:val="28"/>
        </w:rPr>
        <w:t>[65]</w:t>
      </w:r>
      <w:r w:rsidR="00F80DD3">
        <w:rPr>
          <w:color w:val="000000"/>
          <w:sz w:val="28"/>
          <w:szCs w:val="28"/>
        </w:rPr>
        <w:t>.</w:t>
      </w:r>
    </w:p>
    <w:p w:rsidR="00042AED" w:rsidRPr="00E93B0B" w:rsidRDefault="00C6549F" w:rsidP="005E0D82">
      <w:pPr>
        <w:pStyle w:val="af"/>
        <w:spacing w:before="0" w:beforeAutospacing="0" w:after="0" w:afterAutospacing="0" w:line="360" w:lineRule="auto"/>
        <w:rPr>
          <w:color w:val="000000"/>
          <w:sz w:val="28"/>
          <w:szCs w:val="28"/>
        </w:rPr>
      </w:pPr>
      <w:r>
        <w:rPr>
          <w:color w:val="000000"/>
          <w:sz w:val="28"/>
          <w:szCs w:val="28"/>
        </w:rPr>
        <w:t xml:space="preserve">Широко известна роль факторов роста эндотелия сосудов </w:t>
      </w:r>
      <w:r w:rsidRPr="00C6549F">
        <w:rPr>
          <w:color w:val="000000"/>
          <w:sz w:val="28"/>
          <w:szCs w:val="28"/>
        </w:rPr>
        <w:t>(</w:t>
      </w:r>
      <w:r>
        <w:rPr>
          <w:color w:val="000000"/>
          <w:sz w:val="28"/>
          <w:szCs w:val="28"/>
          <w:lang w:val="en-US"/>
        </w:rPr>
        <w:t>VEGF</w:t>
      </w:r>
      <w:r>
        <w:rPr>
          <w:color w:val="000000"/>
          <w:sz w:val="28"/>
          <w:szCs w:val="28"/>
        </w:rPr>
        <w:t xml:space="preserve">) в патогенезе опухолей, в том числе, глиальных. Последовательность генетических событий, связанных с ангиогенезом, характерна для перехода от </w:t>
      </w:r>
      <w:r>
        <w:rPr>
          <w:color w:val="000000"/>
          <w:sz w:val="28"/>
          <w:szCs w:val="28"/>
          <w:lang w:val="en-US"/>
        </w:rPr>
        <w:t>GII</w:t>
      </w:r>
      <w:r w:rsidRPr="00C6549F">
        <w:rPr>
          <w:color w:val="000000"/>
          <w:sz w:val="28"/>
          <w:szCs w:val="28"/>
        </w:rPr>
        <w:t>-</w:t>
      </w:r>
      <w:r>
        <w:rPr>
          <w:color w:val="000000"/>
          <w:sz w:val="28"/>
          <w:szCs w:val="28"/>
          <w:lang w:val="en-US"/>
        </w:rPr>
        <w:t>III</w:t>
      </w:r>
      <w:r>
        <w:rPr>
          <w:color w:val="000000"/>
          <w:sz w:val="28"/>
          <w:szCs w:val="28"/>
        </w:rPr>
        <w:t xml:space="preserve"> опухолей к </w:t>
      </w:r>
      <w:r>
        <w:rPr>
          <w:color w:val="000000"/>
          <w:sz w:val="28"/>
          <w:szCs w:val="28"/>
          <w:lang w:val="en-US"/>
        </w:rPr>
        <w:t>GIV</w:t>
      </w:r>
      <w:r>
        <w:rPr>
          <w:color w:val="000000"/>
          <w:sz w:val="28"/>
          <w:szCs w:val="28"/>
        </w:rPr>
        <w:t xml:space="preserve">, что отражается в регистрируемой при световой микроскопии пролиферации сосудов и повышении экспрессии гена </w:t>
      </w:r>
      <w:r>
        <w:rPr>
          <w:color w:val="000000"/>
          <w:sz w:val="28"/>
          <w:szCs w:val="28"/>
          <w:lang w:val="en-US"/>
        </w:rPr>
        <w:t>VEGF</w:t>
      </w:r>
      <w:r>
        <w:rPr>
          <w:color w:val="000000"/>
          <w:sz w:val="28"/>
          <w:szCs w:val="28"/>
        </w:rPr>
        <w:t>.</w:t>
      </w:r>
      <w:r w:rsidR="00006240">
        <w:rPr>
          <w:color w:val="000000"/>
          <w:sz w:val="28"/>
          <w:szCs w:val="28"/>
        </w:rPr>
        <w:t xml:space="preserve"> Высокая экспрессия </w:t>
      </w:r>
      <w:r w:rsidR="00006240">
        <w:rPr>
          <w:color w:val="000000"/>
          <w:sz w:val="28"/>
          <w:szCs w:val="28"/>
          <w:lang w:val="en-US"/>
        </w:rPr>
        <w:t>VEGF</w:t>
      </w:r>
      <w:r w:rsidR="00006240">
        <w:rPr>
          <w:color w:val="000000"/>
          <w:sz w:val="28"/>
          <w:szCs w:val="28"/>
        </w:rPr>
        <w:t xml:space="preserve"> ассоциирована с агрессивным течением заболевания и плохим прогнозом, но положительно коррелирует с терапевтическим ответом на специфический ингибитор </w:t>
      </w:r>
      <w:r w:rsidR="00006240">
        <w:rPr>
          <w:color w:val="000000"/>
          <w:sz w:val="28"/>
          <w:szCs w:val="28"/>
          <w:lang w:val="en-US"/>
        </w:rPr>
        <w:t>VEGF</w:t>
      </w:r>
      <w:r w:rsidR="00006240">
        <w:rPr>
          <w:color w:val="000000"/>
          <w:sz w:val="28"/>
          <w:szCs w:val="28"/>
        </w:rPr>
        <w:t xml:space="preserve"> бевацизумаб, активно применяемый в различных областях онкологии.</w:t>
      </w:r>
      <w:r>
        <w:rPr>
          <w:color w:val="000000"/>
          <w:sz w:val="28"/>
          <w:szCs w:val="28"/>
        </w:rPr>
        <w:t xml:space="preserve"> Считается, что физиологический ответ на гипоксию и повышенная транскрипция гена </w:t>
      </w:r>
      <w:r>
        <w:rPr>
          <w:color w:val="000000"/>
          <w:sz w:val="28"/>
          <w:szCs w:val="28"/>
          <w:lang w:val="en-US"/>
        </w:rPr>
        <w:t>VEGF</w:t>
      </w:r>
      <w:r>
        <w:rPr>
          <w:color w:val="000000"/>
          <w:sz w:val="28"/>
          <w:szCs w:val="28"/>
        </w:rPr>
        <w:t xml:space="preserve"> являетс</w:t>
      </w:r>
      <w:r w:rsidR="00006240">
        <w:rPr>
          <w:color w:val="000000"/>
          <w:sz w:val="28"/>
          <w:szCs w:val="28"/>
        </w:rPr>
        <w:t>я одним из ранних факторов онкогенеза</w:t>
      </w:r>
      <w:r>
        <w:rPr>
          <w:color w:val="000000"/>
          <w:sz w:val="28"/>
          <w:szCs w:val="28"/>
        </w:rPr>
        <w:t xml:space="preserve"> </w:t>
      </w:r>
      <w:r w:rsidRPr="00C6549F">
        <w:rPr>
          <w:color w:val="000000"/>
          <w:sz w:val="28"/>
          <w:szCs w:val="28"/>
        </w:rPr>
        <w:t>[69, 70]</w:t>
      </w:r>
      <w:r>
        <w:rPr>
          <w:color w:val="000000"/>
          <w:sz w:val="28"/>
          <w:szCs w:val="28"/>
        </w:rPr>
        <w:t xml:space="preserve">. </w:t>
      </w:r>
      <w:r w:rsidR="00523362">
        <w:rPr>
          <w:color w:val="000000"/>
          <w:sz w:val="28"/>
          <w:szCs w:val="28"/>
        </w:rPr>
        <w:t xml:space="preserve"> </w:t>
      </w:r>
      <w:r w:rsidR="00F80DD3">
        <w:rPr>
          <w:color w:val="000000"/>
          <w:sz w:val="28"/>
          <w:szCs w:val="28"/>
        </w:rPr>
        <w:br/>
      </w:r>
      <w:r w:rsidR="00F80DD3">
        <w:rPr>
          <w:color w:val="000000"/>
          <w:sz w:val="28"/>
          <w:szCs w:val="28"/>
          <w:lang w:val="en-US"/>
        </w:rPr>
        <w:t>MGMT</w:t>
      </w:r>
      <w:r w:rsidR="00F80DD3" w:rsidRPr="00F80DD3">
        <w:rPr>
          <w:color w:val="000000"/>
          <w:sz w:val="28"/>
          <w:szCs w:val="28"/>
        </w:rPr>
        <w:t xml:space="preserve"> </w:t>
      </w:r>
      <w:r w:rsidR="00F80DD3">
        <w:rPr>
          <w:color w:val="000000"/>
          <w:sz w:val="28"/>
          <w:szCs w:val="28"/>
        </w:rPr>
        <w:t xml:space="preserve">(06-метилгуанин-ДНК-метилтрансфераза) – это ген, кодирующий ядерный белок, играющий важную роль в репарации ДНК, вызываемых алкилирующими агентами. Данный ген является геном-супрессором опухолевого роста, его инактивация встречается примерно в 15% случаев </w:t>
      </w:r>
      <w:r w:rsidR="00523362">
        <w:rPr>
          <w:color w:val="000000"/>
          <w:sz w:val="28"/>
          <w:szCs w:val="28"/>
        </w:rPr>
        <w:t xml:space="preserve">злокачественных новообразований человека и 44-59% случаев </w:t>
      </w:r>
      <w:r w:rsidR="00523362">
        <w:rPr>
          <w:color w:val="000000"/>
          <w:sz w:val="28"/>
          <w:szCs w:val="28"/>
          <w:lang w:val="en-US"/>
        </w:rPr>
        <w:t>GIII</w:t>
      </w:r>
      <w:r w:rsidR="00523362">
        <w:rPr>
          <w:color w:val="000000"/>
          <w:sz w:val="28"/>
          <w:szCs w:val="28"/>
        </w:rPr>
        <w:t>-</w:t>
      </w:r>
      <w:r w:rsidR="00523362">
        <w:rPr>
          <w:color w:val="000000"/>
          <w:sz w:val="28"/>
          <w:szCs w:val="28"/>
          <w:lang w:val="en-US"/>
        </w:rPr>
        <w:t>IV</w:t>
      </w:r>
      <w:r w:rsidR="00523362">
        <w:rPr>
          <w:color w:val="000000"/>
          <w:sz w:val="28"/>
          <w:szCs w:val="28"/>
        </w:rPr>
        <w:t xml:space="preserve"> глиом головного мозга </w:t>
      </w:r>
      <w:r w:rsidR="00523362" w:rsidRPr="00523362">
        <w:rPr>
          <w:color w:val="000000"/>
          <w:sz w:val="28"/>
          <w:szCs w:val="28"/>
        </w:rPr>
        <w:t>[66]</w:t>
      </w:r>
      <w:r w:rsidR="00523362">
        <w:rPr>
          <w:color w:val="000000"/>
          <w:sz w:val="28"/>
          <w:szCs w:val="28"/>
        </w:rPr>
        <w:t>.</w:t>
      </w:r>
      <w:r w:rsidR="00523362" w:rsidRPr="00523362">
        <w:rPr>
          <w:color w:val="000000"/>
          <w:sz w:val="28"/>
          <w:szCs w:val="28"/>
        </w:rPr>
        <w:t xml:space="preserve"> </w:t>
      </w:r>
      <w:r w:rsidR="00523362">
        <w:rPr>
          <w:color w:val="000000"/>
          <w:sz w:val="28"/>
          <w:szCs w:val="28"/>
        </w:rPr>
        <w:t xml:space="preserve">Мутация </w:t>
      </w:r>
      <w:r w:rsidR="00523362">
        <w:rPr>
          <w:color w:val="000000"/>
          <w:sz w:val="28"/>
          <w:szCs w:val="28"/>
          <w:lang w:val="en-US"/>
        </w:rPr>
        <w:t>MGMT</w:t>
      </w:r>
      <w:r w:rsidR="00523362" w:rsidRPr="00523362">
        <w:rPr>
          <w:color w:val="000000"/>
          <w:sz w:val="28"/>
          <w:szCs w:val="28"/>
        </w:rPr>
        <w:t xml:space="preserve"> </w:t>
      </w:r>
      <w:r w:rsidR="00523362">
        <w:rPr>
          <w:color w:val="000000"/>
          <w:sz w:val="28"/>
          <w:szCs w:val="28"/>
        </w:rPr>
        <w:t xml:space="preserve">определяет чувствительность опухоли к алкилирующим агентам, в частности, к темозоломиду, активно применяемому в лечении злокачесвенных глиом. Существует корреляция между высоким уровнем экспрессии </w:t>
      </w:r>
      <w:r w:rsidR="00523362">
        <w:rPr>
          <w:color w:val="000000"/>
          <w:sz w:val="28"/>
          <w:szCs w:val="28"/>
          <w:lang w:val="en-US"/>
        </w:rPr>
        <w:t>MGMT</w:t>
      </w:r>
      <w:r w:rsidR="00523362" w:rsidRPr="00523362">
        <w:rPr>
          <w:color w:val="000000"/>
          <w:sz w:val="28"/>
          <w:szCs w:val="28"/>
        </w:rPr>
        <w:t xml:space="preserve"> </w:t>
      </w:r>
      <w:r w:rsidR="00523362">
        <w:rPr>
          <w:color w:val="000000"/>
          <w:sz w:val="28"/>
          <w:szCs w:val="28"/>
        </w:rPr>
        <w:t xml:space="preserve">и низким терапевтическим ответом опухоли на терапию темозоломидом, т.к. в случае интенсивной </w:t>
      </w:r>
      <w:r w:rsidR="00523362" w:rsidRPr="00E93B0B">
        <w:rPr>
          <w:color w:val="000000"/>
          <w:sz w:val="28"/>
          <w:szCs w:val="28"/>
        </w:rPr>
        <w:t xml:space="preserve">экспрессии растут процессы репарации ДНК опухолевых клеток [67]. </w:t>
      </w:r>
      <w:r w:rsidR="00523362" w:rsidRPr="00E93B0B">
        <w:rPr>
          <w:color w:val="000000"/>
          <w:sz w:val="28"/>
          <w:szCs w:val="28"/>
        </w:rPr>
        <w:lastRenderedPageBreak/>
        <w:t xml:space="preserve">Кроме того, есть исследования, согласно которым метилирование </w:t>
      </w:r>
      <w:r w:rsidR="00523362" w:rsidRPr="00E93B0B">
        <w:rPr>
          <w:color w:val="000000"/>
          <w:sz w:val="28"/>
          <w:szCs w:val="28"/>
          <w:lang w:val="en-US"/>
        </w:rPr>
        <w:t>MGMT</w:t>
      </w:r>
      <w:r w:rsidR="00523362" w:rsidRPr="00E93B0B">
        <w:rPr>
          <w:color w:val="000000"/>
          <w:sz w:val="28"/>
          <w:szCs w:val="28"/>
        </w:rPr>
        <w:t xml:space="preserve"> несколько снижает ОВ и повышает риск злокачественной трансформации опухолевых клеток [68].  </w:t>
      </w:r>
    </w:p>
    <w:p w:rsidR="00006240" w:rsidRPr="00E93B0B" w:rsidRDefault="00006240" w:rsidP="005E0D82">
      <w:pPr>
        <w:pStyle w:val="af"/>
        <w:spacing w:before="0" w:beforeAutospacing="0" w:after="0" w:afterAutospacing="0" w:line="360" w:lineRule="auto"/>
        <w:rPr>
          <w:color w:val="000000"/>
          <w:sz w:val="28"/>
          <w:szCs w:val="28"/>
        </w:rPr>
      </w:pPr>
      <w:r w:rsidRPr="00E93B0B">
        <w:rPr>
          <w:color w:val="000000"/>
          <w:sz w:val="28"/>
          <w:szCs w:val="28"/>
          <w:lang w:val="en-US"/>
        </w:rPr>
        <w:t>C</w:t>
      </w:r>
      <w:r w:rsidRPr="00E93B0B">
        <w:rPr>
          <w:color w:val="000000"/>
          <w:sz w:val="28"/>
          <w:szCs w:val="28"/>
        </w:rPr>
        <w:t>-</w:t>
      </w:r>
      <w:r w:rsidRPr="00E93B0B">
        <w:rPr>
          <w:color w:val="000000"/>
          <w:sz w:val="28"/>
          <w:szCs w:val="28"/>
          <w:lang w:val="en-US"/>
        </w:rPr>
        <w:t>kit</w:t>
      </w:r>
      <w:r w:rsidRPr="00E93B0B">
        <w:rPr>
          <w:color w:val="000000"/>
          <w:sz w:val="28"/>
          <w:szCs w:val="28"/>
        </w:rPr>
        <w:t xml:space="preserve"> (</w:t>
      </w:r>
      <w:r w:rsidRPr="00E93B0B">
        <w:rPr>
          <w:color w:val="000000"/>
          <w:sz w:val="28"/>
          <w:szCs w:val="28"/>
          <w:lang w:val="en-US"/>
        </w:rPr>
        <w:t>CD</w:t>
      </w:r>
      <w:r w:rsidRPr="00E93B0B">
        <w:rPr>
          <w:color w:val="000000"/>
          <w:sz w:val="28"/>
          <w:szCs w:val="28"/>
        </w:rPr>
        <w:t xml:space="preserve">117, </w:t>
      </w:r>
      <w:r w:rsidRPr="00E93B0B">
        <w:rPr>
          <w:color w:val="000000"/>
          <w:sz w:val="28"/>
          <w:szCs w:val="28"/>
          <w:lang w:val="en-US"/>
        </w:rPr>
        <w:t>SCFR</w:t>
      </w:r>
      <w:r w:rsidRPr="00E93B0B">
        <w:rPr>
          <w:color w:val="000000"/>
          <w:sz w:val="28"/>
          <w:szCs w:val="28"/>
        </w:rPr>
        <w:t xml:space="preserve">) – это обозначение для мутации в гене </w:t>
      </w:r>
      <w:r w:rsidRPr="00E93B0B">
        <w:rPr>
          <w:color w:val="000000"/>
          <w:sz w:val="28"/>
          <w:szCs w:val="28"/>
          <w:lang w:val="en-US"/>
        </w:rPr>
        <w:t>KIT</w:t>
      </w:r>
      <w:r w:rsidRPr="00E93B0B">
        <w:rPr>
          <w:color w:val="000000"/>
          <w:sz w:val="28"/>
          <w:szCs w:val="28"/>
        </w:rPr>
        <w:t xml:space="preserve">, рецепторе тирозинкиназы, играющем ведущую роль в клеточном росте и пролиферации. Наиболее часто данная мутация встречается в гастроинтестинальных стромальных опухолях, меланоме, костном мозге реже – в опухолях ЦНС [71]. Мутация </w:t>
      </w:r>
      <w:r w:rsidRPr="00E93B0B">
        <w:rPr>
          <w:color w:val="000000"/>
          <w:sz w:val="28"/>
          <w:szCs w:val="28"/>
          <w:lang w:val="en-US"/>
        </w:rPr>
        <w:t>c</w:t>
      </w:r>
      <w:r w:rsidRPr="00E93B0B">
        <w:rPr>
          <w:color w:val="000000"/>
          <w:sz w:val="28"/>
          <w:szCs w:val="28"/>
        </w:rPr>
        <w:t>-</w:t>
      </w:r>
      <w:r w:rsidRPr="00E93B0B">
        <w:rPr>
          <w:color w:val="000000"/>
          <w:sz w:val="28"/>
          <w:szCs w:val="28"/>
          <w:lang w:val="en-US"/>
        </w:rPr>
        <w:t>kit</w:t>
      </w:r>
      <w:r w:rsidRPr="00E93B0B">
        <w:rPr>
          <w:color w:val="000000"/>
          <w:sz w:val="28"/>
          <w:szCs w:val="28"/>
        </w:rPr>
        <w:t xml:space="preserve"> является маркером терапевтического ответа на ингибитор </w:t>
      </w:r>
      <w:r w:rsidRPr="00E93B0B">
        <w:rPr>
          <w:color w:val="000000"/>
          <w:sz w:val="28"/>
          <w:szCs w:val="28"/>
          <w:lang w:val="en-US"/>
        </w:rPr>
        <w:t>CD</w:t>
      </w:r>
      <w:r w:rsidRPr="00E93B0B">
        <w:rPr>
          <w:color w:val="000000"/>
          <w:sz w:val="28"/>
          <w:szCs w:val="28"/>
        </w:rPr>
        <w:t xml:space="preserve">117 иматиниб, применяемый при остром миелоидном лейкозе и меланоме. </w:t>
      </w:r>
      <w:r w:rsidR="00E93B0B" w:rsidRPr="00E93B0B">
        <w:rPr>
          <w:color w:val="000000"/>
          <w:sz w:val="28"/>
          <w:szCs w:val="28"/>
        </w:rPr>
        <w:t>Крупных исследований эффекта терапии иматинибом при глиомах головного мозга не проводилось.</w:t>
      </w:r>
    </w:p>
    <w:p w:rsidR="00E93B0B" w:rsidRDefault="00E93B0B" w:rsidP="005E0D82">
      <w:pPr>
        <w:pStyle w:val="af"/>
        <w:spacing w:before="0" w:beforeAutospacing="0" w:after="0" w:afterAutospacing="0" w:line="360" w:lineRule="auto"/>
        <w:rPr>
          <w:color w:val="333333"/>
          <w:sz w:val="28"/>
          <w:szCs w:val="28"/>
          <w:shd w:val="clear" w:color="auto" w:fill="FFFFFF"/>
        </w:rPr>
      </w:pPr>
      <w:r w:rsidRPr="00E93B0B">
        <w:rPr>
          <w:color w:val="333333"/>
          <w:sz w:val="28"/>
          <w:szCs w:val="28"/>
          <w:shd w:val="clear" w:color="auto" w:fill="FFFFFF"/>
        </w:rPr>
        <w:t xml:space="preserve">β-тубулин – один из структурных белков микротрубочек всех соматических клеток, являющийся мишенью для противоопухолевых препаратов (доцетаксел, паклитаксел, винкристин). Высокая экспрессия β-тубулина характерна для многих опухолей и ассоциирована с высокой стабильностью клеточного аппарата новообразования и недостаточным ответом на многие химиотерапевтические агенты [72]. </w:t>
      </w:r>
    </w:p>
    <w:p w:rsidR="00E93B0B" w:rsidRDefault="00E93B0B" w:rsidP="005E0D82">
      <w:pPr>
        <w:pStyle w:val="2"/>
        <w:numPr>
          <w:ilvl w:val="1"/>
          <w:numId w:val="29"/>
        </w:numPr>
        <w:spacing w:line="360" w:lineRule="auto"/>
        <w:rPr>
          <w:b/>
          <w:bCs w:val="0"/>
        </w:rPr>
      </w:pPr>
      <w:bookmarkStart w:id="29" w:name="_Toc9250599"/>
      <w:r w:rsidRPr="00E93B0B">
        <w:rPr>
          <w:b/>
          <w:bCs w:val="0"/>
        </w:rPr>
        <w:t>Злокачественная трансформация нейроэпителиальных опухолей</w:t>
      </w:r>
      <w:bookmarkEnd w:id="29"/>
    </w:p>
    <w:p w:rsidR="00DD6C05" w:rsidRPr="007E3983" w:rsidRDefault="00A1619B" w:rsidP="005E0D82">
      <w:pPr>
        <w:shd w:val="clear" w:color="auto" w:fill="FFFFFF"/>
        <w:spacing w:line="360" w:lineRule="auto"/>
        <w:rPr>
          <w:rFonts w:ascii="Times New Roman" w:eastAsia="MS Mincho" w:hAnsi="Times New Roman" w:cs="Times New Roman"/>
          <w:sz w:val="28"/>
          <w:szCs w:val="28"/>
        </w:rPr>
      </w:pPr>
      <w:r w:rsidRPr="007E3983">
        <w:rPr>
          <w:rFonts w:ascii="Times New Roman" w:hAnsi="Times New Roman" w:cs="Times New Roman"/>
          <w:sz w:val="28"/>
          <w:szCs w:val="28"/>
        </w:rPr>
        <w:t>Под злокачественной трансформацией глиальной опухоли подразумевается прогрессия низкозлокачественной (</w:t>
      </w:r>
      <w:r w:rsidRPr="007E3983">
        <w:rPr>
          <w:rFonts w:ascii="Times New Roman" w:hAnsi="Times New Roman" w:cs="Times New Roman"/>
          <w:sz w:val="28"/>
          <w:szCs w:val="28"/>
          <w:lang w:val="en-US"/>
        </w:rPr>
        <w:t>GI</w:t>
      </w:r>
      <w:r w:rsidRPr="007E3983">
        <w:rPr>
          <w:rFonts w:ascii="Times New Roman" w:hAnsi="Times New Roman" w:cs="Times New Roman"/>
          <w:sz w:val="28"/>
          <w:szCs w:val="28"/>
        </w:rPr>
        <w:t>-</w:t>
      </w:r>
      <w:r w:rsidRPr="007E3983">
        <w:rPr>
          <w:rFonts w:ascii="Times New Roman" w:hAnsi="Times New Roman" w:cs="Times New Roman"/>
          <w:sz w:val="28"/>
          <w:szCs w:val="28"/>
          <w:lang w:val="en-US"/>
        </w:rPr>
        <w:t>II</w:t>
      </w:r>
      <w:r w:rsidRPr="007E3983">
        <w:rPr>
          <w:rFonts w:ascii="Times New Roman" w:hAnsi="Times New Roman" w:cs="Times New Roman"/>
          <w:sz w:val="28"/>
          <w:szCs w:val="28"/>
        </w:rPr>
        <w:t>) глиомы в высокозлокачественную (</w:t>
      </w:r>
      <w:r w:rsidRPr="007E3983">
        <w:rPr>
          <w:rFonts w:ascii="Times New Roman" w:hAnsi="Times New Roman" w:cs="Times New Roman"/>
          <w:sz w:val="28"/>
          <w:szCs w:val="28"/>
          <w:lang w:val="en-US"/>
        </w:rPr>
        <w:t>GIII</w:t>
      </w:r>
      <w:r w:rsidRPr="007E3983">
        <w:rPr>
          <w:rFonts w:ascii="Times New Roman" w:hAnsi="Times New Roman" w:cs="Times New Roman"/>
          <w:sz w:val="28"/>
          <w:szCs w:val="28"/>
        </w:rPr>
        <w:t>-</w:t>
      </w:r>
      <w:r w:rsidRPr="007E3983">
        <w:rPr>
          <w:rFonts w:ascii="Times New Roman" w:hAnsi="Times New Roman" w:cs="Times New Roman"/>
          <w:sz w:val="28"/>
          <w:szCs w:val="28"/>
          <w:lang w:val="en-US"/>
        </w:rPr>
        <w:t>IV</w:t>
      </w:r>
      <w:r w:rsidRPr="007E3983">
        <w:rPr>
          <w:rFonts w:ascii="Times New Roman" w:hAnsi="Times New Roman" w:cs="Times New Roman"/>
          <w:sz w:val="28"/>
          <w:szCs w:val="28"/>
        </w:rPr>
        <w:t xml:space="preserve">), согласно классификации ВОЗ. Злокачественной трансформации со временем подвергается больше половины </w:t>
      </w:r>
      <w:r w:rsidRPr="007E3983">
        <w:rPr>
          <w:rFonts w:ascii="Times New Roman" w:hAnsi="Times New Roman" w:cs="Times New Roman"/>
          <w:sz w:val="28"/>
          <w:szCs w:val="28"/>
          <w:lang w:val="en-US"/>
        </w:rPr>
        <w:t>GII</w:t>
      </w:r>
      <w:r w:rsidRPr="007E3983">
        <w:rPr>
          <w:rFonts w:ascii="Times New Roman" w:hAnsi="Times New Roman" w:cs="Times New Roman"/>
          <w:sz w:val="28"/>
          <w:szCs w:val="28"/>
        </w:rPr>
        <w:t xml:space="preserve"> опухолей, при этом по данным </w:t>
      </w:r>
      <w:r w:rsidRPr="007E3983">
        <w:rPr>
          <w:rFonts w:ascii="Times New Roman" w:eastAsia="MS Mincho" w:hAnsi="Times New Roman" w:cs="Times New Roman"/>
          <w:sz w:val="28"/>
          <w:szCs w:val="28"/>
        </w:rPr>
        <w:t xml:space="preserve">литературы частота этого процесса значительно отличается и составляет от 20 до 72% </w:t>
      </w:r>
      <w:r w:rsidRPr="007E3983">
        <w:rPr>
          <w:rFonts w:ascii="Times New Roman" w:hAnsi="Times New Roman" w:cs="Times New Roman"/>
          <w:sz w:val="28"/>
          <w:szCs w:val="28"/>
        </w:rPr>
        <w:t xml:space="preserve">с медианой времени до злокачественного перерождения опухоли от 2,7 до 5,4 лет [73-76]. </w:t>
      </w:r>
      <w:r w:rsidR="00B70040" w:rsidRPr="007E3983">
        <w:rPr>
          <w:rFonts w:ascii="Times New Roman" w:hAnsi="Times New Roman" w:cs="Times New Roman"/>
          <w:sz w:val="28"/>
          <w:szCs w:val="28"/>
        </w:rPr>
        <w:t xml:space="preserve">Подобная разница в цифрах отчасти может быть связана и с отсутствием единого метода диагностики момента наступления трансформации. В части работ исследователи справедливо опирались на результаты повторной биопсии с пересмотром гистологических </w:t>
      </w:r>
      <w:r w:rsidR="00B70040" w:rsidRPr="007E3983">
        <w:rPr>
          <w:rFonts w:ascii="Times New Roman" w:hAnsi="Times New Roman" w:cs="Times New Roman"/>
          <w:sz w:val="28"/>
          <w:szCs w:val="28"/>
        </w:rPr>
        <w:lastRenderedPageBreak/>
        <w:t>препаратов от второй операции, в других авторы ориентировались только на изменения в опухоли по данным КТ и МРТ. Кроме этого в некоторых публикациях подчеркивается важность признаков, которые могут играть определенную прогностическую роль, как то: возраст, размер опухоли, распространение ее на противоположное полушарие, степень циторедукции, присутствие «астроцитарного» компонента в опухоли по гистологическому заключению, наличие неврологического дефицита [</w:t>
      </w:r>
      <w:r w:rsidR="00B70040" w:rsidRPr="007E3983">
        <w:rPr>
          <w:rFonts w:ascii="Times New Roman" w:eastAsia="Times New Roman" w:hAnsi="Times New Roman" w:cs="Times New Roman"/>
          <w:sz w:val="28"/>
          <w:szCs w:val="28"/>
        </w:rPr>
        <w:t xml:space="preserve">73, 77]. Причем некоторые из этих признаков больше влияют на безрецидивный период, а другие на общую выживаемость [77]. </w:t>
      </w:r>
      <w:r w:rsidR="00B70040" w:rsidRPr="007E3983">
        <w:rPr>
          <w:rFonts w:ascii="Times New Roman" w:eastAsia="MS Mincho" w:hAnsi="Times New Roman" w:cs="Times New Roman"/>
          <w:sz w:val="28"/>
          <w:szCs w:val="28"/>
        </w:rPr>
        <w:t>В части исследований наличие «асторцитарного» компонента в опухоли признается прогностически неблагоприятным признаком для злокачественной трансформации, в другой - нет [</w:t>
      </w:r>
      <w:r w:rsidR="00B70040" w:rsidRPr="007E3983">
        <w:rPr>
          <w:rFonts w:ascii="Times New Roman" w:eastAsia="Times New Roman" w:hAnsi="Times New Roman" w:cs="Times New Roman"/>
          <w:sz w:val="28"/>
          <w:szCs w:val="28"/>
        </w:rPr>
        <w:t xml:space="preserve">73, 74, 78]. </w:t>
      </w:r>
      <w:r w:rsidR="00B70040" w:rsidRPr="007E3983">
        <w:rPr>
          <w:rFonts w:ascii="Times New Roman" w:hAnsi="Times New Roman" w:cs="Times New Roman"/>
          <w:sz w:val="28"/>
          <w:szCs w:val="28"/>
        </w:rPr>
        <w:t xml:space="preserve">К сожалению, не во всех исследованиях размер опухоли рассматривался как один из ключевых факторов на пути к анапластической трансформации опухоли, который косвенно является показателем «давности» заболевания принимая во внимание быстроту истинного роста доброкачественной глиомы </w:t>
      </w:r>
      <w:r w:rsidR="00B70040" w:rsidRPr="007E3983">
        <w:rPr>
          <w:rFonts w:ascii="Times New Roman" w:eastAsia="MS Mincho" w:hAnsi="Times New Roman" w:cs="Times New Roman"/>
          <w:sz w:val="28"/>
          <w:szCs w:val="28"/>
        </w:rPr>
        <w:t>[</w:t>
      </w:r>
      <w:r w:rsidR="00B70040" w:rsidRPr="007E3983">
        <w:rPr>
          <w:rFonts w:ascii="Times New Roman" w:eastAsia="Times New Roman" w:hAnsi="Times New Roman" w:cs="Times New Roman"/>
          <w:sz w:val="28"/>
          <w:szCs w:val="28"/>
        </w:rPr>
        <w:t>73].</w:t>
      </w:r>
      <w:r w:rsidR="007E3983">
        <w:rPr>
          <w:rFonts w:ascii="Times New Roman" w:eastAsia="Times New Roman" w:hAnsi="Times New Roman" w:cs="Times New Roman"/>
          <w:sz w:val="28"/>
          <w:szCs w:val="28"/>
        </w:rPr>
        <w:br/>
      </w:r>
      <w:r w:rsidR="00B70040" w:rsidRPr="007E3983">
        <w:rPr>
          <w:rFonts w:ascii="Times New Roman" w:eastAsia="Times New Roman" w:hAnsi="Times New Roman" w:cs="Times New Roman"/>
          <w:sz w:val="28"/>
          <w:szCs w:val="28"/>
        </w:rPr>
        <w:t>Изучается влияние ЛТ и ХТ на частоту и скорость возникновения злокачественной трансформации опухоли. Так в части исследований для ЛТ подобная зависимость не была выявлена [</w:t>
      </w:r>
      <w:r w:rsidR="00B70040" w:rsidRPr="007E3983">
        <w:rPr>
          <w:rFonts w:ascii="Times New Roman" w:hAnsi="Times New Roman" w:cs="Times New Roman"/>
          <w:sz w:val="28"/>
          <w:szCs w:val="28"/>
        </w:rPr>
        <w:t xml:space="preserve">75, 76] </w:t>
      </w:r>
      <w:r w:rsidR="00B70040" w:rsidRPr="007E3983">
        <w:rPr>
          <w:rFonts w:ascii="Times New Roman" w:eastAsia="Times New Roman" w:hAnsi="Times New Roman" w:cs="Times New Roman"/>
          <w:sz w:val="28"/>
          <w:szCs w:val="28"/>
        </w:rPr>
        <w:t>в отличие от ХТ препаратами алкильной группы. Существует мнение, что ХТ темозоломидом способствует появлению в опухоли драйверных мутаций, которые приводят к злокачественной трансформации опухоли [</w:t>
      </w:r>
      <w:r w:rsidR="00B70040" w:rsidRPr="007E3983">
        <w:rPr>
          <w:rFonts w:ascii="Times New Roman" w:hAnsi="Times New Roman" w:cs="Times New Roman"/>
          <w:sz w:val="28"/>
          <w:szCs w:val="28"/>
        </w:rPr>
        <w:t>79]. С другой стороны, назначение комбинированной терапии (ЛТ+ХТ) пациентам с высоким риском развития рецидива способствует увеличению медианы безрецидивной, и/или общей выживаемости при назначении или темозоломида, или PCV в качестве адьювантного лечения [</w:t>
      </w:r>
      <w:r w:rsidR="007E3983" w:rsidRPr="007E3983">
        <w:rPr>
          <w:rFonts w:ascii="Times New Roman" w:eastAsia="Times New Roman" w:hAnsi="Times New Roman" w:cs="Times New Roman"/>
          <w:sz w:val="28"/>
          <w:szCs w:val="28"/>
        </w:rPr>
        <w:t>80, 81].</w:t>
      </w:r>
      <w:r w:rsidR="00B70040" w:rsidRPr="007E3983">
        <w:rPr>
          <w:rFonts w:ascii="Times New Roman" w:eastAsia="Times New Roman" w:hAnsi="Times New Roman" w:cs="Times New Roman"/>
          <w:sz w:val="28"/>
          <w:szCs w:val="28"/>
          <w:lang w:val="en-US"/>
        </w:rPr>
        <w:t> </w:t>
      </w:r>
      <w:r w:rsidR="00B70040" w:rsidRPr="007E3983">
        <w:rPr>
          <w:rFonts w:ascii="Times New Roman" w:hAnsi="Times New Roman" w:cs="Times New Roman"/>
          <w:sz w:val="28"/>
          <w:szCs w:val="28"/>
        </w:rPr>
        <w:t xml:space="preserve">Что касается влияния мутаций в генах </w:t>
      </w:r>
      <w:r w:rsidR="00B70040" w:rsidRPr="007E3983">
        <w:rPr>
          <w:rFonts w:ascii="Times New Roman" w:hAnsi="Times New Roman" w:cs="Times New Roman"/>
          <w:sz w:val="28"/>
          <w:szCs w:val="28"/>
          <w:lang w:val="en-US"/>
        </w:rPr>
        <w:t>IDH</w:t>
      </w:r>
      <w:r w:rsidR="00B70040" w:rsidRPr="007E3983">
        <w:rPr>
          <w:rFonts w:ascii="Times New Roman" w:hAnsi="Times New Roman" w:cs="Times New Roman"/>
          <w:sz w:val="28"/>
          <w:szCs w:val="28"/>
        </w:rPr>
        <w:t xml:space="preserve">1/2 на риски злокачественной трансформации, то при однофакторном анализе наличие данной мутации способствовало более низкому риску смерти (р=0,0023) с одной стороны и статистически незначимому риску злокачественной трансформации </w:t>
      </w:r>
      <w:r w:rsidR="00B70040" w:rsidRPr="007E3983">
        <w:rPr>
          <w:rFonts w:ascii="Times New Roman" w:hAnsi="Times New Roman" w:cs="Times New Roman"/>
          <w:sz w:val="28"/>
          <w:szCs w:val="28"/>
        </w:rPr>
        <w:lastRenderedPageBreak/>
        <w:t>(р=0.17) [</w:t>
      </w:r>
      <w:r w:rsidR="00B70040" w:rsidRPr="007E3983">
        <w:rPr>
          <w:rFonts w:ascii="Times New Roman" w:eastAsia="Times New Roman" w:hAnsi="Times New Roman" w:cs="Times New Roman"/>
          <w:sz w:val="28"/>
          <w:szCs w:val="28"/>
        </w:rPr>
        <w:t>68]</w:t>
      </w:r>
      <w:r w:rsidR="00B70040" w:rsidRPr="007E3983">
        <w:rPr>
          <w:rFonts w:ascii="Times New Roman" w:hAnsi="Times New Roman" w:cs="Times New Roman"/>
          <w:sz w:val="28"/>
          <w:szCs w:val="28"/>
        </w:rPr>
        <w:t xml:space="preserve">. И только при совместном присутствии в опухоли мутации в генах </w:t>
      </w:r>
      <w:r w:rsidR="00B70040" w:rsidRPr="007E3983">
        <w:rPr>
          <w:rFonts w:ascii="Times New Roman" w:hAnsi="Times New Roman" w:cs="Times New Roman"/>
          <w:sz w:val="28"/>
          <w:szCs w:val="28"/>
          <w:lang w:val="en-US"/>
        </w:rPr>
        <w:t>IDH</w:t>
      </w:r>
      <w:r w:rsidR="00B70040" w:rsidRPr="007E3983">
        <w:rPr>
          <w:rFonts w:ascii="Times New Roman" w:hAnsi="Times New Roman" w:cs="Times New Roman"/>
          <w:sz w:val="28"/>
          <w:szCs w:val="28"/>
        </w:rPr>
        <w:t xml:space="preserve">1/2 и метилированного промотора гена MGMT с мутацией в гене P53 данный молекулярный профиль опухоли имел значительно более высокие риски анапластической трансформации, чем при отсутствии данной мутации в гене </w:t>
      </w:r>
      <w:r w:rsidR="00B70040" w:rsidRPr="007E3983">
        <w:rPr>
          <w:rFonts w:ascii="Times New Roman" w:hAnsi="Times New Roman" w:cs="Times New Roman"/>
          <w:sz w:val="28"/>
          <w:szCs w:val="28"/>
          <w:lang w:val="en-US"/>
        </w:rPr>
        <w:t>IDH</w:t>
      </w:r>
      <w:r w:rsidR="00B70040" w:rsidRPr="007E3983">
        <w:rPr>
          <w:rFonts w:ascii="Times New Roman" w:hAnsi="Times New Roman" w:cs="Times New Roman"/>
          <w:sz w:val="28"/>
          <w:szCs w:val="28"/>
        </w:rPr>
        <w:t>1/2 [</w:t>
      </w:r>
      <w:r w:rsidR="00B70040" w:rsidRPr="007E3983">
        <w:rPr>
          <w:rFonts w:ascii="Times New Roman" w:eastAsia="Times New Roman" w:hAnsi="Times New Roman" w:cs="Times New Roman"/>
          <w:sz w:val="28"/>
          <w:szCs w:val="28"/>
        </w:rPr>
        <w:t>68]</w:t>
      </w:r>
      <w:r w:rsidR="00B70040" w:rsidRPr="007E3983">
        <w:rPr>
          <w:rFonts w:ascii="Times New Roman" w:hAnsi="Times New Roman" w:cs="Times New Roman"/>
          <w:sz w:val="28"/>
          <w:szCs w:val="28"/>
        </w:rPr>
        <w:t xml:space="preserve">. Любопытно то, что опухоли с </w:t>
      </w:r>
      <w:r w:rsidR="00B70040" w:rsidRPr="007E3983">
        <w:rPr>
          <w:rFonts w:ascii="Times New Roman" w:hAnsi="Times New Roman" w:cs="Times New Roman"/>
          <w:sz w:val="28"/>
          <w:szCs w:val="28"/>
          <w:lang w:val="en-US"/>
        </w:rPr>
        <w:t>IDH</w:t>
      </w:r>
      <w:r w:rsidR="00B70040" w:rsidRPr="007E3983">
        <w:rPr>
          <w:rFonts w:ascii="Times New Roman" w:hAnsi="Times New Roman" w:cs="Times New Roman"/>
          <w:sz w:val="28"/>
          <w:szCs w:val="28"/>
        </w:rPr>
        <w:t xml:space="preserve"> мутацией значительно чаще (в 3,5 раза) трансформируются в опухоли с анаплазией </w:t>
      </w:r>
      <w:r w:rsidR="00B70040" w:rsidRPr="007E3983">
        <w:rPr>
          <w:rFonts w:ascii="Times New Roman" w:hAnsi="Times New Roman" w:cs="Times New Roman"/>
          <w:sz w:val="28"/>
          <w:szCs w:val="28"/>
          <w:lang w:val="en-US"/>
        </w:rPr>
        <w:t>GIII</w:t>
      </w:r>
      <w:r w:rsidR="00B70040" w:rsidRPr="007E3983">
        <w:rPr>
          <w:rFonts w:ascii="Times New Roman" w:hAnsi="Times New Roman" w:cs="Times New Roman"/>
          <w:sz w:val="28"/>
          <w:szCs w:val="28"/>
        </w:rPr>
        <w:t>, нежели во вторичную ГБ</w:t>
      </w:r>
      <w:r w:rsidR="00B70040" w:rsidRPr="007E3983">
        <w:rPr>
          <w:rFonts w:ascii="Times New Roman" w:hAnsi="Times New Roman" w:cs="Times New Roman"/>
          <w:sz w:val="28"/>
          <w:szCs w:val="28"/>
          <w:lang w:val="en-US"/>
        </w:rPr>
        <w:t>GIV</w:t>
      </w:r>
      <w:r w:rsidR="00B70040" w:rsidRPr="007E3983">
        <w:rPr>
          <w:rFonts w:ascii="Times New Roman" w:hAnsi="Times New Roman" w:cs="Times New Roman"/>
          <w:sz w:val="28"/>
          <w:szCs w:val="28"/>
        </w:rPr>
        <w:t>, в случаях отсутствия данной мутации, подобной зависимости выявлено не было [</w:t>
      </w:r>
      <w:r w:rsidR="00B70040" w:rsidRPr="007E3983">
        <w:rPr>
          <w:rFonts w:ascii="Times New Roman" w:eastAsia="Times New Roman" w:hAnsi="Times New Roman" w:cs="Times New Roman"/>
          <w:sz w:val="28"/>
          <w:szCs w:val="28"/>
        </w:rPr>
        <w:t xml:space="preserve">68]. </w:t>
      </w:r>
      <w:r w:rsidR="00B70040" w:rsidRPr="007E3983">
        <w:rPr>
          <w:rFonts w:ascii="Times New Roman" w:eastAsia="MS Mincho" w:hAnsi="Times New Roman" w:cs="Times New Roman"/>
          <w:sz w:val="28"/>
          <w:szCs w:val="28"/>
        </w:rPr>
        <w:t>Подавляющее большинство исследований по доброкачественным астроцитомам сконцентрированы на общей и безрецидивной выживаемости, а также выделении групп риска развития рецидива и крайне редко освещается частот</w:t>
      </w:r>
      <w:r w:rsidR="007E3983" w:rsidRPr="007E3983">
        <w:rPr>
          <w:rFonts w:ascii="Times New Roman" w:eastAsia="MS Mincho" w:hAnsi="Times New Roman" w:cs="Times New Roman"/>
          <w:sz w:val="28"/>
          <w:szCs w:val="28"/>
        </w:rPr>
        <w:t>а злокачественной трансформации.</w:t>
      </w:r>
      <w:r w:rsidR="007E3983">
        <w:rPr>
          <w:rFonts w:ascii="Times New Roman" w:eastAsia="MS Mincho" w:hAnsi="Times New Roman" w:cs="Times New Roman"/>
          <w:sz w:val="28"/>
          <w:szCs w:val="28"/>
        </w:rPr>
        <w:br/>
        <w:t>Ниже представлена сводная таблица исследований, посвященных злокачественной трансформации, с указанием основных критериев анапластического перерождения (табл. 11).</w:t>
      </w:r>
    </w:p>
    <w:p w:rsidR="00DD6C05" w:rsidRDefault="00DD6C05" w:rsidP="005E0D82">
      <w:pPr>
        <w:pStyle w:val="ae"/>
        <w:keepNext/>
        <w:spacing w:line="360" w:lineRule="auto"/>
      </w:pPr>
      <w:r>
        <w:t xml:space="preserve">Таблица </w:t>
      </w:r>
      <w:fldSimple w:instr=" SEQ Таблица \* ARABIC ">
        <w:r>
          <w:rPr>
            <w:noProof/>
          </w:rPr>
          <w:t>1</w:t>
        </w:r>
      </w:fldSimple>
      <w:r>
        <w:t>1. Сводная таблица исследований, посвященных злокачественной трансформации глиом головного мозга</w:t>
      </w:r>
    </w:p>
    <w:tbl>
      <w:tblPr>
        <w:tblStyle w:val="a4"/>
        <w:tblW w:w="10031" w:type="dxa"/>
        <w:tblLook w:val="04A0" w:firstRow="1" w:lastRow="0" w:firstColumn="1" w:lastColumn="0" w:noHBand="0" w:noVBand="1"/>
      </w:tblPr>
      <w:tblGrid>
        <w:gridCol w:w="1467"/>
        <w:gridCol w:w="1510"/>
        <w:gridCol w:w="959"/>
        <w:gridCol w:w="6095"/>
      </w:tblGrid>
      <w:tr w:rsidR="00B13672" w:rsidRPr="00C25FC0" w:rsidTr="00960063">
        <w:tc>
          <w:tcPr>
            <w:tcW w:w="1467" w:type="dxa"/>
          </w:tcPr>
          <w:p w:rsidR="00B13672" w:rsidRPr="00C25FC0" w:rsidRDefault="00B13672" w:rsidP="005E0D82">
            <w:pPr>
              <w:spacing w:line="360" w:lineRule="auto"/>
              <w:rPr>
                <w:rFonts w:ascii="Times New Roman" w:eastAsia="MS Mincho" w:hAnsi="Times New Roman" w:cs="Times New Roman"/>
                <w:b/>
                <w:bCs/>
              </w:rPr>
            </w:pPr>
            <w:r w:rsidRPr="00C25FC0">
              <w:rPr>
                <w:rFonts w:ascii="Times New Roman" w:eastAsia="MS Mincho" w:hAnsi="Times New Roman" w:cs="Times New Roman"/>
                <w:b/>
                <w:bCs/>
              </w:rPr>
              <w:t>Публикация</w:t>
            </w:r>
          </w:p>
        </w:tc>
        <w:tc>
          <w:tcPr>
            <w:tcW w:w="1510" w:type="dxa"/>
          </w:tcPr>
          <w:p w:rsidR="00B13672" w:rsidRPr="00C25FC0" w:rsidRDefault="00B13672" w:rsidP="005E0D82">
            <w:pPr>
              <w:spacing w:line="360" w:lineRule="auto"/>
              <w:rPr>
                <w:rFonts w:ascii="Times New Roman" w:hAnsi="Times New Roman" w:cs="Times New Roman"/>
                <w:b/>
                <w:bCs/>
              </w:rPr>
            </w:pPr>
            <w:r w:rsidRPr="00C25FC0">
              <w:rPr>
                <w:rFonts w:ascii="Times New Roman" w:hAnsi="Times New Roman" w:cs="Times New Roman"/>
                <w:b/>
                <w:bCs/>
              </w:rPr>
              <w:t>Число пациентов</w:t>
            </w:r>
          </w:p>
        </w:tc>
        <w:tc>
          <w:tcPr>
            <w:tcW w:w="959" w:type="dxa"/>
          </w:tcPr>
          <w:p w:rsidR="00B13672" w:rsidRPr="00C25FC0" w:rsidRDefault="00B13672" w:rsidP="005E0D82">
            <w:pPr>
              <w:spacing w:line="360" w:lineRule="auto"/>
              <w:rPr>
                <w:rFonts w:ascii="Times New Roman" w:hAnsi="Times New Roman" w:cs="Times New Roman"/>
                <w:b/>
                <w:bCs/>
              </w:rPr>
            </w:pPr>
            <w:r w:rsidRPr="00C25FC0">
              <w:rPr>
                <w:rFonts w:ascii="Times New Roman" w:hAnsi="Times New Roman" w:cs="Times New Roman"/>
                <w:b/>
                <w:bCs/>
              </w:rPr>
              <w:t>ЗТ (%)</w:t>
            </w:r>
          </w:p>
        </w:tc>
        <w:tc>
          <w:tcPr>
            <w:tcW w:w="6095" w:type="dxa"/>
          </w:tcPr>
          <w:p w:rsidR="00B13672" w:rsidRPr="00C25FC0" w:rsidRDefault="00B13672" w:rsidP="005E0D82">
            <w:pPr>
              <w:spacing w:line="360" w:lineRule="auto"/>
              <w:rPr>
                <w:rFonts w:ascii="Times New Roman" w:eastAsia="MS Mincho" w:hAnsi="Times New Roman" w:cs="Times New Roman"/>
                <w:b/>
                <w:bCs/>
              </w:rPr>
            </w:pPr>
            <w:r w:rsidRPr="00C25FC0">
              <w:rPr>
                <w:rFonts w:ascii="Times New Roman" w:eastAsia="MS Mincho" w:hAnsi="Times New Roman" w:cs="Times New Roman"/>
                <w:b/>
                <w:bCs/>
              </w:rPr>
              <w:t>Факторы, способствующие ЗТ</w:t>
            </w:r>
          </w:p>
        </w:tc>
      </w:tr>
      <w:tr w:rsidR="00B13672" w:rsidRPr="00C25FC0" w:rsidTr="00960063">
        <w:tc>
          <w:tcPr>
            <w:tcW w:w="1467" w:type="dxa"/>
          </w:tcPr>
          <w:p w:rsidR="00B13672" w:rsidRPr="00C25FC0" w:rsidRDefault="00C25FC0" w:rsidP="005E0D82">
            <w:pPr>
              <w:spacing w:line="360" w:lineRule="auto"/>
              <w:rPr>
                <w:rFonts w:ascii="Times New Roman" w:eastAsia="MS Mincho" w:hAnsi="Times New Roman" w:cs="Times New Roman"/>
                <w:lang w:val="en-US"/>
              </w:rPr>
            </w:pPr>
            <w:r w:rsidRPr="00C25FC0">
              <w:rPr>
                <w:rFonts w:ascii="Times New Roman" w:hAnsi="Times New Roman" w:cs="Times New Roman"/>
                <w:lang w:val="en-US"/>
              </w:rPr>
              <w:t xml:space="preserve">Kamasak K., Ekici M.A., Gocmez C.,  et al. </w:t>
            </w:r>
            <w:r w:rsidR="00B13672" w:rsidRPr="00C25FC0">
              <w:rPr>
                <w:rFonts w:ascii="Times New Roman" w:eastAsia="MS Mincho" w:hAnsi="Times New Roman" w:cs="Times New Roman"/>
                <w:lang w:val="en-US"/>
              </w:rPr>
              <w:t>[82]</w:t>
            </w:r>
          </w:p>
        </w:tc>
        <w:tc>
          <w:tcPr>
            <w:tcW w:w="1510"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67</w:t>
            </w:r>
          </w:p>
        </w:tc>
        <w:tc>
          <w:tcPr>
            <w:tcW w:w="959"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13,4%</w:t>
            </w:r>
          </w:p>
        </w:tc>
        <w:tc>
          <w:tcPr>
            <w:tcW w:w="6095"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Мужской пол</w:t>
            </w:r>
          </w:p>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Нерадикальная резекция</w:t>
            </w:r>
          </w:p>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Проведение лучевой терапии</w:t>
            </w:r>
          </w:p>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Накопление контраста</w:t>
            </w:r>
          </w:p>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Диффузная астроцитома</w:t>
            </w:r>
          </w:p>
        </w:tc>
      </w:tr>
      <w:tr w:rsidR="00B13672" w:rsidRPr="00C25FC0" w:rsidTr="00960063">
        <w:tc>
          <w:tcPr>
            <w:tcW w:w="1467" w:type="dxa"/>
          </w:tcPr>
          <w:p w:rsidR="00B13672" w:rsidRPr="00C25FC0" w:rsidRDefault="00C25FC0" w:rsidP="005E0D82">
            <w:pPr>
              <w:spacing w:line="360" w:lineRule="auto"/>
              <w:rPr>
                <w:rFonts w:ascii="Times New Roman" w:eastAsia="MS Mincho" w:hAnsi="Times New Roman" w:cs="Times New Roman"/>
                <w:lang w:val="en-US"/>
              </w:rPr>
            </w:pPr>
            <w:r w:rsidRPr="00C25FC0">
              <w:rPr>
                <w:rFonts w:ascii="Times New Roman" w:hAnsi="Times New Roman" w:cs="Times New Roman"/>
                <w:lang w:val="en-US"/>
              </w:rPr>
              <w:t>Chul-Kee Park, Inho Park  et al</w:t>
            </w:r>
            <w:r w:rsidRPr="00C25FC0">
              <w:rPr>
                <w:rFonts w:ascii="Times New Roman" w:eastAsia="MS Mincho" w:hAnsi="Times New Roman" w:cs="Times New Roman"/>
                <w:lang w:val="en-US"/>
              </w:rPr>
              <w:t xml:space="preserve"> </w:t>
            </w:r>
            <w:r w:rsidR="00B13672" w:rsidRPr="00C25FC0">
              <w:rPr>
                <w:rFonts w:ascii="Times New Roman" w:eastAsia="MS Mincho" w:hAnsi="Times New Roman" w:cs="Times New Roman"/>
                <w:lang w:val="en-US"/>
              </w:rPr>
              <w:t>[83]</w:t>
            </w:r>
          </w:p>
        </w:tc>
        <w:tc>
          <w:tcPr>
            <w:tcW w:w="1510"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3</w:t>
            </w:r>
          </w:p>
        </w:tc>
        <w:tc>
          <w:tcPr>
            <w:tcW w:w="959"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100%</w:t>
            </w:r>
          </w:p>
        </w:tc>
        <w:tc>
          <w:tcPr>
            <w:tcW w:w="6095"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xml:space="preserve">У </w:t>
            </w:r>
            <w:r w:rsidRPr="00C25FC0">
              <w:rPr>
                <w:rFonts w:ascii="Times New Roman" w:hAnsi="Times New Roman" w:cs="Times New Roman"/>
                <w:lang w:val="en-US"/>
              </w:rPr>
              <w:t>IDHmut</w:t>
            </w:r>
            <w:r w:rsidRPr="00C25FC0">
              <w:rPr>
                <w:rFonts w:ascii="Times New Roman" w:hAnsi="Times New Roman" w:cs="Times New Roman"/>
              </w:rPr>
              <w:t xml:space="preserve"> опухолей:</w:t>
            </w:r>
          </w:p>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xml:space="preserve">= Мутация </w:t>
            </w:r>
            <w:r w:rsidRPr="00C25FC0">
              <w:rPr>
                <w:rFonts w:ascii="Times New Roman" w:hAnsi="Times New Roman" w:cs="Times New Roman"/>
                <w:lang w:val="en-US"/>
              </w:rPr>
              <w:t>U</w:t>
            </w:r>
            <w:r w:rsidRPr="00C25FC0">
              <w:rPr>
                <w:rFonts w:ascii="Times New Roman" w:hAnsi="Times New Roman" w:cs="Times New Roman"/>
              </w:rPr>
              <w:t>2</w:t>
            </w:r>
            <w:r w:rsidRPr="00C25FC0">
              <w:rPr>
                <w:rFonts w:ascii="Times New Roman" w:hAnsi="Times New Roman" w:cs="Times New Roman"/>
                <w:lang w:val="en-US"/>
              </w:rPr>
              <w:t>AF</w:t>
            </w:r>
            <w:r w:rsidRPr="00C25FC0">
              <w:rPr>
                <w:rFonts w:ascii="Times New Roman" w:hAnsi="Times New Roman" w:cs="Times New Roman"/>
              </w:rPr>
              <w:t>2</w:t>
            </w:r>
          </w:p>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xml:space="preserve">= Мутация </w:t>
            </w:r>
            <w:r w:rsidRPr="00C25FC0">
              <w:rPr>
                <w:rFonts w:ascii="Times New Roman" w:hAnsi="Times New Roman" w:cs="Times New Roman"/>
                <w:lang w:val="en-US"/>
              </w:rPr>
              <w:t>ACF</w:t>
            </w:r>
            <w:r w:rsidRPr="00C25FC0">
              <w:rPr>
                <w:rFonts w:ascii="Times New Roman" w:hAnsi="Times New Roman" w:cs="Times New Roman"/>
              </w:rPr>
              <w:t>12</w:t>
            </w:r>
          </w:p>
          <w:p w:rsidR="00B13672" w:rsidRPr="00C25FC0" w:rsidRDefault="00B13672" w:rsidP="005E0D82">
            <w:pPr>
              <w:spacing w:line="360" w:lineRule="auto"/>
              <w:rPr>
                <w:rFonts w:ascii="Times New Roman" w:hAnsi="Times New Roman" w:cs="Times New Roman"/>
                <w:lang w:val="en-US"/>
              </w:rPr>
            </w:pPr>
            <w:r w:rsidRPr="00C25FC0">
              <w:rPr>
                <w:rFonts w:ascii="Times New Roman" w:hAnsi="Times New Roman" w:cs="Times New Roman"/>
              </w:rPr>
              <w:t xml:space="preserve">= Мутация </w:t>
            </w:r>
            <w:r w:rsidRPr="00C25FC0">
              <w:rPr>
                <w:rFonts w:ascii="Times New Roman" w:hAnsi="Times New Roman" w:cs="Times New Roman"/>
                <w:lang w:val="en-US"/>
              </w:rPr>
              <w:t>ARID1A</w:t>
            </w:r>
          </w:p>
        </w:tc>
      </w:tr>
      <w:tr w:rsidR="00B13672" w:rsidRPr="00C25FC0" w:rsidTr="00960063">
        <w:tc>
          <w:tcPr>
            <w:tcW w:w="1467" w:type="dxa"/>
          </w:tcPr>
          <w:p w:rsidR="00B13672" w:rsidRPr="00C25FC0" w:rsidRDefault="00C25FC0" w:rsidP="005E0D82">
            <w:pPr>
              <w:spacing w:line="360" w:lineRule="auto"/>
              <w:rPr>
                <w:rFonts w:ascii="Times New Roman" w:eastAsia="MS Mincho" w:hAnsi="Times New Roman" w:cs="Times New Roman"/>
                <w:lang w:val="en-US"/>
              </w:rPr>
            </w:pPr>
            <w:r w:rsidRPr="00C25FC0">
              <w:rPr>
                <w:rFonts w:ascii="Times New Roman" w:hAnsi="Times New Roman" w:cs="Times New Roman"/>
                <w:lang w:val="en-US"/>
              </w:rPr>
              <w:t>Jaeckle KA, Decker PA  et al</w:t>
            </w:r>
            <w:r w:rsidRPr="00C25FC0">
              <w:rPr>
                <w:rFonts w:ascii="Times New Roman" w:eastAsia="MS Mincho" w:hAnsi="Times New Roman" w:cs="Times New Roman"/>
                <w:lang w:val="en-US"/>
              </w:rPr>
              <w:t xml:space="preserve"> </w:t>
            </w:r>
            <w:r w:rsidR="00B13672" w:rsidRPr="00C25FC0">
              <w:rPr>
                <w:rFonts w:ascii="Times New Roman" w:eastAsia="MS Mincho" w:hAnsi="Times New Roman" w:cs="Times New Roman"/>
                <w:lang w:val="en-US"/>
              </w:rPr>
              <w:t>[84]</w:t>
            </w:r>
          </w:p>
        </w:tc>
        <w:tc>
          <w:tcPr>
            <w:tcW w:w="1510"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204</w:t>
            </w:r>
          </w:p>
        </w:tc>
        <w:tc>
          <w:tcPr>
            <w:tcW w:w="959"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42%</w:t>
            </w:r>
          </w:p>
        </w:tc>
        <w:tc>
          <w:tcPr>
            <w:tcW w:w="6095"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Астроцитарный тип опухоли</w:t>
            </w:r>
          </w:p>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Олигоастроцитарный тип опухоли</w:t>
            </w:r>
          </w:p>
        </w:tc>
      </w:tr>
      <w:tr w:rsidR="00B13672" w:rsidRPr="00C25FC0" w:rsidTr="00960063">
        <w:tc>
          <w:tcPr>
            <w:tcW w:w="1467" w:type="dxa"/>
          </w:tcPr>
          <w:p w:rsidR="00B13672" w:rsidRPr="00C25FC0" w:rsidRDefault="00C25FC0" w:rsidP="005E0D82">
            <w:pPr>
              <w:spacing w:line="360" w:lineRule="auto"/>
              <w:rPr>
                <w:rFonts w:ascii="Times New Roman" w:eastAsia="MS Mincho" w:hAnsi="Times New Roman" w:cs="Times New Roman"/>
              </w:rPr>
            </w:pPr>
            <w:r w:rsidRPr="00C25FC0">
              <w:rPr>
                <w:rFonts w:ascii="Times New Roman" w:hAnsi="Times New Roman" w:cs="Times New Roman"/>
                <w:lang w:val="en-US"/>
              </w:rPr>
              <w:t xml:space="preserve">Kaisorn L. Chaichana, </w:t>
            </w:r>
            <w:r w:rsidRPr="00C25FC0">
              <w:rPr>
                <w:rFonts w:ascii="Times New Roman" w:hAnsi="Times New Roman" w:cs="Times New Roman"/>
                <w:lang w:val="en-US"/>
              </w:rPr>
              <w:lastRenderedPageBreak/>
              <w:t xml:space="preserve">Mattew J. McGirt  et al. </w:t>
            </w:r>
            <w:r w:rsidR="00B13672" w:rsidRPr="00C25FC0">
              <w:rPr>
                <w:rFonts w:ascii="Times New Roman" w:eastAsia="MS Mincho" w:hAnsi="Times New Roman" w:cs="Times New Roman"/>
                <w:lang w:val="en-US"/>
              </w:rPr>
              <w:t>[85]</w:t>
            </w:r>
          </w:p>
        </w:tc>
        <w:tc>
          <w:tcPr>
            <w:tcW w:w="1510"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lastRenderedPageBreak/>
              <w:t>191</w:t>
            </w:r>
          </w:p>
        </w:tc>
        <w:tc>
          <w:tcPr>
            <w:tcW w:w="959"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23%</w:t>
            </w:r>
          </w:p>
        </w:tc>
        <w:tc>
          <w:tcPr>
            <w:tcW w:w="6095"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Высокий предоперационный объем опухоли</w:t>
            </w:r>
          </w:p>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Тотальная резекция</w:t>
            </w:r>
          </w:p>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lastRenderedPageBreak/>
              <w:t>(относительно субтотальной)</w:t>
            </w:r>
            <w:r w:rsidRPr="00C25FC0">
              <w:rPr>
                <w:rFonts w:ascii="Times New Roman" w:hAnsi="Times New Roman" w:cs="Times New Roman"/>
              </w:rPr>
              <w:br/>
              <w:t>= Астроцитарный тип опухоли</w:t>
            </w:r>
          </w:p>
        </w:tc>
      </w:tr>
      <w:tr w:rsidR="00B13672" w:rsidRPr="00C25FC0" w:rsidTr="00960063">
        <w:tc>
          <w:tcPr>
            <w:tcW w:w="1467" w:type="dxa"/>
          </w:tcPr>
          <w:p w:rsidR="00B13672" w:rsidRPr="00C25FC0" w:rsidRDefault="00C25FC0" w:rsidP="005E0D82">
            <w:pPr>
              <w:spacing w:line="360" w:lineRule="auto"/>
              <w:rPr>
                <w:rFonts w:ascii="Times New Roman" w:eastAsia="MS Mincho" w:hAnsi="Times New Roman" w:cs="Times New Roman"/>
              </w:rPr>
            </w:pPr>
            <w:r w:rsidRPr="00C25FC0">
              <w:rPr>
                <w:rFonts w:ascii="Times New Roman" w:hAnsi="Times New Roman" w:cs="Times New Roman"/>
                <w:lang w:val="en-US"/>
              </w:rPr>
              <w:lastRenderedPageBreak/>
              <w:t xml:space="preserve">Ittichai Sakarunchai, Rassamee Sangthong  et al. </w:t>
            </w:r>
            <w:r w:rsidR="00B13672" w:rsidRPr="00C25FC0">
              <w:rPr>
                <w:rFonts w:ascii="Times New Roman" w:eastAsia="MS Mincho" w:hAnsi="Times New Roman" w:cs="Times New Roman"/>
              </w:rPr>
              <w:t>[86]</w:t>
            </w:r>
          </w:p>
        </w:tc>
        <w:tc>
          <w:tcPr>
            <w:tcW w:w="1510"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77</w:t>
            </w:r>
          </w:p>
        </w:tc>
        <w:tc>
          <w:tcPr>
            <w:tcW w:w="959"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19,5%</w:t>
            </w:r>
          </w:p>
        </w:tc>
        <w:tc>
          <w:tcPr>
            <w:tcW w:w="6095"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Возраст более 40 лет</w:t>
            </w:r>
          </w:p>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Мужской пол</w:t>
            </w:r>
          </w:p>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Низкий индекс Карновского</w:t>
            </w:r>
          </w:p>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Накопление контраста</w:t>
            </w:r>
          </w:p>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Нерадикальное хирургическое вмешательство</w:t>
            </w:r>
          </w:p>
          <w:p w:rsidR="00B13672" w:rsidRPr="00C25FC0" w:rsidRDefault="00B13672" w:rsidP="005E0D82">
            <w:pPr>
              <w:spacing w:line="360" w:lineRule="auto"/>
              <w:rPr>
                <w:rFonts w:ascii="Times New Roman" w:eastAsia="MS Mincho" w:hAnsi="Times New Roman" w:cs="Times New Roman"/>
              </w:rPr>
            </w:pPr>
            <w:r w:rsidRPr="00C25FC0">
              <w:rPr>
                <w:rFonts w:ascii="Times New Roman" w:hAnsi="Times New Roman" w:cs="Times New Roman"/>
              </w:rPr>
              <w:t>= Отсутствие лучевой терапии в адъюванте</w:t>
            </w:r>
            <w:r w:rsidRPr="00C25FC0">
              <w:rPr>
                <w:rFonts w:ascii="Times New Roman" w:hAnsi="Times New Roman" w:cs="Times New Roman"/>
              </w:rPr>
              <w:br/>
              <w:t>= Астроцитарный тип опухоли</w:t>
            </w:r>
          </w:p>
        </w:tc>
      </w:tr>
      <w:tr w:rsidR="00B13672" w:rsidRPr="00C25FC0" w:rsidTr="00960063">
        <w:tc>
          <w:tcPr>
            <w:tcW w:w="1467" w:type="dxa"/>
          </w:tcPr>
          <w:p w:rsidR="00B13672" w:rsidRPr="00C25FC0" w:rsidRDefault="00C25FC0" w:rsidP="005E0D82">
            <w:pPr>
              <w:spacing w:line="360" w:lineRule="auto"/>
              <w:rPr>
                <w:rFonts w:ascii="Times New Roman" w:eastAsia="MS Mincho" w:hAnsi="Times New Roman" w:cs="Times New Roman"/>
              </w:rPr>
            </w:pPr>
            <w:r w:rsidRPr="00C25FC0">
              <w:rPr>
                <w:rFonts w:ascii="Times New Roman" w:hAnsi="Times New Roman" w:cs="Times New Roman"/>
                <w:lang w:val="en-US"/>
              </w:rPr>
              <w:t xml:space="preserve">Tae-Young Jung, Shin Jung  et al. </w:t>
            </w:r>
            <w:r w:rsidR="00B13672" w:rsidRPr="00C25FC0">
              <w:rPr>
                <w:rFonts w:ascii="Times New Roman" w:eastAsia="MS Mincho" w:hAnsi="Times New Roman" w:cs="Times New Roman"/>
              </w:rPr>
              <w:t>[87]</w:t>
            </w:r>
          </w:p>
        </w:tc>
        <w:tc>
          <w:tcPr>
            <w:tcW w:w="1510"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86</w:t>
            </w:r>
          </w:p>
        </w:tc>
        <w:tc>
          <w:tcPr>
            <w:tcW w:w="959"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15%</w:t>
            </w:r>
          </w:p>
        </w:tc>
        <w:tc>
          <w:tcPr>
            <w:tcW w:w="6095"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Диффузное распространение опухоли</w:t>
            </w:r>
          </w:p>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Субтотальная резекция</w:t>
            </w:r>
          </w:p>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Гемистоцитарная астроцитома</w:t>
            </w:r>
          </w:p>
        </w:tc>
      </w:tr>
      <w:tr w:rsidR="00B13672" w:rsidRPr="00C25FC0" w:rsidTr="00960063">
        <w:tc>
          <w:tcPr>
            <w:tcW w:w="1467" w:type="dxa"/>
          </w:tcPr>
          <w:p w:rsidR="00B13672" w:rsidRPr="00C25FC0" w:rsidRDefault="00C25FC0" w:rsidP="005E0D82">
            <w:pPr>
              <w:spacing w:line="360" w:lineRule="auto"/>
              <w:rPr>
                <w:rFonts w:ascii="Times New Roman" w:eastAsia="MS Mincho" w:hAnsi="Times New Roman" w:cs="Times New Roman"/>
              </w:rPr>
            </w:pPr>
            <w:r w:rsidRPr="00C25FC0">
              <w:rPr>
                <w:rFonts w:ascii="Times New Roman" w:hAnsi="Times New Roman" w:cs="Times New Roman"/>
                <w:lang w:val="en-US"/>
              </w:rPr>
              <w:t xml:space="preserve">Rotta, Olivera  et al. </w:t>
            </w:r>
            <w:r w:rsidRPr="00C25FC0">
              <w:rPr>
                <w:rFonts w:ascii="Times New Roman" w:hAnsi="Times New Roman" w:cs="Times New Roman"/>
              </w:rPr>
              <w:t xml:space="preserve"> </w:t>
            </w:r>
            <w:r w:rsidR="00B13672" w:rsidRPr="00C25FC0">
              <w:rPr>
                <w:rFonts w:ascii="Times New Roman" w:eastAsia="MS Mincho" w:hAnsi="Times New Roman" w:cs="Times New Roman"/>
              </w:rPr>
              <w:t>[88]</w:t>
            </w:r>
          </w:p>
        </w:tc>
        <w:tc>
          <w:tcPr>
            <w:tcW w:w="1510"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43</w:t>
            </w:r>
          </w:p>
        </w:tc>
        <w:tc>
          <w:tcPr>
            <w:tcW w:w="959"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48%</w:t>
            </w:r>
          </w:p>
        </w:tc>
        <w:tc>
          <w:tcPr>
            <w:tcW w:w="6095"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Проведение адъювантной терапии темзоломидом</w:t>
            </w:r>
          </w:p>
        </w:tc>
      </w:tr>
      <w:tr w:rsidR="00B13672" w:rsidRPr="00C25FC0" w:rsidTr="00960063">
        <w:tc>
          <w:tcPr>
            <w:tcW w:w="1467" w:type="dxa"/>
          </w:tcPr>
          <w:p w:rsidR="00B13672" w:rsidRPr="00C25FC0" w:rsidRDefault="00C25FC0" w:rsidP="005E0D82">
            <w:pPr>
              <w:spacing w:line="360" w:lineRule="auto"/>
              <w:rPr>
                <w:rFonts w:ascii="Times New Roman" w:eastAsia="MS Mincho" w:hAnsi="Times New Roman" w:cs="Times New Roman"/>
              </w:rPr>
            </w:pPr>
            <w:r w:rsidRPr="00C25FC0">
              <w:rPr>
                <w:rFonts w:ascii="Times New Roman" w:hAnsi="Times New Roman" w:cs="Times New Roman"/>
                <w:lang w:val="en-US"/>
              </w:rPr>
              <w:t xml:space="preserve">Leu, Felten  et al. </w:t>
            </w:r>
            <w:r w:rsidR="00B13672" w:rsidRPr="00C25FC0">
              <w:rPr>
                <w:rFonts w:ascii="Times New Roman" w:eastAsia="MS Mincho" w:hAnsi="Times New Roman" w:cs="Times New Roman"/>
              </w:rPr>
              <w:t>[68]</w:t>
            </w:r>
          </w:p>
        </w:tc>
        <w:tc>
          <w:tcPr>
            <w:tcW w:w="1510"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210</w:t>
            </w:r>
          </w:p>
        </w:tc>
        <w:tc>
          <w:tcPr>
            <w:tcW w:w="959" w:type="dxa"/>
          </w:tcPr>
          <w:p w:rsidR="00B13672" w:rsidRPr="00C25FC0" w:rsidRDefault="00B13672" w:rsidP="005E0D82">
            <w:pPr>
              <w:spacing w:line="360" w:lineRule="auto"/>
              <w:rPr>
                <w:rFonts w:ascii="Times New Roman" w:hAnsi="Times New Roman" w:cs="Times New Roman"/>
              </w:rPr>
            </w:pPr>
          </w:p>
        </w:tc>
        <w:tc>
          <w:tcPr>
            <w:tcW w:w="6095"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xml:space="preserve">= </w:t>
            </w:r>
            <w:r w:rsidRPr="00C25FC0">
              <w:rPr>
                <w:rFonts w:ascii="Times New Roman" w:hAnsi="Times New Roman" w:cs="Times New Roman"/>
                <w:lang w:val="en-US"/>
              </w:rPr>
              <w:t>IDHmut</w:t>
            </w:r>
          </w:p>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отсутствие ко-делеции 1</w:t>
            </w:r>
            <w:r w:rsidRPr="00C25FC0">
              <w:rPr>
                <w:rFonts w:ascii="Times New Roman" w:hAnsi="Times New Roman" w:cs="Times New Roman"/>
                <w:lang w:val="en-US"/>
              </w:rPr>
              <w:t>p</w:t>
            </w:r>
            <w:r w:rsidRPr="00C25FC0">
              <w:rPr>
                <w:rFonts w:ascii="Times New Roman" w:hAnsi="Times New Roman" w:cs="Times New Roman"/>
              </w:rPr>
              <w:t>19</w:t>
            </w:r>
            <w:r w:rsidRPr="00C25FC0">
              <w:rPr>
                <w:rFonts w:ascii="Times New Roman" w:hAnsi="Times New Roman" w:cs="Times New Roman"/>
                <w:lang w:val="en-US"/>
              </w:rPr>
              <w:t>q</w:t>
            </w:r>
            <w:r w:rsidRPr="00C25FC0">
              <w:rPr>
                <w:rFonts w:ascii="Times New Roman" w:hAnsi="Times New Roman" w:cs="Times New Roman"/>
              </w:rPr>
              <w:t xml:space="preserve"> </w:t>
            </w:r>
          </w:p>
        </w:tc>
      </w:tr>
      <w:tr w:rsidR="00B13672" w:rsidRPr="00C25FC0" w:rsidTr="00960063">
        <w:tc>
          <w:tcPr>
            <w:tcW w:w="1467" w:type="dxa"/>
          </w:tcPr>
          <w:p w:rsidR="00B13672" w:rsidRPr="00C25FC0" w:rsidRDefault="00C25FC0" w:rsidP="005E0D82">
            <w:pPr>
              <w:spacing w:line="360" w:lineRule="auto"/>
              <w:rPr>
                <w:rFonts w:ascii="Times New Roman" w:eastAsia="MS Mincho" w:hAnsi="Times New Roman" w:cs="Times New Roman"/>
              </w:rPr>
            </w:pPr>
            <w:r w:rsidRPr="00C25FC0">
              <w:rPr>
                <w:rFonts w:ascii="Times New Roman" w:hAnsi="Times New Roman" w:cs="Times New Roman"/>
                <w:lang w:val="en-US"/>
              </w:rPr>
              <w:t xml:space="preserve">Laura, Snyder  et al. </w:t>
            </w:r>
            <w:r w:rsidR="00B13672" w:rsidRPr="00C25FC0">
              <w:rPr>
                <w:rFonts w:ascii="Times New Roman" w:eastAsia="MS Mincho" w:hAnsi="Times New Roman" w:cs="Times New Roman"/>
              </w:rPr>
              <w:t>[89]</w:t>
            </w:r>
          </w:p>
        </w:tc>
        <w:tc>
          <w:tcPr>
            <w:tcW w:w="1510"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93</w:t>
            </w:r>
          </w:p>
        </w:tc>
        <w:tc>
          <w:tcPr>
            <w:tcW w:w="959"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22%</w:t>
            </w:r>
          </w:p>
        </w:tc>
        <w:tc>
          <w:tcPr>
            <w:tcW w:w="6095" w:type="dxa"/>
          </w:tcPr>
          <w:p w:rsidR="00B13672" w:rsidRPr="00C25FC0" w:rsidRDefault="00B13672" w:rsidP="005E0D82">
            <w:pPr>
              <w:spacing w:line="360" w:lineRule="auto"/>
              <w:rPr>
                <w:rFonts w:ascii="Times New Roman" w:eastAsia="MS Mincho" w:hAnsi="Times New Roman" w:cs="Times New Roman"/>
              </w:rPr>
            </w:pPr>
            <w:r w:rsidRPr="00C25FC0">
              <w:rPr>
                <w:rFonts w:ascii="Times New Roman" w:hAnsi="Times New Roman" w:cs="Times New Roman"/>
              </w:rPr>
              <w:t>= Нерадикальная резекция</w:t>
            </w:r>
          </w:p>
        </w:tc>
      </w:tr>
      <w:tr w:rsidR="00B13672" w:rsidRPr="00C25FC0" w:rsidTr="00960063">
        <w:tc>
          <w:tcPr>
            <w:tcW w:w="1467" w:type="dxa"/>
          </w:tcPr>
          <w:p w:rsidR="00B13672" w:rsidRPr="00C25FC0" w:rsidRDefault="00C25FC0" w:rsidP="005E0D82">
            <w:pPr>
              <w:spacing w:line="360" w:lineRule="auto"/>
              <w:rPr>
                <w:rFonts w:ascii="Times New Roman" w:eastAsia="MS Mincho" w:hAnsi="Times New Roman" w:cs="Times New Roman"/>
              </w:rPr>
            </w:pPr>
            <w:r w:rsidRPr="00C25FC0">
              <w:rPr>
                <w:rFonts w:ascii="Times New Roman" w:hAnsi="Times New Roman" w:cs="Times New Roman"/>
                <w:lang w:val="en-US"/>
              </w:rPr>
              <w:t xml:space="preserve">Bourdillon, Hlaihel  et al. </w:t>
            </w:r>
            <w:r w:rsidR="00B13672" w:rsidRPr="00C25FC0">
              <w:rPr>
                <w:rFonts w:ascii="Times New Roman" w:eastAsia="MS Mincho" w:hAnsi="Times New Roman" w:cs="Times New Roman"/>
              </w:rPr>
              <w:t>[90]</w:t>
            </w:r>
          </w:p>
        </w:tc>
        <w:tc>
          <w:tcPr>
            <w:tcW w:w="1510"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20</w:t>
            </w:r>
          </w:p>
        </w:tc>
        <w:tc>
          <w:tcPr>
            <w:tcW w:w="959"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30%</w:t>
            </w:r>
          </w:p>
        </w:tc>
        <w:tc>
          <w:tcPr>
            <w:tcW w:w="6095"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 Высокое значение холин/креатин при МРТ</w:t>
            </w:r>
          </w:p>
          <w:p w:rsidR="00152401" w:rsidRPr="00C25FC0" w:rsidRDefault="00152401" w:rsidP="005E0D82">
            <w:pPr>
              <w:spacing w:line="360" w:lineRule="auto"/>
              <w:rPr>
                <w:rFonts w:ascii="Times New Roman" w:hAnsi="Times New Roman" w:cs="Times New Roman"/>
                <w:lang w:val="en-US"/>
              </w:rPr>
            </w:pPr>
            <w:r w:rsidRPr="00C25FC0">
              <w:rPr>
                <w:rFonts w:ascii="Times New Roman" w:hAnsi="Times New Roman" w:cs="Times New Roman"/>
                <w:lang w:val="en-US"/>
              </w:rPr>
              <w:t xml:space="preserve">= </w:t>
            </w:r>
            <w:r w:rsidRPr="00C25FC0">
              <w:rPr>
                <w:rFonts w:ascii="Times New Roman" w:hAnsi="Times New Roman" w:cs="Times New Roman"/>
              </w:rPr>
              <w:t xml:space="preserve">отсутствие ко-делеции </w:t>
            </w:r>
            <w:r w:rsidRPr="00C25FC0">
              <w:rPr>
                <w:rFonts w:ascii="Times New Roman" w:hAnsi="Times New Roman" w:cs="Times New Roman"/>
                <w:lang w:val="en-US"/>
              </w:rPr>
              <w:t xml:space="preserve">1p19q </w:t>
            </w:r>
          </w:p>
          <w:p w:rsidR="00B13672" w:rsidRPr="00C25FC0" w:rsidRDefault="00B13672" w:rsidP="005E0D82">
            <w:pPr>
              <w:spacing w:line="360" w:lineRule="auto"/>
              <w:rPr>
                <w:rFonts w:ascii="Times New Roman" w:eastAsia="MS Mincho" w:hAnsi="Times New Roman" w:cs="Times New Roman"/>
              </w:rPr>
            </w:pPr>
          </w:p>
        </w:tc>
      </w:tr>
      <w:tr w:rsidR="00B13672" w:rsidRPr="00C25FC0" w:rsidTr="00960063">
        <w:tc>
          <w:tcPr>
            <w:tcW w:w="1467" w:type="dxa"/>
          </w:tcPr>
          <w:p w:rsidR="00B13672" w:rsidRPr="00C25FC0" w:rsidRDefault="00C25FC0" w:rsidP="005E0D82">
            <w:pPr>
              <w:spacing w:line="360" w:lineRule="auto"/>
              <w:rPr>
                <w:rFonts w:ascii="Times New Roman" w:eastAsia="MS Mincho" w:hAnsi="Times New Roman" w:cs="Times New Roman"/>
              </w:rPr>
            </w:pPr>
            <w:r w:rsidRPr="00C25FC0">
              <w:rPr>
                <w:rFonts w:ascii="Times New Roman" w:hAnsi="Times New Roman" w:cs="Times New Roman"/>
                <w:lang w:val="en-US"/>
              </w:rPr>
              <w:t>Turkoglu, Gurer et al.</w:t>
            </w:r>
            <w:r w:rsidRPr="00C25FC0">
              <w:rPr>
                <w:rFonts w:ascii="Times New Roman" w:hAnsi="Times New Roman" w:cs="Times New Roman"/>
              </w:rPr>
              <w:t xml:space="preserve"> </w:t>
            </w:r>
            <w:r w:rsidR="00B13672" w:rsidRPr="00C25FC0">
              <w:rPr>
                <w:rFonts w:ascii="Times New Roman" w:eastAsia="MS Mincho" w:hAnsi="Times New Roman" w:cs="Times New Roman"/>
              </w:rPr>
              <w:t>[91]</w:t>
            </w:r>
          </w:p>
        </w:tc>
        <w:tc>
          <w:tcPr>
            <w:tcW w:w="1510"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63</w:t>
            </w:r>
          </w:p>
        </w:tc>
        <w:tc>
          <w:tcPr>
            <w:tcW w:w="959"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21%</w:t>
            </w:r>
          </w:p>
        </w:tc>
        <w:tc>
          <w:tcPr>
            <w:tcW w:w="6095" w:type="dxa"/>
          </w:tcPr>
          <w:p w:rsidR="00B13672" w:rsidRPr="00C25FC0" w:rsidRDefault="00152401" w:rsidP="005E0D82">
            <w:pPr>
              <w:spacing w:line="360" w:lineRule="auto"/>
              <w:rPr>
                <w:rFonts w:ascii="Times New Roman" w:hAnsi="Times New Roman" w:cs="Times New Roman"/>
              </w:rPr>
            </w:pPr>
            <w:r w:rsidRPr="00C25FC0">
              <w:rPr>
                <w:rFonts w:ascii="Times New Roman" w:hAnsi="Times New Roman" w:cs="Times New Roman"/>
              </w:rPr>
              <w:t>= Нерадикальная резекции</w:t>
            </w:r>
          </w:p>
          <w:p w:rsidR="00152401" w:rsidRPr="00C25FC0" w:rsidRDefault="00152401" w:rsidP="005E0D82">
            <w:pPr>
              <w:spacing w:line="360" w:lineRule="auto"/>
              <w:rPr>
                <w:rFonts w:ascii="Times New Roman" w:eastAsia="MS Mincho" w:hAnsi="Times New Roman" w:cs="Times New Roman"/>
              </w:rPr>
            </w:pPr>
            <w:r w:rsidRPr="00C25FC0">
              <w:rPr>
                <w:rFonts w:ascii="Times New Roman" w:hAnsi="Times New Roman" w:cs="Times New Roman"/>
              </w:rPr>
              <w:t>= Астроцитарный тип опухоли</w:t>
            </w:r>
          </w:p>
        </w:tc>
      </w:tr>
      <w:tr w:rsidR="00B13672" w:rsidRPr="00C25FC0" w:rsidTr="00960063">
        <w:tc>
          <w:tcPr>
            <w:tcW w:w="1467" w:type="dxa"/>
          </w:tcPr>
          <w:p w:rsidR="00B13672" w:rsidRPr="00C25FC0" w:rsidRDefault="00C25FC0" w:rsidP="005E0D82">
            <w:pPr>
              <w:spacing w:line="360" w:lineRule="auto"/>
              <w:rPr>
                <w:rFonts w:ascii="Times New Roman" w:eastAsia="MS Mincho" w:hAnsi="Times New Roman" w:cs="Times New Roman"/>
              </w:rPr>
            </w:pPr>
            <w:r w:rsidRPr="00C25FC0">
              <w:rPr>
                <w:rFonts w:ascii="Times New Roman" w:hAnsi="Times New Roman" w:cs="Times New Roman"/>
                <w:lang w:val="en-US"/>
              </w:rPr>
              <w:t xml:space="preserve">Juratli, Peitzch et al. </w:t>
            </w:r>
            <w:r w:rsidR="00B13672" w:rsidRPr="00C25FC0">
              <w:rPr>
                <w:rFonts w:ascii="Times New Roman" w:eastAsia="MS Mincho" w:hAnsi="Times New Roman" w:cs="Times New Roman"/>
              </w:rPr>
              <w:t>[92]</w:t>
            </w:r>
          </w:p>
        </w:tc>
        <w:tc>
          <w:tcPr>
            <w:tcW w:w="1510"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54</w:t>
            </w:r>
          </w:p>
        </w:tc>
        <w:tc>
          <w:tcPr>
            <w:tcW w:w="959" w:type="dxa"/>
          </w:tcPr>
          <w:p w:rsidR="00B13672" w:rsidRPr="00C25FC0" w:rsidRDefault="00B13672" w:rsidP="005E0D82">
            <w:pPr>
              <w:spacing w:line="360" w:lineRule="auto"/>
              <w:rPr>
                <w:rFonts w:ascii="Times New Roman" w:hAnsi="Times New Roman" w:cs="Times New Roman"/>
              </w:rPr>
            </w:pPr>
          </w:p>
        </w:tc>
        <w:tc>
          <w:tcPr>
            <w:tcW w:w="6095" w:type="dxa"/>
          </w:tcPr>
          <w:p w:rsidR="00B13672" w:rsidRPr="00C25FC0" w:rsidRDefault="00152401" w:rsidP="005E0D82">
            <w:pPr>
              <w:spacing w:line="360" w:lineRule="auto"/>
              <w:rPr>
                <w:rFonts w:ascii="Times New Roman" w:eastAsia="MS Mincho" w:hAnsi="Times New Roman" w:cs="Times New Roman"/>
              </w:rPr>
            </w:pPr>
            <w:r w:rsidRPr="00C25FC0">
              <w:rPr>
                <w:rFonts w:ascii="Times New Roman" w:hAnsi="Times New Roman" w:cs="Times New Roman"/>
              </w:rPr>
              <w:t xml:space="preserve">= </w:t>
            </w:r>
            <w:r w:rsidRPr="00C25FC0">
              <w:rPr>
                <w:rFonts w:ascii="Times New Roman" w:hAnsi="Times New Roman" w:cs="Times New Roman"/>
                <w:lang w:val="en-US"/>
              </w:rPr>
              <w:t>IDHmut</w:t>
            </w:r>
            <w:r w:rsidRPr="00C25FC0">
              <w:rPr>
                <w:rFonts w:ascii="Times New Roman" w:hAnsi="Times New Roman" w:cs="Times New Roman"/>
              </w:rPr>
              <w:t xml:space="preserve"> (особенно при вторичной ГБ)</w:t>
            </w:r>
          </w:p>
        </w:tc>
      </w:tr>
      <w:tr w:rsidR="00B13672" w:rsidRPr="00C25FC0" w:rsidTr="00960063">
        <w:tc>
          <w:tcPr>
            <w:tcW w:w="1467" w:type="dxa"/>
          </w:tcPr>
          <w:p w:rsidR="00B13672" w:rsidRPr="00C25FC0" w:rsidRDefault="00C25FC0" w:rsidP="005E0D82">
            <w:pPr>
              <w:spacing w:line="360" w:lineRule="auto"/>
              <w:rPr>
                <w:rFonts w:ascii="Times New Roman" w:eastAsia="MS Mincho" w:hAnsi="Times New Roman" w:cs="Times New Roman"/>
              </w:rPr>
            </w:pPr>
            <w:r w:rsidRPr="00C25FC0">
              <w:rPr>
                <w:rFonts w:ascii="Times New Roman" w:hAnsi="Times New Roman" w:cs="Times New Roman"/>
                <w:lang w:val="en-US"/>
              </w:rPr>
              <w:t xml:space="preserve">Morshed, Han, Hervey-Jumper et al.  </w:t>
            </w:r>
            <w:r w:rsidR="00B13672" w:rsidRPr="00C25FC0">
              <w:rPr>
                <w:rFonts w:ascii="Times New Roman" w:eastAsia="MS Mincho" w:hAnsi="Times New Roman" w:cs="Times New Roman"/>
              </w:rPr>
              <w:t>[93]</w:t>
            </w:r>
          </w:p>
        </w:tc>
        <w:tc>
          <w:tcPr>
            <w:tcW w:w="1510"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26</w:t>
            </w:r>
          </w:p>
        </w:tc>
        <w:tc>
          <w:tcPr>
            <w:tcW w:w="959"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34.6%</w:t>
            </w:r>
          </w:p>
        </w:tc>
        <w:tc>
          <w:tcPr>
            <w:tcW w:w="6095" w:type="dxa"/>
          </w:tcPr>
          <w:p w:rsidR="00152401" w:rsidRPr="00C25FC0" w:rsidRDefault="00152401" w:rsidP="005E0D82">
            <w:pPr>
              <w:spacing w:line="360" w:lineRule="auto"/>
              <w:rPr>
                <w:rFonts w:ascii="Times New Roman" w:hAnsi="Times New Roman" w:cs="Times New Roman"/>
              </w:rPr>
            </w:pPr>
            <w:r w:rsidRPr="00C25FC0">
              <w:rPr>
                <w:rFonts w:ascii="Times New Roman" w:hAnsi="Times New Roman" w:cs="Times New Roman"/>
              </w:rPr>
              <w:t>= Значительный объем опухоли до операции</w:t>
            </w:r>
          </w:p>
          <w:p w:rsidR="00152401" w:rsidRPr="00C25FC0" w:rsidRDefault="00152401" w:rsidP="005E0D82">
            <w:pPr>
              <w:spacing w:line="360" w:lineRule="auto"/>
              <w:rPr>
                <w:rFonts w:ascii="Times New Roman" w:hAnsi="Times New Roman" w:cs="Times New Roman"/>
              </w:rPr>
            </w:pPr>
            <w:r w:rsidRPr="00C25FC0">
              <w:rPr>
                <w:rFonts w:ascii="Times New Roman" w:hAnsi="Times New Roman" w:cs="Times New Roman"/>
              </w:rPr>
              <w:t>= Нерадикальная резекция</w:t>
            </w:r>
          </w:p>
          <w:p w:rsidR="00152401" w:rsidRPr="00C25FC0" w:rsidRDefault="00152401" w:rsidP="005E0D82">
            <w:pPr>
              <w:spacing w:line="360" w:lineRule="auto"/>
              <w:rPr>
                <w:rFonts w:ascii="Times New Roman" w:hAnsi="Times New Roman" w:cs="Times New Roman"/>
              </w:rPr>
            </w:pPr>
            <w:r w:rsidRPr="00C25FC0">
              <w:rPr>
                <w:rFonts w:ascii="Times New Roman" w:hAnsi="Times New Roman" w:cs="Times New Roman"/>
              </w:rPr>
              <w:t>= Отсутствие накопления контраста</w:t>
            </w:r>
          </w:p>
          <w:p w:rsidR="00B13672" w:rsidRPr="00C25FC0" w:rsidRDefault="00152401" w:rsidP="005E0D82">
            <w:pPr>
              <w:spacing w:line="360" w:lineRule="auto"/>
              <w:rPr>
                <w:rFonts w:ascii="Times New Roman" w:hAnsi="Times New Roman" w:cs="Times New Roman"/>
              </w:rPr>
            </w:pPr>
            <w:r w:rsidRPr="00C25FC0">
              <w:rPr>
                <w:rFonts w:ascii="Times New Roman" w:hAnsi="Times New Roman" w:cs="Times New Roman"/>
              </w:rPr>
              <w:t>= Отсутствие адъювантной терапии</w:t>
            </w:r>
          </w:p>
          <w:p w:rsidR="00152401" w:rsidRPr="00C25FC0" w:rsidRDefault="00152401" w:rsidP="005E0D82">
            <w:pPr>
              <w:spacing w:line="360" w:lineRule="auto"/>
              <w:rPr>
                <w:rFonts w:ascii="Times New Roman" w:hAnsi="Times New Roman" w:cs="Times New Roman"/>
              </w:rPr>
            </w:pPr>
            <w:r w:rsidRPr="00C25FC0">
              <w:rPr>
                <w:rFonts w:ascii="Times New Roman" w:hAnsi="Times New Roman" w:cs="Times New Roman"/>
              </w:rPr>
              <w:t>= Диффузная астроцитома</w:t>
            </w:r>
          </w:p>
          <w:p w:rsidR="00152401" w:rsidRPr="00C25FC0" w:rsidRDefault="00152401" w:rsidP="005E0D82">
            <w:pPr>
              <w:spacing w:line="360" w:lineRule="auto"/>
              <w:rPr>
                <w:rFonts w:ascii="Times New Roman" w:eastAsia="MS Mincho" w:hAnsi="Times New Roman" w:cs="Times New Roman"/>
              </w:rPr>
            </w:pPr>
            <w:r w:rsidRPr="00C25FC0">
              <w:rPr>
                <w:rFonts w:ascii="Times New Roman" w:hAnsi="Times New Roman" w:cs="Times New Roman"/>
              </w:rPr>
              <w:t xml:space="preserve">= </w:t>
            </w:r>
            <w:r w:rsidRPr="00C25FC0">
              <w:rPr>
                <w:rFonts w:ascii="Times New Roman" w:hAnsi="Times New Roman" w:cs="Times New Roman"/>
                <w:lang w:val="en-US"/>
              </w:rPr>
              <w:t>IDHmut</w:t>
            </w:r>
          </w:p>
        </w:tc>
      </w:tr>
      <w:tr w:rsidR="00B13672" w:rsidRPr="00C25FC0" w:rsidTr="00960063">
        <w:tc>
          <w:tcPr>
            <w:tcW w:w="1467" w:type="dxa"/>
          </w:tcPr>
          <w:p w:rsidR="00B13672" w:rsidRPr="00C25FC0" w:rsidRDefault="00C25FC0" w:rsidP="005E0D82">
            <w:pPr>
              <w:spacing w:line="360" w:lineRule="auto"/>
              <w:rPr>
                <w:rFonts w:ascii="Times New Roman" w:eastAsia="MS Mincho" w:hAnsi="Times New Roman" w:cs="Times New Roman"/>
              </w:rPr>
            </w:pPr>
            <w:r w:rsidRPr="00C25FC0">
              <w:rPr>
                <w:rFonts w:ascii="Times New Roman" w:hAnsi="Times New Roman" w:cs="Times New Roman"/>
                <w:lang w:val="en-US"/>
              </w:rPr>
              <w:t xml:space="preserve">Murphy, Leyrer, </w:t>
            </w:r>
            <w:r w:rsidRPr="00C25FC0">
              <w:rPr>
                <w:rFonts w:ascii="Times New Roman" w:hAnsi="Times New Roman" w:cs="Times New Roman"/>
                <w:lang w:val="en-US"/>
              </w:rPr>
              <w:lastRenderedPageBreak/>
              <w:t xml:space="preserve">Parsons et al. </w:t>
            </w:r>
            <w:r w:rsidR="00B13672" w:rsidRPr="00C25FC0">
              <w:rPr>
                <w:rFonts w:ascii="Times New Roman" w:eastAsia="MS Mincho" w:hAnsi="Times New Roman" w:cs="Times New Roman"/>
              </w:rPr>
              <w:t>[</w:t>
            </w:r>
            <w:r w:rsidR="00B13672" w:rsidRPr="00C25FC0">
              <w:rPr>
                <w:rFonts w:ascii="Times New Roman" w:eastAsia="MS Mincho" w:hAnsi="Times New Roman" w:cs="Times New Roman"/>
                <w:lang w:val="en-US"/>
              </w:rPr>
              <w:t>78]</w:t>
            </w:r>
          </w:p>
        </w:tc>
        <w:tc>
          <w:tcPr>
            <w:tcW w:w="1510"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lastRenderedPageBreak/>
              <w:t>599</w:t>
            </w:r>
          </w:p>
        </w:tc>
        <w:tc>
          <w:tcPr>
            <w:tcW w:w="959"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20,7%</w:t>
            </w:r>
          </w:p>
        </w:tc>
        <w:tc>
          <w:tcPr>
            <w:tcW w:w="6095" w:type="dxa"/>
          </w:tcPr>
          <w:p w:rsidR="00152401" w:rsidRPr="00C25FC0" w:rsidRDefault="00152401" w:rsidP="005E0D82">
            <w:pPr>
              <w:spacing w:line="360" w:lineRule="auto"/>
              <w:rPr>
                <w:rFonts w:ascii="Times New Roman" w:hAnsi="Times New Roman" w:cs="Times New Roman"/>
              </w:rPr>
            </w:pPr>
            <w:r w:rsidRPr="00C25FC0">
              <w:rPr>
                <w:rFonts w:ascii="Times New Roman" w:hAnsi="Times New Roman" w:cs="Times New Roman"/>
              </w:rPr>
              <w:t>= Пожилой возраст</w:t>
            </w:r>
          </w:p>
          <w:p w:rsidR="00152401" w:rsidRPr="00C25FC0" w:rsidRDefault="00152401" w:rsidP="005E0D82">
            <w:pPr>
              <w:spacing w:line="360" w:lineRule="auto"/>
              <w:rPr>
                <w:rFonts w:ascii="Times New Roman" w:hAnsi="Times New Roman" w:cs="Times New Roman"/>
              </w:rPr>
            </w:pPr>
            <w:r w:rsidRPr="00C25FC0">
              <w:rPr>
                <w:rFonts w:ascii="Times New Roman" w:hAnsi="Times New Roman" w:cs="Times New Roman"/>
              </w:rPr>
              <w:t>= Мужской пол</w:t>
            </w:r>
          </w:p>
          <w:p w:rsidR="00152401" w:rsidRPr="00C25FC0" w:rsidRDefault="00152401" w:rsidP="005E0D82">
            <w:pPr>
              <w:spacing w:line="360" w:lineRule="auto"/>
              <w:rPr>
                <w:rFonts w:ascii="Times New Roman" w:hAnsi="Times New Roman" w:cs="Times New Roman"/>
              </w:rPr>
            </w:pPr>
            <w:r w:rsidRPr="00C25FC0">
              <w:rPr>
                <w:rFonts w:ascii="Times New Roman" w:hAnsi="Times New Roman" w:cs="Times New Roman"/>
              </w:rPr>
              <w:lastRenderedPageBreak/>
              <w:t>= Выраженная симптоматика</w:t>
            </w:r>
          </w:p>
          <w:p w:rsidR="00152401" w:rsidRPr="00C25FC0" w:rsidRDefault="00152401" w:rsidP="005E0D82">
            <w:pPr>
              <w:spacing w:line="360" w:lineRule="auto"/>
              <w:rPr>
                <w:rFonts w:ascii="Times New Roman" w:hAnsi="Times New Roman" w:cs="Times New Roman"/>
              </w:rPr>
            </w:pPr>
            <w:r w:rsidRPr="00C25FC0">
              <w:rPr>
                <w:rFonts w:ascii="Times New Roman" w:hAnsi="Times New Roman" w:cs="Times New Roman"/>
              </w:rPr>
              <w:t>= Монохимиотерапия в качестве адъювантной терапии</w:t>
            </w:r>
          </w:p>
          <w:p w:rsidR="00152401" w:rsidRPr="00C25FC0" w:rsidRDefault="00152401" w:rsidP="005E0D82">
            <w:pPr>
              <w:spacing w:line="360" w:lineRule="auto"/>
              <w:rPr>
                <w:rFonts w:ascii="Times New Roman" w:hAnsi="Times New Roman" w:cs="Times New Roman"/>
              </w:rPr>
            </w:pPr>
            <w:r w:rsidRPr="00C25FC0">
              <w:rPr>
                <w:rFonts w:ascii="Times New Roman" w:hAnsi="Times New Roman" w:cs="Times New Roman"/>
              </w:rPr>
              <w:t>= Нерадикальная резекция</w:t>
            </w:r>
          </w:p>
          <w:p w:rsidR="00152401" w:rsidRPr="00C25FC0" w:rsidRDefault="00152401" w:rsidP="005E0D82">
            <w:pPr>
              <w:spacing w:line="360" w:lineRule="auto"/>
              <w:rPr>
                <w:rFonts w:ascii="Times New Roman" w:hAnsi="Times New Roman" w:cs="Times New Roman"/>
              </w:rPr>
            </w:pPr>
            <w:r w:rsidRPr="00C25FC0">
              <w:rPr>
                <w:rFonts w:ascii="Times New Roman" w:hAnsi="Times New Roman" w:cs="Times New Roman"/>
              </w:rPr>
              <w:t>= Локализация опухоли в париетальной доле</w:t>
            </w:r>
          </w:p>
          <w:p w:rsidR="00152401" w:rsidRPr="00C25FC0" w:rsidRDefault="00152401" w:rsidP="005E0D82">
            <w:pPr>
              <w:spacing w:line="360" w:lineRule="auto"/>
              <w:rPr>
                <w:rFonts w:ascii="Times New Roman" w:hAnsi="Times New Roman" w:cs="Times New Roman"/>
              </w:rPr>
            </w:pPr>
            <w:r w:rsidRPr="00C25FC0">
              <w:rPr>
                <w:rFonts w:ascii="Times New Roman" w:hAnsi="Times New Roman" w:cs="Times New Roman"/>
              </w:rPr>
              <w:t xml:space="preserve">= </w:t>
            </w:r>
            <w:r w:rsidRPr="00C25FC0">
              <w:rPr>
                <w:rFonts w:ascii="Times New Roman" w:hAnsi="Times New Roman" w:cs="Times New Roman"/>
                <w:lang w:val="en-US"/>
              </w:rPr>
              <w:t>IDHmut</w:t>
            </w:r>
          </w:p>
          <w:p w:rsidR="00B13672" w:rsidRPr="00C25FC0" w:rsidRDefault="00152401" w:rsidP="005E0D82">
            <w:pPr>
              <w:spacing w:line="360" w:lineRule="auto"/>
              <w:rPr>
                <w:rFonts w:ascii="Times New Roman" w:eastAsia="MS Mincho" w:hAnsi="Times New Roman" w:cs="Times New Roman"/>
              </w:rPr>
            </w:pPr>
            <w:r w:rsidRPr="00C25FC0">
              <w:rPr>
                <w:rFonts w:ascii="Times New Roman" w:hAnsi="Times New Roman" w:cs="Times New Roman"/>
                <w:lang w:val="en-US"/>
              </w:rPr>
              <w:t>= IDHmut + MGMT + TP53</w:t>
            </w:r>
          </w:p>
        </w:tc>
      </w:tr>
      <w:tr w:rsidR="00B13672" w:rsidRPr="00C25FC0" w:rsidTr="00960063">
        <w:tc>
          <w:tcPr>
            <w:tcW w:w="1467" w:type="dxa"/>
          </w:tcPr>
          <w:p w:rsidR="00B13672" w:rsidRPr="00C25FC0" w:rsidRDefault="00C25FC0" w:rsidP="005E0D82">
            <w:pPr>
              <w:spacing w:line="360" w:lineRule="auto"/>
              <w:rPr>
                <w:rFonts w:ascii="Times New Roman" w:eastAsia="MS Mincho" w:hAnsi="Times New Roman" w:cs="Times New Roman"/>
              </w:rPr>
            </w:pPr>
            <w:r w:rsidRPr="00C25FC0">
              <w:rPr>
                <w:rFonts w:ascii="Times New Roman" w:hAnsi="Times New Roman" w:cs="Times New Roman"/>
                <w:lang w:val="en-US"/>
              </w:rPr>
              <w:lastRenderedPageBreak/>
              <w:t xml:space="preserve">Zhang, Chiang, Magge et al.  </w:t>
            </w:r>
            <w:r w:rsidR="00B13672" w:rsidRPr="00C25FC0">
              <w:rPr>
                <w:rFonts w:ascii="Times New Roman" w:eastAsia="MS Mincho" w:hAnsi="Times New Roman" w:cs="Times New Roman"/>
                <w:lang w:val="en-US"/>
              </w:rPr>
              <w:t>[</w:t>
            </w:r>
            <w:r w:rsidR="00B13672" w:rsidRPr="00C25FC0">
              <w:rPr>
                <w:rFonts w:ascii="Times New Roman" w:eastAsia="MS Mincho" w:hAnsi="Times New Roman" w:cs="Times New Roman"/>
              </w:rPr>
              <w:t>94</w:t>
            </w:r>
            <w:r w:rsidR="00B13672" w:rsidRPr="00C25FC0">
              <w:rPr>
                <w:rFonts w:ascii="Times New Roman" w:eastAsia="MS Mincho" w:hAnsi="Times New Roman" w:cs="Times New Roman"/>
                <w:lang w:val="en-US"/>
              </w:rPr>
              <w:t>]</w:t>
            </w:r>
          </w:p>
        </w:tc>
        <w:tc>
          <w:tcPr>
            <w:tcW w:w="1510"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68</w:t>
            </w:r>
          </w:p>
        </w:tc>
        <w:tc>
          <w:tcPr>
            <w:tcW w:w="959"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22%</w:t>
            </w:r>
          </w:p>
        </w:tc>
        <w:tc>
          <w:tcPr>
            <w:tcW w:w="6095" w:type="dxa"/>
          </w:tcPr>
          <w:p w:rsidR="00152401" w:rsidRPr="00C25FC0" w:rsidRDefault="00152401" w:rsidP="005E0D82">
            <w:pPr>
              <w:spacing w:line="360" w:lineRule="auto"/>
              <w:rPr>
                <w:rFonts w:ascii="Times New Roman" w:hAnsi="Times New Roman" w:cs="Times New Roman"/>
              </w:rPr>
            </w:pPr>
            <w:r w:rsidRPr="00C25FC0">
              <w:rPr>
                <w:rFonts w:ascii="Times New Roman" w:hAnsi="Times New Roman" w:cs="Times New Roman"/>
              </w:rPr>
              <w:t xml:space="preserve">= Молодой возраст </w:t>
            </w:r>
          </w:p>
          <w:p w:rsidR="00B13672" w:rsidRPr="00C25FC0" w:rsidRDefault="00152401" w:rsidP="005E0D82">
            <w:pPr>
              <w:spacing w:line="360" w:lineRule="auto"/>
              <w:rPr>
                <w:rFonts w:ascii="Times New Roman" w:eastAsia="MS Mincho" w:hAnsi="Times New Roman" w:cs="Times New Roman"/>
              </w:rPr>
            </w:pPr>
            <w:r w:rsidRPr="00C25FC0">
              <w:rPr>
                <w:rFonts w:ascii="Times New Roman" w:hAnsi="Times New Roman" w:cs="Times New Roman"/>
              </w:rPr>
              <w:t>= Высокий объем опухоли</w:t>
            </w:r>
          </w:p>
        </w:tc>
      </w:tr>
      <w:tr w:rsidR="00B13672" w:rsidRPr="00C25FC0" w:rsidTr="00960063">
        <w:tc>
          <w:tcPr>
            <w:tcW w:w="1467" w:type="dxa"/>
          </w:tcPr>
          <w:p w:rsidR="00B13672" w:rsidRPr="00C25FC0" w:rsidRDefault="00C25FC0" w:rsidP="005E0D82">
            <w:pPr>
              <w:spacing w:line="360" w:lineRule="auto"/>
              <w:rPr>
                <w:rFonts w:ascii="Times New Roman" w:eastAsia="MS Mincho" w:hAnsi="Times New Roman" w:cs="Times New Roman"/>
              </w:rPr>
            </w:pPr>
            <w:r w:rsidRPr="00C25FC0">
              <w:rPr>
                <w:rFonts w:ascii="Times New Roman" w:hAnsi="Times New Roman" w:cs="Times New Roman"/>
                <w:lang w:val="en-US"/>
              </w:rPr>
              <w:t xml:space="preserve">Bashir, Brennum, Broholm et al. </w:t>
            </w:r>
            <w:r w:rsidR="00B13672" w:rsidRPr="00C25FC0">
              <w:rPr>
                <w:rFonts w:ascii="Times New Roman" w:eastAsia="MS Mincho" w:hAnsi="Times New Roman" w:cs="Times New Roman"/>
                <w:lang w:val="en-US"/>
              </w:rPr>
              <w:t>[</w:t>
            </w:r>
            <w:r w:rsidR="00B13672" w:rsidRPr="00C25FC0">
              <w:rPr>
                <w:rFonts w:ascii="Times New Roman" w:eastAsia="MS Mincho" w:hAnsi="Times New Roman" w:cs="Times New Roman"/>
              </w:rPr>
              <w:t>95</w:t>
            </w:r>
            <w:r w:rsidR="00B13672" w:rsidRPr="00C25FC0">
              <w:rPr>
                <w:rFonts w:ascii="Times New Roman" w:eastAsia="MS Mincho" w:hAnsi="Times New Roman" w:cs="Times New Roman"/>
                <w:lang w:val="en-US"/>
              </w:rPr>
              <w:t>]</w:t>
            </w:r>
          </w:p>
        </w:tc>
        <w:tc>
          <w:tcPr>
            <w:tcW w:w="1510"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42</w:t>
            </w:r>
          </w:p>
        </w:tc>
        <w:tc>
          <w:tcPr>
            <w:tcW w:w="959" w:type="dxa"/>
          </w:tcPr>
          <w:p w:rsidR="00B13672" w:rsidRPr="00C25FC0" w:rsidRDefault="00B13672" w:rsidP="005E0D82">
            <w:pPr>
              <w:spacing w:line="360" w:lineRule="auto"/>
              <w:rPr>
                <w:rFonts w:ascii="Times New Roman" w:hAnsi="Times New Roman" w:cs="Times New Roman"/>
              </w:rPr>
            </w:pPr>
            <w:r w:rsidRPr="00C25FC0">
              <w:rPr>
                <w:rFonts w:ascii="Times New Roman" w:hAnsi="Times New Roman" w:cs="Times New Roman"/>
              </w:rPr>
              <w:t>55%</w:t>
            </w:r>
          </w:p>
        </w:tc>
        <w:tc>
          <w:tcPr>
            <w:tcW w:w="6095" w:type="dxa"/>
          </w:tcPr>
          <w:p w:rsidR="00B13672" w:rsidRPr="00C25FC0" w:rsidRDefault="00152401" w:rsidP="005E0D82">
            <w:pPr>
              <w:spacing w:line="360" w:lineRule="auto"/>
              <w:rPr>
                <w:rFonts w:ascii="Times New Roman" w:eastAsia="MS Mincho" w:hAnsi="Times New Roman" w:cs="Times New Roman"/>
              </w:rPr>
            </w:pPr>
            <w:r w:rsidRPr="00C25FC0">
              <w:rPr>
                <w:rFonts w:ascii="Times New Roman" w:hAnsi="Times New Roman" w:cs="Times New Roman"/>
              </w:rPr>
              <w:t>= Астроцитарный тип опухоли</w:t>
            </w:r>
          </w:p>
        </w:tc>
      </w:tr>
    </w:tbl>
    <w:p w:rsidR="00960063" w:rsidRDefault="00152401" w:rsidP="005E0D82">
      <w:pPr>
        <w:shd w:val="clear" w:color="auto" w:fill="FFFFFF"/>
        <w:spacing w:line="360" w:lineRule="auto"/>
        <w:rPr>
          <w:rFonts w:ascii="Times New Roman" w:hAnsi="Times New Roman" w:cs="Times New Roman"/>
          <w:sz w:val="28"/>
          <w:szCs w:val="28"/>
        </w:rPr>
      </w:pPr>
      <w:r w:rsidRPr="00152401">
        <w:rPr>
          <w:rFonts w:ascii="Times New Roman" w:eastAsia="MS Mincho" w:hAnsi="Times New Roman" w:cs="Times New Roman"/>
          <w:sz w:val="28"/>
          <w:szCs w:val="28"/>
        </w:rPr>
        <w:t xml:space="preserve">Согласно различным исследованиям, посвященным данному вопросу, в качестве факторов риска злокачественной трансформации можно выделить следующие: </w:t>
      </w:r>
      <w:r w:rsidRPr="00152401">
        <w:rPr>
          <w:rFonts w:ascii="Times New Roman" w:hAnsi="Times New Roman" w:cs="Times New Roman"/>
          <w:sz w:val="28"/>
          <w:szCs w:val="28"/>
        </w:rPr>
        <w:t xml:space="preserve">мужской пол, нерадикальная резекция первичной опухоли, захват контрастного вещества по данным МРТ, высокий дооперационный объем опухоли, отсутствие адъювантной терапии, астроцитарный тип, мутация </w:t>
      </w:r>
      <w:r w:rsidRPr="00152401">
        <w:rPr>
          <w:rFonts w:ascii="Times New Roman" w:hAnsi="Times New Roman" w:cs="Times New Roman"/>
          <w:sz w:val="28"/>
          <w:szCs w:val="28"/>
          <w:lang w:val="en-US"/>
        </w:rPr>
        <w:t>IDH</w:t>
      </w:r>
      <w:r w:rsidRPr="00152401">
        <w:rPr>
          <w:rFonts w:ascii="Times New Roman" w:hAnsi="Times New Roman" w:cs="Times New Roman"/>
          <w:sz w:val="28"/>
          <w:szCs w:val="28"/>
        </w:rPr>
        <w:t>1-2.</w:t>
      </w:r>
      <w:r w:rsidR="00960063">
        <w:rPr>
          <w:rFonts w:ascii="Times New Roman" w:hAnsi="Times New Roman" w:cs="Times New Roman"/>
          <w:sz w:val="28"/>
          <w:szCs w:val="28"/>
        </w:rPr>
        <w:t xml:space="preserve"> Частота злокачественной трансформации, по данным литературы, составила 29%.</w:t>
      </w:r>
    </w:p>
    <w:p w:rsidR="00323A5A" w:rsidRPr="00960063" w:rsidRDefault="00960063" w:rsidP="005E0D82">
      <w:pPr>
        <w:spacing w:line="360" w:lineRule="auto"/>
      </w:pPr>
      <w:r>
        <w:br w:type="page"/>
      </w:r>
    </w:p>
    <w:p w:rsidR="006C7081" w:rsidRPr="00323A5A" w:rsidRDefault="006C7081" w:rsidP="005E0D82">
      <w:pPr>
        <w:pStyle w:val="1"/>
        <w:spacing w:before="0" w:after="0"/>
        <w:jc w:val="both"/>
        <w:rPr>
          <w:rFonts w:cs="Times New Roman"/>
        </w:rPr>
      </w:pPr>
      <w:bookmarkStart w:id="30" w:name="_Toc419408707"/>
      <w:bookmarkStart w:id="31" w:name="_Toc9031267"/>
      <w:bookmarkStart w:id="32" w:name="_Toc9250600"/>
      <w:r w:rsidRPr="00323A5A">
        <w:rPr>
          <w:rFonts w:cs="Times New Roman"/>
        </w:rPr>
        <w:lastRenderedPageBreak/>
        <w:t>Глава 2. Материал и методы</w:t>
      </w:r>
      <w:bookmarkEnd w:id="30"/>
      <w:bookmarkEnd w:id="31"/>
      <w:bookmarkEnd w:id="32"/>
    </w:p>
    <w:p w:rsidR="006C7081" w:rsidRPr="00721EB7" w:rsidRDefault="00C849FD" w:rsidP="005E0D82">
      <w:pPr>
        <w:pStyle w:val="2"/>
        <w:spacing w:before="0" w:after="0" w:line="360" w:lineRule="auto"/>
        <w:jc w:val="both"/>
        <w:rPr>
          <w:rFonts w:cs="Times New Roman"/>
          <w:b/>
          <w:bCs w:val="0"/>
          <w:szCs w:val="28"/>
        </w:rPr>
      </w:pPr>
      <w:bookmarkStart w:id="33" w:name="_Toc419408708"/>
      <w:bookmarkStart w:id="34" w:name="_Toc9031268"/>
      <w:bookmarkStart w:id="35" w:name="_Toc9250601"/>
      <w:r w:rsidRPr="00721EB7">
        <w:rPr>
          <w:rFonts w:cs="Times New Roman"/>
          <w:b/>
          <w:bCs w:val="0"/>
          <w:szCs w:val="28"/>
        </w:rPr>
        <w:t xml:space="preserve">2.1. </w:t>
      </w:r>
      <w:r w:rsidR="006C7081" w:rsidRPr="00721EB7">
        <w:rPr>
          <w:rFonts w:cs="Times New Roman"/>
          <w:b/>
          <w:bCs w:val="0"/>
          <w:szCs w:val="28"/>
        </w:rPr>
        <w:t>Материал исследования</w:t>
      </w:r>
      <w:bookmarkEnd w:id="33"/>
      <w:bookmarkEnd w:id="34"/>
      <w:bookmarkEnd w:id="35"/>
    </w:p>
    <w:p w:rsidR="006C7081" w:rsidRPr="002E124D" w:rsidRDefault="000F3E72" w:rsidP="005E0D82">
      <w:pPr>
        <w:spacing w:after="0" w:line="360" w:lineRule="auto"/>
        <w:jc w:val="both"/>
        <w:rPr>
          <w:rFonts w:ascii="Times New Roman" w:hAnsi="Times New Roman" w:cs="Times New Roman"/>
          <w:sz w:val="28"/>
          <w:szCs w:val="28"/>
        </w:rPr>
      </w:pPr>
      <w:r w:rsidRPr="002E124D">
        <w:rPr>
          <w:rFonts w:ascii="Times New Roman" w:hAnsi="Times New Roman" w:cs="Times New Roman"/>
          <w:sz w:val="28"/>
          <w:szCs w:val="28"/>
        </w:rPr>
        <w:t>В данном исследовании проспективного типа приняло участие 94 пациента с морфологически установленным диагнозом «глиома головного мозга». Опухоли отличались гистологическим разнообразием и были представлены (в соответствии с классификацией ВОЗ):</w:t>
      </w:r>
    </w:p>
    <w:p w:rsidR="000F3E72" w:rsidRPr="002E124D" w:rsidRDefault="000F3E72" w:rsidP="005E0D82">
      <w:pPr>
        <w:spacing w:after="0" w:line="360" w:lineRule="auto"/>
        <w:ind w:firstLine="709"/>
        <w:jc w:val="both"/>
        <w:rPr>
          <w:rFonts w:ascii="Times New Roman" w:hAnsi="Times New Roman" w:cs="Times New Roman"/>
          <w:sz w:val="28"/>
          <w:szCs w:val="28"/>
        </w:rPr>
      </w:pPr>
      <w:r w:rsidRPr="002E124D">
        <w:rPr>
          <w:rFonts w:ascii="Times New Roman" w:hAnsi="Times New Roman" w:cs="Times New Roman"/>
          <w:sz w:val="28"/>
          <w:szCs w:val="28"/>
        </w:rPr>
        <w:t xml:space="preserve">- Диффузной астроцитомой </w:t>
      </w:r>
      <w:r w:rsidRPr="002E124D">
        <w:rPr>
          <w:rFonts w:ascii="Times New Roman" w:hAnsi="Times New Roman" w:cs="Times New Roman"/>
          <w:sz w:val="28"/>
          <w:szCs w:val="28"/>
          <w:lang w:val="en-US"/>
        </w:rPr>
        <w:t>GII</w:t>
      </w:r>
      <w:r w:rsidRPr="002E124D">
        <w:rPr>
          <w:rFonts w:ascii="Times New Roman" w:hAnsi="Times New Roman" w:cs="Times New Roman"/>
          <w:sz w:val="28"/>
          <w:szCs w:val="28"/>
        </w:rPr>
        <w:t xml:space="preserve"> – 29 случаев</w:t>
      </w:r>
    </w:p>
    <w:p w:rsidR="000F3E72" w:rsidRPr="002E124D" w:rsidRDefault="000F3E72" w:rsidP="005E0D82">
      <w:pPr>
        <w:spacing w:after="0" w:line="360" w:lineRule="auto"/>
        <w:ind w:firstLine="709"/>
        <w:jc w:val="both"/>
        <w:rPr>
          <w:rFonts w:ascii="Times New Roman" w:hAnsi="Times New Roman" w:cs="Times New Roman"/>
          <w:sz w:val="28"/>
          <w:szCs w:val="28"/>
        </w:rPr>
      </w:pPr>
      <w:r w:rsidRPr="002E124D">
        <w:rPr>
          <w:rFonts w:ascii="Times New Roman" w:hAnsi="Times New Roman" w:cs="Times New Roman"/>
          <w:sz w:val="28"/>
          <w:szCs w:val="28"/>
        </w:rPr>
        <w:t xml:space="preserve">- Анапластической астроцитомой </w:t>
      </w:r>
      <w:r w:rsidRPr="002E124D">
        <w:rPr>
          <w:rFonts w:ascii="Times New Roman" w:hAnsi="Times New Roman" w:cs="Times New Roman"/>
          <w:sz w:val="28"/>
          <w:szCs w:val="28"/>
          <w:lang w:val="en-US"/>
        </w:rPr>
        <w:t>GIII</w:t>
      </w:r>
      <w:r w:rsidRPr="002E124D">
        <w:rPr>
          <w:rFonts w:ascii="Times New Roman" w:hAnsi="Times New Roman" w:cs="Times New Roman"/>
          <w:sz w:val="28"/>
          <w:szCs w:val="28"/>
        </w:rPr>
        <w:t xml:space="preserve"> – 46 случаев</w:t>
      </w:r>
    </w:p>
    <w:p w:rsidR="000F3E72" w:rsidRPr="002E124D" w:rsidRDefault="000F3E72" w:rsidP="005E0D82">
      <w:pPr>
        <w:spacing w:after="0" w:line="360" w:lineRule="auto"/>
        <w:ind w:firstLine="709"/>
        <w:jc w:val="both"/>
        <w:rPr>
          <w:rFonts w:ascii="Times New Roman" w:hAnsi="Times New Roman" w:cs="Times New Roman"/>
          <w:sz w:val="28"/>
          <w:szCs w:val="28"/>
        </w:rPr>
      </w:pPr>
      <w:r w:rsidRPr="002E124D">
        <w:rPr>
          <w:rFonts w:ascii="Times New Roman" w:hAnsi="Times New Roman" w:cs="Times New Roman"/>
          <w:sz w:val="28"/>
          <w:szCs w:val="28"/>
        </w:rPr>
        <w:t xml:space="preserve">- Олигодендроглиомой </w:t>
      </w:r>
      <w:r w:rsidRPr="002E124D">
        <w:rPr>
          <w:rFonts w:ascii="Times New Roman" w:hAnsi="Times New Roman" w:cs="Times New Roman"/>
          <w:sz w:val="28"/>
          <w:szCs w:val="28"/>
          <w:lang w:val="en-US"/>
        </w:rPr>
        <w:t>GII</w:t>
      </w:r>
      <w:r w:rsidRPr="002E124D">
        <w:rPr>
          <w:rFonts w:ascii="Times New Roman" w:hAnsi="Times New Roman" w:cs="Times New Roman"/>
          <w:sz w:val="28"/>
          <w:szCs w:val="28"/>
        </w:rPr>
        <w:t xml:space="preserve"> – 5 случаев</w:t>
      </w:r>
    </w:p>
    <w:p w:rsidR="000F3E72" w:rsidRPr="002E124D" w:rsidRDefault="000F3E72" w:rsidP="005E0D82">
      <w:pPr>
        <w:spacing w:after="0" w:line="360" w:lineRule="auto"/>
        <w:ind w:firstLine="709"/>
        <w:jc w:val="both"/>
        <w:rPr>
          <w:rFonts w:ascii="Times New Roman" w:hAnsi="Times New Roman" w:cs="Times New Roman"/>
          <w:sz w:val="28"/>
          <w:szCs w:val="28"/>
        </w:rPr>
      </w:pPr>
      <w:r w:rsidRPr="002E124D">
        <w:rPr>
          <w:rFonts w:ascii="Times New Roman" w:hAnsi="Times New Roman" w:cs="Times New Roman"/>
          <w:sz w:val="28"/>
          <w:szCs w:val="28"/>
        </w:rPr>
        <w:t xml:space="preserve">- Анапластической олигодендроглиомой </w:t>
      </w:r>
      <w:r w:rsidRPr="002E124D">
        <w:rPr>
          <w:rFonts w:ascii="Times New Roman" w:hAnsi="Times New Roman" w:cs="Times New Roman"/>
          <w:sz w:val="28"/>
          <w:szCs w:val="28"/>
          <w:lang w:val="en-US"/>
        </w:rPr>
        <w:t>GIII</w:t>
      </w:r>
      <w:r w:rsidRPr="002E124D">
        <w:rPr>
          <w:rFonts w:ascii="Times New Roman" w:hAnsi="Times New Roman" w:cs="Times New Roman"/>
          <w:sz w:val="28"/>
          <w:szCs w:val="28"/>
        </w:rPr>
        <w:t xml:space="preserve"> – 14 случаев</w:t>
      </w:r>
    </w:p>
    <w:p w:rsidR="000F3E72" w:rsidRPr="002E124D" w:rsidRDefault="000F3E72" w:rsidP="005E0D82">
      <w:pPr>
        <w:spacing w:after="0" w:line="360" w:lineRule="auto"/>
        <w:ind w:firstLine="709"/>
        <w:jc w:val="both"/>
        <w:rPr>
          <w:rFonts w:ascii="Times New Roman" w:hAnsi="Times New Roman" w:cs="Times New Roman"/>
          <w:sz w:val="28"/>
          <w:szCs w:val="28"/>
        </w:rPr>
      </w:pPr>
      <w:r w:rsidRPr="002E124D">
        <w:rPr>
          <w:rFonts w:ascii="Times New Roman" w:hAnsi="Times New Roman" w:cs="Times New Roman"/>
          <w:sz w:val="28"/>
          <w:szCs w:val="28"/>
        </w:rPr>
        <w:t>Всем пациентам было проведено хирургическое лечение первичной опухоли в объеме радикальной резекции с последующей гистологической верификацией; дальнейшая лечебная тактика варьировала от наблюдения до адъювантной лучевой, химиолучевой и химиотерапии</w:t>
      </w:r>
      <w:r w:rsidR="00D23D09" w:rsidRPr="002E124D">
        <w:rPr>
          <w:rFonts w:ascii="Times New Roman" w:hAnsi="Times New Roman" w:cs="Times New Roman"/>
          <w:sz w:val="28"/>
          <w:szCs w:val="28"/>
        </w:rPr>
        <w:t xml:space="preserve"> в зависимости от клинической базы и характеристик опухоли</w:t>
      </w:r>
      <w:r w:rsidRPr="002E124D">
        <w:rPr>
          <w:rFonts w:ascii="Times New Roman" w:hAnsi="Times New Roman" w:cs="Times New Roman"/>
          <w:sz w:val="28"/>
          <w:szCs w:val="28"/>
        </w:rPr>
        <w:t>. В случае рецидива первичной опухоли пациентам проводилось повторное хирургическое лечение, либо, в случае, когда анатомические особенности расположения опухоли не позволяли провести операцию, стереотаксическая биопсия опухолевого материала с последующей верификацией и/или консервативное лечение.</w:t>
      </w:r>
    </w:p>
    <w:p w:rsidR="00D23D09" w:rsidRPr="002E124D" w:rsidRDefault="00D23D09" w:rsidP="005E0D82">
      <w:pPr>
        <w:spacing w:after="0" w:line="360" w:lineRule="auto"/>
        <w:ind w:firstLine="709"/>
        <w:jc w:val="both"/>
        <w:rPr>
          <w:rFonts w:ascii="Times New Roman" w:hAnsi="Times New Roman" w:cs="Times New Roman"/>
          <w:sz w:val="28"/>
          <w:szCs w:val="28"/>
        </w:rPr>
      </w:pPr>
      <w:r w:rsidRPr="002E124D">
        <w:rPr>
          <w:rFonts w:ascii="Times New Roman" w:hAnsi="Times New Roman" w:cs="Times New Roman"/>
          <w:sz w:val="28"/>
          <w:szCs w:val="28"/>
        </w:rPr>
        <w:t>Исследуемые пациенты проходили лечение в различных клинических базах г. Санкт-Петербурга, таких как НИИ нейрохирургии им. А.Л. Поленова, НМИЦ онкологии им. Н.Н. Петрова, ЛДЦ МИБС и др. в период времени с 2008 по 2018 год</w:t>
      </w:r>
      <w:r w:rsidR="00DB5F18" w:rsidRPr="002E124D">
        <w:rPr>
          <w:rFonts w:ascii="Times New Roman" w:hAnsi="Times New Roman" w:cs="Times New Roman"/>
          <w:sz w:val="28"/>
          <w:szCs w:val="28"/>
        </w:rPr>
        <w:t xml:space="preserve">. </w:t>
      </w:r>
    </w:p>
    <w:p w:rsidR="00DB5F18" w:rsidRPr="00721EB7" w:rsidRDefault="00721EB7" w:rsidP="005E0D82">
      <w:pPr>
        <w:pStyle w:val="2"/>
        <w:spacing w:before="0" w:after="0" w:line="360" w:lineRule="auto"/>
        <w:rPr>
          <w:rStyle w:val="20"/>
          <w:b/>
        </w:rPr>
      </w:pPr>
      <w:bookmarkStart w:id="36" w:name="_Toc419408709"/>
      <w:bookmarkStart w:id="37" w:name="_Toc9031269"/>
      <w:bookmarkStart w:id="38" w:name="_Toc9250602"/>
      <w:r w:rsidRPr="00721EB7">
        <w:rPr>
          <w:rStyle w:val="20"/>
          <w:b/>
        </w:rPr>
        <w:t xml:space="preserve">2.2. </w:t>
      </w:r>
      <w:r w:rsidR="006C7081" w:rsidRPr="00721EB7">
        <w:rPr>
          <w:rStyle w:val="20"/>
          <w:b/>
        </w:rPr>
        <w:t>Методы исследования</w:t>
      </w:r>
      <w:bookmarkEnd w:id="36"/>
      <w:bookmarkEnd w:id="37"/>
      <w:bookmarkEnd w:id="38"/>
    </w:p>
    <w:p w:rsidR="00DB5F18" w:rsidRPr="002E124D" w:rsidRDefault="00DB5F18" w:rsidP="005E0D82">
      <w:pPr>
        <w:spacing w:after="0" w:line="360" w:lineRule="auto"/>
        <w:rPr>
          <w:rFonts w:ascii="Times New Roman" w:hAnsi="Times New Roman" w:cs="Times New Roman"/>
          <w:sz w:val="28"/>
          <w:szCs w:val="28"/>
        </w:rPr>
      </w:pPr>
      <w:r w:rsidRPr="002E124D">
        <w:rPr>
          <w:rFonts w:ascii="Times New Roman" w:hAnsi="Times New Roman" w:cs="Times New Roman"/>
          <w:sz w:val="28"/>
          <w:szCs w:val="28"/>
        </w:rPr>
        <w:t xml:space="preserve">В </w:t>
      </w:r>
      <w:r w:rsidR="00E829E2" w:rsidRPr="002E124D">
        <w:rPr>
          <w:rFonts w:ascii="Times New Roman" w:hAnsi="Times New Roman" w:cs="Times New Roman"/>
          <w:sz w:val="28"/>
          <w:szCs w:val="28"/>
        </w:rPr>
        <w:t>рамках исследования</w:t>
      </w:r>
      <w:r w:rsidRPr="002E124D">
        <w:rPr>
          <w:rFonts w:ascii="Times New Roman" w:hAnsi="Times New Roman" w:cs="Times New Roman"/>
          <w:sz w:val="28"/>
          <w:szCs w:val="28"/>
        </w:rPr>
        <w:t xml:space="preserve"> были </w:t>
      </w:r>
      <w:r w:rsidR="00E829E2" w:rsidRPr="002E124D">
        <w:rPr>
          <w:rFonts w:ascii="Times New Roman" w:hAnsi="Times New Roman" w:cs="Times New Roman"/>
          <w:sz w:val="28"/>
          <w:szCs w:val="28"/>
        </w:rPr>
        <w:t>использованы различные методы: для получения данных о клинических характеристиках опухолей проводился анализ историй болезни, операционных протоколов, выписных эпикризов. Для диагнос</w:t>
      </w:r>
      <w:r w:rsidR="00152F85" w:rsidRPr="002E124D">
        <w:rPr>
          <w:rFonts w:ascii="Times New Roman" w:hAnsi="Times New Roman" w:cs="Times New Roman"/>
          <w:sz w:val="28"/>
          <w:szCs w:val="28"/>
        </w:rPr>
        <w:t xml:space="preserve">тики размера и ориентировочной дифференцировки опухоли применялись методы ПЭТ/МРТ с контрастным усилением на всех этапах лечения. Для морфологической верификации применялись методы </w:t>
      </w:r>
      <w:r w:rsidR="00152F85" w:rsidRPr="002E124D">
        <w:rPr>
          <w:rFonts w:ascii="Times New Roman" w:hAnsi="Times New Roman" w:cs="Times New Roman"/>
          <w:sz w:val="28"/>
          <w:szCs w:val="28"/>
        </w:rPr>
        <w:lastRenderedPageBreak/>
        <w:t xml:space="preserve">световой микроскопии послеоперационного материала, для определения мутаций </w:t>
      </w:r>
      <w:r w:rsidR="00152F85" w:rsidRPr="002E124D">
        <w:rPr>
          <w:rFonts w:ascii="Times New Roman" w:hAnsi="Times New Roman" w:cs="Times New Roman"/>
          <w:sz w:val="28"/>
          <w:szCs w:val="28"/>
          <w:lang w:val="en-US"/>
        </w:rPr>
        <w:t>IDH</w:t>
      </w:r>
      <w:r w:rsidR="00152F85" w:rsidRPr="002E124D">
        <w:rPr>
          <w:rFonts w:ascii="Times New Roman" w:hAnsi="Times New Roman" w:cs="Times New Roman"/>
          <w:sz w:val="28"/>
          <w:szCs w:val="28"/>
        </w:rPr>
        <w:t>1-2 применялась ИГХ послеоперационного материала. Для исследования уровня экспрессии молекулярно-генетических маркеров применялась ПЦР гистологического материала в режиме реального времени на различных этапах лечения.</w:t>
      </w:r>
    </w:p>
    <w:p w:rsidR="006C7081" w:rsidRPr="00721EB7" w:rsidRDefault="006C7081" w:rsidP="005E0D82">
      <w:pPr>
        <w:pStyle w:val="2"/>
        <w:numPr>
          <w:ilvl w:val="1"/>
          <w:numId w:val="4"/>
        </w:numPr>
        <w:spacing w:before="0" w:after="0" w:line="360" w:lineRule="auto"/>
        <w:rPr>
          <w:b/>
          <w:bCs w:val="0"/>
        </w:rPr>
      </w:pPr>
      <w:bookmarkStart w:id="39" w:name="_Toc419408714"/>
      <w:bookmarkStart w:id="40" w:name="_Toc9031270"/>
      <w:bookmarkStart w:id="41" w:name="_Toc9250603"/>
      <w:r w:rsidRPr="00721EB7">
        <w:rPr>
          <w:b/>
          <w:bCs w:val="0"/>
        </w:rPr>
        <w:t>Статистическая обработка результатов</w:t>
      </w:r>
      <w:bookmarkEnd w:id="39"/>
      <w:bookmarkEnd w:id="40"/>
      <w:bookmarkEnd w:id="41"/>
    </w:p>
    <w:p w:rsidR="006C7081" w:rsidRPr="002E124D" w:rsidRDefault="006C7081" w:rsidP="005E0D82">
      <w:pPr>
        <w:spacing w:after="0" w:line="360" w:lineRule="auto"/>
        <w:jc w:val="both"/>
        <w:rPr>
          <w:rFonts w:ascii="Times New Roman" w:hAnsi="Times New Roman" w:cs="Times New Roman"/>
          <w:sz w:val="28"/>
          <w:szCs w:val="28"/>
        </w:rPr>
      </w:pPr>
      <w:r w:rsidRPr="002E124D">
        <w:rPr>
          <w:rFonts w:ascii="Times New Roman" w:hAnsi="Times New Roman" w:cs="Times New Roman"/>
          <w:sz w:val="28"/>
          <w:szCs w:val="28"/>
        </w:rPr>
        <w:t>Для статистической обработки полученных данных исследования использовали пакет прикладных программ для статистического</w:t>
      </w:r>
      <w:r w:rsidR="00116006" w:rsidRPr="002E124D">
        <w:rPr>
          <w:rFonts w:ascii="Times New Roman" w:hAnsi="Times New Roman" w:cs="Times New Roman"/>
          <w:sz w:val="28"/>
          <w:szCs w:val="28"/>
        </w:rPr>
        <w:t xml:space="preserve"> анализа </w:t>
      </w:r>
      <w:r w:rsidR="00116006" w:rsidRPr="002E124D">
        <w:rPr>
          <w:rFonts w:ascii="Times New Roman" w:hAnsi="Times New Roman" w:cs="Times New Roman"/>
          <w:sz w:val="28"/>
          <w:szCs w:val="28"/>
          <w:lang w:val="en-US"/>
        </w:rPr>
        <w:t>GraphPad</w:t>
      </w:r>
      <w:r w:rsidR="00116006" w:rsidRPr="002E124D">
        <w:rPr>
          <w:rFonts w:ascii="Times New Roman" w:hAnsi="Times New Roman" w:cs="Times New Roman"/>
          <w:sz w:val="28"/>
          <w:szCs w:val="28"/>
        </w:rPr>
        <w:t xml:space="preserve"> </w:t>
      </w:r>
      <w:r w:rsidR="00116006" w:rsidRPr="002E124D">
        <w:rPr>
          <w:rFonts w:ascii="Times New Roman" w:hAnsi="Times New Roman" w:cs="Times New Roman"/>
          <w:sz w:val="28"/>
          <w:szCs w:val="28"/>
          <w:lang w:val="en-US"/>
        </w:rPr>
        <w:t>Software</w:t>
      </w:r>
      <w:r w:rsidR="00116006" w:rsidRPr="002E124D">
        <w:rPr>
          <w:rFonts w:ascii="Times New Roman" w:hAnsi="Times New Roman" w:cs="Times New Roman"/>
          <w:sz w:val="28"/>
          <w:szCs w:val="28"/>
        </w:rPr>
        <w:t>.</w:t>
      </w:r>
    </w:p>
    <w:p w:rsidR="006C7081" w:rsidRPr="002E124D" w:rsidRDefault="006C7081" w:rsidP="005E0D82">
      <w:pPr>
        <w:spacing w:after="0" w:line="360" w:lineRule="auto"/>
        <w:jc w:val="both"/>
        <w:rPr>
          <w:rFonts w:ascii="Times New Roman" w:hAnsi="Times New Roman" w:cs="Times New Roman"/>
          <w:sz w:val="28"/>
          <w:szCs w:val="28"/>
        </w:rPr>
      </w:pPr>
      <w:r w:rsidRPr="002E124D">
        <w:rPr>
          <w:rFonts w:ascii="Times New Roman" w:hAnsi="Times New Roman" w:cs="Times New Roman"/>
          <w:sz w:val="28"/>
          <w:szCs w:val="28"/>
        </w:rPr>
        <w:tab/>
        <w:t>Исследуемые выборки были предварительно проверены на подчинение закону нормального распределения с использованием критерия Колмогорова-Смирнова.</w:t>
      </w:r>
    </w:p>
    <w:p w:rsidR="006C7081" w:rsidRPr="002E124D" w:rsidRDefault="006C7081" w:rsidP="005E0D82">
      <w:pPr>
        <w:spacing w:after="0" w:line="360" w:lineRule="auto"/>
        <w:jc w:val="both"/>
        <w:rPr>
          <w:rFonts w:ascii="Times New Roman" w:hAnsi="Times New Roman" w:cs="Times New Roman"/>
          <w:sz w:val="28"/>
          <w:szCs w:val="28"/>
        </w:rPr>
      </w:pPr>
      <w:r w:rsidRPr="002E124D">
        <w:rPr>
          <w:rFonts w:ascii="Times New Roman" w:hAnsi="Times New Roman" w:cs="Times New Roman"/>
          <w:sz w:val="28"/>
          <w:szCs w:val="28"/>
        </w:rPr>
        <w:tab/>
        <w:t xml:space="preserve">Для оценки </w:t>
      </w:r>
      <w:r w:rsidR="00B6229A" w:rsidRPr="002E124D">
        <w:rPr>
          <w:rFonts w:ascii="Times New Roman" w:hAnsi="Times New Roman" w:cs="Times New Roman"/>
          <w:sz w:val="28"/>
          <w:szCs w:val="28"/>
        </w:rPr>
        <w:t xml:space="preserve">корреляции показателей выживаемости использовался метод множительных оценок Каплана-Майера, для вычисления риска злокачественной трансформации использовался многофакторный математический анализ и линейный анализ риска. </w:t>
      </w:r>
    </w:p>
    <w:p w:rsidR="006C7081" w:rsidRPr="002E124D" w:rsidRDefault="006C7081" w:rsidP="005E0D82">
      <w:pPr>
        <w:spacing w:after="0" w:line="360" w:lineRule="auto"/>
        <w:jc w:val="both"/>
        <w:rPr>
          <w:rFonts w:ascii="Times New Roman" w:hAnsi="Times New Roman" w:cs="Times New Roman"/>
          <w:sz w:val="28"/>
          <w:szCs w:val="28"/>
        </w:rPr>
      </w:pPr>
      <w:r w:rsidRPr="002E124D">
        <w:rPr>
          <w:rFonts w:ascii="Times New Roman" w:hAnsi="Times New Roman" w:cs="Times New Roman"/>
          <w:sz w:val="28"/>
          <w:szCs w:val="28"/>
        </w:rPr>
        <w:tab/>
        <w:t xml:space="preserve">Результаты, полученные в ходе исследования, отражают тенденцию; для повышения точности и надежности данных результатов необходимо </w:t>
      </w:r>
      <w:r w:rsidR="00B6229A" w:rsidRPr="002E124D">
        <w:rPr>
          <w:rFonts w:ascii="Times New Roman" w:hAnsi="Times New Roman" w:cs="Times New Roman"/>
          <w:sz w:val="28"/>
          <w:szCs w:val="28"/>
        </w:rPr>
        <w:t>оптимизировать медиану наблюдения для более точной проспективной оценки.</w:t>
      </w:r>
    </w:p>
    <w:p w:rsidR="0044700C" w:rsidRPr="002E124D" w:rsidRDefault="006C7081" w:rsidP="005E0D82">
      <w:pPr>
        <w:pStyle w:val="1"/>
        <w:spacing w:before="0" w:after="0"/>
        <w:jc w:val="both"/>
        <w:rPr>
          <w:rFonts w:cs="Times New Roman"/>
        </w:rPr>
      </w:pPr>
      <w:r w:rsidRPr="002E124D">
        <w:rPr>
          <w:rFonts w:cs="Times New Roman"/>
          <w:b w:val="0"/>
        </w:rPr>
        <w:br w:type="page"/>
      </w:r>
      <w:bookmarkStart w:id="42" w:name="_Toc419408715"/>
      <w:bookmarkStart w:id="43" w:name="_Toc9031271"/>
      <w:bookmarkStart w:id="44" w:name="_Toc9250604"/>
      <w:r w:rsidR="0044700C" w:rsidRPr="002E124D">
        <w:rPr>
          <w:rFonts w:cs="Times New Roman"/>
        </w:rPr>
        <w:lastRenderedPageBreak/>
        <w:t>Глава 3. Результаты собственных исследований.</w:t>
      </w:r>
      <w:bookmarkEnd w:id="42"/>
      <w:bookmarkEnd w:id="43"/>
      <w:bookmarkEnd w:id="44"/>
    </w:p>
    <w:p w:rsidR="002E124D" w:rsidRPr="00D40B81" w:rsidRDefault="002E124D" w:rsidP="005E0D82">
      <w:pPr>
        <w:pStyle w:val="2"/>
        <w:spacing w:before="0" w:after="0" w:line="360" w:lineRule="auto"/>
        <w:rPr>
          <w:b/>
          <w:bCs w:val="0"/>
        </w:rPr>
      </w:pPr>
      <w:bookmarkStart w:id="45" w:name="_Toc9031272"/>
      <w:bookmarkStart w:id="46" w:name="_Toc9250605"/>
      <w:r w:rsidRPr="00D40B81">
        <w:rPr>
          <w:b/>
          <w:bCs w:val="0"/>
        </w:rPr>
        <w:t xml:space="preserve">3.1. Частота встречаемости мутации </w:t>
      </w:r>
      <w:r w:rsidRPr="00D40B81">
        <w:rPr>
          <w:b/>
          <w:bCs w:val="0"/>
          <w:lang w:val="en-US"/>
        </w:rPr>
        <w:t>IDH</w:t>
      </w:r>
      <w:r w:rsidRPr="00D40B81">
        <w:rPr>
          <w:b/>
          <w:bCs w:val="0"/>
        </w:rPr>
        <w:t xml:space="preserve"> в глиомах </w:t>
      </w:r>
      <w:r w:rsidRPr="00D40B81">
        <w:rPr>
          <w:b/>
          <w:bCs w:val="0"/>
          <w:lang w:val="en-US"/>
        </w:rPr>
        <w:t>GII</w:t>
      </w:r>
      <w:r w:rsidRPr="00D40B81">
        <w:rPr>
          <w:b/>
          <w:bCs w:val="0"/>
        </w:rPr>
        <w:t>/</w:t>
      </w:r>
      <w:r w:rsidRPr="00D40B81">
        <w:rPr>
          <w:b/>
          <w:bCs w:val="0"/>
          <w:lang w:val="en-US"/>
        </w:rPr>
        <w:t>GIII</w:t>
      </w:r>
      <w:bookmarkEnd w:id="45"/>
      <w:bookmarkEnd w:id="46"/>
    </w:p>
    <w:p w:rsidR="002E124D" w:rsidRDefault="002E124D" w:rsidP="005E0D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Частота встречаемости мутации </w:t>
      </w:r>
      <w:r>
        <w:rPr>
          <w:rFonts w:ascii="Times New Roman" w:hAnsi="Times New Roman" w:cs="Times New Roman"/>
          <w:sz w:val="28"/>
          <w:szCs w:val="28"/>
          <w:lang w:val="en-US"/>
        </w:rPr>
        <w:t>IDH</w:t>
      </w:r>
      <w:r>
        <w:rPr>
          <w:rFonts w:ascii="Times New Roman" w:hAnsi="Times New Roman" w:cs="Times New Roman"/>
          <w:sz w:val="28"/>
          <w:szCs w:val="28"/>
        </w:rPr>
        <w:t xml:space="preserve"> в опухолевом материале от 1-й и 2-й операций была различной и в целом зависела от гистологического подтипа первичной опухоли</w:t>
      </w:r>
      <w:r w:rsidR="0039083C">
        <w:rPr>
          <w:rFonts w:ascii="Times New Roman" w:hAnsi="Times New Roman" w:cs="Times New Roman"/>
          <w:sz w:val="28"/>
          <w:szCs w:val="28"/>
        </w:rPr>
        <w:t xml:space="preserve"> (табл. 1)</w:t>
      </w:r>
      <w:r>
        <w:rPr>
          <w:rFonts w:ascii="Times New Roman" w:hAnsi="Times New Roman" w:cs="Times New Roman"/>
          <w:sz w:val="28"/>
          <w:szCs w:val="28"/>
        </w:rPr>
        <w:t>, так, в ДА</w:t>
      </w:r>
      <w:r>
        <w:rPr>
          <w:rFonts w:ascii="Times New Roman" w:hAnsi="Times New Roman" w:cs="Times New Roman"/>
          <w:sz w:val="28"/>
          <w:szCs w:val="28"/>
          <w:lang w:val="en-US"/>
        </w:rPr>
        <w:t>GII</w:t>
      </w:r>
      <w:r>
        <w:rPr>
          <w:rFonts w:ascii="Times New Roman" w:hAnsi="Times New Roman" w:cs="Times New Roman"/>
          <w:sz w:val="28"/>
          <w:szCs w:val="28"/>
        </w:rPr>
        <w:t xml:space="preserve"> мутация в генах </w:t>
      </w:r>
      <w:r>
        <w:rPr>
          <w:rFonts w:ascii="Times New Roman" w:hAnsi="Times New Roman" w:cs="Times New Roman"/>
          <w:sz w:val="28"/>
          <w:szCs w:val="28"/>
          <w:lang w:val="en-US"/>
        </w:rPr>
        <w:t>IDH</w:t>
      </w:r>
      <w:r>
        <w:rPr>
          <w:rFonts w:ascii="Times New Roman" w:hAnsi="Times New Roman" w:cs="Times New Roman"/>
          <w:sz w:val="28"/>
          <w:szCs w:val="28"/>
        </w:rPr>
        <w:t xml:space="preserve"> составила 79% (22 случая), в АА</w:t>
      </w:r>
      <w:r>
        <w:rPr>
          <w:rFonts w:ascii="Times New Roman" w:hAnsi="Times New Roman" w:cs="Times New Roman"/>
          <w:sz w:val="28"/>
          <w:szCs w:val="28"/>
          <w:lang w:val="en-US"/>
        </w:rPr>
        <w:t>GIII</w:t>
      </w:r>
      <w:r>
        <w:rPr>
          <w:rFonts w:ascii="Times New Roman" w:hAnsi="Times New Roman" w:cs="Times New Roman"/>
          <w:sz w:val="28"/>
          <w:szCs w:val="28"/>
        </w:rPr>
        <w:t xml:space="preserve"> – 60% (21 случай)</w:t>
      </w:r>
      <w:r w:rsidR="0039083C">
        <w:rPr>
          <w:rFonts w:ascii="Times New Roman" w:hAnsi="Times New Roman" w:cs="Times New Roman"/>
          <w:sz w:val="28"/>
          <w:szCs w:val="28"/>
        </w:rPr>
        <w:t>, что соответствует характерному для опухолей данного типа генотипу</w:t>
      </w:r>
      <w:r w:rsidR="0039083C" w:rsidRPr="0039083C">
        <w:rPr>
          <w:rFonts w:ascii="Times New Roman" w:hAnsi="Times New Roman" w:cs="Times New Roman"/>
          <w:sz w:val="28"/>
          <w:szCs w:val="28"/>
        </w:rPr>
        <w:t xml:space="preserve"> [</w:t>
      </w:r>
      <w:r w:rsidR="0039083C">
        <w:rPr>
          <w:rFonts w:ascii="Times New Roman" w:hAnsi="Times New Roman" w:cs="Times New Roman"/>
          <w:sz w:val="28"/>
          <w:szCs w:val="28"/>
        </w:rPr>
        <w:t>1</w:t>
      </w:r>
      <w:r w:rsidR="0039083C" w:rsidRPr="0039083C">
        <w:rPr>
          <w:rFonts w:ascii="Times New Roman" w:hAnsi="Times New Roman" w:cs="Times New Roman"/>
          <w:sz w:val="28"/>
          <w:szCs w:val="28"/>
        </w:rPr>
        <w:t>]</w:t>
      </w:r>
      <w:r w:rsidR="0039083C">
        <w:rPr>
          <w:rFonts w:ascii="Times New Roman" w:hAnsi="Times New Roman" w:cs="Times New Roman"/>
          <w:sz w:val="28"/>
          <w:szCs w:val="28"/>
        </w:rPr>
        <w:t>.</w:t>
      </w:r>
    </w:p>
    <w:p w:rsidR="0039083C" w:rsidRDefault="0039083C" w:rsidP="005E0D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Что касается олигодендроглиальных опухолей, то частота встречаемости мутации </w:t>
      </w:r>
      <w:r>
        <w:rPr>
          <w:rFonts w:ascii="Times New Roman" w:hAnsi="Times New Roman" w:cs="Times New Roman"/>
          <w:sz w:val="28"/>
          <w:szCs w:val="28"/>
          <w:lang w:val="en-US"/>
        </w:rPr>
        <w:t>IDH</w:t>
      </w:r>
      <w:r>
        <w:rPr>
          <w:rFonts w:ascii="Times New Roman" w:hAnsi="Times New Roman" w:cs="Times New Roman"/>
          <w:sz w:val="28"/>
          <w:szCs w:val="28"/>
        </w:rPr>
        <w:t xml:space="preserve"> составила 100% (4 случая) при ОДГ</w:t>
      </w:r>
      <w:r>
        <w:rPr>
          <w:rFonts w:ascii="Times New Roman" w:hAnsi="Times New Roman" w:cs="Times New Roman"/>
          <w:sz w:val="28"/>
          <w:szCs w:val="28"/>
          <w:lang w:val="en-US"/>
        </w:rPr>
        <w:t>GII</w:t>
      </w:r>
      <w:r>
        <w:rPr>
          <w:rFonts w:ascii="Times New Roman" w:hAnsi="Times New Roman" w:cs="Times New Roman"/>
          <w:sz w:val="28"/>
          <w:szCs w:val="28"/>
        </w:rPr>
        <w:t xml:space="preserve"> и 86% (12 случаев) при</w:t>
      </w:r>
      <w:r w:rsidRPr="0039083C">
        <w:rPr>
          <w:rFonts w:ascii="Times New Roman" w:hAnsi="Times New Roman" w:cs="Times New Roman"/>
          <w:sz w:val="28"/>
          <w:szCs w:val="28"/>
        </w:rPr>
        <w:t xml:space="preserve"> </w:t>
      </w:r>
      <w:r>
        <w:rPr>
          <w:rFonts w:ascii="Times New Roman" w:hAnsi="Times New Roman" w:cs="Times New Roman"/>
          <w:sz w:val="28"/>
          <w:szCs w:val="28"/>
        </w:rPr>
        <w:t>АОДГ</w:t>
      </w:r>
      <w:r>
        <w:rPr>
          <w:rFonts w:ascii="Times New Roman" w:hAnsi="Times New Roman" w:cs="Times New Roman"/>
          <w:sz w:val="28"/>
          <w:szCs w:val="28"/>
          <w:lang w:val="en-US"/>
        </w:rPr>
        <w:t>GIII</w:t>
      </w:r>
      <w:r>
        <w:rPr>
          <w:rFonts w:ascii="Times New Roman" w:hAnsi="Times New Roman" w:cs="Times New Roman"/>
          <w:sz w:val="28"/>
          <w:szCs w:val="28"/>
        </w:rPr>
        <w:t>.</w:t>
      </w:r>
    </w:p>
    <w:p w:rsidR="005C69DA" w:rsidRDefault="005C69DA" w:rsidP="005E0D82">
      <w:pPr>
        <w:pStyle w:val="ae"/>
        <w:keepNext/>
        <w:spacing w:after="0" w:line="360" w:lineRule="auto"/>
      </w:pPr>
      <w:r>
        <w:t xml:space="preserve">Таблица </w:t>
      </w:r>
      <w:fldSimple w:instr=" SEQ Таблица \* ARABIC ">
        <w:r w:rsidR="00DD6C05">
          <w:rPr>
            <w:noProof/>
          </w:rPr>
          <w:t>2</w:t>
        </w:r>
      </w:fldSimple>
      <w:r>
        <w:t xml:space="preserve">. Частота встречаемости мутации </w:t>
      </w:r>
      <w:r>
        <w:rPr>
          <w:lang w:val="en-US"/>
        </w:rPr>
        <w:t>IDH</w:t>
      </w:r>
      <w:r w:rsidRPr="005C69DA">
        <w:t xml:space="preserve"> </w:t>
      </w:r>
      <w:r>
        <w:t xml:space="preserve">в глиомах </w:t>
      </w:r>
      <w:r>
        <w:rPr>
          <w:lang w:val="en-US"/>
        </w:rPr>
        <w:t>GII</w:t>
      </w:r>
      <w:r w:rsidRPr="005C69DA">
        <w:t>/</w:t>
      </w:r>
      <w:r>
        <w:rPr>
          <w:lang w:val="en-US"/>
        </w:rPr>
        <w:t>GIII</w:t>
      </w:r>
    </w:p>
    <w:tbl>
      <w:tblPr>
        <w:tblStyle w:val="a4"/>
        <w:tblW w:w="0" w:type="auto"/>
        <w:tblLook w:val="04A0" w:firstRow="1" w:lastRow="0" w:firstColumn="1" w:lastColumn="0" w:noHBand="0" w:noVBand="1"/>
      </w:tblPr>
      <w:tblGrid>
        <w:gridCol w:w="2251"/>
        <w:gridCol w:w="1759"/>
        <w:gridCol w:w="1759"/>
        <w:gridCol w:w="1759"/>
        <w:gridCol w:w="1759"/>
      </w:tblGrid>
      <w:tr w:rsidR="005C69DA" w:rsidTr="005C69DA">
        <w:tc>
          <w:tcPr>
            <w:tcW w:w="2251" w:type="dxa"/>
          </w:tcPr>
          <w:p w:rsidR="005C69DA" w:rsidRPr="0039083C" w:rsidRDefault="005C69DA" w:rsidP="005E0D82">
            <w:pPr>
              <w:spacing w:line="360" w:lineRule="auto"/>
              <w:rPr>
                <w:rFonts w:ascii="Times New Roman" w:hAnsi="Times New Roman" w:cs="Times New Roman"/>
                <w:sz w:val="28"/>
                <w:szCs w:val="28"/>
              </w:rPr>
            </w:pPr>
            <w:r>
              <w:rPr>
                <w:rFonts w:ascii="Times New Roman" w:hAnsi="Times New Roman" w:cs="Times New Roman"/>
                <w:sz w:val="28"/>
                <w:szCs w:val="28"/>
              </w:rPr>
              <w:t xml:space="preserve">Мутация в гене </w:t>
            </w:r>
            <w:r>
              <w:rPr>
                <w:rFonts w:ascii="Times New Roman" w:hAnsi="Times New Roman" w:cs="Times New Roman"/>
                <w:sz w:val="28"/>
                <w:szCs w:val="28"/>
                <w:lang w:val="en-US"/>
              </w:rPr>
              <w:t>IDH</w:t>
            </w:r>
            <w:r w:rsidRPr="0039083C">
              <w:rPr>
                <w:rFonts w:ascii="Times New Roman" w:hAnsi="Times New Roman" w:cs="Times New Roman"/>
                <w:sz w:val="28"/>
                <w:szCs w:val="28"/>
              </w:rPr>
              <w:t>/</w:t>
            </w:r>
            <w:r>
              <w:rPr>
                <w:rFonts w:ascii="Times New Roman" w:hAnsi="Times New Roman" w:cs="Times New Roman"/>
                <w:sz w:val="28"/>
                <w:szCs w:val="28"/>
              </w:rPr>
              <w:t>тип опухоли</w:t>
            </w:r>
          </w:p>
        </w:tc>
        <w:tc>
          <w:tcPr>
            <w:tcW w:w="1759" w:type="dxa"/>
          </w:tcPr>
          <w:p w:rsidR="005C69DA" w:rsidRPr="005C69DA" w:rsidRDefault="005C69D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rPr>
              <w:t>ДА</w:t>
            </w:r>
            <w:r>
              <w:rPr>
                <w:rFonts w:ascii="Times New Roman" w:hAnsi="Times New Roman" w:cs="Times New Roman"/>
                <w:sz w:val="28"/>
                <w:szCs w:val="28"/>
                <w:lang w:val="en-US"/>
              </w:rPr>
              <w:t>GII</w:t>
            </w:r>
          </w:p>
        </w:tc>
        <w:tc>
          <w:tcPr>
            <w:tcW w:w="1759" w:type="dxa"/>
          </w:tcPr>
          <w:p w:rsidR="005C69DA" w:rsidRPr="005C69DA" w:rsidRDefault="005C69D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rPr>
              <w:t>АА</w:t>
            </w:r>
            <w:r>
              <w:rPr>
                <w:rFonts w:ascii="Times New Roman" w:hAnsi="Times New Roman" w:cs="Times New Roman"/>
                <w:sz w:val="28"/>
                <w:szCs w:val="28"/>
                <w:lang w:val="en-US"/>
              </w:rPr>
              <w:t>GIII</w:t>
            </w:r>
          </w:p>
        </w:tc>
        <w:tc>
          <w:tcPr>
            <w:tcW w:w="1759" w:type="dxa"/>
          </w:tcPr>
          <w:p w:rsidR="005C69DA" w:rsidRPr="005C69DA" w:rsidRDefault="005C69D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rPr>
              <w:t>ОДГ</w:t>
            </w:r>
            <w:r>
              <w:rPr>
                <w:rFonts w:ascii="Times New Roman" w:hAnsi="Times New Roman" w:cs="Times New Roman"/>
                <w:sz w:val="28"/>
                <w:szCs w:val="28"/>
                <w:lang w:val="en-US"/>
              </w:rPr>
              <w:t>GII</w:t>
            </w:r>
          </w:p>
        </w:tc>
        <w:tc>
          <w:tcPr>
            <w:tcW w:w="1759" w:type="dxa"/>
          </w:tcPr>
          <w:p w:rsidR="005C69DA" w:rsidRPr="005C69DA" w:rsidRDefault="005C69D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rPr>
              <w:t>АОДГ</w:t>
            </w:r>
            <w:r>
              <w:rPr>
                <w:rFonts w:ascii="Times New Roman" w:hAnsi="Times New Roman" w:cs="Times New Roman"/>
                <w:sz w:val="28"/>
                <w:szCs w:val="28"/>
                <w:lang w:val="en-US"/>
              </w:rPr>
              <w:t>GIII</w:t>
            </w:r>
          </w:p>
        </w:tc>
      </w:tr>
      <w:tr w:rsidR="005C69DA" w:rsidTr="005C69DA">
        <w:tc>
          <w:tcPr>
            <w:tcW w:w="2251" w:type="dxa"/>
          </w:tcPr>
          <w:p w:rsidR="005C69DA" w:rsidRPr="005C69DA" w:rsidRDefault="005C69DA" w:rsidP="005E0D82">
            <w:pPr>
              <w:spacing w:line="360" w:lineRule="auto"/>
              <w:rPr>
                <w:rFonts w:ascii="Times New Roman" w:hAnsi="Times New Roman" w:cs="Times New Roman"/>
                <w:sz w:val="28"/>
                <w:szCs w:val="28"/>
              </w:rPr>
            </w:pPr>
            <w:r>
              <w:rPr>
                <w:rFonts w:ascii="Times New Roman" w:hAnsi="Times New Roman" w:cs="Times New Roman"/>
                <w:sz w:val="28"/>
                <w:szCs w:val="28"/>
              </w:rPr>
              <w:t xml:space="preserve">Мутация в гене </w:t>
            </w:r>
            <w:r>
              <w:rPr>
                <w:rFonts w:ascii="Times New Roman" w:hAnsi="Times New Roman" w:cs="Times New Roman"/>
                <w:sz w:val="28"/>
                <w:szCs w:val="28"/>
                <w:lang w:val="en-US"/>
              </w:rPr>
              <w:t>IDH</w:t>
            </w:r>
            <w:r>
              <w:rPr>
                <w:rFonts w:ascii="Times New Roman" w:hAnsi="Times New Roman" w:cs="Times New Roman"/>
                <w:sz w:val="28"/>
                <w:szCs w:val="28"/>
              </w:rPr>
              <w:t xml:space="preserve"> (+)</w:t>
            </w:r>
            <w:r w:rsidRPr="005C69DA">
              <w:rPr>
                <w:rFonts w:ascii="Times New Roman" w:hAnsi="Times New Roman" w:cs="Times New Roman"/>
                <w:sz w:val="28"/>
                <w:szCs w:val="28"/>
              </w:rPr>
              <w:t xml:space="preserve">, </w:t>
            </w:r>
            <w:r>
              <w:rPr>
                <w:rFonts w:ascii="Times New Roman" w:hAnsi="Times New Roman" w:cs="Times New Roman"/>
                <w:sz w:val="28"/>
                <w:szCs w:val="28"/>
                <w:lang w:val="en-US"/>
              </w:rPr>
              <w:t>n</w:t>
            </w:r>
            <w:r w:rsidRPr="005C69DA">
              <w:rPr>
                <w:rFonts w:ascii="Times New Roman" w:hAnsi="Times New Roman" w:cs="Times New Roman"/>
                <w:sz w:val="28"/>
                <w:szCs w:val="28"/>
              </w:rPr>
              <w:t xml:space="preserve"> (%)</w:t>
            </w:r>
          </w:p>
        </w:tc>
        <w:tc>
          <w:tcPr>
            <w:tcW w:w="1759" w:type="dxa"/>
          </w:tcPr>
          <w:p w:rsidR="005C69DA" w:rsidRPr="005C69DA" w:rsidRDefault="005C69D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22 (79%)</w:t>
            </w:r>
          </w:p>
        </w:tc>
        <w:tc>
          <w:tcPr>
            <w:tcW w:w="1759" w:type="dxa"/>
          </w:tcPr>
          <w:p w:rsidR="005C69DA" w:rsidRPr="005C69DA" w:rsidRDefault="005C69D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21 (60%)</w:t>
            </w:r>
          </w:p>
        </w:tc>
        <w:tc>
          <w:tcPr>
            <w:tcW w:w="1759" w:type="dxa"/>
          </w:tcPr>
          <w:p w:rsidR="005C69DA" w:rsidRPr="005C69DA" w:rsidRDefault="005C69D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4 (100%)</w:t>
            </w:r>
          </w:p>
        </w:tc>
        <w:tc>
          <w:tcPr>
            <w:tcW w:w="1759" w:type="dxa"/>
          </w:tcPr>
          <w:p w:rsidR="005C69DA" w:rsidRPr="005C69DA" w:rsidRDefault="005C69D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12 (86%)</w:t>
            </w:r>
          </w:p>
        </w:tc>
      </w:tr>
      <w:tr w:rsidR="005C69DA" w:rsidTr="005C69DA">
        <w:tc>
          <w:tcPr>
            <w:tcW w:w="2251" w:type="dxa"/>
          </w:tcPr>
          <w:p w:rsidR="005C69DA" w:rsidRPr="005C69DA" w:rsidRDefault="005C69DA" w:rsidP="005E0D82">
            <w:pPr>
              <w:spacing w:line="360" w:lineRule="auto"/>
              <w:rPr>
                <w:rFonts w:ascii="Times New Roman" w:hAnsi="Times New Roman" w:cs="Times New Roman"/>
                <w:sz w:val="28"/>
                <w:szCs w:val="28"/>
              </w:rPr>
            </w:pPr>
            <w:r>
              <w:rPr>
                <w:rFonts w:ascii="Times New Roman" w:hAnsi="Times New Roman" w:cs="Times New Roman"/>
                <w:sz w:val="28"/>
                <w:szCs w:val="28"/>
              </w:rPr>
              <w:t xml:space="preserve">Мутация в гене </w:t>
            </w:r>
            <w:r>
              <w:rPr>
                <w:rFonts w:ascii="Times New Roman" w:hAnsi="Times New Roman" w:cs="Times New Roman"/>
                <w:sz w:val="28"/>
                <w:szCs w:val="28"/>
                <w:lang w:val="en-US"/>
              </w:rPr>
              <w:t>IDH</w:t>
            </w:r>
            <w:r w:rsidRPr="005C69DA">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5C69DA">
              <w:rPr>
                <w:rFonts w:ascii="Times New Roman" w:hAnsi="Times New Roman" w:cs="Times New Roman"/>
                <w:sz w:val="28"/>
                <w:szCs w:val="28"/>
              </w:rPr>
              <w:t xml:space="preserve"> (%)</w:t>
            </w:r>
          </w:p>
        </w:tc>
        <w:tc>
          <w:tcPr>
            <w:tcW w:w="1759" w:type="dxa"/>
          </w:tcPr>
          <w:p w:rsidR="005C69DA" w:rsidRPr="005C69DA" w:rsidRDefault="005C69D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6 (21%)</w:t>
            </w:r>
          </w:p>
        </w:tc>
        <w:tc>
          <w:tcPr>
            <w:tcW w:w="1759" w:type="dxa"/>
          </w:tcPr>
          <w:p w:rsidR="005C69DA" w:rsidRPr="005C69DA" w:rsidRDefault="005C69D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14 (40%)</w:t>
            </w:r>
          </w:p>
        </w:tc>
        <w:tc>
          <w:tcPr>
            <w:tcW w:w="1759" w:type="dxa"/>
          </w:tcPr>
          <w:p w:rsidR="005C69DA" w:rsidRPr="005C69DA" w:rsidRDefault="005C69D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 (0%)</w:t>
            </w:r>
          </w:p>
        </w:tc>
        <w:tc>
          <w:tcPr>
            <w:tcW w:w="1759" w:type="dxa"/>
          </w:tcPr>
          <w:p w:rsidR="005C69DA" w:rsidRPr="005C69DA" w:rsidRDefault="005C69D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 (14%)</w:t>
            </w:r>
          </w:p>
        </w:tc>
      </w:tr>
    </w:tbl>
    <w:p w:rsidR="005C69DA" w:rsidRPr="00D40B81" w:rsidRDefault="005C69DA" w:rsidP="005E0D82">
      <w:pPr>
        <w:pStyle w:val="2"/>
        <w:spacing w:before="0" w:after="0" w:line="360" w:lineRule="auto"/>
        <w:rPr>
          <w:b/>
          <w:bCs w:val="0"/>
        </w:rPr>
      </w:pPr>
      <w:bookmarkStart w:id="47" w:name="_Toc9031273"/>
      <w:bookmarkStart w:id="48" w:name="_Toc9250606"/>
      <w:r w:rsidRPr="00D40B81">
        <w:rPr>
          <w:b/>
          <w:bCs w:val="0"/>
        </w:rPr>
        <w:t>3.2. Частота встречаемости ко-делеции 1</w:t>
      </w:r>
      <w:r w:rsidRPr="00D40B81">
        <w:rPr>
          <w:b/>
          <w:bCs w:val="0"/>
          <w:lang w:val="en-US"/>
        </w:rPr>
        <w:t>p</w:t>
      </w:r>
      <w:r w:rsidRPr="00D40B81">
        <w:rPr>
          <w:b/>
          <w:bCs w:val="0"/>
        </w:rPr>
        <w:t>19</w:t>
      </w:r>
      <w:r w:rsidRPr="00D40B81">
        <w:rPr>
          <w:b/>
          <w:bCs w:val="0"/>
          <w:lang w:val="en-US"/>
        </w:rPr>
        <w:t>q</w:t>
      </w:r>
      <w:r w:rsidRPr="00D40B81">
        <w:rPr>
          <w:b/>
          <w:bCs w:val="0"/>
        </w:rPr>
        <w:t xml:space="preserve"> в глиомах </w:t>
      </w:r>
      <w:r w:rsidRPr="00D40B81">
        <w:rPr>
          <w:b/>
          <w:bCs w:val="0"/>
          <w:lang w:val="en-US"/>
        </w:rPr>
        <w:t>GII</w:t>
      </w:r>
      <w:r w:rsidRPr="00D40B81">
        <w:rPr>
          <w:b/>
          <w:bCs w:val="0"/>
        </w:rPr>
        <w:t>/</w:t>
      </w:r>
      <w:r w:rsidRPr="00D40B81">
        <w:rPr>
          <w:b/>
          <w:bCs w:val="0"/>
          <w:lang w:val="en-US"/>
        </w:rPr>
        <w:t>GIII</w:t>
      </w:r>
      <w:bookmarkEnd w:id="47"/>
      <w:bookmarkEnd w:id="48"/>
    </w:p>
    <w:p w:rsidR="005C69DA" w:rsidRDefault="005C69DA" w:rsidP="005E0D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Частота </w:t>
      </w:r>
      <w:r w:rsidRPr="005C69DA">
        <w:rPr>
          <w:rFonts w:ascii="Times New Roman" w:hAnsi="Times New Roman" w:cs="Times New Roman"/>
          <w:sz w:val="28"/>
          <w:szCs w:val="28"/>
        </w:rPr>
        <w:t>встречаемости ко-делеции 1</w:t>
      </w:r>
      <w:r w:rsidRPr="005C69DA">
        <w:rPr>
          <w:rFonts w:ascii="Times New Roman" w:hAnsi="Times New Roman" w:cs="Times New Roman"/>
          <w:sz w:val="28"/>
          <w:szCs w:val="28"/>
          <w:lang w:val="en-US"/>
        </w:rPr>
        <w:t>p</w:t>
      </w:r>
      <w:r w:rsidRPr="005C69DA">
        <w:rPr>
          <w:rFonts w:ascii="Times New Roman" w:hAnsi="Times New Roman" w:cs="Times New Roman"/>
          <w:sz w:val="28"/>
          <w:szCs w:val="28"/>
        </w:rPr>
        <w:t>19</w:t>
      </w:r>
      <w:r w:rsidRPr="005C69DA">
        <w:rPr>
          <w:rFonts w:ascii="Times New Roman" w:hAnsi="Times New Roman" w:cs="Times New Roman"/>
          <w:sz w:val="28"/>
          <w:szCs w:val="28"/>
          <w:lang w:val="en-US"/>
        </w:rPr>
        <w:t>q</w:t>
      </w:r>
      <w:r w:rsidRPr="005C69DA">
        <w:rPr>
          <w:rFonts w:ascii="Times New Roman" w:hAnsi="Times New Roman" w:cs="Times New Roman"/>
          <w:sz w:val="28"/>
          <w:szCs w:val="28"/>
        </w:rPr>
        <w:t xml:space="preserve"> в опухолевом материале от 1-й и 2-й операций была различной и в целом зависела от гистологического подтипа первичной опухоли (табл. 2), так, в ДА</w:t>
      </w:r>
      <w:r w:rsidRPr="005C69DA">
        <w:rPr>
          <w:rFonts w:ascii="Times New Roman" w:hAnsi="Times New Roman" w:cs="Times New Roman"/>
          <w:sz w:val="28"/>
          <w:szCs w:val="28"/>
          <w:lang w:val="en-US"/>
        </w:rPr>
        <w:t>GII</w:t>
      </w:r>
      <w:r w:rsidRPr="005C69DA">
        <w:rPr>
          <w:rFonts w:ascii="Times New Roman" w:hAnsi="Times New Roman" w:cs="Times New Roman"/>
          <w:sz w:val="28"/>
          <w:szCs w:val="28"/>
        </w:rPr>
        <w:t xml:space="preserve"> ко-делеци</w:t>
      </w:r>
      <w:r>
        <w:rPr>
          <w:rFonts w:ascii="Times New Roman" w:hAnsi="Times New Roman" w:cs="Times New Roman"/>
          <w:sz w:val="28"/>
          <w:szCs w:val="28"/>
        </w:rPr>
        <w:t>я</w:t>
      </w:r>
      <w:r w:rsidRPr="005C69DA">
        <w:rPr>
          <w:rFonts w:ascii="Times New Roman" w:hAnsi="Times New Roman" w:cs="Times New Roman"/>
          <w:sz w:val="28"/>
          <w:szCs w:val="28"/>
        </w:rPr>
        <w:t xml:space="preserve"> 1</w:t>
      </w:r>
      <w:r w:rsidRPr="005C69DA">
        <w:rPr>
          <w:rFonts w:ascii="Times New Roman" w:hAnsi="Times New Roman" w:cs="Times New Roman"/>
          <w:sz w:val="28"/>
          <w:szCs w:val="28"/>
          <w:lang w:val="en-US"/>
        </w:rPr>
        <w:t>p</w:t>
      </w:r>
      <w:r w:rsidRPr="005C69DA">
        <w:rPr>
          <w:rFonts w:ascii="Times New Roman" w:hAnsi="Times New Roman" w:cs="Times New Roman"/>
          <w:sz w:val="28"/>
          <w:szCs w:val="28"/>
        </w:rPr>
        <w:t>19</w:t>
      </w:r>
      <w:r w:rsidRPr="005C69DA">
        <w:rPr>
          <w:rFonts w:ascii="Times New Roman" w:hAnsi="Times New Roman" w:cs="Times New Roman"/>
          <w:sz w:val="28"/>
          <w:szCs w:val="28"/>
          <w:lang w:val="en-US"/>
        </w:rPr>
        <w:t>q</w:t>
      </w:r>
      <w:r w:rsidRPr="005C69DA">
        <w:rPr>
          <w:rFonts w:ascii="Times New Roman" w:hAnsi="Times New Roman" w:cs="Times New Roman"/>
          <w:sz w:val="28"/>
          <w:szCs w:val="28"/>
        </w:rPr>
        <w:t xml:space="preserve"> </w:t>
      </w:r>
      <w:r>
        <w:rPr>
          <w:rFonts w:ascii="Times New Roman" w:hAnsi="Times New Roman" w:cs="Times New Roman"/>
          <w:sz w:val="28"/>
          <w:szCs w:val="28"/>
        </w:rPr>
        <w:t>составила 19% (4 случая), в АА</w:t>
      </w:r>
      <w:r>
        <w:rPr>
          <w:rFonts w:ascii="Times New Roman" w:hAnsi="Times New Roman" w:cs="Times New Roman"/>
          <w:sz w:val="28"/>
          <w:szCs w:val="28"/>
          <w:lang w:val="en-US"/>
        </w:rPr>
        <w:t>GIII</w:t>
      </w:r>
      <w:r>
        <w:rPr>
          <w:rFonts w:ascii="Times New Roman" w:hAnsi="Times New Roman" w:cs="Times New Roman"/>
          <w:sz w:val="28"/>
          <w:szCs w:val="28"/>
        </w:rPr>
        <w:t xml:space="preserve"> – 17% (5 случаев).</w:t>
      </w:r>
    </w:p>
    <w:p w:rsidR="005C69DA" w:rsidRPr="00563DEA" w:rsidRDefault="005C69DA" w:rsidP="005E0D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Что касается олигодендроглиальных опухолей, то частота встречаемости </w:t>
      </w:r>
      <w:r w:rsidR="00563DEA" w:rsidRPr="005C69DA">
        <w:rPr>
          <w:rFonts w:ascii="Times New Roman" w:hAnsi="Times New Roman" w:cs="Times New Roman"/>
          <w:sz w:val="28"/>
          <w:szCs w:val="28"/>
        </w:rPr>
        <w:t>ко-делеци</w:t>
      </w:r>
      <w:r w:rsidR="00563DEA">
        <w:rPr>
          <w:rFonts w:ascii="Times New Roman" w:hAnsi="Times New Roman" w:cs="Times New Roman"/>
          <w:sz w:val="28"/>
          <w:szCs w:val="28"/>
        </w:rPr>
        <w:t>и</w:t>
      </w:r>
      <w:r w:rsidR="00563DEA" w:rsidRPr="005C69DA">
        <w:rPr>
          <w:rFonts w:ascii="Times New Roman" w:hAnsi="Times New Roman" w:cs="Times New Roman"/>
          <w:sz w:val="28"/>
          <w:szCs w:val="28"/>
        </w:rPr>
        <w:t xml:space="preserve"> 1</w:t>
      </w:r>
      <w:r w:rsidR="00563DEA" w:rsidRPr="005C69DA">
        <w:rPr>
          <w:rFonts w:ascii="Times New Roman" w:hAnsi="Times New Roman" w:cs="Times New Roman"/>
          <w:sz w:val="28"/>
          <w:szCs w:val="28"/>
          <w:lang w:val="en-US"/>
        </w:rPr>
        <w:t>p</w:t>
      </w:r>
      <w:r w:rsidR="00563DEA" w:rsidRPr="005C69DA">
        <w:rPr>
          <w:rFonts w:ascii="Times New Roman" w:hAnsi="Times New Roman" w:cs="Times New Roman"/>
          <w:sz w:val="28"/>
          <w:szCs w:val="28"/>
        </w:rPr>
        <w:t>19</w:t>
      </w:r>
      <w:r w:rsidR="00563DEA" w:rsidRPr="005C69DA">
        <w:rPr>
          <w:rFonts w:ascii="Times New Roman" w:hAnsi="Times New Roman" w:cs="Times New Roman"/>
          <w:sz w:val="28"/>
          <w:szCs w:val="28"/>
          <w:lang w:val="en-US"/>
        </w:rPr>
        <w:t>q</w:t>
      </w:r>
      <w:r w:rsidR="00563DEA" w:rsidRPr="005C69DA">
        <w:rPr>
          <w:rFonts w:ascii="Times New Roman" w:hAnsi="Times New Roman" w:cs="Times New Roman"/>
          <w:sz w:val="28"/>
          <w:szCs w:val="28"/>
        </w:rPr>
        <w:t xml:space="preserve"> </w:t>
      </w:r>
      <w:r>
        <w:rPr>
          <w:rFonts w:ascii="Times New Roman" w:hAnsi="Times New Roman" w:cs="Times New Roman"/>
          <w:sz w:val="28"/>
          <w:szCs w:val="28"/>
        </w:rPr>
        <w:t>составила 100% (3 случая) при ОДГ</w:t>
      </w:r>
      <w:r>
        <w:rPr>
          <w:rFonts w:ascii="Times New Roman" w:hAnsi="Times New Roman" w:cs="Times New Roman"/>
          <w:sz w:val="28"/>
          <w:szCs w:val="28"/>
          <w:lang w:val="en-US"/>
        </w:rPr>
        <w:t>GII</w:t>
      </w:r>
      <w:r>
        <w:rPr>
          <w:rFonts w:ascii="Times New Roman" w:hAnsi="Times New Roman" w:cs="Times New Roman"/>
          <w:sz w:val="28"/>
          <w:szCs w:val="28"/>
        </w:rPr>
        <w:t xml:space="preserve"> и 100% (13 случаев) при</w:t>
      </w:r>
      <w:r w:rsidRPr="0039083C">
        <w:rPr>
          <w:rFonts w:ascii="Times New Roman" w:hAnsi="Times New Roman" w:cs="Times New Roman"/>
          <w:sz w:val="28"/>
          <w:szCs w:val="28"/>
        </w:rPr>
        <w:t xml:space="preserve"> </w:t>
      </w:r>
      <w:r>
        <w:rPr>
          <w:rFonts w:ascii="Times New Roman" w:hAnsi="Times New Roman" w:cs="Times New Roman"/>
          <w:sz w:val="28"/>
          <w:szCs w:val="28"/>
        </w:rPr>
        <w:t>АОДГ</w:t>
      </w:r>
      <w:r>
        <w:rPr>
          <w:rFonts w:ascii="Times New Roman" w:hAnsi="Times New Roman" w:cs="Times New Roman"/>
          <w:sz w:val="28"/>
          <w:szCs w:val="28"/>
          <w:lang w:val="en-US"/>
        </w:rPr>
        <w:t>GIII</w:t>
      </w:r>
      <w:r>
        <w:rPr>
          <w:rFonts w:ascii="Times New Roman" w:hAnsi="Times New Roman" w:cs="Times New Roman"/>
          <w:sz w:val="28"/>
          <w:szCs w:val="28"/>
        </w:rPr>
        <w:t xml:space="preserve">. </w:t>
      </w:r>
    </w:p>
    <w:p w:rsidR="004F3459" w:rsidRDefault="004F3459" w:rsidP="005E0D82">
      <w:pPr>
        <w:pStyle w:val="ae"/>
        <w:keepNext/>
        <w:spacing w:after="0" w:line="360" w:lineRule="auto"/>
      </w:pPr>
      <w:r>
        <w:t xml:space="preserve">Таблица </w:t>
      </w:r>
      <w:fldSimple w:instr=" SEQ Таблица \* ARABIC ">
        <w:r w:rsidR="00DD6C05">
          <w:rPr>
            <w:noProof/>
          </w:rPr>
          <w:t>3</w:t>
        </w:r>
      </w:fldSimple>
      <w:r>
        <w:t xml:space="preserve">. </w:t>
      </w:r>
      <w:r w:rsidRPr="00092A05">
        <w:t>Частота встречаемости ко-делеции 1p19q в глиомах GII/GIII</w:t>
      </w:r>
    </w:p>
    <w:tbl>
      <w:tblPr>
        <w:tblStyle w:val="a4"/>
        <w:tblW w:w="0" w:type="auto"/>
        <w:tblLook w:val="04A0" w:firstRow="1" w:lastRow="0" w:firstColumn="1" w:lastColumn="0" w:noHBand="0" w:noVBand="1"/>
      </w:tblPr>
      <w:tblGrid>
        <w:gridCol w:w="2251"/>
        <w:gridCol w:w="1759"/>
        <w:gridCol w:w="1759"/>
        <w:gridCol w:w="1759"/>
        <w:gridCol w:w="1759"/>
      </w:tblGrid>
      <w:tr w:rsidR="005C69DA" w:rsidTr="00563DEA">
        <w:tc>
          <w:tcPr>
            <w:tcW w:w="2251" w:type="dxa"/>
          </w:tcPr>
          <w:p w:rsidR="005C69DA" w:rsidRPr="0039083C" w:rsidRDefault="00563DEA" w:rsidP="005E0D82">
            <w:pPr>
              <w:spacing w:line="360" w:lineRule="auto"/>
              <w:rPr>
                <w:rFonts w:ascii="Times New Roman" w:hAnsi="Times New Roman" w:cs="Times New Roman"/>
                <w:sz w:val="28"/>
                <w:szCs w:val="28"/>
              </w:rPr>
            </w:pPr>
            <w:r>
              <w:rPr>
                <w:rFonts w:ascii="Times New Roman" w:hAnsi="Times New Roman" w:cs="Times New Roman"/>
                <w:sz w:val="28"/>
                <w:szCs w:val="28"/>
              </w:rPr>
              <w:t>К</w:t>
            </w:r>
            <w:r w:rsidRPr="005C69DA">
              <w:rPr>
                <w:rFonts w:ascii="Times New Roman" w:hAnsi="Times New Roman" w:cs="Times New Roman"/>
                <w:sz w:val="28"/>
                <w:szCs w:val="28"/>
              </w:rPr>
              <w:t>о-делеци</w:t>
            </w:r>
            <w:r>
              <w:rPr>
                <w:rFonts w:ascii="Times New Roman" w:hAnsi="Times New Roman" w:cs="Times New Roman"/>
                <w:sz w:val="28"/>
                <w:szCs w:val="28"/>
              </w:rPr>
              <w:t>я</w:t>
            </w:r>
            <w:r w:rsidRPr="005C69DA">
              <w:rPr>
                <w:rFonts w:ascii="Times New Roman" w:hAnsi="Times New Roman" w:cs="Times New Roman"/>
                <w:sz w:val="28"/>
                <w:szCs w:val="28"/>
              </w:rPr>
              <w:t xml:space="preserve"> 1</w:t>
            </w:r>
            <w:r w:rsidRPr="005C69DA">
              <w:rPr>
                <w:rFonts w:ascii="Times New Roman" w:hAnsi="Times New Roman" w:cs="Times New Roman"/>
                <w:sz w:val="28"/>
                <w:szCs w:val="28"/>
                <w:lang w:val="en-US"/>
              </w:rPr>
              <w:t>p</w:t>
            </w:r>
            <w:r w:rsidRPr="005C69DA">
              <w:rPr>
                <w:rFonts w:ascii="Times New Roman" w:hAnsi="Times New Roman" w:cs="Times New Roman"/>
                <w:sz w:val="28"/>
                <w:szCs w:val="28"/>
              </w:rPr>
              <w:t>19</w:t>
            </w:r>
            <w:r w:rsidRPr="005C69DA">
              <w:rPr>
                <w:rFonts w:ascii="Times New Roman" w:hAnsi="Times New Roman" w:cs="Times New Roman"/>
                <w:sz w:val="28"/>
                <w:szCs w:val="28"/>
                <w:lang w:val="en-US"/>
              </w:rPr>
              <w:t>q</w:t>
            </w:r>
            <w:r w:rsidRPr="005C69DA">
              <w:rPr>
                <w:rFonts w:ascii="Times New Roman" w:hAnsi="Times New Roman" w:cs="Times New Roman"/>
                <w:sz w:val="28"/>
                <w:szCs w:val="28"/>
              </w:rPr>
              <w:t xml:space="preserve"> </w:t>
            </w:r>
            <w:r w:rsidR="005C69DA" w:rsidRPr="0039083C">
              <w:rPr>
                <w:rFonts w:ascii="Times New Roman" w:hAnsi="Times New Roman" w:cs="Times New Roman"/>
                <w:sz w:val="28"/>
                <w:szCs w:val="28"/>
              </w:rPr>
              <w:t>/</w:t>
            </w:r>
            <w:r w:rsidR="005C69DA">
              <w:rPr>
                <w:rFonts w:ascii="Times New Roman" w:hAnsi="Times New Roman" w:cs="Times New Roman"/>
                <w:sz w:val="28"/>
                <w:szCs w:val="28"/>
              </w:rPr>
              <w:t>тип опухоли</w:t>
            </w:r>
          </w:p>
        </w:tc>
        <w:tc>
          <w:tcPr>
            <w:tcW w:w="1759" w:type="dxa"/>
          </w:tcPr>
          <w:p w:rsidR="005C69DA" w:rsidRPr="005C69DA" w:rsidRDefault="005C69D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rPr>
              <w:t>ДА</w:t>
            </w:r>
            <w:r>
              <w:rPr>
                <w:rFonts w:ascii="Times New Roman" w:hAnsi="Times New Roman" w:cs="Times New Roman"/>
                <w:sz w:val="28"/>
                <w:szCs w:val="28"/>
                <w:lang w:val="en-US"/>
              </w:rPr>
              <w:t>GII</w:t>
            </w:r>
          </w:p>
        </w:tc>
        <w:tc>
          <w:tcPr>
            <w:tcW w:w="1759" w:type="dxa"/>
          </w:tcPr>
          <w:p w:rsidR="005C69DA" w:rsidRPr="005C69DA" w:rsidRDefault="005C69D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rPr>
              <w:t>АА</w:t>
            </w:r>
            <w:r>
              <w:rPr>
                <w:rFonts w:ascii="Times New Roman" w:hAnsi="Times New Roman" w:cs="Times New Roman"/>
                <w:sz w:val="28"/>
                <w:szCs w:val="28"/>
                <w:lang w:val="en-US"/>
              </w:rPr>
              <w:t>GIII</w:t>
            </w:r>
          </w:p>
        </w:tc>
        <w:tc>
          <w:tcPr>
            <w:tcW w:w="1759" w:type="dxa"/>
          </w:tcPr>
          <w:p w:rsidR="005C69DA" w:rsidRPr="005C69DA" w:rsidRDefault="005C69D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rPr>
              <w:t>ОДГ</w:t>
            </w:r>
            <w:r>
              <w:rPr>
                <w:rFonts w:ascii="Times New Roman" w:hAnsi="Times New Roman" w:cs="Times New Roman"/>
                <w:sz w:val="28"/>
                <w:szCs w:val="28"/>
                <w:lang w:val="en-US"/>
              </w:rPr>
              <w:t>GII</w:t>
            </w:r>
          </w:p>
        </w:tc>
        <w:tc>
          <w:tcPr>
            <w:tcW w:w="1759" w:type="dxa"/>
          </w:tcPr>
          <w:p w:rsidR="005C69DA" w:rsidRPr="005C69DA" w:rsidRDefault="005C69D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rPr>
              <w:t>АОДГ</w:t>
            </w:r>
            <w:r>
              <w:rPr>
                <w:rFonts w:ascii="Times New Roman" w:hAnsi="Times New Roman" w:cs="Times New Roman"/>
                <w:sz w:val="28"/>
                <w:szCs w:val="28"/>
                <w:lang w:val="en-US"/>
              </w:rPr>
              <w:t>GIII</w:t>
            </w:r>
          </w:p>
        </w:tc>
      </w:tr>
      <w:tr w:rsidR="005C69DA" w:rsidTr="00563DEA">
        <w:tc>
          <w:tcPr>
            <w:tcW w:w="2251" w:type="dxa"/>
          </w:tcPr>
          <w:p w:rsidR="005C69DA" w:rsidRPr="005C69DA" w:rsidRDefault="00563DEA" w:rsidP="005E0D82">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К</w:t>
            </w:r>
            <w:r w:rsidRPr="005C69DA">
              <w:rPr>
                <w:rFonts w:ascii="Times New Roman" w:hAnsi="Times New Roman" w:cs="Times New Roman"/>
                <w:sz w:val="28"/>
                <w:szCs w:val="28"/>
              </w:rPr>
              <w:t>о-делеци</w:t>
            </w:r>
            <w:r>
              <w:rPr>
                <w:rFonts w:ascii="Times New Roman" w:hAnsi="Times New Roman" w:cs="Times New Roman"/>
                <w:sz w:val="28"/>
                <w:szCs w:val="28"/>
              </w:rPr>
              <w:t>я</w:t>
            </w:r>
            <w:r w:rsidRPr="005C69DA">
              <w:rPr>
                <w:rFonts w:ascii="Times New Roman" w:hAnsi="Times New Roman" w:cs="Times New Roman"/>
                <w:sz w:val="28"/>
                <w:szCs w:val="28"/>
              </w:rPr>
              <w:t xml:space="preserve"> 1</w:t>
            </w:r>
            <w:r w:rsidRPr="005C69DA">
              <w:rPr>
                <w:rFonts w:ascii="Times New Roman" w:hAnsi="Times New Roman" w:cs="Times New Roman"/>
                <w:sz w:val="28"/>
                <w:szCs w:val="28"/>
                <w:lang w:val="en-US"/>
              </w:rPr>
              <w:t>p</w:t>
            </w:r>
            <w:r w:rsidRPr="005C69DA">
              <w:rPr>
                <w:rFonts w:ascii="Times New Roman" w:hAnsi="Times New Roman" w:cs="Times New Roman"/>
                <w:sz w:val="28"/>
                <w:szCs w:val="28"/>
              </w:rPr>
              <w:t>19</w:t>
            </w:r>
            <w:r w:rsidRPr="005C69DA">
              <w:rPr>
                <w:rFonts w:ascii="Times New Roman" w:hAnsi="Times New Roman" w:cs="Times New Roman"/>
                <w:sz w:val="28"/>
                <w:szCs w:val="28"/>
                <w:lang w:val="en-US"/>
              </w:rPr>
              <w:t>q</w:t>
            </w:r>
            <w:r w:rsidRPr="005C69DA">
              <w:rPr>
                <w:rFonts w:ascii="Times New Roman" w:hAnsi="Times New Roman" w:cs="Times New Roman"/>
                <w:sz w:val="28"/>
                <w:szCs w:val="28"/>
              </w:rPr>
              <w:t xml:space="preserve"> </w:t>
            </w:r>
            <w:r w:rsidR="005C69DA">
              <w:rPr>
                <w:rFonts w:ascii="Times New Roman" w:hAnsi="Times New Roman" w:cs="Times New Roman"/>
                <w:sz w:val="28"/>
                <w:szCs w:val="28"/>
              </w:rPr>
              <w:t>(+)</w:t>
            </w:r>
            <w:r w:rsidR="005C69DA" w:rsidRPr="005C69DA">
              <w:rPr>
                <w:rFonts w:ascii="Times New Roman" w:hAnsi="Times New Roman" w:cs="Times New Roman"/>
                <w:sz w:val="28"/>
                <w:szCs w:val="28"/>
              </w:rPr>
              <w:t xml:space="preserve">, </w:t>
            </w:r>
            <w:r w:rsidR="005C69DA">
              <w:rPr>
                <w:rFonts w:ascii="Times New Roman" w:hAnsi="Times New Roman" w:cs="Times New Roman"/>
                <w:sz w:val="28"/>
                <w:szCs w:val="28"/>
                <w:lang w:val="en-US"/>
              </w:rPr>
              <w:t>n</w:t>
            </w:r>
            <w:r w:rsidR="005C69DA" w:rsidRPr="005C69DA">
              <w:rPr>
                <w:rFonts w:ascii="Times New Roman" w:hAnsi="Times New Roman" w:cs="Times New Roman"/>
                <w:sz w:val="28"/>
                <w:szCs w:val="28"/>
              </w:rPr>
              <w:t xml:space="preserve"> (%)</w:t>
            </w:r>
          </w:p>
        </w:tc>
        <w:tc>
          <w:tcPr>
            <w:tcW w:w="1759" w:type="dxa"/>
          </w:tcPr>
          <w:p w:rsidR="005C69DA" w:rsidRPr="005C69DA" w:rsidRDefault="00563DE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rPr>
              <w:t>4</w:t>
            </w:r>
            <w:r w:rsidR="005C69DA">
              <w:rPr>
                <w:rFonts w:ascii="Times New Roman" w:hAnsi="Times New Roman" w:cs="Times New Roman"/>
                <w:sz w:val="28"/>
                <w:szCs w:val="28"/>
                <w:lang w:val="en-US"/>
              </w:rPr>
              <w:t xml:space="preserve"> (</w:t>
            </w:r>
            <w:r>
              <w:rPr>
                <w:rFonts w:ascii="Times New Roman" w:hAnsi="Times New Roman" w:cs="Times New Roman"/>
                <w:sz w:val="28"/>
                <w:szCs w:val="28"/>
              </w:rPr>
              <w:t>19</w:t>
            </w:r>
            <w:r w:rsidR="005C69DA">
              <w:rPr>
                <w:rFonts w:ascii="Times New Roman" w:hAnsi="Times New Roman" w:cs="Times New Roman"/>
                <w:sz w:val="28"/>
                <w:szCs w:val="28"/>
                <w:lang w:val="en-US"/>
              </w:rPr>
              <w:t>%)</w:t>
            </w:r>
          </w:p>
        </w:tc>
        <w:tc>
          <w:tcPr>
            <w:tcW w:w="1759" w:type="dxa"/>
          </w:tcPr>
          <w:p w:rsidR="005C69DA" w:rsidRPr="005C69DA" w:rsidRDefault="00563DE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rPr>
              <w:t>5</w:t>
            </w:r>
            <w:r w:rsidR="005C69DA">
              <w:rPr>
                <w:rFonts w:ascii="Times New Roman" w:hAnsi="Times New Roman" w:cs="Times New Roman"/>
                <w:sz w:val="28"/>
                <w:szCs w:val="28"/>
                <w:lang w:val="en-US"/>
              </w:rPr>
              <w:t xml:space="preserve"> (</w:t>
            </w:r>
            <w:r>
              <w:rPr>
                <w:rFonts w:ascii="Times New Roman" w:hAnsi="Times New Roman" w:cs="Times New Roman"/>
                <w:sz w:val="28"/>
                <w:szCs w:val="28"/>
              </w:rPr>
              <w:t>17</w:t>
            </w:r>
            <w:r w:rsidR="005C69DA">
              <w:rPr>
                <w:rFonts w:ascii="Times New Roman" w:hAnsi="Times New Roman" w:cs="Times New Roman"/>
                <w:sz w:val="28"/>
                <w:szCs w:val="28"/>
                <w:lang w:val="en-US"/>
              </w:rPr>
              <w:t>%)</w:t>
            </w:r>
          </w:p>
        </w:tc>
        <w:tc>
          <w:tcPr>
            <w:tcW w:w="1759" w:type="dxa"/>
          </w:tcPr>
          <w:p w:rsidR="005C69DA" w:rsidRPr="005C69DA" w:rsidRDefault="00563DE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rPr>
              <w:t>3</w:t>
            </w:r>
            <w:r w:rsidR="005C69DA">
              <w:rPr>
                <w:rFonts w:ascii="Times New Roman" w:hAnsi="Times New Roman" w:cs="Times New Roman"/>
                <w:sz w:val="28"/>
                <w:szCs w:val="28"/>
                <w:lang w:val="en-US"/>
              </w:rPr>
              <w:t xml:space="preserve"> (100%)</w:t>
            </w:r>
          </w:p>
        </w:tc>
        <w:tc>
          <w:tcPr>
            <w:tcW w:w="1759" w:type="dxa"/>
          </w:tcPr>
          <w:p w:rsidR="005C69DA" w:rsidRPr="005C69DA" w:rsidRDefault="00563DE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rPr>
              <w:t>13</w:t>
            </w:r>
            <w:r w:rsidR="005C69DA">
              <w:rPr>
                <w:rFonts w:ascii="Times New Roman" w:hAnsi="Times New Roman" w:cs="Times New Roman"/>
                <w:sz w:val="28"/>
                <w:szCs w:val="28"/>
                <w:lang w:val="en-US"/>
              </w:rPr>
              <w:t xml:space="preserve"> (</w:t>
            </w:r>
            <w:r>
              <w:rPr>
                <w:rFonts w:ascii="Times New Roman" w:hAnsi="Times New Roman" w:cs="Times New Roman"/>
                <w:sz w:val="28"/>
                <w:szCs w:val="28"/>
              </w:rPr>
              <w:t>100</w:t>
            </w:r>
            <w:r w:rsidR="005C69DA">
              <w:rPr>
                <w:rFonts w:ascii="Times New Roman" w:hAnsi="Times New Roman" w:cs="Times New Roman"/>
                <w:sz w:val="28"/>
                <w:szCs w:val="28"/>
                <w:lang w:val="en-US"/>
              </w:rPr>
              <w:t>%)</w:t>
            </w:r>
          </w:p>
        </w:tc>
      </w:tr>
      <w:tr w:rsidR="00563DEA" w:rsidTr="00563DEA">
        <w:tc>
          <w:tcPr>
            <w:tcW w:w="2251" w:type="dxa"/>
          </w:tcPr>
          <w:p w:rsidR="00563DEA" w:rsidRPr="005C69DA" w:rsidRDefault="00563DEA" w:rsidP="005E0D82">
            <w:pPr>
              <w:spacing w:line="360" w:lineRule="auto"/>
              <w:rPr>
                <w:rFonts w:ascii="Times New Roman" w:hAnsi="Times New Roman" w:cs="Times New Roman"/>
                <w:sz w:val="28"/>
                <w:szCs w:val="28"/>
              </w:rPr>
            </w:pPr>
            <w:r>
              <w:rPr>
                <w:rFonts w:ascii="Times New Roman" w:hAnsi="Times New Roman" w:cs="Times New Roman"/>
                <w:sz w:val="28"/>
                <w:szCs w:val="28"/>
              </w:rPr>
              <w:t>К</w:t>
            </w:r>
            <w:r w:rsidRPr="005C69DA">
              <w:rPr>
                <w:rFonts w:ascii="Times New Roman" w:hAnsi="Times New Roman" w:cs="Times New Roman"/>
                <w:sz w:val="28"/>
                <w:szCs w:val="28"/>
              </w:rPr>
              <w:t>о-делеци</w:t>
            </w:r>
            <w:r>
              <w:rPr>
                <w:rFonts w:ascii="Times New Roman" w:hAnsi="Times New Roman" w:cs="Times New Roman"/>
                <w:sz w:val="28"/>
                <w:szCs w:val="28"/>
              </w:rPr>
              <w:t>я</w:t>
            </w:r>
            <w:r w:rsidRPr="005C69DA">
              <w:rPr>
                <w:rFonts w:ascii="Times New Roman" w:hAnsi="Times New Roman" w:cs="Times New Roman"/>
                <w:sz w:val="28"/>
                <w:szCs w:val="28"/>
              </w:rPr>
              <w:t xml:space="preserve"> 1</w:t>
            </w:r>
            <w:r w:rsidRPr="005C69DA">
              <w:rPr>
                <w:rFonts w:ascii="Times New Roman" w:hAnsi="Times New Roman" w:cs="Times New Roman"/>
                <w:sz w:val="28"/>
                <w:szCs w:val="28"/>
                <w:lang w:val="en-US"/>
              </w:rPr>
              <w:t>p</w:t>
            </w:r>
            <w:r w:rsidRPr="005C69DA">
              <w:rPr>
                <w:rFonts w:ascii="Times New Roman" w:hAnsi="Times New Roman" w:cs="Times New Roman"/>
                <w:sz w:val="28"/>
                <w:szCs w:val="28"/>
              </w:rPr>
              <w:t>19</w:t>
            </w:r>
            <w:r w:rsidRPr="005C69DA">
              <w:rPr>
                <w:rFonts w:ascii="Times New Roman" w:hAnsi="Times New Roman" w:cs="Times New Roman"/>
                <w:sz w:val="28"/>
                <w:szCs w:val="28"/>
                <w:lang w:val="en-US"/>
              </w:rPr>
              <w:t>q</w:t>
            </w:r>
            <w:r w:rsidRPr="005C69DA">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5C69DA">
              <w:rPr>
                <w:rFonts w:ascii="Times New Roman" w:hAnsi="Times New Roman" w:cs="Times New Roman"/>
                <w:sz w:val="28"/>
                <w:szCs w:val="28"/>
              </w:rPr>
              <w:t xml:space="preserve"> (%)</w:t>
            </w:r>
          </w:p>
        </w:tc>
        <w:tc>
          <w:tcPr>
            <w:tcW w:w="1759" w:type="dxa"/>
          </w:tcPr>
          <w:p w:rsidR="00563DEA" w:rsidRPr="005C69DA" w:rsidRDefault="00563DE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rPr>
              <w:t>17</w:t>
            </w:r>
            <w:r>
              <w:rPr>
                <w:rFonts w:ascii="Times New Roman" w:hAnsi="Times New Roman" w:cs="Times New Roman"/>
                <w:sz w:val="28"/>
                <w:szCs w:val="28"/>
                <w:lang w:val="en-US"/>
              </w:rPr>
              <w:t xml:space="preserve"> (</w:t>
            </w:r>
            <w:r>
              <w:rPr>
                <w:rFonts w:ascii="Times New Roman" w:hAnsi="Times New Roman" w:cs="Times New Roman"/>
                <w:sz w:val="28"/>
                <w:szCs w:val="28"/>
              </w:rPr>
              <w:t>81</w:t>
            </w:r>
            <w:r>
              <w:rPr>
                <w:rFonts w:ascii="Times New Roman" w:hAnsi="Times New Roman" w:cs="Times New Roman"/>
                <w:sz w:val="28"/>
                <w:szCs w:val="28"/>
                <w:lang w:val="en-US"/>
              </w:rPr>
              <w:t>%)</w:t>
            </w:r>
          </w:p>
        </w:tc>
        <w:tc>
          <w:tcPr>
            <w:tcW w:w="1759" w:type="dxa"/>
          </w:tcPr>
          <w:p w:rsidR="00563DEA" w:rsidRPr="005C69DA" w:rsidRDefault="00563DE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rPr>
              <w:t>22</w:t>
            </w:r>
            <w:r>
              <w:rPr>
                <w:rFonts w:ascii="Times New Roman" w:hAnsi="Times New Roman" w:cs="Times New Roman"/>
                <w:sz w:val="28"/>
                <w:szCs w:val="28"/>
                <w:lang w:val="en-US"/>
              </w:rPr>
              <w:t xml:space="preserve"> (</w:t>
            </w:r>
            <w:r>
              <w:rPr>
                <w:rFonts w:ascii="Times New Roman" w:hAnsi="Times New Roman" w:cs="Times New Roman"/>
                <w:sz w:val="28"/>
                <w:szCs w:val="28"/>
              </w:rPr>
              <w:t>83</w:t>
            </w:r>
            <w:r>
              <w:rPr>
                <w:rFonts w:ascii="Times New Roman" w:hAnsi="Times New Roman" w:cs="Times New Roman"/>
                <w:sz w:val="28"/>
                <w:szCs w:val="28"/>
                <w:lang w:val="en-US"/>
              </w:rPr>
              <w:t>%)</w:t>
            </w:r>
          </w:p>
        </w:tc>
        <w:tc>
          <w:tcPr>
            <w:tcW w:w="1759" w:type="dxa"/>
          </w:tcPr>
          <w:p w:rsidR="00563DEA" w:rsidRPr="005C69DA" w:rsidRDefault="00563DE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 (0%)</w:t>
            </w:r>
          </w:p>
        </w:tc>
        <w:tc>
          <w:tcPr>
            <w:tcW w:w="1759" w:type="dxa"/>
          </w:tcPr>
          <w:p w:rsidR="00563DEA" w:rsidRPr="005C69DA" w:rsidRDefault="00563DEA" w:rsidP="005E0D82">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 (0%)</w:t>
            </w:r>
          </w:p>
        </w:tc>
      </w:tr>
    </w:tbl>
    <w:p w:rsidR="0039083C" w:rsidRDefault="0039083C" w:rsidP="005E0D82">
      <w:pPr>
        <w:spacing w:after="0" w:line="360" w:lineRule="auto"/>
        <w:rPr>
          <w:rFonts w:ascii="Times New Roman" w:hAnsi="Times New Roman" w:cs="Times New Roman"/>
          <w:sz w:val="28"/>
          <w:szCs w:val="28"/>
        </w:rPr>
      </w:pPr>
    </w:p>
    <w:p w:rsidR="00563DEA" w:rsidRPr="00D40B81" w:rsidRDefault="00563DEA" w:rsidP="005E0D82">
      <w:pPr>
        <w:pStyle w:val="2"/>
        <w:spacing w:before="0" w:after="0" w:line="360" w:lineRule="auto"/>
        <w:rPr>
          <w:rFonts w:eastAsiaTheme="minorHAnsi"/>
          <w:b/>
          <w:bCs w:val="0"/>
        </w:rPr>
      </w:pPr>
      <w:bookmarkStart w:id="49" w:name="_Toc9031274"/>
      <w:bookmarkStart w:id="50" w:name="_Toc9250607"/>
      <w:r w:rsidRPr="00D40B81">
        <w:rPr>
          <w:b/>
          <w:bCs w:val="0"/>
        </w:rPr>
        <w:t xml:space="preserve">3.3. </w:t>
      </w:r>
      <w:r w:rsidRPr="00D40B81">
        <w:rPr>
          <w:rFonts w:eastAsiaTheme="minorHAnsi"/>
          <w:b/>
          <w:bCs w:val="0"/>
        </w:rPr>
        <w:t xml:space="preserve">Частота встречаемости уровней экспрессии генов TP, MGMT, PDGFR-α, VEGF, C-kit, β-тубулина в глиомах </w:t>
      </w:r>
      <w:r w:rsidRPr="00D40B81">
        <w:rPr>
          <w:rFonts w:eastAsiaTheme="minorHAnsi"/>
          <w:b/>
          <w:bCs w:val="0"/>
          <w:lang w:val="en-US"/>
        </w:rPr>
        <w:t>GII</w:t>
      </w:r>
      <w:r w:rsidRPr="00D40B81">
        <w:rPr>
          <w:rFonts w:eastAsiaTheme="minorHAnsi"/>
          <w:b/>
          <w:bCs w:val="0"/>
        </w:rPr>
        <w:t>/</w:t>
      </w:r>
      <w:r w:rsidRPr="00D40B81">
        <w:rPr>
          <w:rFonts w:eastAsiaTheme="minorHAnsi"/>
          <w:b/>
          <w:bCs w:val="0"/>
          <w:lang w:val="en-US"/>
        </w:rPr>
        <w:t>GIII</w:t>
      </w:r>
      <w:bookmarkEnd w:id="49"/>
      <w:bookmarkEnd w:id="50"/>
    </w:p>
    <w:p w:rsidR="00563DEA" w:rsidRDefault="00563DEA" w:rsidP="005E0D82">
      <w:pPr>
        <w:spacing w:after="0" w:line="360" w:lineRule="auto"/>
        <w:rPr>
          <w:rFonts w:ascii="Times New Roman" w:hAnsi="Times New Roman" w:cs="Times New Roman"/>
          <w:sz w:val="28"/>
          <w:szCs w:val="28"/>
        </w:rPr>
      </w:pPr>
      <w:r>
        <w:rPr>
          <w:rFonts w:ascii="Times New Roman" w:hAnsi="Times New Roman" w:cs="Times New Roman"/>
          <w:sz w:val="28"/>
          <w:szCs w:val="28"/>
        </w:rPr>
        <w:t>С помощью методики ПЦР в режиме реального времени был исследован уровень экспрессии генов в опухолях различных гистологических подтипов. Экспрессия генов оценивалась в относительных значениях, классифицированных на низкие, средние и высокие в зависимости от уровня (табл. 3).</w:t>
      </w:r>
    </w:p>
    <w:p w:rsidR="001C79D0" w:rsidRDefault="001C79D0" w:rsidP="005E0D82">
      <w:pPr>
        <w:spacing w:after="0" w:line="360" w:lineRule="auto"/>
        <w:rPr>
          <w:rFonts w:ascii="Times New Roman" w:hAnsi="Times New Roman" w:cs="Times New Roman"/>
          <w:sz w:val="28"/>
          <w:szCs w:val="28"/>
        </w:rPr>
      </w:pPr>
      <w:r>
        <w:rPr>
          <w:rFonts w:ascii="Times New Roman" w:hAnsi="Times New Roman" w:cs="Times New Roman"/>
          <w:sz w:val="28"/>
          <w:szCs w:val="28"/>
        </w:rPr>
        <w:t>Для ДА</w:t>
      </w:r>
      <w:r>
        <w:rPr>
          <w:rFonts w:ascii="Times New Roman" w:hAnsi="Times New Roman" w:cs="Times New Roman"/>
          <w:sz w:val="28"/>
          <w:szCs w:val="28"/>
          <w:lang w:val="en-US"/>
        </w:rPr>
        <w:t>GII</w:t>
      </w:r>
      <w:r>
        <w:rPr>
          <w:rFonts w:ascii="Times New Roman" w:hAnsi="Times New Roman" w:cs="Times New Roman"/>
          <w:sz w:val="28"/>
          <w:szCs w:val="28"/>
        </w:rPr>
        <w:t xml:space="preserve"> были характерны преимущественно низкие значения экспрессии таких генов, как </w:t>
      </w:r>
      <w:r>
        <w:rPr>
          <w:rFonts w:ascii="Times New Roman" w:hAnsi="Times New Roman" w:cs="Times New Roman"/>
          <w:sz w:val="28"/>
          <w:szCs w:val="28"/>
          <w:lang w:val="en-US"/>
        </w:rPr>
        <w:t>TP</w:t>
      </w:r>
      <w:r>
        <w:rPr>
          <w:rFonts w:ascii="Times New Roman" w:hAnsi="Times New Roman" w:cs="Times New Roman"/>
          <w:sz w:val="28"/>
          <w:szCs w:val="28"/>
        </w:rPr>
        <w:t xml:space="preserve"> (62%) и </w:t>
      </w:r>
      <w:r>
        <w:rPr>
          <w:rFonts w:ascii="Times New Roman" w:hAnsi="Times New Roman" w:cs="Times New Roman"/>
          <w:sz w:val="28"/>
          <w:szCs w:val="28"/>
          <w:lang w:val="en-US"/>
        </w:rPr>
        <w:t>c</w:t>
      </w:r>
      <w:r w:rsidRPr="001C79D0">
        <w:rPr>
          <w:rFonts w:ascii="Times New Roman" w:hAnsi="Times New Roman" w:cs="Times New Roman"/>
          <w:sz w:val="28"/>
          <w:szCs w:val="28"/>
        </w:rPr>
        <w:t>-</w:t>
      </w:r>
      <w:r>
        <w:rPr>
          <w:rFonts w:ascii="Times New Roman" w:hAnsi="Times New Roman" w:cs="Times New Roman"/>
          <w:sz w:val="28"/>
          <w:szCs w:val="28"/>
          <w:lang w:val="en-US"/>
        </w:rPr>
        <w:t>kit</w:t>
      </w:r>
      <w:r>
        <w:rPr>
          <w:rFonts w:ascii="Times New Roman" w:hAnsi="Times New Roman" w:cs="Times New Roman"/>
          <w:sz w:val="28"/>
          <w:szCs w:val="28"/>
        </w:rPr>
        <w:t xml:space="preserve"> (65%); низкие и средние значения экспрессии генов </w:t>
      </w:r>
      <w:r>
        <w:rPr>
          <w:rFonts w:ascii="Times New Roman" w:hAnsi="Times New Roman" w:cs="Times New Roman"/>
          <w:sz w:val="28"/>
          <w:szCs w:val="28"/>
          <w:lang w:val="en-US"/>
        </w:rPr>
        <w:t>MGMT</w:t>
      </w:r>
      <w:r>
        <w:rPr>
          <w:rFonts w:ascii="Times New Roman" w:hAnsi="Times New Roman" w:cs="Times New Roman"/>
          <w:sz w:val="28"/>
          <w:szCs w:val="28"/>
        </w:rPr>
        <w:t xml:space="preserve"> (46</w:t>
      </w:r>
      <w:r w:rsidR="0056123C">
        <w:rPr>
          <w:rFonts w:ascii="Times New Roman" w:hAnsi="Times New Roman" w:cs="Times New Roman"/>
          <w:sz w:val="28"/>
          <w:szCs w:val="28"/>
        </w:rPr>
        <w:t>-50%)</w:t>
      </w:r>
      <w:r w:rsidRPr="001C79D0">
        <w:rPr>
          <w:rFonts w:ascii="Times New Roman" w:hAnsi="Times New Roman" w:cs="Times New Roman"/>
          <w:sz w:val="28"/>
          <w:szCs w:val="28"/>
        </w:rPr>
        <w:t>, PDGFR- α</w:t>
      </w:r>
      <w:r w:rsidR="0056123C">
        <w:rPr>
          <w:rFonts w:ascii="Times New Roman" w:hAnsi="Times New Roman" w:cs="Times New Roman"/>
          <w:sz w:val="28"/>
          <w:szCs w:val="28"/>
        </w:rPr>
        <w:t xml:space="preserve"> (14-76%)</w:t>
      </w:r>
      <w:r w:rsidRPr="001C79D0">
        <w:rPr>
          <w:rFonts w:ascii="Times New Roman" w:hAnsi="Times New Roman" w:cs="Times New Roman"/>
          <w:sz w:val="28"/>
          <w:szCs w:val="28"/>
        </w:rPr>
        <w:t xml:space="preserve">, </w:t>
      </w:r>
      <w:r w:rsidRPr="001C79D0">
        <w:rPr>
          <w:rFonts w:ascii="Times New Roman" w:hAnsi="Times New Roman" w:cs="Times New Roman"/>
          <w:sz w:val="28"/>
          <w:szCs w:val="28"/>
          <w:lang w:val="en-US"/>
        </w:rPr>
        <w:t>VEGF</w:t>
      </w:r>
      <w:r w:rsidR="0056123C">
        <w:rPr>
          <w:rFonts w:ascii="Times New Roman" w:hAnsi="Times New Roman" w:cs="Times New Roman"/>
          <w:sz w:val="28"/>
          <w:szCs w:val="28"/>
        </w:rPr>
        <w:t xml:space="preserve"> (40-60%)</w:t>
      </w:r>
      <w:r>
        <w:rPr>
          <w:rFonts w:ascii="Times New Roman" w:hAnsi="Times New Roman" w:cs="Times New Roman"/>
          <w:sz w:val="28"/>
          <w:szCs w:val="28"/>
        </w:rPr>
        <w:t xml:space="preserve">; высокое значение экспрессии гена </w:t>
      </w:r>
      <w:r w:rsidRPr="001C79D0">
        <w:rPr>
          <w:rFonts w:ascii="Times New Roman" w:hAnsi="Times New Roman" w:cs="Times New Roman"/>
          <w:sz w:val="28"/>
          <w:szCs w:val="28"/>
        </w:rPr>
        <w:t>β-тубулин</w:t>
      </w:r>
      <w:r w:rsidR="0056123C">
        <w:rPr>
          <w:rFonts w:ascii="Times New Roman" w:hAnsi="Times New Roman" w:cs="Times New Roman"/>
          <w:sz w:val="28"/>
          <w:szCs w:val="28"/>
        </w:rPr>
        <w:t xml:space="preserve"> (62%).</w:t>
      </w:r>
    </w:p>
    <w:p w:rsidR="0056123C" w:rsidRDefault="0056123C" w:rsidP="005E0D82">
      <w:pPr>
        <w:spacing w:after="0" w:line="360" w:lineRule="auto"/>
        <w:rPr>
          <w:rFonts w:ascii="Times New Roman" w:hAnsi="Times New Roman" w:cs="Times New Roman"/>
          <w:sz w:val="28"/>
          <w:szCs w:val="28"/>
        </w:rPr>
      </w:pPr>
      <w:r>
        <w:rPr>
          <w:rFonts w:ascii="Times New Roman" w:hAnsi="Times New Roman" w:cs="Times New Roman"/>
          <w:sz w:val="28"/>
          <w:szCs w:val="28"/>
        </w:rPr>
        <w:t>В случае АА</w:t>
      </w:r>
      <w:r>
        <w:rPr>
          <w:rFonts w:ascii="Times New Roman" w:hAnsi="Times New Roman" w:cs="Times New Roman"/>
          <w:sz w:val="28"/>
          <w:szCs w:val="28"/>
          <w:lang w:val="en-US"/>
        </w:rPr>
        <w:t>GIII</w:t>
      </w:r>
      <w:r>
        <w:rPr>
          <w:rFonts w:ascii="Times New Roman" w:hAnsi="Times New Roman" w:cs="Times New Roman"/>
          <w:sz w:val="28"/>
          <w:szCs w:val="28"/>
        </w:rPr>
        <w:t xml:space="preserve"> характерны преимущественно низкие значения экспрессии таких генов, как </w:t>
      </w:r>
      <w:r>
        <w:rPr>
          <w:rFonts w:ascii="Times New Roman" w:hAnsi="Times New Roman" w:cs="Times New Roman"/>
          <w:sz w:val="28"/>
          <w:szCs w:val="28"/>
          <w:lang w:val="en-US"/>
        </w:rPr>
        <w:t>TP</w:t>
      </w:r>
      <w:r>
        <w:rPr>
          <w:rFonts w:ascii="Times New Roman" w:hAnsi="Times New Roman" w:cs="Times New Roman"/>
          <w:sz w:val="28"/>
          <w:szCs w:val="28"/>
        </w:rPr>
        <w:t xml:space="preserve"> (50%), низкие и средние значения экспрессии генов </w:t>
      </w:r>
      <w:r>
        <w:rPr>
          <w:rFonts w:ascii="Times New Roman" w:hAnsi="Times New Roman" w:cs="Times New Roman"/>
          <w:sz w:val="28"/>
          <w:szCs w:val="28"/>
          <w:lang w:val="en-US"/>
        </w:rPr>
        <w:t>c</w:t>
      </w:r>
      <w:r w:rsidRPr="001C79D0">
        <w:rPr>
          <w:rFonts w:ascii="Times New Roman" w:hAnsi="Times New Roman" w:cs="Times New Roman"/>
          <w:sz w:val="28"/>
          <w:szCs w:val="28"/>
        </w:rPr>
        <w:t>-</w:t>
      </w:r>
      <w:r>
        <w:rPr>
          <w:rFonts w:ascii="Times New Roman" w:hAnsi="Times New Roman" w:cs="Times New Roman"/>
          <w:sz w:val="28"/>
          <w:szCs w:val="28"/>
          <w:lang w:val="en-US"/>
        </w:rPr>
        <w:t>kit</w:t>
      </w:r>
      <w:r>
        <w:rPr>
          <w:rFonts w:ascii="Times New Roman" w:hAnsi="Times New Roman" w:cs="Times New Roman"/>
          <w:sz w:val="28"/>
          <w:szCs w:val="28"/>
        </w:rPr>
        <w:t xml:space="preserve"> (49%), </w:t>
      </w:r>
      <w:r>
        <w:rPr>
          <w:rFonts w:ascii="Times New Roman" w:hAnsi="Times New Roman" w:cs="Times New Roman"/>
          <w:sz w:val="28"/>
          <w:szCs w:val="28"/>
          <w:lang w:val="en-US"/>
        </w:rPr>
        <w:t>MGMT</w:t>
      </w:r>
      <w:r>
        <w:rPr>
          <w:rFonts w:ascii="Times New Roman" w:hAnsi="Times New Roman" w:cs="Times New Roman"/>
          <w:sz w:val="28"/>
          <w:szCs w:val="28"/>
        </w:rPr>
        <w:t xml:space="preserve"> (42-44%)</w:t>
      </w:r>
      <w:r w:rsidRPr="001C79D0">
        <w:rPr>
          <w:rFonts w:ascii="Times New Roman" w:hAnsi="Times New Roman" w:cs="Times New Roman"/>
          <w:sz w:val="28"/>
          <w:szCs w:val="28"/>
        </w:rPr>
        <w:t>, PDGFR- α</w:t>
      </w:r>
      <w:r>
        <w:rPr>
          <w:rFonts w:ascii="Times New Roman" w:hAnsi="Times New Roman" w:cs="Times New Roman"/>
          <w:sz w:val="28"/>
          <w:szCs w:val="28"/>
        </w:rPr>
        <w:t xml:space="preserve"> (19-54%)</w:t>
      </w:r>
      <w:r w:rsidRPr="001C79D0">
        <w:rPr>
          <w:rFonts w:ascii="Times New Roman" w:hAnsi="Times New Roman" w:cs="Times New Roman"/>
          <w:sz w:val="28"/>
          <w:szCs w:val="28"/>
        </w:rPr>
        <w:t xml:space="preserve">, </w:t>
      </w:r>
      <w:r w:rsidRPr="001C79D0">
        <w:rPr>
          <w:rFonts w:ascii="Times New Roman" w:hAnsi="Times New Roman" w:cs="Times New Roman"/>
          <w:sz w:val="28"/>
          <w:szCs w:val="28"/>
          <w:lang w:val="en-US"/>
        </w:rPr>
        <w:t>VEGF</w:t>
      </w:r>
      <w:r>
        <w:rPr>
          <w:rFonts w:ascii="Times New Roman" w:hAnsi="Times New Roman" w:cs="Times New Roman"/>
          <w:sz w:val="28"/>
          <w:szCs w:val="28"/>
        </w:rPr>
        <w:t xml:space="preserve"> (33-57%); высокое значение экспрессии гена </w:t>
      </w:r>
      <w:r w:rsidRPr="001C79D0">
        <w:rPr>
          <w:rFonts w:ascii="Times New Roman" w:hAnsi="Times New Roman" w:cs="Times New Roman"/>
          <w:sz w:val="28"/>
          <w:szCs w:val="28"/>
        </w:rPr>
        <w:t>β-тубулин</w:t>
      </w:r>
      <w:r>
        <w:rPr>
          <w:rFonts w:ascii="Times New Roman" w:hAnsi="Times New Roman" w:cs="Times New Roman"/>
          <w:sz w:val="28"/>
          <w:szCs w:val="28"/>
        </w:rPr>
        <w:t xml:space="preserve"> (66%).</w:t>
      </w:r>
    </w:p>
    <w:p w:rsidR="0056123C" w:rsidRDefault="0056123C" w:rsidP="005E0D82">
      <w:pPr>
        <w:spacing w:after="0" w:line="360" w:lineRule="auto"/>
        <w:rPr>
          <w:rFonts w:ascii="Times New Roman" w:hAnsi="Times New Roman" w:cs="Times New Roman"/>
          <w:sz w:val="28"/>
          <w:szCs w:val="28"/>
        </w:rPr>
      </w:pPr>
      <w:r>
        <w:rPr>
          <w:rFonts w:ascii="Times New Roman" w:hAnsi="Times New Roman" w:cs="Times New Roman"/>
          <w:sz w:val="28"/>
          <w:szCs w:val="28"/>
        </w:rPr>
        <w:t>Для ОДГ</w:t>
      </w:r>
      <w:r>
        <w:rPr>
          <w:rFonts w:ascii="Times New Roman" w:hAnsi="Times New Roman" w:cs="Times New Roman"/>
          <w:sz w:val="28"/>
          <w:szCs w:val="28"/>
          <w:lang w:val="en-US"/>
        </w:rPr>
        <w:t>GII</w:t>
      </w:r>
      <w:r>
        <w:rPr>
          <w:rFonts w:ascii="Times New Roman" w:hAnsi="Times New Roman" w:cs="Times New Roman"/>
          <w:sz w:val="28"/>
          <w:szCs w:val="28"/>
        </w:rPr>
        <w:t xml:space="preserve"> были характерны преимущественно низкие значения экспрессии таких генов, как </w:t>
      </w:r>
      <w:r w:rsidRPr="001C79D0">
        <w:rPr>
          <w:rFonts w:ascii="Times New Roman" w:hAnsi="Times New Roman" w:cs="Times New Roman"/>
          <w:sz w:val="28"/>
          <w:szCs w:val="28"/>
        </w:rPr>
        <w:t>PDGFR- α</w:t>
      </w:r>
      <w:r>
        <w:rPr>
          <w:rFonts w:ascii="Times New Roman" w:hAnsi="Times New Roman" w:cs="Times New Roman"/>
          <w:sz w:val="28"/>
          <w:szCs w:val="28"/>
        </w:rPr>
        <w:t xml:space="preserve"> (67%), низкие и средние значения экспрессии генов </w:t>
      </w:r>
      <w:r w:rsidRPr="001C79D0">
        <w:rPr>
          <w:rFonts w:ascii="Times New Roman" w:hAnsi="Times New Roman" w:cs="Times New Roman"/>
          <w:sz w:val="28"/>
          <w:szCs w:val="28"/>
          <w:lang w:val="en-US"/>
        </w:rPr>
        <w:t>VEGF</w:t>
      </w:r>
      <w:r>
        <w:rPr>
          <w:rFonts w:ascii="Times New Roman" w:hAnsi="Times New Roman" w:cs="Times New Roman"/>
          <w:sz w:val="28"/>
          <w:szCs w:val="28"/>
        </w:rPr>
        <w:t xml:space="preserve"> (33-67%); средние и высокие значения экспрессии гена </w:t>
      </w:r>
      <w:r w:rsidRPr="001C79D0">
        <w:rPr>
          <w:rFonts w:ascii="Times New Roman" w:hAnsi="Times New Roman" w:cs="Times New Roman"/>
          <w:sz w:val="28"/>
          <w:szCs w:val="28"/>
        </w:rPr>
        <w:t>β-тубулин</w:t>
      </w:r>
      <w:r>
        <w:rPr>
          <w:rFonts w:ascii="Times New Roman" w:hAnsi="Times New Roman" w:cs="Times New Roman"/>
          <w:sz w:val="28"/>
          <w:szCs w:val="28"/>
        </w:rPr>
        <w:t xml:space="preserve"> (33-67%) и преимущественно средние значения гена </w:t>
      </w:r>
      <w:r>
        <w:rPr>
          <w:rFonts w:ascii="Times New Roman" w:hAnsi="Times New Roman" w:cs="Times New Roman"/>
          <w:sz w:val="28"/>
          <w:szCs w:val="28"/>
          <w:lang w:val="en-US"/>
        </w:rPr>
        <w:t>MGMT</w:t>
      </w:r>
      <w:r w:rsidRPr="0056123C">
        <w:rPr>
          <w:rFonts w:ascii="Times New Roman" w:hAnsi="Times New Roman" w:cs="Times New Roman"/>
          <w:sz w:val="28"/>
          <w:szCs w:val="28"/>
        </w:rPr>
        <w:t xml:space="preserve"> </w:t>
      </w:r>
      <w:r>
        <w:rPr>
          <w:rFonts w:ascii="Times New Roman" w:hAnsi="Times New Roman" w:cs="Times New Roman"/>
          <w:sz w:val="28"/>
          <w:szCs w:val="28"/>
        </w:rPr>
        <w:t>(67%).</w:t>
      </w:r>
      <w:r w:rsidR="00990FE2">
        <w:rPr>
          <w:rFonts w:ascii="Times New Roman" w:hAnsi="Times New Roman" w:cs="Times New Roman"/>
          <w:sz w:val="28"/>
          <w:szCs w:val="28"/>
        </w:rPr>
        <w:t xml:space="preserve"> Значения экспрессии гена </w:t>
      </w:r>
      <w:r w:rsidR="00990FE2">
        <w:rPr>
          <w:rFonts w:ascii="Times New Roman" w:hAnsi="Times New Roman" w:cs="Times New Roman"/>
          <w:sz w:val="28"/>
          <w:szCs w:val="28"/>
          <w:lang w:val="en-US"/>
        </w:rPr>
        <w:t>c</w:t>
      </w:r>
      <w:r w:rsidR="00990FE2" w:rsidRPr="006E55A3">
        <w:rPr>
          <w:rFonts w:ascii="Times New Roman" w:hAnsi="Times New Roman" w:cs="Times New Roman"/>
          <w:sz w:val="28"/>
          <w:szCs w:val="28"/>
        </w:rPr>
        <w:t>-</w:t>
      </w:r>
      <w:r w:rsidR="00990FE2">
        <w:rPr>
          <w:rFonts w:ascii="Times New Roman" w:hAnsi="Times New Roman" w:cs="Times New Roman"/>
          <w:sz w:val="28"/>
          <w:szCs w:val="28"/>
          <w:lang w:val="en-US"/>
        </w:rPr>
        <w:t>kit</w:t>
      </w:r>
      <w:r w:rsidR="00990FE2" w:rsidRPr="006E55A3">
        <w:rPr>
          <w:rFonts w:ascii="Times New Roman" w:hAnsi="Times New Roman" w:cs="Times New Roman"/>
          <w:sz w:val="28"/>
          <w:szCs w:val="28"/>
        </w:rPr>
        <w:t xml:space="preserve"> </w:t>
      </w:r>
      <w:r w:rsidR="00990FE2">
        <w:rPr>
          <w:rFonts w:ascii="Times New Roman" w:hAnsi="Times New Roman" w:cs="Times New Roman"/>
          <w:sz w:val="28"/>
          <w:szCs w:val="28"/>
        </w:rPr>
        <w:t xml:space="preserve">не показали корреляции. </w:t>
      </w:r>
    </w:p>
    <w:p w:rsidR="0056123C" w:rsidRPr="001C79D0" w:rsidRDefault="00990FE2" w:rsidP="005E0D82">
      <w:pPr>
        <w:spacing w:after="0" w:line="360" w:lineRule="auto"/>
        <w:rPr>
          <w:rFonts w:ascii="Times New Roman" w:hAnsi="Times New Roman" w:cs="Times New Roman"/>
          <w:sz w:val="28"/>
          <w:szCs w:val="28"/>
        </w:rPr>
      </w:pPr>
      <w:r>
        <w:rPr>
          <w:rFonts w:ascii="Times New Roman" w:hAnsi="Times New Roman" w:cs="Times New Roman"/>
          <w:sz w:val="28"/>
          <w:szCs w:val="28"/>
        </w:rPr>
        <w:t>При АОДГ</w:t>
      </w:r>
      <w:r>
        <w:rPr>
          <w:rFonts w:ascii="Times New Roman" w:hAnsi="Times New Roman" w:cs="Times New Roman"/>
          <w:sz w:val="28"/>
          <w:szCs w:val="28"/>
          <w:lang w:val="en-US"/>
        </w:rPr>
        <w:t>GIII</w:t>
      </w:r>
      <w:r>
        <w:rPr>
          <w:rFonts w:ascii="Times New Roman" w:hAnsi="Times New Roman" w:cs="Times New Roman"/>
          <w:sz w:val="28"/>
          <w:szCs w:val="28"/>
        </w:rPr>
        <w:t xml:space="preserve"> характерны преимущественно низкие значения экспрессии таких генов, как </w:t>
      </w:r>
      <w:r>
        <w:rPr>
          <w:rFonts w:ascii="Times New Roman" w:hAnsi="Times New Roman" w:cs="Times New Roman"/>
          <w:sz w:val="28"/>
          <w:szCs w:val="28"/>
          <w:lang w:val="en-US"/>
        </w:rPr>
        <w:t>MGMT</w:t>
      </w:r>
      <w:r w:rsidRPr="0056123C">
        <w:rPr>
          <w:rFonts w:ascii="Times New Roman" w:hAnsi="Times New Roman" w:cs="Times New Roman"/>
          <w:sz w:val="28"/>
          <w:szCs w:val="28"/>
        </w:rPr>
        <w:t xml:space="preserve"> </w:t>
      </w:r>
      <w:r>
        <w:rPr>
          <w:rFonts w:ascii="Times New Roman" w:hAnsi="Times New Roman" w:cs="Times New Roman"/>
          <w:sz w:val="28"/>
          <w:szCs w:val="28"/>
        </w:rPr>
        <w:t xml:space="preserve">(85%), низкие и средние значения экспрессии генов </w:t>
      </w:r>
      <w:r w:rsidRPr="001C79D0">
        <w:rPr>
          <w:rFonts w:ascii="Times New Roman" w:hAnsi="Times New Roman" w:cs="Times New Roman"/>
          <w:sz w:val="28"/>
          <w:szCs w:val="28"/>
          <w:lang w:val="en-US"/>
        </w:rPr>
        <w:t>VEGF</w:t>
      </w:r>
      <w:r>
        <w:rPr>
          <w:rFonts w:ascii="Times New Roman" w:hAnsi="Times New Roman" w:cs="Times New Roman"/>
          <w:sz w:val="28"/>
          <w:szCs w:val="28"/>
        </w:rPr>
        <w:t xml:space="preserve"> (46-54%) и </w:t>
      </w:r>
      <w:r>
        <w:rPr>
          <w:rFonts w:ascii="Times New Roman" w:hAnsi="Times New Roman" w:cs="Times New Roman"/>
          <w:sz w:val="28"/>
          <w:szCs w:val="28"/>
          <w:lang w:val="en-US"/>
        </w:rPr>
        <w:t>c</w:t>
      </w:r>
      <w:r w:rsidRPr="00990FE2">
        <w:rPr>
          <w:rFonts w:ascii="Times New Roman" w:hAnsi="Times New Roman" w:cs="Times New Roman"/>
          <w:sz w:val="28"/>
          <w:szCs w:val="28"/>
        </w:rPr>
        <w:t>-</w:t>
      </w:r>
      <w:r>
        <w:rPr>
          <w:rFonts w:ascii="Times New Roman" w:hAnsi="Times New Roman" w:cs="Times New Roman"/>
          <w:sz w:val="28"/>
          <w:szCs w:val="28"/>
          <w:lang w:val="en-US"/>
        </w:rPr>
        <w:t>kit</w:t>
      </w:r>
      <w:r w:rsidRPr="00990FE2">
        <w:rPr>
          <w:rFonts w:ascii="Times New Roman" w:hAnsi="Times New Roman" w:cs="Times New Roman"/>
          <w:sz w:val="28"/>
          <w:szCs w:val="28"/>
        </w:rPr>
        <w:t xml:space="preserve"> </w:t>
      </w:r>
      <w:r>
        <w:rPr>
          <w:rFonts w:ascii="Times New Roman" w:hAnsi="Times New Roman" w:cs="Times New Roman"/>
          <w:sz w:val="28"/>
          <w:szCs w:val="28"/>
        </w:rPr>
        <w:t xml:space="preserve">(46-54%); средние и высокие значения экспрессии гена </w:t>
      </w:r>
      <w:r w:rsidRPr="001C79D0">
        <w:rPr>
          <w:rFonts w:ascii="Times New Roman" w:hAnsi="Times New Roman" w:cs="Times New Roman"/>
          <w:sz w:val="28"/>
          <w:szCs w:val="28"/>
        </w:rPr>
        <w:t>β-тубулин</w:t>
      </w:r>
      <w:r>
        <w:rPr>
          <w:rFonts w:ascii="Times New Roman" w:hAnsi="Times New Roman" w:cs="Times New Roman"/>
          <w:sz w:val="28"/>
          <w:szCs w:val="28"/>
        </w:rPr>
        <w:t xml:space="preserve"> (31-69%) и преимущественно средние значения гена </w:t>
      </w:r>
      <w:r w:rsidRPr="001C79D0">
        <w:rPr>
          <w:rFonts w:ascii="Times New Roman" w:hAnsi="Times New Roman" w:cs="Times New Roman"/>
          <w:sz w:val="28"/>
          <w:szCs w:val="28"/>
        </w:rPr>
        <w:t>PDGFR- α</w:t>
      </w:r>
      <w:r>
        <w:rPr>
          <w:rFonts w:ascii="Times New Roman" w:hAnsi="Times New Roman" w:cs="Times New Roman"/>
          <w:sz w:val="28"/>
          <w:szCs w:val="28"/>
        </w:rPr>
        <w:t xml:space="preserve"> (61%).</w:t>
      </w:r>
    </w:p>
    <w:p w:rsidR="004F3459" w:rsidRDefault="004F3459" w:rsidP="005E0D82">
      <w:pPr>
        <w:pStyle w:val="ae"/>
        <w:keepNext/>
        <w:spacing w:after="0" w:line="360" w:lineRule="auto"/>
      </w:pPr>
      <w:r>
        <w:lastRenderedPageBreak/>
        <w:t xml:space="preserve">Таблица </w:t>
      </w:r>
      <w:fldSimple w:instr=" SEQ Таблица \* ARABIC ">
        <w:r w:rsidR="00DD6C05">
          <w:rPr>
            <w:noProof/>
          </w:rPr>
          <w:t>4</w:t>
        </w:r>
      </w:fldSimple>
      <w:r>
        <w:t xml:space="preserve">. </w:t>
      </w:r>
      <w:r w:rsidRPr="00A4618E">
        <w:t>Частота встречаемости уровней экспрессии генов TP, MGMT, PDGFR-α, VEGF, C-kit, β-тубулина в глиомах GII/GIII</w:t>
      </w:r>
    </w:p>
    <w:tbl>
      <w:tblPr>
        <w:tblStyle w:val="11"/>
        <w:tblpPr w:leftFromText="180" w:rightFromText="180" w:vertAnchor="text" w:horzAnchor="margin" w:tblpY="108"/>
        <w:tblW w:w="9287" w:type="dxa"/>
        <w:tblLook w:val="04A0" w:firstRow="1" w:lastRow="0" w:firstColumn="1" w:lastColumn="0" w:noHBand="0" w:noVBand="1"/>
      </w:tblPr>
      <w:tblGrid>
        <w:gridCol w:w="1575"/>
        <w:gridCol w:w="1806"/>
        <w:gridCol w:w="1298"/>
        <w:gridCol w:w="1298"/>
        <w:gridCol w:w="1388"/>
        <w:gridCol w:w="1922"/>
      </w:tblGrid>
      <w:tr w:rsidR="00563DEA" w:rsidRPr="00563DEA" w:rsidTr="00563DEA">
        <w:trPr>
          <w:trHeight w:val="866"/>
        </w:trPr>
        <w:tc>
          <w:tcPr>
            <w:tcW w:w="3381" w:type="dxa"/>
            <w:gridSpan w:val="2"/>
            <w:hideMark/>
          </w:tcPr>
          <w:p w:rsidR="00563DEA" w:rsidRPr="00563DEA" w:rsidRDefault="00563DEA" w:rsidP="005E0D82">
            <w:pPr>
              <w:spacing w:line="360" w:lineRule="auto"/>
              <w:rPr>
                <w:rFonts w:ascii="Times New Roman" w:hAnsi="Times New Roman" w:cs="Times New Roman"/>
              </w:rPr>
            </w:pPr>
            <w:r w:rsidRPr="00563DEA">
              <w:rPr>
                <w:rFonts w:ascii="Times New Roman" w:hAnsi="Times New Roman" w:cs="Times New Roman"/>
                <w:b/>
                <w:bCs/>
              </w:rPr>
              <w:t>Уровень экспрессии / подтип опухоли</w:t>
            </w:r>
          </w:p>
        </w:tc>
        <w:tc>
          <w:tcPr>
            <w:tcW w:w="1298" w:type="dxa"/>
          </w:tcPr>
          <w:p w:rsidR="00563DEA" w:rsidRPr="00563DEA" w:rsidRDefault="00563DEA" w:rsidP="005E0D82">
            <w:pPr>
              <w:spacing w:line="360" w:lineRule="auto"/>
              <w:rPr>
                <w:rFonts w:ascii="Times New Roman" w:hAnsi="Times New Roman" w:cs="Times New Roman"/>
                <w:b/>
                <w:bCs/>
                <w:lang w:val="en-US"/>
              </w:rPr>
            </w:pPr>
            <w:r>
              <w:rPr>
                <w:rFonts w:ascii="Times New Roman" w:hAnsi="Times New Roman" w:cs="Times New Roman"/>
                <w:b/>
                <w:bCs/>
              </w:rPr>
              <w:t>ДА</w:t>
            </w:r>
            <w:r>
              <w:rPr>
                <w:rFonts w:ascii="Times New Roman" w:hAnsi="Times New Roman" w:cs="Times New Roman"/>
                <w:b/>
                <w:bCs/>
                <w:lang w:val="en-US"/>
              </w:rPr>
              <w:t>GII</w:t>
            </w:r>
          </w:p>
        </w:tc>
        <w:tc>
          <w:tcPr>
            <w:tcW w:w="1298" w:type="dxa"/>
          </w:tcPr>
          <w:p w:rsidR="00563DEA" w:rsidRPr="00563DEA" w:rsidRDefault="00563DEA" w:rsidP="005E0D82">
            <w:pPr>
              <w:spacing w:line="360" w:lineRule="auto"/>
              <w:rPr>
                <w:rFonts w:ascii="Times New Roman" w:hAnsi="Times New Roman" w:cs="Times New Roman"/>
                <w:b/>
                <w:bCs/>
                <w:lang w:val="en-US"/>
              </w:rPr>
            </w:pPr>
            <w:r>
              <w:rPr>
                <w:rFonts w:ascii="Times New Roman" w:hAnsi="Times New Roman" w:cs="Times New Roman"/>
                <w:b/>
                <w:bCs/>
              </w:rPr>
              <w:t>АА</w:t>
            </w:r>
            <w:r>
              <w:rPr>
                <w:rFonts w:ascii="Times New Roman" w:hAnsi="Times New Roman" w:cs="Times New Roman"/>
                <w:b/>
                <w:bCs/>
                <w:lang w:val="en-US"/>
              </w:rPr>
              <w:t>GIII</w:t>
            </w:r>
          </w:p>
        </w:tc>
        <w:tc>
          <w:tcPr>
            <w:tcW w:w="1388" w:type="dxa"/>
            <w:hideMark/>
          </w:tcPr>
          <w:p w:rsidR="00563DEA" w:rsidRPr="00563DEA" w:rsidRDefault="00563DEA" w:rsidP="005E0D82">
            <w:pPr>
              <w:spacing w:line="360" w:lineRule="auto"/>
              <w:rPr>
                <w:rFonts w:ascii="Times New Roman" w:hAnsi="Times New Roman" w:cs="Times New Roman"/>
              </w:rPr>
            </w:pPr>
            <w:r w:rsidRPr="00563DEA">
              <w:rPr>
                <w:rFonts w:ascii="Times New Roman" w:hAnsi="Times New Roman" w:cs="Times New Roman"/>
                <w:b/>
                <w:bCs/>
              </w:rPr>
              <w:t>ОДГ</w:t>
            </w:r>
            <w:r w:rsidRPr="00563DEA">
              <w:rPr>
                <w:rFonts w:ascii="Times New Roman" w:hAnsi="Times New Roman" w:cs="Times New Roman"/>
                <w:b/>
                <w:bCs/>
                <w:lang w:val="en-US"/>
              </w:rPr>
              <w:t>GII</w:t>
            </w:r>
          </w:p>
          <w:p w:rsidR="00563DEA" w:rsidRPr="00563DEA" w:rsidRDefault="00563DEA" w:rsidP="005E0D82">
            <w:pPr>
              <w:spacing w:line="360" w:lineRule="auto"/>
              <w:rPr>
                <w:rFonts w:ascii="Times New Roman" w:hAnsi="Times New Roman" w:cs="Times New Roman"/>
              </w:rPr>
            </w:pPr>
            <w:r w:rsidRPr="00563DEA">
              <w:rPr>
                <w:rFonts w:ascii="Times New Roman" w:hAnsi="Times New Roman" w:cs="Times New Roman"/>
                <w:b/>
                <w:bCs/>
              </w:rPr>
              <w:t> </w:t>
            </w:r>
          </w:p>
        </w:tc>
        <w:tc>
          <w:tcPr>
            <w:tcW w:w="1922" w:type="dxa"/>
            <w:hideMark/>
          </w:tcPr>
          <w:p w:rsidR="00563DEA" w:rsidRPr="00563DEA" w:rsidRDefault="00563DEA" w:rsidP="005E0D82">
            <w:pPr>
              <w:spacing w:line="360" w:lineRule="auto"/>
              <w:rPr>
                <w:rFonts w:ascii="Times New Roman" w:hAnsi="Times New Roman" w:cs="Times New Roman"/>
              </w:rPr>
            </w:pPr>
            <w:r w:rsidRPr="00563DEA">
              <w:rPr>
                <w:rFonts w:ascii="Times New Roman" w:hAnsi="Times New Roman" w:cs="Times New Roman"/>
                <w:b/>
                <w:bCs/>
              </w:rPr>
              <w:t>AОДГ</w:t>
            </w:r>
            <w:r w:rsidRPr="00563DEA">
              <w:rPr>
                <w:rFonts w:ascii="Times New Roman" w:hAnsi="Times New Roman" w:cs="Times New Roman"/>
                <w:b/>
                <w:bCs/>
                <w:lang w:val="en-US"/>
              </w:rPr>
              <w:t>GIII</w:t>
            </w:r>
          </w:p>
          <w:p w:rsidR="00563DEA" w:rsidRPr="00563DEA" w:rsidRDefault="00563DEA" w:rsidP="005E0D82">
            <w:pPr>
              <w:spacing w:line="360" w:lineRule="auto"/>
              <w:rPr>
                <w:rFonts w:ascii="Times New Roman" w:hAnsi="Times New Roman" w:cs="Times New Roman"/>
              </w:rPr>
            </w:pPr>
            <w:r w:rsidRPr="00563DEA">
              <w:rPr>
                <w:rFonts w:ascii="Times New Roman" w:hAnsi="Times New Roman" w:cs="Times New Roman"/>
                <w:b/>
                <w:bCs/>
                <w:lang w:val="en-US"/>
              </w:rPr>
              <w:t> </w:t>
            </w:r>
          </w:p>
        </w:tc>
      </w:tr>
      <w:tr w:rsidR="004F3459" w:rsidRPr="00563DEA" w:rsidTr="00563DEA">
        <w:trPr>
          <w:trHeight w:val="433"/>
        </w:trPr>
        <w:tc>
          <w:tcPr>
            <w:tcW w:w="1575" w:type="dxa"/>
            <w:vMerge w:val="restart"/>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b/>
                <w:bCs/>
                <w:lang w:val="en-US"/>
              </w:rPr>
              <w:t> </w:t>
            </w:r>
          </w:p>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b/>
                <w:bCs/>
                <w:lang w:val="en-US"/>
              </w:rPr>
              <w:t>TP (n=</w:t>
            </w:r>
            <w:r w:rsidRPr="00563DEA">
              <w:rPr>
                <w:rFonts w:ascii="Times New Roman" w:hAnsi="Times New Roman" w:cs="Times New Roman"/>
                <w:b/>
                <w:bCs/>
              </w:rPr>
              <w:t>2/13)</w:t>
            </w:r>
          </w:p>
        </w:tc>
        <w:tc>
          <w:tcPr>
            <w:tcW w:w="1806" w:type="dxa"/>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lang w:val="en-US"/>
              </w:rPr>
              <w:t>низкий</w:t>
            </w:r>
          </w:p>
        </w:tc>
        <w:tc>
          <w:tcPr>
            <w:tcW w:w="1298" w:type="dxa"/>
          </w:tcPr>
          <w:p w:rsidR="004F3459" w:rsidRPr="004F3459" w:rsidRDefault="004F3459" w:rsidP="005E0D82">
            <w:pPr>
              <w:spacing w:line="360" w:lineRule="auto"/>
              <w:rPr>
                <w:rFonts w:ascii="Times New Roman" w:hAnsi="Times New Roman" w:cs="Times New Roman"/>
                <w:lang w:val="en-US"/>
              </w:rPr>
            </w:pPr>
            <w:r w:rsidRPr="004F3459">
              <w:rPr>
                <w:rFonts w:ascii="Times New Roman" w:hAnsi="Times New Roman" w:cs="Times New Roman"/>
                <w:lang w:val="en-US"/>
              </w:rPr>
              <w:t>13 (62%)</w:t>
            </w:r>
          </w:p>
        </w:tc>
        <w:tc>
          <w:tcPr>
            <w:tcW w:w="1298" w:type="dxa"/>
          </w:tcPr>
          <w:p w:rsidR="004F3459" w:rsidRPr="004F3459" w:rsidRDefault="004F3459" w:rsidP="005E0D82">
            <w:pPr>
              <w:spacing w:line="360" w:lineRule="auto"/>
              <w:jc w:val="right"/>
              <w:rPr>
                <w:rFonts w:ascii="Times New Roman" w:hAnsi="Times New Roman" w:cs="Times New Roman"/>
                <w:lang w:val="en-US"/>
              </w:rPr>
            </w:pPr>
            <w:r w:rsidRPr="004F3459">
              <w:rPr>
                <w:rFonts w:ascii="Times New Roman" w:hAnsi="Times New Roman" w:cs="Times New Roman"/>
                <w:lang w:val="en-US"/>
              </w:rPr>
              <w:t>21 (50%)</w:t>
            </w:r>
          </w:p>
        </w:tc>
        <w:tc>
          <w:tcPr>
            <w:tcW w:w="1388"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1 (50%)</w:t>
            </w:r>
          </w:p>
        </w:tc>
        <w:tc>
          <w:tcPr>
            <w:tcW w:w="1922"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9 (69%)</w:t>
            </w:r>
          </w:p>
        </w:tc>
      </w:tr>
      <w:tr w:rsidR="004F3459" w:rsidRPr="00563DEA" w:rsidTr="00563DEA">
        <w:trPr>
          <w:trHeight w:val="433"/>
        </w:trPr>
        <w:tc>
          <w:tcPr>
            <w:tcW w:w="0" w:type="auto"/>
            <w:vMerge/>
            <w:hideMark/>
          </w:tcPr>
          <w:p w:rsidR="004F3459" w:rsidRPr="00563DEA" w:rsidRDefault="004F3459" w:rsidP="005E0D82">
            <w:pPr>
              <w:spacing w:line="360" w:lineRule="auto"/>
              <w:rPr>
                <w:rFonts w:ascii="Times New Roman" w:hAnsi="Times New Roman" w:cs="Times New Roman"/>
              </w:rPr>
            </w:pPr>
          </w:p>
        </w:tc>
        <w:tc>
          <w:tcPr>
            <w:tcW w:w="1806" w:type="dxa"/>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lang w:val="en-US"/>
              </w:rPr>
              <w:t>средний</w:t>
            </w:r>
          </w:p>
        </w:tc>
        <w:tc>
          <w:tcPr>
            <w:tcW w:w="1298" w:type="dxa"/>
          </w:tcPr>
          <w:p w:rsidR="004F3459" w:rsidRPr="004F3459" w:rsidRDefault="004F3459" w:rsidP="005E0D82">
            <w:pPr>
              <w:spacing w:line="360" w:lineRule="auto"/>
              <w:rPr>
                <w:rFonts w:ascii="Times New Roman" w:hAnsi="Times New Roman" w:cs="Times New Roman"/>
                <w:lang w:val="en-US"/>
              </w:rPr>
            </w:pPr>
            <w:r w:rsidRPr="004F3459">
              <w:rPr>
                <w:rFonts w:ascii="Times New Roman" w:hAnsi="Times New Roman" w:cs="Times New Roman"/>
                <w:lang w:val="en-US"/>
              </w:rPr>
              <w:t>6 (29%)</w:t>
            </w:r>
          </w:p>
        </w:tc>
        <w:tc>
          <w:tcPr>
            <w:tcW w:w="1298" w:type="dxa"/>
          </w:tcPr>
          <w:p w:rsidR="004F3459" w:rsidRPr="004F3459" w:rsidRDefault="004F3459" w:rsidP="005E0D82">
            <w:pPr>
              <w:spacing w:line="360" w:lineRule="auto"/>
              <w:jc w:val="right"/>
              <w:rPr>
                <w:rFonts w:ascii="Times New Roman" w:hAnsi="Times New Roman" w:cs="Times New Roman"/>
                <w:lang w:val="en-US"/>
              </w:rPr>
            </w:pPr>
            <w:r w:rsidRPr="004F3459">
              <w:rPr>
                <w:rFonts w:ascii="Times New Roman" w:hAnsi="Times New Roman" w:cs="Times New Roman"/>
                <w:lang w:val="en-US"/>
              </w:rPr>
              <w:t>13 (31%)</w:t>
            </w:r>
          </w:p>
        </w:tc>
        <w:tc>
          <w:tcPr>
            <w:tcW w:w="1388"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0 (0%)</w:t>
            </w:r>
          </w:p>
        </w:tc>
        <w:tc>
          <w:tcPr>
            <w:tcW w:w="1922"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3 (23%)</w:t>
            </w:r>
          </w:p>
        </w:tc>
      </w:tr>
      <w:tr w:rsidR="004F3459" w:rsidRPr="00563DEA" w:rsidTr="00563DEA">
        <w:trPr>
          <w:trHeight w:val="439"/>
        </w:trPr>
        <w:tc>
          <w:tcPr>
            <w:tcW w:w="0" w:type="auto"/>
            <w:vMerge/>
            <w:hideMark/>
          </w:tcPr>
          <w:p w:rsidR="004F3459" w:rsidRPr="00563DEA" w:rsidRDefault="004F3459" w:rsidP="005E0D82">
            <w:pPr>
              <w:spacing w:line="360" w:lineRule="auto"/>
              <w:rPr>
                <w:rFonts w:ascii="Times New Roman" w:hAnsi="Times New Roman" w:cs="Times New Roman"/>
              </w:rPr>
            </w:pPr>
          </w:p>
        </w:tc>
        <w:tc>
          <w:tcPr>
            <w:tcW w:w="1806" w:type="dxa"/>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lang w:val="en-US"/>
              </w:rPr>
              <w:t>высокий</w:t>
            </w:r>
          </w:p>
        </w:tc>
        <w:tc>
          <w:tcPr>
            <w:tcW w:w="1298" w:type="dxa"/>
          </w:tcPr>
          <w:p w:rsidR="004F3459" w:rsidRPr="004F3459" w:rsidRDefault="004F3459" w:rsidP="005E0D82">
            <w:pPr>
              <w:spacing w:line="360" w:lineRule="auto"/>
              <w:rPr>
                <w:rFonts w:ascii="Times New Roman" w:hAnsi="Times New Roman" w:cs="Times New Roman"/>
                <w:lang w:val="en-US"/>
              </w:rPr>
            </w:pPr>
            <w:r w:rsidRPr="004F3459">
              <w:rPr>
                <w:rFonts w:ascii="Times New Roman" w:hAnsi="Times New Roman" w:cs="Times New Roman"/>
                <w:lang w:val="en-US"/>
              </w:rPr>
              <w:t>2 (9%)</w:t>
            </w:r>
          </w:p>
        </w:tc>
        <w:tc>
          <w:tcPr>
            <w:tcW w:w="1298" w:type="dxa"/>
          </w:tcPr>
          <w:p w:rsidR="004F3459" w:rsidRPr="004F3459" w:rsidRDefault="004F3459" w:rsidP="005E0D82">
            <w:pPr>
              <w:spacing w:line="360" w:lineRule="auto"/>
              <w:jc w:val="right"/>
              <w:rPr>
                <w:rFonts w:ascii="Times New Roman" w:hAnsi="Times New Roman" w:cs="Times New Roman"/>
                <w:lang w:val="en-US"/>
              </w:rPr>
            </w:pPr>
            <w:r w:rsidRPr="004F3459">
              <w:rPr>
                <w:rFonts w:ascii="Times New Roman" w:hAnsi="Times New Roman" w:cs="Times New Roman"/>
                <w:lang w:val="en-US"/>
              </w:rPr>
              <w:t>8 (19%)</w:t>
            </w:r>
          </w:p>
        </w:tc>
        <w:tc>
          <w:tcPr>
            <w:tcW w:w="1388"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1 (50%)</w:t>
            </w:r>
          </w:p>
        </w:tc>
        <w:tc>
          <w:tcPr>
            <w:tcW w:w="1922"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1 (8%)</w:t>
            </w:r>
          </w:p>
        </w:tc>
      </w:tr>
      <w:tr w:rsidR="004F3459" w:rsidRPr="00563DEA" w:rsidTr="00563DEA">
        <w:trPr>
          <w:trHeight w:val="433"/>
        </w:trPr>
        <w:tc>
          <w:tcPr>
            <w:tcW w:w="1575" w:type="dxa"/>
            <w:vMerge w:val="restart"/>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b/>
                <w:bCs/>
              </w:rPr>
              <w:t> </w:t>
            </w:r>
          </w:p>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b/>
                <w:bCs/>
              </w:rPr>
              <w:t xml:space="preserve">MGMT </w:t>
            </w:r>
            <w:r w:rsidRPr="00563DEA">
              <w:rPr>
                <w:rFonts w:ascii="Times New Roman" w:hAnsi="Times New Roman" w:cs="Times New Roman"/>
                <w:b/>
                <w:bCs/>
                <w:lang w:val="en-US"/>
              </w:rPr>
              <w:t>(n=</w:t>
            </w:r>
            <w:r w:rsidRPr="00563DEA">
              <w:rPr>
                <w:rFonts w:ascii="Times New Roman" w:hAnsi="Times New Roman" w:cs="Times New Roman"/>
                <w:b/>
                <w:bCs/>
              </w:rPr>
              <w:t>3/13)</w:t>
            </w:r>
          </w:p>
        </w:tc>
        <w:tc>
          <w:tcPr>
            <w:tcW w:w="1806" w:type="dxa"/>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lang w:val="en-US"/>
              </w:rPr>
              <w:t>низкий</w:t>
            </w:r>
          </w:p>
        </w:tc>
        <w:tc>
          <w:tcPr>
            <w:tcW w:w="1298" w:type="dxa"/>
          </w:tcPr>
          <w:p w:rsidR="004F3459" w:rsidRPr="004F3459" w:rsidRDefault="004F3459" w:rsidP="005E0D82">
            <w:pPr>
              <w:spacing w:line="360" w:lineRule="auto"/>
              <w:rPr>
                <w:rFonts w:ascii="Times New Roman" w:hAnsi="Times New Roman" w:cs="Times New Roman"/>
                <w:lang w:val="en-US"/>
              </w:rPr>
            </w:pPr>
            <w:r w:rsidRPr="004F3459">
              <w:rPr>
                <w:rFonts w:ascii="Times New Roman" w:hAnsi="Times New Roman" w:cs="Times New Roman"/>
                <w:lang w:val="en-US"/>
              </w:rPr>
              <w:t>11 (46%)</w:t>
            </w:r>
          </w:p>
        </w:tc>
        <w:tc>
          <w:tcPr>
            <w:tcW w:w="1298" w:type="dxa"/>
          </w:tcPr>
          <w:p w:rsidR="004F3459" w:rsidRPr="004F3459" w:rsidRDefault="004F3459" w:rsidP="005E0D82">
            <w:pPr>
              <w:spacing w:line="360" w:lineRule="auto"/>
              <w:jc w:val="right"/>
              <w:rPr>
                <w:rFonts w:ascii="Times New Roman" w:hAnsi="Times New Roman" w:cs="Times New Roman"/>
                <w:lang w:val="en-US"/>
              </w:rPr>
            </w:pPr>
            <w:r w:rsidRPr="004F3459">
              <w:rPr>
                <w:rFonts w:ascii="Times New Roman" w:hAnsi="Times New Roman" w:cs="Times New Roman"/>
                <w:lang w:val="en-US"/>
              </w:rPr>
              <w:t>19 (44%)</w:t>
            </w:r>
          </w:p>
        </w:tc>
        <w:tc>
          <w:tcPr>
            <w:tcW w:w="1388"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0 (0%)</w:t>
            </w:r>
          </w:p>
        </w:tc>
        <w:tc>
          <w:tcPr>
            <w:tcW w:w="1922"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11 (85%)</w:t>
            </w:r>
          </w:p>
        </w:tc>
      </w:tr>
      <w:tr w:rsidR="004F3459" w:rsidRPr="00563DEA" w:rsidTr="00563DEA">
        <w:trPr>
          <w:trHeight w:val="438"/>
        </w:trPr>
        <w:tc>
          <w:tcPr>
            <w:tcW w:w="0" w:type="auto"/>
            <w:vMerge/>
            <w:hideMark/>
          </w:tcPr>
          <w:p w:rsidR="004F3459" w:rsidRPr="00563DEA" w:rsidRDefault="004F3459" w:rsidP="005E0D82">
            <w:pPr>
              <w:spacing w:line="360" w:lineRule="auto"/>
              <w:rPr>
                <w:rFonts w:ascii="Times New Roman" w:hAnsi="Times New Roman" w:cs="Times New Roman"/>
              </w:rPr>
            </w:pPr>
          </w:p>
        </w:tc>
        <w:tc>
          <w:tcPr>
            <w:tcW w:w="1806" w:type="dxa"/>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lang w:val="en-US"/>
              </w:rPr>
              <w:t>средний</w:t>
            </w:r>
          </w:p>
        </w:tc>
        <w:tc>
          <w:tcPr>
            <w:tcW w:w="1298" w:type="dxa"/>
          </w:tcPr>
          <w:p w:rsidR="004F3459" w:rsidRPr="004F3459" w:rsidRDefault="004F3459" w:rsidP="005E0D82">
            <w:pPr>
              <w:spacing w:line="360" w:lineRule="auto"/>
              <w:rPr>
                <w:rFonts w:ascii="Times New Roman" w:hAnsi="Times New Roman" w:cs="Times New Roman"/>
                <w:lang w:val="en-US"/>
              </w:rPr>
            </w:pPr>
            <w:r w:rsidRPr="004F3459">
              <w:rPr>
                <w:rFonts w:ascii="Times New Roman" w:hAnsi="Times New Roman" w:cs="Times New Roman"/>
                <w:lang w:val="en-US"/>
              </w:rPr>
              <w:t>12 (50%)</w:t>
            </w:r>
          </w:p>
        </w:tc>
        <w:tc>
          <w:tcPr>
            <w:tcW w:w="1298" w:type="dxa"/>
          </w:tcPr>
          <w:p w:rsidR="004F3459" w:rsidRPr="004F3459" w:rsidRDefault="004F3459" w:rsidP="005E0D82">
            <w:pPr>
              <w:spacing w:line="360" w:lineRule="auto"/>
              <w:jc w:val="right"/>
              <w:rPr>
                <w:rFonts w:ascii="Times New Roman" w:hAnsi="Times New Roman" w:cs="Times New Roman"/>
                <w:lang w:val="en-US"/>
              </w:rPr>
            </w:pPr>
            <w:r w:rsidRPr="004F3459">
              <w:rPr>
                <w:rFonts w:ascii="Times New Roman" w:hAnsi="Times New Roman" w:cs="Times New Roman"/>
                <w:lang w:val="en-US"/>
              </w:rPr>
              <w:t>18 (42%)</w:t>
            </w:r>
          </w:p>
        </w:tc>
        <w:tc>
          <w:tcPr>
            <w:tcW w:w="1388"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2 (67%)</w:t>
            </w:r>
          </w:p>
        </w:tc>
        <w:tc>
          <w:tcPr>
            <w:tcW w:w="1922"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2 (25%)</w:t>
            </w:r>
          </w:p>
        </w:tc>
      </w:tr>
      <w:tr w:rsidR="004F3459" w:rsidRPr="00563DEA" w:rsidTr="00563DEA">
        <w:trPr>
          <w:trHeight w:val="433"/>
        </w:trPr>
        <w:tc>
          <w:tcPr>
            <w:tcW w:w="0" w:type="auto"/>
            <w:vMerge/>
            <w:hideMark/>
          </w:tcPr>
          <w:p w:rsidR="004F3459" w:rsidRPr="00563DEA" w:rsidRDefault="004F3459" w:rsidP="005E0D82">
            <w:pPr>
              <w:spacing w:line="360" w:lineRule="auto"/>
              <w:rPr>
                <w:rFonts w:ascii="Times New Roman" w:hAnsi="Times New Roman" w:cs="Times New Roman"/>
              </w:rPr>
            </w:pPr>
          </w:p>
        </w:tc>
        <w:tc>
          <w:tcPr>
            <w:tcW w:w="1806" w:type="dxa"/>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lang w:val="en-US"/>
              </w:rPr>
              <w:t>высокий</w:t>
            </w:r>
          </w:p>
        </w:tc>
        <w:tc>
          <w:tcPr>
            <w:tcW w:w="1298" w:type="dxa"/>
          </w:tcPr>
          <w:p w:rsidR="004F3459" w:rsidRPr="004F3459" w:rsidRDefault="004F3459" w:rsidP="005E0D82">
            <w:pPr>
              <w:spacing w:line="360" w:lineRule="auto"/>
              <w:rPr>
                <w:rFonts w:ascii="Times New Roman" w:hAnsi="Times New Roman" w:cs="Times New Roman"/>
                <w:lang w:val="en-US"/>
              </w:rPr>
            </w:pPr>
            <w:r w:rsidRPr="004F3459">
              <w:rPr>
                <w:rFonts w:ascii="Times New Roman" w:hAnsi="Times New Roman" w:cs="Times New Roman"/>
                <w:lang w:val="en-US"/>
              </w:rPr>
              <w:t>1 (4%)</w:t>
            </w:r>
          </w:p>
        </w:tc>
        <w:tc>
          <w:tcPr>
            <w:tcW w:w="1298" w:type="dxa"/>
          </w:tcPr>
          <w:p w:rsidR="004F3459" w:rsidRPr="004F3459" w:rsidRDefault="004F3459" w:rsidP="005E0D82">
            <w:pPr>
              <w:spacing w:line="360" w:lineRule="auto"/>
              <w:jc w:val="right"/>
              <w:rPr>
                <w:rFonts w:ascii="Times New Roman" w:hAnsi="Times New Roman" w:cs="Times New Roman"/>
                <w:lang w:val="en-US"/>
              </w:rPr>
            </w:pPr>
            <w:r w:rsidRPr="004F3459">
              <w:rPr>
                <w:rFonts w:ascii="Times New Roman" w:hAnsi="Times New Roman" w:cs="Times New Roman"/>
                <w:lang w:val="en-US"/>
              </w:rPr>
              <w:t>6 (14%)</w:t>
            </w:r>
          </w:p>
        </w:tc>
        <w:tc>
          <w:tcPr>
            <w:tcW w:w="1388"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1 (33%)</w:t>
            </w:r>
          </w:p>
        </w:tc>
        <w:tc>
          <w:tcPr>
            <w:tcW w:w="1922"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0 (0%)</w:t>
            </w:r>
          </w:p>
        </w:tc>
      </w:tr>
      <w:tr w:rsidR="004F3459" w:rsidRPr="00563DEA" w:rsidTr="00563DEA">
        <w:trPr>
          <w:trHeight w:val="433"/>
        </w:trPr>
        <w:tc>
          <w:tcPr>
            <w:tcW w:w="1575" w:type="dxa"/>
            <w:vMerge w:val="restart"/>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b/>
                <w:bCs/>
              </w:rPr>
              <w:t> </w:t>
            </w:r>
          </w:p>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b/>
                <w:bCs/>
              </w:rPr>
              <w:t xml:space="preserve">PDGFR- α </w:t>
            </w:r>
            <w:r w:rsidRPr="00563DEA">
              <w:rPr>
                <w:rFonts w:ascii="Times New Roman" w:hAnsi="Times New Roman" w:cs="Times New Roman"/>
                <w:b/>
                <w:bCs/>
                <w:lang w:val="en-US"/>
              </w:rPr>
              <w:t>(n=</w:t>
            </w:r>
            <w:r w:rsidRPr="00563DEA">
              <w:rPr>
                <w:rFonts w:ascii="Times New Roman" w:hAnsi="Times New Roman" w:cs="Times New Roman"/>
                <w:b/>
                <w:bCs/>
              </w:rPr>
              <w:t>3/13)</w:t>
            </w:r>
          </w:p>
        </w:tc>
        <w:tc>
          <w:tcPr>
            <w:tcW w:w="1806" w:type="dxa"/>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lang w:val="en-US"/>
              </w:rPr>
              <w:t>низкий</w:t>
            </w:r>
          </w:p>
        </w:tc>
        <w:tc>
          <w:tcPr>
            <w:tcW w:w="1298" w:type="dxa"/>
          </w:tcPr>
          <w:p w:rsidR="004F3459" w:rsidRPr="004F3459" w:rsidRDefault="004F3459" w:rsidP="005E0D82">
            <w:pPr>
              <w:spacing w:line="360" w:lineRule="auto"/>
              <w:rPr>
                <w:rFonts w:ascii="Times New Roman" w:hAnsi="Times New Roman" w:cs="Times New Roman"/>
                <w:lang w:val="en-US"/>
              </w:rPr>
            </w:pPr>
            <w:r w:rsidRPr="004F3459">
              <w:rPr>
                <w:rFonts w:ascii="Times New Roman" w:hAnsi="Times New Roman" w:cs="Times New Roman"/>
                <w:lang w:val="en-US"/>
              </w:rPr>
              <w:t>3 (14%)</w:t>
            </w:r>
          </w:p>
        </w:tc>
        <w:tc>
          <w:tcPr>
            <w:tcW w:w="1298" w:type="dxa"/>
          </w:tcPr>
          <w:p w:rsidR="004F3459" w:rsidRPr="004F3459" w:rsidRDefault="004F3459" w:rsidP="005E0D82">
            <w:pPr>
              <w:spacing w:line="360" w:lineRule="auto"/>
              <w:jc w:val="right"/>
              <w:rPr>
                <w:rFonts w:ascii="Times New Roman" w:hAnsi="Times New Roman" w:cs="Times New Roman"/>
                <w:lang w:val="en-US"/>
              </w:rPr>
            </w:pPr>
            <w:r w:rsidRPr="004F3459">
              <w:rPr>
                <w:rFonts w:ascii="Times New Roman" w:hAnsi="Times New Roman" w:cs="Times New Roman"/>
                <w:lang w:val="en-US"/>
              </w:rPr>
              <w:t>8 (19%)</w:t>
            </w:r>
          </w:p>
        </w:tc>
        <w:tc>
          <w:tcPr>
            <w:tcW w:w="1388"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2 (67%)</w:t>
            </w:r>
          </w:p>
        </w:tc>
        <w:tc>
          <w:tcPr>
            <w:tcW w:w="1922"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0 (0%)</w:t>
            </w:r>
          </w:p>
        </w:tc>
      </w:tr>
      <w:tr w:rsidR="004F3459" w:rsidRPr="00563DEA" w:rsidTr="00563DEA">
        <w:trPr>
          <w:trHeight w:val="433"/>
        </w:trPr>
        <w:tc>
          <w:tcPr>
            <w:tcW w:w="0" w:type="auto"/>
            <w:vMerge/>
            <w:hideMark/>
          </w:tcPr>
          <w:p w:rsidR="004F3459" w:rsidRPr="00563DEA" w:rsidRDefault="004F3459" w:rsidP="005E0D82">
            <w:pPr>
              <w:spacing w:line="360" w:lineRule="auto"/>
              <w:rPr>
                <w:rFonts w:ascii="Times New Roman" w:hAnsi="Times New Roman" w:cs="Times New Roman"/>
              </w:rPr>
            </w:pPr>
          </w:p>
        </w:tc>
        <w:tc>
          <w:tcPr>
            <w:tcW w:w="1806" w:type="dxa"/>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lang w:val="en-US"/>
              </w:rPr>
              <w:t>средний</w:t>
            </w:r>
          </w:p>
        </w:tc>
        <w:tc>
          <w:tcPr>
            <w:tcW w:w="1298" w:type="dxa"/>
          </w:tcPr>
          <w:p w:rsidR="004F3459" w:rsidRPr="004F3459" w:rsidRDefault="004F3459" w:rsidP="005E0D82">
            <w:pPr>
              <w:spacing w:line="360" w:lineRule="auto"/>
              <w:rPr>
                <w:rFonts w:ascii="Times New Roman" w:hAnsi="Times New Roman" w:cs="Times New Roman"/>
                <w:lang w:val="en-US"/>
              </w:rPr>
            </w:pPr>
            <w:r w:rsidRPr="004F3459">
              <w:rPr>
                <w:rFonts w:ascii="Times New Roman" w:hAnsi="Times New Roman" w:cs="Times New Roman"/>
                <w:lang w:val="en-US"/>
              </w:rPr>
              <w:t>16 (76%)</w:t>
            </w:r>
          </w:p>
        </w:tc>
        <w:tc>
          <w:tcPr>
            <w:tcW w:w="1298" w:type="dxa"/>
          </w:tcPr>
          <w:p w:rsidR="004F3459" w:rsidRPr="004F3459" w:rsidRDefault="004F3459" w:rsidP="005E0D82">
            <w:pPr>
              <w:spacing w:line="360" w:lineRule="auto"/>
              <w:jc w:val="right"/>
              <w:rPr>
                <w:rFonts w:ascii="Times New Roman" w:hAnsi="Times New Roman" w:cs="Times New Roman"/>
                <w:lang w:val="en-US"/>
              </w:rPr>
            </w:pPr>
            <w:r w:rsidRPr="004F3459">
              <w:rPr>
                <w:rFonts w:ascii="Times New Roman" w:hAnsi="Times New Roman" w:cs="Times New Roman"/>
                <w:lang w:val="en-US"/>
              </w:rPr>
              <w:t>22 (54%)</w:t>
            </w:r>
          </w:p>
        </w:tc>
        <w:tc>
          <w:tcPr>
            <w:tcW w:w="1388"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0 (0%)</w:t>
            </w:r>
          </w:p>
        </w:tc>
        <w:tc>
          <w:tcPr>
            <w:tcW w:w="1922"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8 (61%)</w:t>
            </w:r>
          </w:p>
        </w:tc>
      </w:tr>
      <w:tr w:rsidR="004F3459" w:rsidRPr="00563DEA" w:rsidTr="00563DEA">
        <w:trPr>
          <w:trHeight w:val="433"/>
        </w:trPr>
        <w:tc>
          <w:tcPr>
            <w:tcW w:w="0" w:type="auto"/>
            <w:vMerge/>
            <w:hideMark/>
          </w:tcPr>
          <w:p w:rsidR="004F3459" w:rsidRPr="00563DEA" w:rsidRDefault="004F3459" w:rsidP="005E0D82">
            <w:pPr>
              <w:spacing w:line="360" w:lineRule="auto"/>
              <w:rPr>
                <w:rFonts w:ascii="Times New Roman" w:hAnsi="Times New Roman" w:cs="Times New Roman"/>
              </w:rPr>
            </w:pPr>
          </w:p>
        </w:tc>
        <w:tc>
          <w:tcPr>
            <w:tcW w:w="1806" w:type="dxa"/>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lang w:val="en-US"/>
              </w:rPr>
              <w:t>высокий</w:t>
            </w:r>
          </w:p>
        </w:tc>
        <w:tc>
          <w:tcPr>
            <w:tcW w:w="1298" w:type="dxa"/>
          </w:tcPr>
          <w:p w:rsidR="004F3459" w:rsidRPr="004F3459" w:rsidRDefault="004F3459" w:rsidP="005E0D82">
            <w:pPr>
              <w:spacing w:line="360" w:lineRule="auto"/>
              <w:rPr>
                <w:rFonts w:ascii="Times New Roman" w:hAnsi="Times New Roman" w:cs="Times New Roman"/>
                <w:lang w:val="en-US"/>
              </w:rPr>
            </w:pPr>
            <w:r w:rsidRPr="004F3459">
              <w:rPr>
                <w:rFonts w:ascii="Times New Roman" w:hAnsi="Times New Roman" w:cs="Times New Roman"/>
                <w:lang w:val="en-US"/>
              </w:rPr>
              <w:t>2 (10%)</w:t>
            </w:r>
          </w:p>
        </w:tc>
        <w:tc>
          <w:tcPr>
            <w:tcW w:w="1298" w:type="dxa"/>
          </w:tcPr>
          <w:p w:rsidR="004F3459" w:rsidRPr="004F3459" w:rsidRDefault="004F3459" w:rsidP="005E0D82">
            <w:pPr>
              <w:spacing w:line="360" w:lineRule="auto"/>
              <w:jc w:val="right"/>
              <w:rPr>
                <w:rFonts w:ascii="Times New Roman" w:hAnsi="Times New Roman" w:cs="Times New Roman"/>
                <w:lang w:val="en-US"/>
              </w:rPr>
            </w:pPr>
            <w:r w:rsidRPr="004F3459">
              <w:rPr>
                <w:rFonts w:ascii="Times New Roman" w:hAnsi="Times New Roman" w:cs="Times New Roman"/>
                <w:lang w:val="en-US"/>
              </w:rPr>
              <w:t>11 (27%)</w:t>
            </w:r>
          </w:p>
        </w:tc>
        <w:tc>
          <w:tcPr>
            <w:tcW w:w="1388"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1 (33%)</w:t>
            </w:r>
          </w:p>
        </w:tc>
        <w:tc>
          <w:tcPr>
            <w:tcW w:w="1922"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5 (39%)</w:t>
            </w:r>
          </w:p>
        </w:tc>
      </w:tr>
      <w:tr w:rsidR="004F3459" w:rsidRPr="00563DEA" w:rsidTr="00563DEA">
        <w:trPr>
          <w:trHeight w:val="433"/>
        </w:trPr>
        <w:tc>
          <w:tcPr>
            <w:tcW w:w="1575" w:type="dxa"/>
            <w:vMerge w:val="restart"/>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b/>
                <w:bCs/>
              </w:rPr>
              <w:t> </w:t>
            </w:r>
          </w:p>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b/>
                <w:bCs/>
              </w:rPr>
              <w:t xml:space="preserve">VEGF </w:t>
            </w:r>
            <w:r w:rsidRPr="00563DEA">
              <w:rPr>
                <w:rFonts w:ascii="Times New Roman" w:hAnsi="Times New Roman" w:cs="Times New Roman"/>
                <w:b/>
                <w:bCs/>
                <w:lang w:val="en-US"/>
              </w:rPr>
              <w:t>(n=</w:t>
            </w:r>
            <w:r w:rsidRPr="00563DEA">
              <w:rPr>
                <w:rFonts w:ascii="Times New Roman" w:hAnsi="Times New Roman" w:cs="Times New Roman"/>
                <w:b/>
                <w:bCs/>
              </w:rPr>
              <w:t>3/13)</w:t>
            </w:r>
          </w:p>
        </w:tc>
        <w:tc>
          <w:tcPr>
            <w:tcW w:w="1806" w:type="dxa"/>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lang w:val="en-US"/>
              </w:rPr>
              <w:t>низкий</w:t>
            </w:r>
          </w:p>
        </w:tc>
        <w:tc>
          <w:tcPr>
            <w:tcW w:w="1298" w:type="dxa"/>
          </w:tcPr>
          <w:p w:rsidR="004F3459" w:rsidRPr="004F3459" w:rsidRDefault="004F3459" w:rsidP="005E0D82">
            <w:pPr>
              <w:spacing w:line="360" w:lineRule="auto"/>
              <w:rPr>
                <w:rFonts w:ascii="Times New Roman" w:hAnsi="Times New Roman" w:cs="Times New Roman"/>
                <w:lang w:val="en-US"/>
              </w:rPr>
            </w:pPr>
            <w:r w:rsidRPr="004F3459">
              <w:rPr>
                <w:rFonts w:ascii="Times New Roman" w:hAnsi="Times New Roman" w:cs="Times New Roman"/>
                <w:lang w:val="en-US"/>
              </w:rPr>
              <w:t>8 (40%)</w:t>
            </w:r>
          </w:p>
        </w:tc>
        <w:tc>
          <w:tcPr>
            <w:tcW w:w="1298" w:type="dxa"/>
          </w:tcPr>
          <w:p w:rsidR="004F3459" w:rsidRPr="004F3459" w:rsidRDefault="004F3459" w:rsidP="005E0D82">
            <w:pPr>
              <w:spacing w:line="360" w:lineRule="auto"/>
              <w:jc w:val="right"/>
              <w:rPr>
                <w:rFonts w:ascii="Times New Roman" w:hAnsi="Times New Roman" w:cs="Times New Roman"/>
                <w:lang w:val="en-US"/>
              </w:rPr>
            </w:pPr>
            <w:r w:rsidRPr="004F3459">
              <w:rPr>
                <w:rFonts w:ascii="Times New Roman" w:hAnsi="Times New Roman" w:cs="Times New Roman"/>
                <w:lang w:val="en-US"/>
              </w:rPr>
              <w:t>14 (33%)</w:t>
            </w:r>
          </w:p>
        </w:tc>
        <w:tc>
          <w:tcPr>
            <w:tcW w:w="1388"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1 (33%)</w:t>
            </w:r>
          </w:p>
        </w:tc>
        <w:tc>
          <w:tcPr>
            <w:tcW w:w="1922"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7 (54%)</w:t>
            </w:r>
          </w:p>
        </w:tc>
      </w:tr>
      <w:tr w:rsidR="004F3459" w:rsidRPr="00563DEA" w:rsidTr="00563DEA">
        <w:trPr>
          <w:trHeight w:val="433"/>
        </w:trPr>
        <w:tc>
          <w:tcPr>
            <w:tcW w:w="0" w:type="auto"/>
            <w:vMerge/>
            <w:hideMark/>
          </w:tcPr>
          <w:p w:rsidR="004F3459" w:rsidRPr="00563DEA" w:rsidRDefault="004F3459" w:rsidP="005E0D82">
            <w:pPr>
              <w:spacing w:line="360" w:lineRule="auto"/>
              <w:rPr>
                <w:rFonts w:ascii="Times New Roman" w:hAnsi="Times New Roman" w:cs="Times New Roman"/>
              </w:rPr>
            </w:pPr>
          </w:p>
        </w:tc>
        <w:tc>
          <w:tcPr>
            <w:tcW w:w="1806" w:type="dxa"/>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lang w:val="en-US"/>
              </w:rPr>
              <w:t>средний</w:t>
            </w:r>
          </w:p>
        </w:tc>
        <w:tc>
          <w:tcPr>
            <w:tcW w:w="1298" w:type="dxa"/>
          </w:tcPr>
          <w:p w:rsidR="004F3459" w:rsidRPr="004F3459" w:rsidRDefault="004F3459" w:rsidP="005E0D82">
            <w:pPr>
              <w:spacing w:line="360" w:lineRule="auto"/>
              <w:rPr>
                <w:rFonts w:ascii="Times New Roman" w:hAnsi="Times New Roman" w:cs="Times New Roman"/>
                <w:lang w:val="en-US"/>
              </w:rPr>
            </w:pPr>
            <w:r w:rsidRPr="004F3459">
              <w:rPr>
                <w:rFonts w:ascii="Times New Roman" w:hAnsi="Times New Roman" w:cs="Times New Roman"/>
                <w:lang w:val="en-US"/>
              </w:rPr>
              <w:t>12 (60%)</w:t>
            </w:r>
          </w:p>
        </w:tc>
        <w:tc>
          <w:tcPr>
            <w:tcW w:w="1298" w:type="dxa"/>
          </w:tcPr>
          <w:p w:rsidR="004F3459" w:rsidRPr="004F3459" w:rsidRDefault="004F3459" w:rsidP="005E0D82">
            <w:pPr>
              <w:spacing w:line="360" w:lineRule="auto"/>
              <w:jc w:val="right"/>
              <w:rPr>
                <w:rFonts w:ascii="Times New Roman" w:hAnsi="Times New Roman" w:cs="Times New Roman"/>
                <w:lang w:val="en-US"/>
              </w:rPr>
            </w:pPr>
            <w:r w:rsidRPr="004F3459">
              <w:rPr>
                <w:rFonts w:ascii="Times New Roman" w:hAnsi="Times New Roman" w:cs="Times New Roman"/>
                <w:lang w:val="en-US"/>
              </w:rPr>
              <w:t>24 (57%)</w:t>
            </w:r>
          </w:p>
        </w:tc>
        <w:tc>
          <w:tcPr>
            <w:tcW w:w="1388"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2 (67%)</w:t>
            </w:r>
          </w:p>
        </w:tc>
        <w:tc>
          <w:tcPr>
            <w:tcW w:w="1922"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6 (46%)</w:t>
            </w:r>
          </w:p>
        </w:tc>
      </w:tr>
      <w:tr w:rsidR="004F3459" w:rsidRPr="00563DEA" w:rsidTr="00563DEA">
        <w:trPr>
          <w:trHeight w:val="433"/>
        </w:trPr>
        <w:tc>
          <w:tcPr>
            <w:tcW w:w="0" w:type="auto"/>
            <w:vMerge/>
            <w:hideMark/>
          </w:tcPr>
          <w:p w:rsidR="004F3459" w:rsidRPr="00563DEA" w:rsidRDefault="004F3459" w:rsidP="005E0D82">
            <w:pPr>
              <w:spacing w:line="360" w:lineRule="auto"/>
              <w:rPr>
                <w:rFonts w:ascii="Times New Roman" w:hAnsi="Times New Roman" w:cs="Times New Roman"/>
              </w:rPr>
            </w:pPr>
          </w:p>
        </w:tc>
        <w:tc>
          <w:tcPr>
            <w:tcW w:w="1806" w:type="dxa"/>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lang w:val="en-US"/>
              </w:rPr>
              <w:t>высокий</w:t>
            </w:r>
          </w:p>
        </w:tc>
        <w:tc>
          <w:tcPr>
            <w:tcW w:w="1298" w:type="dxa"/>
          </w:tcPr>
          <w:p w:rsidR="004F3459" w:rsidRPr="004F3459" w:rsidRDefault="004F3459" w:rsidP="005E0D82">
            <w:pPr>
              <w:spacing w:line="360" w:lineRule="auto"/>
              <w:rPr>
                <w:rFonts w:ascii="Times New Roman" w:hAnsi="Times New Roman" w:cs="Times New Roman"/>
                <w:lang w:val="en-US"/>
              </w:rPr>
            </w:pPr>
            <w:r w:rsidRPr="004F3459">
              <w:rPr>
                <w:rFonts w:ascii="Times New Roman" w:hAnsi="Times New Roman" w:cs="Times New Roman"/>
                <w:lang w:val="en-US"/>
              </w:rPr>
              <w:t>0 (0%)</w:t>
            </w:r>
          </w:p>
        </w:tc>
        <w:tc>
          <w:tcPr>
            <w:tcW w:w="1298" w:type="dxa"/>
          </w:tcPr>
          <w:p w:rsidR="004F3459" w:rsidRPr="004F3459" w:rsidRDefault="004F3459" w:rsidP="005E0D82">
            <w:pPr>
              <w:spacing w:line="360" w:lineRule="auto"/>
              <w:jc w:val="right"/>
              <w:rPr>
                <w:rFonts w:ascii="Times New Roman" w:hAnsi="Times New Roman" w:cs="Times New Roman"/>
                <w:lang w:val="en-US"/>
              </w:rPr>
            </w:pPr>
            <w:r w:rsidRPr="004F3459">
              <w:rPr>
                <w:rFonts w:ascii="Times New Roman" w:hAnsi="Times New Roman" w:cs="Times New Roman"/>
                <w:lang w:val="en-US"/>
              </w:rPr>
              <w:t>4 (10%)</w:t>
            </w:r>
          </w:p>
        </w:tc>
        <w:tc>
          <w:tcPr>
            <w:tcW w:w="1388"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0 (0%)</w:t>
            </w:r>
          </w:p>
        </w:tc>
        <w:tc>
          <w:tcPr>
            <w:tcW w:w="1922"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0 (0%)</w:t>
            </w:r>
          </w:p>
        </w:tc>
      </w:tr>
      <w:tr w:rsidR="004F3459" w:rsidRPr="00563DEA" w:rsidTr="00563DEA">
        <w:trPr>
          <w:trHeight w:val="433"/>
        </w:trPr>
        <w:tc>
          <w:tcPr>
            <w:tcW w:w="1575" w:type="dxa"/>
            <w:vMerge w:val="restart"/>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b/>
                <w:bCs/>
              </w:rPr>
              <w:t> </w:t>
            </w:r>
          </w:p>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b/>
                <w:bCs/>
              </w:rPr>
              <w:t xml:space="preserve">C-kit </w:t>
            </w:r>
            <w:r w:rsidRPr="00563DEA">
              <w:rPr>
                <w:rFonts w:ascii="Times New Roman" w:hAnsi="Times New Roman" w:cs="Times New Roman"/>
                <w:b/>
                <w:bCs/>
                <w:lang w:val="en-US"/>
              </w:rPr>
              <w:t>(n=</w:t>
            </w:r>
            <w:r w:rsidRPr="00563DEA">
              <w:rPr>
                <w:rFonts w:ascii="Times New Roman" w:hAnsi="Times New Roman" w:cs="Times New Roman"/>
                <w:b/>
                <w:bCs/>
              </w:rPr>
              <w:t>3/13)</w:t>
            </w:r>
          </w:p>
        </w:tc>
        <w:tc>
          <w:tcPr>
            <w:tcW w:w="1806" w:type="dxa"/>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lang w:val="en-US"/>
              </w:rPr>
              <w:t>низкий</w:t>
            </w:r>
          </w:p>
        </w:tc>
        <w:tc>
          <w:tcPr>
            <w:tcW w:w="1298" w:type="dxa"/>
          </w:tcPr>
          <w:p w:rsidR="004F3459" w:rsidRPr="004F3459" w:rsidRDefault="004F3459" w:rsidP="005E0D82">
            <w:pPr>
              <w:spacing w:line="360" w:lineRule="auto"/>
              <w:rPr>
                <w:rFonts w:ascii="Times New Roman" w:hAnsi="Times New Roman" w:cs="Times New Roman"/>
                <w:lang w:val="en-US"/>
              </w:rPr>
            </w:pPr>
            <w:r w:rsidRPr="004F3459">
              <w:rPr>
                <w:rFonts w:ascii="Times New Roman" w:hAnsi="Times New Roman" w:cs="Times New Roman"/>
                <w:lang w:val="en-US"/>
              </w:rPr>
              <w:t>13 (65%)</w:t>
            </w:r>
          </w:p>
        </w:tc>
        <w:tc>
          <w:tcPr>
            <w:tcW w:w="1298" w:type="dxa"/>
          </w:tcPr>
          <w:p w:rsidR="004F3459" w:rsidRPr="004F3459" w:rsidRDefault="004F3459" w:rsidP="005E0D82">
            <w:pPr>
              <w:spacing w:line="360" w:lineRule="auto"/>
              <w:jc w:val="right"/>
              <w:rPr>
                <w:rFonts w:ascii="Times New Roman" w:hAnsi="Times New Roman" w:cs="Times New Roman"/>
                <w:lang w:val="en-US"/>
              </w:rPr>
            </w:pPr>
            <w:r w:rsidRPr="004F3459">
              <w:rPr>
                <w:rFonts w:ascii="Times New Roman" w:hAnsi="Times New Roman" w:cs="Times New Roman"/>
                <w:lang w:val="en-US"/>
              </w:rPr>
              <w:t>19 (49%)</w:t>
            </w:r>
          </w:p>
        </w:tc>
        <w:tc>
          <w:tcPr>
            <w:tcW w:w="1388"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1 (33,33%)</w:t>
            </w:r>
          </w:p>
        </w:tc>
        <w:tc>
          <w:tcPr>
            <w:tcW w:w="1922"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7 (54%)</w:t>
            </w:r>
          </w:p>
        </w:tc>
      </w:tr>
      <w:tr w:rsidR="004F3459" w:rsidRPr="00563DEA" w:rsidTr="00563DEA">
        <w:trPr>
          <w:trHeight w:val="433"/>
        </w:trPr>
        <w:tc>
          <w:tcPr>
            <w:tcW w:w="0" w:type="auto"/>
            <w:vMerge/>
            <w:hideMark/>
          </w:tcPr>
          <w:p w:rsidR="004F3459" w:rsidRPr="00563DEA" w:rsidRDefault="004F3459" w:rsidP="005E0D82">
            <w:pPr>
              <w:spacing w:line="360" w:lineRule="auto"/>
              <w:rPr>
                <w:rFonts w:ascii="Times New Roman" w:hAnsi="Times New Roman" w:cs="Times New Roman"/>
              </w:rPr>
            </w:pPr>
          </w:p>
        </w:tc>
        <w:tc>
          <w:tcPr>
            <w:tcW w:w="1806" w:type="dxa"/>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lang w:val="en-US"/>
              </w:rPr>
              <w:t>средний</w:t>
            </w:r>
          </w:p>
        </w:tc>
        <w:tc>
          <w:tcPr>
            <w:tcW w:w="1298" w:type="dxa"/>
          </w:tcPr>
          <w:p w:rsidR="004F3459" w:rsidRPr="004F3459" w:rsidRDefault="004F3459" w:rsidP="005E0D82">
            <w:pPr>
              <w:spacing w:line="360" w:lineRule="auto"/>
              <w:rPr>
                <w:rFonts w:ascii="Times New Roman" w:hAnsi="Times New Roman" w:cs="Times New Roman"/>
                <w:lang w:val="en-US"/>
              </w:rPr>
            </w:pPr>
            <w:r w:rsidRPr="004F3459">
              <w:rPr>
                <w:rFonts w:ascii="Times New Roman" w:hAnsi="Times New Roman" w:cs="Times New Roman"/>
                <w:lang w:val="en-US"/>
              </w:rPr>
              <w:t>7 (35%)</w:t>
            </w:r>
          </w:p>
        </w:tc>
        <w:tc>
          <w:tcPr>
            <w:tcW w:w="1298" w:type="dxa"/>
          </w:tcPr>
          <w:p w:rsidR="004F3459" w:rsidRPr="004F3459" w:rsidRDefault="004F3459" w:rsidP="005E0D82">
            <w:pPr>
              <w:spacing w:line="360" w:lineRule="auto"/>
              <w:jc w:val="right"/>
              <w:rPr>
                <w:rFonts w:ascii="Times New Roman" w:hAnsi="Times New Roman" w:cs="Times New Roman"/>
                <w:lang w:val="en-US"/>
              </w:rPr>
            </w:pPr>
            <w:r w:rsidRPr="004F3459">
              <w:rPr>
                <w:rFonts w:ascii="Times New Roman" w:hAnsi="Times New Roman" w:cs="Times New Roman"/>
                <w:lang w:val="en-US"/>
              </w:rPr>
              <w:t>19 (49%)</w:t>
            </w:r>
          </w:p>
        </w:tc>
        <w:tc>
          <w:tcPr>
            <w:tcW w:w="1388"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1 (33,33%)</w:t>
            </w:r>
          </w:p>
        </w:tc>
        <w:tc>
          <w:tcPr>
            <w:tcW w:w="1922"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6 (46%)</w:t>
            </w:r>
          </w:p>
        </w:tc>
      </w:tr>
      <w:tr w:rsidR="004F3459" w:rsidRPr="00563DEA" w:rsidTr="00563DEA">
        <w:trPr>
          <w:trHeight w:val="433"/>
        </w:trPr>
        <w:tc>
          <w:tcPr>
            <w:tcW w:w="0" w:type="auto"/>
            <w:vMerge/>
            <w:hideMark/>
          </w:tcPr>
          <w:p w:rsidR="004F3459" w:rsidRPr="00563DEA" w:rsidRDefault="004F3459" w:rsidP="005E0D82">
            <w:pPr>
              <w:spacing w:line="360" w:lineRule="auto"/>
              <w:rPr>
                <w:rFonts w:ascii="Times New Roman" w:hAnsi="Times New Roman" w:cs="Times New Roman"/>
              </w:rPr>
            </w:pPr>
          </w:p>
        </w:tc>
        <w:tc>
          <w:tcPr>
            <w:tcW w:w="1806" w:type="dxa"/>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lang w:val="en-US"/>
              </w:rPr>
              <w:t>высокий</w:t>
            </w:r>
          </w:p>
        </w:tc>
        <w:tc>
          <w:tcPr>
            <w:tcW w:w="1298" w:type="dxa"/>
          </w:tcPr>
          <w:p w:rsidR="004F3459" w:rsidRPr="004F3459" w:rsidRDefault="004F3459" w:rsidP="005E0D82">
            <w:pPr>
              <w:spacing w:line="360" w:lineRule="auto"/>
              <w:rPr>
                <w:rFonts w:ascii="Times New Roman" w:hAnsi="Times New Roman" w:cs="Times New Roman"/>
                <w:lang w:val="en-US"/>
              </w:rPr>
            </w:pPr>
            <w:r w:rsidRPr="004F3459">
              <w:rPr>
                <w:rFonts w:ascii="Times New Roman" w:hAnsi="Times New Roman" w:cs="Times New Roman"/>
                <w:lang w:val="en-US"/>
              </w:rPr>
              <w:t>0 (0%)</w:t>
            </w:r>
          </w:p>
        </w:tc>
        <w:tc>
          <w:tcPr>
            <w:tcW w:w="1298" w:type="dxa"/>
          </w:tcPr>
          <w:p w:rsidR="004F3459" w:rsidRPr="004F3459" w:rsidRDefault="004F3459" w:rsidP="005E0D82">
            <w:pPr>
              <w:spacing w:line="360" w:lineRule="auto"/>
              <w:jc w:val="right"/>
              <w:rPr>
                <w:rFonts w:ascii="Times New Roman" w:hAnsi="Times New Roman" w:cs="Times New Roman"/>
                <w:lang w:val="en-US"/>
              </w:rPr>
            </w:pPr>
            <w:r w:rsidRPr="004F3459">
              <w:rPr>
                <w:rFonts w:ascii="Times New Roman" w:hAnsi="Times New Roman" w:cs="Times New Roman"/>
                <w:lang w:val="en-US"/>
              </w:rPr>
              <w:t>1 (2%)</w:t>
            </w:r>
          </w:p>
        </w:tc>
        <w:tc>
          <w:tcPr>
            <w:tcW w:w="1388"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1 (33,33%)</w:t>
            </w:r>
          </w:p>
        </w:tc>
        <w:tc>
          <w:tcPr>
            <w:tcW w:w="1922"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0 (0%)</w:t>
            </w:r>
          </w:p>
        </w:tc>
      </w:tr>
      <w:tr w:rsidR="004F3459" w:rsidRPr="00563DEA" w:rsidTr="00563DEA">
        <w:trPr>
          <w:trHeight w:val="433"/>
        </w:trPr>
        <w:tc>
          <w:tcPr>
            <w:tcW w:w="1575" w:type="dxa"/>
            <w:vMerge w:val="restart"/>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b/>
                <w:bCs/>
              </w:rPr>
              <w:t> </w:t>
            </w:r>
          </w:p>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b/>
                <w:bCs/>
              </w:rPr>
              <w:t xml:space="preserve">β-тубулин </w:t>
            </w:r>
            <w:r w:rsidRPr="00563DEA">
              <w:rPr>
                <w:rFonts w:ascii="Times New Roman" w:hAnsi="Times New Roman" w:cs="Times New Roman"/>
                <w:b/>
                <w:bCs/>
                <w:lang w:val="en-US"/>
              </w:rPr>
              <w:t>(n=</w:t>
            </w:r>
            <w:r w:rsidRPr="00563DEA">
              <w:rPr>
                <w:rFonts w:ascii="Times New Roman" w:hAnsi="Times New Roman" w:cs="Times New Roman"/>
                <w:b/>
                <w:bCs/>
              </w:rPr>
              <w:t>3/13)</w:t>
            </w:r>
          </w:p>
        </w:tc>
        <w:tc>
          <w:tcPr>
            <w:tcW w:w="1806" w:type="dxa"/>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lang w:val="en-US"/>
              </w:rPr>
              <w:t>низкий</w:t>
            </w:r>
          </w:p>
        </w:tc>
        <w:tc>
          <w:tcPr>
            <w:tcW w:w="1298" w:type="dxa"/>
          </w:tcPr>
          <w:p w:rsidR="004F3459" w:rsidRPr="004F3459" w:rsidRDefault="004F3459" w:rsidP="005E0D82">
            <w:pPr>
              <w:spacing w:line="360" w:lineRule="auto"/>
              <w:rPr>
                <w:rFonts w:ascii="Times New Roman" w:hAnsi="Times New Roman" w:cs="Times New Roman"/>
                <w:lang w:val="en-US"/>
              </w:rPr>
            </w:pPr>
            <w:r w:rsidRPr="004F3459">
              <w:rPr>
                <w:rFonts w:ascii="Times New Roman" w:hAnsi="Times New Roman" w:cs="Times New Roman"/>
                <w:lang w:val="en-US"/>
              </w:rPr>
              <w:t>2 (9%)</w:t>
            </w:r>
          </w:p>
        </w:tc>
        <w:tc>
          <w:tcPr>
            <w:tcW w:w="1298" w:type="dxa"/>
          </w:tcPr>
          <w:p w:rsidR="004F3459" w:rsidRPr="004F3459" w:rsidRDefault="004F3459" w:rsidP="005E0D82">
            <w:pPr>
              <w:spacing w:line="360" w:lineRule="auto"/>
              <w:jc w:val="right"/>
              <w:rPr>
                <w:rFonts w:ascii="Times New Roman" w:hAnsi="Times New Roman" w:cs="Times New Roman"/>
                <w:lang w:val="en-US"/>
              </w:rPr>
            </w:pPr>
            <w:r w:rsidRPr="004F3459">
              <w:rPr>
                <w:rFonts w:ascii="Times New Roman" w:hAnsi="Times New Roman" w:cs="Times New Roman"/>
                <w:lang w:val="en-US"/>
              </w:rPr>
              <w:t>3 (7%)</w:t>
            </w:r>
          </w:p>
        </w:tc>
        <w:tc>
          <w:tcPr>
            <w:tcW w:w="1388"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0 (0%)</w:t>
            </w:r>
          </w:p>
        </w:tc>
        <w:tc>
          <w:tcPr>
            <w:tcW w:w="1922"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0 (%)</w:t>
            </w:r>
          </w:p>
        </w:tc>
      </w:tr>
      <w:tr w:rsidR="004F3459" w:rsidRPr="00563DEA" w:rsidTr="00563DEA">
        <w:trPr>
          <w:trHeight w:val="433"/>
        </w:trPr>
        <w:tc>
          <w:tcPr>
            <w:tcW w:w="0" w:type="auto"/>
            <w:vMerge/>
            <w:hideMark/>
          </w:tcPr>
          <w:p w:rsidR="004F3459" w:rsidRPr="00563DEA" w:rsidRDefault="004F3459" w:rsidP="005E0D82">
            <w:pPr>
              <w:spacing w:line="360" w:lineRule="auto"/>
              <w:rPr>
                <w:rFonts w:ascii="Times New Roman" w:hAnsi="Times New Roman" w:cs="Times New Roman"/>
              </w:rPr>
            </w:pPr>
          </w:p>
        </w:tc>
        <w:tc>
          <w:tcPr>
            <w:tcW w:w="1806" w:type="dxa"/>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lang w:val="en-US"/>
              </w:rPr>
              <w:t>средний</w:t>
            </w:r>
          </w:p>
        </w:tc>
        <w:tc>
          <w:tcPr>
            <w:tcW w:w="1298" w:type="dxa"/>
          </w:tcPr>
          <w:p w:rsidR="004F3459" w:rsidRPr="004F3459" w:rsidRDefault="004F3459" w:rsidP="005E0D82">
            <w:pPr>
              <w:spacing w:line="360" w:lineRule="auto"/>
              <w:rPr>
                <w:rFonts w:ascii="Times New Roman" w:hAnsi="Times New Roman" w:cs="Times New Roman"/>
                <w:lang w:val="en-US"/>
              </w:rPr>
            </w:pPr>
            <w:r w:rsidRPr="004F3459">
              <w:rPr>
                <w:rFonts w:ascii="Times New Roman" w:hAnsi="Times New Roman" w:cs="Times New Roman"/>
                <w:lang w:val="en-US"/>
              </w:rPr>
              <w:t>6 (29%)</w:t>
            </w:r>
          </w:p>
        </w:tc>
        <w:tc>
          <w:tcPr>
            <w:tcW w:w="1298" w:type="dxa"/>
          </w:tcPr>
          <w:p w:rsidR="004F3459" w:rsidRPr="004F3459" w:rsidRDefault="004F3459" w:rsidP="005E0D82">
            <w:pPr>
              <w:spacing w:line="360" w:lineRule="auto"/>
              <w:jc w:val="right"/>
              <w:rPr>
                <w:rFonts w:ascii="Times New Roman" w:hAnsi="Times New Roman" w:cs="Times New Roman"/>
                <w:lang w:val="en-US"/>
              </w:rPr>
            </w:pPr>
            <w:r w:rsidRPr="004F3459">
              <w:rPr>
                <w:rFonts w:ascii="Times New Roman" w:hAnsi="Times New Roman" w:cs="Times New Roman"/>
                <w:lang w:val="en-US"/>
              </w:rPr>
              <w:t>11 (27%)</w:t>
            </w:r>
          </w:p>
        </w:tc>
        <w:tc>
          <w:tcPr>
            <w:tcW w:w="1388"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2 (67%)</w:t>
            </w:r>
          </w:p>
        </w:tc>
        <w:tc>
          <w:tcPr>
            <w:tcW w:w="1922"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4 (31%)</w:t>
            </w:r>
          </w:p>
        </w:tc>
      </w:tr>
      <w:tr w:rsidR="004F3459" w:rsidRPr="00563DEA" w:rsidTr="00563DEA">
        <w:trPr>
          <w:trHeight w:val="436"/>
        </w:trPr>
        <w:tc>
          <w:tcPr>
            <w:tcW w:w="0" w:type="auto"/>
            <w:vMerge/>
            <w:hideMark/>
          </w:tcPr>
          <w:p w:rsidR="004F3459" w:rsidRPr="00563DEA" w:rsidRDefault="004F3459" w:rsidP="005E0D82">
            <w:pPr>
              <w:spacing w:line="360" w:lineRule="auto"/>
              <w:rPr>
                <w:rFonts w:ascii="Times New Roman" w:hAnsi="Times New Roman" w:cs="Times New Roman"/>
              </w:rPr>
            </w:pPr>
          </w:p>
        </w:tc>
        <w:tc>
          <w:tcPr>
            <w:tcW w:w="1806" w:type="dxa"/>
            <w:hideMark/>
          </w:tcPr>
          <w:p w:rsidR="004F3459" w:rsidRPr="00563DEA" w:rsidRDefault="004F3459" w:rsidP="005E0D82">
            <w:pPr>
              <w:spacing w:line="360" w:lineRule="auto"/>
              <w:rPr>
                <w:rFonts w:ascii="Times New Roman" w:hAnsi="Times New Roman" w:cs="Times New Roman"/>
              </w:rPr>
            </w:pPr>
            <w:r w:rsidRPr="00563DEA">
              <w:rPr>
                <w:rFonts w:ascii="Times New Roman" w:hAnsi="Times New Roman" w:cs="Times New Roman"/>
                <w:lang w:val="en-US"/>
              </w:rPr>
              <w:t>высокий</w:t>
            </w:r>
          </w:p>
        </w:tc>
        <w:tc>
          <w:tcPr>
            <w:tcW w:w="1298" w:type="dxa"/>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13 (62%)</w:t>
            </w:r>
          </w:p>
        </w:tc>
        <w:tc>
          <w:tcPr>
            <w:tcW w:w="1298" w:type="dxa"/>
          </w:tcPr>
          <w:p w:rsidR="004F3459" w:rsidRPr="004F3459" w:rsidRDefault="004F3459" w:rsidP="005E0D82">
            <w:pPr>
              <w:spacing w:line="360" w:lineRule="auto"/>
              <w:jc w:val="right"/>
              <w:rPr>
                <w:rFonts w:ascii="Times New Roman" w:hAnsi="Times New Roman" w:cs="Times New Roman"/>
                <w:lang w:val="en-US"/>
              </w:rPr>
            </w:pPr>
            <w:r w:rsidRPr="004F3459">
              <w:rPr>
                <w:rFonts w:ascii="Times New Roman" w:hAnsi="Times New Roman" w:cs="Times New Roman"/>
                <w:lang w:val="en-US"/>
              </w:rPr>
              <w:t>27 (66%)</w:t>
            </w:r>
          </w:p>
        </w:tc>
        <w:tc>
          <w:tcPr>
            <w:tcW w:w="1388"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1 (33%)</w:t>
            </w:r>
          </w:p>
        </w:tc>
        <w:tc>
          <w:tcPr>
            <w:tcW w:w="1922" w:type="dxa"/>
            <w:hideMark/>
          </w:tcPr>
          <w:p w:rsidR="004F3459" w:rsidRPr="004F3459" w:rsidRDefault="004F3459" w:rsidP="005E0D82">
            <w:pPr>
              <w:spacing w:line="360" w:lineRule="auto"/>
              <w:rPr>
                <w:rFonts w:ascii="Times New Roman" w:hAnsi="Times New Roman" w:cs="Times New Roman"/>
              </w:rPr>
            </w:pPr>
            <w:r w:rsidRPr="004F3459">
              <w:rPr>
                <w:rFonts w:ascii="Times New Roman" w:hAnsi="Times New Roman" w:cs="Times New Roman"/>
                <w:lang w:val="en-US"/>
              </w:rPr>
              <w:t>9 (69%)</w:t>
            </w:r>
          </w:p>
        </w:tc>
      </w:tr>
    </w:tbl>
    <w:p w:rsidR="00990FE2" w:rsidRPr="00D40B81" w:rsidRDefault="00990FE2" w:rsidP="005E0D82">
      <w:pPr>
        <w:pStyle w:val="2"/>
        <w:spacing w:before="0" w:after="0" w:line="360" w:lineRule="auto"/>
        <w:rPr>
          <w:rFonts w:eastAsiaTheme="minorHAnsi"/>
          <w:b/>
          <w:bCs w:val="0"/>
        </w:rPr>
      </w:pPr>
      <w:bookmarkStart w:id="51" w:name="_Toc9031275"/>
      <w:bookmarkStart w:id="52" w:name="_Toc9250608"/>
      <w:r w:rsidRPr="00D40B81">
        <w:rPr>
          <w:b/>
          <w:bCs w:val="0"/>
        </w:rPr>
        <w:t xml:space="preserve">3.4. </w:t>
      </w:r>
      <w:r w:rsidRPr="00D40B81">
        <w:rPr>
          <w:rFonts w:eastAsiaTheme="minorHAnsi"/>
          <w:b/>
          <w:bCs w:val="0"/>
        </w:rPr>
        <w:t xml:space="preserve">Частота </w:t>
      </w:r>
      <w:r w:rsidR="00F75B77" w:rsidRPr="00D40B81">
        <w:rPr>
          <w:rFonts w:eastAsiaTheme="minorHAnsi"/>
          <w:b/>
          <w:bCs w:val="0"/>
        </w:rPr>
        <w:t>злокачественной трансформации у больных с астроцитомами</w:t>
      </w:r>
      <w:r w:rsidRPr="00D40B81">
        <w:rPr>
          <w:rFonts w:eastAsiaTheme="minorHAnsi"/>
          <w:b/>
          <w:bCs w:val="0"/>
        </w:rPr>
        <w:t xml:space="preserve"> </w:t>
      </w:r>
      <w:r w:rsidRPr="00D40B81">
        <w:rPr>
          <w:rFonts w:eastAsiaTheme="minorHAnsi"/>
          <w:b/>
          <w:bCs w:val="0"/>
          <w:lang w:val="en-US"/>
        </w:rPr>
        <w:t>GII</w:t>
      </w:r>
      <w:r w:rsidRPr="00D40B81">
        <w:rPr>
          <w:rFonts w:eastAsiaTheme="minorHAnsi"/>
          <w:b/>
          <w:bCs w:val="0"/>
        </w:rPr>
        <w:t>/</w:t>
      </w:r>
      <w:r w:rsidRPr="00D40B81">
        <w:rPr>
          <w:rFonts w:eastAsiaTheme="minorHAnsi"/>
          <w:b/>
          <w:bCs w:val="0"/>
          <w:lang w:val="en-US"/>
        </w:rPr>
        <w:t>GIII</w:t>
      </w:r>
      <w:bookmarkEnd w:id="51"/>
      <w:bookmarkEnd w:id="52"/>
    </w:p>
    <w:p w:rsidR="00221BD3" w:rsidRDefault="00221BD3" w:rsidP="005E0D82">
      <w:pPr>
        <w:spacing w:after="0" w:line="360" w:lineRule="auto"/>
        <w:rPr>
          <w:rFonts w:ascii="Times New Roman" w:hAnsi="Times New Roman" w:cs="Times New Roman"/>
          <w:sz w:val="28"/>
          <w:szCs w:val="28"/>
        </w:rPr>
      </w:pPr>
      <w:r>
        <w:rPr>
          <w:rFonts w:ascii="Times New Roman" w:hAnsi="Times New Roman" w:cs="Times New Roman"/>
          <w:sz w:val="28"/>
          <w:szCs w:val="28"/>
        </w:rPr>
        <w:t>В случае ДА</w:t>
      </w:r>
      <w:r>
        <w:rPr>
          <w:rFonts w:ascii="Times New Roman" w:hAnsi="Times New Roman" w:cs="Times New Roman"/>
          <w:sz w:val="28"/>
          <w:szCs w:val="28"/>
          <w:lang w:val="en-US"/>
        </w:rPr>
        <w:t>GII</w:t>
      </w:r>
      <w:r w:rsidRPr="00221BD3">
        <w:rPr>
          <w:rFonts w:ascii="Times New Roman" w:hAnsi="Times New Roman" w:cs="Times New Roman"/>
          <w:sz w:val="28"/>
          <w:szCs w:val="28"/>
        </w:rPr>
        <w:t xml:space="preserve"> </w:t>
      </w:r>
      <w:r>
        <w:rPr>
          <w:rFonts w:ascii="Times New Roman" w:hAnsi="Times New Roman" w:cs="Times New Roman"/>
          <w:sz w:val="28"/>
          <w:szCs w:val="28"/>
        </w:rPr>
        <w:t xml:space="preserve">средний возраст пациентов составлял 33.5 лет, отношение мужчин и женщин было приблизительно равным (табл. 4). Рецидив опухоли произошел в 69% случаев. </w:t>
      </w:r>
      <w:r w:rsidR="00F75B77" w:rsidRPr="00F75B77">
        <w:rPr>
          <w:rFonts w:ascii="Times New Roman" w:hAnsi="Times New Roman" w:cs="Times New Roman"/>
          <w:sz w:val="28"/>
          <w:szCs w:val="28"/>
        </w:rPr>
        <w:t>Злокачественная трансформация наблюдалась в 95% (19/20), из них по данным повторного гистологического исследования – в 65% (13/20), по данным МРТ/ПЭТ – 30% (6/20), и только в одном случае (5%) диагноз после рецидива заболевания не изменился.</w:t>
      </w:r>
      <w:r>
        <w:rPr>
          <w:rFonts w:ascii="Times New Roman" w:hAnsi="Times New Roman" w:cs="Times New Roman"/>
          <w:sz w:val="28"/>
          <w:szCs w:val="28"/>
        </w:rPr>
        <w:t xml:space="preserve"> В 55% случаев наблюдалась ЗТ в АА</w:t>
      </w:r>
      <w:r>
        <w:rPr>
          <w:rFonts w:ascii="Times New Roman" w:hAnsi="Times New Roman" w:cs="Times New Roman"/>
          <w:sz w:val="28"/>
          <w:szCs w:val="28"/>
          <w:lang w:val="en-US"/>
        </w:rPr>
        <w:t>GIII</w:t>
      </w:r>
      <w:r>
        <w:rPr>
          <w:rFonts w:ascii="Times New Roman" w:hAnsi="Times New Roman" w:cs="Times New Roman"/>
          <w:sz w:val="28"/>
          <w:szCs w:val="28"/>
        </w:rPr>
        <w:t>, в 10% случаев - во вторичную ГБ</w:t>
      </w:r>
      <w:r>
        <w:rPr>
          <w:rFonts w:ascii="Times New Roman" w:hAnsi="Times New Roman" w:cs="Times New Roman"/>
          <w:sz w:val="28"/>
          <w:szCs w:val="28"/>
          <w:lang w:val="en-US"/>
        </w:rPr>
        <w:t>GIV</w:t>
      </w:r>
      <w:r>
        <w:rPr>
          <w:rFonts w:ascii="Times New Roman" w:hAnsi="Times New Roman" w:cs="Times New Roman"/>
          <w:sz w:val="28"/>
          <w:szCs w:val="28"/>
        </w:rPr>
        <w:t>.</w:t>
      </w:r>
    </w:p>
    <w:p w:rsidR="00F75B77" w:rsidRPr="00221BD3" w:rsidRDefault="00221BD3" w:rsidP="005E0D82">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Среди пациентов с АА</w:t>
      </w:r>
      <w:r>
        <w:rPr>
          <w:rFonts w:ascii="Times New Roman" w:hAnsi="Times New Roman" w:cs="Times New Roman"/>
          <w:sz w:val="28"/>
          <w:szCs w:val="28"/>
          <w:lang w:val="en-US"/>
        </w:rPr>
        <w:t>GIII</w:t>
      </w:r>
      <w:r>
        <w:rPr>
          <w:rFonts w:ascii="Times New Roman" w:hAnsi="Times New Roman" w:cs="Times New Roman"/>
          <w:sz w:val="28"/>
          <w:szCs w:val="28"/>
        </w:rPr>
        <w:t xml:space="preserve"> не было выраженной корреляции по полу, средний возраст составлял 37.8 лет (табл. 4). Рецидив опухоли произошел в 35% случаев, </w:t>
      </w:r>
      <w:r w:rsidRPr="00221BD3">
        <w:rPr>
          <w:rFonts w:ascii="Times New Roman" w:hAnsi="Times New Roman" w:cs="Times New Roman"/>
          <w:sz w:val="28"/>
          <w:szCs w:val="28"/>
        </w:rPr>
        <w:t>злокачественная трансформация АА</w:t>
      </w:r>
      <w:r w:rsidRPr="00221BD3">
        <w:rPr>
          <w:rFonts w:ascii="Times New Roman" w:hAnsi="Times New Roman" w:cs="Times New Roman"/>
          <w:sz w:val="28"/>
          <w:szCs w:val="28"/>
          <w:lang w:val="en-US"/>
        </w:rPr>
        <w:t>GIII</w:t>
      </w:r>
      <w:r w:rsidRPr="00221BD3">
        <w:rPr>
          <w:rFonts w:ascii="Times New Roman" w:hAnsi="Times New Roman" w:cs="Times New Roman"/>
          <w:sz w:val="28"/>
          <w:szCs w:val="28"/>
        </w:rPr>
        <w:t xml:space="preserve"> во вторичную ГБ имела место в 69% (11/16), по данным повторной гистологии – в 56% (9/16) и по результатам МРТ/ПЭТ – 13% (2/16). В отличие от ДА</w:t>
      </w:r>
      <w:r w:rsidRPr="00221BD3">
        <w:rPr>
          <w:rFonts w:ascii="Times New Roman" w:hAnsi="Times New Roman" w:cs="Times New Roman"/>
          <w:sz w:val="28"/>
          <w:szCs w:val="28"/>
          <w:lang w:val="en-US"/>
        </w:rPr>
        <w:t>GII</w:t>
      </w:r>
      <w:r w:rsidRPr="00221BD3">
        <w:rPr>
          <w:rFonts w:ascii="Times New Roman" w:hAnsi="Times New Roman" w:cs="Times New Roman"/>
          <w:sz w:val="28"/>
          <w:szCs w:val="28"/>
        </w:rPr>
        <w:t xml:space="preserve"> у пациентов с АА</w:t>
      </w:r>
      <w:r w:rsidRPr="00221BD3">
        <w:rPr>
          <w:rFonts w:ascii="Times New Roman" w:hAnsi="Times New Roman" w:cs="Times New Roman"/>
          <w:sz w:val="28"/>
          <w:szCs w:val="28"/>
          <w:lang w:val="en-US"/>
        </w:rPr>
        <w:t>GIII</w:t>
      </w:r>
      <w:r w:rsidRPr="00221BD3">
        <w:rPr>
          <w:rFonts w:ascii="Times New Roman" w:hAnsi="Times New Roman" w:cs="Times New Roman"/>
          <w:sz w:val="28"/>
          <w:szCs w:val="28"/>
        </w:rPr>
        <w:t xml:space="preserve"> </w:t>
      </w:r>
      <w:r>
        <w:rPr>
          <w:rFonts w:ascii="Times New Roman" w:hAnsi="Times New Roman" w:cs="Times New Roman"/>
          <w:sz w:val="28"/>
          <w:szCs w:val="28"/>
        </w:rPr>
        <w:t>морфологический</w:t>
      </w:r>
      <w:r w:rsidRPr="00221BD3">
        <w:rPr>
          <w:rFonts w:ascii="Times New Roman" w:hAnsi="Times New Roman" w:cs="Times New Roman"/>
          <w:sz w:val="28"/>
          <w:szCs w:val="28"/>
        </w:rPr>
        <w:t xml:space="preserve"> диагноз остался без изменения в 31% случаев (5/16).</w:t>
      </w:r>
    </w:p>
    <w:p w:rsidR="00F75B77" w:rsidRDefault="00F75B77" w:rsidP="005E0D82">
      <w:pPr>
        <w:pStyle w:val="ae"/>
        <w:keepNext/>
        <w:spacing w:after="0" w:line="360" w:lineRule="auto"/>
      </w:pPr>
      <w:r>
        <w:t xml:space="preserve">Таблица </w:t>
      </w:r>
      <w:fldSimple w:instr=" SEQ Таблица \* ARABIC ">
        <w:r w:rsidR="00DD6C05">
          <w:rPr>
            <w:noProof/>
          </w:rPr>
          <w:t>5</w:t>
        </w:r>
      </w:fldSimple>
      <w:r>
        <w:t xml:space="preserve">. </w:t>
      </w:r>
      <w:r w:rsidRPr="00C917EB">
        <w:t>Частота злокачественной трансформации у больных с астроцитомами GII/GIII</w:t>
      </w:r>
    </w:p>
    <w:tbl>
      <w:tblPr>
        <w:tblStyle w:val="11"/>
        <w:tblW w:w="9886" w:type="dxa"/>
        <w:tblLayout w:type="fixed"/>
        <w:tblLook w:val="04A0" w:firstRow="1" w:lastRow="0" w:firstColumn="1" w:lastColumn="0" w:noHBand="0" w:noVBand="1"/>
      </w:tblPr>
      <w:tblGrid>
        <w:gridCol w:w="5637"/>
        <w:gridCol w:w="2268"/>
        <w:gridCol w:w="1981"/>
      </w:tblGrid>
      <w:tr w:rsidR="00F75B77" w:rsidRPr="00F75B77" w:rsidTr="00F75B77">
        <w:trPr>
          <w:trHeight w:val="505"/>
        </w:trPr>
        <w:tc>
          <w:tcPr>
            <w:tcW w:w="5637" w:type="dxa"/>
          </w:tcPr>
          <w:p w:rsidR="00F75B77" w:rsidRPr="00F75B77" w:rsidRDefault="00221BD3" w:rsidP="005E0D82">
            <w:pPr>
              <w:spacing w:line="360" w:lineRule="auto"/>
              <w:rPr>
                <w:rFonts w:ascii="Times New Roman" w:hAnsi="Times New Roman" w:cs="Times New Roman"/>
              </w:rPr>
            </w:pPr>
            <w:r>
              <w:rPr>
                <w:rFonts w:ascii="Times New Roman" w:hAnsi="Times New Roman" w:cs="Times New Roman"/>
                <w:b/>
              </w:rPr>
              <w:t>К</w:t>
            </w:r>
            <w:r w:rsidR="00F75B77" w:rsidRPr="00F75B77">
              <w:rPr>
                <w:rFonts w:ascii="Times New Roman" w:hAnsi="Times New Roman" w:cs="Times New Roman"/>
                <w:b/>
              </w:rPr>
              <w:t>линические характеристики</w:t>
            </w:r>
          </w:p>
        </w:tc>
        <w:tc>
          <w:tcPr>
            <w:tcW w:w="2268" w:type="dxa"/>
          </w:tcPr>
          <w:p w:rsidR="00F75B77" w:rsidRPr="00F75B77" w:rsidRDefault="00F75B77" w:rsidP="005E0D82">
            <w:pPr>
              <w:spacing w:line="360" w:lineRule="auto"/>
              <w:jc w:val="center"/>
              <w:rPr>
                <w:rFonts w:ascii="Times New Roman" w:hAnsi="Times New Roman" w:cs="Times New Roman"/>
                <w:b/>
              </w:rPr>
            </w:pPr>
            <w:r w:rsidRPr="00F75B77">
              <w:rPr>
                <w:rFonts w:ascii="Times New Roman" w:hAnsi="Times New Roman" w:cs="Times New Roman"/>
                <w:b/>
              </w:rPr>
              <w:t>ДА</w:t>
            </w:r>
            <w:r w:rsidRPr="00F75B77">
              <w:rPr>
                <w:rFonts w:ascii="Times New Roman" w:hAnsi="Times New Roman" w:cs="Times New Roman"/>
                <w:b/>
                <w:lang w:val="en-US"/>
              </w:rPr>
              <w:t>GII</w:t>
            </w:r>
          </w:p>
          <w:p w:rsidR="00F75B77" w:rsidRPr="00F75B77" w:rsidRDefault="00F75B77" w:rsidP="005E0D82">
            <w:pPr>
              <w:spacing w:line="360" w:lineRule="auto"/>
              <w:jc w:val="center"/>
              <w:rPr>
                <w:rFonts w:ascii="Times New Roman" w:hAnsi="Times New Roman" w:cs="Times New Roman"/>
                <w:b/>
              </w:rPr>
            </w:pPr>
            <w:r w:rsidRPr="00F75B77">
              <w:rPr>
                <w:rFonts w:ascii="Times New Roman" w:hAnsi="Times New Roman" w:cs="Times New Roman"/>
                <w:b/>
              </w:rPr>
              <w:t xml:space="preserve"> (</w:t>
            </w:r>
            <w:r w:rsidRPr="00F75B77">
              <w:rPr>
                <w:rFonts w:ascii="Times New Roman" w:hAnsi="Times New Roman" w:cs="Times New Roman"/>
                <w:b/>
                <w:lang w:val="en-US"/>
              </w:rPr>
              <w:t>n</w:t>
            </w:r>
            <w:r w:rsidRPr="00F75B77">
              <w:rPr>
                <w:rFonts w:ascii="Times New Roman" w:hAnsi="Times New Roman" w:cs="Times New Roman"/>
                <w:b/>
              </w:rPr>
              <w:t>=29)</w:t>
            </w:r>
          </w:p>
        </w:tc>
        <w:tc>
          <w:tcPr>
            <w:tcW w:w="1981" w:type="dxa"/>
          </w:tcPr>
          <w:p w:rsidR="00F75B77" w:rsidRPr="00F75B77" w:rsidRDefault="00F75B77" w:rsidP="005E0D82">
            <w:pPr>
              <w:spacing w:line="360" w:lineRule="auto"/>
              <w:jc w:val="center"/>
              <w:rPr>
                <w:rFonts w:ascii="Times New Roman" w:hAnsi="Times New Roman" w:cs="Times New Roman"/>
                <w:b/>
              </w:rPr>
            </w:pPr>
            <w:r w:rsidRPr="00F75B77">
              <w:rPr>
                <w:rFonts w:ascii="Times New Roman" w:hAnsi="Times New Roman" w:cs="Times New Roman"/>
                <w:b/>
              </w:rPr>
              <w:t>АА</w:t>
            </w:r>
            <w:r w:rsidRPr="00F75B77">
              <w:rPr>
                <w:rFonts w:ascii="Times New Roman" w:hAnsi="Times New Roman" w:cs="Times New Roman"/>
                <w:b/>
                <w:lang w:val="en-US"/>
              </w:rPr>
              <w:t>GIII</w:t>
            </w:r>
          </w:p>
          <w:p w:rsidR="00F75B77" w:rsidRPr="00F75B77" w:rsidRDefault="00F75B77" w:rsidP="005E0D82">
            <w:pPr>
              <w:spacing w:line="360" w:lineRule="auto"/>
              <w:jc w:val="center"/>
              <w:rPr>
                <w:rFonts w:ascii="Times New Roman" w:hAnsi="Times New Roman" w:cs="Times New Roman"/>
                <w:b/>
              </w:rPr>
            </w:pPr>
            <w:r w:rsidRPr="00F75B77">
              <w:rPr>
                <w:rFonts w:ascii="Times New Roman" w:hAnsi="Times New Roman" w:cs="Times New Roman"/>
                <w:b/>
              </w:rPr>
              <w:t>(</w:t>
            </w:r>
            <w:r w:rsidRPr="00F75B77">
              <w:rPr>
                <w:rFonts w:ascii="Times New Roman" w:hAnsi="Times New Roman" w:cs="Times New Roman"/>
                <w:b/>
                <w:lang w:val="en-US"/>
              </w:rPr>
              <w:t>n</w:t>
            </w:r>
            <w:r w:rsidRPr="00F75B77">
              <w:rPr>
                <w:rFonts w:ascii="Times New Roman" w:hAnsi="Times New Roman" w:cs="Times New Roman"/>
                <w:b/>
              </w:rPr>
              <w:t>=</w:t>
            </w:r>
            <w:r w:rsidRPr="00F75B77">
              <w:rPr>
                <w:rFonts w:ascii="Times New Roman" w:hAnsi="Times New Roman" w:cs="Times New Roman"/>
                <w:b/>
                <w:lang w:val="en-US"/>
              </w:rPr>
              <w:t>46)</w:t>
            </w:r>
          </w:p>
        </w:tc>
      </w:tr>
      <w:tr w:rsidR="00F75B77" w:rsidRPr="00F75B77" w:rsidTr="00F75B77">
        <w:tc>
          <w:tcPr>
            <w:tcW w:w="5637" w:type="dxa"/>
          </w:tcPr>
          <w:p w:rsidR="00F75B77" w:rsidRPr="00F75B77" w:rsidRDefault="00F75B77" w:rsidP="005E0D82">
            <w:pPr>
              <w:spacing w:line="360" w:lineRule="auto"/>
              <w:rPr>
                <w:rFonts w:ascii="Times New Roman" w:hAnsi="Times New Roman" w:cs="Times New Roman"/>
              </w:rPr>
            </w:pPr>
            <w:r>
              <w:rPr>
                <w:rFonts w:ascii="Times New Roman" w:hAnsi="Times New Roman" w:cs="Times New Roman"/>
              </w:rPr>
              <w:t>П</w:t>
            </w:r>
            <w:r w:rsidRPr="00F75B77">
              <w:rPr>
                <w:rFonts w:ascii="Times New Roman" w:hAnsi="Times New Roman" w:cs="Times New Roman"/>
              </w:rPr>
              <w:t>ол</w:t>
            </w:r>
          </w:p>
        </w:tc>
        <w:tc>
          <w:tcPr>
            <w:tcW w:w="2268" w:type="dxa"/>
          </w:tcPr>
          <w:p w:rsidR="00F75B77" w:rsidRPr="00F75B77" w:rsidRDefault="00F75B77" w:rsidP="005E0D82">
            <w:pPr>
              <w:spacing w:line="360" w:lineRule="auto"/>
              <w:jc w:val="center"/>
              <w:rPr>
                <w:rFonts w:ascii="Times New Roman" w:hAnsi="Times New Roman" w:cs="Times New Roman"/>
              </w:rPr>
            </w:pPr>
          </w:p>
        </w:tc>
        <w:tc>
          <w:tcPr>
            <w:tcW w:w="1981" w:type="dxa"/>
          </w:tcPr>
          <w:p w:rsidR="00F75B77" w:rsidRPr="00F75B77" w:rsidRDefault="00F75B77" w:rsidP="005E0D82">
            <w:pPr>
              <w:spacing w:line="360" w:lineRule="auto"/>
              <w:jc w:val="center"/>
              <w:rPr>
                <w:rFonts w:ascii="Times New Roman" w:hAnsi="Times New Roman" w:cs="Times New Roman"/>
              </w:rPr>
            </w:pPr>
          </w:p>
        </w:tc>
      </w:tr>
      <w:tr w:rsidR="00F75B77" w:rsidRPr="00F75B77" w:rsidTr="00F75B77">
        <w:trPr>
          <w:trHeight w:val="296"/>
        </w:trPr>
        <w:tc>
          <w:tcPr>
            <w:tcW w:w="5637" w:type="dxa"/>
          </w:tcPr>
          <w:p w:rsidR="00F75B77" w:rsidRPr="00F75B77" w:rsidRDefault="00F75B77" w:rsidP="005E0D82">
            <w:pPr>
              <w:spacing w:line="360" w:lineRule="auto"/>
              <w:ind w:left="426"/>
              <w:rPr>
                <w:rFonts w:ascii="Times New Roman" w:hAnsi="Times New Roman" w:cs="Times New Roman"/>
              </w:rPr>
            </w:pPr>
            <w:r w:rsidRPr="00F75B77">
              <w:rPr>
                <w:rFonts w:ascii="Times New Roman" w:hAnsi="Times New Roman" w:cs="Times New Roman"/>
              </w:rPr>
              <w:t>мужчины</w:t>
            </w:r>
          </w:p>
        </w:tc>
        <w:tc>
          <w:tcPr>
            <w:tcW w:w="2268" w:type="dxa"/>
          </w:tcPr>
          <w:p w:rsidR="00F75B77" w:rsidRPr="00F75B77" w:rsidRDefault="00F75B77" w:rsidP="005E0D82">
            <w:pPr>
              <w:spacing w:line="360" w:lineRule="auto"/>
              <w:jc w:val="center"/>
              <w:rPr>
                <w:rFonts w:ascii="Times New Roman" w:hAnsi="Times New Roman" w:cs="Times New Roman"/>
              </w:rPr>
            </w:pPr>
            <w:r w:rsidRPr="00F75B77">
              <w:rPr>
                <w:rFonts w:ascii="Times New Roman" w:hAnsi="Times New Roman" w:cs="Times New Roman"/>
              </w:rPr>
              <w:t>16 (55%)</w:t>
            </w:r>
          </w:p>
        </w:tc>
        <w:tc>
          <w:tcPr>
            <w:tcW w:w="1981" w:type="dxa"/>
          </w:tcPr>
          <w:p w:rsidR="00F75B77" w:rsidRPr="00F75B77" w:rsidRDefault="00F75B77" w:rsidP="005E0D82">
            <w:pPr>
              <w:spacing w:line="360" w:lineRule="auto"/>
              <w:jc w:val="center"/>
              <w:rPr>
                <w:rFonts w:ascii="Times New Roman" w:hAnsi="Times New Roman" w:cs="Times New Roman"/>
              </w:rPr>
            </w:pPr>
            <w:r w:rsidRPr="00F75B77">
              <w:rPr>
                <w:rFonts w:ascii="Times New Roman" w:hAnsi="Times New Roman" w:cs="Times New Roman"/>
              </w:rPr>
              <w:t>22 (48%)</w:t>
            </w:r>
          </w:p>
        </w:tc>
      </w:tr>
      <w:tr w:rsidR="00F75B77" w:rsidRPr="00F75B77" w:rsidTr="00F75B77">
        <w:tc>
          <w:tcPr>
            <w:tcW w:w="5637" w:type="dxa"/>
          </w:tcPr>
          <w:p w:rsidR="00F75B77" w:rsidRPr="00F75B77" w:rsidRDefault="00F75B77" w:rsidP="005E0D82">
            <w:pPr>
              <w:spacing w:line="360" w:lineRule="auto"/>
              <w:ind w:left="426"/>
              <w:rPr>
                <w:rFonts w:ascii="Times New Roman" w:hAnsi="Times New Roman" w:cs="Times New Roman"/>
              </w:rPr>
            </w:pPr>
            <w:r w:rsidRPr="00F75B77">
              <w:rPr>
                <w:rFonts w:ascii="Times New Roman" w:hAnsi="Times New Roman" w:cs="Times New Roman"/>
              </w:rPr>
              <w:t>женщины</w:t>
            </w:r>
          </w:p>
        </w:tc>
        <w:tc>
          <w:tcPr>
            <w:tcW w:w="2268" w:type="dxa"/>
          </w:tcPr>
          <w:p w:rsidR="00F75B77" w:rsidRPr="00F75B77" w:rsidRDefault="00F75B77" w:rsidP="005E0D82">
            <w:pPr>
              <w:spacing w:line="360" w:lineRule="auto"/>
              <w:jc w:val="center"/>
              <w:rPr>
                <w:rFonts w:ascii="Times New Roman" w:hAnsi="Times New Roman" w:cs="Times New Roman"/>
              </w:rPr>
            </w:pPr>
            <w:r w:rsidRPr="00F75B77">
              <w:rPr>
                <w:rFonts w:ascii="Times New Roman" w:hAnsi="Times New Roman" w:cs="Times New Roman"/>
              </w:rPr>
              <w:t>13 (45%)</w:t>
            </w:r>
          </w:p>
        </w:tc>
        <w:tc>
          <w:tcPr>
            <w:tcW w:w="1981" w:type="dxa"/>
          </w:tcPr>
          <w:p w:rsidR="00F75B77" w:rsidRPr="00F75B77" w:rsidRDefault="00F75B77" w:rsidP="005E0D82">
            <w:pPr>
              <w:spacing w:line="360" w:lineRule="auto"/>
              <w:jc w:val="center"/>
              <w:rPr>
                <w:rFonts w:ascii="Times New Roman" w:hAnsi="Times New Roman" w:cs="Times New Roman"/>
              </w:rPr>
            </w:pPr>
            <w:r w:rsidRPr="00F75B77">
              <w:rPr>
                <w:rFonts w:ascii="Times New Roman" w:hAnsi="Times New Roman" w:cs="Times New Roman"/>
              </w:rPr>
              <w:t>24 (52%)</w:t>
            </w:r>
          </w:p>
        </w:tc>
      </w:tr>
      <w:tr w:rsidR="00F75B77" w:rsidRPr="00F75B77" w:rsidTr="00F75B77">
        <w:tc>
          <w:tcPr>
            <w:tcW w:w="5637" w:type="dxa"/>
          </w:tcPr>
          <w:p w:rsidR="00F75B77" w:rsidRPr="00F75B77" w:rsidRDefault="00F75B77" w:rsidP="005E0D82">
            <w:pPr>
              <w:spacing w:line="360" w:lineRule="auto"/>
              <w:rPr>
                <w:rFonts w:ascii="Times New Roman" w:hAnsi="Times New Roman" w:cs="Times New Roman"/>
              </w:rPr>
            </w:pPr>
            <w:r>
              <w:rPr>
                <w:rFonts w:ascii="Times New Roman" w:hAnsi="Times New Roman" w:cs="Times New Roman"/>
              </w:rPr>
              <w:t>В</w:t>
            </w:r>
            <w:r w:rsidRPr="00F75B77">
              <w:rPr>
                <w:rFonts w:ascii="Times New Roman" w:hAnsi="Times New Roman" w:cs="Times New Roman"/>
              </w:rPr>
              <w:t>озраст (среднее значение)</w:t>
            </w:r>
          </w:p>
        </w:tc>
        <w:tc>
          <w:tcPr>
            <w:tcW w:w="2268" w:type="dxa"/>
          </w:tcPr>
          <w:p w:rsidR="00F75B77" w:rsidRPr="00F75B77" w:rsidRDefault="00F75B77" w:rsidP="005E0D82">
            <w:pPr>
              <w:spacing w:line="360" w:lineRule="auto"/>
              <w:jc w:val="center"/>
              <w:rPr>
                <w:rFonts w:ascii="Times New Roman" w:hAnsi="Times New Roman" w:cs="Times New Roman"/>
                <w:color w:val="FF0000"/>
              </w:rPr>
            </w:pPr>
            <w:r w:rsidRPr="00F75B77">
              <w:rPr>
                <w:rFonts w:ascii="Times New Roman" w:hAnsi="Times New Roman" w:cs="Times New Roman"/>
              </w:rPr>
              <w:t xml:space="preserve">33,5 (95%CI, 29,6-37,5) </w:t>
            </w:r>
          </w:p>
        </w:tc>
        <w:tc>
          <w:tcPr>
            <w:tcW w:w="1981" w:type="dxa"/>
          </w:tcPr>
          <w:p w:rsidR="00F75B77" w:rsidRPr="00F75B77" w:rsidRDefault="00F75B77" w:rsidP="005E0D82">
            <w:pPr>
              <w:spacing w:line="360" w:lineRule="auto"/>
              <w:jc w:val="center"/>
              <w:rPr>
                <w:rFonts w:ascii="Times New Roman" w:hAnsi="Times New Roman" w:cs="Times New Roman"/>
                <w:color w:val="FF0000"/>
              </w:rPr>
            </w:pPr>
            <w:r w:rsidRPr="00F75B77">
              <w:rPr>
                <w:rFonts w:ascii="Times New Roman" w:hAnsi="Times New Roman" w:cs="Times New Roman"/>
              </w:rPr>
              <w:t>37,8 (95%CI, 33,8-41,8)</w:t>
            </w:r>
          </w:p>
        </w:tc>
      </w:tr>
      <w:tr w:rsidR="00F75B77" w:rsidRPr="00F75B77" w:rsidTr="00F75B77">
        <w:tc>
          <w:tcPr>
            <w:tcW w:w="5637" w:type="dxa"/>
          </w:tcPr>
          <w:p w:rsidR="00F75B77" w:rsidRPr="00F75B77" w:rsidRDefault="00F75B77" w:rsidP="005E0D82">
            <w:pPr>
              <w:spacing w:line="360" w:lineRule="auto"/>
              <w:rPr>
                <w:rFonts w:ascii="Times New Roman" w:hAnsi="Times New Roman" w:cs="Times New Roman"/>
              </w:rPr>
            </w:pPr>
            <w:r w:rsidRPr="00F75B77">
              <w:rPr>
                <w:rFonts w:ascii="Times New Roman" w:hAnsi="Times New Roman" w:cs="Times New Roman"/>
              </w:rPr>
              <w:t>Рецидив опухоли</w:t>
            </w:r>
          </w:p>
        </w:tc>
        <w:tc>
          <w:tcPr>
            <w:tcW w:w="2268" w:type="dxa"/>
          </w:tcPr>
          <w:p w:rsidR="00F75B77" w:rsidRPr="00F75B77" w:rsidRDefault="00F75B77" w:rsidP="005E0D82">
            <w:pPr>
              <w:spacing w:line="360" w:lineRule="auto"/>
              <w:jc w:val="center"/>
              <w:rPr>
                <w:rFonts w:ascii="Times New Roman" w:hAnsi="Times New Roman" w:cs="Times New Roman"/>
              </w:rPr>
            </w:pPr>
            <w:r w:rsidRPr="00F75B77">
              <w:rPr>
                <w:rFonts w:ascii="Times New Roman" w:hAnsi="Times New Roman" w:cs="Times New Roman"/>
              </w:rPr>
              <w:t>69% (20/29)</w:t>
            </w:r>
          </w:p>
        </w:tc>
        <w:tc>
          <w:tcPr>
            <w:tcW w:w="1981" w:type="dxa"/>
          </w:tcPr>
          <w:p w:rsidR="00F75B77" w:rsidRPr="00F75B77" w:rsidRDefault="00F75B77" w:rsidP="005E0D82">
            <w:pPr>
              <w:spacing w:line="360" w:lineRule="auto"/>
              <w:jc w:val="center"/>
              <w:rPr>
                <w:rFonts w:ascii="Times New Roman" w:hAnsi="Times New Roman" w:cs="Times New Roman"/>
              </w:rPr>
            </w:pPr>
            <w:r w:rsidRPr="00F75B77">
              <w:rPr>
                <w:rFonts w:ascii="Times New Roman" w:hAnsi="Times New Roman" w:cs="Times New Roman"/>
              </w:rPr>
              <w:t>35% (16/46)</w:t>
            </w:r>
          </w:p>
        </w:tc>
      </w:tr>
      <w:tr w:rsidR="00F75B77" w:rsidRPr="00F75B77" w:rsidTr="00F75B77">
        <w:tc>
          <w:tcPr>
            <w:tcW w:w="5637" w:type="dxa"/>
          </w:tcPr>
          <w:p w:rsidR="00F75B77" w:rsidRPr="00F75B77" w:rsidRDefault="00F75B77" w:rsidP="005E0D82">
            <w:pPr>
              <w:spacing w:line="360" w:lineRule="auto"/>
              <w:rPr>
                <w:rFonts w:ascii="Times New Roman" w:hAnsi="Times New Roman" w:cs="Times New Roman"/>
              </w:rPr>
            </w:pPr>
            <w:r>
              <w:rPr>
                <w:rFonts w:ascii="Times New Roman" w:hAnsi="Times New Roman" w:cs="Times New Roman"/>
              </w:rPr>
              <w:t>З</w:t>
            </w:r>
            <w:r w:rsidRPr="00F75B77">
              <w:rPr>
                <w:rFonts w:ascii="Times New Roman" w:hAnsi="Times New Roman" w:cs="Times New Roman"/>
              </w:rPr>
              <w:t>локачественная трансформация (всего)</w:t>
            </w:r>
          </w:p>
        </w:tc>
        <w:tc>
          <w:tcPr>
            <w:tcW w:w="2268" w:type="dxa"/>
          </w:tcPr>
          <w:p w:rsidR="00F75B77" w:rsidRPr="00F75B77" w:rsidRDefault="00F75B77" w:rsidP="005E0D82">
            <w:pPr>
              <w:spacing w:line="360" w:lineRule="auto"/>
              <w:jc w:val="center"/>
              <w:rPr>
                <w:rFonts w:ascii="Times New Roman" w:hAnsi="Times New Roman" w:cs="Times New Roman"/>
              </w:rPr>
            </w:pPr>
            <w:r w:rsidRPr="00F75B77">
              <w:rPr>
                <w:rFonts w:ascii="Times New Roman" w:hAnsi="Times New Roman" w:cs="Times New Roman"/>
              </w:rPr>
              <w:t>95% (19/20)</w:t>
            </w:r>
          </w:p>
        </w:tc>
        <w:tc>
          <w:tcPr>
            <w:tcW w:w="1981" w:type="dxa"/>
          </w:tcPr>
          <w:p w:rsidR="00F75B77" w:rsidRPr="00F75B77" w:rsidRDefault="00F75B77" w:rsidP="005E0D82">
            <w:pPr>
              <w:spacing w:line="360" w:lineRule="auto"/>
              <w:jc w:val="center"/>
              <w:rPr>
                <w:rFonts w:ascii="Times New Roman" w:hAnsi="Times New Roman" w:cs="Times New Roman"/>
              </w:rPr>
            </w:pPr>
            <w:r w:rsidRPr="00F75B77">
              <w:rPr>
                <w:rFonts w:ascii="Times New Roman" w:hAnsi="Times New Roman" w:cs="Times New Roman"/>
              </w:rPr>
              <w:t>69% (11/16)</w:t>
            </w:r>
          </w:p>
        </w:tc>
      </w:tr>
      <w:tr w:rsidR="00F75B77" w:rsidRPr="00F75B77" w:rsidTr="00F75B77">
        <w:trPr>
          <w:trHeight w:val="328"/>
        </w:trPr>
        <w:tc>
          <w:tcPr>
            <w:tcW w:w="5637" w:type="dxa"/>
          </w:tcPr>
          <w:p w:rsidR="00F75B77" w:rsidRPr="00F75B77" w:rsidRDefault="00F75B77" w:rsidP="005E0D82">
            <w:pPr>
              <w:spacing w:line="360" w:lineRule="auto"/>
              <w:ind w:left="426"/>
              <w:rPr>
                <w:rFonts w:ascii="Times New Roman" w:hAnsi="Times New Roman" w:cs="Times New Roman"/>
              </w:rPr>
            </w:pPr>
            <w:r w:rsidRPr="00F75B77">
              <w:rPr>
                <w:rFonts w:ascii="Times New Roman" w:hAnsi="Times New Roman" w:cs="Times New Roman"/>
              </w:rPr>
              <w:t>по данным МРТ/ПЭТ</w:t>
            </w:r>
          </w:p>
        </w:tc>
        <w:tc>
          <w:tcPr>
            <w:tcW w:w="2268" w:type="dxa"/>
          </w:tcPr>
          <w:p w:rsidR="00F75B77" w:rsidRPr="00F75B77" w:rsidRDefault="00F75B77" w:rsidP="005E0D82">
            <w:pPr>
              <w:spacing w:line="360" w:lineRule="auto"/>
              <w:jc w:val="center"/>
              <w:rPr>
                <w:rFonts w:ascii="Times New Roman" w:hAnsi="Times New Roman" w:cs="Times New Roman"/>
                <w:lang w:val="en-US"/>
              </w:rPr>
            </w:pPr>
            <w:r w:rsidRPr="00F75B77">
              <w:rPr>
                <w:rFonts w:ascii="Times New Roman" w:hAnsi="Times New Roman" w:cs="Times New Roman"/>
              </w:rPr>
              <w:t>6 (30%)</w:t>
            </w:r>
          </w:p>
        </w:tc>
        <w:tc>
          <w:tcPr>
            <w:tcW w:w="1981" w:type="dxa"/>
          </w:tcPr>
          <w:p w:rsidR="00F75B77" w:rsidRPr="00F75B77" w:rsidRDefault="00F75B77" w:rsidP="005E0D82">
            <w:pPr>
              <w:spacing w:line="360" w:lineRule="auto"/>
              <w:jc w:val="center"/>
              <w:rPr>
                <w:rFonts w:ascii="Times New Roman" w:hAnsi="Times New Roman" w:cs="Times New Roman"/>
                <w:color w:val="000000"/>
                <w:lang w:val="en-US"/>
              </w:rPr>
            </w:pPr>
            <w:r w:rsidRPr="00F75B77">
              <w:rPr>
                <w:rFonts w:ascii="Times New Roman" w:hAnsi="Times New Roman" w:cs="Times New Roman"/>
                <w:color w:val="000000"/>
                <w:lang w:val="en-US"/>
              </w:rPr>
              <w:t>2 (13%)</w:t>
            </w:r>
          </w:p>
        </w:tc>
      </w:tr>
      <w:tr w:rsidR="00F75B77" w:rsidRPr="00F75B77" w:rsidTr="00F75B77">
        <w:trPr>
          <w:trHeight w:val="343"/>
        </w:trPr>
        <w:tc>
          <w:tcPr>
            <w:tcW w:w="5637" w:type="dxa"/>
          </w:tcPr>
          <w:p w:rsidR="00F75B77" w:rsidRPr="00F75B77" w:rsidRDefault="00F75B77" w:rsidP="005E0D82">
            <w:pPr>
              <w:spacing w:line="360" w:lineRule="auto"/>
              <w:ind w:left="426"/>
              <w:rPr>
                <w:rFonts w:ascii="Times New Roman" w:hAnsi="Times New Roman" w:cs="Times New Roman"/>
              </w:rPr>
            </w:pPr>
            <w:r w:rsidRPr="00F75B77">
              <w:rPr>
                <w:rFonts w:ascii="Times New Roman" w:hAnsi="Times New Roman" w:cs="Times New Roman"/>
              </w:rPr>
              <w:t xml:space="preserve">по результатам повторной гистологии в АА </w:t>
            </w:r>
            <w:r w:rsidRPr="00F75B77">
              <w:rPr>
                <w:rFonts w:ascii="Times New Roman" w:hAnsi="Times New Roman" w:cs="Times New Roman"/>
                <w:lang w:val="en-US"/>
              </w:rPr>
              <w:t>GIII</w:t>
            </w:r>
          </w:p>
        </w:tc>
        <w:tc>
          <w:tcPr>
            <w:tcW w:w="2268" w:type="dxa"/>
          </w:tcPr>
          <w:p w:rsidR="00F75B77" w:rsidRPr="00F75B77" w:rsidRDefault="00F75B77" w:rsidP="005E0D82">
            <w:pPr>
              <w:spacing w:line="360" w:lineRule="auto"/>
              <w:jc w:val="center"/>
              <w:rPr>
                <w:rFonts w:ascii="Times New Roman" w:hAnsi="Times New Roman" w:cs="Times New Roman"/>
                <w:lang w:val="en-US"/>
              </w:rPr>
            </w:pPr>
            <w:r w:rsidRPr="00F75B77">
              <w:rPr>
                <w:rFonts w:ascii="Times New Roman" w:hAnsi="Times New Roman" w:cs="Times New Roman"/>
              </w:rPr>
              <w:t>11 (55%)</w:t>
            </w:r>
          </w:p>
        </w:tc>
        <w:tc>
          <w:tcPr>
            <w:tcW w:w="1981" w:type="dxa"/>
          </w:tcPr>
          <w:p w:rsidR="00F75B77" w:rsidRPr="00F75B77" w:rsidRDefault="00F75B77" w:rsidP="005E0D82">
            <w:pPr>
              <w:spacing w:line="360" w:lineRule="auto"/>
              <w:jc w:val="center"/>
              <w:rPr>
                <w:rFonts w:ascii="Times New Roman" w:hAnsi="Times New Roman" w:cs="Times New Roman"/>
                <w:color w:val="000000"/>
                <w:lang w:val="en-US"/>
              </w:rPr>
            </w:pPr>
            <w:r w:rsidRPr="00F75B77">
              <w:rPr>
                <w:rFonts w:ascii="Times New Roman" w:hAnsi="Times New Roman" w:cs="Times New Roman"/>
                <w:color w:val="000000"/>
                <w:lang w:val="en-US"/>
              </w:rPr>
              <w:t>-</w:t>
            </w:r>
          </w:p>
        </w:tc>
      </w:tr>
      <w:tr w:rsidR="00F75B77" w:rsidRPr="00F75B77" w:rsidTr="00F75B77">
        <w:tc>
          <w:tcPr>
            <w:tcW w:w="5637" w:type="dxa"/>
          </w:tcPr>
          <w:p w:rsidR="00F75B77" w:rsidRPr="00F75B77" w:rsidRDefault="00F75B77" w:rsidP="005E0D82">
            <w:pPr>
              <w:spacing w:line="360" w:lineRule="auto"/>
              <w:ind w:left="426"/>
              <w:rPr>
                <w:rFonts w:ascii="Times New Roman" w:hAnsi="Times New Roman" w:cs="Times New Roman"/>
              </w:rPr>
            </w:pPr>
            <w:r w:rsidRPr="00F75B77">
              <w:rPr>
                <w:rFonts w:ascii="Times New Roman" w:hAnsi="Times New Roman" w:cs="Times New Roman"/>
              </w:rPr>
              <w:t xml:space="preserve">по результатам повторной гистологии во вторичную ГБ </w:t>
            </w:r>
            <w:r w:rsidRPr="00F75B77">
              <w:rPr>
                <w:rFonts w:ascii="Times New Roman" w:hAnsi="Times New Roman" w:cs="Times New Roman"/>
                <w:lang w:val="en-US"/>
              </w:rPr>
              <w:t>GIV</w:t>
            </w:r>
          </w:p>
        </w:tc>
        <w:tc>
          <w:tcPr>
            <w:tcW w:w="2268" w:type="dxa"/>
          </w:tcPr>
          <w:p w:rsidR="00F75B77" w:rsidRPr="00F75B77" w:rsidRDefault="00F75B77" w:rsidP="005E0D82">
            <w:pPr>
              <w:spacing w:line="360" w:lineRule="auto"/>
              <w:jc w:val="center"/>
              <w:rPr>
                <w:rFonts w:ascii="Times New Roman" w:hAnsi="Times New Roman" w:cs="Times New Roman"/>
                <w:lang w:val="en-US"/>
              </w:rPr>
            </w:pPr>
            <w:r w:rsidRPr="00F75B77">
              <w:rPr>
                <w:rFonts w:ascii="Times New Roman" w:hAnsi="Times New Roman" w:cs="Times New Roman"/>
              </w:rPr>
              <w:t>2 (10%)</w:t>
            </w:r>
          </w:p>
        </w:tc>
        <w:tc>
          <w:tcPr>
            <w:tcW w:w="1981" w:type="dxa"/>
          </w:tcPr>
          <w:p w:rsidR="00F75B77" w:rsidRPr="00F75B77" w:rsidRDefault="00F75B77" w:rsidP="005E0D82">
            <w:pPr>
              <w:spacing w:line="360" w:lineRule="auto"/>
              <w:jc w:val="center"/>
              <w:rPr>
                <w:rFonts w:ascii="Times New Roman" w:hAnsi="Times New Roman" w:cs="Times New Roman"/>
                <w:lang w:val="en-US"/>
              </w:rPr>
            </w:pPr>
            <w:r w:rsidRPr="00F75B77">
              <w:rPr>
                <w:rFonts w:ascii="Times New Roman" w:hAnsi="Times New Roman" w:cs="Times New Roman"/>
                <w:lang w:val="en-US"/>
              </w:rPr>
              <w:t>9 (56%)</w:t>
            </w:r>
          </w:p>
        </w:tc>
      </w:tr>
      <w:tr w:rsidR="00F75B77" w:rsidRPr="00F75B77" w:rsidTr="00F75B77">
        <w:trPr>
          <w:trHeight w:val="301"/>
        </w:trPr>
        <w:tc>
          <w:tcPr>
            <w:tcW w:w="5637" w:type="dxa"/>
          </w:tcPr>
          <w:p w:rsidR="00F75B77" w:rsidRPr="00F75B77" w:rsidRDefault="00F75B77" w:rsidP="005E0D82">
            <w:pPr>
              <w:spacing w:line="360" w:lineRule="auto"/>
              <w:ind w:left="426"/>
              <w:rPr>
                <w:rFonts w:ascii="Times New Roman" w:hAnsi="Times New Roman" w:cs="Times New Roman"/>
              </w:rPr>
            </w:pPr>
            <w:r w:rsidRPr="00F75B77">
              <w:rPr>
                <w:rFonts w:ascii="Times New Roman" w:hAnsi="Times New Roman" w:cs="Times New Roman"/>
              </w:rPr>
              <w:t>без изменений после 2-й операции</w:t>
            </w:r>
          </w:p>
        </w:tc>
        <w:tc>
          <w:tcPr>
            <w:tcW w:w="2268" w:type="dxa"/>
          </w:tcPr>
          <w:p w:rsidR="00F75B77" w:rsidRPr="00F75B77" w:rsidRDefault="00F75B77" w:rsidP="005E0D82">
            <w:pPr>
              <w:tabs>
                <w:tab w:val="left" w:pos="219"/>
                <w:tab w:val="center" w:pos="813"/>
              </w:tabs>
              <w:spacing w:line="360" w:lineRule="auto"/>
              <w:jc w:val="center"/>
              <w:rPr>
                <w:rFonts w:ascii="Times New Roman" w:hAnsi="Times New Roman" w:cs="Times New Roman"/>
                <w:lang w:val="en-US"/>
              </w:rPr>
            </w:pPr>
            <w:r w:rsidRPr="00F75B77">
              <w:rPr>
                <w:rFonts w:ascii="Times New Roman" w:hAnsi="Times New Roman" w:cs="Times New Roman"/>
              </w:rPr>
              <w:t>1 (5%)</w:t>
            </w:r>
          </w:p>
        </w:tc>
        <w:tc>
          <w:tcPr>
            <w:tcW w:w="1981" w:type="dxa"/>
          </w:tcPr>
          <w:p w:rsidR="00F75B77" w:rsidRPr="00F75B77" w:rsidRDefault="00F75B77" w:rsidP="005E0D82">
            <w:pPr>
              <w:spacing w:line="360" w:lineRule="auto"/>
              <w:jc w:val="center"/>
              <w:rPr>
                <w:rFonts w:ascii="Times New Roman" w:hAnsi="Times New Roman" w:cs="Times New Roman"/>
                <w:lang w:val="en-US"/>
              </w:rPr>
            </w:pPr>
            <w:r w:rsidRPr="00F75B77">
              <w:rPr>
                <w:rFonts w:ascii="Times New Roman" w:hAnsi="Times New Roman" w:cs="Times New Roman"/>
                <w:lang w:val="en-US"/>
              </w:rPr>
              <w:t>5 (31%)</w:t>
            </w:r>
          </w:p>
        </w:tc>
      </w:tr>
      <w:tr w:rsidR="00F75B77" w:rsidRPr="00F75B77" w:rsidTr="00F75B77">
        <w:trPr>
          <w:trHeight w:val="301"/>
        </w:trPr>
        <w:tc>
          <w:tcPr>
            <w:tcW w:w="5637" w:type="dxa"/>
          </w:tcPr>
          <w:p w:rsidR="00F75B77" w:rsidRPr="00F75B77" w:rsidRDefault="00F75B77" w:rsidP="005E0D82">
            <w:pPr>
              <w:spacing w:line="360" w:lineRule="auto"/>
              <w:rPr>
                <w:rFonts w:ascii="Times New Roman" w:hAnsi="Times New Roman" w:cs="Times New Roman"/>
              </w:rPr>
            </w:pPr>
            <w:r>
              <w:rPr>
                <w:rFonts w:ascii="Times New Roman" w:hAnsi="Times New Roman" w:cs="Times New Roman"/>
              </w:rPr>
              <w:t>Н</w:t>
            </w:r>
            <w:r w:rsidRPr="00F75B77">
              <w:rPr>
                <w:rFonts w:ascii="Times New Roman" w:hAnsi="Times New Roman" w:cs="Times New Roman"/>
              </w:rPr>
              <w:t>ет данных</w:t>
            </w:r>
          </w:p>
        </w:tc>
        <w:tc>
          <w:tcPr>
            <w:tcW w:w="2268" w:type="dxa"/>
          </w:tcPr>
          <w:p w:rsidR="00F75B77" w:rsidRPr="00F75B77" w:rsidRDefault="00F75B77" w:rsidP="005E0D82">
            <w:pPr>
              <w:tabs>
                <w:tab w:val="left" w:pos="219"/>
                <w:tab w:val="center" w:pos="813"/>
              </w:tabs>
              <w:spacing w:line="360" w:lineRule="auto"/>
              <w:jc w:val="center"/>
              <w:rPr>
                <w:rFonts w:ascii="Times New Roman" w:hAnsi="Times New Roman" w:cs="Times New Roman"/>
              </w:rPr>
            </w:pPr>
            <w:r w:rsidRPr="00F75B77">
              <w:rPr>
                <w:rFonts w:ascii="Times New Roman" w:hAnsi="Times New Roman" w:cs="Times New Roman"/>
              </w:rPr>
              <w:t>0</w:t>
            </w:r>
          </w:p>
        </w:tc>
        <w:tc>
          <w:tcPr>
            <w:tcW w:w="1981" w:type="dxa"/>
          </w:tcPr>
          <w:p w:rsidR="00F75B77" w:rsidRPr="00F75B77" w:rsidRDefault="00F75B77" w:rsidP="005E0D82">
            <w:pPr>
              <w:spacing w:line="360" w:lineRule="auto"/>
              <w:jc w:val="center"/>
              <w:rPr>
                <w:rFonts w:ascii="Times New Roman" w:hAnsi="Times New Roman" w:cs="Times New Roman"/>
                <w:lang w:val="en-US"/>
              </w:rPr>
            </w:pPr>
            <w:r w:rsidRPr="00F75B77">
              <w:rPr>
                <w:rFonts w:ascii="Times New Roman" w:hAnsi="Times New Roman" w:cs="Times New Roman"/>
                <w:lang w:val="en-US"/>
              </w:rPr>
              <w:t>1</w:t>
            </w:r>
          </w:p>
        </w:tc>
      </w:tr>
    </w:tbl>
    <w:p w:rsidR="00221BD3" w:rsidRPr="00D40B81" w:rsidRDefault="00221BD3" w:rsidP="005E0D82">
      <w:pPr>
        <w:pStyle w:val="2"/>
        <w:spacing w:before="0" w:after="0" w:line="360" w:lineRule="auto"/>
        <w:rPr>
          <w:rFonts w:eastAsiaTheme="minorHAnsi"/>
          <w:b/>
          <w:bCs w:val="0"/>
        </w:rPr>
      </w:pPr>
      <w:bookmarkStart w:id="53" w:name="_Toc9031276"/>
      <w:bookmarkStart w:id="54" w:name="_Toc9250609"/>
      <w:r w:rsidRPr="00D40B81">
        <w:rPr>
          <w:b/>
          <w:bCs w:val="0"/>
        </w:rPr>
        <w:t>3.</w:t>
      </w:r>
      <w:r w:rsidR="000A73A2" w:rsidRPr="00D40B81">
        <w:rPr>
          <w:b/>
          <w:bCs w:val="0"/>
        </w:rPr>
        <w:t>5</w:t>
      </w:r>
      <w:r w:rsidRPr="00D40B81">
        <w:rPr>
          <w:b/>
          <w:bCs w:val="0"/>
        </w:rPr>
        <w:t xml:space="preserve">. </w:t>
      </w:r>
      <w:r w:rsidRPr="00D40B81">
        <w:rPr>
          <w:rFonts w:eastAsiaTheme="minorHAnsi"/>
          <w:b/>
          <w:bCs w:val="0"/>
        </w:rPr>
        <w:t xml:space="preserve">Частота злокачественной трансформации у больных с олигодендроглиомами </w:t>
      </w:r>
      <w:r w:rsidRPr="00D40B81">
        <w:rPr>
          <w:rFonts w:eastAsiaTheme="minorHAnsi"/>
          <w:b/>
          <w:bCs w:val="0"/>
          <w:lang w:val="en-US"/>
        </w:rPr>
        <w:t>GII</w:t>
      </w:r>
      <w:r w:rsidRPr="00D40B81">
        <w:rPr>
          <w:rFonts w:eastAsiaTheme="minorHAnsi"/>
          <w:b/>
          <w:bCs w:val="0"/>
        </w:rPr>
        <w:t>/</w:t>
      </w:r>
      <w:r w:rsidRPr="00D40B81">
        <w:rPr>
          <w:rFonts w:eastAsiaTheme="minorHAnsi"/>
          <w:b/>
          <w:bCs w:val="0"/>
          <w:lang w:val="en-US"/>
        </w:rPr>
        <w:t>GIII</w:t>
      </w:r>
      <w:bookmarkEnd w:id="53"/>
      <w:bookmarkEnd w:id="54"/>
    </w:p>
    <w:p w:rsidR="000A73A2" w:rsidRPr="000A73A2" w:rsidRDefault="00221BD3" w:rsidP="005E0D82">
      <w:pPr>
        <w:spacing w:after="0" w:line="360" w:lineRule="auto"/>
        <w:rPr>
          <w:rFonts w:ascii="Times New Roman" w:hAnsi="Times New Roman" w:cs="Times New Roman"/>
          <w:sz w:val="28"/>
          <w:szCs w:val="28"/>
        </w:rPr>
      </w:pPr>
      <w:r w:rsidRPr="000A73A2">
        <w:rPr>
          <w:rFonts w:ascii="Times New Roman" w:hAnsi="Times New Roman" w:cs="Times New Roman"/>
          <w:sz w:val="28"/>
          <w:szCs w:val="28"/>
        </w:rPr>
        <w:t xml:space="preserve">В случае </w:t>
      </w:r>
      <w:r w:rsidR="000A73A2" w:rsidRPr="000A73A2">
        <w:rPr>
          <w:rFonts w:ascii="Times New Roman" w:hAnsi="Times New Roman" w:cs="Times New Roman"/>
          <w:sz w:val="28"/>
          <w:szCs w:val="28"/>
        </w:rPr>
        <w:t>ОДГ</w:t>
      </w:r>
      <w:r w:rsidRPr="000A73A2">
        <w:rPr>
          <w:rFonts w:ascii="Times New Roman" w:hAnsi="Times New Roman" w:cs="Times New Roman"/>
          <w:sz w:val="28"/>
          <w:szCs w:val="28"/>
          <w:lang w:val="en-US"/>
        </w:rPr>
        <w:t>GII</w:t>
      </w:r>
      <w:r w:rsidRPr="000A73A2">
        <w:rPr>
          <w:rFonts w:ascii="Times New Roman" w:hAnsi="Times New Roman" w:cs="Times New Roman"/>
          <w:sz w:val="28"/>
          <w:szCs w:val="28"/>
        </w:rPr>
        <w:t xml:space="preserve"> средний возраст пациентов составлял </w:t>
      </w:r>
      <w:r w:rsidR="000A73A2" w:rsidRPr="000A73A2">
        <w:rPr>
          <w:rFonts w:ascii="Times New Roman" w:hAnsi="Times New Roman" w:cs="Times New Roman"/>
          <w:sz w:val="28"/>
          <w:szCs w:val="28"/>
        </w:rPr>
        <w:t xml:space="preserve">47 </w:t>
      </w:r>
      <w:r w:rsidRPr="000A73A2">
        <w:rPr>
          <w:rFonts w:ascii="Times New Roman" w:hAnsi="Times New Roman" w:cs="Times New Roman"/>
          <w:sz w:val="28"/>
          <w:szCs w:val="28"/>
        </w:rPr>
        <w:t>лет, отношение мужчин и женщин было</w:t>
      </w:r>
      <w:r w:rsidR="000A73A2" w:rsidRPr="000A73A2">
        <w:rPr>
          <w:rFonts w:ascii="Times New Roman" w:hAnsi="Times New Roman" w:cs="Times New Roman"/>
          <w:sz w:val="28"/>
          <w:szCs w:val="28"/>
        </w:rPr>
        <w:t xml:space="preserve"> не показательным в силу малой выборки </w:t>
      </w:r>
      <w:r w:rsidRPr="000A73A2">
        <w:rPr>
          <w:rFonts w:ascii="Times New Roman" w:hAnsi="Times New Roman" w:cs="Times New Roman"/>
          <w:sz w:val="28"/>
          <w:szCs w:val="28"/>
        </w:rPr>
        <w:t xml:space="preserve">(табл. 4). Рецидив опухоли произошел в </w:t>
      </w:r>
      <w:r w:rsidR="000A73A2" w:rsidRPr="000A73A2">
        <w:rPr>
          <w:rFonts w:ascii="Times New Roman" w:hAnsi="Times New Roman" w:cs="Times New Roman"/>
          <w:sz w:val="28"/>
          <w:szCs w:val="28"/>
        </w:rPr>
        <w:t>100</w:t>
      </w:r>
      <w:r w:rsidRPr="000A73A2">
        <w:rPr>
          <w:rFonts w:ascii="Times New Roman" w:hAnsi="Times New Roman" w:cs="Times New Roman"/>
          <w:sz w:val="28"/>
          <w:szCs w:val="28"/>
        </w:rPr>
        <w:t xml:space="preserve">% случаев. </w:t>
      </w:r>
      <w:r w:rsidR="000A73A2" w:rsidRPr="000A73A2">
        <w:rPr>
          <w:rFonts w:ascii="Times New Roman" w:hAnsi="Times New Roman" w:cs="Times New Roman"/>
          <w:sz w:val="28"/>
          <w:szCs w:val="28"/>
        </w:rPr>
        <w:t>Злокачественная трансформация ОДГ</w:t>
      </w:r>
      <w:r w:rsidR="000A73A2" w:rsidRPr="000A73A2">
        <w:rPr>
          <w:rFonts w:ascii="Times New Roman" w:hAnsi="Times New Roman" w:cs="Times New Roman"/>
          <w:sz w:val="28"/>
          <w:szCs w:val="28"/>
          <w:lang w:val="en-US"/>
        </w:rPr>
        <w:t>GII</w:t>
      </w:r>
      <w:r w:rsidR="000A73A2" w:rsidRPr="000A73A2">
        <w:rPr>
          <w:rFonts w:ascii="Times New Roman" w:hAnsi="Times New Roman" w:cs="Times New Roman"/>
          <w:sz w:val="28"/>
          <w:szCs w:val="28"/>
        </w:rPr>
        <w:t xml:space="preserve"> </w:t>
      </w:r>
      <w:r w:rsidR="000A73A2">
        <w:rPr>
          <w:rFonts w:ascii="Times New Roman" w:hAnsi="Times New Roman" w:cs="Times New Roman"/>
          <w:sz w:val="28"/>
          <w:szCs w:val="28"/>
        </w:rPr>
        <w:t>в АОДГ</w:t>
      </w:r>
      <w:r w:rsidR="000A73A2">
        <w:rPr>
          <w:rFonts w:ascii="Times New Roman" w:hAnsi="Times New Roman" w:cs="Times New Roman"/>
          <w:sz w:val="28"/>
          <w:szCs w:val="28"/>
          <w:lang w:val="en-US"/>
        </w:rPr>
        <w:t>GIII</w:t>
      </w:r>
      <w:r w:rsidR="000A73A2">
        <w:rPr>
          <w:rFonts w:ascii="Times New Roman" w:hAnsi="Times New Roman" w:cs="Times New Roman"/>
          <w:sz w:val="28"/>
          <w:szCs w:val="28"/>
        </w:rPr>
        <w:t xml:space="preserve"> </w:t>
      </w:r>
      <w:r w:rsidR="000A73A2" w:rsidRPr="000A73A2">
        <w:rPr>
          <w:rFonts w:ascii="Times New Roman" w:hAnsi="Times New Roman" w:cs="Times New Roman"/>
          <w:sz w:val="28"/>
          <w:szCs w:val="28"/>
        </w:rPr>
        <w:t xml:space="preserve">наблюдалась в 100% (5/5), из них по данным повторного гистологического исследования – в 80% (4/5), по данным МРТ/ПЭТ – 20%. </w:t>
      </w:r>
    </w:p>
    <w:p w:rsidR="00221BD3" w:rsidRPr="000A73A2" w:rsidRDefault="00221BD3" w:rsidP="005E0D82">
      <w:pPr>
        <w:spacing w:after="0" w:line="360" w:lineRule="auto"/>
        <w:rPr>
          <w:rFonts w:ascii="Times New Roman" w:hAnsi="Times New Roman" w:cs="Times New Roman"/>
          <w:sz w:val="28"/>
          <w:szCs w:val="28"/>
        </w:rPr>
      </w:pPr>
      <w:r w:rsidRPr="000A73A2">
        <w:rPr>
          <w:rFonts w:ascii="Times New Roman" w:hAnsi="Times New Roman" w:cs="Times New Roman"/>
          <w:sz w:val="28"/>
          <w:szCs w:val="28"/>
        </w:rPr>
        <w:lastRenderedPageBreak/>
        <w:t>Среди пациентов с АА</w:t>
      </w:r>
      <w:r w:rsidRPr="000A73A2">
        <w:rPr>
          <w:rFonts w:ascii="Times New Roman" w:hAnsi="Times New Roman" w:cs="Times New Roman"/>
          <w:sz w:val="28"/>
          <w:szCs w:val="28"/>
          <w:lang w:val="en-US"/>
        </w:rPr>
        <w:t>GIII</w:t>
      </w:r>
      <w:r w:rsidRPr="000A73A2">
        <w:rPr>
          <w:rFonts w:ascii="Times New Roman" w:hAnsi="Times New Roman" w:cs="Times New Roman"/>
          <w:sz w:val="28"/>
          <w:szCs w:val="28"/>
        </w:rPr>
        <w:t xml:space="preserve"> </w:t>
      </w:r>
      <w:r w:rsidR="000A73A2">
        <w:rPr>
          <w:rFonts w:ascii="Times New Roman" w:hAnsi="Times New Roman" w:cs="Times New Roman"/>
          <w:sz w:val="28"/>
          <w:szCs w:val="28"/>
        </w:rPr>
        <w:t>достоверно преобладали женщины,</w:t>
      </w:r>
      <w:r w:rsidRPr="000A73A2">
        <w:rPr>
          <w:rFonts w:ascii="Times New Roman" w:hAnsi="Times New Roman" w:cs="Times New Roman"/>
          <w:sz w:val="28"/>
          <w:szCs w:val="28"/>
        </w:rPr>
        <w:t xml:space="preserve"> средний возраст составлял </w:t>
      </w:r>
      <w:r w:rsidR="000A73A2">
        <w:rPr>
          <w:rFonts w:ascii="Times New Roman" w:hAnsi="Times New Roman" w:cs="Times New Roman"/>
          <w:sz w:val="28"/>
          <w:szCs w:val="28"/>
        </w:rPr>
        <w:t>45,3</w:t>
      </w:r>
      <w:r w:rsidRPr="000A73A2">
        <w:rPr>
          <w:rFonts w:ascii="Times New Roman" w:hAnsi="Times New Roman" w:cs="Times New Roman"/>
          <w:sz w:val="28"/>
          <w:szCs w:val="28"/>
        </w:rPr>
        <w:t xml:space="preserve"> лет (табл. </w:t>
      </w:r>
      <w:r w:rsidR="000A73A2">
        <w:rPr>
          <w:rFonts w:ascii="Times New Roman" w:hAnsi="Times New Roman" w:cs="Times New Roman"/>
          <w:sz w:val="28"/>
          <w:szCs w:val="28"/>
        </w:rPr>
        <w:t>5</w:t>
      </w:r>
      <w:r w:rsidRPr="000A73A2">
        <w:rPr>
          <w:rFonts w:ascii="Times New Roman" w:hAnsi="Times New Roman" w:cs="Times New Roman"/>
          <w:sz w:val="28"/>
          <w:szCs w:val="28"/>
        </w:rPr>
        <w:t xml:space="preserve">). Рецидив опухоли произошел в 35% случаев, </w:t>
      </w:r>
      <w:r w:rsidR="000A73A2" w:rsidRPr="000A73A2">
        <w:rPr>
          <w:rFonts w:ascii="Times New Roman" w:hAnsi="Times New Roman" w:cs="Times New Roman"/>
          <w:sz w:val="28"/>
          <w:szCs w:val="28"/>
        </w:rPr>
        <w:t>злокачественная трансформация АОДГ</w:t>
      </w:r>
      <w:r w:rsidR="000A73A2" w:rsidRPr="000A73A2">
        <w:rPr>
          <w:rFonts w:ascii="Times New Roman" w:hAnsi="Times New Roman" w:cs="Times New Roman"/>
          <w:sz w:val="28"/>
          <w:szCs w:val="28"/>
          <w:lang w:val="en-US"/>
        </w:rPr>
        <w:t>GIII</w:t>
      </w:r>
      <w:r w:rsidR="000A73A2" w:rsidRPr="000A73A2">
        <w:rPr>
          <w:rFonts w:ascii="Times New Roman" w:hAnsi="Times New Roman" w:cs="Times New Roman"/>
          <w:sz w:val="28"/>
          <w:szCs w:val="28"/>
        </w:rPr>
        <w:t xml:space="preserve"> во вторичную ГБ по данным повторной гистологии имела место только в одном случае (20%), в 80% (4/5) гистологический диагноз остался без изменений.</w:t>
      </w:r>
    </w:p>
    <w:p w:rsidR="000A73A2" w:rsidRPr="000A73A2" w:rsidRDefault="000A73A2" w:rsidP="005E0D82">
      <w:pPr>
        <w:pStyle w:val="ae"/>
        <w:keepNext/>
        <w:spacing w:after="0" w:line="360" w:lineRule="auto"/>
        <w:rPr>
          <w:rFonts w:ascii="Times New Roman" w:hAnsi="Times New Roman" w:cs="Times New Roman"/>
        </w:rPr>
      </w:pPr>
      <w:r w:rsidRPr="000A73A2">
        <w:rPr>
          <w:rFonts w:ascii="Times New Roman" w:hAnsi="Times New Roman" w:cs="Times New Roman"/>
        </w:rPr>
        <w:t xml:space="preserve">Таблица </w:t>
      </w:r>
      <w:r w:rsidRPr="000A73A2">
        <w:rPr>
          <w:rFonts w:ascii="Times New Roman" w:hAnsi="Times New Roman" w:cs="Times New Roman"/>
        </w:rPr>
        <w:fldChar w:fldCharType="begin"/>
      </w:r>
      <w:r w:rsidRPr="000A73A2">
        <w:rPr>
          <w:rFonts w:ascii="Times New Roman" w:hAnsi="Times New Roman" w:cs="Times New Roman"/>
        </w:rPr>
        <w:instrText xml:space="preserve"> SEQ Таблица \* ARABIC </w:instrText>
      </w:r>
      <w:r w:rsidRPr="000A73A2">
        <w:rPr>
          <w:rFonts w:ascii="Times New Roman" w:hAnsi="Times New Roman" w:cs="Times New Roman"/>
        </w:rPr>
        <w:fldChar w:fldCharType="separate"/>
      </w:r>
      <w:r w:rsidR="00DD6C05">
        <w:rPr>
          <w:rFonts w:ascii="Times New Roman" w:hAnsi="Times New Roman" w:cs="Times New Roman"/>
          <w:noProof/>
        </w:rPr>
        <w:t>6</w:t>
      </w:r>
      <w:r w:rsidRPr="000A73A2">
        <w:rPr>
          <w:rFonts w:ascii="Times New Roman" w:hAnsi="Times New Roman" w:cs="Times New Roman"/>
        </w:rPr>
        <w:fldChar w:fldCharType="end"/>
      </w:r>
      <w:r w:rsidRPr="000A73A2">
        <w:rPr>
          <w:rFonts w:ascii="Times New Roman" w:hAnsi="Times New Roman" w:cs="Times New Roman"/>
        </w:rPr>
        <w:t>. Частота злокачественной трансформации у больных с олигодендроглиомами GII/GIII</w:t>
      </w:r>
    </w:p>
    <w:tbl>
      <w:tblPr>
        <w:tblStyle w:val="11"/>
        <w:tblW w:w="9603" w:type="dxa"/>
        <w:tblLayout w:type="fixed"/>
        <w:tblLook w:val="04A0" w:firstRow="1" w:lastRow="0" w:firstColumn="1" w:lastColumn="0" w:noHBand="0" w:noVBand="1"/>
      </w:tblPr>
      <w:tblGrid>
        <w:gridCol w:w="4783"/>
        <w:gridCol w:w="2410"/>
        <w:gridCol w:w="2410"/>
      </w:tblGrid>
      <w:tr w:rsidR="00221BD3" w:rsidRPr="000A73A2" w:rsidTr="00221BD3">
        <w:trPr>
          <w:trHeight w:val="505"/>
        </w:trPr>
        <w:tc>
          <w:tcPr>
            <w:tcW w:w="4783" w:type="dxa"/>
          </w:tcPr>
          <w:p w:rsidR="00221BD3" w:rsidRPr="000A73A2" w:rsidRDefault="00221BD3" w:rsidP="005E0D82">
            <w:pPr>
              <w:spacing w:line="360" w:lineRule="auto"/>
              <w:rPr>
                <w:rFonts w:ascii="Times New Roman" w:hAnsi="Times New Roman" w:cs="Times New Roman"/>
              </w:rPr>
            </w:pPr>
            <w:r w:rsidRPr="000A73A2">
              <w:rPr>
                <w:rFonts w:ascii="Times New Roman" w:hAnsi="Times New Roman" w:cs="Times New Roman"/>
                <w:b/>
              </w:rPr>
              <w:t>клинические характеристики</w:t>
            </w:r>
          </w:p>
        </w:tc>
        <w:tc>
          <w:tcPr>
            <w:tcW w:w="2410" w:type="dxa"/>
          </w:tcPr>
          <w:p w:rsidR="00221BD3" w:rsidRPr="000A73A2" w:rsidRDefault="00221BD3" w:rsidP="005E0D82">
            <w:pPr>
              <w:spacing w:line="360" w:lineRule="auto"/>
              <w:jc w:val="center"/>
              <w:rPr>
                <w:rFonts w:ascii="Times New Roman" w:hAnsi="Times New Roman" w:cs="Times New Roman"/>
                <w:b/>
                <w:lang w:val="en-US"/>
              </w:rPr>
            </w:pPr>
            <w:r w:rsidRPr="000A73A2">
              <w:rPr>
                <w:rFonts w:ascii="Times New Roman" w:hAnsi="Times New Roman" w:cs="Times New Roman"/>
                <w:b/>
              </w:rPr>
              <w:t xml:space="preserve">ОДГ </w:t>
            </w:r>
            <w:r w:rsidRPr="000A73A2">
              <w:rPr>
                <w:rFonts w:ascii="Times New Roman" w:hAnsi="Times New Roman" w:cs="Times New Roman"/>
                <w:b/>
                <w:lang w:val="en-US"/>
              </w:rPr>
              <w:t>GII</w:t>
            </w:r>
          </w:p>
          <w:p w:rsidR="00221BD3" w:rsidRPr="000A73A2" w:rsidRDefault="00221BD3" w:rsidP="005E0D82">
            <w:pPr>
              <w:spacing w:line="360" w:lineRule="auto"/>
              <w:jc w:val="center"/>
              <w:rPr>
                <w:rFonts w:ascii="Times New Roman" w:hAnsi="Times New Roman" w:cs="Times New Roman"/>
                <w:b/>
              </w:rPr>
            </w:pPr>
            <w:r w:rsidRPr="000A73A2">
              <w:rPr>
                <w:rFonts w:ascii="Times New Roman" w:hAnsi="Times New Roman" w:cs="Times New Roman"/>
                <w:b/>
              </w:rPr>
              <w:t xml:space="preserve"> (</w:t>
            </w:r>
            <w:r w:rsidRPr="000A73A2">
              <w:rPr>
                <w:rFonts w:ascii="Times New Roman" w:hAnsi="Times New Roman" w:cs="Times New Roman"/>
                <w:b/>
                <w:lang w:val="en-US"/>
              </w:rPr>
              <w:t>n=5)</w:t>
            </w:r>
          </w:p>
        </w:tc>
        <w:tc>
          <w:tcPr>
            <w:tcW w:w="2410" w:type="dxa"/>
          </w:tcPr>
          <w:p w:rsidR="00221BD3" w:rsidRPr="000A73A2" w:rsidRDefault="00221BD3" w:rsidP="005E0D82">
            <w:pPr>
              <w:spacing w:line="360" w:lineRule="auto"/>
              <w:jc w:val="center"/>
              <w:rPr>
                <w:rFonts w:ascii="Times New Roman" w:hAnsi="Times New Roman" w:cs="Times New Roman"/>
                <w:b/>
                <w:lang w:val="en-US"/>
              </w:rPr>
            </w:pPr>
            <w:r w:rsidRPr="000A73A2">
              <w:rPr>
                <w:rFonts w:ascii="Times New Roman" w:hAnsi="Times New Roman" w:cs="Times New Roman"/>
                <w:b/>
              </w:rPr>
              <w:t xml:space="preserve">АОДГ </w:t>
            </w:r>
            <w:r w:rsidRPr="000A73A2">
              <w:rPr>
                <w:rFonts w:ascii="Times New Roman" w:hAnsi="Times New Roman" w:cs="Times New Roman"/>
                <w:b/>
                <w:lang w:val="en-US"/>
              </w:rPr>
              <w:t>GIII</w:t>
            </w:r>
          </w:p>
          <w:p w:rsidR="00221BD3" w:rsidRPr="000A73A2" w:rsidRDefault="00221BD3" w:rsidP="005E0D82">
            <w:pPr>
              <w:spacing w:line="360" w:lineRule="auto"/>
              <w:jc w:val="center"/>
              <w:rPr>
                <w:rFonts w:ascii="Times New Roman" w:hAnsi="Times New Roman" w:cs="Times New Roman"/>
                <w:b/>
              </w:rPr>
            </w:pPr>
            <w:r w:rsidRPr="000A73A2">
              <w:rPr>
                <w:rFonts w:ascii="Times New Roman" w:hAnsi="Times New Roman" w:cs="Times New Roman"/>
                <w:b/>
              </w:rPr>
              <w:t>(</w:t>
            </w:r>
            <w:r w:rsidRPr="000A73A2">
              <w:rPr>
                <w:rFonts w:ascii="Times New Roman" w:hAnsi="Times New Roman" w:cs="Times New Roman"/>
                <w:b/>
                <w:lang w:val="en-US"/>
              </w:rPr>
              <w:t>n=14)</w:t>
            </w:r>
          </w:p>
        </w:tc>
      </w:tr>
      <w:tr w:rsidR="00221BD3" w:rsidRPr="000A73A2" w:rsidTr="00221BD3">
        <w:tc>
          <w:tcPr>
            <w:tcW w:w="4783" w:type="dxa"/>
          </w:tcPr>
          <w:p w:rsidR="00221BD3" w:rsidRPr="000A73A2" w:rsidRDefault="00221BD3" w:rsidP="005E0D82">
            <w:pPr>
              <w:spacing w:line="360" w:lineRule="auto"/>
              <w:rPr>
                <w:rFonts w:ascii="Times New Roman" w:hAnsi="Times New Roman" w:cs="Times New Roman"/>
              </w:rPr>
            </w:pPr>
            <w:r w:rsidRPr="000A73A2">
              <w:rPr>
                <w:rFonts w:ascii="Times New Roman" w:hAnsi="Times New Roman" w:cs="Times New Roman"/>
              </w:rPr>
              <w:t>Пол</w:t>
            </w:r>
          </w:p>
        </w:tc>
        <w:tc>
          <w:tcPr>
            <w:tcW w:w="2410" w:type="dxa"/>
          </w:tcPr>
          <w:p w:rsidR="00221BD3" w:rsidRPr="000A73A2" w:rsidRDefault="00221BD3" w:rsidP="005E0D82">
            <w:pPr>
              <w:spacing w:line="360" w:lineRule="auto"/>
              <w:jc w:val="center"/>
              <w:rPr>
                <w:rFonts w:ascii="Times New Roman" w:hAnsi="Times New Roman" w:cs="Times New Roman"/>
              </w:rPr>
            </w:pPr>
          </w:p>
        </w:tc>
        <w:tc>
          <w:tcPr>
            <w:tcW w:w="2410" w:type="dxa"/>
          </w:tcPr>
          <w:p w:rsidR="00221BD3" w:rsidRPr="000A73A2" w:rsidRDefault="00221BD3" w:rsidP="005E0D82">
            <w:pPr>
              <w:spacing w:line="360" w:lineRule="auto"/>
              <w:jc w:val="center"/>
              <w:rPr>
                <w:rFonts w:ascii="Times New Roman" w:hAnsi="Times New Roman" w:cs="Times New Roman"/>
              </w:rPr>
            </w:pPr>
          </w:p>
        </w:tc>
      </w:tr>
      <w:tr w:rsidR="00221BD3" w:rsidRPr="000A73A2" w:rsidTr="00221BD3">
        <w:tc>
          <w:tcPr>
            <w:tcW w:w="4783" w:type="dxa"/>
          </w:tcPr>
          <w:p w:rsidR="00221BD3" w:rsidRPr="000A73A2" w:rsidRDefault="00221BD3" w:rsidP="005E0D82">
            <w:pPr>
              <w:spacing w:line="360" w:lineRule="auto"/>
              <w:ind w:left="426"/>
              <w:rPr>
                <w:rFonts w:ascii="Times New Roman" w:hAnsi="Times New Roman" w:cs="Times New Roman"/>
              </w:rPr>
            </w:pPr>
            <w:r w:rsidRPr="000A73A2">
              <w:rPr>
                <w:rFonts w:ascii="Times New Roman" w:hAnsi="Times New Roman" w:cs="Times New Roman"/>
              </w:rPr>
              <w:t>мужчины</w:t>
            </w:r>
          </w:p>
        </w:tc>
        <w:tc>
          <w:tcPr>
            <w:tcW w:w="2410" w:type="dxa"/>
          </w:tcPr>
          <w:p w:rsidR="00221BD3" w:rsidRPr="000A73A2" w:rsidRDefault="00221BD3" w:rsidP="005E0D82">
            <w:pPr>
              <w:spacing w:line="360" w:lineRule="auto"/>
              <w:jc w:val="center"/>
              <w:rPr>
                <w:rFonts w:ascii="Times New Roman" w:hAnsi="Times New Roman" w:cs="Times New Roman"/>
              </w:rPr>
            </w:pPr>
            <w:r w:rsidRPr="000A73A2">
              <w:rPr>
                <w:rFonts w:ascii="Times New Roman" w:hAnsi="Times New Roman" w:cs="Times New Roman"/>
              </w:rPr>
              <w:t>3 (60%)</w:t>
            </w:r>
          </w:p>
        </w:tc>
        <w:tc>
          <w:tcPr>
            <w:tcW w:w="2410" w:type="dxa"/>
          </w:tcPr>
          <w:p w:rsidR="00221BD3" w:rsidRPr="000A73A2" w:rsidRDefault="00221BD3" w:rsidP="005E0D82">
            <w:pPr>
              <w:spacing w:line="360" w:lineRule="auto"/>
              <w:jc w:val="center"/>
              <w:rPr>
                <w:rFonts w:ascii="Times New Roman" w:hAnsi="Times New Roman" w:cs="Times New Roman"/>
              </w:rPr>
            </w:pPr>
            <w:r w:rsidRPr="000A73A2">
              <w:rPr>
                <w:rFonts w:ascii="Times New Roman" w:hAnsi="Times New Roman" w:cs="Times New Roman"/>
              </w:rPr>
              <w:t>4 (29%)</w:t>
            </w:r>
          </w:p>
        </w:tc>
      </w:tr>
      <w:tr w:rsidR="00221BD3" w:rsidRPr="000A73A2" w:rsidTr="00221BD3">
        <w:tc>
          <w:tcPr>
            <w:tcW w:w="4783" w:type="dxa"/>
          </w:tcPr>
          <w:p w:rsidR="00221BD3" w:rsidRPr="000A73A2" w:rsidRDefault="00221BD3" w:rsidP="005E0D82">
            <w:pPr>
              <w:spacing w:line="360" w:lineRule="auto"/>
              <w:ind w:left="426"/>
              <w:rPr>
                <w:rFonts w:ascii="Times New Roman" w:hAnsi="Times New Roman" w:cs="Times New Roman"/>
              </w:rPr>
            </w:pPr>
            <w:r w:rsidRPr="000A73A2">
              <w:rPr>
                <w:rFonts w:ascii="Times New Roman" w:hAnsi="Times New Roman" w:cs="Times New Roman"/>
              </w:rPr>
              <w:t>женщины</w:t>
            </w:r>
          </w:p>
        </w:tc>
        <w:tc>
          <w:tcPr>
            <w:tcW w:w="2410" w:type="dxa"/>
          </w:tcPr>
          <w:p w:rsidR="00221BD3" w:rsidRPr="000A73A2" w:rsidRDefault="00221BD3" w:rsidP="005E0D82">
            <w:pPr>
              <w:spacing w:line="360" w:lineRule="auto"/>
              <w:jc w:val="center"/>
              <w:rPr>
                <w:rFonts w:ascii="Times New Roman" w:hAnsi="Times New Roman" w:cs="Times New Roman"/>
              </w:rPr>
            </w:pPr>
            <w:r w:rsidRPr="000A73A2">
              <w:rPr>
                <w:rFonts w:ascii="Times New Roman" w:hAnsi="Times New Roman" w:cs="Times New Roman"/>
              </w:rPr>
              <w:t>2 (40%)</w:t>
            </w:r>
          </w:p>
        </w:tc>
        <w:tc>
          <w:tcPr>
            <w:tcW w:w="2410" w:type="dxa"/>
          </w:tcPr>
          <w:p w:rsidR="00221BD3" w:rsidRPr="000A73A2" w:rsidRDefault="00221BD3" w:rsidP="005E0D82">
            <w:pPr>
              <w:spacing w:line="360" w:lineRule="auto"/>
              <w:jc w:val="center"/>
              <w:rPr>
                <w:rFonts w:ascii="Times New Roman" w:hAnsi="Times New Roman" w:cs="Times New Roman"/>
              </w:rPr>
            </w:pPr>
            <w:r w:rsidRPr="000A73A2">
              <w:rPr>
                <w:rFonts w:ascii="Times New Roman" w:hAnsi="Times New Roman" w:cs="Times New Roman"/>
              </w:rPr>
              <w:t>10 (71%)</w:t>
            </w:r>
          </w:p>
        </w:tc>
      </w:tr>
      <w:tr w:rsidR="00221BD3" w:rsidRPr="000A73A2" w:rsidTr="00221BD3">
        <w:tc>
          <w:tcPr>
            <w:tcW w:w="4783" w:type="dxa"/>
          </w:tcPr>
          <w:p w:rsidR="00221BD3" w:rsidRPr="000A73A2" w:rsidRDefault="00221BD3" w:rsidP="005E0D82">
            <w:pPr>
              <w:spacing w:line="360" w:lineRule="auto"/>
              <w:rPr>
                <w:rFonts w:ascii="Times New Roman" w:hAnsi="Times New Roman" w:cs="Times New Roman"/>
              </w:rPr>
            </w:pPr>
            <w:r w:rsidRPr="000A73A2">
              <w:rPr>
                <w:rFonts w:ascii="Times New Roman" w:hAnsi="Times New Roman" w:cs="Times New Roman"/>
              </w:rPr>
              <w:t>Возраст (средний)</w:t>
            </w:r>
          </w:p>
        </w:tc>
        <w:tc>
          <w:tcPr>
            <w:tcW w:w="2410" w:type="dxa"/>
          </w:tcPr>
          <w:p w:rsidR="00221BD3" w:rsidRPr="000A73A2" w:rsidRDefault="00221BD3" w:rsidP="005E0D82">
            <w:pPr>
              <w:spacing w:line="360" w:lineRule="auto"/>
              <w:jc w:val="center"/>
              <w:rPr>
                <w:rFonts w:ascii="Times New Roman" w:hAnsi="Times New Roman" w:cs="Times New Roman"/>
                <w:color w:val="FF0000"/>
              </w:rPr>
            </w:pPr>
            <w:r w:rsidRPr="000A73A2">
              <w:rPr>
                <w:rFonts w:ascii="Times New Roman" w:hAnsi="Times New Roman" w:cs="Times New Roman"/>
              </w:rPr>
              <w:t xml:space="preserve">47 (95%CI, 39,3-54,7) </w:t>
            </w:r>
          </w:p>
        </w:tc>
        <w:tc>
          <w:tcPr>
            <w:tcW w:w="2410" w:type="dxa"/>
          </w:tcPr>
          <w:p w:rsidR="00221BD3" w:rsidRPr="000A73A2" w:rsidRDefault="00221BD3" w:rsidP="005E0D82">
            <w:pPr>
              <w:spacing w:line="360" w:lineRule="auto"/>
              <w:jc w:val="center"/>
              <w:rPr>
                <w:rFonts w:ascii="Times New Roman" w:hAnsi="Times New Roman" w:cs="Times New Roman"/>
                <w:color w:val="FF0000"/>
              </w:rPr>
            </w:pPr>
            <w:r w:rsidRPr="000A73A2">
              <w:rPr>
                <w:rFonts w:ascii="Times New Roman" w:hAnsi="Times New Roman" w:cs="Times New Roman"/>
              </w:rPr>
              <w:t>45,3 (95%CI, 38-52,6)</w:t>
            </w:r>
          </w:p>
        </w:tc>
      </w:tr>
      <w:tr w:rsidR="000A73A2" w:rsidRPr="000A73A2" w:rsidTr="00221BD3">
        <w:tc>
          <w:tcPr>
            <w:tcW w:w="4783" w:type="dxa"/>
          </w:tcPr>
          <w:p w:rsidR="000A73A2" w:rsidRPr="000A73A2" w:rsidRDefault="000A73A2" w:rsidP="005E0D82">
            <w:pPr>
              <w:spacing w:line="360" w:lineRule="auto"/>
              <w:rPr>
                <w:rFonts w:ascii="Times New Roman" w:hAnsi="Times New Roman" w:cs="Times New Roman"/>
              </w:rPr>
            </w:pPr>
            <w:r w:rsidRPr="000A73A2">
              <w:rPr>
                <w:rFonts w:ascii="Times New Roman" w:hAnsi="Times New Roman" w:cs="Times New Roman"/>
              </w:rPr>
              <w:t>Рецидив опухоли</w:t>
            </w:r>
          </w:p>
        </w:tc>
        <w:tc>
          <w:tcPr>
            <w:tcW w:w="2410" w:type="dxa"/>
          </w:tcPr>
          <w:p w:rsidR="000A73A2" w:rsidRPr="000A73A2" w:rsidRDefault="000A73A2" w:rsidP="005E0D82">
            <w:pPr>
              <w:spacing w:line="360" w:lineRule="auto"/>
              <w:jc w:val="center"/>
              <w:rPr>
                <w:rFonts w:ascii="Times New Roman" w:hAnsi="Times New Roman" w:cs="Times New Roman"/>
              </w:rPr>
            </w:pPr>
            <w:r w:rsidRPr="000A73A2">
              <w:rPr>
                <w:rFonts w:ascii="Times New Roman" w:hAnsi="Times New Roman" w:cs="Times New Roman"/>
              </w:rPr>
              <w:t>100% (5/5)</w:t>
            </w:r>
          </w:p>
        </w:tc>
        <w:tc>
          <w:tcPr>
            <w:tcW w:w="2410" w:type="dxa"/>
          </w:tcPr>
          <w:p w:rsidR="000A73A2" w:rsidRPr="000A73A2" w:rsidRDefault="000A73A2" w:rsidP="005E0D82">
            <w:pPr>
              <w:spacing w:line="360" w:lineRule="auto"/>
              <w:jc w:val="center"/>
              <w:rPr>
                <w:rFonts w:ascii="Times New Roman" w:hAnsi="Times New Roman" w:cs="Times New Roman"/>
              </w:rPr>
            </w:pPr>
            <w:r w:rsidRPr="000A73A2">
              <w:rPr>
                <w:rFonts w:ascii="Times New Roman" w:hAnsi="Times New Roman" w:cs="Times New Roman"/>
              </w:rPr>
              <w:t>35% (5/14)</w:t>
            </w:r>
          </w:p>
        </w:tc>
      </w:tr>
      <w:tr w:rsidR="000A73A2" w:rsidRPr="000A73A2" w:rsidTr="00221BD3">
        <w:tc>
          <w:tcPr>
            <w:tcW w:w="4783" w:type="dxa"/>
          </w:tcPr>
          <w:p w:rsidR="000A73A2" w:rsidRPr="000A73A2" w:rsidRDefault="000A73A2" w:rsidP="005E0D82">
            <w:pPr>
              <w:spacing w:line="360" w:lineRule="auto"/>
              <w:rPr>
                <w:rFonts w:ascii="Times New Roman" w:hAnsi="Times New Roman" w:cs="Times New Roman"/>
              </w:rPr>
            </w:pPr>
            <w:r w:rsidRPr="000A73A2">
              <w:rPr>
                <w:rFonts w:ascii="Times New Roman" w:hAnsi="Times New Roman" w:cs="Times New Roman"/>
              </w:rPr>
              <w:t xml:space="preserve">Злокачественная трансформация </w:t>
            </w:r>
          </w:p>
        </w:tc>
        <w:tc>
          <w:tcPr>
            <w:tcW w:w="2410" w:type="dxa"/>
          </w:tcPr>
          <w:p w:rsidR="000A73A2" w:rsidRPr="000A73A2" w:rsidRDefault="000A73A2" w:rsidP="005E0D82">
            <w:pPr>
              <w:spacing w:line="360" w:lineRule="auto"/>
              <w:jc w:val="center"/>
              <w:rPr>
                <w:rFonts w:ascii="Times New Roman" w:hAnsi="Times New Roman" w:cs="Times New Roman"/>
              </w:rPr>
            </w:pPr>
            <w:r w:rsidRPr="000A73A2">
              <w:rPr>
                <w:rFonts w:ascii="Times New Roman" w:hAnsi="Times New Roman" w:cs="Times New Roman"/>
              </w:rPr>
              <w:t>100% (5/5)</w:t>
            </w:r>
          </w:p>
        </w:tc>
        <w:tc>
          <w:tcPr>
            <w:tcW w:w="2410" w:type="dxa"/>
          </w:tcPr>
          <w:p w:rsidR="000A73A2" w:rsidRPr="000A73A2" w:rsidRDefault="000A73A2" w:rsidP="005E0D82">
            <w:pPr>
              <w:spacing w:line="360" w:lineRule="auto"/>
              <w:jc w:val="center"/>
              <w:rPr>
                <w:rFonts w:ascii="Times New Roman" w:hAnsi="Times New Roman" w:cs="Times New Roman"/>
              </w:rPr>
            </w:pPr>
            <w:r w:rsidRPr="000A73A2">
              <w:rPr>
                <w:rFonts w:ascii="Times New Roman" w:hAnsi="Times New Roman" w:cs="Times New Roman"/>
              </w:rPr>
              <w:t>20% (1/5)</w:t>
            </w:r>
          </w:p>
        </w:tc>
      </w:tr>
      <w:tr w:rsidR="00221BD3" w:rsidRPr="000A73A2" w:rsidTr="00221BD3">
        <w:tc>
          <w:tcPr>
            <w:tcW w:w="4783" w:type="dxa"/>
          </w:tcPr>
          <w:p w:rsidR="00221BD3" w:rsidRPr="000A73A2" w:rsidRDefault="00221BD3" w:rsidP="005E0D82">
            <w:pPr>
              <w:spacing w:line="360" w:lineRule="auto"/>
              <w:ind w:left="426"/>
              <w:rPr>
                <w:rFonts w:ascii="Times New Roman" w:hAnsi="Times New Roman" w:cs="Times New Roman"/>
              </w:rPr>
            </w:pPr>
            <w:r w:rsidRPr="000A73A2">
              <w:rPr>
                <w:rFonts w:ascii="Times New Roman" w:hAnsi="Times New Roman" w:cs="Times New Roman"/>
              </w:rPr>
              <w:t>по данным МРТ/ПЭТ</w:t>
            </w:r>
          </w:p>
        </w:tc>
        <w:tc>
          <w:tcPr>
            <w:tcW w:w="2410" w:type="dxa"/>
          </w:tcPr>
          <w:p w:rsidR="00221BD3" w:rsidRPr="000A73A2" w:rsidRDefault="00221BD3" w:rsidP="005E0D82">
            <w:pPr>
              <w:spacing w:line="360" w:lineRule="auto"/>
              <w:jc w:val="center"/>
              <w:rPr>
                <w:rFonts w:ascii="Times New Roman" w:hAnsi="Times New Roman" w:cs="Times New Roman"/>
                <w:lang w:val="en-US"/>
              </w:rPr>
            </w:pPr>
            <w:r w:rsidRPr="000A73A2">
              <w:rPr>
                <w:rFonts w:ascii="Times New Roman" w:hAnsi="Times New Roman" w:cs="Times New Roman"/>
              </w:rPr>
              <w:t>1</w:t>
            </w:r>
            <w:r w:rsidRPr="000A73A2">
              <w:rPr>
                <w:rFonts w:ascii="Times New Roman" w:hAnsi="Times New Roman" w:cs="Times New Roman"/>
                <w:lang w:val="en-US"/>
              </w:rPr>
              <w:t xml:space="preserve"> (20%)</w:t>
            </w:r>
          </w:p>
        </w:tc>
        <w:tc>
          <w:tcPr>
            <w:tcW w:w="2410" w:type="dxa"/>
          </w:tcPr>
          <w:p w:rsidR="00221BD3" w:rsidRPr="000A73A2" w:rsidRDefault="00221BD3" w:rsidP="005E0D82">
            <w:pPr>
              <w:spacing w:line="360" w:lineRule="auto"/>
              <w:jc w:val="center"/>
              <w:rPr>
                <w:rFonts w:ascii="Times New Roman" w:hAnsi="Times New Roman" w:cs="Times New Roman"/>
                <w:color w:val="000000"/>
                <w:lang w:val="en-US"/>
              </w:rPr>
            </w:pPr>
            <w:r w:rsidRPr="000A73A2">
              <w:rPr>
                <w:rFonts w:ascii="Times New Roman" w:hAnsi="Times New Roman" w:cs="Times New Roman"/>
                <w:color w:val="000000"/>
                <w:lang w:val="en-US"/>
              </w:rPr>
              <w:t>0 (0%)</w:t>
            </w:r>
          </w:p>
        </w:tc>
      </w:tr>
      <w:tr w:rsidR="00221BD3" w:rsidRPr="000A73A2" w:rsidTr="00221BD3">
        <w:tc>
          <w:tcPr>
            <w:tcW w:w="4783" w:type="dxa"/>
          </w:tcPr>
          <w:p w:rsidR="00221BD3" w:rsidRPr="000A73A2" w:rsidRDefault="00221BD3" w:rsidP="005E0D82">
            <w:pPr>
              <w:spacing w:line="360" w:lineRule="auto"/>
              <w:ind w:left="426"/>
              <w:rPr>
                <w:rFonts w:ascii="Times New Roman" w:hAnsi="Times New Roman" w:cs="Times New Roman"/>
              </w:rPr>
            </w:pPr>
            <w:r w:rsidRPr="000A73A2">
              <w:rPr>
                <w:rFonts w:ascii="Times New Roman" w:hAnsi="Times New Roman" w:cs="Times New Roman"/>
              </w:rPr>
              <w:t>по результатам повторной гистологии в АОДГ</w:t>
            </w:r>
            <w:r w:rsidRPr="000A73A2">
              <w:rPr>
                <w:rFonts w:ascii="Times New Roman" w:hAnsi="Times New Roman" w:cs="Times New Roman"/>
                <w:lang w:val="en-US"/>
              </w:rPr>
              <w:t>GIII</w:t>
            </w:r>
          </w:p>
        </w:tc>
        <w:tc>
          <w:tcPr>
            <w:tcW w:w="2410" w:type="dxa"/>
          </w:tcPr>
          <w:p w:rsidR="00221BD3" w:rsidRPr="000A73A2" w:rsidRDefault="00221BD3" w:rsidP="005E0D82">
            <w:pPr>
              <w:spacing w:line="360" w:lineRule="auto"/>
              <w:jc w:val="center"/>
              <w:rPr>
                <w:rFonts w:ascii="Times New Roman" w:hAnsi="Times New Roman" w:cs="Times New Roman"/>
                <w:lang w:val="en-US"/>
              </w:rPr>
            </w:pPr>
            <w:r w:rsidRPr="000A73A2">
              <w:rPr>
                <w:rFonts w:ascii="Times New Roman" w:hAnsi="Times New Roman" w:cs="Times New Roman"/>
              </w:rPr>
              <w:t>4</w:t>
            </w:r>
            <w:r w:rsidRPr="000A73A2">
              <w:rPr>
                <w:rFonts w:ascii="Times New Roman" w:hAnsi="Times New Roman" w:cs="Times New Roman"/>
                <w:lang w:val="en-US"/>
              </w:rPr>
              <w:t xml:space="preserve"> (80%)</w:t>
            </w:r>
          </w:p>
        </w:tc>
        <w:tc>
          <w:tcPr>
            <w:tcW w:w="2410" w:type="dxa"/>
          </w:tcPr>
          <w:p w:rsidR="00221BD3" w:rsidRPr="000A73A2" w:rsidRDefault="00221BD3" w:rsidP="005E0D82">
            <w:pPr>
              <w:spacing w:line="360" w:lineRule="auto"/>
              <w:jc w:val="center"/>
              <w:rPr>
                <w:rFonts w:ascii="Times New Roman" w:hAnsi="Times New Roman" w:cs="Times New Roman"/>
                <w:color w:val="000000"/>
                <w:lang w:val="en-US"/>
              </w:rPr>
            </w:pPr>
            <w:r w:rsidRPr="000A73A2">
              <w:rPr>
                <w:rFonts w:ascii="Times New Roman" w:hAnsi="Times New Roman" w:cs="Times New Roman"/>
                <w:color w:val="000000"/>
                <w:lang w:val="en-US"/>
              </w:rPr>
              <w:t>-</w:t>
            </w:r>
          </w:p>
        </w:tc>
      </w:tr>
      <w:tr w:rsidR="00221BD3" w:rsidRPr="000A73A2" w:rsidTr="00221BD3">
        <w:tc>
          <w:tcPr>
            <w:tcW w:w="4783" w:type="dxa"/>
          </w:tcPr>
          <w:p w:rsidR="00221BD3" w:rsidRPr="000A73A2" w:rsidRDefault="00221BD3" w:rsidP="005E0D82">
            <w:pPr>
              <w:spacing w:line="360" w:lineRule="auto"/>
              <w:ind w:left="426"/>
              <w:rPr>
                <w:rFonts w:ascii="Times New Roman" w:hAnsi="Times New Roman" w:cs="Times New Roman"/>
              </w:rPr>
            </w:pPr>
            <w:r w:rsidRPr="000A73A2">
              <w:rPr>
                <w:rFonts w:ascii="Times New Roman" w:hAnsi="Times New Roman" w:cs="Times New Roman"/>
              </w:rPr>
              <w:t xml:space="preserve">по результатам повторной гистологии во вторичную ГБ </w:t>
            </w:r>
            <w:r w:rsidRPr="000A73A2">
              <w:rPr>
                <w:rFonts w:ascii="Times New Roman" w:hAnsi="Times New Roman" w:cs="Times New Roman"/>
                <w:lang w:val="en-US"/>
              </w:rPr>
              <w:t>GIV</w:t>
            </w:r>
          </w:p>
        </w:tc>
        <w:tc>
          <w:tcPr>
            <w:tcW w:w="2410" w:type="dxa"/>
          </w:tcPr>
          <w:p w:rsidR="00221BD3" w:rsidRPr="000A73A2" w:rsidRDefault="00221BD3" w:rsidP="005E0D82">
            <w:pPr>
              <w:spacing w:line="360" w:lineRule="auto"/>
              <w:jc w:val="center"/>
              <w:rPr>
                <w:rFonts w:ascii="Times New Roman" w:hAnsi="Times New Roman" w:cs="Times New Roman"/>
                <w:lang w:val="en-US"/>
              </w:rPr>
            </w:pPr>
            <w:r w:rsidRPr="000A73A2">
              <w:rPr>
                <w:rFonts w:ascii="Times New Roman" w:hAnsi="Times New Roman" w:cs="Times New Roman"/>
              </w:rPr>
              <w:t>0</w:t>
            </w:r>
            <w:r w:rsidRPr="000A73A2">
              <w:rPr>
                <w:rFonts w:ascii="Times New Roman" w:hAnsi="Times New Roman" w:cs="Times New Roman"/>
                <w:lang w:val="en-US"/>
              </w:rPr>
              <w:t xml:space="preserve"> (%)</w:t>
            </w:r>
          </w:p>
        </w:tc>
        <w:tc>
          <w:tcPr>
            <w:tcW w:w="2410" w:type="dxa"/>
          </w:tcPr>
          <w:p w:rsidR="00221BD3" w:rsidRPr="000A73A2" w:rsidRDefault="00221BD3" w:rsidP="005E0D82">
            <w:pPr>
              <w:spacing w:line="360" w:lineRule="auto"/>
              <w:jc w:val="center"/>
              <w:rPr>
                <w:rFonts w:ascii="Times New Roman" w:hAnsi="Times New Roman" w:cs="Times New Roman"/>
                <w:lang w:val="en-US"/>
              </w:rPr>
            </w:pPr>
            <w:r w:rsidRPr="000A73A2">
              <w:rPr>
                <w:rFonts w:ascii="Times New Roman" w:hAnsi="Times New Roman" w:cs="Times New Roman"/>
                <w:lang w:val="en-US"/>
              </w:rPr>
              <w:t>1 (20%)</w:t>
            </w:r>
          </w:p>
        </w:tc>
      </w:tr>
      <w:tr w:rsidR="00221BD3" w:rsidRPr="000A73A2" w:rsidTr="00221BD3">
        <w:tc>
          <w:tcPr>
            <w:tcW w:w="4783" w:type="dxa"/>
          </w:tcPr>
          <w:p w:rsidR="00221BD3" w:rsidRPr="000A73A2" w:rsidRDefault="00221BD3" w:rsidP="005E0D82">
            <w:pPr>
              <w:spacing w:line="360" w:lineRule="auto"/>
              <w:ind w:left="426"/>
              <w:rPr>
                <w:rFonts w:ascii="Times New Roman" w:hAnsi="Times New Roman" w:cs="Times New Roman"/>
              </w:rPr>
            </w:pPr>
            <w:r w:rsidRPr="000A73A2">
              <w:rPr>
                <w:rFonts w:ascii="Times New Roman" w:hAnsi="Times New Roman" w:cs="Times New Roman"/>
              </w:rPr>
              <w:t>без изменений после 2-й операции</w:t>
            </w:r>
          </w:p>
        </w:tc>
        <w:tc>
          <w:tcPr>
            <w:tcW w:w="2410" w:type="dxa"/>
          </w:tcPr>
          <w:p w:rsidR="00221BD3" w:rsidRPr="000A73A2" w:rsidRDefault="00221BD3" w:rsidP="005E0D82">
            <w:pPr>
              <w:spacing w:line="360" w:lineRule="auto"/>
              <w:jc w:val="center"/>
              <w:rPr>
                <w:rFonts w:ascii="Times New Roman" w:hAnsi="Times New Roman" w:cs="Times New Roman"/>
                <w:lang w:val="en-US"/>
              </w:rPr>
            </w:pPr>
            <w:r w:rsidRPr="000A73A2">
              <w:rPr>
                <w:rFonts w:ascii="Times New Roman" w:hAnsi="Times New Roman" w:cs="Times New Roman"/>
              </w:rPr>
              <w:t>0</w:t>
            </w:r>
            <w:r w:rsidRPr="000A73A2">
              <w:rPr>
                <w:rFonts w:ascii="Times New Roman" w:hAnsi="Times New Roman" w:cs="Times New Roman"/>
                <w:lang w:val="en-US"/>
              </w:rPr>
              <w:t xml:space="preserve"> (0%)</w:t>
            </w:r>
          </w:p>
        </w:tc>
        <w:tc>
          <w:tcPr>
            <w:tcW w:w="2410" w:type="dxa"/>
          </w:tcPr>
          <w:p w:rsidR="00221BD3" w:rsidRPr="000A73A2" w:rsidRDefault="00221BD3" w:rsidP="005E0D82">
            <w:pPr>
              <w:spacing w:line="360" w:lineRule="auto"/>
              <w:jc w:val="center"/>
              <w:rPr>
                <w:rFonts w:ascii="Times New Roman" w:hAnsi="Times New Roman" w:cs="Times New Roman"/>
                <w:lang w:val="en-US"/>
              </w:rPr>
            </w:pPr>
            <w:r w:rsidRPr="000A73A2">
              <w:rPr>
                <w:rFonts w:ascii="Times New Roman" w:hAnsi="Times New Roman" w:cs="Times New Roman"/>
                <w:lang w:val="en-US"/>
              </w:rPr>
              <w:t>4 (</w:t>
            </w:r>
            <w:r w:rsidRPr="000A73A2">
              <w:rPr>
                <w:rFonts w:ascii="Times New Roman" w:hAnsi="Times New Roman" w:cs="Times New Roman"/>
                <w:color w:val="000000"/>
                <w:lang w:val="en-US"/>
              </w:rPr>
              <w:t>80</w:t>
            </w:r>
            <w:r w:rsidRPr="000A73A2">
              <w:rPr>
                <w:rFonts w:ascii="Times New Roman" w:hAnsi="Times New Roman" w:cs="Times New Roman"/>
                <w:lang w:val="en-US"/>
              </w:rPr>
              <w:t>%)</w:t>
            </w:r>
          </w:p>
        </w:tc>
      </w:tr>
    </w:tbl>
    <w:p w:rsidR="00037502" w:rsidRPr="00D40B81" w:rsidRDefault="00037502" w:rsidP="005E0D82">
      <w:pPr>
        <w:pStyle w:val="2"/>
        <w:spacing w:before="0" w:after="0" w:line="360" w:lineRule="auto"/>
        <w:rPr>
          <w:rFonts w:eastAsiaTheme="minorHAnsi"/>
          <w:b/>
          <w:bCs w:val="0"/>
        </w:rPr>
      </w:pPr>
      <w:bookmarkStart w:id="55" w:name="_Toc9031277"/>
      <w:bookmarkStart w:id="56" w:name="_Toc9250610"/>
      <w:r w:rsidRPr="00D40B81">
        <w:rPr>
          <w:b/>
          <w:bCs w:val="0"/>
        </w:rPr>
        <w:t xml:space="preserve">3.6. </w:t>
      </w:r>
      <w:r w:rsidRPr="00D40B81">
        <w:rPr>
          <w:rFonts w:eastAsiaTheme="minorHAnsi"/>
          <w:b/>
          <w:bCs w:val="0"/>
        </w:rPr>
        <w:t>Сравнительная морфо-генетическая характеристика ДА</w:t>
      </w:r>
      <w:r w:rsidRPr="00D40B81">
        <w:rPr>
          <w:rFonts w:eastAsiaTheme="minorHAnsi"/>
          <w:b/>
          <w:bCs w:val="0"/>
          <w:lang w:val="en-US"/>
        </w:rPr>
        <w:t>GII</w:t>
      </w:r>
      <w:r w:rsidRPr="00D40B81">
        <w:rPr>
          <w:rFonts w:eastAsiaTheme="minorHAnsi"/>
          <w:b/>
          <w:bCs w:val="0"/>
        </w:rPr>
        <w:t xml:space="preserve"> и ОДГ</w:t>
      </w:r>
      <w:r w:rsidRPr="00D40B81">
        <w:rPr>
          <w:rFonts w:eastAsiaTheme="minorHAnsi"/>
          <w:b/>
          <w:bCs w:val="0"/>
          <w:lang w:val="en-US"/>
        </w:rPr>
        <w:t>GII</w:t>
      </w:r>
      <w:r w:rsidRPr="00D40B81">
        <w:rPr>
          <w:rFonts w:eastAsiaTheme="minorHAnsi"/>
          <w:b/>
          <w:bCs w:val="0"/>
        </w:rPr>
        <w:t xml:space="preserve"> при их злокачественной трансформации в АА</w:t>
      </w:r>
      <w:r w:rsidRPr="00D40B81">
        <w:rPr>
          <w:rFonts w:eastAsiaTheme="minorHAnsi"/>
          <w:b/>
          <w:bCs w:val="0"/>
          <w:lang w:val="en-US"/>
        </w:rPr>
        <w:t>GIII</w:t>
      </w:r>
      <w:r w:rsidRPr="00D40B81">
        <w:rPr>
          <w:rFonts w:eastAsiaTheme="minorHAnsi"/>
          <w:b/>
          <w:bCs w:val="0"/>
        </w:rPr>
        <w:t>, АОДГ</w:t>
      </w:r>
      <w:r w:rsidRPr="00D40B81">
        <w:rPr>
          <w:rFonts w:eastAsiaTheme="minorHAnsi"/>
          <w:b/>
          <w:bCs w:val="0"/>
          <w:lang w:val="en-US"/>
        </w:rPr>
        <w:t>GIII</w:t>
      </w:r>
      <w:r w:rsidRPr="00D40B81">
        <w:rPr>
          <w:rFonts w:eastAsiaTheme="minorHAnsi"/>
          <w:b/>
          <w:bCs w:val="0"/>
        </w:rPr>
        <w:t xml:space="preserve"> или вторичную ГБ</w:t>
      </w:r>
      <w:r w:rsidRPr="00D40B81">
        <w:rPr>
          <w:rFonts w:eastAsiaTheme="minorHAnsi"/>
          <w:b/>
          <w:bCs w:val="0"/>
          <w:lang w:val="en-US"/>
        </w:rPr>
        <w:t>GIV</w:t>
      </w:r>
      <w:bookmarkEnd w:id="55"/>
      <w:bookmarkEnd w:id="56"/>
    </w:p>
    <w:p w:rsidR="00037502" w:rsidRPr="007F20A4" w:rsidRDefault="00037502" w:rsidP="005E0D82">
      <w:pPr>
        <w:spacing w:after="0" w:line="360" w:lineRule="auto"/>
        <w:jc w:val="both"/>
        <w:rPr>
          <w:rFonts w:ascii="Times New Roman" w:hAnsi="Times New Roman" w:cs="Times New Roman"/>
          <w:sz w:val="28"/>
          <w:szCs w:val="28"/>
        </w:rPr>
      </w:pPr>
      <w:r w:rsidRPr="007F20A4">
        <w:rPr>
          <w:rFonts w:ascii="Times New Roman" w:hAnsi="Times New Roman" w:cs="Times New Roman"/>
          <w:sz w:val="28"/>
          <w:szCs w:val="28"/>
        </w:rPr>
        <w:t>Результаты сравнительной характеристики материалов от первой и второй операций приведены в табл. 6. В 75% случаев (6/8) при морфологическом исследовании материала от второй операции наблюдалась пролиферация сосудов и эндотелия в разной степени выраженности.</w:t>
      </w:r>
      <w:r w:rsidR="000C3602" w:rsidRPr="007F20A4">
        <w:rPr>
          <w:rFonts w:ascii="Times New Roman" w:hAnsi="Times New Roman" w:cs="Times New Roman"/>
          <w:sz w:val="28"/>
          <w:szCs w:val="28"/>
        </w:rPr>
        <w:t xml:space="preserve"> Появление некрозов было характерно только для трансформации опухоли во вторичную ГБ</w:t>
      </w:r>
      <w:r w:rsidR="000C3602" w:rsidRPr="007F20A4">
        <w:rPr>
          <w:rFonts w:ascii="Times New Roman" w:hAnsi="Times New Roman" w:cs="Times New Roman"/>
          <w:sz w:val="28"/>
          <w:szCs w:val="28"/>
          <w:lang w:val="en-US"/>
        </w:rPr>
        <w:t>GIV</w:t>
      </w:r>
      <w:r w:rsidR="000C3602" w:rsidRPr="007F20A4">
        <w:rPr>
          <w:rFonts w:ascii="Times New Roman" w:hAnsi="Times New Roman" w:cs="Times New Roman"/>
          <w:sz w:val="28"/>
          <w:szCs w:val="28"/>
        </w:rPr>
        <w:t>. Наличие такого признака, как плотноклеточность опухоли, отмечалось во всех случаях.</w:t>
      </w:r>
      <w:r w:rsidRPr="007F20A4">
        <w:rPr>
          <w:rFonts w:ascii="Times New Roman" w:hAnsi="Times New Roman" w:cs="Times New Roman"/>
          <w:sz w:val="28"/>
          <w:szCs w:val="28"/>
        </w:rPr>
        <w:t xml:space="preserve"> Увеличение индекса пролиферативной активности (</w:t>
      </w:r>
      <w:r w:rsidRPr="007F20A4">
        <w:rPr>
          <w:rFonts w:ascii="Times New Roman" w:hAnsi="Times New Roman" w:cs="Times New Roman"/>
          <w:sz w:val="28"/>
          <w:szCs w:val="28"/>
          <w:lang w:val="en-US"/>
        </w:rPr>
        <w:t>Ki</w:t>
      </w:r>
      <w:r w:rsidRPr="007F20A4">
        <w:rPr>
          <w:rFonts w:ascii="Times New Roman" w:hAnsi="Times New Roman" w:cs="Times New Roman"/>
          <w:sz w:val="28"/>
          <w:szCs w:val="28"/>
        </w:rPr>
        <w:t>-67) после анапластической трансформации наблюдалось во всех случаях.</w:t>
      </w:r>
    </w:p>
    <w:p w:rsidR="007F20A4" w:rsidRPr="007F20A4" w:rsidRDefault="007F20A4" w:rsidP="005E0D82">
      <w:pPr>
        <w:pStyle w:val="ae"/>
        <w:keepNext/>
        <w:spacing w:after="0" w:line="360" w:lineRule="auto"/>
        <w:rPr>
          <w:rFonts w:ascii="Times New Roman" w:hAnsi="Times New Roman" w:cs="Times New Roman"/>
          <w:sz w:val="24"/>
          <w:szCs w:val="24"/>
        </w:rPr>
      </w:pPr>
      <w:r w:rsidRPr="007F20A4">
        <w:rPr>
          <w:rFonts w:ascii="Times New Roman" w:hAnsi="Times New Roman" w:cs="Times New Roman"/>
          <w:sz w:val="24"/>
          <w:szCs w:val="24"/>
        </w:rPr>
        <w:lastRenderedPageBreak/>
        <w:t xml:space="preserve">Таблица </w:t>
      </w:r>
      <w:r w:rsidRPr="007F20A4">
        <w:rPr>
          <w:rFonts w:ascii="Times New Roman" w:hAnsi="Times New Roman" w:cs="Times New Roman"/>
          <w:sz w:val="24"/>
          <w:szCs w:val="24"/>
        </w:rPr>
        <w:fldChar w:fldCharType="begin"/>
      </w:r>
      <w:r w:rsidRPr="007F20A4">
        <w:rPr>
          <w:rFonts w:ascii="Times New Roman" w:hAnsi="Times New Roman" w:cs="Times New Roman"/>
          <w:sz w:val="24"/>
          <w:szCs w:val="24"/>
        </w:rPr>
        <w:instrText xml:space="preserve"> SEQ Таблица \* ARABIC </w:instrText>
      </w:r>
      <w:r w:rsidRPr="007F20A4">
        <w:rPr>
          <w:rFonts w:ascii="Times New Roman" w:hAnsi="Times New Roman" w:cs="Times New Roman"/>
          <w:sz w:val="24"/>
          <w:szCs w:val="24"/>
        </w:rPr>
        <w:fldChar w:fldCharType="separate"/>
      </w:r>
      <w:r w:rsidR="00DD6C05">
        <w:rPr>
          <w:rFonts w:ascii="Times New Roman" w:hAnsi="Times New Roman" w:cs="Times New Roman"/>
          <w:noProof/>
          <w:sz w:val="24"/>
          <w:szCs w:val="24"/>
        </w:rPr>
        <w:t>7</w:t>
      </w:r>
      <w:r w:rsidRPr="007F20A4">
        <w:rPr>
          <w:rFonts w:ascii="Times New Roman" w:hAnsi="Times New Roman" w:cs="Times New Roman"/>
          <w:sz w:val="24"/>
          <w:szCs w:val="24"/>
        </w:rPr>
        <w:fldChar w:fldCharType="end"/>
      </w:r>
      <w:r w:rsidRPr="007F20A4">
        <w:rPr>
          <w:rFonts w:ascii="Times New Roman" w:hAnsi="Times New Roman" w:cs="Times New Roman"/>
          <w:sz w:val="24"/>
          <w:szCs w:val="24"/>
        </w:rPr>
        <w:t>. Сравнительная морфо-генетическая характеристика ДАGII и ОДГGII при их злокачественной трансформации в ААGIII, АОДГGIII или вторичную ГБGIV</w:t>
      </w: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1380"/>
        <w:gridCol w:w="1559"/>
        <w:gridCol w:w="1559"/>
        <w:gridCol w:w="851"/>
        <w:gridCol w:w="1276"/>
        <w:gridCol w:w="850"/>
        <w:gridCol w:w="1717"/>
      </w:tblGrid>
      <w:tr w:rsidR="00037502" w:rsidRPr="007F20A4" w:rsidTr="007F20A4">
        <w:trPr>
          <w:trHeight w:val="855"/>
        </w:trPr>
        <w:tc>
          <w:tcPr>
            <w:tcW w:w="2093" w:type="dxa"/>
            <w:gridSpan w:val="2"/>
            <w:shd w:val="clear" w:color="auto" w:fill="auto"/>
          </w:tcPr>
          <w:p w:rsidR="00037502" w:rsidRPr="007F20A4" w:rsidRDefault="00FC5899"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w:t>
            </w:r>
            <w:r w:rsidR="00037502" w:rsidRPr="007F20A4">
              <w:rPr>
                <w:rFonts w:ascii="Times New Roman" w:hAnsi="Times New Roman" w:cs="Times New Roman"/>
                <w:b/>
                <w:bCs/>
                <w:sz w:val="24"/>
                <w:szCs w:val="24"/>
              </w:rPr>
              <w:t>омер случая/</w:t>
            </w:r>
            <w:r w:rsidRPr="007F20A4">
              <w:rPr>
                <w:rFonts w:ascii="Times New Roman" w:hAnsi="Times New Roman" w:cs="Times New Roman"/>
                <w:b/>
                <w:bCs/>
                <w:sz w:val="24"/>
                <w:szCs w:val="24"/>
              </w:rPr>
              <w:t>м</w:t>
            </w:r>
            <w:r w:rsidR="00037502" w:rsidRPr="007F20A4">
              <w:rPr>
                <w:rFonts w:ascii="Times New Roman" w:hAnsi="Times New Roman" w:cs="Times New Roman"/>
                <w:b/>
                <w:bCs/>
                <w:sz w:val="24"/>
                <w:szCs w:val="24"/>
              </w:rPr>
              <w:t>орфологические характеристики</w:t>
            </w:r>
          </w:p>
        </w:tc>
        <w:tc>
          <w:tcPr>
            <w:tcW w:w="1559" w:type="dxa"/>
            <w:shd w:val="clear" w:color="auto" w:fill="auto"/>
          </w:tcPr>
          <w:p w:rsidR="00037502" w:rsidRPr="007F20A4" w:rsidRDefault="00FC5899"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П</w:t>
            </w:r>
            <w:r w:rsidR="00037502" w:rsidRPr="007F20A4">
              <w:rPr>
                <w:rFonts w:ascii="Times New Roman" w:hAnsi="Times New Roman" w:cs="Times New Roman"/>
                <w:b/>
                <w:bCs/>
                <w:sz w:val="24"/>
                <w:szCs w:val="24"/>
              </w:rPr>
              <w:t>ролиферация сосудов</w:t>
            </w:r>
          </w:p>
        </w:tc>
        <w:tc>
          <w:tcPr>
            <w:tcW w:w="1559" w:type="dxa"/>
            <w:shd w:val="clear" w:color="auto" w:fill="auto"/>
          </w:tcPr>
          <w:p w:rsidR="00037502" w:rsidRPr="007F20A4" w:rsidRDefault="00FC5899"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П</w:t>
            </w:r>
            <w:r w:rsidR="00037502" w:rsidRPr="007F20A4">
              <w:rPr>
                <w:rFonts w:ascii="Times New Roman" w:hAnsi="Times New Roman" w:cs="Times New Roman"/>
                <w:b/>
                <w:bCs/>
                <w:sz w:val="24"/>
                <w:szCs w:val="24"/>
              </w:rPr>
              <w:t>ролиферация эндотелия сосудов</w:t>
            </w:r>
          </w:p>
        </w:tc>
        <w:tc>
          <w:tcPr>
            <w:tcW w:w="851" w:type="dxa"/>
            <w:shd w:val="clear" w:color="auto" w:fill="auto"/>
          </w:tcPr>
          <w:p w:rsidR="00037502" w:rsidRPr="007F20A4" w:rsidRDefault="00FC5899"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w:t>
            </w:r>
            <w:r w:rsidR="00037502" w:rsidRPr="007F20A4">
              <w:rPr>
                <w:rFonts w:ascii="Times New Roman" w:hAnsi="Times New Roman" w:cs="Times New Roman"/>
                <w:b/>
                <w:bCs/>
                <w:sz w:val="24"/>
                <w:szCs w:val="24"/>
              </w:rPr>
              <w:t>екрозы</w:t>
            </w:r>
          </w:p>
        </w:tc>
        <w:tc>
          <w:tcPr>
            <w:tcW w:w="1276" w:type="dxa"/>
            <w:shd w:val="clear" w:color="auto" w:fill="auto"/>
          </w:tcPr>
          <w:p w:rsidR="00037502" w:rsidRPr="007F20A4" w:rsidRDefault="00FC5899"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П</w:t>
            </w:r>
            <w:r w:rsidR="00037502" w:rsidRPr="007F20A4">
              <w:rPr>
                <w:rFonts w:ascii="Times New Roman" w:hAnsi="Times New Roman" w:cs="Times New Roman"/>
                <w:b/>
                <w:bCs/>
                <w:sz w:val="24"/>
                <w:szCs w:val="24"/>
              </w:rPr>
              <w:t>лотноклеточность</w:t>
            </w:r>
          </w:p>
        </w:tc>
        <w:tc>
          <w:tcPr>
            <w:tcW w:w="850" w:type="dxa"/>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lang w:val="en-US"/>
              </w:rPr>
              <w:t>Ki</w:t>
            </w:r>
            <w:r w:rsidRPr="007F20A4">
              <w:rPr>
                <w:rFonts w:ascii="Times New Roman" w:hAnsi="Times New Roman" w:cs="Times New Roman"/>
                <w:b/>
                <w:bCs/>
                <w:sz w:val="24"/>
                <w:szCs w:val="24"/>
              </w:rPr>
              <w:t>-67</w:t>
            </w:r>
          </w:p>
        </w:tc>
        <w:tc>
          <w:tcPr>
            <w:tcW w:w="1717" w:type="dxa"/>
            <w:shd w:val="clear" w:color="auto" w:fill="auto"/>
          </w:tcPr>
          <w:p w:rsidR="00037502" w:rsidRPr="007F20A4" w:rsidRDefault="00FC5899"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Д</w:t>
            </w:r>
            <w:r w:rsidR="00037502" w:rsidRPr="007F20A4">
              <w:rPr>
                <w:rFonts w:ascii="Times New Roman" w:hAnsi="Times New Roman" w:cs="Times New Roman"/>
                <w:b/>
                <w:bCs/>
                <w:sz w:val="24"/>
                <w:szCs w:val="24"/>
              </w:rPr>
              <w:t>иагноз</w:t>
            </w:r>
          </w:p>
        </w:tc>
      </w:tr>
      <w:tr w:rsidR="00037502" w:rsidRPr="007F20A4" w:rsidTr="007F20A4">
        <w:trPr>
          <w:trHeight w:val="301"/>
        </w:trPr>
        <w:tc>
          <w:tcPr>
            <w:tcW w:w="713" w:type="dxa"/>
            <w:vMerge w:val="restart"/>
            <w:tcBorders>
              <w:right w:val="single" w:sz="4" w:space="0" w:color="000000"/>
            </w:tcBorders>
            <w:shd w:val="clear" w:color="auto" w:fill="auto"/>
          </w:tcPr>
          <w:p w:rsidR="00037502" w:rsidRPr="007F20A4" w:rsidRDefault="00037502" w:rsidP="005E0D82">
            <w:pPr>
              <w:spacing w:after="0" w:line="360" w:lineRule="auto"/>
              <w:ind w:right="-83"/>
              <w:rPr>
                <w:rFonts w:ascii="Times New Roman" w:hAnsi="Times New Roman" w:cs="Times New Roman"/>
                <w:b/>
                <w:bCs/>
                <w:sz w:val="24"/>
                <w:szCs w:val="24"/>
              </w:rPr>
            </w:pPr>
            <w:r w:rsidRPr="007F20A4">
              <w:rPr>
                <w:rFonts w:ascii="Times New Roman" w:hAnsi="Times New Roman" w:cs="Times New Roman"/>
                <w:b/>
                <w:bCs/>
                <w:sz w:val="24"/>
                <w:szCs w:val="24"/>
              </w:rPr>
              <w:t>1</w:t>
            </w:r>
          </w:p>
        </w:tc>
        <w:tc>
          <w:tcPr>
            <w:tcW w:w="1380" w:type="dxa"/>
            <w:tcBorders>
              <w:left w:val="single" w:sz="4" w:space="0" w:color="000000"/>
              <w:bottom w:val="single" w:sz="4" w:space="0" w:color="000000"/>
            </w:tcBorders>
            <w:shd w:val="clear" w:color="auto" w:fill="auto"/>
          </w:tcPr>
          <w:p w:rsidR="00037502" w:rsidRPr="007F20A4" w:rsidRDefault="00037502" w:rsidP="005E0D82">
            <w:pPr>
              <w:spacing w:after="0" w:line="360" w:lineRule="auto"/>
              <w:ind w:right="-83"/>
              <w:rPr>
                <w:rFonts w:ascii="Times New Roman" w:hAnsi="Times New Roman" w:cs="Times New Roman"/>
                <w:b/>
                <w:bCs/>
                <w:sz w:val="24"/>
                <w:szCs w:val="24"/>
              </w:rPr>
            </w:pPr>
            <w:r w:rsidRPr="007F20A4">
              <w:rPr>
                <w:rFonts w:ascii="Times New Roman" w:hAnsi="Times New Roman" w:cs="Times New Roman"/>
                <w:b/>
                <w:bCs/>
                <w:sz w:val="24"/>
                <w:szCs w:val="24"/>
              </w:rPr>
              <w:t>1 операция</w:t>
            </w:r>
          </w:p>
        </w:tc>
        <w:tc>
          <w:tcPr>
            <w:tcW w:w="1559"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1559"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851"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1276"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850"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6</w:t>
            </w:r>
          </w:p>
        </w:tc>
        <w:tc>
          <w:tcPr>
            <w:tcW w:w="1717"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lang w:val="en-US"/>
              </w:rPr>
            </w:pPr>
            <w:r w:rsidRPr="007F20A4">
              <w:rPr>
                <w:rFonts w:ascii="Times New Roman" w:hAnsi="Times New Roman" w:cs="Times New Roman"/>
                <w:b/>
                <w:bCs/>
                <w:sz w:val="24"/>
                <w:szCs w:val="24"/>
              </w:rPr>
              <w:t>ДА</w:t>
            </w:r>
            <w:r w:rsidRPr="007F20A4">
              <w:rPr>
                <w:rFonts w:ascii="Times New Roman" w:hAnsi="Times New Roman" w:cs="Times New Roman"/>
                <w:b/>
                <w:bCs/>
                <w:sz w:val="24"/>
                <w:szCs w:val="24"/>
                <w:lang w:val="en-US"/>
              </w:rPr>
              <w:t>GII, IDH1(R132H)</w:t>
            </w:r>
          </w:p>
        </w:tc>
      </w:tr>
      <w:tr w:rsidR="00037502" w:rsidRPr="007F20A4" w:rsidTr="007F20A4">
        <w:trPr>
          <w:trHeight w:val="261"/>
        </w:trPr>
        <w:tc>
          <w:tcPr>
            <w:tcW w:w="713" w:type="dxa"/>
            <w:vMerge/>
            <w:tcBorders>
              <w:right w:val="single" w:sz="4" w:space="0" w:color="000000"/>
            </w:tcBorders>
            <w:shd w:val="clear" w:color="auto" w:fill="auto"/>
          </w:tcPr>
          <w:p w:rsidR="00037502" w:rsidRPr="007F20A4" w:rsidRDefault="00037502" w:rsidP="005E0D82">
            <w:pPr>
              <w:spacing w:after="0" w:line="360" w:lineRule="auto"/>
              <w:ind w:right="-83"/>
              <w:rPr>
                <w:rFonts w:ascii="Times New Roman" w:hAnsi="Times New Roman" w:cs="Times New Roman"/>
                <w:b/>
                <w:bCs/>
                <w:sz w:val="24"/>
                <w:szCs w:val="24"/>
              </w:rPr>
            </w:pPr>
          </w:p>
        </w:tc>
        <w:tc>
          <w:tcPr>
            <w:tcW w:w="1380" w:type="dxa"/>
            <w:tcBorders>
              <w:top w:val="single" w:sz="4" w:space="0" w:color="000000"/>
              <w:left w:val="single" w:sz="4" w:space="0" w:color="000000"/>
            </w:tcBorders>
            <w:shd w:val="clear" w:color="auto" w:fill="auto"/>
          </w:tcPr>
          <w:p w:rsidR="00037502" w:rsidRPr="007F20A4" w:rsidRDefault="00037502" w:rsidP="005E0D82">
            <w:pPr>
              <w:spacing w:after="0" w:line="360" w:lineRule="auto"/>
              <w:ind w:right="-83"/>
              <w:rPr>
                <w:rFonts w:ascii="Times New Roman" w:hAnsi="Times New Roman" w:cs="Times New Roman"/>
                <w:sz w:val="24"/>
                <w:szCs w:val="24"/>
              </w:rPr>
            </w:pPr>
            <w:r w:rsidRPr="007F20A4">
              <w:rPr>
                <w:rFonts w:ascii="Times New Roman" w:hAnsi="Times New Roman" w:cs="Times New Roman"/>
                <w:sz w:val="24"/>
                <w:szCs w:val="24"/>
              </w:rPr>
              <w:t>2 операция</w:t>
            </w:r>
          </w:p>
        </w:tc>
        <w:tc>
          <w:tcPr>
            <w:tcW w:w="1559"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умеренная</w:t>
            </w:r>
          </w:p>
        </w:tc>
        <w:tc>
          <w:tcPr>
            <w:tcW w:w="1559"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умеренная</w:t>
            </w:r>
          </w:p>
        </w:tc>
        <w:tc>
          <w:tcPr>
            <w:tcW w:w="851"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нет</w:t>
            </w:r>
          </w:p>
        </w:tc>
        <w:tc>
          <w:tcPr>
            <w:tcW w:w="1276"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да</w:t>
            </w:r>
          </w:p>
        </w:tc>
        <w:tc>
          <w:tcPr>
            <w:tcW w:w="850"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8</w:t>
            </w:r>
          </w:p>
        </w:tc>
        <w:tc>
          <w:tcPr>
            <w:tcW w:w="1717"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 xml:space="preserve">AAGIII, </w:t>
            </w:r>
            <w:r w:rsidRPr="007F20A4">
              <w:rPr>
                <w:rFonts w:ascii="Times New Roman" w:hAnsi="Times New Roman" w:cs="Times New Roman"/>
                <w:sz w:val="24"/>
                <w:szCs w:val="24"/>
                <w:lang w:val="en-US"/>
              </w:rPr>
              <w:t>IDH1(R132H)</w:t>
            </w:r>
          </w:p>
        </w:tc>
      </w:tr>
      <w:tr w:rsidR="00037502" w:rsidRPr="007F20A4" w:rsidTr="007F20A4">
        <w:trPr>
          <w:trHeight w:val="343"/>
        </w:trPr>
        <w:tc>
          <w:tcPr>
            <w:tcW w:w="713" w:type="dxa"/>
            <w:vMerge w:val="restart"/>
            <w:tcBorders>
              <w:right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2</w:t>
            </w:r>
          </w:p>
        </w:tc>
        <w:tc>
          <w:tcPr>
            <w:tcW w:w="1380" w:type="dxa"/>
            <w:tcBorders>
              <w:left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1 операция</w:t>
            </w:r>
          </w:p>
        </w:tc>
        <w:tc>
          <w:tcPr>
            <w:tcW w:w="1559"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1559"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851"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1276"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850"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5</w:t>
            </w:r>
          </w:p>
        </w:tc>
        <w:tc>
          <w:tcPr>
            <w:tcW w:w="1717"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ДА</w:t>
            </w:r>
            <w:r w:rsidRPr="007F20A4">
              <w:rPr>
                <w:rFonts w:ascii="Times New Roman" w:hAnsi="Times New Roman" w:cs="Times New Roman"/>
                <w:b/>
                <w:bCs/>
                <w:sz w:val="24"/>
                <w:szCs w:val="24"/>
                <w:lang w:val="en-US"/>
              </w:rPr>
              <w:t>GII, IDH1(R132H)</w:t>
            </w:r>
          </w:p>
        </w:tc>
      </w:tr>
      <w:tr w:rsidR="00037502" w:rsidRPr="007F20A4" w:rsidTr="007F20A4">
        <w:trPr>
          <w:trHeight w:val="246"/>
        </w:trPr>
        <w:tc>
          <w:tcPr>
            <w:tcW w:w="713" w:type="dxa"/>
            <w:vMerge/>
            <w:tcBorders>
              <w:right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p>
        </w:tc>
        <w:tc>
          <w:tcPr>
            <w:tcW w:w="1380" w:type="dxa"/>
            <w:tcBorders>
              <w:top w:val="single" w:sz="4" w:space="0" w:color="000000"/>
              <w:left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2 операция</w:t>
            </w:r>
          </w:p>
        </w:tc>
        <w:tc>
          <w:tcPr>
            <w:tcW w:w="1559"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умеренная</w:t>
            </w:r>
          </w:p>
        </w:tc>
        <w:tc>
          <w:tcPr>
            <w:tcW w:w="1559"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умеренная</w:t>
            </w:r>
          </w:p>
        </w:tc>
        <w:tc>
          <w:tcPr>
            <w:tcW w:w="851"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нет</w:t>
            </w:r>
          </w:p>
        </w:tc>
        <w:tc>
          <w:tcPr>
            <w:tcW w:w="1276"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да</w:t>
            </w:r>
          </w:p>
        </w:tc>
        <w:tc>
          <w:tcPr>
            <w:tcW w:w="850"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8</w:t>
            </w:r>
          </w:p>
        </w:tc>
        <w:tc>
          <w:tcPr>
            <w:tcW w:w="1717"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 xml:space="preserve">AAGIII, </w:t>
            </w:r>
            <w:r w:rsidRPr="007F20A4">
              <w:rPr>
                <w:rFonts w:ascii="Times New Roman" w:hAnsi="Times New Roman" w:cs="Times New Roman"/>
                <w:sz w:val="24"/>
                <w:szCs w:val="24"/>
                <w:lang w:val="en-US"/>
              </w:rPr>
              <w:t>IDH1(R132H)</w:t>
            </w:r>
          </w:p>
        </w:tc>
      </w:tr>
      <w:tr w:rsidR="00037502" w:rsidRPr="007F20A4" w:rsidTr="007F20A4">
        <w:trPr>
          <w:trHeight w:val="337"/>
        </w:trPr>
        <w:tc>
          <w:tcPr>
            <w:tcW w:w="713" w:type="dxa"/>
            <w:vMerge w:val="restart"/>
            <w:tcBorders>
              <w:right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3</w:t>
            </w:r>
          </w:p>
        </w:tc>
        <w:tc>
          <w:tcPr>
            <w:tcW w:w="1380" w:type="dxa"/>
            <w:tcBorders>
              <w:left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1 операция</w:t>
            </w:r>
          </w:p>
        </w:tc>
        <w:tc>
          <w:tcPr>
            <w:tcW w:w="1559"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1559"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851"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1276"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850"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5</w:t>
            </w:r>
          </w:p>
        </w:tc>
        <w:tc>
          <w:tcPr>
            <w:tcW w:w="1717"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ДА</w:t>
            </w:r>
            <w:r w:rsidRPr="007F20A4">
              <w:rPr>
                <w:rFonts w:ascii="Times New Roman" w:hAnsi="Times New Roman" w:cs="Times New Roman"/>
                <w:b/>
                <w:bCs/>
                <w:sz w:val="24"/>
                <w:szCs w:val="24"/>
                <w:lang w:val="en-US"/>
              </w:rPr>
              <w:t>GII, IDH1(R132H)</w:t>
            </w:r>
          </w:p>
        </w:tc>
      </w:tr>
      <w:tr w:rsidR="00037502" w:rsidRPr="007F20A4" w:rsidTr="007F20A4">
        <w:trPr>
          <w:trHeight w:val="351"/>
        </w:trPr>
        <w:tc>
          <w:tcPr>
            <w:tcW w:w="713" w:type="dxa"/>
            <w:vMerge/>
            <w:tcBorders>
              <w:right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p>
        </w:tc>
        <w:tc>
          <w:tcPr>
            <w:tcW w:w="1380" w:type="dxa"/>
            <w:tcBorders>
              <w:top w:val="single" w:sz="4" w:space="0" w:color="000000"/>
              <w:left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lang w:val="en-US"/>
              </w:rPr>
            </w:pPr>
            <w:r w:rsidRPr="007F20A4">
              <w:rPr>
                <w:rFonts w:ascii="Times New Roman" w:hAnsi="Times New Roman" w:cs="Times New Roman"/>
                <w:sz w:val="24"/>
                <w:szCs w:val="24"/>
              </w:rPr>
              <w:t>2</w:t>
            </w:r>
            <w:r w:rsidRPr="007F20A4">
              <w:rPr>
                <w:rFonts w:ascii="Times New Roman" w:hAnsi="Times New Roman" w:cs="Times New Roman"/>
                <w:sz w:val="24"/>
                <w:szCs w:val="24"/>
                <w:lang w:val="en-US"/>
              </w:rPr>
              <w:t xml:space="preserve"> </w:t>
            </w:r>
            <w:r w:rsidRPr="007F20A4">
              <w:rPr>
                <w:rFonts w:ascii="Times New Roman" w:hAnsi="Times New Roman" w:cs="Times New Roman"/>
                <w:sz w:val="24"/>
                <w:szCs w:val="24"/>
              </w:rPr>
              <w:t>операция</w:t>
            </w:r>
          </w:p>
        </w:tc>
        <w:tc>
          <w:tcPr>
            <w:tcW w:w="1559"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нет</w:t>
            </w:r>
          </w:p>
        </w:tc>
        <w:tc>
          <w:tcPr>
            <w:tcW w:w="1559"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нет</w:t>
            </w:r>
          </w:p>
        </w:tc>
        <w:tc>
          <w:tcPr>
            <w:tcW w:w="851"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нет</w:t>
            </w:r>
          </w:p>
        </w:tc>
        <w:tc>
          <w:tcPr>
            <w:tcW w:w="1276"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да</w:t>
            </w:r>
          </w:p>
        </w:tc>
        <w:tc>
          <w:tcPr>
            <w:tcW w:w="850"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9</w:t>
            </w:r>
          </w:p>
        </w:tc>
        <w:tc>
          <w:tcPr>
            <w:tcW w:w="1717"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 xml:space="preserve">AAGIII, </w:t>
            </w:r>
            <w:r w:rsidRPr="007F20A4">
              <w:rPr>
                <w:rFonts w:ascii="Times New Roman" w:hAnsi="Times New Roman" w:cs="Times New Roman"/>
                <w:sz w:val="24"/>
                <w:szCs w:val="24"/>
                <w:lang w:val="en-US"/>
              </w:rPr>
              <w:t>IDH1(R132H)</w:t>
            </w:r>
          </w:p>
        </w:tc>
      </w:tr>
      <w:tr w:rsidR="00037502" w:rsidRPr="007F20A4" w:rsidTr="007F20A4">
        <w:trPr>
          <w:trHeight w:val="343"/>
        </w:trPr>
        <w:tc>
          <w:tcPr>
            <w:tcW w:w="713" w:type="dxa"/>
            <w:vMerge w:val="restart"/>
            <w:tcBorders>
              <w:right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4</w:t>
            </w:r>
          </w:p>
        </w:tc>
        <w:tc>
          <w:tcPr>
            <w:tcW w:w="1380" w:type="dxa"/>
            <w:tcBorders>
              <w:left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1 операция</w:t>
            </w:r>
          </w:p>
        </w:tc>
        <w:tc>
          <w:tcPr>
            <w:tcW w:w="1559"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1559"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851"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1276"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850"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5</w:t>
            </w:r>
          </w:p>
        </w:tc>
        <w:tc>
          <w:tcPr>
            <w:tcW w:w="1717"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ОДГ</w:t>
            </w:r>
            <w:r w:rsidRPr="007F20A4">
              <w:rPr>
                <w:rFonts w:ascii="Times New Roman" w:hAnsi="Times New Roman" w:cs="Times New Roman"/>
                <w:b/>
                <w:bCs/>
                <w:sz w:val="24"/>
                <w:szCs w:val="24"/>
                <w:lang w:val="en-US"/>
              </w:rPr>
              <w:t>GII</w:t>
            </w:r>
            <w:r w:rsidRPr="007F20A4">
              <w:rPr>
                <w:rFonts w:ascii="Times New Roman" w:hAnsi="Times New Roman" w:cs="Times New Roman"/>
                <w:b/>
                <w:bCs/>
                <w:sz w:val="24"/>
                <w:szCs w:val="24"/>
              </w:rPr>
              <w:t xml:space="preserve">, </w:t>
            </w:r>
            <w:r w:rsidRPr="007F20A4">
              <w:rPr>
                <w:rFonts w:ascii="Times New Roman" w:hAnsi="Times New Roman" w:cs="Times New Roman"/>
                <w:b/>
                <w:bCs/>
                <w:sz w:val="24"/>
                <w:szCs w:val="24"/>
                <w:lang w:val="en-US"/>
              </w:rPr>
              <w:t>IDH</w:t>
            </w:r>
            <w:r w:rsidRPr="007F20A4">
              <w:rPr>
                <w:rFonts w:ascii="Times New Roman" w:hAnsi="Times New Roman" w:cs="Times New Roman"/>
                <w:b/>
                <w:bCs/>
                <w:sz w:val="24"/>
                <w:szCs w:val="24"/>
              </w:rPr>
              <w:t>1(</w:t>
            </w:r>
            <w:r w:rsidRPr="007F20A4">
              <w:rPr>
                <w:rFonts w:ascii="Times New Roman" w:hAnsi="Times New Roman" w:cs="Times New Roman"/>
                <w:b/>
                <w:bCs/>
                <w:sz w:val="24"/>
                <w:szCs w:val="24"/>
                <w:lang w:val="en-US"/>
              </w:rPr>
              <w:t>R</w:t>
            </w:r>
            <w:r w:rsidRPr="007F20A4">
              <w:rPr>
                <w:rFonts w:ascii="Times New Roman" w:hAnsi="Times New Roman" w:cs="Times New Roman"/>
                <w:b/>
                <w:bCs/>
                <w:sz w:val="24"/>
                <w:szCs w:val="24"/>
              </w:rPr>
              <w:t>132</w:t>
            </w:r>
            <w:r w:rsidRPr="007F20A4">
              <w:rPr>
                <w:rFonts w:ascii="Times New Roman" w:hAnsi="Times New Roman" w:cs="Times New Roman"/>
                <w:b/>
                <w:bCs/>
                <w:sz w:val="24"/>
                <w:szCs w:val="24"/>
                <w:lang w:val="en-US"/>
              </w:rPr>
              <w:t>H</w:t>
            </w:r>
            <w:r w:rsidRPr="007F20A4">
              <w:rPr>
                <w:rFonts w:ascii="Times New Roman" w:hAnsi="Times New Roman" w:cs="Times New Roman"/>
                <w:b/>
                <w:bCs/>
                <w:sz w:val="24"/>
                <w:szCs w:val="24"/>
              </w:rPr>
              <w:t>), 1</w:t>
            </w:r>
            <w:r w:rsidRPr="007F20A4">
              <w:rPr>
                <w:rFonts w:ascii="Times New Roman" w:hAnsi="Times New Roman" w:cs="Times New Roman"/>
                <w:b/>
                <w:bCs/>
                <w:sz w:val="24"/>
                <w:szCs w:val="24"/>
                <w:lang w:val="en-US"/>
              </w:rPr>
              <w:t>p</w:t>
            </w:r>
            <w:r w:rsidRPr="007F20A4">
              <w:rPr>
                <w:rFonts w:ascii="Times New Roman" w:hAnsi="Times New Roman" w:cs="Times New Roman"/>
                <w:b/>
                <w:bCs/>
                <w:sz w:val="24"/>
                <w:szCs w:val="24"/>
              </w:rPr>
              <w:t>19</w:t>
            </w:r>
            <w:r w:rsidRPr="007F20A4">
              <w:rPr>
                <w:rFonts w:ascii="Times New Roman" w:hAnsi="Times New Roman" w:cs="Times New Roman"/>
                <w:b/>
                <w:bCs/>
                <w:sz w:val="24"/>
                <w:szCs w:val="24"/>
                <w:lang w:val="en-US"/>
              </w:rPr>
              <w:t>q</w:t>
            </w:r>
            <w:r w:rsidRPr="007F20A4">
              <w:rPr>
                <w:rFonts w:ascii="Times New Roman" w:hAnsi="Times New Roman" w:cs="Times New Roman"/>
                <w:b/>
                <w:bCs/>
                <w:sz w:val="24"/>
                <w:szCs w:val="24"/>
              </w:rPr>
              <w:t xml:space="preserve"> (н.д.)</w:t>
            </w:r>
          </w:p>
        </w:tc>
      </w:tr>
      <w:tr w:rsidR="00037502" w:rsidRPr="007F20A4" w:rsidTr="007F20A4">
        <w:trPr>
          <w:trHeight w:val="315"/>
        </w:trPr>
        <w:tc>
          <w:tcPr>
            <w:tcW w:w="713" w:type="dxa"/>
            <w:vMerge/>
            <w:tcBorders>
              <w:right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p>
        </w:tc>
        <w:tc>
          <w:tcPr>
            <w:tcW w:w="1380" w:type="dxa"/>
            <w:tcBorders>
              <w:top w:val="single" w:sz="4" w:space="0" w:color="000000"/>
              <w:left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2 операция</w:t>
            </w:r>
          </w:p>
        </w:tc>
        <w:tc>
          <w:tcPr>
            <w:tcW w:w="1559"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умеренная</w:t>
            </w:r>
          </w:p>
        </w:tc>
        <w:tc>
          <w:tcPr>
            <w:tcW w:w="1559"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умеренная</w:t>
            </w:r>
          </w:p>
        </w:tc>
        <w:tc>
          <w:tcPr>
            <w:tcW w:w="851"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нет</w:t>
            </w:r>
          </w:p>
        </w:tc>
        <w:tc>
          <w:tcPr>
            <w:tcW w:w="1276"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да</w:t>
            </w:r>
          </w:p>
        </w:tc>
        <w:tc>
          <w:tcPr>
            <w:tcW w:w="850"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15</w:t>
            </w:r>
          </w:p>
        </w:tc>
        <w:tc>
          <w:tcPr>
            <w:tcW w:w="1717"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AОДГ</w:t>
            </w:r>
            <w:r w:rsidRPr="007F20A4">
              <w:rPr>
                <w:rFonts w:ascii="Times New Roman" w:hAnsi="Times New Roman" w:cs="Times New Roman"/>
                <w:sz w:val="24"/>
                <w:szCs w:val="24"/>
                <w:lang w:val="en-US"/>
              </w:rPr>
              <w:t>GIII</w:t>
            </w:r>
            <w:r w:rsidRPr="007F20A4">
              <w:rPr>
                <w:rFonts w:ascii="Times New Roman" w:hAnsi="Times New Roman" w:cs="Times New Roman"/>
                <w:sz w:val="24"/>
                <w:szCs w:val="24"/>
              </w:rPr>
              <w:t xml:space="preserve">, </w:t>
            </w:r>
            <w:r w:rsidRPr="007F20A4">
              <w:rPr>
                <w:rFonts w:ascii="Times New Roman" w:hAnsi="Times New Roman" w:cs="Times New Roman"/>
                <w:sz w:val="24"/>
                <w:szCs w:val="24"/>
                <w:lang w:val="en-US"/>
              </w:rPr>
              <w:t>IDH</w:t>
            </w:r>
            <w:r w:rsidRPr="007F20A4">
              <w:rPr>
                <w:rFonts w:ascii="Times New Roman" w:hAnsi="Times New Roman" w:cs="Times New Roman"/>
                <w:sz w:val="24"/>
                <w:szCs w:val="24"/>
              </w:rPr>
              <w:t>1(</w:t>
            </w:r>
            <w:r w:rsidRPr="007F20A4">
              <w:rPr>
                <w:rFonts w:ascii="Times New Roman" w:hAnsi="Times New Roman" w:cs="Times New Roman"/>
                <w:sz w:val="24"/>
                <w:szCs w:val="24"/>
                <w:lang w:val="en-US"/>
              </w:rPr>
              <w:t>R</w:t>
            </w:r>
            <w:r w:rsidRPr="007F20A4">
              <w:rPr>
                <w:rFonts w:ascii="Times New Roman" w:hAnsi="Times New Roman" w:cs="Times New Roman"/>
                <w:sz w:val="24"/>
                <w:szCs w:val="24"/>
              </w:rPr>
              <w:t>132</w:t>
            </w:r>
            <w:r w:rsidRPr="007F20A4">
              <w:rPr>
                <w:rFonts w:ascii="Times New Roman" w:hAnsi="Times New Roman" w:cs="Times New Roman"/>
                <w:sz w:val="24"/>
                <w:szCs w:val="24"/>
                <w:lang w:val="en-US"/>
              </w:rPr>
              <w:t>H</w:t>
            </w:r>
            <w:r w:rsidRPr="007F20A4">
              <w:rPr>
                <w:rFonts w:ascii="Times New Roman" w:hAnsi="Times New Roman" w:cs="Times New Roman"/>
                <w:sz w:val="24"/>
                <w:szCs w:val="24"/>
              </w:rPr>
              <w:t>), 1</w:t>
            </w:r>
            <w:r w:rsidRPr="007F20A4">
              <w:rPr>
                <w:rFonts w:ascii="Times New Roman" w:hAnsi="Times New Roman" w:cs="Times New Roman"/>
                <w:sz w:val="24"/>
                <w:szCs w:val="24"/>
                <w:lang w:val="en-US"/>
              </w:rPr>
              <w:t>p</w:t>
            </w:r>
            <w:r w:rsidRPr="007F20A4">
              <w:rPr>
                <w:rFonts w:ascii="Times New Roman" w:hAnsi="Times New Roman" w:cs="Times New Roman"/>
                <w:sz w:val="24"/>
                <w:szCs w:val="24"/>
              </w:rPr>
              <w:t>19</w:t>
            </w:r>
            <w:r w:rsidRPr="007F20A4">
              <w:rPr>
                <w:rFonts w:ascii="Times New Roman" w:hAnsi="Times New Roman" w:cs="Times New Roman"/>
                <w:sz w:val="24"/>
                <w:szCs w:val="24"/>
                <w:lang w:val="en-US"/>
              </w:rPr>
              <w:t>q</w:t>
            </w:r>
            <w:r w:rsidRPr="007F20A4">
              <w:rPr>
                <w:rFonts w:ascii="Times New Roman" w:hAnsi="Times New Roman" w:cs="Times New Roman"/>
                <w:sz w:val="24"/>
                <w:szCs w:val="24"/>
              </w:rPr>
              <w:t xml:space="preserve"> (н.д.)</w:t>
            </w:r>
          </w:p>
        </w:tc>
      </w:tr>
      <w:tr w:rsidR="00037502" w:rsidRPr="007F20A4" w:rsidTr="007F20A4">
        <w:trPr>
          <w:trHeight w:val="505"/>
        </w:trPr>
        <w:tc>
          <w:tcPr>
            <w:tcW w:w="713" w:type="dxa"/>
            <w:vMerge w:val="restart"/>
            <w:tcBorders>
              <w:right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5</w:t>
            </w:r>
          </w:p>
        </w:tc>
        <w:tc>
          <w:tcPr>
            <w:tcW w:w="1380" w:type="dxa"/>
            <w:tcBorders>
              <w:left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1 операция</w:t>
            </w:r>
          </w:p>
        </w:tc>
        <w:tc>
          <w:tcPr>
            <w:tcW w:w="1559"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1559"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851"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1276"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850"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5</w:t>
            </w:r>
          </w:p>
        </w:tc>
        <w:tc>
          <w:tcPr>
            <w:tcW w:w="1717"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ДА</w:t>
            </w:r>
            <w:r w:rsidRPr="007F20A4">
              <w:rPr>
                <w:rFonts w:ascii="Times New Roman" w:hAnsi="Times New Roman" w:cs="Times New Roman"/>
                <w:b/>
                <w:bCs/>
                <w:sz w:val="24"/>
                <w:szCs w:val="24"/>
                <w:lang w:val="en-US"/>
              </w:rPr>
              <w:t>GII, IDHwt</w:t>
            </w:r>
          </w:p>
        </w:tc>
      </w:tr>
      <w:tr w:rsidR="00037502" w:rsidRPr="007F20A4" w:rsidTr="007F20A4">
        <w:trPr>
          <w:trHeight w:val="491"/>
        </w:trPr>
        <w:tc>
          <w:tcPr>
            <w:tcW w:w="713" w:type="dxa"/>
            <w:vMerge/>
            <w:tcBorders>
              <w:right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p>
        </w:tc>
        <w:tc>
          <w:tcPr>
            <w:tcW w:w="1380" w:type="dxa"/>
            <w:tcBorders>
              <w:top w:val="single" w:sz="4" w:space="0" w:color="000000"/>
              <w:left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2 операция</w:t>
            </w:r>
          </w:p>
        </w:tc>
        <w:tc>
          <w:tcPr>
            <w:tcW w:w="1559"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выраженная</w:t>
            </w:r>
          </w:p>
        </w:tc>
        <w:tc>
          <w:tcPr>
            <w:tcW w:w="1559"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выраженная</w:t>
            </w:r>
          </w:p>
        </w:tc>
        <w:tc>
          <w:tcPr>
            <w:tcW w:w="851"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да</w:t>
            </w:r>
          </w:p>
        </w:tc>
        <w:tc>
          <w:tcPr>
            <w:tcW w:w="1276"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да</w:t>
            </w:r>
          </w:p>
        </w:tc>
        <w:tc>
          <w:tcPr>
            <w:tcW w:w="850"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22</w:t>
            </w:r>
          </w:p>
        </w:tc>
        <w:tc>
          <w:tcPr>
            <w:tcW w:w="1717"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 xml:space="preserve">ГБ, </w:t>
            </w:r>
            <w:r w:rsidRPr="007F20A4">
              <w:rPr>
                <w:rFonts w:ascii="Times New Roman" w:hAnsi="Times New Roman" w:cs="Times New Roman"/>
                <w:sz w:val="24"/>
                <w:szCs w:val="24"/>
                <w:lang w:val="en-US"/>
              </w:rPr>
              <w:t>IDHwt</w:t>
            </w:r>
          </w:p>
        </w:tc>
      </w:tr>
      <w:tr w:rsidR="00037502" w:rsidRPr="007F20A4" w:rsidTr="007F20A4">
        <w:trPr>
          <w:trHeight w:val="344"/>
        </w:trPr>
        <w:tc>
          <w:tcPr>
            <w:tcW w:w="713" w:type="dxa"/>
            <w:vMerge w:val="restart"/>
            <w:tcBorders>
              <w:right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6</w:t>
            </w:r>
          </w:p>
        </w:tc>
        <w:tc>
          <w:tcPr>
            <w:tcW w:w="1380" w:type="dxa"/>
            <w:tcBorders>
              <w:left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1 операция</w:t>
            </w:r>
          </w:p>
        </w:tc>
        <w:tc>
          <w:tcPr>
            <w:tcW w:w="1559"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1559"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851"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1276"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850"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5</w:t>
            </w:r>
          </w:p>
        </w:tc>
        <w:tc>
          <w:tcPr>
            <w:tcW w:w="1717" w:type="dxa"/>
            <w:tcBorders>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lang w:val="en-US"/>
              </w:rPr>
            </w:pPr>
            <w:r w:rsidRPr="007F20A4">
              <w:rPr>
                <w:rFonts w:ascii="Times New Roman" w:hAnsi="Times New Roman" w:cs="Times New Roman"/>
                <w:b/>
                <w:bCs/>
                <w:sz w:val="24"/>
                <w:szCs w:val="24"/>
              </w:rPr>
              <w:t>ДА</w:t>
            </w:r>
            <w:r w:rsidRPr="007F20A4">
              <w:rPr>
                <w:rFonts w:ascii="Times New Roman" w:hAnsi="Times New Roman" w:cs="Times New Roman"/>
                <w:b/>
                <w:bCs/>
                <w:sz w:val="24"/>
                <w:szCs w:val="24"/>
                <w:lang w:val="en-US"/>
              </w:rPr>
              <w:t>GII, IDH1(R132H)</w:t>
            </w:r>
          </w:p>
        </w:tc>
      </w:tr>
      <w:tr w:rsidR="00037502" w:rsidRPr="007F20A4" w:rsidTr="007F20A4">
        <w:trPr>
          <w:trHeight w:val="343"/>
        </w:trPr>
        <w:tc>
          <w:tcPr>
            <w:tcW w:w="713" w:type="dxa"/>
            <w:vMerge/>
            <w:tcBorders>
              <w:right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p>
        </w:tc>
        <w:tc>
          <w:tcPr>
            <w:tcW w:w="1380" w:type="dxa"/>
            <w:tcBorders>
              <w:top w:val="single" w:sz="4" w:space="0" w:color="000000"/>
              <w:left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2 операция</w:t>
            </w:r>
          </w:p>
        </w:tc>
        <w:tc>
          <w:tcPr>
            <w:tcW w:w="1559"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выраженная</w:t>
            </w:r>
          </w:p>
        </w:tc>
        <w:tc>
          <w:tcPr>
            <w:tcW w:w="1559"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умеренная</w:t>
            </w:r>
          </w:p>
        </w:tc>
        <w:tc>
          <w:tcPr>
            <w:tcW w:w="851"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да</w:t>
            </w:r>
          </w:p>
        </w:tc>
        <w:tc>
          <w:tcPr>
            <w:tcW w:w="1276"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да</w:t>
            </w:r>
          </w:p>
        </w:tc>
        <w:tc>
          <w:tcPr>
            <w:tcW w:w="850"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10</w:t>
            </w:r>
          </w:p>
        </w:tc>
        <w:tc>
          <w:tcPr>
            <w:tcW w:w="1717"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 xml:space="preserve">AAGIII, </w:t>
            </w:r>
            <w:r w:rsidRPr="007F20A4">
              <w:rPr>
                <w:rFonts w:ascii="Times New Roman" w:hAnsi="Times New Roman" w:cs="Times New Roman"/>
                <w:sz w:val="24"/>
                <w:szCs w:val="24"/>
                <w:lang w:val="en-US"/>
              </w:rPr>
              <w:t>IDH1(R132H)</w:t>
            </w:r>
          </w:p>
        </w:tc>
      </w:tr>
      <w:tr w:rsidR="00037502" w:rsidRPr="007F20A4" w:rsidTr="007F20A4">
        <w:trPr>
          <w:trHeight w:val="343"/>
        </w:trPr>
        <w:tc>
          <w:tcPr>
            <w:tcW w:w="713" w:type="dxa"/>
            <w:vMerge w:val="restart"/>
            <w:tcBorders>
              <w:right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7</w:t>
            </w:r>
          </w:p>
        </w:tc>
        <w:tc>
          <w:tcPr>
            <w:tcW w:w="1380" w:type="dxa"/>
            <w:tcBorders>
              <w:top w:val="single" w:sz="4" w:space="0" w:color="000000"/>
              <w:left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1 операция</w:t>
            </w:r>
          </w:p>
        </w:tc>
        <w:tc>
          <w:tcPr>
            <w:tcW w:w="1559"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1559"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851"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1276"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850"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5</w:t>
            </w:r>
          </w:p>
        </w:tc>
        <w:tc>
          <w:tcPr>
            <w:tcW w:w="1717"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lang w:val="en-US"/>
              </w:rPr>
            </w:pPr>
            <w:r w:rsidRPr="007F20A4">
              <w:rPr>
                <w:rFonts w:ascii="Times New Roman" w:hAnsi="Times New Roman" w:cs="Times New Roman"/>
                <w:b/>
                <w:bCs/>
                <w:sz w:val="24"/>
                <w:szCs w:val="24"/>
              </w:rPr>
              <w:t>ДА</w:t>
            </w:r>
            <w:r w:rsidRPr="007F20A4">
              <w:rPr>
                <w:rFonts w:ascii="Times New Roman" w:hAnsi="Times New Roman" w:cs="Times New Roman"/>
                <w:b/>
                <w:bCs/>
                <w:sz w:val="24"/>
                <w:szCs w:val="24"/>
                <w:lang w:val="en-US"/>
              </w:rPr>
              <w:t>GII, IDH1(R132H)</w:t>
            </w:r>
          </w:p>
        </w:tc>
      </w:tr>
      <w:tr w:rsidR="00037502" w:rsidRPr="007F20A4" w:rsidTr="007F20A4">
        <w:trPr>
          <w:trHeight w:val="343"/>
        </w:trPr>
        <w:tc>
          <w:tcPr>
            <w:tcW w:w="713" w:type="dxa"/>
            <w:vMerge/>
            <w:tcBorders>
              <w:right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p>
        </w:tc>
        <w:tc>
          <w:tcPr>
            <w:tcW w:w="1380" w:type="dxa"/>
            <w:tcBorders>
              <w:top w:val="single" w:sz="4" w:space="0" w:color="000000"/>
              <w:left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2 операция</w:t>
            </w:r>
          </w:p>
        </w:tc>
        <w:tc>
          <w:tcPr>
            <w:tcW w:w="1559"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нет</w:t>
            </w:r>
          </w:p>
        </w:tc>
        <w:tc>
          <w:tcPr>
            <w:tcW w:w="1559"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нет</w:t>
            </w:r>
          </w:p>
        </w:tc>
        <w:tc>
          <w:tcPr>
            <w:tcW w:w="851"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нет</w:t>
            </w:r>
          </w:p>
        </w:tc>
        <w:tc>
          <w:tcPr>
            <w:tcW w:w="1276"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да</w:t>
            </w:r>
          </w:p>
        </w:tc>
        <w:tc>
          <w:tcPr>
            <w:tcW w:w="850"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7</w:t>
            </w:r>
          </w:p>
        </w:tc>
        <w:tc>
          <w:tcPr>
            <w:tcW w:w="1717"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 xml:space="preserve">AAGIII, </w:t>
            </w:r>
            <w:r w:rsidRPr="007F20A4">
              <w:rPr>
                <w:rFonts w:ascii="Times New Roman" w:hAnsi="Times New Roman" w:cs="Times New Roman"/>
                <w:sz w:val="24"/>
                <w:szCs w:val="24"/>
                <w:lang w:val="en-US"/>
              </w:rPr>
              <w:lastRenderedPageBreak/>
              <w:t>IDH1(R132H)</w:t>
            </w:r>
          </w:p>
        </w:tc>
      </w:tr>
      <w:tr w:rsidR="00037502" w:rsidRPr="007F20A4" w:rsidTr="007F20A4">
        <w:trPr>
          <w:trHeight w:val="343"/>
        </w:trPr>
        <w:tc>
          <w:tcPr>
            <w:tcW w:w="713" w:type="dxa"/>
            <w:vMerge w:val="restart"/>
            <w:tcBorders>
              <w:right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lastRenderedPageBreak/>
              <w:t>8</w:t>
            </w:r>
          </w:p>
        </w:tc>
        <w:tc>
          <w:tcPr>
            <w:tcW w:w="1380" w:type="dxa"/>
            <w:tcBorders>
              <w:top w:val="single" w:sz="4" w:space="0" w:color="000000"/>
              <w:left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1 операция</w:t>
            </w:r>
          </w:p>
        </w:tc>
        <w:tc>
          <w:tcPr>
            <w:tcW w:w="1559"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1559"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851"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1276"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нет</w:t>
            </w:r>
          </w:p>
        </w:tc>
        <w:tc>
          <w:tcPr>
            <w:tcW w:w="850"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5</w:t>
            </w:r>
          </w:p>
        </w:tc>
        <w:tc>
          <w:tcPr>
            <w:tcW w:w="1717" w:type="dxa"/>
            <w:tcBorders>
              <w:top w:val="single" w:sz="4" w:space="0" w:color="000000"/>
              <w:bottom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b/>
                <w:bCs/>
                <w:sz w:val="24"/>
                <w:szCs w:val="24"/>
              </w:rPr>
            </w:pPr>
            <w:r w:rsidRPr="007F20A4">
              <w:rPr>
                <w:rFonts w:ascii="Times New Roman" w:hAnsi="Times New Roman" w:cs="Times New Roman"/>
                <w:b/>
                <w:bCs/>
                <w:sz w:val="24"/>
                <w:szCs w:val="24"/>
              </w:rPr>
              <w:t>ОДГ</w:t>
            </w:r>
            <w:r w:rsidRPr="007F20A4">
              <w:rPr>
                <w:rFonts w:ascii="Times New Roman" w:hAnsi="Times New Roman" w:cs="Times New Roman"/>
                <w:b/>
                <w:bCs/>
                <w:sz w:val="24"/>
                <w:szCs w:val="24"/>
                <w:lang w:val="en-US"/>
              </w:rPr>
              <w:t>GII</w:t>
            </w:r>
            <w:r w:rsidRPr="007F20A4">
              <w:rPr>
                <w:rFonts w:ascii="Times New Roman" w:hAnsi="Times New Roman" w:cs="Times New Roman"/>
                <w:b/>
                <w:bCs/>
                <w:sz w:val="24"/>
                <w:szCs w:val="24"/>
              </w:rPr>
              <w:t xml:space="preserve">, </w:t>
            </w:r>
            <w:r w:rsidRPr="007F20A4">
              <w:rPr>
                <w:rFonts w:ascii="Times New Roman" w:hAnsi="Times New Roman" w:cs="Times New Roman"/>
                <w:b/>
                <w:bCs/>
                <w:sz w:val="24"/>
                <w:szCs w:val="24"/>
                <w:lang w:val="en-US"/>
              </w:rPr>
              <w:t>IDH</w:t>
            </w:r>
            <w:r w:rsidRPr="007F20A4">
              <w:rPr>
                <w:rFonts w:ascii="Times New Roman" w:hAnsi="Times New Roman" w:cs="Times New Roman"/>
                <w:b/>
                <w:bCs/>
                <w:sz w:val="24"/>
                <w:szCs w:val="24"/>
              </w:rPr>
              <w:t>1(</w:t>
            </w:r>
            <w:r w:rsidRPr="007F20A4">
              <w:rPr>
                <w:rFonts w:ascii="Times New Roman" w:hAnsi="Times New Roman" w:cs="Times New Roman"/>
                <w:b/>
                <w:bCs/>
                <w:sz w:val="24"/>
                <w:szCs w:val="24"/>
                <w:lang w:val="en-US"/>
              </w:rPr>
              <w:t>R</w:t>
            </w:r>
            <w:r w:rsidRPr="007F20A4">
              <w:rPr>
                <w:rFonts w:ascii="Times New Roman" w:hAnsi="Times New Roman" w:cs="Times New Roman"/>
                <w:b/>
                <w:bCs/>
                <w:sz w:val="24"/>
                <w:szCs w:val="24"/>
              </w:rPr>
              <w:t>132</w:t>
            </w:r>
            <w:r w:rsidRPr="007F20A4">
              <w:rPr>
                <w:rFonts w:ascii="Times New Roman" w:hAnsi="Times New Roman" w:cs="Times New Roman"/>
                <w:b/>
                <w:bCs/>
                <w:sz w:val="24"/>
                <w:szCs w:val="24"/>
                <w:lang w:val="en-US"/>
              </w:rPr>
              <w:t>H</w:t>
            </w:r>
            <w:r w:rsidRPr="007F20A4">
              <w:rPr>
                <w:rFonts w:ascii="Times New Roman" w:hAnsi="Times New Roman" w:cs="Times New Roman"/>
                <w:b/>
                <w:bCs/>
                <w:sz w:val="24"/>
                <w:szCs w:val="24"/>
              </w:rPr>
              <w:t>), 1</w:t>
            </w:r>
            <w:r w:rsidRPr="007F20A4">
              <w:rPr>
                <w:rFonts w:ascii="Times New Roman" w:hAnsi="Times New Roman" w:cs="Times New Roman"/>
                <w:b/>
                <w:bCs/>
                <w:sz w:val="24"/>
                <w:szCs w:val="24"/>
                <w:lang w:val="en-US"/>
              </w:rPr>
              <w:t>p</w:t>
            </w:r>
            <w:r w:rsidRPr="007F20A4">
              <w:rPr>
                <w:rFonts w:ascii="Times New Roman" w:hAnsi="Times New Roman" w:cs="Times New Roman"/>
                <w:b/>
                <w:bCs/>
                <w:sz w:val="24"/>
                <w:szCs w:val="24"/>
              </w:rPr>
              <w:t>19</w:t>
            </w:r>
            <w:r w:rsidRPr="007F20A4">
              <w:rPr>
                <w:rFonts w:ascii="Times New Roman" w:hAnsi="Times New Roman" w:cs="Times New Roman"/>
                <w:b/>
                <w:bCs/>
                <w:sz w:val="24"/>
                <w:szCs w:val="24"/>
                <w:lang w:val="en-US"/>
              </w:rPr>
              <w:t>q</w:t>
            </w:r>
            <w:r w:rsidRPr="007F20A4">
              <w:rPr>
                <w:rFonts w:ascii="Times New Roman" w:hAnsi="Times New Roman" w:cs="Times New Roman"/>
                <w:b/>
                <w:bCs/>
                <w:sz w:val="24"/>
                <w:szCs w:val="24"/>
              </w:rPr>
              <w:t xml:space="preserve"> (+)</w:t>
            </w:r>
          </w:p>
        </w:tc>
      </w:tr>
      <w:tr w:rsidR="00037502" w:rsidRPr="007F20A4" w:rsidTr="007F20A4">
        <w:trPr>
          <w:trHeight w:val="343"/>
        </w:trPr>
        <w:tc>
          <w:tcPr>
            <w:tcW w:w="713" w:type="dxa"/>
            <w:vMerge/>
            <w:tcBorders>
              <w:right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p>
        </w:tc>
        <w:tc>
          <w:tcPr>
            <w:tcW w:w="1380" w:type="dxa"/>
            <w:tcBorders>
              <w:top w:val="single" w:sz="4" w:space="0" w:color="000000"/>
              <w:left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2 операция</w:t>
            </w:r>
          </w:p>
        </w:tc>
        <w:tc>
          <w:tcPr>
            <w:tcW w:w="1559"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выраженная</w:t>
            </w:r>
          </w:p>
        </w:tc>
        <w:tc>
          <w:tcPr>
            <w:tcW w:w="1559"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выраженная</w:t>
            </w:r>
          </w:p>
        </w:tc>
        <w:tc>
          <w:tcPr>
            <w:tcW w:w="851"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да</w:t>
            </w:r>
          </w:p>
        </w:tc>
        <w:tc>
          <w:tcPr>
            <w:tcW w:w="1276"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да</w:t>
            </w:r>
          </w:p>
        </w:tc>
        <w:tc>
          <w:tcPr>
            <w:tcW w:w="850"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12</w:t>
            </w:r>
          </w:p>
        </w:tc>
        <w:tc>
          <w:tcPr>
            <w:tcW w:w="1717" w:type="dxa"/>
            <w:tcBorders>
              <w:top w:val="single" w:sz="4" w:space="0" w:color="000000"/>
            </w:tcBorders>
            <w:shd w:val="clear" w:color="auto" w:fill="auto"/>
          </w:tcPr>
          <w:p w:rsidR="00037502" w:rsidRPr="007F20A4" w:rsidRDefault="00037502" w:rsidP="005E0D82">
            <w:pPr>
              <w:spacing w:after="0" w:line="360" w:lineRule="auto"/>
              <w:rPr>
                <w:rFonts w:ascii="Times New Roman" w:hAnsi="Times New Roman" w:cs="Times New Roman"/>
                <w:sz w:val="24"/>
                <w:szCs w:val="24"/>
              </w:rPr>
            </w:pPr>
            <w:r w:rsidRPr="007F20A4">
              <w:rPr>
                <w:rFonts w:ascii="Times New Roman" w:hAnsi="Times New Roman" w:cs="Times New Roman"/>
                <w:sz w:val="24"/>
                <w:szCs w:val="24"/>
              </w:rPr>
              <w:t>AОДГ</w:t>
            </w:r>
            <w:r w:rsidRPr="007F20A4">
              <w:rPr>
                <w:rFonts w:ascii="Times New Roman" w:hAnsi="Times New Roman" w:cs="Times New Roman"/>
                <w:sz w:val="24"/>
                <w:szCs w:val="24"/>
                <w:lang w:val="en-US"/>
              </w:rPr>
              <w:t>GIII</w:t>
            </w:r>
            <w:r w:rsidRPr="007F20A4">
              <w:rPr>
                <w:rFonts w:ascii="Times New Roman" w:hAnsi="Times New Roman" w:cs="Times New Roman"/>
                <w:sz w:val="24"/>
                <w:szCs w:val="24"/>
              </w:rPr>
              <w:t xml:space="preserve">, </w:t>
            </w:r>
            <w:r w:rsidRPr="007F20A4">
              <w:rPr>
                <w:rFonts w:ascii="Times New Roman" w:hAnsi="Times New Roman" w:cs="Times New Roman"/>
                <w:sz w:val="24"/>
                <w:szCs w:val="24"/>
                <w:lang w:val="en-US"/>
              </w:rPr>
              <w:t>IDH</w:t>
            </w:r>
            <w:r w:rsidRPr="007F20A4">
              <w:rPr>
                <w:rFonts w:ascii="Times New Roman" w:hAnsi="Times New Roman" w:cs="Times New Roman"/>
                <w:sz w:val="24"/>
                <w:szCs w:val="24"/>
              </w:rPr>
              <w:t>1(</w:t>
            </w:r>
            <w:r w:rsidRPr="007F20A4">
              <w:rPr>
                <w:rFonts w:ascii="Times New Roman" w:hAnsi="Times New Roman" w:cs="Times New Roman"/>
                <w:sz w:val="24"/>
                <w:szCs w:val="24"/>
                <w:lang w:val="en-US"/>
              </w:rPr>
              <w:t>R</w:t>
            </w:r>
            <w:r w:rsidRPr="007F20A4">
              <w:rPr>
                <w:rFonts w:ascii="Times New Roman" w:hAnsi="Times New Roman" w:cs="Times New Roman"/>
                <w:sz w:val="24"/>
                <w:szCs w:val="24"/>
              </w:rPr>
              <w:t>132</w:t>
            </w:r>
            <w:r w:rsidRPr="007F20A4">
              <w:rPr>
                <w:rFonts w:ascii="Times New Roman" w:hAnsi="Times New Roman" w:cs="Times New Roman"/>
                <w:sz w:val="24"/>
                <w:szCs w:val="24"/>
                <w:lang w:val="en-US"/>
              </w:rPr>
              <w:t>H</w:t>
            </w:r>
            <w:r w:rsidRPr="007F20A4">
              <w:rPr>
                <w:rFonts w:ascii="Times New Roman" w:hAnsi="Times New Roman" w:cs="Times New Roman"/>
                <w:sz w:val="24"/>
                <w:szCs w:val="24"/>
              </w:rPr>
              <w:t>), 1</w:t>
            </w:r>
            <w:r w:rsidRPr="007F20A4">
              <w:rPr>
                <w:rFonts w:ascii="Times New Roman" w:hAnsi="Times New Roman" w:cs="Times New Roman"/>
                <w:sz w:val="24"/>
                <w:szCs w:val="24"/>
                <w:lang w:val="en-US"/>
              </w:rPr>
              <w:t>p</w:t>
            </w:r>
            <w:r w:rsidRPr="007F20A4">
              <w:rPr>
                <w:rFonts w:ascii="Times New Roman" w:hAnsi="Times New Roman" w:cs="Times New Roman"/>
                <w:sz w:val="24"/>
                <w:szCs w:val="24"/>
              </w:rPr>
              <w:t>19</w:t>
            </w:r>
            <w:r w:rsidRPr="007F20A4">
              <w:rPr>
                <w:rFonts w:ascii="Times New Roman" w:hAnsi="Times New Roman" w:cs="Times New Roman"/>
                <w:sz w:val="24"/>
                <w:szCs w:val="24"/>
                <w:lang w:val="en-US"/>
              </w:rPr>
              <w:t>q</w:t>
            </w:r>
            <w:r w:rsidRPr="007F20A4">
              <w:rPr>
                <w:rFonts w:ascii="Times New Roman" w:hAnsi="Times New Roman" w:cs="Times New Roman"/>
                <w:sz w:val="24"/>
                <w:szCs w:val="24"/>
              </w:rPr>
              <w:t xml:space="preserve"> (+)</w:t>
            </w:r>
          </w:p>
        </w:tc>
      </w:tr>
    </w:tbl>
    <w:p w:rsidR="00037502" w:rsidRPr="007F20A4" w:rsidRDefault="00037502" w:rsidP="005E0D82">
      <w:pPr>
        <w:spacing w:after="0" w:line="360" w:lineRule="auto"/>
        <w:jc w:val="both"/>
        <w:rPr>
          <w:rFonts w:ascii="Times New Roman" w:hAnsi="Times New Roman" w:cs="Times New Roman"/>
          <w:sz w:val="28"/>
          <w:szCs w:val="28"/>
        </w:rPr>
      </w:pPr>
    </w:p>
    <w:p w:rsidR="000C3602" w:rsidRPr="007F20A4" w:rsidRDefault="000C3602" w:rsidP="005E0D82">
      <w:pPr>
        <w:spacing w:after="0" w:line="360" w:lineRule="auto"/>
        <w:jc w:val="both"/>
        <w:rPr>
          <w:rFonts w:ascii="Times New Roman" w:hAnsi="Times New Roman" w:cs="Times New Roman"/>
          <w:sz w:val="28"/>
          <w:szCs w:val="28"/>
        </w:rPr>
      </w:pPr>
      <w:r w:rsidRPr="007F20A4">
        <w:rPr>
          <w:rFonts w:ascii="Times New Roman" w:hAnsi="Times New Roman" w:cs="Times New Roman"/>
          <w:sz w:val="28"/>
          <w:szCs w:val="28"/>
        </w:rPr>
        <w:t>Ниже приведены примеры микрофотографий гистологического материала ДА</w:t>
      </w:r>
      <w:r w:rsidRPr="007F20A4">
        <w:rPr>
          <w:rFonts w:ascii="Times New Roman" w:hAnsi="Times New Roman" w:cs="Times New Roman"/>
          <w:sz w:val="28"/>
          <w:szCs w:val="28"/>
          <w:lang w:val="en-US"/>
        </w:rPr>
        <w:t>GII</w:t>
      </w:r>
      <w:r w:rsidR="007F20A4" w:rsidRPr="007F20A4">
        <w:rPr>
          <w:rFonts w:ascii="Times New Roman" w:hAnsi="Times New Roman" w:cs="Times New Roman"/>
          <w:sz w:val="28"/>
          <w:szCs w:val="28"/>
        </w:rPr>
        <w:t xml:space="preserve"> </w:t>
      </w:r>
      <w:r w:rsidR="007F20A4" w:rsidRPr="007F20A4">
        <w:rPr>
          <w:rFonts w:ascii="Times New Roman" w:hAnsi="Times New Roman" w:cs="Times New Roman"/>
          <w:sz w:val="28"/>
          <w:szCs w:val="28"/>
          <w:lang w:val="en-US"/>
        </w:rPr>
        <w:t>IDHwt</w:t>
      </w:r>
      <w:r w:rsidR="007F20A4" w:rsidRPr="007F20A4">
        <w:rPr>
          <w:rFonts w:ascii="Times New Roman" w:hAnsi="Times New Roman" w:cs="Times New Roman"/>
          <w:sz w:val="28"/>
          <w:szCs w:val="28"/>
        </w:rPr>
        <w:t xml:space="preserve"> (случай №5)</w:t>
      </w:r>
      <w:r w:rsidRPr="007F20A4">
        <w:rPr>
          <w:rFonts w:ascii="Times New Roman" w:hAnsi="Times New Roman" w:cs="Times New Roman"/>
          <w:sz w:val="28"/>
          <w:szCs w:val="28"/>
        </w:rPr>
        <w:t xml:space="preserve"> от первой операции, окр. гематоксилин-эозин (рис. 1)</w:t>
      </w:r>
      <w:r w:rsidR="007F20A4" w:rsidRPr="007F20A4">
        <w:rPr>
          <w:rFonts w:ascii="Times New Roman" w:hAnsi="Times New Roman" w:cs="Times New Roman"/>
          <w:sz w:val="28"/>
          <w:szCs w:val="28"/>
        </w:rPr>
        <w:t xml:space="preserve"> и иммуногистохимическое исследование с ядерным окрашиванием антителом </w:t>
      </w:r>
      <w:r w:rsidR="007F20A4" w:rsidRPr="007F20A4">
        <w:rPr>
          <w:rFonts w:ascii="Times New Roman" w:hAnsi="Times New Roman" w:cs="Times New Roman"/>
          <w:sz w:val="28"/>
          <w:szCs w:val="28"/>
          <w:lang w:val="en-US"/>
        </w:rPr>
        <w:t>Ki</w:t>
      </w:r>
      <w:r w:rsidR="007F20A4" w:rsidRPr="007F20A4">
        <w:rPr>
          <w:rFonts w:ascii="Times New Roman" w:hAnsi="Times New Roman" w:cs="Times New Roman"/>
          <w:sz w:val="28"/>
          <w:szCs w:val="28"/>
        </w:rPr>
        <w:t>-67 (рис. 2) и гистологического материала вторичной ГБ</w:t>
      </w:r>
      <w:r w:rsidR="007F20A4" w:rsidRPr="007F20A4">
        <w:rPr>
          <w:rFonts w:ascii="Times New Roman" w:hAnsi="Times New Roman" w:cs="Times New Roman"/>
          <w:sz w:val="28"/>
          <w:szCs w:val="28"/>
          <w:lang w:val="en-US"/>
        </w:rPr>
        <w:t>GIV</w:t>
      </w:r>
      <w:r w:rsidR="007F20A4" w:rsidRPr="007F20A4">
        <w:rPr>
          <w:rFonts w:ascii="Times New Roman" w:hAnsi="Times New Roman" w:cs="Times New Roman"/>
          <w:sz w:val="28"/>
          <w:szCs w:val="28"/>
        </w:rPr>
        <w:t xml:space="preserve"> </w:t>
      </w:r>
      <w:r w:rsidR="007F20A4" w:rsidRPr="007F20A4">
        <w:rPr>
          <w:rFonts w:ascii="Times New Roman" w:hAnsi="Times New Roman" w:cs="Times New Roman"/>
          <w:sz w:val="28"/>
          <w:szCs w:val="28"/>
          <w:lang w:val="en-US"/>
        </w:rPr>
        <w:t>IDHwt</w:t>
      </w:r>
      <w:r w:rsidR="007F20A4" w:rsidRPr="007F20A4">
        <w:rPr>
          <w:rFonts w:ascii="Times New Roman" w:hAnsi="Times New Roman" w:cs="Times New Roman"/>
          <w:sz w:val="28"/>
          <w:szCs w:val="28"/>
        </w:rPr>
        <w:t xml:space="preserve"> (случай №5) от второй операции, окр. гематоксилин-эозин (рис. 3) и иммуногистохимическое исследование с ядерным окрашиванием антителом </w:t>
      </w:r>
      <w:r w:rsidR="007F20A4" w:rsidRPr="007F20A4">
        <w:rPr>
          <w:rFonts w:ascii="Times New Roman" w:hAnsi="Times New Roman" w:cs="Times New Roman"/>
          <w:sz w:val="28"/>
          <w:szCs w:val="28"/>
          <w:lang w:val="en-US"/>
        </w:rPr>
        <w:t>Ki</w:t>
      </w:r>
      <w:r w:rsidR="007F20A4" w:rsidRPr="007F20A4">
        <w:rPr>
          <w:rFonts w:ascii="Times New Roman" w:hAnsi="Times New Roman" w:cs="Times New Roman"/>
          <w:sz w:val="28"/>
          <w:szCs w:val="28"/>
        </w:rPr>
        <w:t xml:space="preserve">-67 (рис. 4). В сравнении отмечается выраженная пролиферация сосудов, наличие некрозов, повышение индекса </w:t>
      </w:r>
      <w:r w:rsidR="007F20A4" w:rsidRPr="007F20A4">
        <w:rPr>
          <w:rFonts w:ascii="Times New Roman" w:hAnsi="Times New Roman" w:cs="Times New Roman"/>
          <w:sz w:val="28"/>
          <w:szCs w:val="28"/>
          <w:lang w:val="en-US"/>
        </w:rPr>
        <w:t>Ki</w:t>
      </w:r>
      <w:r w:rsidR="007F20A4" w:rsidRPr="007F20A4">
        <w:rPr>
          <w:rFonts w:ascii="Times New Roman" w:hAnsi="Times New Roman" w:cs="Times New Roman"/>
          <w:sz w:val="28"/>
          <w:szCs w:val="28"/>
        </w:rPr>
        <w:t xml:space="preserve">-67. </w:t>
      </w:r>
    </w:p>
    <w:p w:rsidR="007F20A4" w:rsidRDefault="007F20A4" w:rsidP="005E0D82">
      <w:pPr>
        <w:keepNext/>
        <w:spacing w:after="0" w:line="360" w:lineRule="auto"/>
        <w:jc w:val="both"/>
      </w:pPr>
      <w:r w:rsidRPr="00EA174B">
        <w:rPr>
          <w:noProof/>
          <w:lang w:eastAsia="ru-RU" w:bidi="he-IL"/>
        </w:rPr>
        <w:drawing>
          <wp:inline distT="0" distB="0" distL="0" distR="0" wp14:anchorId="1327F9A4" wp14:editId="7FA0CE55">
            <wp:extent cx="4889992" cy="3763645"/>
            <wp:effectExtent l="19050" t="19050" r="635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6131" cy="3776066"/>
                    </a:xfrm>
                    <a:prstGeom prst="rect">
                      <a:avLst/>
                    </a:prstGeom>
                    <a:noFill/>
                    <a:ln w="9525" cmpd="sng">
                      <a:solidFill>
                        <a:srgbClr val="2F5597"/>
                      </a:solidFill>
                      <a:miter lim="800000"/>
                      <a:headEnd/>
                      <a:tailEnd/>
                    </a:ln>
                    <a:effectLst/>
                  </pic:spPr>
                </pic:pic>
              </a:graphicData>
            </a:graphic>
          </wp:inline>
        </w:drawing>
      </w:r>
    </w:p>
    <w:p w:rsidR="007F20A4" w:rsidRDefault="007F20A4" w:rsidP="005E0D82">
      <w:pPr>
        <w:pStyle w:val="ae"/>
        <w:spacing w:after="0" w:line="360" w:lineRule="auto"/>
        <w:jc w:val="both"/>
      </w:pPr>
      <w:r>
        <w:t xml:space="preserve">Рисунок </w:t>
      </w:r>
      <w:fldSimple w:instr=" SEQ Рисунок \* ARABIC ">
        <w:r w:rsidR="005F175D">
          <w:rPr>
            <w:noProof/>
          </w:rPr>
          <w:t>4</w:t>
        </w:r>
      </w:fldSimple>
      <w:r>
        <w:t>. ДА</w:t>
      </w:r>
      <w:r>
        <w:rPr>
          <w:lang w:val="en-US"/>
        </w:rPr>
        <w:t>GII</w:t>
      </w:r>
      <w:r>
        <w:t>, окр. гематоксилин-эозин, Х100</w:t>
      </w:r>
    </w:p>
    <w:p w:rsidR="007F20A4" w:rsidRDefault="007F20A4" w:rsidP="005E0D82">
      <w:pPr>
        <w:keepNext/>
        <w:spacing w:after="0" w:line="360" w:lineRule="auto"/>
      </w:pPr>
      <w:r w:rsidRPr="00EA174B">
        <w:rPr>
          <w:noProof/>
          <w:lang w:eastAsia="ru-RU" w:bidi="he-IL"/>
        </w:rPr>
        <w:lastRenderedPageBreak/>
        <w:drawing>
          <wp:inline distT="0" distB="0" distL="0" distR="0" wp14:anchorId="57189734" wp14:editId="656D7756">
            <wp:extent cx="4664243" cy="3495040"/>
            <wp:effectExtent l="19050" t="1905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9002" cy="3506099"/>
                    </a:xfrm>
                    <a:prstGeom prst="rect">
                      <a:avLst/>
                    </a:prstGeom>
                    <a:noFill/>
                    <a:ln w="19050" cmpd="sng">
                      <a:solidFill>
                        <a:srgbClr val="FFFFFF"/>
                      </a:solidFill>
                      <a:miter lim="800000"/>
                      <a:headEnd/>
                      <a:tailEnd/>
                    </a:ln>
                    <a:effectLst/>
                  </pic:spPr>
                </pic:pic>
              </a:graphicData>
            </a:graphic>
          </wp:inline>
        </w:drawing>
      </w:r>
    </w:p>
    <w:p w:rsidR="007F20A4" w:rsidRDefault="007F20A4" w:rsidP="005E0D82">
      <w:pPr>
        <w:pStyle w:val="ae"/>
        <w:spacing w:after="0" w:line="360" w:lineRule="auto"/>
      </w:pPr>
      <w:r>
        <w:t xml:space="preserve">Рисунок </w:t>
      </w:r>
      <w:fldSimple w:instr=" SEQ Рисунок \* ARABIC ">
        <w:r w:rsidR="005F175D">
          <w:rPr>
            <w:noProof/>
          </w:rPr>
          <w:t>5</w:t>
        </w:r>
      </w:fldSimple>
      <w:r>
        <w:t>. ДА</w:t>
      </w:r>
      <w:r>
        <w:rPr>
          <w:lang w:val="en-US"/>
        </w:rPr>
        <w:t>GII</w:t>
      </w:r>
      <w:r>
        <w:t xml:space="preserve">, иммуногистохимия, ядерное окрашивание антителом </w:t>
      </w:r>
      <w:r>
        <w:rPr>
          <w:lang w:val="en-US"/>
        </w:rPr>
        <w:t>Ki</w:t>
      </w:r>
      <w:r w:rsidRPr="007F20A4">
        <w:t xml:space="preserve">-67, </w:t>
      </w:r>
      <w:r>
        <w:rPr>
          <w:lang w:val="en-US"/>
        </w:rPr>
        <w:t>X</w:t>
      </w:r>
      <w:r w:rsidRPr="007F20A4">
        <w:t>100</w:t>
      </w:r>
    </w:p>
    <w:p w:rsidR="002A2725" w:rsidRDefault="002A2725" w:rsidP="005E0D82">
      <w:pPr>
        <w:keepNext/>
        <w:spacing w:after="0" w:line="360" w:lineRule="auto"/>
      </w:pPr>
      <w:r w:rsidRPr="00EA174B">
        <w:rPr>
          <w:noProof/>
          <w:lang w:eastAsia="ru-RU" w:bidi="he-IL"/>
        </w:rPr>
        <w:drawing>
          <wp:inline distT="0" distB="0" distL="0" distR="0" wp14:anchorId="33880917" wp14:editId="04D191F3">
            <wp:extent cx="4681378" cy="3542665"/>
            <wp:effectExtent l="19050" t="19050" r="508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6114" cy="3553817"/>
                    </a:xfrm>
                    <a:prstGeom prst="rect">
                      <a:avLst/>
                    </a:prstGeom>
                    <a:noFill/>
                    <a:ln w="9525" cmpd="sng">
                      <a:solidFill>
                        <a:srgbClr val="2F5597"/>
                      </a:solidFill>
                      <a:miter lim="800000"/>
                      <a:headEnd/>
                      <a:tailEnd/>
                    </a:ln>
                    <a:effectLst/>
                  </pic:spPr>
                </pic:pic>
              </a:graphicData>
            </a:graphic>
          </wp:inline>
        </w:drawing>
      </w:r>
    </w:p>
    <w:p w:rsidR="002A2725" w:rsidRDefault="002A2725" w:rsidP="005E0D82">
      <w:pPr>
        <w:pStyle w:val="ae"/>
        <w:spacing w:after="0" w:line="360" w:lineRule="auto"/>
      </w:pPr>
      <w:r>
        <w:t xml:space="preserve">Рисунок </w:t>
      </w:r>
      <w:fldSimple w:instr=" SEQ Рисунок \* ARABIC ">
        <w:r w:rsidR="005F175D">
          <w:rPr>
            <w:noProof/>
          </w:rPr>
          <w:t>6</w:t>
        </w:r>
      </w:fldSimple>
      <w:r>
        <w:t xml:space="preserve">. Вторичная глиобластома </w:t>
      </w:r>
      <w:r>
        <w:rPr>
          <w:lang w:val="en-US"/>
        </w:rPr>
        <w:t>GIV</w:t>
      </w:r>
      <w:r w:rsidRPr="00DD10DF">
        <w:t>, окр. гематоксилин-эозин, Х100</w:t>
      </w:r>
    </w:p>
    <w:p w:rsidR="002A2725" w:rsidRDefault="002A2725" w:rsidP="005E0D82">
      <w:pPr>
        <w:keepNext/>
        <w:spacing w:after="0" w:line="360" w:lineRule="auto"/>
      </w:pPr>
      <w:r w:rsidRPr="00EA174B">
        <w:rPr>
          <w:noProof/>
          <w:lang w:eastAsia="ru-RU" w:bidi="he-IL"/>
        </w:rPr>
        <w:lastRenderedPageBreak/>
        <w:drawing>
          <wp:inline distT="0" distB="0" distL="0" distR="0" wp14:anchorId="76D8BB8A" wp14:editId="739F9A09">
            <wp:extent cx="4626110" cy="3466465"/>
            <wp:effectExtent l="19050" t="19050" r="317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5384" cy="3473414"/>
                    </a:xfrm>
                    <a:prstGeom prst="rect">
                      <a:avLst/>
                    </a:prstGeom>
                    <a:noFill/>
                    <a:ln w="19050" cmpd="sng">
                      <a:solidFill>
                        <a:srgbClr val="FFFFFF"/>
                      </a:solidFill>
                      <a:miter lim="800000"/>
                      <a:headEnd/>
                      <a:tailEnd/>
                    </a:ln>
                    <a:effectLst/>
                  </pic:spPr>
                </pic:pic>
              </a:graphicData>
            </a:graphic>
          </wp:inline>
        </w:drawing>
      </w:r>
    </w:p>
    <w:p w:rsidR="002A2725" w:rsidRDefault="002A2725" w:rsidP="005E0D82">
      <w:pPr>
        <w:pStyle w:val="ae"/>
        <w:spacing w:after="0" w:line="360" w:lineRule="auto"/>
      </w:pPr>
      <w:r>
        <w:t xml:space="preserve">Рисунок </w:t>
      </w:r>
      <w:fldSimple w:instr=" SEQ Рисунок \* ARABIC ">
        <w:r w:rsidR="005F175D">
          <w:rPr>
            <w:noProof/>
          </w:rPr>
          <w:t>7</w:t>
        </w:r>
      </w:fldSimple>
      <w:r>
        <w:t xml:space="preserve">. Вторичная глиобластома </w:t>
      </w:r>
      <w:r>
        <w:rPr>
          <w:lang w:val="en-US"/>
        </w:rPr>
        <w:t>GIV</w:t>
      </w:r>
      <w:r>
        <w:t xml:space="preserve">,  </w:t>
      </w:r>
      <w:r w:rsidRPr="00505235">
        <w:t>иммуногистохимия, ядерное окрашивание антителом Ki-67, X100</w:t>
      </w:r>
    </w:p>
    <w:p w:rsidR="002A2725" w:rsidRPr="00C25FC0" w:rsidRDefault="002A2725" w:rsidP="005E0D82">
      <w:pPr>
        <w:pStyle w:val="2"/>
        <w:spacing w:before="0" w:after="0" w:line="360" w:lineRule="auto"/>
        <w:rPr>
          <w:rFonts w:eastAsiaTheme="minorHAnsi"/>
          <w:b/>
          <w:bCs w:val="0"/>
        </w:rPr>
      </w:pPr>
      <w:bookmarkStart w:id="57" w:name="_Toc9031278"/>
      <w:bookmarkStart w:id="58" w:name="_Toc9250611"/>
      <w:r w:rsidRPr="00D40B81">
        <w:rPr>
          <w:b/>
          <w:bCs w:val="0"/>
        </w:rPr>
        <w:t xml:space="preserve">3.7. </w:t>
      </w:r>
      <w:r w:rsidRPr="00D40B81">
        <w:rPr>
          <w:rFonts w:eastAsiaTheme="minorHAnsi"/>
          <w:b/>
          <w:bCs w:val="0"/>
        </w:rPr>
        <w:t>Сравнительная морфо-генетическая характеристика АА</w:t>
      </w:r>
      <w:r w:rsidRPr="00D40B81">
        <w:rPr>
          <w:rFonts w:eastAsiaTheme="minorHAnsi"/>
          <w:b/>
          <w:bCs w:val="0"/>
          <w:lang w:val="en-US"/>
        </w:rPr>
        <w:t>GIII</w:t>
      </w:r>
      <w:r w:rsidRPr="00D40B81">
        <w:rPr>
          <w:rFonts w:eastAsiaTheme="minorHAnsi"/>
          <w:b/>
          <w:bCs w:val="0"/>
        </w:rPr>
        <w:t xml:space="preserve"> и АОДГ</w:t>
      </w:r>
      <w:r w:rsidRPr="00D40B81">
        <w:rPr>
          <w:rFonts w:eastAsiaTheme="minorHAnsi"/>
          <w:b/>
          <w:bCs w:val="0"/>
          <w:lang w:val="en-US"/>
        </w:rPr>
        <w:t>GIII</w:t>
      </w:r>
      <w:r w:rsidRPr="00D40B81">
        <w:rPr>
          <w:rFonts w:eastAsiaTheme="minorHAnsi"/>
          <w:b/>
          <w:bCs w:val="0"/>
        </w:rPr>
        <w:t xml:space="preserve"> при их злокачественной трансформации во вторичную ГБ</w:t>
      </w:r>
      <w:r w:rsidRPr="00D40B81">
        <w:rPr>
          <w:rFonts w:eastAsiaTheme="minorHAnsi"/>
          <w:b/>
          <w:bCs w:val="0"/>
          <w:lang w:val="en-US"/>
        </w:rPr>
        <w:t>GIV</w:t>
      </w:r>
      <w:bookmarkEnd w:id="57"/>
      <w:bookmarkEnd w:id="58"/>
    </w:p>
    <w:p w:rsidR="007415C4" w:rsidRPr="00B44977" w:rsidRDefault="007415C4" w:rsidP="005E0D82">
      <w:pPr>
        <w:spacing w:after="0" w:line="360" w:lineRule="auto"/>
        <w:jc w:val="both"/>
        <w:rPr>
          <w:rFonts w:ascii="Times New Roman" w:hAnsi="Times New Roman" w:cs="Times New Roman"/>
          <w:sz w:val="28"/>
          <w:szCs w:val="28"/>
        </w:rPr>
      </w:pPr>
      <w:r w:rsidRPr="00B44977">
        <w:rPr>
          <w:rFonts w:ascii="Times New Roman" w:hAnsi="Times New Roman" w:cs="Times New Roman"/>
          <w:sz w:val="28"/>
          <w:szCs w:val="28"/>
        </w:rPr>
        <w:t>Результаты сравнения представлены на табл. 7. В 82% случаев (5/6) при морфологическом исследовании опухоли от первой операции наблюдалась пролиферация сосудов и эндотелия в разной степени выраженности, только в одном случае в присланном на исследование материале сосудистые изменения отсутствовали. Некрозы были характерны исключительно для вторичных ГБ</w:t>
      </w:r>
      <w:r w:rsidRPr="00B44977">
        <w:rPr>
          <w:rFonts w:ascii="Times New Roman" w:hAnsi="Times New Roman" w:cs="Times New Roman"/>
          <w:sz w:val="28"/>
          <w:szCs w:val="28"/>
          <w:lang w:val="en-US"/>
        </w:rPr>
        <w:t>GIV</w:t>
      </w:r>
      <w:r w:rsidRPr="00B44977">
        <w:rPr>
          <w:rFonts w:ascii="Times New Roman" w:hAnsi="Times New Roman" w:cs="Times New Roman"/>
          <w:sz w:val="28"/>
          <w:szCs w:val="28"/>
        </w:rPr>
        <w:t>. Увеличение индекса пролиферативной активности (</w:t>
      </w:r>
      <w:r w:rsidRPr="00B44977">
        <w:rPr>
          <w:rFonts w:ascii="Times New Roman" w:hAnsi="Times New Roman" w:cs="Times New Roman"/>
          <w:sz w:val="28"/>
          <w:szCs w:val="28"/>
          <w:lang w:val="en-US"/>
        </w:rPr>
        <w:t>Ki</w:t>
      </w:r>
      <w:r w:rsidRPr="00B44977">
        <w:rPr>
          <w:rFonts w:ascii="Times New Roman" w:hAnsi="Times New Roman" w:cs="Times New Roman"/>
          <w:sz w:val="28"/>
          <w:szCs w:val="28"/>
        </w:rPr>
        <w:t>-67) после трансформации во вторичную ГБ</w:t>
      </w:r>
      <w:r w:rsidRPr="00B44977">
        <w:rPr>
          <w:rFonts w:ascii="Times New Roman" w:hAnsi="Times New Roman" w:cs="Times New Roman"/>
          <w:sz w:val="28"/>
          <w:szCs w:val="28"/>
          <w:lang w:val="en-US"/>
        </w:rPr>
        <w:t>GIV</w:t>
      </w:r>
      <w:r w:rsidRPr="00B44977">
        <w:rPr>
          <w:rFonts w:ascii="Times New Roman" w:hAnsi="Times New Roman" w:cs="Times New Roman"/>
          <w:sz w:val="28"/>
          <w:szCs w:val="28"/>
        </w:rPr>
        <w:t xml:space="preserve"> наблюдалось во всех случаях.</w:t>
      </w:r>
    </w:p>
    <w:p w:rsidR="007415C4" w:rsidRPr="00B44977" w:rsidRDefault="007415C4" w:rsidP="005E0D82">
      <w:pPr>
        <w:spacing w:after="0" w:line="360" w:lineRule="auto"/>
        <w:rPr>
          <w:rFonts w:ascii="Times New Roman" w:hAnsi="Times New Roman" w:cs="Times New Roman"/>
          <w:sz w:val="28"/>
          <w:szCs w:val="28"/>
        </w:rPr>
      </w:pPr>
      <w:r w:rsidRPr="00B44977">
        <w:rPr>
          <w:rFonts w:ascii="Times New Roman" w:hAnsi="Times New Roman" w:cs="Times New Roman"/>
          <w:sz w:val="28"/>
          <w:szCs w:val="28"/>
        </w:rPr>
        <w:t xml:space="preserve">Самыми стабильными молекулярно-генетическими характеристиками оказалась мутация в гене </w:t>
      </w:r>
      <w:r w:rsidRPr="00B44977">
        <w:rPr>
          <w:rFonts w:ascii="Times New Roman" w:hAnsi="Times New Roman" w:cs="Times New Roman"/>
          <w:sz w:val="28"/>
          <w:szCs w:val="28"/>
          <w:lang w:val="en-US"/>
        </w:rPr>
        <w:t>IDH</w:t>
      </w:r>
      <w:r w:rsidRPr="00B44977">
        <w:rPr>
          <w:rFonts w:ascii="Times New Roman" w:hAnsi="Times New Roman" w:cs="Times New Roman"/>
          <w:sz w:val="28"/>
          <w:szCs w:val="28"/>
        </w:rPr>
        <w:t>1 (</w:t>
      </w:r>
      <w:r w:rsidRPr="00B44977">
        <w:rPr>
          <w:rFonts w:ascii="Times New Roman" w:hAnsi="Times New Roman" w:cs="Times New Roman"/>
          <w:sz w:val="28"/>
          <w:szCs w:val="28"/>
          <w:lang w:val="en-US"/>
        </w:rPr>
        <w:t>R</w:t>
      </w:r>
      <w:r w:rsidRPr="00B44977">
        <w:rPr>
          <w:rFonts w:ascii="Times New Roman" w:hAnsi="Times New Roman" w:cs="Times New Roman"/>
          <w:sz w:val="28"/>
          <w:szCs w:val="28"/>
        </w:rPr>
        <w:t>132</w:t>
      </w:r>
      <w:r w:rsidRPr="00B44977">
        <w:rPr>
          <w:rFonts w:ascii="Times New Roman" w:hAnsi="Times New Roman" w:cs="Times New Roman"/>
          <w:sz w:val="28"/>
          <w:szCs w:val="28"/>
          <w:lang w:val="en-US"/>
        </w:rPr>
        <w:t>H</w:t>
      </w:r>
      <w:r w:rsidRPr="00B44977">
        <w:rPr>
          <w:rFonts w:ascii="Times New Roman" w:hAnsi="Times New Roman" w:cs="Times New Roman"/>
          <w:sz w:val="28"/>
          <w:szCs w:val="28"/>
        </w:rPr>
        <w:t>) и сочетанная делеция 1p19q, наличие или отсутствие которых не изменялось с ростом анаплазии опухоли. Примечательно, что в целом для АОДГ</w:t>
      </w:r>
      <w:r w:rsidRPr="00B44977">
        <w:rPr>
          <w:rFonts w:ascii="Times New Roman" w:hAnsi="Times New Roman" w:cs="Times New Roman"/>
          <w:sz w:val="28"/>
          <w:szCs w:val="28"/>
          <w:lang w:val="en-US"/>
        </w:rPr>
        <w:t>GIII</w:t>
      </w:r>
      <w:r w:rsidRPr="00B44977">
        <w:rPr>
          <w:rFonts w:ascii="Times New Roman" w:hAnsi="Times New Roman" w:cs="Times New Roman"/>
          <w:sz w:val="28"/>
          <w:szCs w:val="28"/>
        </w:rPr>
        <w:t xml:space="preserve"> и вторичных ГБ</w:t>
      </w:r>
      <w:r w:rsidRPr="00B44977">
        <w:rPr>
          <w:rFonts w:ascii="Times New Roman" w:hAnsi="Times New Roman" w:cs="Times New Roman"/>
          <w:sz w:val="28"/>
          <w:szCs w:val="28"/>
          <w:lang w:val="en-US"/>
        </w:rPr>
        <w:t>GIV</w:t>
      </w:r>
      <w:r w:rsidRPr="00B44977">
        <w:rPr>
          <w:rFonts w:ascii="Times New Roman" w:hAnsi="Times New Roman" w:cs="Times New Roman"/>
          <w:sz w:val="28"/>
          <w:szCs w:val="28"/>
        </w:rPr>
        <w:t xml:space="preserve"> из олигодендроглиальных опухолей характерен более высокий </w:t>
      </w:r>
      <w:r w:rsidRPr="00B44977">
        <w:rPr>
          <w:rFonts w:ascii="Times New Roman" w:hAnsi="Times New Roman" w:cs="Times New Roman"/>
          <w:sz w:val="28"/>
          <w:szCs w:val="28"/>
          <w:lang w:val="en-US"/>
        </w:rPr>
        <w:t>Ki</w:t>
      </w:r>
      <w:r w:rsidRPr="00B44977">
        <w:rPr>
          <w:rFonts w:ascii="Times New Roman" w:hAnsi="Times New Roman" w:cs="Times New Roman"/>
          <w:sz w:val="28"/>
          <w:szCs w:val="28"/>
        </w:rPr>
        <w:t xml:space="preserve">-67. </w:t>
      </w:r>
    </w:p>
    <w:p w:rsidR="00B44977" w:rsidRDefault="00B44977" w:rsidP="005E0D82">
      <w:pPr>
        <w:pStyle w:val="ae"/>
        <w:keepNext/>
        <w:spacing w:after="0" w:line="360" w:lineRule="auto"/>
      </w:pPr>
      <w:r>
        <w:lastRenderedPageBreak/>
        <w:t xml:space="preserve">Таблица </w:t>
      </w:r>
      <w:fldSimple w:instr=" SEQ Таблица \* ARABIC ">
        <w:r w:rsidR="00DD6C05">
          <w:rPr>
            <w:noProof/>
          </w:rPr>
          <w:t>8</w:t>
        </w:r>
      </w:fldSimple>
      <w:r>
        <w:t xml:space="preserve">. </w:t>
      </w:r>
      <w:r w:rsidRPr="000345E0">
        <w:t>Сравнительная морфо-генетическая характеристика ААGIII и АОДГGIII при их злокачественной трансформации во вторичную ГБGIV</w:t>
      </w: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1380"/>
        <w:gridCol w:w="1559"/>
        <w:gridCol w:w="1559"/>
        <w:gridCol w:w="851"/>
        <w:gridCol w:w="1314"/>
        <w:gridCol w:w="812"/>
        <w:gridCol w:w="1717"/>
      </w:tblGrid>
      <w:tr w:rsidR="007415C4" w:rsidRPr="00B44977" w:rsidTr="00B44977">
        <w:trPr>
          <w:trHeight w:val="855"/>
        </w:trPr>
        <w:tc>
          <w:tcPr>
            <w:tcW w:w="2093" w:type="dxa"/>
            <w:gridSpan w:val="2"/>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Номер случая/морфологические характеристики</w:t>
            </w:r>
          </w:p>
        </w:tc>
        <w:tc>
          <w:tcPr>
            <w:tcW w:w="1559" w:type="dxa"/>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Пролиферация сосудов</w:t>
            </w:r>
          </w:p>
        </w:tc>
        <w:tc>
          <w:tcPr>
            <w:tcW w:w="1559" w:type="dxa"/>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Пролиферация эндотелия сосудов</w:t>
            </w:r>
          </w:p>
        </w:tc>
        <w:tc>
          <w:tcPr>
            <w:tcW w:w="851" w:type="dxa"/>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Некрозы</w:t>
            </w:r>
          </w:p>
        </w:tc>
        <w:tc>
          <w:tcPr>
            <w:tcW w:w="1314" w:type="dxa"/>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Плотноклеточность</w:t>
            </w:r>
          </w:p>
        </w:tc>
        <w:tc>
          <w:tcPr>
            <w:tcW w:w="812" w:type="dxa"/>
            <w:shd w:val="clear" w:color="auto" w:fill="auto"/>
          </w:tcPr>
          <w:p w:rsidR="007415C4" w:rsidRPr="00B44977" w:rsidRDefault="007415C4" w:rsidP="005E0D82">
            <w:pPr>
              <w:spacing w:after="0" w:line="360" w:lineRule="auto"/>
              <w:rPr>
                <w:rFonts w:ascii="Times New Roman" w:hAnsi="Times New Roman" w:cs="Times New Roman"/>
                <w:b/>
                <w:bCs/>
                <w:sz w:val="24"/>
                <w:szCs w:val="24"/>
                <w:lang w:val="en-US"/>
              </w:rPr>
            </w:pPr>
            <w:r w:rsidRPr="00B44977">
              <w:rPr>
                <w:rFonts w:ascii="Times New Roman" w:hAnsi="Times New Roman" w:cs="Times New Roman"/>
                <w:b/>
                <w:bCs/>
                <w:sz w:val="24"/>
                <w:szCs w:val="24"/>
                <w:lang w:val="en-US"/>
              </w:rPr>
              <w:t>Ki-67</w:t>
            </w:r>
          </w:p>
        </w:tc>
        <w:tc>
          <w:tcPr>
            <w:tcW w:w="1717" w:type="dxa"/>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Диагноз</w:t>
            </w:r>
          </w:p>
        </w:tc>
      </w:tr>
      <w:tr w:rsidR="007415C4" w:rsidRPr="00B44977" w:rsidTr="00B44977">
        <w:trPr>
          <w:trHeight w:val="301"/>
        </w:trPr>
        <w:tc>
          <w:tcPr>
            <w:tcW w:w="713" w:type="dxa"/>
            <w:vMerge w:val="restart"/>
            <w:tcBorders>
              <w:right w:val="single" w:sz="4" w:space="0" w:color="000000"/>
            </w:tcBorders>
            <w:shd w:val="clear" w:color="auto" w:fill="auto"/>
          </w:tcPr>
          <w:p w:rsidR="007415C4" w:rsidRPr="00B44977" w:rsidRDefault="007415C4" w:rsidP="005E0D82">
            <w:pPr>
              <w:spacing w:after="0" w:line="360" w:lineRule="auto"/>
              <w:ind w:right="-83"/>
              <w:rPr>
                <w:rFonts w:ascii="Times New Roman" w:hAnsi="Times New Roman" w:cs="Times New Roman"/>
                <w:b/>
                <w:bCs/>
                <w:sz w:val="24"/>
                <w:szCs w:val="24"/>
              </w:rPr>
            </w:pPr>
            <w:r w:rsidRPr="00B44977">
              <w:rPr>
                <w:rFonts w:ascii="Times New Roman" w:hAnsi="Times New Roman" w:cs="Times New Roman"/>
                <w:b/>
                <w:bCs/>
                <w:sz w:val="24"/>
                <w:szCs w:val="24"/>
              </w:rPr>
              <w:t>1</w:t>
            </w:r>
          </w:p>
        </w:tc>
        <w:tc>
          <w:tcPr>
            <w:tcW w:w="1380" w:type="dxa"/>
            <w:tcBorders>
              <w:left w:val="single" w:sz="4" w:space="0" w:color="000000"/>
              <w:bottom w:val="single" w:sz="4" w:space="0" w:color="000000"/>
            </w:tcBorders>
            <w:shd w:val="clear" w:color="auto" w:fill="auto"/>
          </w:tcPr>
          <w:p w:rsidR="007415C4" w:rsidRPr="00B44977" w:rsidRDefault="007415C4" w:rsidP="005E0D82">
            <w:pPr>
              <w:spacing w:after="0" w:line="360" w:lineRule="auto"/>
              <w:ind w:right="-83"/>
              <w:rPr>
                <w:rFonts w:ascii="Times New Roman" w:hAnsi="Times New Roman" w:cs="Times New Roman"/>
                <w:b/>
                <w:bCs/>
                <w:sz w:val="24"/>
                <w:szCs w:val="24"/>
              </w:rPr>
            </w:pPr>
            <w:r w:rsidRPr="00B44977">
              <w:rPr>
                <w:rFonts w:ascii="Times New Roman" w:hAnsi="Times New Roman" w:cs="Times New Roman"/>
                <w:b/>
                <w:bCs/>
                <w:sz w:val="24"/>
                <w:szCs w:val="24"/>
              </w:rPr>
              <w:t>1 операция</w:t>
            </w:r>
          </w:p>
        </w:tc>
        <w:tc>
          <w:tcPr>
            <w:tcW w:w="1559"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умеренная</w:t>
            </w:r>
          </w:p>
        </w:tc>
        <w:tc>
          <w:tcPr>
            <w:tcW w:w="1559"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нет</w:t>
            </w:r>
          </w:p>
        </w:tc>
        <w:tc>
          <w:tcPr>
            <w:tcW w:w="851"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нет</w:t>
            </w:r>
          </w:p>
        </w:tc>
        <w:tc>
          <w:tcPr>
            <w:tcW w:w="1314"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да</w:t>
            </w:r>
          </w:p>
        </w:tc>
        <w:tc>
          <w:tcPr>
            <w:tcW w:w="812"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10</w:t>
            </w:r>
          </w:p>
        </w:tc>
        <w:tc>
          <w:tcPr>
            <w:tcW w:w="1717"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 xml:space="preserve">AAGIII, </w:t>
            </w:r>
            <w:r w:rsidRPr="00B44977">
              <w:rPr>
                <w:rFonts w:ascii="Times New Roman" w:hAnsi="Times New Roman" w:cs="Times New Roman"/>
                <w:b/>
                <w:bCs/>
                <w:sz w:val="24"/>
                <w:szCs w:val="24"/>
                <w:lang w:val="en-US"/>
              </w:rPr>
              <w:t>IDH1(R132H)</w:t>
            </w:r>
          </w:p>
        </w:tc>
      </w:tr>
      <w:tr w:rsidR="007415C4" w:rsidRPr="00B44977" w:rsidTr="00B44977">
        <w:trPr>
          <w:trHeight w:val="261"/>
        </w:trPr>
        <w:tc>
          <w:tcPr>
            <w:tcW w:w="713" w:type="dxa"/>
            <w:vMerge/>
            <w:tcBorders>
              <w:right w:val="single" w:sz="4" w:space="0" w:color="000000"/>
            </w:tcBorders>
            <w:shd w:val="clear" w:color="auto" w:fill="auto"/>
          </w:tcPr>
          <w:p w:rsidR="007415C4" w:rsidRPr="00B44977" w:rsidRDefault="007415C4" w:rsidP="005E0D82">
            <w:pPr>
              <w:spacing w:after="0" w:line="360" w:lineRule="auto"/>
              <w:ind w:right="-83"/>
              <w:rPr>
                <w:rFonts w:ascii="Times New Roman" w:hAnsi="Times New Roman" w:cs="Times New Roman"/>
                <w:b/>
                <w:bCs/>
                <w:sz w:val="24"/>
                <w:szCs w:val="24"/>
              </w:rPr>
            </w:pPr>
          </w:p>
        </w:tc>
        <w:tc>
          <w:tcPr>
            <w:tcW w:w="1380" w:type="dxa"/>
            <w:tcBorders>
              <w:top w:val="single" w:sz="4" w:space="0" w:color="000000"/>
              <w:left w:val="single" w:sz="4" w:space="0" w:color="000000"/>
            </w:tcBorders>
            <w:shd w:val="clear" w:color="auto" w:fill="auto"/>
          </w:tcPr>
          <w:p w:rsidR="007415C4" w:rsidRPr="00B44977" w:rsidRDefault="007415C4" w:rsidP="005E0D82">
            <w:pPr>
              <w:spacing w:after="0" w:line="360" w:lineRule="auto"/>
              <w:ind w:right="-83"/>
              <w:rPr>
                <w:rFonts w:ascii="Times New Roman" w:hAnsi="Times New Roman" w:cs="Times New Roman"/>
                <w:sz w:val="24"/>
                <w:szCs w:val="24"/>
              </w:rPr>
            </w:pPr>
            <w:r w:rsidRPr="00B44977">
              <w:rPr>
                <w:rFonts w:ascii="Times New Roman" w:hAnsi="Times New Roman" w:cs="Times New Roman"/>
                <w:sz w:val="24"/>
                <w:szCs w:val="24"/>
              </w:rPr>
              <w:t>2 операция</w:t>
            </w:r>
          </w:p>
        </w:tc>
        <w:tc>
          <w:tcPr>
            <w:tcW w:w="1559"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выраженная</w:t>
            </w:r>
          </w:p>
        </w:tc>
        <w:tc>
          <w:tcPr>
            <w:tcW w:w="1559"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умеренная</w:t>
            </w:r>
          </w:p>
        </w:tc>
        <w:tc>
          <w:tcPr>
            <w:tcW w:w="851"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да</w:t>
            </w:r>
          </w:p>
        </w:tc>
        <w:tc>
          <w:tcPr>
            <w:tcW w:w="1314"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да</w:t>
            </w:r>
          </w:p>
        </w:tc>
        <w:tc>
          <w:tcPr>
            <w:tcW w:w="812"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35</w:t>
            </w:r>
          </w:p>
        </w:tc>
        <w:tc>
          <w:tcPr>
            <w:tcW w:w="1717"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ГБ</w:t>
            </w:r>
            <w:r w:rsidRPr="00B44977">
              <w:rPr>
                <w:rFonts w:ascii="Times New Roman" w:hAnsi="Times New Roman" w:cs="Times New Roman"/>
                <w:sz w:val="24"/>
                <w:szCs w:val="24"/>
                <w:lang w:val="en-US"/>
              </w:rPr>
              <w:t>GIV</w:t>
            </w:r>
            <w:r w:rsidRPr="00B44977">
              <w:rPr>
                <w:rFonts w:ascii="Times New Roman" w:hAnsi="Times New Roman" w:cs="Times New Roman"/>
                <w:sz w:val="24"/>
                <w:szCs w:val="24"/>
              </w:rPr>
              <w:t xml:space="preserve">, </w:t>
            </w:r>
            <w:r w:rsidRPr="00B44977">
              <w:rPr>
                <w:rFonts w:ascii="Times New Roman" w:hAnsi="Times New Roman" w:cs="Times New Roman"/>
                <w:sz w:val="24"/>
                <w:szCs w:val="24"/>
                <w:lang w:val="en-US"/>
              </w:rPr>
              <w:t>IDH1(R132H)</w:t>
            </w:r>
          </w:p>
        </w:tc>
      </w:tr>
      <w:tr w:rsidR="007415C4" w:rsidRPr="00B44977" w:rsidTr="00B44977">
        <w:trPr>
          <w:trHeight w:val="343"/>
        </w:trPr>
        <w:tc>
          <w:tcPr>
            <w:tcW w:w="713" w:type="dxa"/>
            <w:vMerge w:val="restart"/>
            <w:tcBorders>
              <w:right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2</w:t>
            </w:r>
          </w:p>
        </w:tc>
        <w:tc>
          <w:tcPr>
            <w:tcW w:w="1380" w:type="dxa"/>
            <w:tcBorders>
              <w:left w:val="single" w:sz="4" w:space="0" w:color="000000"/>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1 операция</w:t>
            </w:r>
          </w:p>
        </w:tc>
        <w:tc>
          <w:tcPr>
            <w:tcW w:w="1559"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умеренная</w:t>
            </w:r>
          </w:p>
        </w:tc>
        <w:tc>
          <w:tcPr>
            <w:tcW w:w="1559"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умеренная</w:t>
            </w:r>
          </w:p>
        </w:tc>
        <w:tc>
          <w:tcPr>
            <w:tcW w:w="851"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нет</w:t>
            </w:r>
          </w:p>
        </w:tc>
        <w:tc>
          <w:tcPr>
            <w:tcW w:w="1314"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да</w:t>
            </w:r>
          </w:p>
        </w:tc>
        <w:tc>
          <w:tcPr>
            <w:tcW w:w="812"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18</w:t>
            </w:r>
          </w:p>
        </w:tc>
        <w:tc>
          <w:tcPr>
            <w:tcW w:w="1717"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AОДГ</w:t>
            </w:r>
            <w:r w:rsidRPr="00B44977">
              <w:rPr>
                <w:rFonts w:ascii="Times New Roman" w:hAnsi="Times New Roman" w:cs="Times New Roman"/>
                <w:b/>
                <w:bCs/>
                <w:sz w:val="24"/>
                <w:szCs w:val="24"/>
                <w:lang w:val="en-US"/>
              </w:rPr>
              <w:t>GIII</w:t>
            </w:r>
            <w:r w:rsidRPr="00B44977">
              <w:rPr>
                <w:rFonts w:ascii="Times New Roman" w:hAnsi="Times New Roman" w:cs="Times New Roman"/>
                <w:b/>
                <w:bCs/>
                <w:sz w:val="24"/>
                <w:szCs w:val="24"/>
              </w:rPr>
              <w:t xml:space="preserve">, </w:t>
            </w:r>
            <w:r w:rsidRPr="00B44977">
              <w:rPr>
                <w:rFonts w:ascii="Times New Roman" w:hAnsi="Times New Roman" w:cs="Times New Roman"/>
                <w:b/>
                <w:bCs/>
                <w:sz w:val="24"/>
                <w:szCs w:val="24"/>
                <w:lang w:val="en-US"/>
              </w:rPr>
              <w:t>IDH</w:t>
            </w:r>
            <w:r w:rsidRPr="00B44977">
              <w:rPr>
                <w:rFonts w:ascii="Times New Roman" w:hAnsi="Times New Roman" w:cs="Times New Roman"/>
                <w:b/>
                <w:bCs/>
                <w:sz w:val="24"/>
                <w:szCs w:val="24"/>
              </w:rPr>
              <w:t>1</w:t>
            </w:r>
            <w:r w:rsidRPr="00B44977">
              <w:rPr>
                <w:rFonts w:ascii="Times New Roman" w:hAnsi="Times New Roman" w:cs="Times New Roman"/>
                <w:b/>
                <w:bCs/>
                <w:sz w:val="24"/>
                <w:szCs w:val="24"/>
                <w:lang w:val="en-US"/>
              </w:rPr>
              <w:t>wt</w:t>
            </w:r>
            <w:r w:rsidRPr="00B44977">
              <w:rPr>
                <w:rFonts w:ascii="Times New Roman" w:hAnsi="Times New Roman" w:cs="Times New Roman"/>
                <w:b/>
                <w:bCs/>
                <w:sz w:val="24"/>
                <w:szCs w:val="24"/>
              </w:rPr>
              <w:t>, 1</w:t>
            </w:r>
            <w:r w:rsidRPr="00B44977">
              <w:rPr>
                <w:rFonts w:ascii="Times New Roman" w:hAnsi="Times New Roman" w:cs="Times New Roman"/>
                <w:b/>
                <w:bCs/>
                <w:sz w:val="24"/>
                <w:szCs w:val="24"/>
                <w:lang w:val="en-US"/>
              </w:rPr>
              <w:t>p</w:t>
            </w:r>
            <w:r w:rsidRPr="00B44977">
              <w:rPr>
                <w:rFonts w:ascii="Times New Roman" w:hAnsi="Times New Roman" w:cs="Times New Roman"/>
                <w:b/>
                <w:bCs/>
                <w:sz w:val="24"/>
                <w:szCs w:val="24"/>
              </w:rPr>
              <w:t>19</w:t>
            </w:r>
            <w:r w:rsidRPr="00B44977">
              <w:rPr>
                <w:rFonts w:ascii="Times New Roman" w:hAnsi="Times New Roman" w:cs="Times New Roman"/>
                <w:b/>
                <w:bCs/>
                <w:sz w:val="24"/>
                <w:szCs w:val="24"/>
                <w:lang w:val="en-US"/>
              </w:rPr>
              <w:t>q</w:t>
            </w:r>
            <w:r w:rsidRPr="00B44977">
              <w:rPr>
                <w:rFonts w:ascii="Times New Roman" w:hAnsi="Times New Roman" w:cs="Times New Roman"/>
                <w:b/>
                <w:bCs/>
                <w:sz w:val="24"/>
                <w:szCs w:val="24"/>
              </w:rPr>
              <w:t xml:space="preserve"> (+)</w:t>
            </w:r>
          </w:p>
        </w:tc>
      </w:tr>
      <w:tr w:rsidR="007415C4" w:rsidRPr="00B44977" w:rsidTr="00B44977">
        <w:trPr>
          <w:trHeight w:val="246"/>
        </w:trPr>
        <w:tc>
          <w:tcPr>
            <w:tcW w:w="713" w:type="dxa"/>
            <w:vMerge/>
            <w:tcBorders>
              <w:right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p>
        </w:tc>
        <w:tc>
          <w:tcPr>
            <w:tcW w:w="1380" w:type="dxa"/>
            <w:tcBorders>
              <w:top w:val="single" w:sz="4" w:space="0" w:color="000000"/>
              <w:left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2 операция</w:t>
            </w:r>
          </w:p>
        </w:tc>
        <w:tc>
          <w:tcPr>
            <w:tcW w:w="1559"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выраженная</w:t>
            </w:r>
          </w:p>
        </w:tc>
        <w:tc>
          <w:tcPr>
            <w:tcW w:w="1559"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выраженная</w:t>
            </w:r>
          </w:p>
        </w:tc>
        <w:tc>
          <w:tcPr>
            <w:tcW w:w="851"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да</w:t>
            </w:r>
          </w:p>
        </w:tc>
        <w:tc>
          <w:tcPr>
            <w:tcW w:w="1314"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да</w:t>
            </w:r>
          </w:p>
        </w:tc>
        <w:tc>
          <w:tcPr>
            <w:tcW w:w="812"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45</w:t>
            </w:r>
          </w:p>
        </w:tc>
        <w:tc>
          <w:tcPr>
            <w:tcW w:w="1717"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 xml:space="preserve">ГБGIV, </w:t>
            </w:r>
            <w:r w:rsidRPr="00B44977">
              <w:rPr>
                <w:rFonts w:ascii="Times New Roman" w:hAnsi="Times New Roman" w:cs="Times New Roman"/>
                <w:sz w:val="24"/>
                <w:szCs w:val="24"/>
                <w:lang w:val="en-US"/>
              </w:rPr>
              <w:t>IDH</w:t>
            </w:r>
            <w:r w:rsidRPr="00B44977">
              <w:rPr>
                <w:rFonts w:ascii="Times New Roman" w:hAnsi="Times New Roman" w:cs="Times New Roman"/>
                <w:sz w:val="24"/>
                <w:szCs w:val="24"/>
              </w:rPr>
              <w:t>1</w:t>
            </w:r>
            <w:r w:rsidRPr="00B44977">
              <w:rPr>
                <w:rFonts w:ascii="Times New Roman" w:hAnsi="Times New Roman" w:cs="Times New Roman"/>
                <w:sz w:val="24"/>
                <w:szCs w:val="24"/>
                <w:lang w:val="en-US"/>
              </w:rPr>
              <w:t>wt</w:t>
            </w:r>
            <w:r w:rsidRPr="00B44977">
              <w:rPr>
                <w:rFonts w:ascii="Times New Roman" w:hAnsi="Times New Roman" w:cs="Times New Roman"/>
                <w:sz w:val="24"/>
                <w:szCs w:val="24"/>
              </w:rPr>
              <w:t>, 1</w:t>
            </w:r>
            <w:r w:rsidRPr="00B44977">
              <w:rPr>
                <w:rFonts w:ascii="Times New Roman" w:hAnsi="Times New Roman" w:cs="Times New Roman"/>
                <w:sz w:val="24"/>
                <w:szCs w:val="24"/>
                <w:lang w:val="en-US"/>
              </w:rPr>
              <w:t>p</w:t>
            </w:r>
            <w:r w:rsidRPr="00B44977">
              <w:rPr>
                <w:rFonts w:ascii="Times New Roman" w:hAnsi="Times New Roman" w:cs="Times New Roman"/>
                <w:sz w:val="24"/>
                <w:szCs w:val="24"/>
              </w:rPr>
              <w:t>19</w:t>
            </w:r>
            <w:r w:rsidRPr="00B44977">
              <w:rPr>
                <w:rFonts w:ascii="Times New Roman" w:hAnsi="Times New Roman" w:cs="Times New Roman"/>
                <w:sz w:val="24"/>
                <w:szCs w:val="24"/>
                <w:lang w:val="en-US"/>
              </w:rPr>
              <w:t>q</w:t>
            </w:r>
            <w:r w:rsidRPr="00B44977">
              <w:rPr>
                <w:rFonts w:ascii="Times New Roman" w:hAnsi="Times New Roman" w:cs="Times New Roman"/>
                <w:sz w:val="24"/>
                <w:szCs w:val="24"/>
              </w:rPr>
              <w:t xml:space="preserve"> (+)</w:t>
            </w:r>
          </w:p>
        </w:tc>
      </w:tr>
      <w:tr w:rsidR="007415C4" w:rsidRPr="00B44977" w:rsidTr="00B44977">
        <w:trPr>
          <w:trHeight w:val="337"/>
        </w:trPr>
        <w:tc>
          <w:tcPr>
            <w:tcW w:w="713" w:type="dxa"/>
            <w:vMerge w:val="restart"/>
            <w:tcBorders>
              <w:right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3</w:t>
            </w:r>
          </w:p>
        </w:tc>
        <w:tc>
          <w:tcPr>
            <w:tcW w:w="1380" w:type="dxa"/>
            <w:tcBorders>
              <w:left w:val="single" w:sz="4" w:space="0" w:color="000000"/>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1 операция</w:t>
            </w:r>
          </w:p>
        </w:tc>
        <w:tc>
          <w:tcPr>
            <w:tcW w:w="1559"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нет</w:t>
            </w:r>
          </w:p>
        </w:tc>
        <w:tc>
          <w:tcPr>
            <w:tcW w:w="1559"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нет</w:t>
            </w:r>
          </w:p>
        </w:tc>
        <w:tc>
          <w:tcPr>
            <w:tcW w:w="851"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нет</w:t>
            </w:r>
          </w:p>
        </w:tc>
        <w:tc>
          <w:tcPr>
            <w:tcW w:w="1314"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да</w:t>
            </w:r>
          </w:p>
        </w:tc>
        <w:tc>
          <w:tcPr>
            <w:tcW w:w="812"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10</w:t>
            </w:r>
          </w:p>
        </w:tc>
        <w:tc>
          <w:tcPr>
            <w:tcW w:w="1717"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 xml:space="preserve">AAGIII, </w:t>
            </w:r>
            <w:r w:rsidRPr="00B44977">
              <w:rPr>
                <w:rFonts w:ascii="Times New Roman" w:hAnsi="Times New Roman" w:cs="Times New Roman"/>
                <w:b/>
                <w:bCs/>
                <w:sz w:val="24"/>
                <w:szCs w:val="24"/>
                <w:lang w:val="en-US"/>
              </w:rPr>
              <w:t>IDH1(R132H)</w:t>
            </w:r>
          </w:p>
        </w:tc>
      </w:tr>
      <w:tr w:rsidR="007415C4" w:rsidRPr="00B44977" w:rsidTr="00B44977">
        <w:trPr>
          <w:trHeight w:val="351"/>
        </w:trPr>
        <w:tc>
          <w:tcPr>
            <w:tcW w:w="713" w:type="dxa"/>
            <w:vMerge/>
            <w:tcBorders>
              <w:right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p>
        </w:tc>
        <w:tc>
          <w:tcPr>
            <w:tcW w:w="1380" w:type="dxa"/>
            <w:tcBorders>
              <w:top w:val="single" w:sz="4" w:space="0" w:color="000000"/>
              <w:left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lang w:val="en-US"/>
              </w:rPr>
            </w:pPr>
            <w:r w:rsidRPr="00B44977">
              <w:rPr>
                <w:rFonts w:ascii="Times New Roman" w:hAnsi="Times New Roman" w:cs="Times New Roman"/>
                <w:sz w:val="24"/>
                <w:szCs w:val="24"/>
              </w:rPr>
              <w:t>2</w:t>
            </w:r>
            <w:r w:rsidRPr="00B44977">
              <w:rPr>
                <w:rFonts w:ascii="Times New Roman" w:hAnsi="Times New Roman" w:cs="Times New Roman"/>
                <w:sz w:val="24"/>
                <w:szCs w:val="24"/>
                <w:lang w:val="en-US"/>
              </w:rPr>
              <w:t xml:space="preserve"> </w:t>
            </w:r>
            <w:r w:rsidRPr="00B44977">
              <w:rPr>
                <w:rFonts w:ascii="Times New Roman" w:hAnsi="Times New Roman" w:cs="Times New Roman"/>
                <w:sz w:val="24"/>
                <w:szCs w:val="24"/>
              </w:rPr>
              <w:t>операция</w:t>
            </w:r>
          </w:p>
        </w:tc>
        <w:tc>
          <w:tcPr>
            <w:tcW w:w="1559"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умеренная</w:t>
            </w:r>
          </w:p>
        </w:tc>
        <w:tc>
          <w:tcPr>
            <w:tcW w:w="1559"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умеренная</w:t>
            </w:r>
          </w:p>
        </w:tc>
        <w:tc>
          <w:tcPr>
            <w:tcW w:w="851"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нет</w:t>
            </w:r>
          </w:p>
        </w:tc>
        <w:tc>
          <w:tcPr>
            <w:tcW w:w="1314"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да</w:t>
            </w:r>
          </w:p>
        </w:tc>
        <w:tc>
          <w:tcPr>
            <w:tcW w:w="812"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70</w:t>
            </w:r>
          </w:p>
        </w:tc>
        <w:tc>
          <w:tcPr>
            <w:tcW w:w="1717"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 xml:space="preserve">ГБGIV, </w:t>
            </w:r>
            <w:r w:rsidRPr="00B44977">
              <w:rPr>
                <w:rFonts w:ascii="Times New Roman" w:hAnsi="Times New Roman" w:cs="Times New Roman"/>
                <w:sz w:val="24"/>
                <w:szCs w:val="24"/>
                <w:lang w:val="en-US"/>
              </w:rPr>
              <w:t>IDH1(R132H)</w:t>
            </w:r>
          </w:p>
        </w:tc>
      </w:tr>
      <w:tr w:rsidR="007415C4" w:rsidRPr="00B44977" w:rsidTr="00B44977">
        <w:trPr>
          <w:trHeight w:val="343"/>
        </w:trPr>
        <w:tc>
          <w:tcPr>
            <w:tcW w:w="713" w:type="dxa"/>
            <w:vMerge w:val="restart"/>
            <w:tcBorders>
              <w:right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4</w:t>
            </w:r>
          </w:p>
        </w:tc>
        <w:tc>
          <w:tcPr>
            <w:tcW w:w="1380" w:type="dxa"/>
            <w:tcBorders>
              <w:left w:val="single" w:sz="4" w:space="0" w:color="000000"/>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1 операция</w:t>
            </w:r>
          </w:p>
        </w:tc>
        <w:tc>
          <w:tcPr>
            <w:tcW w:w="1559"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выраженная</w:t>
            </w:r>
          </w:p>
        </w:tc>
        <w:tc>
          <w:tcPr>
            <w:tcW w:w="1559"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умеренная</w:t>
            </w:r>
          </w:p>
        </w:tc>
        <w:tc>
          <w:tcPr>
            <w:tcW w:w="851"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нет</w:t>
            </w:r>
          </w:p>
        </w:tc>
        <w:tc>
          <w:tcPr>
            <w:tcW w:w="1314"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да</w:t>
            </w:r>
          </w:p>
        </w:tc>
        <w:tc>
          <w:tcPr>
            <w:tcW w:w="812"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8</w:t>
            </w:r>
          </w:p>
        </w:tc>
        <w:tc>
          <w:tcPr>
            <w:tcW w:w="1717"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 xml:space="preserve">AAGIII, </w:t>
            </w:r>
            <w:r w:rsidRPr="00B44977">
              <w:rPr>
                <w:rFonts w:ascii="Times New Roman" w:hAnsi="Times New Roman" w:cs="Times New Roman"/>
                <w:b/>
                <w:bCs/>
                <w:sz w:val="24"/>
                <w:szCs w:val="24"/>
                <w:lang w:val="en-US"/>
              </w:rPr>
              <w:t>IDH1(R132H)</w:t>
            </w:r>
          </w:p>
        </w:tc>
      </w:tr>
      <w:tr w:rsidR="007415C4" w:rsidRPr="00B44977" w:rsidTr="00B44977">
        <w:trPr>
          <w:trHeight w:val="315"/>
        </w:trPr>
        <w:tc>
          <w:tcPr>
            <w:tcW w:w="713" w:type="dxa"/>
            <w:vMerge/>
            <w:tcBorders>
              <w:right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p>
        </w:tc>
        <w:tc>
          <w:tcPr>
            <w:tcW w:w="1380" w:type="dxa"/>
            <w:tcBorders>
              <w:top w:val="single" w:sz="4" w:space="0" w:color="000000"/>
              <w:left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2 операция</w:t>
            </w:r>
          </w:p>
        </w:tc>
        <w:tc>
          <w:tcPr>
            <w:tcW w:w="1559"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выраженная</w:t>
            </w:r>
          </w:p>
        </w:tc>
        <w:tc>
          <w:tcPr>
            <w:tcW w:w="1559"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выраженная</w:t>
            </w:r>
          </w:p>
        </w:tc>
        <w:tc>
          <w:tcPr>
            <w:tcW w:w="851"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да</w:t>
            </w:r>
          </w:p>
        </w:tc>
        <w:tc>
          <w:tcPr>
            <w:tcW w:w="1314"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да</w:t>
            </w:r>
          </w:p>
        </w:tc>
        <w:tc>
          <w:tcPr>
            <w:tcW w:w="812"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20</w:t>
            </w:r>
          </w:p>
        </w:tc>
        <w:tc>
          <w:tcPr>
            <w:tcW w:w="1717"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 xml:space="preserve">ГБGIV, </w:t>
            </w:r>
            <w:r w:rsidRPr="00B44977">
              <w:rPr>
                <w:rFonts w:ascii="Times New Roman" w:hAnsi="Times New Roman" w:cs="Times New Roman"/>
                <w:sz w:val="24"/>
                <w:szCs w:val="24"/>
                <w:lang w:val="en-US"/>
              </w:rPr>
              <w:t>IDH1(R132H)</w:t>
            </w:r>
          </w:p>
        </w:tc>
      </w:tr>
      <w:tr w:rsidR="007415C4" w:rsidRPr="00B44977" w:rsidTr="00B44977">
        <w:trPr>
          <w:trHeight w:val="329"/>
        </w:trPr>
        <w:tc>
          <w:tcPr>
            <w:tcW w:w="713" w:type="dxa"/>
            <w:vMerge w:val="restart"/>
            <w:tcBorders>
              <w:right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5</w:t>
            </w:r>
          </w:p>
        </w:tc>
        <w:tc>
          <w:tcPr>
            <w:tcW w:w="1380" w:type="dxa"/>
            <w:tcBorders>
              <w:left w:val="single" w:sz="4" w:space="0" w:color="000000"/>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1 операция</w:t>
            </w:r>
          </w:p>
        </w:tc>
        <w:tc>
          <w:tcPr>
            <w:tcW w:w="1559"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выраженная</w:t>
            </w:r>
          </w:p>
        </w:tc>
        <w:tc>
          <w:tcPr>
            <w:tcW w:w="1559"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умеренная</w:t>
            </w:r>
          </w:p>
        </w:tc>
        <w:tc>
          <w:tcPr>
            <w:tcW w:w="851"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нет</w:t>
            </w:r>
          </w:p>
        </w:tc>
        <w:tc>
          <w:tcPr>
            <w:tcW w:w="1314"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да</w:t>
            </w:r>
          </w:p>
        </w:tc>
        <w:tc>
          <w:tcPr>
            <w:tcW w:w="812"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12</w:t>
            </w:r>
          </w:p>
        </w:tc>
        <w:tc>
          <w:tcPr>
            <w:tcW w:w="1717"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 xml:space="preserve">AAGIII, </w:t>
            </w:r>
            <w:r w:rsidRPr="00B44977">
              <w:rPr>
                <w:rFonts w:ascii="Times New Roman" w:hAnsi="Times New Roman" w:cs="Times New Roman"/>
                <w:b/>
                <w:bCs/>
                <w:sz w:val="24"/>
                <w:szCs w:val="24"/>
                <w:lang w:val="en-US"/>
              </w:rPr>
              <w:t>IDHwt</w:t>
            </w:r>
          </w:p>
        </w:tc>
      </w:tr>
      <w:tr w:rsidR="007415C4" w:rsidRPr="00B44977" w:rsidTr="00B44977">
        <w:trPr>
          <w:trHeight w:val="302"/>
        </w:trPr>
        <w:tc>
          <w:tcPr>
            <w:tcW w:w="713" w:type="dxa"/>
            <w:vMerge/>
            <w:tcBorders>
              <w:right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p>
        </w:tc>
        <w:tc>
          <w:tcPr>
            <w:tcW w:w="1380" w:type="dxa"/>
            <w:tcBorders>
              <w:top w:val="single" w:sz="4" w:space="0" w:color="000000"/>
              <w:left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2 операция</w:t>
            </w:r>
          </w:p>
        </w:tc>
        <w:tc>
          <w:tcPr>
            <w:tcW w:w="1559"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выраженная</w:t>
            </w:r>
          </w:p>
        </w:tc>
        <w:tc>
          <w:tcPr>
            <w:tcW w:w="1559"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выраженная</w:t>
            </w:r>
          </w:p>
        </w:tc>
        <w:tc>
          <w:tcPr>
            <w:tcW w:w="851"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да</w:t>
            </w:r>
          </w:p>
        </w:tc>
        <w:tc>
          <w:tcPr>
            <w:tcW w:w="1314"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да</w:t>
            </w:r>
          </w:p>
        </w:tc>
        <w:tc>
          <w:tcPr>
            <w:tcW w:w="812"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30</w:t>
            </w:r>
          </w:p>
        </w:tc>
        <w:tc>
          <w:tcPr>
            <w:tcW w:w="1717" w:type="dxa"/>
            <w:tcBorders>
              <w:top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ГБ</w:t>
            </w:r>
            <w:r w:rsidRPr="00B44977">
              <w:rPr>
                <w:rFonts w:ascii="Times New Roman" w:hAnsi="Times New Roman" w:cs="Times New Roman"/>
                <w:sz w:val="24"/>
                <w:szCs w:val="24"/>
                <w:lang w:val="en-US"/>
              </w:rPr>
              <w:t>GIV</w:t>
            </w:r>
            <w:r w:rsidRPr="00B44977">
              <w:rPr>
                <w:rFonts w:ascii="Times New Roman" w:hAnsi="Times New Roman" w:cs="Times New Roman"/>
                <w:sz w:val="24"/>
                <w:szCs w:val="24"/>
              </w:rPr>
              <w:t xml:space="preserve">, </w:t>
            </w:r>
            <w:r w:rsidRPr="00B44977">
              <w:rPr>
                <w:rFonts w:ascii="Times New Roman" w:hAnsi="Times New Roman" w:cs="Times New Roman"/>
                <w:sz w:val="24"/>
                <w:szCs w:val="24"/>
                <w:lang w:val="en-US"/>
              </w:rPr>
              <w:t>IDHwt</w:t>
            </w:r>
          </w:p>
        </w:tc>
      </w:tr>
      <w:tr w:rsidR="007415C4" w:rsidRPr="00B44977" w:rsidTr="00B44977">
        <w:trPr>
          <w:trHeight w:val="344"/>
        </w:trPr>
        <w:tc>
          <w:tcPr>
            <w:tcW w:w="713" w:type="dxa"/>
            <w:vMerge w:val="restart"/>
            <w:tcBorders>
              <w:right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6</w:t>
            </w:r>
          </w:p>
        </w:tc>
        <w:tc>
          <w:tcPr>
            <w:tcW w:w="1380" w:type="dxa"/>
            <w:tcBorders>
              <w:left w:val="single" w:sz="4" w:space="0" w:color="000000"/>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1 операция</w:t>
            </w:r>
          </w:p>
        </w:tc>
        <w:tc>
          <w:tcPr>
            <w:tcW w:w="1559"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умеренная</w:t>
            </w:r>
          </w:p>
        </w:tc>
        <w:tc>
          <w:tcPr>
            <w:tcW w:w="1559"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умеренная</w:t>
            </w:r>
          </w:p>
        </w:tc>
        <w:tc>
          <w:tcPr>
            <w:tcW w:w="851"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нет</w:t>
            </w:r>
          </w:p>
        </w:tc>
        <w:tc>
          <w:tcPr>
            <w:tcW w:w="1314"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да</w:t>
            </w:r>
          </w:p>
        </w:tc>
        <w:tc>
          <w:tcPr>
            <w:tcW w:w="812"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7</w:t>
            </w:r>
          </w:p>
        </w:tc>
        <w:tc>
          <w:tcPr>
            <w:tcW w:w="1717" w:type="dxa"/>
            <w:tcBorders>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b/>
                <w:bCs/>
                <w:sz w:val="24"/>
                <w:szCs w:val="24"/>
              </w:rPr>
            </w:pPr>
            <w:r w:rsidRPr="00B44977">
              <w:rPr>
                <w:rFonts w:ascii="Times New Roman" w:hAnsi="Times New Roman" w:cs="Times New Roman"/>
                <w:b/>
                <w:bCs/>
                <w:sz w:val="24"/>
                <w:szCs w:val="24"/>
              </w:rPr>
              <w:t xml:space="preserve">AAGIII, </w:t>
            </w:r>
            <w:r w:rsidRPr="00B44977">
              <w:rPr>
                <w:rFonts w:ascii="Times New Roman" w:hAnsi="Times New Roman" w:cs="Times New Roman"/>
                <w:b/>
                <w:bCs/>
                <w:sz w:val="24"/>
                <w:szCs w:val="24"/>
                <w:lang w:val="en-US"/>
              </w:rPr>
              <w:t>IDHwt</w:t>
            </w:r>
          </w:p>
        </w:tc>
      </w:tr>
      <w:tr w:rsidR="007415C4" w:rsidRPr="00B44977" w:rsidTr="00B44977">
        <w:trPr>
          <w:trHeight w:val="343"/>
        </w:trPr>
        <w:tc>
          <w:tcPr>
            <w:tcW w:w="713" w:type="dxa"/>
            <w:vMerge/>
            <w:tcBorders>
              <w:right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p>
        </w:tc>
        <w:tc>
          <w:tcPr>
            <w:tcW w:w="1380" w:type="dxa"/>
            <w:tcBorders>
              <w:top w:val="single" w:sz="4" w:space="0" w:color="000000"/>
              <w:left w:val="single" w:sz="4" w:space="0" w:color="000000"/>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2 операция</w:t>
            </w:r>
          </w:p>
        </w:tc>
        <w:tc>
          <w:tcPr>
            <w:tcW w:w="1559" w:type="dxa"/>
            <w:tcBorders>
              <w:top w:val="single" w:sz="4" w:space="0" w:color="000000"/>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выраженная</w:t>
            </w:r>
          </w:p>
        </w:tc>
        <w:tc>
          <w:tcPr>
            <w:tcW w:w="1559" w:type="dxa"/>
            <w:tcBorders>
              <w:top w:val="single" w:sz="4" w:space="0" w:color="000000"/>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выраженная</w:t>
            </w:r>
          </w:p>
        </w:tc>
        <w:tc>
          <w:tcPr>
            <w:tcW w:w="851" w:type="dxa"/>
            <w:tcBorders>
              <w:top w:val="single" w:sz="4" w:space="0" w:color="000000"/>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да</w:t>
            </w:r>
          </w:p>
        </w:tc>
        <w:tc>
          <w:tcPr>
            <w:tcW w:w="1314" w:type="dxa"/>
            <w:tcBorders>
              <w:top w:val="single" w:sz="4" w:space="0" w:color="000000"/>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да</w:t>
            </w:r>
          </w:p>
        </w:tc>
        <w:tc>
          <w:tcPr>
            <w:tcW w:w="812" w:type="dxa"/>
            <w:tcBorders>
              <w:top w:val="single" w:sz="4" w:space="0" w:color="000000"/>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18</w:t>
            </w:r>
          </w:p>
        </w:tc>
        <w:tc>
          <w:tcPr>
            <w:tcW w:w="1717" w:type="dxa"/>
            <w:tcBorders>
              <w:top w:val="single" w:sz="4" w:space="0" w:color="000000"/>
              <w:bottom w:val="single" w:sz="4" w:space="0" w:color="000000"/>
            </w:tcBorders>
            <w:shd w:val="clear" w:color="auto" w:fill="auto"/>
          </w:tcPr>
          <w:p w:rsidR="007415C4" w:rsidRPr="00B44977" w:rsidRDefault="007415C4" w:rsidP="005E0D82">
            <w:pPr>
              <w:spacing w:after="0" w:line="360" w:lineRule="auto"/>
              <w:rPr>
                <w:rFonts w:ascii="Times New Roman" w:hAnsi="Times New Roman" w:cs="Times New Roman"/>
                <w:sz w:val="24"/>
                <w:szCs w:val="24"/>
              </w:rPr>
            </w:pPr>
            <w:r w:rsidRPr="00B44977">
              <w:rPr>
                <w:rFonts w:ascii="Times New Roman" w:hAnsi="Times New Roman" w:cs="Times New Roman"/>
                <w:sz w:val="24"/>
                <w:szCs w:val="24"/>
              </w:rPr>
              <w:t>ГБ</w:t>
            </w:r>
            <w:r w:rsidRPr="00B44977">
              <w:rPr>
                <w:rFonts w:ascii="Times New Roman" w:hAnsi="Times New Roman" w:cs="Times New Roman"/>
                <w:sz w:val="24"/>
                <w:szCs w:val="24"/>
                <w:lang w:val="en-US"/>
              </w:rPr>
              <w:t>GIV</w:t>
            </w:r>
            <w:r w:rsidRPr="00B44977">
              <w:rPr>
                <w:rFonts w:ascii="Times New Roman" w:hAnsi="Times New Roman" w:cs="Times New Roman"/>
                <w:sz w:val="24"/>
                <w:szCs w:val="24"/>
              </w:rPr>
              <w:t xml:space="preserve">, </w:t>
            </w:r>
            <w:r w:rsidRPr="00B44977">
              <w:rPr>
                <w:rFonts w:ascii="Times New Roman" w:hAnsi="Times New Roman" w:cs="Times New Roman"/>
                <w:sz w:val="24"/>
                <w:szCs w:val="24"/>
                <w:lang w:val="en-US"/>
              </w:rPr>
              <w:t>IDHwt</w:t>
            </w:r>
          </w:p>
        </w:tc>
      </w:tr>
    </w:tbl>
    <w:p w:rsidR="007415C4" w:rsidRPr="00B44977" w:rsidRDefault="007415C4" w:rsidP="005E0D82">
      <w:pPr>
        <w:spacing w:after="0" w:line="360" w:lineRule="auto"/>
        <w:rPr>
          <w:rFonts w:ascii="Times New Roman" w:hAnsi="Times New Roman" w:cs="Times New Roman"/>
          <w:sz w:val="28"/>
          <w:szCs w:val="28"/>
        </w:rPr>
      </w:pPr>
    </w:p>
    <w:p w:rsidR="007415C4" w:rsidRPr="00B44977" w:rsidRDefault="007415C4" w:rsidP="005E0D82">
      <w:pPr>
        <w:spacing w:after="0" w:line="360" w:lineRule="auto"/>
        <w:jc w:val="both"/>
        <w:rPr>
          <w:rFonts w:ascii="Times New Roman" w:hAnsi="Times New Roman" w:cs="Times New Roman"/>
          <w:sz w:val="28"/>
          <w:szCs w:val="28"/>
        </w:rPr>
      </w:pPr>
      <w:r w:rsidRPr="00B44977">
        <w:rPr>
          <w:rFonts w:ascii="Times New Roman" w:hAnsi="Times New Roman" w:cs="Times New Roman"/>
          <w:sz w:val="28"/>
          <w:szCs w:val="28"/>
        </w:rPr>
        <w:t>Ниже приведены примеры микрофотографий гистологического материала АОДГ</w:t>
      </w:r>
      <w:r w:rsidRPr="00B44977">
        <w:rPr>
          <w:rFonts w:ascii="Times New Roman" w:hAnsi="Times New Roman" w:cs="Times New Roman"/>
          <w:sz w:val="28"/>
          <w:szCs w:val="28"/>
          <w:lang w:val="en-US"/>
        </w:rPr>
        <w:t>GIII</w:t>
      </w:r>
      <w:r w:rsidRPr="00B44977">
        <w:rPr>
          <w:rFonts w:ascii="Times New Roman" w:hAnsi="Times New Roman" w:cs="Times New Roman"/>
          <w:sz w:val="28"/>
          <w:szCs w:val="28"/>
        </w:rPr>
        <w:t xml:space="preserve"> </w:t>
      </w:r>
      <w:r w:rsidRPr="00B44977">
        <w:rPr>
          <w:rFonts w:ascii="Times New Roman" w:hAnsi="Times New Roman" w:cs="Times New Roman"/>
          <w:sz w:val="28"/>
          <w:szCs w:val="28"/>
          <w:lang w:val="en-US"/>
        </w:rPr>
        <w:t>IDHwt</w:t>
      </w:r>
      <w:r w:rsidRPr="00B44977">
        <w:rPr>
          <w:rFonts w:ascii="Times New Roman" w:hAnsi="Times New Roman" w:cs="Times New Roman"/>
          <w:sz w:val="28"/>
          <w:szCs w:val="28"/>
        </w:rPr>
        <w:t xml:space="preserve"> (случай №</w:t>
      </w:r>
      <w:r w:rsidR="009802E3" w:rsidRPr="00B44977">
        <w:rPr>
          <w:rFonts w:ascii="Times New Roman" w:hAnsi="Times New Roman" w:cs="Times New Roman"/>
          <w:sz w:val="28"/>
          <w:szCs w:val="28"/>
        </w:rPr>
        <w:t>2</w:t>
      </w:r>
      <w:r w:rsidRPr="00B44977">
        <w:rPr>
          <w:rFonts w:ascii="Times New Roman" w:hAnsi="Times New Roman" w:cs="Times New Roman"/>
          <w:sz w:val="28"/>
          <w:szCs w:val="28"/>
        </w:rPr>
        <w:t xml:space="preserve">) от первой операции, окр. гематоксилин-эозин (рис. </w:t>
      </w:r>
      <w:r w:rsidR="009802E3" w:rsidRPr="00B44977">
        <w:rPr>
          <w:rFonts w:ascii="Times New Roman" w:hAnsi="Times New Roman" w:cs="Times New Roman"/>
          <w:sz w:val="28"/>
          <w:szCs w:val="28"/>
        </w:rPr>
        <w:t>5</w:t>
      </w:r>
      <w:r w:rsidRPr="00B44977">
        <w:rPr>
          <w:rFonts w:ascii="Times New Roman" w:hAnsi="Times New Roman" w:cs="Times New Roman"/>
          <w:sz w:val="28"/>
          <w:szCs w:val="28"/>
        </w:rPr>
        <w:t xml:space="preserve">) и иммуногистохимическое исследование с ядерным </w:t>
      </w:r>
      <w:r w:rsidRPr="00B44977">
        <w:rPr>
          <w:rFonts w:ascii="Times New Roman" w:hAnsi="Times New Roman" w:cs="Times New Roman"/>
          <w:sz w:val="28"/>
          <w:szCs w:val="28"/>
        </w:rPr>
        <w:lastRenderedPageBreak/>
        <w:t xml:space="preserve">окрашиванием антителом </w:t>
      </w:r>
      <w:r w:rsidRPr="00B44977">
        <w:rPr>
          <w:rFonts w:ascii="Times New Roman" w:hAnsi="Times New Roman" w:cs="Times New Roman"/>
          <w:sz w:val="28"/>
          <w:szCs w:val="28"/>
          <w:lang w:val="en-US"/>
        </w:rPr>
        <w:t>Ki</w:t>
      </w:r>
      <w:r w:rsidRPr="00B44977">
        <w:rPr>
          <w:rFonts w:ascii="Times New Roman" w:hAnsi="Times New Roman" w:cs="Times New Roman"/>
          <w:sz w:val="28"/>
          <w:szCs w:val="28"/>
        </w:rPr>
        <w:t xml:space="preserve">-67 (рис. </w:t>
      </w:r>
      <w:r w:rsidR="009802E3" w:rsidRPr="00B44977">
        <w:rPr>
          <w:rFonts w:ascii="Times New Roman" w:hAnsi="Times New Roman" w:cs="Times New Roman"/>
          <w:sz w:val="28"/>
          <w:szCs w:val="28"/>
        </w:rPr>
        <w:t>6</w:t>
      </w:r>
      <w:r w:rsidRPr="00B44977">
        <w:rPr>
          <w:rFonts w:ascii="Times New Roman" w:hAnsi="Times New Roman" w:cs="Times New Roman"/>
          <w:sz w:val="28"/>
          <w:szCs w:val="28"/>
        </w:rPr>
        <w:t>)</w:t>
      </w:r>
      <w:r w:rsidR="009802E3" w:rsidRPr="00B44977">
        <w:rPr>
          <w:rFonts w:ascii="Times New Roman" w:hAnsi="Times New Roman" w:cs="Times New Roman"/>
          <w:sz w:val="28"/>
          <w:szCs w:val="28"/>
        </w:rPr>
        <w:t>,</w:t>
      </w:r>
      <w:r w:rsidRPr="00B44977">
        <w:rPr>
          <w:rFonts w:ascii="Times New Roman" w:hAnsi="Times New Roman" w:cs="Times New Roman"/>
          <w:sz w:val="28"/>
          <w:szCs w:val="28"/>
        </w:rPr>
        <w:t xml:space="preserve"> и гистологического материала вторичной ГБ</w:t>
      </w:r>
      <w:r w:rsidRPr="00B44977">
        <w:rPr>
          <w:rFonts w:ascii="Times New Roman" w:hAnsi="Times New Roman" w:cs="Times New Roman"/>
          <w:sz w:val="28"/>
          <w:szCs w:val="28"/>
          <w:lang w:val="en-US"/>
        </w:rPr>
        <w:t>GIV</w:t>
      </w:r>
      <w:r w:rsidRPr="00B44977">
        <w:rPr>
          <w:rFonts w:ascii="Times New Roman" w:hAnsi="Times New Roman" w:cs="Times New Roman"/>
          <w:sz w:val="28"/>
          <w:szCs w:val="28"/>
        </w:rPr>
        <w:t xml:space="preserve"> </w:t>
      </w:r>
      <w:r w:rsidRPr="00B44977">
        <w:rPr>
          <w:rFonts w:ascii="Times New Roman" w:hAnsi="Times New Roman" w:cs="Times New Roman"/>
          <w:sz w:val="28"/>
          <w:szCs w:val="28"/>
          <w:lang w:val="en-US"/>
        </w:rPr>
        <w:t>IDHwt</w:t>
      </w:r>
      <w:r w:rsidRPr="00B44977">
        <w:rPr>
          <w:rFonts w:ascii="Times New Roman" w:hAnsi="Times New Roman" w:cs="Times New Roman"/>
          <w:sz w:val="28"/>
          <w:szCs w:val="28"/>
        </w:rPr>
        <w:t xml:space="preserve"> (случай №</w:t>
      </w:r>
      <w:r w:rsidR="009802E3" w:rsidRPr="00B44977">
        <w:rPr>
          <w:rFonts w:ascii="Times New Roman" w:hAnsi="Times New Roman" w:cs="Times New Roman"/>
          <w:sz w:val="28"/>
          <w:szCs w:val="28"/>
        </w:rPr>
        <w:t>2</w:t>
      </w:r>
      <w:r w:rsidRPr="00B44977">
        <w:rPr>
          <w:rFonts w:ascii="Times New Roman" w:hAnsi="Times New Roman" w:cs="Times New Roman"/>
          <w:sz w:val="28"/>
          <w:szCs w:val="28"/>
        </w:rPr>
        <w:t xml:space="preserve">) от второй операции, окр. гематоксилин-эозин (рис. </w:t>
      </w:r>
      <w:r w:rsidR="009802E3" w:rsidRPr="00B44977">
        <w:rPr>
          <w:rFonts w:ascii="Times New Roman" w:hAnsi="Times New Roman" w:cs="Times New Roman"/>
          <w:sz w:val="28"/>
          <w:szCs w:val="28"/>
        </w:rPr>
        <w:t>7</w:t>
      </w:r>
      <w:r w:rsidRPr="00B44977">
        <w:rPr>
          <w:rFonts w:ascii="Times New Roman" w:hAnsi="Times New Roman" w:cs="Times New Roman"/>
          <w:sz w:val="28"/>
          <w:szCs w:val="28"/>
        </w:rPr>
        <w:t xml:space="preserve">) и иммуногистохимическое исследование с ядерным окрашиванием антителом </w:t>
      </w:r>
      <w:r w:rsidRPr="00B44977">
        <w:rPr>
          <w:rFonts w:ascii="Times New Roman" w:hAnsi="Times New Roman" w:cs="Times New Roman"/>
          <w:sz w:val="28"/>
          <w:szCs w:val="28"/>
          <w:lang w:val="en-US"/>
        </w:rPr>
        <w:t>Ki</w:t>
      </w:r>
      <w:r w:rsidRPr="00B44977">
        <w:rPr>
          <w:rFonts w:ascii="Times New Roman" w:hAnsi="Times New Roman" w:cs="Times New Roman"/>
          <w:sz w:val="28"/>
          <w:szCs w:val="28"/>
        </w:rPr>
        <w:t xml:space="preserve">-67 (рис. </w:t>
      </w:r>
      <w:r w:rsidR="009802E3" w:rsidRPr="00B44977">
        <w:rPr>
          <w:rFonts w:ascii="Times New Roman" w:hAnsi="Times New Roman" w:cs="Times New Roman"/>
          <w:sz w:val="28"/>
          <w:szCs w:val="28"/>
        </w:rPr>
        <w:t>8</w:t>
      </w:r>
      <w:r w:rsidRPr="00B44977">
        <w:rPr>
          <w:rFonts w:ascii="Times New Roman" w:hAnsi="Times New Roman" w:cs="Times New Roman"/>
          <w:sz w:val="28"/>
          <w:szCs w:val="28"/>
        </w:rPr>
        <w:t xml:space="preserve">. В сравнении отмечается выраженная пролиферация сосудов, наличие некрозов, повышение индекса </w:t>
      </w:r>
      <w:r w:rsidRPr="00B44977">
        <w:rPr>
          <w:rFonts w:ascii="Times New Roman" w:hAnsi="Times New Roman" w:cs="Times New Roman"/>
          <w:sz w:val="28"/>
          <w:szCs w:val="28"/>
          <w:lang w:val="en-US"/>
        </w:rPr>
        <w:t>Ki</w:t>
      </w:r>
      <w:r w:rsidRPr="00B44977">
        <w:rPr>
          <w:rFonts w:ascii="Times New Roman" w:hAnsi="Times New Roman" w:cs="Times New Roman"/>
          <w:sz w:val="28"/>
          <w:szCs w:val="28"/>
        </w:rPr>
        <w:t>-67</w:t>
      </w:r>
      <w:r w:rsidR="009802E3" w:rsidRPr="00B44977">
        <w:rPr>
          <w:rFonts w:ascii="Times New Roman" w:hAnsi="Times New Roman" w:cs="Times New Roman"/>
          <w:sz w:val="28"/>
          <w:szCs w:val="28"/>
        </w:rPr>
        <w:t>, выраженный клеточный и ядерный полиморфизм.</w:t>
      </w:r>
    </w:p>
    <w:p w:rsidR="009802E3" w:rsidRDefault="009802E3" w:rsidP="005E0D82">
      <w:pPr>
        <w:keepNext/>
        <w:spacing w:after="0" w:line="360" w:lineRule="auto"/>
        <w:jc w:val="both"/>
      </w:pPr>
      <w:r w:rsidRPr="00EA174B">
        <w:rPr>
          <w:noProof/>
          <w:lang w:eastAsia="ru-RU" w:bidi="he-IL"/>
        </w:rPr>
        <w:drawing>
          <wp:inline distT="0" distB="0" distL="0" distR="0" wp14:anchorId="4CE543AE" wp14:editId="12624028">
            <wp:extent cx="4349476" cy="3181985"/>
            <wp:effectExtent l="19050" t="1905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9726" cy="3196799"/>
                    </a:xfrm>
                    <a:prstGeom prst="rect">
                      <a:avLst/>
                    </a:prstGeom>
                    <a:noFill/>
                    <a:ln w="9525" cmpd="sng">
                      <a:solidFill>
                        <a:srgbClr val="4472C4"/>
                      </a:solidFill>
                      <a:miter lim="800000"/>
                      <a:headEnd/>
                      <a:tailEnd/>
                    </a:ln>
                    <a:effectLst/>
                  </pic:spPr>
                </pic:pic>
              </a:graphicData>
            </a:graphic>
          </wp:inline>
        </w:drawing>
      </w:r>
    </w:p>
    <w:p w:rsidR="009802E3" w:rsidRPr="007F20A4" w:rsidRDefault="009802E3" w:rsidP="005E0D82">
      <w:pPr>
        <w:pStyle w:val="ae"/>
        <w:spacing w:after="0" w:line="360" w:lineRule="auto"/>
        <w:jc w:val="both"/>
        <w:rPr>
          <w:rFonts w:ascii="Times New Roman" w:hAnsi="Times New Roman" w:cs="Times New Roman"/>
          <w:sz w:val="28"/>
          <w:szCs w:val="28"/>
        </w:rPr>
      </w:pPr>
      <w:r>
        <w:t xml:space="preserve">Рисунок </w:t>
      </w:r>
      <w:fldSimple w:instr=" SEQ Рисунок \* ARABIC ">
        <w:r w:rsidR="005F175D">
          <w:rPr>
            <w:noProof/>
          </w:rPr>
          <w:t>8</w:t>
        </w:r>
      </w:fldSimple>
      <w:r>
        <w:t>. АОДГ</w:t>
      </w:r>
      <w:r>
        <w:rPr>
          <w:lang w:val="en-US"/>
        </w:rPr>
        <w:t>GIII</w:t>
      </w:r>
      <w:r>
        <w:t>, окр. гематоксилин-эозин, Х100</w:t>
      </w:r>
    </w:p>
    <w:p w:rsidR="009802E3" w:rsidRDefault="009802E3" w:rsidP="005E0D82">
      <w:pPr>
        <w:keepNext/>
        <w:spacing w:after="0" w:line="360" w:lineRule="auto"/>
      </w:pPr>
      <w:r w:rsidRPr="00EA174B">
        <w:rPr>
          <w:noProof/>
          <w:lang w:eastAsia="ru-RU" w:bidi="he-IL"/>
        </w:rPr>
        <w:drawing>
          <wp:inline distT="0" distB="0" distL="0" distR="0" wp14:anchorId="5E43FF1E" wp14:editId="719F11C4">
            <wp:extent cx="4305300" cy="3249730"/>
            <wp:effectExtent l="19050" t="1905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9098" cy="3267693"/>
                    </a:xfrm>
                    <a:prstGeom prst="rect">
                      <a:avLst/>
                    </a:prstGeom>
                    <a:noFill/>
                    <a:ln w="19050" cmpd="sng">
                      <a:solidFill>
                        <a:srgbClr val="FFFFFF"/>
                      </a:solidFill>
                      <a:miter lim="800000"/>
                      <a:headEnd/>
                      <a:tailEnd/>
                    </a:ln>
                    <a:effectLst/>
                  </pic:spPr>
                </pic:pic>
              </a:graphicData>
            </a:graphic>
          </wp:inline>
        </w:drawing>
      </w:r>
    </w:p>
    <w:p w:rsidR="009802E3" w:rsidRDefault="009802E3" w:rsidP="005E0D82">
      <w:pPr>
        <w:pStyle w:val="ae"/>
        <w:spacing w:after="0" w:line="360" w:lineRule="auto"/>
      </w:pPr>
      <w:r>
        <w:t xml:space="preserve">Рисунок </w:t>
      </w:r>
      <w:fldSimple w:instr=" SEQ Рисунок \* ARABIC ">
        <w:r w:rsidR="005F175D">
          <w:rPr>
            <w:noProof/>
          </w:rPr>
          <w:t>9</w:t>
        </w:r>
      </w:fldSimple>
      <w:r>
        <w:t>. АОДГ</w:t>
      </w:r>
      <w:r>
        <w:rPr>
          <w:lang w:val="en-US"/>
        </w:rPr>
        <w:t>GIII</w:t>
      </w:r>
      <w:r w:rsidRPr="009B6FD0">
        <w:t>,  иммуногистохимия, ядерное окрашивание антителом Ki-67, X100</w:t>
      </w:r>
    </w:p>
    <w:p w:rsidR="009802E3" w:rsidRDefault="009802E3" w:rsidP="005E0D82">
      <w:pPr>
        <w:keepNext/>
        <w:spacing w:after="0" w:line="360" w:lineRule="auto"/>
      </w:pPr>
      <w:r w:rsidRPr="00EA174B">
        <w:rPr>
          <w:noProof/>
          <w:lang w:eastAsia="ru-RU" w:bidi="he-IL"/>
        </w:rPr>
        <w:lastRenderedPageBreak/>
        <w:drawing>
          <wp:inline distT="0" distB="0" distL="0" distR="0" wp14:anchorId="7E796D4F" wp14:editId="13635920">
            <wp:extent cx="4610100" cy="3396916"/>
            <wp:effectExtent l="19050" t="1905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8269" cy="3402936"/>
                    </a:xfrm>
                    <a:prstGeom prst="rect">
                      <a:avLst/>
                    </a:prstGeom>
                    <a:noFill/>
                    <a:ln w="9525" cmpd="sng">
                      <a:solidFill>
                        <a:srgbClr val="2F5597"/>
                      </a:solidFill>
                      <a:miter lim="800000"/>
                      <a:headEnd/>
                      <a:tailEnd/>
                    </a:ln>
                    <a:effectLst/>
                  </pic:spPr>
                </pic:pic>
              </a:graphicData>
            </a:graphic>
          </wp:inline>
        </w:drawing>
      </w:r>
    </w:p>
    <w:p w:rsidR="009802E3" w:rsidRDefault="009802E3" w:rsidP="005E0D82">
      <w:pPr>
        <w:pStyle w:val="ae"/>
        <w:spacing w:after="0" w:line="360" w:lineRule="auto"/>
      </w:pPr>
      <w:r>
        <w:t xml:space="preserve">Рисунок </w:t>
      </w:r>
      <w:fldSimple w:instr=" SEQ Рисунок \* ARABIC ">
        <w:r w:rsidR="005F175D">
          <w:rPr>
            <w:noProof/>
          </w:rPr>
          <w:t>10</w:t>
        </w:r>
      </w:fldSimple>
      <w:r>
        <w:t xml:space="preserve">. Вторичная глиобластома </w:t>
      </w:r>
      <w:r>
        <w:rPr>
          <w:lang w:val="en-US"/>
        </w:rPr>
        <w:t>GIV</w:t>
      </w:r>
      <w:r>
        <w:t>, окр. гематоксилин-эозин, Х200</w:t>
      </w:r>
    </w:p>
    <w:p w:rsidR="009802E3" w:rsidRDefault="009802E3" w:rsidP="005E0D82">
      <w:pPr>
        <w:keepNext/>
        <w:spacing w:after="0" w:line="360" w:lineRule="auto"/>
      </w:pPr>
      <w:r w:rsidRPr="00EA174B">
        <w:rPr>
          <w:noProof/>
          <w:lang w:eastAsia="ru-RU" w:bidi="he-IL"/>
        </w:rPr>
        <w:drawing>
          <wp:inline distT="0" distB="0" distL="0" distR="0" wp14:anchorId="655EE9FA" wp14:editId="0543155C">
            <wp:extent cx="4650039" cy="3745865"/>
            <wp:effectExtent l="19050" t="19050" r="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9367" cy="3753379"/>
                    </a:xfrm>
                    <a:prstGeom prst="rect">
                      <a:avLst/>
                    </a:prstGeom>
                    <a:noFill/>
                    <a:ln w="19050" cmpd="sng">
                      <a:solidFill>
                        <a:srgbClr val="FFFFFF"/>
                      </a:solidFill>
                      <a:miter lim="800000"/>
                      <a:headEnd/>
                      <a:tailEnd/>
                    </a:ln>
                    <a:effectLst/>
                  </pic:spPr>
                </pic:pic>
              </a:graphicData>
            </a:graphic>
          </wp:inline>
        </w:drawing>
      </w:r>
    </w:p>
    <w:p w:rsidR="009802E3" w:rsidRPr="009802E3" w:rsidRDefault="009802E3" w:rsidP="005E0D82">
      <w:pPr>
        <w:pStyle w:val="ae"/>
        <w:spacing w:after="0" w:line="360" w:lineRule="auto"/>
      </w:pPr>
      <w:r>
        <w:t xml:space="preserve">Рисунок </w:t>
      </w:r>
      <w:fldSimple w:instr=" SEQ Рисунок \* ARABIC ">
        <w:r w:rsidR="005F175D">
          <w:rPr>
            <w:noProof/>
          </w:rPr>
          <w:t>11</w:t>
        </w:r>
      </w:fldSimple>
      <w:r>
        <w:t xml:space="preserve">. Вторичная глиобластома </w:t>
      </w:r>
      <w:r>
        <w:rPr>
          <w:lang w:val="en-US"/>
        </w:rPr>
        <w:t>GIV</w:t>
      </w:r>
      <w:r>
        <w:t xml:space="preserve">, иммуногистохимия, ядерное окрашивание антителом </w:t>
      </w:r>
      <w:r>
        <w:rPr>
          <w:lang w:val="en-US"/>
        </w:rPr>
        <w:t>Ki</w:t>
      </w:r>
      <w:r w:rsidRPr="009802E3">
        <w:t>-67</w:t>
      </w:r>
      <w:r>
        <w:t>, Х200</w:t>
      </w:r>
    </w:p>
    <w:p w:rsidR="00A83C7B" w:rsidRPr="00D40B81" w:rsidRDefault="004267D4" w:rsidP="005E0D82">
      <w:pPr>
        <w:pStyle w:val="2"/>
        <w:spacing w:before="0" w:after="0" w:line="360" w:lineRule="auto"/>
        <w:rPr>
          <w:rFonts w:eastAsiaTheme="minorHAnsi"/>
          <w:b/>
          <w:bCs w:val="0"/>
        </w:rPr>
      </w:pPr>
      <w:bookmarkStart w:id="59" w:name="_Toc9031279"/>
      <w:bookmarkStart w:id="60" w:name="_Toc9250612"/>
      <w:r w:rsidRPr="00D40B81">
        <w:rPr>
          <w:b/>
          <w:bCs w:val="0"/>
        </w:rPr>
        <w:t xml:space="preserve">3.8. </w:t>
      </w:r>
      <w:r w:rsidR="00A83C7B" w:rsidRPr="00D40B81">
        <w:rPr>
          <w:rFonts w:eastAsiaTheme="minorHAnsi"/>
          <w:b/>
          <w:bCs w:val="0"/>
        </w:rPr>
        <w:t>Изменения экспрессии генов при злокачественной трансформации опухолей</w:t>
      </w:r>
      <w:bookmarkEnd w:id="59"/>
      <w:bookmarkEnd w:id="60"/>
    </w:p>
    <w:p w:rsidR="00A83C7B" w:rsidRPr="000923B9" w:rsidRDefault="00A83C7B" w:rsidP="005E0D82">
      <w:pPr>
        <w:spacing w:after="0" w:line="360" w:lineRule="auto"/>
        <w:jc w:val="both"/>
        <w:rPr>
          <w:rFonts w:ascii="Times New Roman" w:hAnsi="Times New Roman" w:cs="Times New Roman"/>
          <w:color w:val="000000"/>
          <w:sz w:val="28"/>
          <w:szCs w:val="28"/>
        </w:rPr>
      </w:pPr>
      <w:r w:rsidRPr="000923B9">
        <w:rPr>
          <w:rFonts w:ascii="Times New Roman" w:hAnsi="Times New Roman" w:cs="Times New Roman"/>
          <w:sz w:val="28"/>
          <w:szCs w:val="28"/>
        </w:rPr>
        <w:t xml:space="preserve">Числовое выражение </w:t>
      </w:r>
      <w:r w:rsidRPr="000923B9">
        <w:rPr>
          <w:rFonts w:ascii="Times New Roman" w:hAnsi="Times New Roman" w:cs="Times New Roman"/>
          <w:sz w:val="28"/>
          <w:szCs w:val="28"/>
        </w:rPr>
        <w:sym w:font="Symbol" w:char="F044"/>
      </w:r>
      <w:r w:rsidRPr="000923B9">
        <w:rPr>
          <w:rFonts w:ascii="Times New Roman" w:hAnsi="Times New Roman" w:cs="Times New Roman"/>
          <w:sz w:val="28"/>
          <w:szCs w:val="28"/>
        </w:rPr>
        <w:t xml:space="preserve"> </w:t>
      </w:r>
      <w:r w:rsidRPr="000923B9">
        <w:rPr>
          <w:rFonts w:ascii="Times New Roman" w:hAnsi="Times New Roman" w:cs="Times New Roman"/>
          <w:sz w:val="28"/>
          <w:szCs w:val="28"/>
          <w:lang w:val="en-US"/>
        </w:rPr>
        <w:t>Ct</w:t>
      </w:r>
      <w:r w:rsidRPr="000923B9">
        <w:rPr>
          <w:rFonts w:ascii="Times New Roman" w:hAnsi="Times New Roman" w:cs="Times New Roman"/>
          <w:sz w:val="28"/>
          <w:szCs w:val="28"/>
        </w:rPr>
        <w:t xml:space="preserve"> после рецидива заболевания со злокачественной трансформацией менялось в каждом исследуемом гене (табл. 8). Уровень </w:t>
      </w:r>
      <w:r w:rsidRPr="000923B9">
        <w:rPr>
          <w:rFonts w:ascii="Times New Roman" w:hAnsi="Times New Roman" w:cs="Times New Roman"/>
          <w:sz w:val="28"/>
          <w:szCs w:val="28"/>
        </w:rPr>
        <w:lastRenderedPageBreak/>
        <w:t xml:space="preserve">экспрессии гена </w:t>
      </w:r>
      <w:r w:rsidRPr="000923B9">
        <w:rPr>
          <w:rFonts w:ascii="Times New Roman" w:hAnsi="Times New Roman" w:cs="Times New Roman"/>
          <w:sz w:val="28"/>
          <w:szCs w:val="28"/>
          <w:lang w:val="en-US"/>
        </w:rPr>
        <w:t>TP</w:t>
      </w:r>
      <w:r w:rsidRPr="000923B9">
        <w:rPr>
          <w:rFonts w:ascii="Times New Roman" w:hAnsi="Times New Roman" w:cs="Times New Roman"/>
          <w:sz w:val="28"/>
          <w:szCs w:val="28"/>
        </w:rPr>
        <w:t xml:space="preserve"> изменился в 71,4% (5/7) случаев, в гене </w:t>
      </w:r>
      <w:r w:rsidRPr="000923B9">
        <w:rPr>
          <w:rFonts w:ascii="Times New Roman" w:hAnsi="Times New Roman" w:cs="Times New Roman"/>
          <w:sz w:val="28"/>
          <w:szCs w:val="28"/>
          <w:lang w:val="en-US"/>
        </w:rPr>
        <w:t>MGMT</w:t>
      </w:r>
      <w:r w:rsidRPr="000923B9">
        <w:rPr>
          <w:rFonts w:ascii="Times New Roman" w:hAnsi="Times New Roman" w:cs="Times New Roman"/>
          <w:sz w:val="28"/>
          <w:szCs w:val="28"/>
        </w:rPr>
        <w:t xml:space="preserve"> – в 62,5% (5/8), в гене </w:t>
      </w:r>
      <w:r w:rsidRPr="000923B9">
        <w:rPr>
          <w:rFonts w:ascii="Times New Roman" w:hAnsi="Times New Roman" w:cs="Times New Roman"/>
          <w:color w:val="000000"/>
          <w:sz w:val="28"/>
          <w:szCs w:val="28"/>
        </w:rPr>
        <w:t xml:space="preserve">β-тубулин – в 42,9% (3/7), в гене ERCC1 – в 42,9% (3/7), в гене С-kit - в </w:t>
      </w:r>
      <w:r w:rsidRPr="000923B9">
        <w:rPr>
          <w:rFonts w:ascii="Times New Roman" w:hAnsi="Times New Roman" w:cs="Times New Roman"/>
          <w:sz w:val="28"/>
          <w:szCs w:val="28"/>
        </w:rPr>
        <w:t>62,5</w:t>
      </w:r>
      <w:r w:rsidRPr="000923B9">
        <w:rPr>
          <w:rFonts w:ascii="Times New Roman" w:hAnsi="Times New Roman" w:cs="Times New Roman"/>
          <w:color w:val="000000"/>
          <w:sz w:val="28"/>
          <w:szCs w:val="28"/>
        </w:rPr>
        <w:t xml:space="preserve">% (5/8), в гене VEGF – в 50% (4/8), в гене PDGFRA – в 37,5% (3/8), в гене TOP2A – в 42,9% (3/7). </w:t>
      </w:r>
    </w:p>
    <w:p w:rsidR="000923B9" w:rsidRDefault="000923B9" w:rsidP="005E0D82">
      <w:pPr>
        <w:pStyle w:val="ae"/>
        <w:keepNext/>
        <w:spacing w:after="0" w:line="360" w:lineRule="auto"/>
      </w:pPr>
      <w:r>
        <w:t xml:space="preserve">Таблица </w:t>
      </w:r>
      <w:fldSimple w:instr=" SEQ Таблица \* ARABIC ">
        <w:r w:rsidR="00DD6C05">
          <w:rPr>
            <w:noProof/>
          </w:rPr>
          <w:t>9</w:t>
        </w:r>
      </w:fldSimple>
      <w:r>
        <w:t xml:space="preserve">. </w:t>
      </w:r>
      <w:r w:rsidRPr="00254A2D">
        <w:t>Изменения экспрессии генов при злокачественной трансформации опухолей</w:t>
      </w:r>
    </w:p>
    <w:tbl>
      <w:tblPr>
        <w:tblStyle w:val="a4"/>
        <w:tblW w:w="0" w:type="auto"/>
        <w:tblLook w:val="04A0" w:firstRow="1" w:lastRow="0" w:firstColumn="1" w:lastColumn="0" w:noHBand="0" w:noVBand="1"/>
      </w:tblPr>
      <w:tblGrid>
        <w:gridCol w:w="3095"/>
        <w:gridCol w:w="3096"/>
        <w:gridCol w:w="3096"/>
      </w:tblGrid>
      <w:tr w:rsidR="00A83C7B" w:rsidRPr="000923B9" w:rsidTr="00A83C7B">
        <w:tc>
          <w:tcPr>
            <w:tcW w:w="3095" w:type="dxa"/>
          </w:tcPr>
          <w:p w:rsidR="00A83C7B" w:rsidRPr="000923B9" w:rsidRDefault="00A83C7B" w:rsidP="005E0D82">
            <w:pPr>
              <w:spacing w:line="360" w:lineRule="auto"/>
              <w:jc w:val="both"/>
              <w:rPr>
                <w:rFonts w:ascii="Times New Roman" w:hAnsi="Times New Roman" w:cs="Times New Roman"/>
                <w:b/>
                <w:bCs/>
                <w:color w:val="000000"/>
                <w:sz w:val="24"/>
                <w:szCs w:val="24"/>
              </w:rPr>
            </w:pPr>
            <w:r w:rsidRPr="000923B9">
              <w:rPr>
                <w:rFonts w:ascii="Times New Roman" w:hAnsi="Times New Roman" w:cs="Times New Roman"/>
                <w:b/>
                <w:bCs/>
                <w:color w:val="000000"/>
                <w:sz w:val="24"/>
                <w:szCs w:val="24"/>
              </w:rPr>
              <w:t>Исследуемый ген/ числовое выражение экспрессии</w:t>
            </w:r>
          </w:p>
        </w:tc>
        <w:tc>
          <w:tcPr>
            <w:tcW w:w="3096" w:type="dxa"/>
          </w:tcPr>
          <w:p w:rsidR="00A83C7B" w:rsidRPr="000923B9" w:rsidRDefault="00A83C7B" w:rsidP="005E0D82">
            <w:pPr>
              <w:spacing w:line="360" w:lineRule="auto"/>
              <w:jc w:val="both"/>
              <w:rPr>
                <w:rFonts w:ascii="Times New Roman" w:hAnsi="Times New Roman" w:cs="Times New Roman"/>
                <w:b/>
                <w:bCs/>
                <w:color w:val="000000"/>
                <w:sz w:val="24"/>
                <w:szCs w:val="24"/>
              </w:rPr>
            </w:pPr>
            <w:r w:rsidRPr="000923B9">
              <w:rPr>
                <w:rFonts w:ascii="Times New Roman" w:hAnsi="Times New Roman" w:cs="Times New Roman"/>
                <w:b/>
                <w:bCs/>
                <w:color w:val="000000"/>
                <w:sz w:val="24"/>
                <w:szCs w:val="24"/>
              </w:rPr>
              <w:t>ДА</w:t>
            </w:r>
            <w:r w:rsidRPr="000923B9">
              <w:rPr>
                <w:rFonts w:ascii="Times New Roman" w:hAnsi="Times New Roman" w:cs="Times New Roman"/>
                <w:b/>
                <w:bCs/>
                <w:color w:val="000000"/>
                <w:sz w:val="24"/>
                <w:szCs w:val="24"/>
                <w:lang w:val="en-US"/>
              </w:rPr>
              <w:t>GII</w:t>
            </w:r>
            <w:r w:rsidRPr="000923B9">
              <w:rPr>
                <w:rFonts w:ascii="Times New Roman" w:hAnsi="Times New Roman" w:cs="Times New Roman"/>
                <w:b/>
                <w:bCs/>
                <w:color w:val="000000"/>
                <w:sz w:val="24"/>
                <w:szCs w:val="24"/>
              </w:rPr>
              <w:t>/ОДГ</w:t>
            </w:r>
            <w:r w:rsidRPr="000923B9">
              <w:rPr>
                <w:rFonts w:ascii="Times New Roman" w:hAnsi="Times New Roman" w:cs="Times New Roman"/>
                <w:b/>
                <w:bCs/>
                <w:color w:val="000000"/>
                <w:sz w:val="24"/>
                <w:szCs w:val="24"/>
                <w:lang w:val="en-US"/>
              </w:rPr>
              <w:t>GII</w:t>
            </w:r>
            <w:r w:rsidRPr="000923B9">
              <w:rPr>
                <w:rFonts w:ascii="Times New Roman" w:hAnsi="Times New Roman" w:cs="Times New Roman"/>
                <w:b/>
                <w:bCs/>
                <w:color w:val="000000"/>
                <w:sz w:val="24"/>
                <w:szCs w:val="24"/>
              </w:rPr>
              <w:t xml:space="preserve"> во вторичную ГБ</w:t>
            </w:r>
            <w:r w:rsidRPr="000923B9">
              <w:rPr>
                <w:rFonts w:ascii="Times New Roman" w:hAnsi="Times New Roman" w:cs="Times New Roman"/>
                <w:b/>
                <w:bCs/>
                <w:color w:val="000000"/>
                <w:sz w:val="24"/>
                <w:szCs w:val="24"/>
                <w:lang w:val="en-US"/>
              </w:rPr>
              <w:t>GIV</w:t>
            </w:r>
          </w:p>
        </w:tc>
        <w:tc>
          <w:tcPr>
            <w:tcW w:w="3096" w:type="dxa"/>
          </w:tcPr>
          <w:p w:rsidR="00A83C7B" w:rsidRPr="000923B9" w:rsidRDefault="00A83C7B" w:rsidP="005E0D82">
            <w:pPr>
              <w:spacing w:line="360" w:lineRule="auto"/>
              <w:jc w:val="both"/>
              <w:rPr>
                <w:rFonts w:ascii="Times New Roman" w:hAnsi="Times New Roman" w:cs="Times New Roman"/>
                <w:b/>
                <w:bCs/>
                <w:color w:val="000000"/>
                <w:sz w:val="24"/>
                <w:szCs w:val="24"/>
              </w:rPr>
            </w:pPr>
            <w:r w:rsidRPr="000923B9">
              <w:rPr>
                <w:rFonts w:ascii="Times New Roman" w:hAnsi="Times New Roman" w:cs="Times New Roman"/>
                <w:b/>
                <w:bCs/>
                <w:color w:val="000000"/>
                <w:sz w:val="24"/>
                <w:szCs w:val="24"/>
              </w:rPr>
              <w:t>АА</w:t>
            </w:r>
            <w:r w:rsidRPr="000923B9">
              <w:rPr>
                <w:rFonts w:ascii="Times New Roman" w:hAnsi="Times New Roman" w:cs="Times New Roman"/>
                <w:b/>
                <w:bCs/>
                <w:color w:val="000000"/>
                <w:sz w:val="24"/>
                <w:szCs w:val="24"/>
                <w:lang w:val="en-US"/>
              </w:rPr>
              <w:t>GIII</w:t>
            </w:r>
            <w:r w:rsidRPr="000923B9">
              <w:rPr>
                <w:rFonts w:ascii="Times New Roman" w:hAnsi="Times New Roman" w:cs="Times New Roman"/>
                <w:b/>
                <w:bCs/>
                <w:color w:val="000000"/>
                <w:sz w:val="24"/>
                <w:szCs w:val="24"/>
              </w:rPr>
              <w:t>/АОДГ</w:t>
            </w:r>
            <w:r w:rsidRPr="000923B9">
              <w:rPr>
                <w:rFonts w:ascii="Times New Roman" w:hAnsi="Times New Roman" w:cs="Times New Roman"/>
                <w:b/>
                <w:bCs/>
                <w:color w:val="000000"/>
                <w:sz w:val="24"/>
                <w:szCs w:val="24"/>
                <w:lang w:val="en-US"/>
              </w:rPr>
              <w:t>GIII</w:t>
            </w:r>
            <w:r w:rsidRPr="000923B9">
              <w:rPr>
                <w:rFonts w:ascii="Times New Roman" w:hAnsi="Times New Roman" w:cs="Times New Roman"/>
                <w:b/>
                <w:bCs/>
                <w:color w:val="000000"/>
                <w:sz w:val="24"/>
                <w:szCs w:val="24"/>
              </w:rPr>
              <w:t xml:space="preserve"> во вторичную глиобластому</w:t>
            </w:r>
          </w:p>
        </w:tc>
      </w:tr>
      <w:tr w:rsidR="00A83C7B" w:rsidRPr="000923B9" w:rsidTr="00A83C7B">
        <w:tc>
          <w:tcPr>
            <w:tcW w:w="3095" w:type="dxa"/>
          </w:tcPr>
          <w:p w:rsidR="00A83C7B" w:rsidRPr="000923B9" w:rsidRDefault="00A83C7B" w:rsidP="005E0D82">
            <w:pPr>
              <w:spacing w:line="360" w:lineRule="auto"/>
              <w:jc w:val="both"/>
              <w:rPr>
                <w:rFonts w:ascii="Times New Roman" w:hAnsi="Times New Roman" w:cs="Times New Roman"/>
                <w:b/>
                <w:bCs/>
                <w:color w:val="000000"/>
                <w:sz w:val="24"/>
                <w:szCs w:val="24"/>
              </w:rPr>
            </w:pPr>
            <w:r w:rsidRPr="000923B9">
              <w:rPr>
                <w:rFonts w:ascii="Times New Roman" w:hAnsi="Times New Roman" w:cs="Times New Roman"/>
                <w:b/>
                <w:bCs/>
                <w:color w:val="000000"/>
                <w:sz w:val="24"/>
                <w:szCs w:val="24"/>
                <w:lang w:val="en-US"/>
              </w:rPr>
              <w:t>TP</w:t>
            </w:r>
          </w:p>
        </w:tc>
        <w:tc>
          <w:tcPr>
            <w:tcW w:w="3096" w:type="dxa"/>
          </w:tcPr>
          <w:p w:rsidR="00A83C7B" w:rsidRPr="000923B9" w:rsidRDefault="00A83C7B" w:rsidP="005E0D82">
            <w:pPr>
              <w:spacing w:line="360" w:lineRule="auto"/>
              <w:jc w:val="both"/>
              <w:rPr>
                <w:rFonts w:ascii="Times New Roman" w:hAnsi="Times New Roman" w:cs="Times New Roman"/>
                <w:color w:val="000000"/>
                <w:sz w:val="24"/>
                <w:szCs w:val="24"/>
              </w:rPr>
            </w:pPr>
            <w:r w:rsidRPr="000923B9">
              <w:rPr>
                <w:rFonts w:ascii="Times New Roman" w:hAnsi="Times New Roman" w:cs="Times New Roman"/>
                <w:color w:val="000000"/>
                <w:sz w:val="24"/>
                <w:szCs w:val="24"/>
              </w:rPr>
              <w:t>71,4%</w:t>
            </w:r>
          </w:p>
        </w:tc>
        <w:tc>
          <w:tcPr>
            <w:tcW w:w="3096" w:type="dxa"/>
          </w:tcPr>
          <w:p w:rsidR="00A83C7B" w:rsidRPr="000923B9" w:rsidRDefault="000923B9" w:rsidP="005E0D82">
            <w:pPr>
              <w:spacing w:line="360" w:lineRule="auto"/>
              <w:jc w:val="both"/>
              <w:rPr>
                <w:rFonts w:ascii="Times New Roman" w:hAnsi="Times New Roman" w:cs="Times New Roman"/>
                <w:color w:val="000000"/>
                <w:sz w:val="24"/>
                <w:szCs w:val="24"/>
              </w:rPr>
            </w:pPr>
            <w:r w:rsidRPr="000923B9">
              <w:rPr>
                <w:rFonts w:ascii="Times New Roman" w:hAnsi="Times New Roman" w:cs="Times New Roman"/>
                <w:color w:val="000000"/>
                <w:sz w:val="24"/>
                <w:szCs w:val="24"/>
              </w:rPr>
              <w:t>40;</w:t>
            </w:r>
          </w:p>
        </w:tc>
      </w:tr>
      <w:tr w:rsidR="00A83C7B" w:rsidRPr="000923B9" w:rsidTr="00A83C7B">
        <w:tc>
          <w:tcPr>
            <w:tcW w:w="3095" w:type="dxa"/>
          </w:tcPr>
          <w:p w:rsidR="00A83C7B" w:rsidRPr="000923B9" w:rsidRDefault="00A83C7B" w:rsidP="005E0D82">
            <w:pPr>
              <w:spacing w:line="360" w:lineRule="auto"/>
              <w:jc w:val="both"/>
              <w:rPr>
                <w:rFonts w:ascii="Times New Roman" w:hAnsi="Times New Roman" w:cs="Times New Roman"/>
                <w:b/>
                <w:bCs/>
                <w:color w:val="000000"/>
                <w:sz w:val="24"/>
                <w:szCs w:val="24"/>
              </w:rPr>
            </w:pPr>
            <w:r w:rsidRPr="000923B9">
              <w:rPr>
                <w:rFonts w:ascii="Times New Roman" w:hAnsi="Times New Roman" w:cs="Times New Roman"/>
                <w:b/>
                <w:bCs/>
                <w:color w:val="000000"/>
                <w:sz w:val="24"/>
                <w:szCs w:val="24"/>
                <w:lang w:val="en-US"/>
              </w:rPr>
              <w:t>MGMT</w:t>
            </w:r>
          </w:p>
        </w:tc>
        <w:tc>
          <w:tcPr>
            <w:tcW w:w="3096" w:type="dxa"/>
          </w:tcPr>
          <w:p w:rsidR="00A83C7B" w:rsidRPr="000923B9" w:rsidRDefault="00A83C7B" w:rsidP="005E0D82">
            <w:pPr>
              <w:spacing w:line="360" w:lineRule="auto"/>
              <w:jc w:val="both"/>
              <w:rPr>
                <w:rFonts w:ascii="Times New Roman" w:hAnsi="Times New Roman" w:cs="Times New Roman"/>
                <w:color w:val="000000"/>
                <w:sz w:val="24"/>
                <w:szCs w:val="24"/>
              </w:rPr>
            </w:pPr>
            <w:r w:rsidRPr="000923B9">
              <w:rPr>
                <w:rFonts w:ascii="Times New Roman" w:hAnsi="Times New Roman" w:cs="Times New Roman"/>
                <w:color w:val="000000"/>
                <w:sz w:val="24"/>
                <w:szCs w:val="24"/>
              </w:rPr>
              <w:t>62,5%</w:t>
            </w:r>
          </w:p>
        </w:tc>
        <w:tc>
          <w:tcPr>
            <w:tcW w:w="3096" w:type="dxa"/>
          </w:tcPr>
          <w:p w:rsidR="00A83C7B" w:rsidRPr="000923B9" w:rsidRDefault="000923B9" w:rsidP="005E0D82">
            <w:pPr>
              <w:spacing w:line="360" w:lineRule="auto"/>
              <w:jc w:val="both"/>
              <w:rPr>
                <w:rFonts w:ascii="Times New Roman" w:hAnsi="Times New Roman" w:cs="Times New Roman"/>
                <w:color w:val="000000"/>
                <w:sz w:val="24"/>
                <w:szCs w:val="24"/>
              </w:rPr>
            </w:pPr>
            <w:r w:rsidRPr="000923B9">
              <w:rPr>
                <w:rFonts w:ascii="Times New Roman" w:hAnsi="Times New Roman" w:cs="Times New Roman"/>
                <w:color w:val="000000"/>
                <w:sz w:val="24"/>
                <w:szCs w:val="24"/>
              </w:rPr>
              <w:t>66,7%</w:t>
            </w:r>
          </w:p>
        </w:tc>
      </w:tr>
      <w:tr w:rsidR="00A83C7B" w:rsidRPr="000923B9" w:rsidTr="00A83C7B">
        <w:tc>
          <w:tcPr>
            <w:tcW w:w="3095" w:type="dxa"/>
          </w:tcPr>
          <w:p w:rsidR="00A83C7B" w:rsidRPr="000923B9" w:rsidRDefault="00A83C7B" w:rsidP="005E0D82">
            <w:pPr>
              <w:spacing w:line="360" w:lineRule="auto"/>
              <w:jc w:val="both"/>
              <w:rPr>
                <w:rFonts w:ascii="Times New Roman" w:hAnsi="Times New Roman" w:cs="Times New Roman"/>
                <w:b/>
                <w:bCs/>
                <w:color w:val="000000"/>
                <w:sz w:val="24"/>
                <w:szCs w:val="24"/>
              </w:rPr>
            </w:pPr>
            <w:r w:rsidRPr="000923B9">
              <w:rPr>
                <w:rFonts w:ascii="Times New Roman" w:hAnsi="Times New Roman" w:cs="Times New Roman"/>
                <w:b/>
                <w:bCs/>
                <w:color w:val="000000"/>
                <w:sz w:val="24"/>
                <w:szCs w:val="24"/>
              </w:rPr>
              <w:t>β-тубулин</w:t>
            </w:r>
          </w:p>
        </w:tc>
        <w:tc>
          <w:tcPr>
            <w:tcW w:w="3096" w:type="dxa"/>
          </w:tcPr>
          <w:p w:rsidR="00A83C7B" w:rsidRPr="000923B9" w:rsidRDefault="00A83C7B" w:rsidP="005E0D82">
            <w:pPr>
              <w:spacing w:line="360" w:lineRule="auto"/>
              <w:jc w:val="both"/>
              <w:rPr>
                <w:rFonts w:ascii="Times New Roman" w:hAnsi="Times New Roman" w:cs="Times New Roman"/>
                <w:color w:val="000000"/>
                <w:sz w:val="24"/>
                <w:szCs w:val="24"/>
              </w:rPr>
            </w:pPr>
            <w:r w:rsidRPr="000923B9">
              <w:rPr>
                <w:rFonts w:ascii="Times New Roman" w:hAnsi="Times New Roman" w:cs="Times New Roman"/>
                <w:color w:val="000000"/>
                <w:sz w:val="24"/>
                <w:szCs w:val="24"/>
              </w:rPr>
              <w:t>42,9%</w:t>
            </w:r>
          </w:p>
        </w:tc>
        <w:tc>
          <w:tcPr>
            <w:tcW w:w="3096" w:type="dxa"/>
          </w:tcPr>
          <w:p w:rsidR="00A83C7B" w:rsidRPr="000923B9" w:rsidRDefault="000923B9" w:rsidP="005E0D82">
            <w:pPr>
              <w:spacing w:line="360" w:lineRule="auto"/>
              <w:jc w:val="both"/>
              <w:rPr>
                <w:rFonts w:ascii="Times New Roman" w:hAnsi="Times New Roman" w:cs="Times New Roman"/>
                <w:color w:val="000000"/>
                <w:sz w:val="24"/>
                <w:szCs w:val="24"/>
              </w:rPr>
            </w:pPr>
            <w:r w:rsidRPr="000923B9">
              <w:rPr>
                <w:rFonts w:ascii="Times New Roman" w:hAnsi="Times New Roman" w:cs="Times New Roman"/>
                <w:color w:val="000000"/>
                <w:sz w:val="24"/>
                <w:szCs w:val="24"/>
              </w:rPr>
              <w:t>80%</w:t>
            </w:r>
          </w:p>
        </w:tc>
      </w:tr>
      <w:tr w:rsidR="00A83C7B" w:rsidRPr="000923B9" w:rsidTr="00A83C7B">
        <w:tc>
          <w:tcPr>
            <w:tcW w:w="3095" w:type="dxa"/>
          </w:tcPr>
          <w:p w:rsidR="00A83C7B" w:rsidRPr="000923B9" w:rsidRDefault="00A83C7B" w:rsidP="005E0D82">
            <w:pPr>
              <w:spacing w:line="360" w:lineRule="auto"/>
              <w:jc w:val="both"/>
              <w:rPr>
                <w:rFonts w:ascii="Times New Roman" w:hAnsi="Times New Roman" w:cs="Times New Roman"/>
                <w:b/>
                <w:bCs/>
                <w:color w:val="000000"/>
                <w:sz w:val="24"/>
                <w:szCs w:val="24"/>
              </w:rPr>
            </w:pPr>
            <w:r w:rsidRPr="000923B9">
              <w:rPr>
                <w:rFonts w:ascii="Times New Roman" w:hAnsi="Times New Roman" w:cs="Times New Roman"/>
                <w:b/>
                <w:bCs/>
                <w:color w:val="000000"/>
                <w:sz w:val="24"/>
                <w:szCs w:val="24"/>
              </w:rPr>
              <w:t>С-kit</w:t>
            </w:r>
          </w:p>
        </w:tc>
        <w:tc>
          <w:tcPr>
            <w:tcW w:w="3096" w:type="dxa"/>
          </w:tcPr>
          <w:p w:rsidR="00A83C7B" w:rsidRPr="000923B9" w:rsidRDefault="00A83C7B" w:rsidP="005E0D82">
            <w:pPr>
              <w:spacing w:line="360" w:lineRule="auto"/>
              <w:jc w:val="both"/>
              <w:rPr>
                <w:rFonts w:ascii="Times New Roman" w:hAnsi="Times New Roman" w:cs="Times New Roman"/>
                <w:color w:val="000000"/>
                <w:sz w:val="24"/>
                <w:szCs w:val="24"/>
              </w:rPr>
            </w:pPr>
            <w:r w:rsidRPr="000923B9">
              <w:rPr>
                <w:rFonts w:ascii="Times New Roman" w:hAnsi="Times New Roman" w:cs="Times New Roman"/>
                <w:color w:val="000000"/>
                <w:sz w:val="24"/>
                <w:szCs w:val="24"/>
              </w:rPr>
              <w:t>62,5%</w:t>
            </w:r>
          </w:p>
        </w:tc>
        <w:tc>
          <w:tcPr>
            <w:tcW w:w="3096" w:type="dxa"/>
          </w:tcPr>
          <w:p w:rsidR="00A83C7B" w:rsidRPr="000923B9" w:rsidRDefault="000923B9" w:rsidP="005E0D82">
            <w:pPr>
              <w:spacing w:line="360" w:lineRule="auto"/>
              <w:jc w:val="both"/>
              <w:rPr>
                <w:rFonts w:ascii="Times New Roman" w:hAnsi="Times New Roman" w:cs="Times New Roman"/>
                <w:color w:val="000000"/>
                <w:sz w:val="24"/>
                <w:szCs w:val="24"/>
              </w:rPr>
            </w:pPr>
            <w:r w:rsidRPr="000923B9">
              <w:rPr>
                <w:rFonts w:ascii="Times New Roman" w:hAnsi="Times New Roman" w:cs="Times New Roman"/>
                <w:color w:val="000000"/>
                <w:sz w:val="24"/>
                <w:szCs w:val="24"/>
              </w:rPr>
              <w:t>33,3%</w:t>
            </w:r>
          </w:p>
        </w:tc>
      </w:tr>
      <w:tr w:rsidR="00A83C7B" w:rsidRPr="000923B9" w:rsidTr="00A83C7B">
        <w:tc>
          <w:tcPr>
            <w:tcW w:w="3095" w:type="dxa"/>
          </w:tcPr>
          <w:p w:rsidR="00A83C7B" w:rsidRPr="000923B9" w:rsidRDefault="00A83C7B" w:rsidP="005E0D82">
            <w:pPr>
              <w:spacing w:line="360" w:lineRule="auto"/>
              <w:jc w:val="both"/>
              <w:rPr>
                <w:rFonts w:ascii="Times New Roman" w:hAnsi="Times New Roman" w:cs="Times New Roman"/>
                <w:b/>
                <w:bCs/>
                <w:color w:val="000000"/>
                <w:sz w:val="24"/>
                <w:szCs w:val="24"/>
              </w:rPr>
            </w:pPr>
            <w:r w:rsidRPr="000923B9">
              <w:rPr>
                <w:rFonts w:ascii="Times New Roman" w:hAnsi="Times New Roman" w:cs="Times New Roman"/>
                <w:b/>
                <w:bCs/>
                <w:color w:val="000000"/>
                <w:sz w:val="24"/>
                <w:szCs w:val="24"/>
              </w:rPr>
              <w:t>VEGF</w:t>
            </w:r>
          </w:p>
        </w:tc>
        <w:tc>
          <w:tcPr>
            <w:tcW w:w="3096" w:type="dxa"/>
          </w:tcPr>
          <w:p w:rsidR="00A83C7B" w:rsidRPr="000923B9" w:rsidRDefault="000923B9" w:rsidP="005E0D82">
            <w:pPr>
              <w:spacing w:line="360" w:lineRule="auto"/>
              <w:jc w:val="both"/>
              <w:rPr>
                <w:rFonts w:ascii="Times New Roman" w:hAnsi="Times New Roman" w:cs="Times New Roman"/>
                <w:color w:val="000000"/>
                <w:sz w:val="24"/>
                <w:szCs w:val="24"/>
              </w:rPr>
            </w:pPr>
            <w:r w:rsidRPr="000923B9">
              <w:rPr>
                <w:rFonts w:ascii="Times New Roman" w:hAnsi="Times New Roman" w:cs="Times New Roman"/>
                <w:color w:val="000000"/>
                <w:sz w:val="24"/>
                <w:szCs w:val="24"/>
              </w:rPr>
              <w:t>50%</w:t>
            </w:r>
          </w:p>
        </w:tc>
        <w:tc>
          <w:tcPr>
            <w:tcW w:w="3096" w:type="dxa"/>
          </w:tcPr>
          <w:p w:rsidR="00A83C7B" w:rsidRPr="000923B9" w:rsidRDefault="000923B9" w:rsidP="005E0D82">
            <w:pPr>
              <w:spacing w:line="360" w:lineRule="auto"/>
              <w:jc w:val="both"/>
              <w:rPr>
                <w:rFonts w:ascii="Times New Roman" w:hAnsi="Times New Roman" w:cs="Times New Roman"/>
                <w:color w:val="000000"/>
                <w:sz w:val="24"/>
                <w:szCs w:val="24"/>
              </w:rPr>
            </w:pPr>
            <w:r w:rsidRPr="000923B9">
              <w:rPr>
                <w:rFonts w:ascii="Times New Roman" w:hAnsi="Times New Roman" w:cs="Times New Roman"/>
                <w:color w:val="000000"/>
                <w:sz w:val="24"/>
                <w:szCs w:val="24"/>
              </w:rPr>
              <w:t>80%</w:t>
            </w:r>
          </w:p>
        </w:tc>
      </w:tr>
      <w:tr w:rsidR="00A83C7B" w:rsidRPr="000923B9" w:rsidTr="00A83C7B">
        <w:tc>
          <w:tcPr>
            <w:tcW w:w="3095" w:type="dxa"/>
          </w:tcPr>
          <w:p w:rsidR="00A83C7B" w:rsidRPr="000923B9" w:rsidRDefault="00A83C7B" w:rsidP="005E0D82">
            <w:pPr>
              <w:spacing w:line="360" w:lineRule="auto"/>
              <w:jc w:val="both"/>
              <w:rPr>
                <w:rFonts w:ascii="Times New Roman" w:hAnsi="Times New Roman" w:cs="Times New Roman"/>
                <w:b/>
                <w:bCs/>
                <w:color w:val="000000"/>
                <w:sz w:val="24"/>
                <w:szCs w:val="24"/>
              </w:rPr>
            </w:pPr>
            <w:r w:rsidRPr="000923B9">
              <w:rPr>
                <w:rFonts w:ascii="Times New Roman" w:hAnsi="Times New Roman" w:cs="Times New Roman"/>
                <w:b/>
                <w:bCs/>
                <w:color w:val="000000"/>
                <w:sz w:val="24"/>
                <w:szCs w:val="24"/>
              </w:rPr>
              <w:t>PDGFR</w:t>
            </w:r>
          </w:p>
        </w:tc>
        <w:tc>
          <w:tcPr>
            <w:tcW w:w="3096" w:type="dxa"/>
          </w:tcPr>
          <w:p w:rsidR="00A83C7B" w:rsidRPr="000923B9" w:rsidRDefault="000923B9" w:rsidP="005E0D82">
            <w:pPr>
              <w:spacing w:line="360" w:lineRule="auto"/>
              <w:jc w:val="both"/>
              <w:rPr>
                <w:rFonts w:ascii="Times New Roman" w:hAnsi="Times New Roman" w:cs="Times New Roman"/>
                <w:color w:val="000000"/>
                <w:sz w:val="24"/>
                <w:szCs w:val="24"/>
              </w:rPr>
            </w:pPr>
            <w:r w:rsidRPr="000923B9">
              <w:rPr>
                <w:rFonts w:ascii="Times New Roman" w:hAnsi="Times New Roman" w:cs="Times New Roman"/>
                <w:color w:val="000000"/>
                <w:sz w:val="24"/>
                <w:szCs w:val="24"/>
              </w:rPr>
              <w:t>37,5%</w:t>
            </w:r>
          </w:p>
        </w:tc>
        <w:tc>
          <w:tcPr>
            <w:tcW w:w="3096" w:type="dxa"/>
          </w:tcPr>
          <w:p w:rsidR="00A83C7B" w:rsidRPr="000923B9" w:rsidRDefault="000923B9" w:rsidP="005E0D82">
            <w:pPr>
              <w:spacing w:line="360" w:lineRule="auto"/>
              <w:jc w:val="both"/>
              <w:rPr>
                <w:rFonts w:ascii="Times New Roman" w:hAnsi="Times New Roman" w:cs="Times New Roman"/>
                <w:color w:val="000000"/>
                <w:sz w:val="24"/>
                <w:szCs w:val="24"/>
              </w:rPr>
            </w:pPr>
            <w:r w:rsidRPr="000923B9">
              <w:rPr>
                <w:rFonts w:ascii="Times New Roman" w:hAnsi="Times New Roman" w:cs="Times New Roman"/>
                <w:color w:val="000000"/>
                <w:sz w:val="24"/>
                <w:szCs w:val="24"/>
              </w:rPr>
              <w:t>20%</w:t>
            </w:r>
          </w:p>
        </w:tc>
      </w:tr>
    </w:tbl>
    <w:p w:rsidR="00A83C7B" w:rsidRPr="000923B9" w:rsidRDefault="00A83C7B" w:rsidP="005E0D82">
      <w:pPr>
        <w:spacing w:after="0" w:line="360" w:lineRule="auto"/>
        <w:jc w:val="both"/>
        <w:rPr>
          <w:rFonts w:ascii="Times New Roman" w:hAnsi="Times New Roman" w:cs="Times New Roman"/>
          <w:color w:val="000000"/>
          <w:sz w:val="28"/>
          <w:szCs w:val="28"/>
        </w:rPr>
      </w:pPr>
    </w:p>
    <w:p w:rsidR="00A83C7B" w:rsidRPr="000923B9" w:rsidRDefault="00A83C7B" w:rsidP="005E0D82">
      <w:pPr>
        <w:spacing w:after="0" w:line="360" w:lineRule="auto"/>
        <w:jc w:val="both"/>
        <w:rPr>
          <w:rFonts w:ascii="Times New Roman" w:hAnsi="Times New Roman" w:cs="Times New Roman"/>
          <w:sz w:val="28"/>
          <w:szCs w:val="28"/>
        </w:rPr>
      </w:pPr>
      <w:r w:rsidRPr="000923B9">
        <w:rPr>
          <w:rFonts w:ascii="Times New Roman" w:hAnsi="Times New Roman" w:cs="Times New Roman"/>
          <w:sz w:val="28"/>
          <w:szCs w:val="28"/>
        </w:rPr>
        <w:t xml:space="preserve">Числовое выражение </w:t>
      </w:r>
      <w:r w:rsidRPr="000923B9">
        <w:rPr>
          <w:rFonts w:ascii="Times New Roman" w:hAnsi="Times New Roman" w:cs="Times New Roman"/>
          <w:sz w:val="28"/>
          <w:szCs w:val="28"/>
        </w:rPr>
        <w:sym w:font="Symbol" w:char="F044"/>
      </w:r>
      <w:r w:rsidRPr="000923B9">
        <w:rPr>
          <w:rFonts w:ascii="Times New Roman" w:hAnsi="Times New Roman" w:cs="Times New Roman"/>
          <w:sz w:val="28"/>
          <w:szCs w:val="28"/>
        </w:rPr>
        <w:t xml:space="preserve"> </w:t>
      </w:r>
      <w:r w:rsidRPr="000923B9">
        <w:rPr>
          <w:rFonts w:ascii="Times New Roman" w:hAnsi="Times New Roman" w:cs="Times New Roman"/>
          <w:sz w:val="28"/>
          <w:szCs w:val="28"/>
          <w:lang w:val="en-US"/>
        </w:rPr>
        <w:t>Ct</w:t>
      </w:r>
      <w:r w:rsidRPr="000923B9">
        <w:rPr>
          <w:rFonts w:ascii="Times New Roman" w:hAnsi="Times New Roman" w:cs="Times New Roman"/>
          <w:sz w:val="28"/>
          <w:szCs w:val="28"/>
        </w:rPr>
        <w:t xml:space="preserve"> после трансформации во вторичную ГБ</w:t>
      </w:r>
      <w:r w:rsidRPr="000923B9">
        <w:rPr>
          <w:rFonts w:ascii="Times New Roman" w:hAnsi="Times New Roman" w:cs="Times New Roman"/>
          <w:sz w:val="28"/>
          <w:szCs w:val="28"/>
          <w:lang w:val="en-US"/>
        </w:rPr>
        <w:t>GIV</w:t>
      </w:r>
      <w:r w:rsidRPr="000923B9">
        <w:rPr>
          <w:rFonts w:ascii="Times New Roman" w:hAnsi="Times New Roman" w:cs="Times New Roman"/>
          <w:sz w:val="28"/>
          <w:szCs w:val="28"/>
        </w:rPr>
        <w:t xml:space="preserve"> также менялось в каждом исследуемом гене. Уровень экспрессии гена </w:t>
      </w:r>
      <w:r w:rsidRPr="000923B9">
        <w:rPr>
          <w:rFonts w:ascii="Times New Roman" w:hAnsi="Times New Roman" w:cs="Times New Roman"/>
          <w:sz w:val="28"/>
          <w:szCs w:val="28"/>
          <w:lang w:val="en-US"/>
        </w:rPr>
        <w:t>TP</w:t>
      </w:r>
      <w:r w:rsidRPr="000923B9">
        <w:rPr>
          <w:rFonts w:ascii="Times New Roman" w:hAnsi="Times New Roman" w:cs="Times New Roman"/>
          <w:sz w:val="28"/>
          <w:szCs w:val="28"/>
        </w:rPr>
        <w:t xml:space="preserve"> изменился в 40% (2/5) случаев, в гене </w:t>
      </w:r>
      <w:r w:rsidRPr="000923B9">
        <w:rPr>
          <w:rFonts w:ascii="Times New Roman" w:hAnsi="Times New Roman" w:cs="Times New Roman"/>
          <w:sz w:val="28"/>
          <w:szCs w:val="28"/>
          <w:lang w:val="en-US"/>
        </w:rPr>
        <w:t>MGMT</w:t>
      </w:r>
      <w:r w:rsidRPr="000923B9">
        <w:rPr>
          <w:rFonts w:ascii="Times New Roman" w:hAnsi="Times New Roman" w:cs="Times New Roman"/>
          <w:sz w:val="28"/>
          <w:szCs w:val="28"/>
        </w:rPr>
        <w:t xml:space="preserve"> – в 66,7% (4/6), в гене </w:t>
      </w:r>
      <w:r w:rsidRPr="000923B9">
        <w:rPr>
          <w:rFonts w:ascii="Times New Roman" w:hAnsi="Times New Roman" w:cs="Times New Roman"/>
          <w:color w:val="000000"/>
          <w:sz w:val="28"/>
          <w:szCs w:val="28"/>
        </w:rPr>
        <w:t xml:space="preserve">β-тубулин – в 80% (4/5), в гене ERCC1 – в 20% (1/5), в гене С-kit – в </w:t>
      </w:r>
      <w:r w:rsidRPr="000923B9">
        <w:rPr>
          <w:rFonts w:ascii="Times New Roman" w:hAnsi="Times New Roman" w:cs="Times New Roman"/>
          <w:sz w:val="28"/>
          <w:szCs w:val="28"/>
        </w:rPr>
        <w:t>33,3</w:t>
      </w:r>
      <w:r w:rsidRPr="000923B9">
        <w:rPr>
          <w:rFonts w:ascii="Times New Roman" w:hAnsi="Times New Roman" w:cs="Times New Roman"/>
          <w:color w:val="000000"/>
          <w:sz w:val="28"/>
          <w:szCs w:val="28"/>
        </w:rPr>
        <w:t>% (2/6), в гене VEGF – в 80% (4/5), в гене PDGFRA – в 20% (1/5), в гене TOP2A – в 50% (2/4).</w:t>
      </w:r>
    </w:p>
    <w:p w:rsidR="00A83C7B" w:rsidRPr="000923B9" w:rsidRDefault="00A83C7B" w:rsidP="005E0D82">
      <w:pPr>
        <w:spacing w:after="0" w:line="360" w:lineRule="auto"/>
        <w:jc w:val="both"/>
        <w:rPr>
          <w:rFonts w:ascii="Times New Roman" w:hAnsi="Times New Roman" w:cs="Times New Roman"/>
          <w:color w:val="000000"/>
          <w:sz w:val="28"/>
          <w:szCs w:val="28"/>
        </w:rPr>
      </w:pPr>
      <w:r w:rsidRPr="000923B9">
        <w:rPr>
          <w:rFonts w:ascii="Times New Roman" w:hAnsi="Times New Roman" w:cs="Times New Roman"/>
          <w:sz w:val="28"/>
          <w:szCs w:val="28"/>
        </w:rPr>
        <w:t xml:space="preserve">Уровни экспрессии генов обеих групп после трансформации изменились в половине случаев. При трансформации </w:t>
      </w:r>
      <w:r w:rsidRPr="000923B9">
        <w:rPr>
          <w:rFonts w:ascii="Times New Roman" w:hAnsi="Times New Roman" w:cs="Times New Roman"/>
          <w:color w:val="000000"/>
          <w:sz w:val="28"/>
          <w:szCs w:val="28"/>
        </w:rPr>
        <w:t>ДАGII и ОДГGII в ААGIII, АОДГ</w:t>
      </w:r>
      <w:r w:rsidRPr="000923B9">
        <w:rPr>
          <w:rFonts w:ascii="Times New Roman" w:hAnsi="Times New Roman" w:cs="Times New Roman"/>
          <w:color w:val="000000"/>
          <w:sz w:val="28"/>
          <w:szCs w:val="28"/>
          <w:lang w:val="en-US"/>
        </w:rPr>
        <w:t>GIII</w:t>
      </w:r>
      <w:r w:rsidRPr="000923B9">
        <w:rPr>
          <w:rFonts w:ascii="Times New Roman" w:hAnsi="Times New Roman" w:cs="Times New Roman"/>
          <w:color w:val="000000"/>
          <w:sz w:val="28"/>
          <w:szCs w:val="28"/>
        </w:rPr>
        <w:t xml:space="preserve"> или во вторичную ГБGIV экспрессия стала выше в 45% экспрессионных анализов (14/31), а при </w:t>
      </w:r>
      <w:r w:rsidRPr="000923B9">
        <w:rPr>
          <w:rFonts w:ascii="Times New Roman" w:hAnsi="Times New Roman" w:cs="Times New Roman"/>
          <w:sz w:val="28"/>
          <w:szCs w:val="28"/>
        </w:rPr>
        <w:t xml:space="preserve">трансформации </w:t>
      </w:r>
      <w:r w:rsidRPr="000923B9">
        <w:rPr>
          <w:rFonts w:ascii="Times New Roman" w:hAnsi="Times New Roman" w:cs="Times New Roman"/>
          <w:color w:val="000000"/>
          <w:sz w:val="28"/>
          <w:szCs w:val="28"/>
        </w:rPr>
        <w:t>ААGIII и АОДГ</w:t>
      </w:r>
      <w:r w:rsidRPr="000923B9">
        <w:rPr>
          <w:rFonts w:ascii="Times New Roman" w:hAnsi="Times New Roman" w:cs="Times New Roman"/>
          <w:color w:val="000000"/>
          <w:sz w:val="28"/>
          <w:szCs w:val="28"/>
          <w:lang w:val="en-US"/>
        </w:rPr>
        <w:t>GIII</w:t>
      </w:r>
      <w:r w:rsidRPr="000923B9">
        <w:rPr>
          <w:rFonts w:ascii="Times New Roman" w:hAnsi="Times New Roman" w:cs="Times New Roman"/>
          <w:color w:val="000000"/>
          <w:sz w:val="28"/>
          <w:szCs w:val="28"/>
        </w:rPr>
        <w:t xml:space="preserve"> во вторичную ГБGIV у</w:t>
      </w:r>
      <w:r w:rsidRPr="000923B9">
        <w:rPr>
          <w:rFonts w:ascii="Times New Roman" w:hAnsi="Times New Roman" w:cs="Times New Roman"/>
          <w:sz w:val="28"/>
          <w:szCs w:val="28"/>
        </w:rPr>
        <w:t>ровни экспрессии генов</w:t>
      </w:r>
      <w:r w:rsidRPr="000923B9">
        <w:rPr>
          <w:rFonts w:ascii="Times New Roman" w:hAnsi="Times New Roman" w:cs="Times New Roman"/>
          <w:color w:val="000000"/>
          <w:sz w:val="28"/>
          <w:szCs w:val="28"/>
        </w:rPr>
        <w:t xml:space="preserve"> стали выше в 90% (18/</w:t>
      </w:r>
      <w:r w:rsidR="000923B9" w:rsidRPr="000923B9">
        <w:rPr>
          <w:rFonts w:ascii="Times New Roman" w:hAnsi="Times New Roman" w:cs="Times New Roman"/>
          <w:color w:val="000000"/>
          <w:sz w:val="28"/>
          <w:szCs w:val="28"/>
        </w:rPr>
        <w:t xml:space="preserve">20). </w:t>
      </w:r>
      <w:r w:rsidRPr="000923B9">
        <w:rPr>
          <w:rFonts w:ascii="Times New Roman" w:hAnsi="Times New Roman" w:cs="Times New Roman"/>
          <w:sz w:val="28"/>
          <w:szCs w:val="28"/>
        </w:rPr>
        <w:t xml:space="preserve">Обращает на себя внимание (за исключением случаев с неизмененным уровнем экспрессии от 2-й операции) преимущественное снижение уровня экспрессии гена </w:t>
      </w:r>
      <w:r w:rsidRPr="000923B9">
        <w:rPr>
          <w:rFonts w:ascii="Times New Roman" w:hAnsi="Times New Roman" w:cs="Times New Roman"/>
          <w:sz w:val="28"/>
          <w:szCs w:val="28"/>
          <w:lang w:val="en-US"/>
        </w:rPr>
        <w:t>MGMT</w:t>
      </w:r>
      <w:r w:rsidRPr="000923B9">
        <w:rPr>
          <w:rFonts w:ascii="Times New Roman" w:hAnsi="Times New Roman" w:cs="Times New Roman"/>
          <w:sz w:val="28"/>
          <w:szCs w:val="28"/>
        </w:rPr>
        <w:t xml:space="preserve"> при злокачественной трансформации </w:t>
      </w:r>
      <w:r w:rsidRPr="000923B9">
        <w:rPr>
          <w:rFonts w:ascii="Times New Roman" w:hAnsi="Times New Roman" w:cs="Times New Roman"/>
          <w:color w:val="000000"/>
          <w:sz w:val="28"/>
          <w:szCs w:val="28"/>
        </w:rPr>
        <w:t xml:space="preserve">ДАGII и ОДГGII – 80% (4/5) и повышение </w:t>
      </w:r>
      <w:r w:rsidRPr="000923B9">
        <w:rPr>
          <w:rFonts w:ascii="Times New Roman" w:hAnsi="Times New Roman" w:cs="Times New Roman"/>
          <w:sz w:val="28"/>
          <w:szCs w:val="28"/>
        </w:rPr>
        <w:t xml:space="preserve">уровня экспрессии гена VEGF в 75% (3/4). Последнее говорит о росте процессов </w:t>
      </w:r>
      <w:r w:rsidRPr="000923B9">
        <w:rPr>
          <w:rFonts w:ascii="Times New Roman" w:hAnsi="Times New Roman" w:cs="Times New Roman"/>
          <w:sz w:val="28"/>
          <w:szCs w:val="28"/>
        </w:rPr>
        <w:lastRenderedPageBreak/>
        <w:t xml:space="preserve">неоангиогенеза в опухоли в результате ее злокачественного перерождения. Увеличение уровней экспрессии генов при трансформации </w:t>
      </w:r>
      <w:r w:rsidRPr="000923B9">
        <w:rPr>
          <w:rFonts w:ascii="Times New Roman" w:hAnsi="Times New Roman" w:cs="Times New Roman"/>
          <w:color w:val="000000"/>
          <w:sz w:val="28"/>
          <w:szCs w:val="28"/>
        </w:rPr>
        <w:t>ААGIII и АОДГ</w:t>
      </w:r>
      <w:r w:rsidRPr="000923B9">
        <w:rPr>
          <w:rFonts w:ascii="Times New Roman" w:hAnsi="Times New Roman" w:cs="Times New Roman"/>
          <w:color w:val="000000"/>
          <w:sz w:val="28"/>
          <w:szCs w:val="28"/>
          <w:lang w:val="en-US"/>
        </w:rPr>
        <w:t>GIII</w:t>
      </w:r>
      <w:r w:rsidRPr="000923B9">
        <w:rPr>
          <w:rFonts w:ascii="Times New Roman" w:hAnsi="Times New Roman" w:cs="Times New Roman"/>
          <w:color w:val="000000"/>
          <w:sz w:val="28"/>
          <w:szCs w:val="28"/>
        </w:rPr>
        <w:t xml:space="preserve"> во вторичную ГБGIV подтверждает неблагоприятный прогноз заболевания, снижение чувствительности опухоли к терапии темозоломидом во 2-й линии терапии (в 75%, 3/4) и целесообразности назначения бевацизумаба при трансформации опухоли во вторичную ГБ</w:t>
      </w:r>
      <w:r w:rsidRPr="000923B9">
        <w:rPr>
          <w:rFonts w:ascii="Times New Roman" w:hAnsi="Times New Roman" w:cs="Times New Roman"/>
          <w:color w:val="000000"/>
          <w:sz w:val="28"/>
          <w:szCs w:val="28"/>
          <w:lang w:val="en-US"/>
        </w:rPr>
        <w:t>GIV</w:t>
      </w:r>
      <w:r w:rsidRPr="000923B9">
        <w:rPr>
          <w:rFonts w:ascii="Times New Roman" w:hAnsi="Times New Roman" w:cs="Times New Roman"/>
          <w:color w:val="000000"/>
          <w:sz w:val="28"/>
          <w:szCs w:val="28"/>
        </w:rPr>
        <w:t xml:space="preserve">, что подтверждается высоким уровнем экспрессии гена </w:t>
      </w:r>
      <w:r w:rsidRPr="000923B9">
        <w:rPr>
          <w:rFonts w:ascii="Times New Roman" w:hAnsi="Times New Roman" w:cs="Times New Roman"/>
          <w:color w:val="000000"/>
          <w:sz w:val="28"/>
          <w:szCs w:val="28"/>
          <w:lang w:val="en-US"/>
        </w:rPr>
        <w:t>VEGF</w:t>
      </w:r>
      <w:r w:rsidRPr="000923B9">
        <w:rPr>
          <w:rFonts w:ascii="Times New Roman" w:hAnsi="Times New Roman" w:cs="Times New Roman"/>
          <w:color w:val="000000"/>
          <w:sz w:val="28"/>
          <w:szCs w:val="28"/>
        </w:rPr>
        <w:t xml:space="preserve"> в материале от второй операции в 80% случаев (4/5). </w:t>
      </w:r>
    </w:p>
    <w:p w:rsidR="006E55A3" w:rsidRPr="00D40B81" w:rsidRDefault="006E55A3" w:rsidP="005E0D82">
      <w:pPr>
        <w:pStyle w:val="2"/>
        <w:spacing w:before="0" w:after="0" w:line="360" w:lineRule="auto"/>
        <w:rPr>
          <w:rFonts w:eastAsiaTheme="minorHAnsi"/>
          <w:b/>
          <w:bCs w:val="0"/>
        </w:rPr>
      </w:pPr>
      <w:bookmarkStart w:id="61" w:name="_Toc9031280"/>
      <w:bookmarkStart w:id="62" w:name="_Toc9250613"/>
      <w:r w:rsidRPr="00D40B81">
        <w:rPr>
          <w:b/>
          <w:bCs w:val="0"/>
        </w:rPr>
        <w:t xml:space="preserve">3.9. </w:t>
      </w:r>
      <w:r w:rsidRPr="00D40B81">
        <w:rPr>
          <w:rFonts w:eastAsiaTheme="minorHAnsi"/>
          <w:b/>
          <w:bCs w:val="0"/>
        </w:rPr>
        <w:t xml:space="preserve">Зависимость безрецидивной выживаемости от </w:t>
      </w:r>
      <w:r w:rsidR="000229C6" w:rsidRPr="00D40B81">
        <w:rPr>
          <w:rFonts w:eastAsiaTheme="minorHAnsi"/>
          <w:b/>
          <w:bCs w:val="0"/>
        </w:rPr>
        <w:t>экспрессии генов и тактики лечения</w:t>
      </w:r>
      <w:bookmarkEnd w:id="61"/>
      <w:bookmarkEnd w:id="62"/>
    </w:p>
    <w:p w:rsidR="00A56053" w:rsidRPr="00A85373" w:rsidRDefault="00A56053" w:rsidP="005E0D82">
      <w:pPr>
        <w:spacing w:after="0" w:line="360" w:lineRule="auto"/>
        <w:rPr>
          <w:rFonts w:ascii="Times New Roman" w:hAnsi="Times New Roman" w:cs="Times New Roman"/>
          <w:sz w:val="28"/>
          <w:szCs w:val="28"/>
        </w:rPr>
      </w:pPr>
      <w:r w:rsidRPr="00A85373">
        <w:rPr>
          <w:rFonts w:ascii="Times New Roman" w:hAnsi="Times New Roman" w:cs="Times New Roman"/>
          <w:sz w:val="28"/>
          <w:szCs w:val="28"/>
        </w:rPr>
        <w:t xml:space="preserve">Оценивалась зависимость безрецидивной выживаемости, экспрессии исследуемых генов и проводимого лечения </w:t>
      </w:r>
      <w:r w:rsidR="006E1965" w:rsidRPr="00A85373">
        <w:rPr>
          <w:rFonts w:ascii="Times New Roman" w:hAnsi="Times New Roman" w:cs="Times New Roman"/>
          <w:sz w:val="28"/>
          <w:szCs w:val="28"/>
        </w:rPr>
        <w:t>в случае ЗТ ДА</w:t>
      </w:r>
      <w:r w:rsidR="006E1965" w:rsidRPr="00A85373">
        <w:rPr>
          <w:rFonts w:ascii="Times New Roman" w:hAnsi="Times New Roman" w:cs="Times New Roman"/>
          <w:sz w:val="28"/>
          <w:szCs w:val="28"/>
          <w:lang w:val="en-US"/>
        </w:rPr>
        <w:t>GII</w:t>
      </w:r>
      <w:r w:rsidR="006E1965" w:rsidRPr="00A85373">
        <w:rPr>
          <w:rFonts w:ascii="Times New Roman" w:hAnsi="Times New Roman" w:cs="Times New Roman"/>
          <w:sz w:val="28"/>
          <w:szCs w:val="28"/>
        </w:rPr>
        <w:t>/ОДГ</w:t>
      </w:r>
      <w:r w:rsidR="006E1965" w:rsidRPr="00A85373">
        <w:rPr>
          <w:rFonts w:ascii="Times New Roman" w:hAnsi="Times New Roman" w:cs="Times New Roman"/>
          <w:sz w:val="28"/>
          <w:szCs w:val="28"/>
          <w:lang w:val="en-US"/>
        </w:rPr>
        <w:t>GII</w:t>
      </w:r>
      <w:r w:rsidR="006E1965" w:rsidRPr="00A85373">
        <w:rPr>
          <w:rFonts w:ascii="Times New Roman" w:hAnsi="Times New Roman" w:cs="Times New Roman"/>
          <w:sz w:val="28"/>
          <w:szCs w:val="28"/>
        </w:rPr>
        <w:t xml:space="preserve"> в АА</w:t>
      </w:r>
      <w:r w:rsidR="006E1965" w:rsidRPr="00A85373">
        <w:rPr>
          <w:rFonts w:ascii="Times New Roman" w:hAnsi="Times New Roman" w:cs="Times New Roman"/>
          <w:sz w:val="28"/>
          <w:szCs w:val="28"/>
          <w:lang w:val="en-US"/>
        </w:rPr>
        <w:t>GIII</w:t>
      </w:r>
      <w:r w:rsidR="006E1965" w:rsidRPr="00A85373">
        <w:rPr>
          <w:rFonts w:ascii="Times New Roman" w:hAnsi="Times New Roman" w:cs="Times New Roman"/>
          <w:sz w:val="28"/>
          <w:szCs w:val="28"/>
        </w:rPr>
        <w:t>/АОДГ</w:t>
      </w:r>
      <w:r w:rsidR="006E1965" w:rsidRPr="00A85373">
        <w:rPr>
          <w:rFonts w:ascii="Times New Roman" w:hAnsi="Times New Roman" w:cs="Times New Roman"/>
          <w:sz w:val="28"/>
          <w:szCs w:val="28"/>
          <w:lang w:val="en-US"/>
        </w:rPr>
        <w:t>GIII</w:t>
      </w:r>
      <w:r w:rsidR="006E1965" w:rsidRPr="00A85373">
        <w:rPr>
          <w:rFonts w:ascii="Times New Roman" w:hAnsi="Times New Roman" w:cs="Times New Roman"/>
          <w:sz w:val="28"/>
          <w:szCs w:val="28"/>
        </w:rPr>
        <w:t xml:space="preserve"> (табл. 9) и ЗТ АА</w:t>
      </w:r>
      <w:r w:rsidR="006E1965" w:rsidRPr="00A85373">
        <w:rPr>
          <w:rFonts w:ascii="Times New Roman" w:hAnsi="Times New Roman" w:cs="Times New Roman"/>
          <w:sz w:val="28"/>
          <w:szCs w:val="28"/>
          <w:lang w:val="en-US"/>
        </w:rPr>
        <w:t>GIII</w:t>
      </w:r>
      <w:r w:rsidR="006E1965" w:rsidRPr="00A85373">
        <w:rPr>
          <w:rFonts w:ascii="Times New Roman" w:hAnsi="Times New Roman" w:cs="Times New Roman"/>
          <w:sz w:val="28"/>
          <w:szCs w:val="28"/>
        </w:rPr>
        <w:t>/АОДГ</w:t>
      </w:r>
      <w:r w:rsidR="006E1965" w:rsidRPr="00A85373">
        <w:rPr>
          <w:rFonts w:ascii="Times New Roman" w:hAnsi="Times New Roman" w:cs="Times New Roman"/>
          <w:sz w:val="28"/>
          <w:szCs w:val="28"/>
          <w:lang w:val="en-US"/>
        </w:rPr>
        <w:t>GIII</w:t>
      </w:r>
      <w:r w:rsidR="006E1965" w:rsidRPr="00A85373">
        <w:rPr>
          <w:rFonts w:ascii="Times New Roman" w:hAnsi="Times New Roman" w:cs="Times New Roman"/>
          <w:sz w:val="28"/>
          <w:szCs w:val="28"/>
        </w:rPr>
        <w:t xml:space="preserve"> во вторичную ГБ</w:t>
      </w:r>
      <w:r w:rsidR="006E1965" w:rsidRPr="00A85373">
        <w:rPr>
          <w:rFonts w:ascii="Times New Roman" w:hAnsi="Times New Roman" w:cs="Times New Roman"/>
          <w:sz w:val="28"/>
          <w:szCs w:val="28"/>
          <w:lang w:val="en-US"/>
        </w:rPr>
        <w:t>GIV</w:t>
      </w:r>
      <w:r w:rsidR="006E1965" w:rsidRPr="00A85373">
        <w:rPr>
          <w:rFonts w:ascii="Times New Roman" w:hAnsi="Times New Roman" w:cs="Times New Roman"/>
          <w:sz w:val="28"/>
          <w:szCs w:val="28"/>
        </w:rPr>
        <w:t xml:space="preserve"> (табл. 10).</w:t>
      </w:r>
    </w:p>
    <w:p w:rsidR="006E1965" w:rsidRPr="00A85373" w:rsidRDefault="009E43F3" w:rsidP="005E0D82">
      <w:pPr>
        <w:spacing w:after="0" w:line="360" w:lineRule="auto"/>
        <w:rPr>
          <w:rFonts w:ascii="Times New Roman" w:hAnsi="Times New Roman" w:cs="Times New Roman"/>
          <w:sz w:val="28"/>
          <w:szCs w:val="28"/>
        </w:rPr>
      </w:pPr>
      <w:r w:rsidRPr="00A85373">
        <w:rPr>
          <w:rFonts w:ascii="Times New Roman" w:hAnsi="Times New Roman" w:cs="Times New Roman"/>
          <w:sz w:val="28"/>
          <w:szCs w:val="28"/>
        </w:rPr>
        <w:t>В случае ЗТ ДА</w:t>
      </w:r>
      <w:r w:rsidRPr="00A85373">
        <w:rPr>
          <w:rFonts w:ascii="Times New Roman" w:hAnsi="Times New Roman" w:cs="Times New Roman"/>
          <w:sz w:val="28"/>
          <w:szCs w:val="28"/>
          <w:lang w:val="en-US"/>
        </w:rPr>
        <w:t>GII</w:t>
      </w:r>
      <w:r w:rsidRPr="00A85373">
        <w:rPr>
          <w:rFonts w:ascii="Times New Roman" w:hAnsi="Times New Roman" w:cs="Times New Roman"/>
          <w:sz w:val="28"/>
          <w:szCs w:val="28"/>
        </w:rPr>
        <w:t>/ОДГ</w:t>
      </w:r>
      <w:r w:rsidRPr="00A85373">
        <w:rPr>
          <w:rFonts w:ascii="Times New Roman" w:hAnsi="Times New Roman" w:cs="Times New Roman"/>
          <w:sz w:val="28"/>
          <w:szCs w:val="28"/>
          <w:lang w:val="en-US"/>
        </w:rPr>
        <w:t>GII</w:t>
      </w:r>
      <w:r w:rsidRPr="00A85373">
        <w:rPr>
          <w:rFonts w:ascii="Times New Roman" w:hAnsi="Times New Roman" w:cs="Times New Roman"/>
          <w:sz w:val="28"/>
          <w:szCs w:val="28"/>
        </w:rPr>
        <w:t xml:space="preserve"> в АА</w:t>
      </w:r>
      <w:r w:rsidRPr="00A85373">
        <w:rPr>
          <w:rFonts w:ascii="Times New Roman" w:hAnsi="Times New Roman" w:cs="Times New Roman"/>
          <w:sz w:val="28"/>
          <w:szCs w:val="28"/>
          <w:lang w:val="en-US"/>
        </w:rPr>
        <w:t>GIII</w:t>
      </w:r>
      <w:r w:rsidRPr="00A85373">
        <w:rPr>
          <w:rFonts w:ascii="Times New Roman" w:hAnsi="Times New Roman" w:cs="Times New Roman"/>
          <w:sz w:val="28"/>
          <w:szCs w:val="28"/>
        </w:rPr>
        <w:t>/АОДГ</w:t>
      </w:r>
      <w:r w:rsidRPr="00A85373">
        <w:rPr>
          <w:rFonts w:ascii="Times New Roman" w:hAnsi="Times New Roman" w:cs="Times New Roman"/>
          <w:sz w:val="28"/>
          <w:szCs w:val="28"/>
          <w:lang w:val="en-US"/>
        </w:rPr>
        <w:t>GIII</w:t>
      </w:r>
      <w:r w:rsidRPr="00A85373">
        <w:rPr>
          <w:rFonts w:ascii="Times New Roman" w:hAnsi="Times New Roman" w:cs="Times New Roman"/>
          <w:sz w:val="28"/>
          <w:szCs w:val="28"/>
        </w:rPr>
        <w:t xml:space="preserve"> длительная БРВ ассоциировалась с проведением лучевой терапии в адъювантном режиме (случаи 5, 6, 8), при этом проведение химиолучевой терапии темозоломидом (случай 2) и химиолучевой терапии по схеме </w:t>
      </w:r>
      <w:r w:rsidRPr="00A85373">
        <w:rPr>
          <w:rFonts w:ascii="Times New Roman" w:hAnsi="Times New Roman" w:cs="Times New Roman"/>
          <w:sz w:val="28"/>
          <w:szCs w:val="28"/>
          <w:lang w:val="en-US"/>
        </w:rPr>
        <w:t>PCV</w:t>
      </w:r>
      <w:r w:rsidRPr="00A85373">
        <w:rPr>
          <w:rFonts w:ascii="Times New Roman" w:hAnsi="Times New Roman" w:cs="Times New Roman"/>
          <w:sz w:val="28"/>
          <w:szCs w:val="28"/>
        </w:rPr>
        <w:t xml:space="preserve"> (прокарбазин, ломустин, винкристин) (случай 3) не оказывали какого-либо положительного влияния на БРВ, которая</w:t>
      </w:r>
      <w:r w:rsidR="004D4733" w:rsidRPr="00A85373">
        <w:rPr>
          <w:rFonts w:ascii="Times New Roman" w:hAnsi="Times New Roman" w:cs="Times New Roman"/>
          <w:sz w:val="28"/>
          <w:szCs w:val="28"/>
        </w:rPr>
        <w:t xml:space="preserve"> оставалась низкой. Возможно, что это связано с экспрессией генов </w:t>
      </w:r>
      <w:r w:rsidR="004D4733" w:rsidRPr="00A85373">
        <w:rPr>
          <w:rFonts w:ascii="Times New Roman" w:hAnsi="Times New Roman" w:cs="Times New Roman"/>
          <w:sz w:val="28"/>
          <w:szCs w:val="28"/>
          <w:lang w:val="en-US"/>
        </w:rPr>
        <w:t>MGMT</w:t>
      </w:r>
      <w:r w:rsidR="004D4733" w:rsidRPr="00A85373">
        <w:rPr>
          <w:rFonts w:ascii="Times New Roman" w:hAnsi="Times New Roman" w:cs="Times New Roman"/>
          <w:sz w:val="28"/>
          <w:szCs w:val="28"/>
        </w:rPr>
        <w:t xml:space="preserve"> и бета-тубулина, что являются предиктивными маркерами ответа на терапию темозоломидом и винкристином соответственно (в случае низкой экспрессии </w:t>
      </w:r>
      <w:r w:rsidR="004D4733" w:rsidRPr="00A85373">
        <w:rPr>
          <w:rFonts w:ascii="Times New Roman" w:hAnsi="Times New Roman" w:cs="Times New Roman"/>
          <w:sz w:val="28"/>
          <w:szCs w:val="28"/>
          <w:lang w:val="en-US"/>
        </w:rPr>
        <w:t>MGMT</w:t>
      </w:r>
      <w:r w:rsidR="004D4733" w:rsidRPr="00A85373">
        <w:rPr>
          <w:rFonts w:ascii="Times New Roman" w:hAnsi="Times New Roman" w:cs="Times New Roman"/>
          <w:sz w:val="28"/>
          <w:szCs w:val="28"/>
        </w:rPr>
        <w:t xml:space="preserve"> БРВ достигала высоких значений (случай 6, 7)). Кроме того, можно отметить, что отсутствие адъювантной терапии негативно влияет на БРВ (случай 1, 4). Какой-либо корреляции между БРВ и экспрессией генов отмечено не было.</w:t>
      </w:r>
    </w:p>
    <w:p w:rsidR="004D4733" w:rsidRPr="00A85373" w:rsidRDefault="004D4733" w:rsidP="005E0D82">
      <w:pPr>
        <w:spacing w:after="0" w:line="360" w:lineRule="auto"/>
        <w:rPr>
          <w:rFonts w:ascii="Times New Roman" w:hAnsi="Times New Roman" w:cs="Times New Roman"/>
          <w:sz w:val="28"/>
          <w:szCs w:val="28"/>
        </w:rPr>
      </w:pPr>
      <w:r w:rsidRPr="00A85373">
        <w:rPr>
          <w:rFonts w:ascii="Times New Roman" w:hAnsi="Times New Roman" w:cs="Times New Roman"/>
          <w:sz w:val="28"/>
          <w:szCs w:val="28"/>
        </w:rPr>
        <w:t>В случае ЗТ АА</w:t>
      </w:r>
      <w:r w:rsidRPr="00A85373">
        <w:rPr>
          <w:rFonts w:ascii="Times New Roman" w:hAnsi="Times New Roman" w:cs="Times New Roman"/>
          <w:sz w:val="28"/>
          <w:szCs w:val="28"/>
          <w:lang w:val="en-US"/>
        </w:rPr>
        <w:t>GIII</w:t>
      </w:r>
      <w:r w:rsidRPr="00A85373">
        <w:rPr>
          <w:rFonts w:ascii="Times New Roman" w:hAnsi="Times New Roman" w:cs="Times New Roman"/>
          <w:sz w:val="28"/>
          <w:szCs w:val="28"/>
        </w:rPr>
        <w:t>/АОДГ</w:t>
      </w:r>
      <w:r w:rsidRPr="00A85373">
        <w:rPr>
          <w:rFonts w:ascii="Times New Roman" w:hAnsi="Times New Roman" w:cs="Times New Roman"/>
          <w:sz w:val="28"/>
          <w:szCs w:val="28"/>
          <w:lang w:val="en-US"/>
        </w:rPr>
        <w:t>GIII</w:t>
      </w:r>
      <w:r w:rsidRPr="00A85373">
        <w:rPr>
          <w:rFonts w:ascii="Times New Roman" w:hAnsi="Times New Roman" w:cs="Times New Roman"/>
          <w:sz w:val="28"/>
          <w:szCs w:val="28"/>
        </w:rPr>
        <w:t xml:space="preserve"> во вторичную ГБ</w:t>
      </w:r>
      <w:r w:rsidRPr="00A85373">
        <w:rPr>
          <w:rFonts w:ascii="Times New Roman" w:hAnsi="Times New Roman" w:cs="Times New Roman"/>
          <w:sz w:val="28"/>
          <w:szCs w:val="28"/>
          <w:lang w:val="en-US"/>
        </w:rPr>
        <w:t>GIV</w:t>
      </w:r>
      <w:r w:rsidRPr="00A85373">
        <w:rPr>
          <w:rFonts w:ascii="Times New Roman" w:hAnsi="Times New Roman" w:cs="Times New Roman"/>
          <w:sz w:val="28"/>
          <w:szCs w:val="28"/>
        </w:rPr>
        <w:t xml:space="preserve"> достоверно высокие значения БРВ отмечались при проведении химиолучевой терапии темозоломидом в первой линии и лучевой терапии с применением </w:t>
      </w:r>
      <w:r w:rsidRPr="00A85373">
        <w:rPr>
          <w:rFonts w:ascii="Times New Roman" w:hAnsi="Times New Roman" w:cs="Times New Roman"/>
          <w:sz w:val="28"/>
          <w:szCs w:val="28"/>
        </w:rPr>
        <w:lastRenderedPageBreak/>
        <w:t xml:space="preserve">бевацизумаба и иринотекана во второй линии (после рецидива) (случаи 1, 3). Хороший ответ на бевацизумаб не показал корреляции с экспрессией генов неоангиогенеза, как и ответ на применение темозоломида не ассоциировался с экспрессией </w:t>
      </w:r>
      <w:r w:rsidRPr="00A85373">
        <w:rPr>
          <w:rFonts w:ascii="Times New Roman" w:hAnsi="Times New Roman" w:cs="Times New Roman"/>
          <w:sz w:val="28"/>
          <w:szCs w:val="28"/>
          <w:lang w:val="en-US"/>
        </w:rPr>
        <w:t>MGMT</w:t>
      </w:r>
      <w:r w:rsidRPr="00A85373">
        <w:rPr>
          <w:rFonts w:ascii="Times New Roman" w:hAnsi="Times New Roman" w:cs="Times New Roman"/>
          <w:sz w:val="28"/>
          <w:szCs w:val="28"/>
        </w:rPr>
        <w:t xml:space="preserve">. Низкая безрецидивная выживаемость ассоциировалась с проведением в первой линии адъювантной химиолучевой терапии по схеме </w:t>
      </w:r>
      <w:r w:rsidRPr="00A85373">
        <w:rPr>
          <w:rFonts w:ascii="Times New Roman" w:hAnsi="Times New Roman" w:cs="Times New Roman"/>
          <w:sz w:val="28"/>
          <w:szCs w:val="28"/>
          <w:lang w:val="en-US"/>
        </w:rPr>
        <w:t>PCV</w:t>
      </w:r>
      <w:r w:rsidRPr="00A85373">
        <w:rPr>
          <w:rFonts w:ascii="Times New Roman" w:hAnsi="Times New Roman" w:cs="Times New Roman"/>
          <w:sz w:val="28"/>
          <w:szCs w:val="28"/>
        </w:rPr>
        <w:t xml:space="preserve"> (случаи 4 и 5) и проведением лучевой терапии в монорежиме (случай 2). </w:t>
      </w:r>
    </w:p>
    <w:p w:rsidR="00F55E28" w:rsidRPr="00345601" w:rsidRDefault="00A56053" w:rsidP="005E0D82">
      <w:pPr>
        <w:pStyle w:val="ae"/>
        <w:keepNext/>
        <w:spacing w:after="0" w:line="360" w:lineRule="auto"/>
      </w:pPr>
      <w:r>
        <w:t xml:space="preserve">Таблица </w:t>
      </w:r>
      <w:fldSimple w:instr=" SEQ Таблица \* ARABIC ">
        <w:r w:rsidR="00DD6C05">
          <w:rPr>
            <w:noProof/>
          </w:rPr>
          <w:t>10</w:t>
        </w:r>
      </w:fldSimple>
      <w:r>
        <w:t xml:space="preserve">. Зависимость экспрессии генов, БРВ и проводимого лечения при ЗТ </w:t>
      </w:r>
      <w:r>
        <w:rPr>
          <w:lang w:val="en-US"/>
        </w:rPr>
        <w:t>GI</w:t>
      </w:r>
      <w:r w:rsidRPr="00A56053">
        <w:t>-</w:t>
      </w:r>
      <w:r>
        <w:rPr>
          <w:lang w:val="en-US"/>
        </w:rPr>
        <w:t>GIII</w:t>
      </w:r>
    </w:p>
    <w:p w:rsidR="009E43F3" w:rsidRPr="00A85373" w:rsidRDefault="002D5731" w:rsidP="005E0D82">
      <w:pPr>
        <w:spacing w:after="0" w:line="360" w:lineRule="auto"/>
        <w:rPr>
          <w:lang w:val="en-US"/>
        </w:rPr>
      </w:pPr>
      <w:r>
        <w:rPr>
          <w:lang w:val="en-US"/>
        </w:rPr>
        <w:pict>
          <v:shape id="_x0000_i1093" type="#_x0000_t75" style="width:496.2pt;height:273pt">
            <v:imagedata r:id="rId19" o:title="Screenshot_76"/>
          </v:shape>
        </w:pict>
      </w:r>
    </w:p>
    <w:p w:rsidR="009E43F3" w:rsidRDefault="009E43F3" w:rsidP="005E0D82">
      <w:pPr>
        <w:pStyle w:val="ae"/>
        <w:keepNext/>
        <w:spacing w:after="0" w:line="360" w:lineRule="auto"/>
      </w:pPr>
      <w:r>
        <w:lastRenderedPageBreak/>
        <w:t xml:space="preserve">Таблица </w:t>
      </w:r>
      <w:fldSimple w:instr=" SEQ Таблица \* ARABIC ">
        <w:r w:rsidR="00DD6C05">
          <w:rPr>
            <w:noProof/>
          </w:rPr>
          <w:t>11</w:t>
        </w:r>
      </w:fldSimple>
      <w:r w:rsidRPr="00D40F6B">
        <w:t>. Зависимость экспрессии генов, БРВ и пр</w:t>
      </w:r>
      <w:r>
        <w:t>оводимого лечения при ЗТ GI</w:t>
      </w:r>
      <w:r>
        <w:rPr>
          <w:lang w:val="en-US"/>
        </w:rPr>
        <w:t>II</w:t>
      </w:r>
      <w:r w:rsidRPr="009E43F3">
        <w:t>-</w:t>
      </w:r>
      <w:r>
        <w:rPr>
          <w:lang w:val="en-US"/>
        </w:rPr>
        <w:t>GIV</w:t>
      </w:r>
    </w:p>
    <w:p w:rsidR="00F55E28" w:rsidRDefault="002D5731" w:rsidP="005E0D82">
      <w:pPr>
        <w:spacing w:after="0" w:line="360" w:lineRule="auto"/>
      </w:pPr>
      <w:r>
        <w:pict>
          <v:shape id="_x0000_i1094" type="#_x0000_t75" style="width:496.8pt;height:251.4pt">
            <v:imagedata r:id="rId20" o:title="Screenshot_77"/>
          </v:shape>
        </w:pict>
      </w:r>
    </w:p>
    <w:p w:rsidR="00A85373" w:rsidRPr="00D40B81" w:rsidRDefault="006D546C" w:rsidP="005E0D82">
      <w:pPr>
        <w:pStyle w:val="2"/>
        <w:spacing w:before="0" w:after="0" w:line="360" w:lineRule="auto"/>
        <w:rPr>
          <w:rFonts w:eastAsiaTheme="minorHAnsi"/>
          <w:b/>
          <w:bCs w:val="0"/>
        </w:rPr>
      </w:pPr>
      <w:bookmarkStart w:id="63" w:name="_Toc9031281"/>
      <w:bookmarkStart w:id="64" w:name="_Toc9250614"/>
      <w:r>
        <w:rPr>
          <w:b/>
          <w:bCs w:val="0"/>
        </w:rPr>
        <w:t>3.11</w:t>
      </w:r>
      <w:r w:rsidR="00A85373" w:rsidRPr="00D40B81">
        <w:rPr>
          <w:b/>
          <w:bCs w:val="0"/>
        </w:rPr>
        <w:t xml:space="preserve">. </w:t>
      </w:r>
      <w:r w:rsidR="00A85373" w:rsidRPr="00D40B81">
        <w:rPr>
          <w:rFonts w:eastAsiaTheme="minorHAnsi"/>
          <w:b/>
          <w:bCs w:val="0"/>
        </w:rPr>
        <w:t xml:space="preserve">Зависимость безрецидивной и общей выживаемости от мутации </w:t>
      </w:r>
      <w:r w:rsidR="00A85373" w:rsidRPr="00D40B81">
        <w:rPr>
          <w:rFonts w:eastAsiaTheme="minorHAnsi"/>
          <w:b/>
          <w:bCs w:val="0"/>
          <w:lang w:val="en-US"/>
        </w:rPr>
        <w:t>IDH</w:t>
      </w:r>
      <w:r w:rsidR="00A85373" w:rsidRPr="00D40B81">
        <w:rPr>
          <w:rFonts w:eastAsiaTheme="minorHAnsi"/>
          <w:b/>
          <w:bCs w:val="0"/>
        </w:rPr>
        <w:t xml:space="preserve"> и ко-делеции 1</w:t>
      </w:r>
      <w:r w:rsidR="00A85373" w:rsidRPr="00D40B81">
        <w:rPr>
          <w:rFonts w:eastAsiaTheme="minorHAnsi"/>
          <w:b/>
          <w:bCs w:val="0"/>
          <w:lang w:val="en-US"/>
        </w:rPr>
        <w:t>p</w:t>
      </w:r>
      <w:r w:rsidR="00A85373" w:rsidRPr="00D40B81">
        <w:rPr>
          <w:rFonts w:eastAsiaTheme="minorHAnsi"/>
          <w:b/>
          <w:bCs w:val="0"/>
        </w:rPr>
        <w:t>19</w:t>
      </w:r>
      <w:r w:rsidR="00A85373" w:rsidRPr="00D40B81">
        <w:rPr>
          <w:rFonts w:eastAsiaTheme="minorHAnsi"/>
          <w:b/>
          <w:bCs w:val="0"/>
          <w:lang w:val="en-US"/>
        </w:rPr>
        <w:t>q</w:t>
      </w:r>
      <w:r w:rsidR="005D3D1C" w:rsidRPr="00D40B81">
        <w:rPr>
          <w:rFonts w:eastAsiaTheme="minorHAnsi"/>
          <w:b/>
          <w:bCs w:val="0"/>
        </w:rPr>
        <w:t xml:space="preserve"> в случае </w:t>
      </w:r>
      <w:r w:rsidR="005D3D1C" w:rsidRPr="00D40B81">
        <w:rPr>
          <w:rFonts w:cs="Times New Roman"/>
          <w:b/>
          <w:bCs w:val="0"/>
          <w:szCs w:val="28"/>
        </w:rPr>
        <w:t>ДА</w:t>
      </w:r>
      <w:r w:rsidR="005D3D1C" w:rsidRPr="00D40B81">
        <w:rPr>
          <w:rFonts w:cs="Times New Roman"/>
          <w:b/>
          <w:bCs w:val="0"/>
          <w:szCs w:val="28"/>
          <w:lang w:val="en-US"/>
        </w:rPr>
        <w:t>GII</w:t>
      </w:r>
      <w:r w:rsidR="005D3D1C" w:rsidRPr="00D40B81">
        <w:rPr>
          <w:rFonts w:cs="Times New Roman"/>
          <w:b/>
          <w:bCs w:val="0"/>
          <w:szCs w:val="28"/>
        </w:rPr>
        <w:t>/ОДГ</w:t>
      </w:r>
      <w:r w:rsidR="005D3D1C" w:rsidRPr="00D40B81">
        <w:rPr>
          <w:rFonts w:cs="Times New Roman"/>
          <w:b/>
          <w:bCs w:val="0"/>
          <w:szCs w:val="28"/>
          <w:lang w:val="en-US"/>
        </w:rPr>
        <w:t>GII</w:t>
      </w:r>
      <w:bookmarkEnd w:id="63"/>
      <w:bookmarkEnd w:id="64"/>
    </w:p>
    <w:p w:rsidR="00F55E28" w:rsidRPr="005D3D1C" w:rsidRDefault="005D3D1C" w:rsidP="005E0D82">
      <w:pPr>
        <w:spacing w:after="0" w:line="360" w:lineRule="auto"/>
        <w:rPr>
          <w:rFonts w:ascii="Times New Roman" w:hAnsi="Times New Roman" w:cs="Times New Roman"/>
          <w:sz w:val="28"/>
          <w:szCs w:val="28"/>
        </w:rPr>
      </w:pPr>
      <w:r w:rsidRPr="005D3D1C">
        <w:rPr>
          <w:rFonts w:ascii="Times New Roman" w:hAnsi="Times New Roman" w:cs="Times New Roman"/>
          <w:sz w:val="28"/>
          <w:szCs w:val="28"/>
        </w:rPr>
        <w:t xml:space="preserve">Для оценки зависимости БРВ и ОВ от наличия мутации </w:t>
      </w:r>
      <w:r w:rsidRPr="005D3D1C">
        <w:rPr>
          <w:rFonts w:ascii="Times New Roman" w:hAnsi="Times New Roman" w:cs="Times New Roman"/>
          <w:sz w:val="28"/>
          <w:szCs w:val="28"/>
          <w:lang w:val="en-US"/>
        </w:rPr>
        <w:t>IDH</w:t>
      </w:r>
      <w:r w:rsidRPr="005D3D1C">
        <w:rPr>
          <w:rFonts w:ascii="Times New Roman" w:hAnsi="Times New Roman" w:cs="Times New Roman"/>
          <w:sz w:val="28"/>
          <w:szCs w:val="28"/>
        </w:rPr>
        <w:t xml:space="preserve"> и ко-делеции 1</w:t>
      </w:r>
      <w:r w:rsidRPr="005D3D1C">
        <w:rPr>
          <w:rFonts w:ascii="Times New Roman" w:hAnsi="Times New Roman" w:cs="Times New Roman"/>
          <w:sz w:val="28"/>
          <w:szCs w:val="28"/>
          <w:lang w:val="en-US"/>
        </w:rPr>
        <w:t>p</w:t>
      </w:r>
      <w:r w:rsidRPr="005D3D1C">
        <w:rPr>
          <w:rFonts w:ascii="Times New Roman" w:hAnsi="Times New Roman" w:cs="Times New Roman"/>
          <w:sz w:val="28"/>
          <w:szCs w:val="28"/>
        </w:rPr>
        <w:t>19</w:t>
      </w:r>
      <w:r w:rsidRPr="005D3D1C">
        <w:rPr>
          <w:rFonts w:ascii="Times New Roman" w:hAnsi="Times New Roman" w:cs="Times New Roman"/>
          <w:sz w:val="28"/>
          <w:szCs w:val="28"/>
          <w:lang w:val="en-US"/>
        </w:rPr>
        <w:t>q</w:t>
      </w:r>
      <w:r w:rsidRPr="005D3D1C">
        <w:rPr>
          <w:rFonts w:ascii="Times New Roman" w:hAnsi="Times New Roman" w:cs="Times New Roman"/>
          <w:sz w:val="28"/>
          <w:szCs w:val="28"/>
        </w:rPr>
        <w:t xml:space="preserve"> был проведен анализ методом множительных оценок Каплана-Майера, результаты которого приведены ниже.</w:t>
      </w:r>
    </w:p>
    <w:p w:rsidR="005D3D1C" w:rsidRPr="005D3D1C" w:rsidRDefault="005D3D1C" w:rsidP="005E0D82">
      <w:pPr>
        <w:spacing w:after="0" w:line="360" w:lineRule="auto"/>
        <w:rPr>
          <w:rFonts w:ascii="Times New Roman" w:hAnsi="Times New Roman" w:cs="Times New Roman"/>
          <w:sz w:val="28"/>
          <w:szCs w:val="28"/>
        </w:rPr>
      </w:pPr>
      <w:r w:rsidRPr="005D3D1C">
        <w:rPr>
          <w:rFonts w:ascii="Times New Roman" w:hAnsi="Times New Roman" w:cs="Times New Roman"/>
          <w:sz w:val="28"/>
          <w:szCs w:val="28"/>
        </w:rPr>
        <w:t xml:space="preserve">Статистически достоверное увеличение БРВ наблюдалось в опухолях с мутацией </w:t>
      </w:r>
      <w:r w:rsidRPr="005D3D1C">
        <w:rPr>
          <w:rFonts w:ascii="Times New Roman" w:hAnsi="Times New Roman" w:cs="Times New Roman"/>
          <w:sz w:val="28"/>
          <w:szCs w:val="28"/>
          <w:lang w:val="en-US"/>
        </w:rPr>
        <w:t>IDH</w:t>
      </w:r>
      <w:r w:rsidRPr="005D3D1C">
        <w:rPr>
          <w:rFonts w:ascii="Times New Roman" w:hAnsi="Times New Roman" w:cs="Times New Roman"/>
          <w:sz w:val="28"/>
          <w:szCs w:val="28"/>
        </w:rPr>
        <w:t xml:space="preserve"> 1/2, выявленной в 22 из 28 образцов опухолевой ткани (79%) (р=0,051) (рис. 9).</w:t>
      </w:r>
    </w:p>
    <w:p w:rsidR="005D3D1C" w:rsidRPr="005D3D1C" w:rsidRDefault="005D3D1C" w:rsidP="005E0D82">
      <w:pPr>
        <w:spacing w:after="0" w:line="360" w:lineRule="auto"/>
        <w:rPr>
          <w:rFonts w:ascii="Times New Roman" w:hAnsi="Times New Roman" w:cs="Times New Roman"/>
          <w:sz w:val="28"/>
          <w:szCs w:val="28"/>
        </w:rPr>
      </w:pPr>
      <w:r w:rsidRPr="005D3D1C">
        <w:rPr>
          <w:rFonts w:ascii="Times New Roman" w:hAnsi="Times New Roman" w:cs="Times New Roman"/>
          <w:sz w:val="28"/>
          <w:szCs w:val="28"/>
        </w:rPr>
        <w:t xml:space="preserve">Медиана БРВ при наличии мутации в генах </w:t>
      </w:r>
      <w:r w:rsidRPr="005D3D1C">
        <w:rPr>
          <w:rFonts w:ascii="Times New Roman" w:hAnsi="Times New Roman" w:cs="Times New Roman"/>
          <w:sz w:val="28"/>
          <w:szCs w:val="28"/>
          <w:lang w:val="en-US"/>
        </w:rPr>
        <w:t>IDH</w:t>
      </w:r>
      <w:r w:rsidRPr="005D3D1C">
        <w:rPr>
          <w:rFonts w:ascii="Times New Roman" w:hAnsi="Times New Roman" w:cs="Times New Roman"/>
          <w:sz w:val="28"/>
          <w:szCs w:val="28"/>
        </w:rPr>
        <w:t xml:space="preserve"> 1/2 составила 178 недель по сравнению группой больных, в опухоли которых мутации не было – 93,5 недели.</w:t>
      </w:r>
    </w:p>
    <w:p w:rsidR="005D3D1C" w:rsidRPr="005D3D1C" w:rsidRDefault="005D3D1C" w:rsidP="005E0D82">
      <w:pPr>
        <w:spacing w:after="0" w:line="360" w:lineRule="auto"/>
        <w:rPr>
          <w:rFonts w:ascii="Times New Roman" w:hAnsi="Times New Roman" w:cs="Times New Roman"/>
          <w:sz w:val="28"/>
          <w:szCs w:val="28"/>
        </w:rPr>
      </w:pPr>
      <w:r w:rsidRPr="005D3D1C">
        <w:rPr>
          <w:rFonts w:ascii="Times New Roman" w:hAnsi="Times New Roman" w:cs="Times New Roman"/>
          <w:sz w:val="28"/>
          <w:szCs w:val="28"/>
        </w:rPr>
        <w:t xml:space="preserve">Влияние мутации в генах </w:t>
      </w:r>
      <w:r w:rsidRPr="005D3D1C">
        <w:rPr>
          <w:rFonts w:ascii="Times New Roman" w:hAnsi="Times New Roman" w:cs="Times New Roman"/>
          <w:sz w:val="28"/>
          <w:szCs w:val="28"/>
          <w:lang w:val="en-US"/>
        </w:rPr>
        <w:t>IDH</w:t>
      </w:r>
      <w:r w:rsidRPr="005D3D1C">
        <w:rPr>
          <w:rFonts w:ascii="Times New Roman" w:hAnsi="Times New Roman" w:cs="Times New Roman"/>
          <w:sz w:val="28"/>
          <w:szCs w:val="28"/>
        </w:rPr>
        <w:t xml:space="preserve"> 1/2 на ОВ не оказалось столь выраженным (р=0,063) (рис. 10).</w:t>
      </w:r>
    </w:p>
    <w:p w:rsidR="005D3D1C" w:rsidRPr="005D3D1C" w:rsidRDefault="005D3D1C" w:rsidP="005E0D82">
      <w:pPr>
        <w:spacing w:after="0" w:line="360" w:lineRule="auto"/>
        <w:rPr>
          <w:rFonts w:ascii="Times New Roman" w:hAnsi="Times New Roman" w:cs="Times New Roman"/>
          <w:sz w:val="28"/>
          <w:szCs w:val="28"/>
        </w:rPr>
      </w:pPr>
      <w:r w:rsidRPr="005D3D1C">
        <w:rPr>
          <w:rFonts w:ascii="Times New Roman" w:hAnsi="Times New Roman" w:cs="Times New Roman"/>
          <w:sz w:val="28"/>
          <w:szCs w:val="28"/>
        </w:rPr>
        <w:t>Наличие ко-делеции 1</w:t>
      </w:r>
      <w:r w:rsidRPr="005D3D1C">
        <w:rPr>
          <w:rFonts w:ascii="Times New Roman" w:hAnsi="Times New Roman" w:cs="Times New Roman"/>
          <w:sz w:val="28"/>
          <w:szCs w:val="28"/>
          <w:lang w:val="en-US"/>
        </w:rPr>
        <w:t>p</w:t>
      </w:r>
      <w:r w:rsidRPr="005D3D1C">
        <w:rPr>
          <w:rFonts w:ascii="Times New Roman" w:hAnsi="Times New Roman" w:cs="Times New Roman"/>
          <w:sz w:val="28"/>
          <w:szCs w:val="28"/>
        </w:rPr>
        <w:t>19</w:t>
      </w:r>
      <w:r w:rsidRPr="005D3D1C">
        <w:rPr>
          <w:rFonts w:ascii="Times New Roman" w:hAnsi="Times New Roman" w:cs="Times New Roman"/>
          <w:sz w:val="28"/>
          <w:szCs w:val="28"/>
          <w:lang w:val="en-US"/>
        </w:rPr>
        <w:t>q</w:t>
      </w:r>
      <w:r w:rsidRPr="005D3D1C">
        <w:rPr>
          <w:rFonts w:ascii="Times New Roman" w:hAnsi="Times New Roman" w:cs="Times New Roman"/>
          <w:sz w:val="28"/>
          <w:szCs w:val="28"/>
        </w:rPr>
        <w:t xml:space="preserve"> не привело к статистическому увеличению БРВ/ОВ по сравнению с группами, где данная аберрация отсутствовала (р=0,21 и р=0,69) (рис. 11, 12).</w:t>
      </w:r>
    </w:p>
    <w:p w:rsidR="005D3D1C" w:rsidRDefault="005D3D1C" w:rsidP="005E0D82">
      <w:pPr>
        <w:keepNext/>
        <w:spacing w:after="0" w:line="360" w:lineRule="auto"/>
      </w:pPr>
      <w:r w:rsidRPr="005D3D1C">
        <w:rPr>
          <w:noProof/>
          <w:lang w:eastAsia="ru-RU" w:bidi="he-IL"/>
        </w:rPr>
        <w:lastRenderedPageBreak/>
        <w:drawing>
          <wp:inline distT="0" distB="0" distL="0" distR="0" wp14:anchorId="79970F5C" wp14:editId="33352B51">
            <wp:extent cx="5760085" cy="4322445"/>
            <wp:effectExtent l="0" t="0" r="0" b="0"/>
            <wp:docPr id="4098" name="plot" descr="/var/folders/0v/ch_dk4fj4x5cqppxf3hjgpym0000gn/T/com.microsoft.Word/WebArchiveCopyPasteTempFiles/plot_zoom_png?width=892&amp;height=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lot" descr="/var/folders/0v/ch_dk4fj4x5cqppxf3hjgpym0000gn/T/com.microsoft.Word/WebArchiveCopyPasteTempFiles/plot_zoom_png?width=892&amp;height=7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4322445"/>
                    </a:xfrm>
                    <a:prstGeom prst="rect">
                      <a:avLst/>
                    </a:prstGeom>
                    <a:noFill/>
                    <a:ln>
                      <a:noFill/>
                    </a:ln>
                    <a:extLst/>
                  </pic:spPr>
                </pic:pic>
              </a:graphicData>
            </a:graphic>
          </wp:inline>
        </w:drawing>
      </w:r>
    </w:p>
    <w:p w:rsidR="005D3D1C" w:rsidRDefault="005D3D1C" w:rsidP="005E0D82">
      <w:pPr>
        <w:pStyle w:val="ae"/>
        <w:spacing w:after="0" w:line="360" w:lineRule="auto"/>
      </w:pPr>
      <w:r>
        <w:t xml:space="preserve">Рисунок </w:t>
      </w:r>
      <w:fldSimple w:instr=" SEQ Рисунок \* ARABIC ">
        <w:r w:rsidR="005F175D">
          <w:rPr>
            <w:noProof/>
          </w:rPr>
          <w:t>12</w:t>
        </w:r>
      </w:fldSimple>
      <w:r>
        <w:t xml:space="preserve">. Зависимость БРВ от наличия мутации </w:t>
      </w:r>
      <w:r>
        <w:rPr>
          <w:lang w:val="en-US"/>
        </w:rPr>
        <w:t>IDH</w:t>
      </w:r>
      <w:r w:rsidRPr="005D3D1C">
        <w:t xml:space="preserve"> </w:t>
      </w:r>
      <w:r>
        <w:t xml:space="preserve">в </w:t>
      </w:r>
      <w:r>
        <w:rPr>
          <w:lang w:val="en-US"/>
        </w:rPr>
        <w:t>GII</w:t>
      </w:r>
      <w:r w:rsidRPr="005D3D1C">
        <w:t xml:space="preserve"> </w:t>
      </w:r>
      <w:r>
        <w:t>глиомах</w:t>
      </w:r>
    </w:p>
    <w:p w:rsidR="005D3D1C" w:rsidRDefault="005D3D1C" w:rsidP="005E0D82">
      <w:pPr>
        <w:keepNext/>
        <w:spacing w:after="0" w:line="360" w:lineRule="auto"/>
      </w:pPr>
      <w:r w:rsidRPr="005D3D1C">
        <w:rPr>
          <w:noProof/>
          <w:lang w:eastAsia="ru-RU" w:bidi="he-IL"/>
        </w:rPr>
        <w:drawing>
          <wp:inline distT="0" distB="0" distL="0" distR="0" wp14:anchorId="19CB95AC" wp14:editId="3239B9C2">
            <wp:extent cx="5666154" cy="4250211"/>
            <wp:effectExtent l="0" t="0" r="0" b="0"/>
            <wp:docPr id="5122" name="plot" descr="/var/folders/0v/ch_dk4fj4x5cqppxf3hjgpym0000gn/T/com.microsoft.Word/WebArchiveCopyPasteTempFiles/plot_zoom_png?width=892&amp;height=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lot" descr="/var/folders/0v/ch_dk4fj4x5cqppxf3hjgpym0000gn/T/com.microsoft.Word/WebArchiveCopyPasteTempFiles/plot_zoom_png?width=892&amp;height=7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6154" cy="4250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D3D1C" w:rsidRDefault="005D3D1C" w:rsidP="005E0D82">
      <w:pPr>
        <w:pStyle w:val="ae"/>
        <w:spacing w:after="0" w:line="360" w:lineRule="auto"/>
      </w:pPr>
      <w:r>
        <w:t xml:space="preserve">Рисунок </w:t>
      </w:r>
      <w:fldSimple w:instr=" SEQ Рисунок \* ARABIC ">
        <w:r w:rsidR="005F175D">
          <w:rPr>
            <w:noProof/>
          </w:rPr>
          <w:t>13</w:t>
        </w:r>
      </w:fldSimple>
      <w:r>
        <w:t xml:space="preserve">. </w:t>
      </w:r>
      <w:r w:rsidRPr="000B2783">
        <w:t xml:space="preserve">Зависимость </w:t>
      </w:r>
      <w:r>
        <w:t>ОВ</w:t>
      </w:r>
      <w:r w:rsidRPr="000B2783">
        <w:t xml:space="preserve"> от наличия мутации IDH в GII глиомах</w:t>
      </w:r>
    </w:p>
    <w:p w:rsidR="005D3D1C" w:rsidRDefault="005D3D1C" w:rsidP="005E0D82">
      <w:pPr>
        <w:keepNext/>
        <w:spacing w:after="0" w:line="360" w:lineRule="auto"/>
      </w:pPr>
      <w:r w:rsidRPr="005D3D1C">
        <w:rPr>
          <w:noProof/>
          <w:lang w:eastAsia="ru-RU" w:bidi="he-IL"/>
        </w:rPr>
        <w:lastRenderedPageBreak/>
        <w:drawing>
          <wp:inline distT="0" distB="0" distL="0" distR="0" wp14:anchorId="6B980BE2" wp14:editId="430CD716">
            <wp:extent cx="5433060" cy="4067134"/>
            <wp:effectExtent l="0" t="0" r="0" b="0"/>
            <wp:docPr id="6146" name="plot" descr="/var/folders/0v/ch_dk4fj4x5cqppxf3hjgpym0000gn/T/com.microsoft.Word/WebArchiveCopyPasteTempFiles/plot_zoom_png?width=892&amp;height=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lot" descr="/var/folders/0v/ch_dk4fj4x5cqppxf3hjgpym0000gn/T/com.microsoft.Word/WebArchiveCopyPasteTempFiles/plot_zoom_png?width=892&amp;height=7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2905" cy="4074504"/>
                    </a:xfrm>
                    <a:prstGeom prst="rect">
                      <a:avLst/>
                    </a:prstGeom>
                    <a:noFill/>
                    <a:ln>
                      <a:noFill/>
                    </a:ln>
                    <a:extLst/>
                  </pic:spPr>
                </pic:pic>
              </a:graphicData>
            </a:graphic>
          </wp:inline>
        </w:drawing>
      </w:r>
    </w:p>
    <w:p w:rsidR="005D3D1C" w:rsidRDefault="005D3D1C" w:rsidP="005E0D82">
      <w:pPr>
        <w:pStyle w:val="ae"/>
        <w:spacing w:after="0" w:line="360" w:lineRule="auto"/>
      </w:pPr>
      <w:r>
        <w:t xml:space="preserve">Рисунок </w:t>
      </w:r>
      <w:fldSimple w:instr=" SEQ Рисунок \* ARABIC ">
        <w:r w:rsidR="005F175D">
          <w:rPr>
            <w:noProof/>
          </w:rPr>
          <w:t>14</w:t>
        </w:r>
      </w:fldSimple>
      <w:r>
        <w:t xml:space="preserve">. Зависимость БРВ от наличия ко-делеции </w:t>
      </w:r>
      <w:r w:rsidRPr="005D3D1C">
        <w:t>1</w:t>
      </w:r>
      <w:r>
        <w:rPr>
          <w:lang w:val="en-US"/>
        </w:rPr>
        <w:t>p</w:t>
      </w:r>
      <w:r w:rsidRPr="005D3D1C">
        <w:t>19</w:t>
      </w:r>
      <w:r>
        <w:rPr>
          <w:lang w:val="en-US"/>
        </w:rPr>
        <w:t>q</w:t>
      </w:r>
      <w:r w:rsidRPr="005D3D1C">
        <w:t xml:space="preserve"> </w:t>
      </w:r>
      <w:r>
        <w:t xml:space="preserve">в </w:t>
      </w:r>
      <w:r>
        <w:rPr>
          <w:lang w:val="en-US"/>
        </w:rPr>
        <w:t>GII</w:t>
      </w:r>
      <w:r>
        <w:t xml:space="preserve"> глиомах</w:t>
      </w:r>
    </w:p>
    <w:p w:rsidR="005D3D1C" w:rsidRDefault="005D3D1C" w:rsidP="005E0D82">
      <w:pPr>
        <w:keepNext/>
        <w:spacing w:after="0" w:line="360" w:lineRule="auto"/>
      </w:pPr>
      <w:r w:rsidRPr="005D3D1C">
        <w:rPr>
          <w:noProof/>
          <w:lang w:eastAsia="ru-RU" w:bidi="he-IL"/>
        </w:rPr>
        <w:drawing>
          <wp:inline distT="0" distB="0" distL="0" distR="0" wp14:anchorId="5EA435BE" wp14:editId="5CAE9031">
            <wp:extent cx="5541728" cy="4164330"/>
            <wp:effectExtent l="0" t="0" r="0" b="0"/>
            <wp:docPr id="6147" name="plot" descr="/var/folders/0v/ch_dk4fj4x5cqppxf3hjgpym0000gn/T/com.microsoft.Word/WebArchiveCopyPasteTempFiles/plot_zoom_png?width=892&amp;height=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lot" descr="/var/folders/0v/ch_dk4fj4x5cqppxf3hjgpym0000gn/T/com.microsoft.Word/WebArchiveCopyPasteTempFiles/plot_zoom_png?width=892&amp;height=7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2025" cy="4172068"/>
                    </a:xfrm>
                    <a:prstGeom prst="rect">
                      <a:avLst/>
                    </a:prstGeom>
                    <a:noFill/>
                    <a:ln>
                      <a:noFill/>
                    </a:ln>
                    <a:extLst/>
                  </pic:spPr>
                </pic:pic>
              </a:graphicData>
            </a:graphic>
          </wp:inline>
        </w:drawing>
      </w:r>
    </w:p>
    <w:p w:rsidR="005D3D1C" w:rsidRPr="005D3D1C" w:rsidRDefault="005D3D1C" w:rsidP="005E0D82">
      <w:pPr>
        <w:pStyle w:val="ae"/>
        <w:spacing w:after="0" w:line="360" w:lineRule="auto"/>
      </w:pPr>
      <w:r>
        <w:t xml:space="preserve">Рисунок </w:t>
      </w:r>
      <w:fldSimple w:instr=" SEQ Рисунок \* ARABIC ">
        <w:r w:rsidR="005F175D">
          <w:rPr>
            <w:noProof/>
          </w:rPr>
          <w:t>15</w:t>
        </w:r>
      </w:fldSimple>
      <w:r>
        <w:t xml:space="preserve">. Зависимость ОВ от наличия ко-делеции </w:t>
      </w:r>
      <w:r w:rsidRPr="005D3D1C">
        <w:t>1</w:t>
      </w:r>
      <w:r>
        <w:rPr>
          <w:lang w:val="en-US"/>
        </w:rPr>
        <w:t>p</w:t>
      </w:r>
      <w:r w:rsidRPr="005D3D1C">
        <w:t>19</w:t>
      </w:r>
      <w:r>
        <w:rPr>
          <w:lang w:val="en-US"/>
        </w:rPr>
        <w:t>q</w:t>
      </w:r>
      <w:r w:rsidRPr="005D3D1C">
        <w:t xml:space="preserve"> </w:t>
      </w:r>
      <w:r>
        <w:t xml:space="preserve">в </w:t>
      </w:r>
      <w:r>
        <w:rPr>
          <w:lang w:val="en-US"/>
        </w:rPr>
        <w:t>GII</w:t>
      </w:r>
      <w:r>
        <w:t xml:space="preserve"> глиомах</w:t>
      </w:r>
    </w:p>
    <w:p w:rsidR="005D3D1C" w:rsidRPr="00D40B81" w:rsidRDefault="006D546C" w:rsidP="005E0D82">
      <w:pPr>
        <w:pStyle w:val="2"/>
        <w:spacing w:before="0" w:after="0" w:line="360" w:lineRule="auto"/>
        <w:rPr>
          <w:rFonts w:eastAsiaTheme="minorHAnsi"/>
          <w:b/>
          <w:bCs w:val="0"/>
        </w:rPr>
      </w:pPr>
      <w:bookmarkStart w:id="65" w:name="_Toc9031282"/>
      <w:bookmarkStart w:id="66" w:name="_Toc9250615"/>
      <w:r>
        <w:rPr>
          <w:b/>
          <w:bCs w:val="0"/>
        </w:rPr>
        <w:lastRenderedPageBreak/>
        <w:t>3.12</w:t>
      </w:r>
      <w:r w:rsidR="005D3D1C" w:rsidRPr="00D40B81">
        <w:rPr>
          <w:b/>
          <w:bCs w:val="0"/>
        </w:rPr>
        <w:t xml:space="preserve">. </w:t>
      </w:r>
      <w:r w:rsidR="005D3D1C" w:rsidRPr="00D40B81">
        <w:rPr>
          <w:rFonts w:eastAsiaTheme="minorHAnsi"/>
          <w:b/>
          <w:bCs w:val="0"/>
        </w:rPr>
        <w:t xml:space="preserve">Зависимость безрецидивной и общей выживаемости от мутации </w:t>
      </w:r>
      <w:r w:rsidR="005D3D1C" w:rsidRPr="00D40B81">
        <w:rPr>
          <w:rFonts w:eastAsiaTheme="minorHAnsi"/>
          <w:b/>
          <w:bCs w:val="0"/>
          <w:lang w:val="en-US"/>
        </w:rPr>
        <w:t>IDH</w:t>
      </w:r>
      <w:r w:rsidR="005D3D1C" w:rsidRPr="00D40B81">
        <w:rPr>
          <w:rFonts w:eastAsiaTheme="minorHAnsi"/>
          <w:b/>
          <w:bCs w:val="0"/>
        </w:rPr>
        <w:t xml:space="preserve"> и ко-делеции 1</w:t>
      </w:r>
      <w:r w:rsidR="005D3D1C" w:rsidRPr="00D40B81">
        <w:rPr>
          <w:rFonts w:eastAsiaTheme="minorHAnsi"/>
          <w:b/>
          <w:bCs w:val="0"/>
          <w:lang w:val="en-US"/>
        </w:rPr>
        <w:t>p</w:t>
      </w:r>
      <w:r w:rsidR="005D3D1C" w:rsidRPr="00D40B81">
        <w:rPr>
          <w:rFonts w:eastAsiaTheme="minorHAnsi"/>
          <w:b/>
          <w:bCs w:val="0"/>
        </w:rPr>
        <w:t>19</w:t>
      </w:r>
      <w:r w:rsidR="005D3D1C" w:rsidRPr="00D40B81">
        <w:rPr>
          <w:rFonts w:eastAsiaTheme="minorHAnsi"/>
          <w:b/>
          <w:bCs w:val="0"/>
          <w:lang w:val="en-US"/>
        </w:rPr>
        <w:t>q</w:t>
      </w:r>
      <w:r w:rsidR="005D3D1C" w:rsidRPr="00D40B81">
        <w:rPr>
          <w:rFonts w:eastAsiaTheme="minorHAnsi"/>
          <w:b/>
          <w:bCs w:val="0"/>
        </w:rPr>
        <w:t xml:space="preserve"> в случае </w:t>
      </w:r>
      <w:r w:rsidR="00C24DF3" w:rsidRPr="00D40B81">
        <w:rPr>
          <w:rFonts w:cs="Times New Roman"/>
          <w:b/>
          <w:bCs w:val="0"/>
          <w:szCs w:val="28"/>
        </w:rPr>
        <w:t>АА</w:t>
      </w:r>
      <w:r w:rsidR="00C24DF3" w:rsidRPr="00D40B81">
        <w:rPr>
          <w:rFonts w:cs="Times New Roman"/>
          <w:b/>
          <w:bCs w:val="0"/>
          <w:szCs w:val="28"/>
          <w:lang w:val="en-US"/>
        </w:rPr>
        <w:t>GIII</w:t>
      </w:r>
      <w:r w:rsidR="00C24DF3" w:rsidRPr="00D40B81">
        <w:rPr>
          <w:rFonts w:cs="Times New Roman"/>
          <w:b/>
          <w:bCs w:val="0"/>
          <w:szCs w:val="28"/>
        </w:rPr>
        <w:t>/АОДГ</w:t>
      </w:r>
      <w:r w:rsidR="00C24DF3" w:rsidRPr="00D40B81">
        <w:rPr>
          <w:rFonts w:cs="Times New Roman"/>
          <w:b/>
          <w:bCs w:val="0"/>
          <w:szCs w:val="28"/>
          <w:lang w:val="en-US"/>
        </w:rPr>
        <w:t>GIII</w:t>
      </w:r>
      <w:bookmarkEnd w:id="65"/>
      <w:bookmarkEnd w:id="66"/>
    </w:p>
    <w:p w:rsidR="00C24DF3" w:rsidRPr="00C24DF3" w:rsidRDefault="00C24DF3" w:rsidP="005E0D82">
      <w:pPr>
        <w:spacing w:after="0" w:line="360" w:lineRule="auto"/>
        <w:rPr>
          <w:rFonts w:ascii="Times New Roman" w:hAnsi="Times New Roman" w:cs="Times New Roman"/>
          <w:sz w:val="28"/>
          <w:szCs w:val="28"/>
        </w:rPr>
      </w:pPr>
      <w:r w:rsidRPr="005D3D1C">
        <w:rPr>
          <w:rFonts w:ascii="Times New Roman" w:hAnsi="Times New Roman" w:cs="Times New Roman"/>
          <w:sz w:val="28"/>
          <w:szCs w:val="28"/>
        </w:rPr>
        <w:t xml:space="preserve">Для оценки зависимости БРВ и ОВ от наличия мутации </w:t>
      </w:r>
      <w:r w:rsidRPr="005D3D1C">
        <w:rPr>
          <w:rFonts w:ascii="Times New Roman" w:hAnsi="Times New Roman" w:cs="Times New Roman"/>
          <w:sz w:val="28"/>
          <w:szCs w:val="28"/>
          <w:lang w:val="en-US"/>
        </w:rPr>
        <w:t>IDH</w:t>
      </w:r>
      <w:r w:rsidRPr="005D3D1C">
        <w:rPr>
          <w:rFonts w:ascii="Times New Roman" w:hAnsi="Times New Roman" w:cs="Times New Roman"/>
          <w:sz w:val="28"/>
          <w:szCs w:val="28"/>
        </w:rPr>
        <w:t xml:space="preserve"> и ко-делеции 1</w:t>
      </w:r>
      <w:r w:rsidRPr="005D3D1C">
        <w:rPr>
          <w:rFonts w:ascii="Times New Roman" w:hAnsi="Times New Roman" w:cs="Times New Roman"/>
          <w:sz w:val="28"/>
          <w:szCs w:val="28"/>
          <w:lang w:val="en-US"/>
        </w:rPr>
        <w:t>p</w:t>
      </w:r>
      <w:r w:rsidRPr="005D3D1C">
        <w:rPr>
          <w:rFonts w:ascii="Times New Roman" w:hAnsi="Times New Roman" w:cs="Times New Roman"/>
          <w:sz w:val="28"/>
          <w:szCs w:val="28"/>
        </w:rPr>
        <w:t>19</w:t>
      </w:r>
      <w:r w:rsidRPr="005D3D1C">
        <w:rPr>
          <w:rFonts w:ascii="Times New Roman" w:hAnsi="Times New Roman" w:cs="Times New Roman"/>
          <w:sz w:val="28"/>
          <w:szCs w:val="28"/>
          <w:lang w:val="en-US"/>
        </w:rPr>
        <w:t>q</w:t>
      </w:r>
      <w:r w:rsidRPr="005D3D1C">
        <w:rPr>
          <w:rFonts w:ascii="Times New Roman" w:hAnsi="Times New Roman" w:cs="Times New Roman"/>
          <w:sz w:val="28"/>
          <w:szCs w:val="28"/>
        </w:rPr>
        <w:t xml:space="preserve"> был проведен анализ методом множительных оценок Каплана-</w:t>
      </w:r>
      <w:r w:rsidRPr="00C24DF3">
        <w:rPr>
          <w:rFonts w:ascii="Times New Roman" w:hAnsi="Times New Roman" w:cs="Times New Roman"/>
          <w:sz w:val="28"/>
          <w:szCs w:val="28"/>
        </w:rPr>
        <w:t>Майера, результаты которого приведены ниже.</w:t>
      </w:r>
    </w:p>
    <w:p w:rsidR="00C24DF3" w:rsidRPr="00C24DF3" w:rsidRDefault="00C24DF3" w:rsidP="005E0D82">
      <w:pPr>
        <w:spacing w:after="0" w:line="360" w:lineRule="auto"/>
        <w:rPr>
          <w:rFonts w:ascii="Times New Roman" w:hAnsi="Times New Roman" w:cs="Times New Roman"/>
          <w:sz w:val="28"/>
          <w:szCs w:val="28"/>
        </w:rPr>
      </w:pPr>
      <w:r w:rsidRPr="00C24DF3">
        <w:rPr>
          <w:rFonts w:ascii="Times New Roman" w:hAnsi="Times New Roman" w:cs="Times New Roman"/>
          <w:sz w:val="28"/>
          <w:szCs w:val="28"/>
        </w:rPr>
        <w:t xml:space="preserve">Статистически достоверное увеличение БРВ наблюдалось в опухолях с мутацией </w:t>
      </w:r>
      <w:r w:rsidRPr="00C24DF3">
        <w:rPr>
          <w:rFonts w:ascii="Times New Roman" w:hAnsi="Times New Roman" w:cs="Times New Roman"/>
          <w:sz w:val="28"/>
          <w:szCs w:val="28"/>
          <w:lang w:val="en-US"/>
        </w:rPr>
        <w:t>IDH</w:t>
      </w:r>
      <w:r w:rsidRPr="00C24DF3">
        <w:rPr>
          <w:rFonts w:ascii="Times New Roman" w:hAnsi="Times New Roman" w:cs="Times New Roman"/>
          <w:sz w:val="28"/>
          <w:szCs w:val="28"/>
        </w:rPr>
        <w:t xml:space="preserve"> 1/2, выявленной в 21 из 35 образцов опухолевой ткани (60%) (р</w:t>
      </w:r>
      <w:r>
        <w:rPr>
          <w:rFonts w:ascii="Times New Roman" w:hAnsi="Times New Roman" w:cs="Times New Roman"/>
          <w:sz w:val="28"/>
          <w:szCs w:val="28"/>
        </w:rPr>
        <w:t xml:space="preserve"> </w:t>
      </w:r>
      <w:r w:rsidRPr="00C24DF3">
        <w:rPr>
          <w:rFonts w:ascii="Times New Roman" w:hAnsi="Times New Roman" w:cs="Times New Roman"/>
          <w:sz w:val="28"/>
          <w:szCs w:val="28"/>
        </w:rPr>
        <w:t>&lt;0,0001) (рис. 13).</w:t>
      </w:r>
    </w:p>
    <w:p w:rsidR="00C24DF3" w:rsidRPr="00C24DF3" w:rsidRDefault="00C24DF3" w:rsidP="005E0D82">
      <w:pPr>
        <w:spacing w:after="0" w:line="360" w:lineRule="auto"/>
        <w:rPr>
          <w:rFonts w:ascii="Times New Roman" w:hAnsi="Times New Roman" w:cs="Times New Roman"/>
          <w:sz w:val="28"/>
          <w:szCs w:val="28"/>
        </w:rPr>
      </w:pPr>
      <w:r w:rsidRPr="00C24DF3">
        <w:rPr>
          <w:rFonts w:ascii="Times New Roman" w:hAnsi="Times New Roman" w:cs="Times New Roman"/>
          <w:sz w:val="28"/>
          <w:szCs w:val="28"/>
        </w:rPr>
        <w:t xml:space="preserve">Медиана БРВ при наличии мутации в генах </w:t>
      </w:r>
      <w:r w:rsidRPr="00C24DF3">
        <w:rPr>
          <w:rFonts w:ascii="Times New Roman" w:hAnsi="Times New Roman" w:cs="Times New Roman"/>
          <w:sz w:val="28"/>
          <w:szCs w:val="28"/>
          <w:lang w:val="en-US"/>
        </w:rPr>
        <w:t>IDH</w:t>
      </w:r>
      <w:r w:rsidRPr="00C24DF3">
        <w:rPr>
          <w:rFonts w:ascii="Times New Roman" w:hAnsi="Times New Roman" w:cs="Times New Roman"/>
          <w:sz w:val="28"/>
          <w:szCs w:val="28"/>
        </w:rPr>
        <w:t xml:space="preserve"> 1/2 составила 147 недель по сравнению группой больных, в опухоли которых мутации не было – 93 недели.</w:t>
      </w:r>
    </w:p>
    <w:p w:rsidR="00C24DF3" w:rsidRPr="00C24DF3" w:rsidRDefault="00C24DF3" w:rsidP="005E0D82">
      <w:pPr>
        <w:spacing w:after="0" w:line="360" w:lineRule="auto"/>
        <w:rPr>
          <w:rFonts w:ascii="Times New Roman" w:hAnsi="Times New Roman" w:cs="Times New Roman"/>
          <w:sz w:val="28"/>
          <w:szCs w:val="28"/>
        </w:rPr>
      </w:pPr>
      <w:r w:rsidRPr="00C24DF3">
        <w:rPr>
          <w:rFonts w:ascii="Times New Roman" w:hAnsi="Times New Roman" w:cs="Times New Roman"/>
          <w:sz w:val="28"/>
          <w:szCs w:val="28"/>
        </w:rPr>
        <w:t xml:space="preserve">Мутация в генах </w:t>
      </w:r>
      <w:r w:rsidRPr="00C24DF3">
        <w:rPr>
          <w:rFonts w:ascii="Times New Roman" w:hAnsi="Times New Roman" w:cs="Times New Roman"/>
          <w:sz w:val="28"/>
          <w:szCs w:val="28"/>
          <w:lang w:val="en-US"/>
        </w:rPr>
        <w:t>IDH</w:t>
      </w:r>
      <w:r w:rsidRPr="00C24DF3">
        <w:rPr>
          <w:rFonts w:ascii="Times New Roman" w:hAnsi="Times New Roman" w:cs="Times New Roman"/>
          <w:sz w:val="28"/>
          <w:szCs w:val="28"/>
        </w:rPr>
        <w:t xml:space="preserve"> 1/2 также оказала влияние на общую выживаемость (р=0,056). Медиана ОВ при наличии мутации в генах </w:t>
      </w:r>
      <w:r w:rsidRPr="00C24DF3">
        <w:rPr>
          <w:rFonts w:ascii="Times New Roman" w:hAnsi="Times New Roman" w:cs="Times New Roman"/>
          <w:sz w:val="28"/>
          <w:szCs w:val="28"/>
          <w:lang w:val="en-US"/>
        </w:rPr>
        <w:t>IDH</w:t>
      </w:r>
      <w:r w:rsidRPr="00C24DF3">
        <w:rPr>
          <w:rFonts w:ascii="Times New Roman" w:hAnsi="Times New Roman" w:cs="Times New Roman"/>
          <w:sz w:val="28"/>
          <w:szCs w:val="28"/>
        </w:rPr>
        <w:t xml:space="preserve"> 1/2 составила 356 недель по сравнению группой больных, в опухоли которых мутации не было – 105 недель (рис. 14).</w:t>
      </w:r>
    </w:p>
    <w:p w:rsidR="00C24DF3" w:rsidRPr="00C24DF3" w:rsidRDefault="00C24DF3" w:rsidP="005E0D82">
      <w:pPr>
        <w:spacing w:after="0" w:line="360" w:lineRule="auto"/>
        <w:rPr>
          <w:rFonts w:ascii="Times New Roman" w:hAnsi="Times New Roman" w:cs="Times New Roman"/>
          <w:sz w:val="28"/>
          <w:szCs w:val="28"/>
        </w:rPr>
      </w:pPr>
      <w:r w:rsidRPr="00C24DF3">
        <w:rPr>
          <w:rFonts w:ascii="Times New Roman" w:hAnsi="Times New Roman" w:cs="Times New Roman"/>
          <w:sz w:val="28"/>
          <w:szCs w:val="28"/>
        </w:rPr>
        <w:t>Наличие ко-делеции 1</w:t>
      </w:r>
      <w:r w:rsidRPr="00C24DF3">
        <w:rPr>
          <w:rFonts w:ascii="Times New Roman" w:hAnsi="Times New Roman" w:cs="Times New Roman"/>
          <w:sz w:val="28"/>
          <w:szCs w:val="28"/>
          <w:lang w:val="en-US"/>
        </w:rPr>
        <w:t>p</w:t>
      </w:r>
      <w:r w:rsidRPr="00C24DF3">
        <w:rPr>
          <w:rFonts w:ascii="Times New Roman" w:hAnsi="Times New Roman" w:cs="Times New Roman"/>
          <w:sz w:val="28"/>
          <w:szCs w:val="28"/>
        </w:rPr>
        <w:t>19</w:t>
      </w:r>
      <w:r w:rsidRPr="00C24DF3">
        <w:rPr>
          <w:rFonts w:ascii="Times New Roman" w:hAnsi="Times New Roman" w:cs="Times New Roman"/>
          <w:sz w:val="28"/>
          <w:szCs w:val="28"/>
          <w:lang w:val="en-US"/>
        </w:rPr>
        <w:t>q</w:t>
      </w:r>
      <w:r w:rsidRPr="00C24DF3">
        <w:rPr>
          <w:rFonts w:ascii="Times New Roman" w:hAnsi="Times New Roman" w:cs="Times New Roman"/>
          <w:sz w:val="28"/>
          <w:szCs w:val="28"/>
        </w:rPr>
        <w:t xml:space="preserve"> не привело к статистическому увеличению БРВ/ОВ по сравнению с группами, где данная аберрация отсутствовала (р=0,66 и р=0,92) (рис. 15, 16).</w:t>
      </w:r>
    </w:p>
    <w:p w:rsidR="00C24DF3" w:rsidRDefault="00C24DF3" w:rsidP="005E0D82">
      <w:pPr>
        <w:keepNext/>
        <w:spacing w:after="0" w:line="360" w:lineRule="auto"/>
      </w:pPr>
      <w:r w:rsidRPr="00C24DF3">
        <w:rPr>
          <w:noProof/>
          <w:lang w:eastAsia="ru-RU" w:bidi="he-IL"/>
        </w:rPr>
        <w:lastRenderedPageBreak/>
        <w:drawing>
          <wp:inline distT="0" distB="0" distL="0" distR="0" wp14:anchorId="2FDE7D4C" wp14:editId="057989C1">
            <wp:extent cx="5760085" cy="4314190"/>
            <wp:effectExtent l="0" t="0" r="0" b="0"/>
            <wp:docPr id="7170" name="plot" descr="/var/folders/0v/ch_dk4fj4x5cqppxf3hjgpym0000gn/T/com.microsoft.Word/WebArchiveCopyPasteTempFiles/plot_zoom_png?width=892&amp;height=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lot" descr="/var/folders/0v/ch_dk4fj4x5cqppxf3hjgpym0000gn/T/com.microsoft.Word/WebArchiveCopyPasteTempFiles/plot_zoom_png?width=892&amp;height=7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4314190"/>
                    </a:xfrm>
                    <a:prstGeom prst="rect">
                      <a:avLst/>
                    </a:prstGeom>
                    <a:noFill/>
                    <a:ln>
                      <a:noFill/>
                    </a:ln>
                    <a:extLst/>
                  </pic:spPr>
                </pic:pic>
              </a:graphicData>
            </a:graphic>
          </wp:inline>
        </w:drawing>
      </w:r>
    </w:p>
    <w:p w:rsidR="00C24DF3" w:rsidRPr="00C24DF3" w:rsidRDefault="00C24DF3" w:rsidP="005E0D82">
      <w:pPr>
        <w:pStyle w:val="ae"/>
        <w:spacing w:after="0" w:line="360" w:lineRule="auto"/>
      </w:pPr>
      <w:r>
        <w:t xml:space="preserve">Рисунок </w:t>
      </w:r>
      <w:fldSimple w:instr=" SEQ Рисунок \* ARABIC ">
        <w:r w:rsidR="005F175D">
          <w:rPr>
            <w:noProof/>
          </w:rPr>
          <w:t>16</w:t>
        </w:r>
      </w:fldSimple>
      <w:r>
        <w:t xml:space="preserve">. </w:t>
      </w:r>
      <w:r w:rsidRPr="003E02B3">
        <w:t>Зависимость БРВ от наличия мутации IDH в GI</w:t>
      </w:r>
      <w:r>
        <w:rPr>
          <w:lang w:val="en-US"/>
        </w:rPr>
        <w:t>I</w:t>
      </w:r>
      <w:r w:rsidRPr="003E02B3">
        <w:t>I глиомах</w:t>
      </w:r>
    </w:p>
    <w:p w:rsidR="00C24DF3" w:rsidRDefault="00C24DF3" w:rsidP="005E0D82">
      <w:pPr>
        <w:keepNext/>
        <w:spacing w:after="0" w:line="360" w:lineRule="auto"/>
      </w:pPr>
      <w:r w:rsidRPr="00C24DF3">
        <w:rPr>
          <w:noProof/>
          <w:lang w:eastAsia="ru-RU" w:bidi="he-IL"/>
        </w:rPr>
        <w:drawing>
          <wp:inline distT="0" distB="0" distL="0" distR="0" wp14:anchorId="22A66CFC" wp14:editId="65AFB80A">
            <wp:extent cx="5281246" cy="3963386"/>
            <wp:effectExtent l="0" t="0" r="0" b="0"/>
            <wp:docPr id="8194" name="plot" descr="/var/folders/0v/ch_dk4fj4x5cqppxf3hjgpym0000gn/T/com.microsoft.Word/WebArchiveCopyPasteTempFiles/plot_zoom_png?width=892&amp;height=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lot" descr="/var/folders/0v/ch_dk4fj4x5cqppxf3hjgpym0000gn/T/com.microsoft.Word/WebArchiveCopyPasteTempFiles/plot_zoom_png?width=892&amp;height=7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1246" cy="3963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D3D1C" w:rsidRDefault="00C24DF3" w:rsidP="005E0D82">
      <w:pPr>
        <w:pStyle w:val="ae"/>
        <w:spacing w:after="0" w:line="360" w:lineRule="auto"/>
      </w:pPr>
      <w:r>
        <w:t xml:space="preserve">Рисунок </w:t>
      </w:r>
      <w:fldSimple w:instr=" SEQ Рисунок \* ARABIC ">
        <w:r w:rsidR="005F175D">
          <w:rPr>
            <w:noProof/>
          </w:rPr>
          <w:t>17</w:t>
        </w:r>
      </w:fldSimple>
      <w:r>
        <w:t xml:space="preserve">. </w:t>
      </w:r>
      <w:r w:rsidRPr="003E02B3">
        <w:t xml:space="preserve">Зависимость </w:t>
      </w:r>
      <w:r>
        <w:t>ОВ</w:t>
      </w:r>
      <w:r w:rsidRPr="003E02B3">
        <w:t xml:space="preserve"> от наличия мутации IDH в GI</w:t>
      </w:r>
      <w:r>
        <w:rPr>
          <w:lang w:val="en-US"/>
        </w:rPr>
        <w:t>I</w:t>
      </w:r>
      <w:r w:rsidRPr="003E02B3">
        <w:t>I глиомах</w:t>
      </w:r>
    </w:p>
    <w:p w:rsidR="00C24DF3" w:rsidRDefault="00C24DF3" w:rsidP="005E0D82">
      <w:pPr>
        <w:keepNext/>
        <w:spacing w:after="0" w:line="360" w:lineRule="auto"/>
      </w:pPr>
      <w:r w:rsidRPr="00C24DF3">
        <w:rPr>
          <w:noProof/>
          <w:lang w:eastAsia="ru-RU" w:bidi="he-IL"/>
        </w:rPr>
        <w:lastRenderedPageBreak/>
        <w:drawing>
          <wp:inline distT="0" distB="0" distL="0" distR="0" wp14:anchorId="21345630" wp14:editId="6FDB4142">
            <wp:extent cx="5490702" cy="4122420"/>
            <wp:effectExtent l="0" t="0" r="0" b="0"/>
            <wp:docPr id="9218" name="plot" descr="/var/folders/0v/ch_dk4fj4x5cqppxf3hjgpym0000gn/T/com.microsoft.Word/WebArchiveCopyPasteTempFiles/plot_zoom_png?width=892&amp;height=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lot" descr="/var/folders/0v/ch_dk4fj4x5cqppxf3hjgpym0000gn/T/com.microsoft.Word/WebArchiveCopyPasteTempFiles/plot_zoom_png?width=892&amp;height=7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3528" cy="4132050"/>
                    </a:xfrm>
                    <a:prstGeom prst="rect">
                      <a:avLst/>
                    </a:prstGeom>
                    <a:noFill/>
                    <a:ln>
                      <a:noFill/>
                    </a:ln>
                    <a:extLst/>
                  </pic:spPr>
                </pic:pic>
              </a:graphicData>
            </a:graphic>
          </wp:inline>
        </w:drawing>
      </w:r>
    </w:p>
    <w:p w:rsidR="00C24DF3" w:rsidRDefault="00C24DF3" w:rsidP="005E0D82">
      <w:pPr>
        <w:pStyle w:val="ae"/>
        <w:spacing w:after="0" w:line="360" w:lineRule="auto"/>
      </w:pPr>
      <w:r>
        <w:t xml:space="preserve">Рисунок </w:t>
      </w:r>
      <w:fldSimple w:instr=" SEQ Рисунок \* ARABIC ">
        <w:r w:rsidR="005F175D">
          <w:rPr>
            <w:noProof/>
          </w:rPr>
          <w:t>18</w:t>
        </w:r>
      </w:fldSimple>
      <w:r>
        <w:t xml:space="preserve">. </w:t>
      </w:r>
      <w:r w:rsidRPr="00A015E6">
        <w:t>Зависимость БРВ от наличия ко-делеции 1p19q в GII</w:t>
      </w:r>
      <w:r>
        <w:rPr>
          <w:lang w:val="en-US"/>
        </w:rPr>
        <w:t>I</w:t>
      </w:r>
      <w:r w:rsidRPr="00C24DF3">
        <w:t xml:space="preserve"> </w:t>
      </w:r>
      <w:r w:rsidRPr="00A015E6">
        <w:t xml:space="preserve"> глиомах</w:t>
      </w:r>
    </w:p>
    <w:p w:rsidR="00C24DF3" w:rsidRDefault="00C24DF3" w:rsidP="005E0D82">
      <w:pPr>
        <w:keepNext/>
        <w:spacing w:after="0" w:line="360" w:lineRule="auto"/>
      </w:pPr>
      <w:r w:rsidRPr="00C24DF3">
        <w:rPr>
          <w:noProof/>
          <w:lang w:eastAsia="ru-RU" w:bidi="he-IL"/>
        </w:rPr>
        <w:drawing>
          <wp:inline distT="0" distB="0" distL="0" distR="0" wp14:anchorId="4963684D" wp14:editId="05A53E66">
            <wp:extent cx="5637672" cy="4236720"/>
            <wp:effectExtent l="0" t="0" r="0" b="0"/>
            <wp:docPr id="9219" name="plot" descr="/var/folders/0v/ch_dk4fj4x5cqppxf3hjgpym0000gn/T/com.microsoft.Word/WebArchiveCopyPasteTempFiles/plot_zoom_png?width=892&amp;height=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lot" descr="/var/folders/0v/ch_dk4fj4x5cqppxf3hjgpym0000gn/T/com.microsoft.Word/WebArchiveCopyPasteTempFiles/plot_zoom_png?width=892&amp;height=7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7414" cy="4244041"/>
                    </a:xfrm>
                    <a:prstGeom prst="rect">
                      <a:avLst/>
                    </a:prstGeom>
                    <a:noFill/>
                    <a:ln>
                      <a:noFill/>
                    </a:ln>
                    <a:extLst/>
                  </pic:spPr>
                </pic:pic>
              </a:graphicData>
            </a:graphic>
          </wp:inline>
        </w:drawing>
      </w:r>
    </w:p>
    <w:p w:rsidR="00C24DF3" w:rsidRPr="00C24DF3" w:rsidRDefault="00C24DF3" w:rsidP="005E0D82">
      <w:pPr>
        <w:pStyle w:val="ae"/>
        <w:spacing w:after="0" w:line="360" w:lineRule="auto"/>
      </w:pPr>
      <w:r>
        <w:t xml:space="preserve">Рисунок </w:t>
      </w:r>
      <w:fldSimple w:instr=" SEQ Рисунок \* ARABIC ">
        <w:r w:rsidR="005F175D">
          <w:rPr>
            <w:noProof/>
          </w:rPr>
          <w:t>19</w:t>
        </w:r>
      </w:fldSimple>
      <w:r>
        <w:t xml:space="preserve">. </w:t>
      </w:r>
      <w:r w:rsidRPr="00A015E6">
        <w:t xml:space="preserve">Зависимость </w:t>
      </w:r>
      <w:r>
        <w:t>ОВ</w:t>
      </w:r>
      <w:r w:rsidRPr="00A015E6">
        <w:t xml:space="preserve"> от наличия ко-делеции 1p19q в GII</w:t>
      </w:r>
      <w:r>
        <w:rPr>
          <w:lang w:val="en-US"/>
        </w:rPr>
        <w:t>I</w:t>
      </w:r>
      <w:r w:rsidRPr="00C24DF3">
        <w:t xml:space="preserve"> </w:t>
      </w:r>
      <w:r w:rsidRPr="00A015E6">
        <w:t xml:space="preserve"> глиомах</w:t>
      </w:r>
    </w:p>
    <w:p w:rsidR="00C24DF3" w:rsidRPr="00D40B81" w:rsidRDefault="006D546C" w:rsidP="005E0D82">
      <w:pPr>
        <w:pStyle w:val="2"/>
        <w:spacing w:before="0" w:after="0" w:line="360" w:lineRule="auto"/>
        <w:rPr>
          <w:rFonts w:eastAsiaTheme="minorHAnsi"/>
          <w:b/>
          <w:bCs w:val="0"/>
        </w:rPr>
      </w:pPr>
      <w:bookmarkStart w:id="67" w:name="_Toc9031283"/>
      <w:bookmarkStart w:id="68" w:name="_Toc9250616"/>
      <w:r>
        <w:rPr>
          <w:b/>
          <w:bCs w:val="0"/>
        </w:rPr>
        <w:lastRenderedPageBreak/>
        <w:t>3.13</w:t>
      </w:r>
      <w:r w:rsidR="00C24DF3" w:rsidRPr="00D40B81">
        <w:rPr>
          <w:b/>
          <w:bCs w:val="0"/>
        </w:rPr>
        <w:t xml:space="preserve">. </w:t>
      </w:r>
      <w:r w:rsidR="00C24DF3" w:rsidRPr="00D40B81">
        <w:rPr>
          <w:rFonts w:eastAsiaTheme="minorHAnsi"/>
          <w:b/>
          <w:bCs w:val="0"/>
        </w:rPr>
        <w:t>Анализ клинических и молекулярно-генетических факторов риска наступления злокачественной трансформации</w:t>
      </w:r>
      <w:bookmarkEnd w:id="67"/>
      <w:bookmarkEnd w:id="68"/>
    </w:p>
    <w:p w:rsidR="00C24DF3" w:rsidRPr="00A23A1F" w:rsidRDefault="00C24DF3" w:rsidP="005E0D82">
      <w:pPr>
        <w:spacing w:after="0" w:line="360" w:lineRule="auto"/>
        <w:rPr>
          <w:rFonts w:ascii="Times New Roman" w:hAnsi="Times New Roman" w:cs="Times New Roman"/>
          <w:sz w:val="28"/>
          <w:szCs w:val="28"/>
        </w:rPr>
      </w:pPr>
      <w:r w:rsidRPr="00A23A1F">
        <w:rPr>
          <w:rFonts w:ascii="Times New Roman" w:hAnsi="Times New Roman" w:cs="Times New Roman"/>
          <w:sz w:val="28"/>
          <w:szCs w:val="28"/>
        </w:rPr>
        <w:t xml:space="preserve">В рамках исследования был проведен многофакторный анализ риска наступления злокачественной трансформации в зависимости от следующих факторов: пол, возраст, уровень экспрессии исследуемых генов, наличие мутации </w:t>
      </w:r>
      <w:r w:rsidRPr="00A23A1F">
        <w:rPr>
          <w:rFonts w:ascii="Times New Roman" w:hAnsi="Times New Roman" w:cs="Times New Roman"/>
          <w:sz w:val="28"/>
          <w:szCs w:val="28"/>
          <w:lang w:val="en-US"/>
        </w:rPr>
        <w:t>IDH</w:t>
      </w:r>
      <w:r w:rsidRPr="00A23A1F">
        <w:rPr>
          <w:rFonts w:ascii="Times New Roman" w:hAnsi="Times New Roman" w:cs="Times New Roman"/>
          <w:sz w:val="28"/>
          <w:szCs w:val="28"/>
        </w:rPr>
        <w:t>1 и ко-делеции 1</w:t>
      </w:r>
      <w:r w:rsidRPr="00A23A1F">
        <w:rPr>
          <w:rFonts w:ascii="Times New Roman" w:hAnsi="Times New Roman" w:cs="Times New Roman"/>
          <w:sz w:val="28"/>
          <w:szCs w:val="28"/>
          <w:lang w:val="en-US"/>
        </w:rPr>
        <w:t>p</w:t>
      </w:r>
      <w:r w:rsidRPr="00A23A1F">
        <w:rPr>
          <w:rFonts w:ascii="Times New Roman" w:hAnsi="Times New Roman" w:cs="Times New Roman"/>
          <w:sz w:val="28"/>
          <w:szCs w:val="28"/>
        </w:rPr>
        <w:t>19</w:t>
      </w:r>
      <w:r w:rsidRPr="00A23A1F">
        <w:rPr>
          <w:rFonts w:ascii="Times New Roman" w:hAnsi="Times New Roman" w:cs="Times New Roman"/>
          <w:sz w:val="28"/>
          <w:szCs w:val="28"/>
          <w:lang w:val="en-US"/>
        </w:rPr>
        <w:t>q</w:t>
      </w:r>
      <w:r w:rsidRPr="00A23A1F">
        <w:rPr>
          <w:rFonts w:ascii="Times New Roman" w:hAnsi="Times New Roman" w:cs="Times New Roman"/>
          <w:sz w:val="28"/>
          <w:szCs w:val="28"/>
        </w:rPr>
        <w:t>.</w:t>
      </w:r>
    </w:p>
    <w:p w:rsidR="00C24DF3" w:rsidRPr="00A23A1F" w:rsidRDefault="00C24DF3" w:rsidP="005E0D82">
      <w:pPr>
        <w:spacing w:after="0" w:line="360" w:lineRule="auto"/>
        <w:rPr>
          <w:rFonts w:ascii="Times New Roman" w:hAnsi="Times New Roman" w:cs="Times New Roman"/>
          <w:sz w:val="28"/>
          <w:szCs w:val="28"/>
        </w:rPr>
      </w:pPr>
      <w:r w:rsidRPr="00A23A1F">
        <w:rPr>
          <w:rFonts w:ascii="Times New Roman" w:hAnsi="Times New Roman" w:cs="Times New Roman"/>
          <w:sz w:val="28"/>
          <w:szCs w:val="28"/>
        </w:rPr>
        <w:t>По результатам анализа, достоверными факторами высокого риска злокачественной трансформации глиом головного мозга являются: возраст (</w:t>
      </w:r>
      <w:r w:rsidRPr="00A23A1F">
        <w:rPr>
          <w:rFonts w:ascii="Times New Roman" w:hAnsi="Times New Roman" w:cs="Times New Roman"/>
          <w:sz w:val="28"/>
          <w:szCs w:val="28"/>
          <w:lang w:val="en-US"/>
        </w:rPr>
        <w:t>p</w:t>
      </w:r>
      <w:r w:rsidRPr="00A23A1F">
        <w:rPr>
          <w:rFonts w:ascii="Times New Roman" w:hAnsi="Times New Roman" w:cs="Times New Roman"/>
          <w:sz w:val="28"/>
          <w:szCs w:val="28"/>
        </w:rPr>
        <w:t xml:space="preserve">=0,009), уровень экспрессии генов: </w:t>
      </w:r>
      <w:r w:rsidRPr="00A23A1F">
        <w:rPr>
          <w:rFonts w:ascii="Times New Roman" w:hAnsi="Times New Roman" w:cs="Times New Roman"/>
          <w:sz w:val="28"/>
          <w:szCs w:val="28"/>
          <w:lang w:val="en-US"/>
        </w:rPr>
        <w:t>MGMT</w:t>
      </w:r>
      <w:r w:rsidRPr="00A23A1F">
        <w:rPr>
          <w:rFonts w:ascii="Times New Roman" w:hAnsi="Times New Roman" w:cs="Times New Roman"/>
          <w:sz w:val="28"/>
          <w:szCs w:val="28"/>
        </w:rPr>
        <w:t xml:space="preserve"> (р=0,003), </w:t>
      </w:r>
      <w:r w:rsidRPr="00A23A1F">
        <w:rPr>
          <w:rFonts w:ascii="Times New Roman" w:hAnsi="Times New Roman" w:cs="Times New Roman"/>
          <w:sz w:val="28"/>
          <w:szCs w:val="28"/>
          <w:lang w:val="en-US"/>
        </w:rPr>
        <w:t>TP</w:t>
      </w:r>
      <w:r w:rsidRPr="00A23A1F">
        <w:rPr>
          <w:rFonts w:ascii="Times New Roman" w:hAnsi="Times New Roman" w:cs="Times New Roman"/>
          <w:sz w:val="28"/>
          <w:szCs w:val="28"/>
        </w:rPr>
        <w:t xml:space="preserve"> (р=0,023), </w:t>
      </w:r>
      <w:r w:rsidRPr="00A23A1F">
        <w:rPr>
          <w:rFonts w:ascii="Times New Roman" w:hAnsi="Times New Roman" w:cs="Times New Roman"/>
          <w:sz w:val="28"/>
          <w:szCs w:val="28"/>
          <w:lang w:val="en-US"/>
        </w:rPr>
        <w:t>VEGF</w:t>
      </w:r>
      <w:r w:rsidRPr="00A23A1F">
        <w:rPr>
          <w:rFonts w:ascii="Times New Roman" w:hAnsi="Times New Roman" w:cs="Times New Roman"/>
          <w:sz w:val="28"/>
          <w:szCs w:val="28"/>
        </w:rPr>
        <w:t xml:space="preserve"> (р=0,054) (рис. 17). Остальные факторы не показали статистического влияния на риск злокачественной трансформации.</w:t>
      </w:r>
    </w:p>
    <w:p w:rsidR="00A23A1F" w:rsidRPr="00A23A1F" w:rsidRDefault="00A23A1F" w:rsidP="005E0D82">
      <w:pPr>
        <w:keepNext/>
        <w:spacing w:after="0" w:line="360" w:lineRule="auto"/>
        <w:rPr>
          <w:rFonts w:ascii="Times New Roman" w:hAnsi="Times New Roman" w:cs="Times New Roman"/>
          <w:sz w:val="28"/>
          <w:szCs w:val="28"/>
        </w:rPr>
      </w:pPr>
      <w:r w:rsidRPr="00A23A1F">
        <w:rPr>
          <w:rFonts w:ascii="Times New Roman" w:hAnsi="Times New Roman" w:cs="Times New Roman"/>
          <w:noProof/>
          <w:sz w:val="28"/>
          <w:szCs w:val="28"/>
          <w:lang w:eastAsia="ru-RU" w:bidi="he-IL"/>
        </w:rPr>
        <w:drawing>
          <wp:inline distT="0" distB="0" distL="0" distR="0" wp14:anchorId="2F577C2A" wp14:editId="4A431812">
            <wp:extent cx="6153940" cy="4625340"/>
            <wp:effectExtent l="19050" t="19050" r="0" b="3810"/>
            <wp:docPr id="6" name="plot" descr="/var/folders/0v/ch_dk4fj4x5cqppxf3hjgpym0000gn/T/com.microsoft.Word/WebArchiveCopyPasteTempFiles/plot_zoom_png?width=892&amp;height=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ot" descr="/var/folders/0v/ch_dk4fj4x5cqppxf3hjgpym0000gn/T/com.microsoft.Word/WebArchiveCopyPasteTempFiles/plot_zoom_png?width=892&amp;height=761"/>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166516" cy="4634792"/>
                    </a:xfrm>
                    <a:prstGeom prst="rect">
                      <a:avLst/>
                    </a:prstGeom>
                    <a:noFill/>
                    <a:ln>
                      <a:solidFill>
                        <a:schemeClr val="accent1">
                          <a:lumMod val="50000"/>
                        </a:schemeClr>
                      </a:solidFill>
                    </a:ln>
                    <a:extLst/>
                  </pic:spPr>
                </pic:pic>
              </a:graphicData>
            </a:graphic>
          </wp:inline>
        </w:drawing>
      </w:r>
    </w:p>
    <w:p w:rsidR="00A23A1F" w:rsidRPr="00A23A1F" w:rsidRDefault="00A23A1F" w:rsidP="005E0D82">
      <w:pPr>
        <w:pStyle w:val="ae"/>
        <w:spacing w:after="0" w:line="360" w:lineRule="auto"/>
        <w:rPr>
          <w:rFonts w:ascii="Times New Roman" w:hAnsi="Times New Roman" w:cs="Times New Roman"/>
          <w:sz w:val="28"/>
          <w:szCs w:val="28"/>
        </w:rPr>
      </w:pPr>
      <w:r w:rsidRPr="00A23A1F">
        <w:rPr>
          <w:rFonts w:ascii="Times New Roman" w:hAnsi="Times New Roman" w:cs="Times New Roman"/>
          <w:sz w:val="28"/>
          <w:szCs w:val="28"/>
        </w:rPr>
        <w:t xml:space="preserve">Рисунок </w:t>
      </w:r>
      <w:r w:rsidRPr="00A23A1F">
        <w:rPr>
          <w:rFonts w:ascii="Times New Roman" w:hAnsi="Times New Roman" w:cs="Times New Roman"/>
          <w:sz w:val="28"/>
          <w:szCs w:val="28"/>
        </w:rPr>
        <w:fldChar w:fldCharType="begin"/>
      </w:r>
      <w:r w:rsidRPr="00A23A1F">
        <w:rPr>
          <w:rFonts w:ascii="Times New Roman" w:hAnsi="Times New Roman" w:cs="Times New Roman"/>
          <w:sz w:val="28"/>
          <w:szCs w:val="28"/>
        </w:rPr>
        <w:instrText xml:space="preserve"> SEQ Рисунок \* ARABIC </w:instrText>
      </w:r>
      <w:r w:rsidRPr="00A23A1F">
        <w:rPr>
          <w:rFonts w:ascii="Times New Roman" w:hAnsi="Times New Roman" w:cs="Times New Roman"/>
          <w:sz w:val="28"/>
          <w:szCs w:val="28"/>
        </w:rPr>
        <w:fldChar w:fldCharType="separate"/>
      </w:r>
      <w:r w:rsidR="005F175D">
        <w:rPr>
          <w:rFonts w:ascii="Times New Roman" w:hAnsi="Times New Roman" w:cs="Times New Roman"/>
          <w:noProof/>
          <w:sz w:val="28"/>
          <w:szCs w:val="28"/>
        </w:rPr>
        <w:t>20</w:t>
      </w:r>
      <w:r w:rsidRPr="00A23A1F">
        <w:rPr>
          <w:rFonts w:ascii="Times New Roman" w:hAnsi="Times New Roman" w:cs="Times New Roman"/>
          <w:sz w:val="28"/>
          <w:szCs w:val="28"/>
        </w:rPr>
        <w:fldChar w:fldCharType="end"/>
      </w:r>
      <w:r w:rsidRPr="00A23A1F">
        <w:rPr>
          <w:rFonts w:ascii="Times New Roman" w:hAnsi="Times New Roman" w:cs="Times New Roman"/>
          <w:sz w:val="28"/>
          <w:szCs w:val="28"/>
        </w:rPr>
        <w:t>. Многофакторный анализ риска наступления ЗТ</w:t>
      </w:r>
    </w:p>
    <w:p w:rsidR="00130234" w:rsidRPr="00A23A1F" w:rsidRDefault="00C24DF3" w:rsidP="005E0D82">
      <w:pPr>
        <w:spacing w:after="0" w:line="360" w:lineRule="auto"/>
        <w:rPr>
          <w:rFonts w:ascii="Times New Roman" w:hAnsi="Times New Roman" w:cs="Times New Roman"/>
          <w:sz w:val="28"/>
          <w:szCs w:val="28"/>
        </w:rPr>
      </w:pPr>
      <w:r w:rsidRPr="00A23A1F">
        <w:rPr>
          <w:rFonts w:ascii="Times New Roman" w:hAnsi="Times New Roman" w:cs="Times New Roman"/>
          <w:sz w:val="28"/>
          <w:szCs w:val="28"/>
        </w:rPr>
        <w:t xml:space="preserve">Кроме того, был проведен линейный анализ </w:t>
      </w:r>
      <w:r w:rsidR="00A23A1F" w:rsidRPr="00A23A1F">
        <w:rPr>
          <w:rFonts w:ascii="Times New Roman" w:hAnsi="Times New Roman" w:cs="Times New Roman"/>
          <w:sz w:val="28"/>
          <w:szCs w:val="28"/>
        </w:rPr>
        <w:t xml:space="preserve">риска наступления злокачественной трансформации. Согласно результатам анализа, </w:t>
      </w:r>
      <w:r w:rsidR="00A23A1F" w:rsidRPr="00A23A1F">
        <w:rPr>
          <w:rFonts w:ascii="Times New Roman" w:hAnsi="Times New Roman" w:cs="Times New Roman"/>
          <w:sz w:val="28"/>
          <w:szCs w:val="28"/>
        </w:rPr>
        <w:lastRenderedPageBreak/>
        <w:t>факторами высокого риска злокачественной трансформации являются: накопление контраста опухолью на МРТ (</w:t>
      </w:r>
      <w:r w:rsidR="00A23A1F" w:rsidRPr="00A23A1F">
        <w:rPr>
          <w:rFonts w:ascii="Times New Roman" w:hAnsi="Times New Roman" w:cs="Times New Roman"/>
          <w:sz w:val="28"/>
          <w:szCs w:val="28"/>
          <w:lang w:val="en-US"/>
        </w:rPr>
        <w:t>p</w:t>
      </w:r>
      <w:r w:rsidR="00A23A1F" w:rsidRPr="00A23A1F">
        <w:rPr>
          <w:rFonts w:ascii="Times New Roman" w:hAnsi="Times New Roman" w:cs="Times New Roman"/>
          <w:sz w:val="28"/>
          <w:szCs w:val="28"/>
        </w:rPr>
        <w:t>=0,0014), размер опухоли (р=0,045) (рис. 18).</w:t>
      </w:r>
    </w:p>
    <w:p w:rsidR="00A23A1F" w:rsidRDefault="00A23A1F" w:rsidP="005E0D82">
      <w:pPr>
        <w:keepNext/>
        <w:spacing w:after="0" w:line="360" w:lineRule="auto"/>
      </w:pPr>
      <w:r w:rsidRPr="00A23A1F">
        <w:rPr>
          <w:noProof/>
          <w:lang w:eastAsia="ru-RU" w:bidi="he-IL"/>
        </w:rPr>
        <w:drawing>
          <wp:inline distT="0" distB="0" distL="0" distR="0" wp14:anchorId="0AFF48F4" wp14:editId="7E9E6705">
            <wp:extent cx="6217920" cy="4673426"/>
            <wp:effectExtent l="0" t="0" r="0" b="0"/>
            <wp:docPr id="8" name="plot" descr="/var/folders/0v/ch_dk4fj4x5cqppxf3hjgpym0000gn/T/com.microsoft.Word/WebArchiveCopyPasteTempFiles/plot_zoom_png?width=892&amp;height=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ot" descr="/var/folders/0v/ch_dk4fj4x5cqppxf3hjgpym0000gn/T/com.microsoft.Word/WebArchiveCopyPasteTempFiles/plot_zoom_png?width=892&amp;height=761"/>
                    <pic:cNvPicPr>
                      <a:picLocks noChangeAspect="1" noChangeArrowheads="1"/>
                    </pic:cNvPicPr>
                  </pic:nvPicPr>
                  <pic:blipFill>
                    <a:blip r:embed="rId31" r:link="rId30">
                      <a:extLst>
                        <a:ext uri="{28A0092B-C50C-407E-A947-70E740481C1C}">
                          <a14:useLocalDpi xmlns:a14="http://schemas.microsoft.com/office/drawing/2010/main" val="0"/>
                        </a:ext>
                      </a:extLst>
                    </a:blip>
                    <a:srcRect/>
                    <a:stretch>
                      <a:fillRect/>
                    </a:stretch>
                  </pic:blipFill>
                  <pic:spPr bwMode="auto">
                    <a:xfrm>
                      <a:off x="0" y="0"/>
                      <a:ext cx="6227920" cy="4680942"/>
                    </a:xfrm>
                    <a:prstGeom prst="rect">
                      <a:avLst/>
                    </a:prstGeom>
                    <a:noFill/>
                    <a:extLst/>
                  </pic:spPr>
                </pic:pic>
              </a:graphicData>
            </a:graphic>
          </wp:inline>
        </w:drawing>
      </w:r>
    </w:p>
    <w:p w:rsidR="00A23A1F" w:rsidRDefault="00A23A1F" w:rsidP="005E0D82">
      <w:pPr>
        <w:pStyle w:val="ae"/>
        <w:spacing w:after="0" w:line="360" w:lineRule="auto"/>
      </w:pPr>
      <w:r>
        <w:t xml:space="preserve">Рисунок </w:t>
      </w:r>
      <w:fldSimple w:instr=" SEQ Рисунок \* ARABIC ">
        <w:r w:rsidR="005F175D">
          <w:rPr>
            <w:noProof/>
          </w:rPr>
          <w:t>21</w:t>
        </w:r>
      </w:fldSimple>
      <w:r>
        <w:t>. Линейный анализ риска наступления ЗТ в зависимости от накопления контраста опухолью на МРТ</w:t>
      </w:r>
    </w:p>
    <w:p w:rsidR="00563DEA" w:rsidRDefault="00563DEA" w:rsidP="005E0D82">
      <w:pPr>
        <w:spacing w:after="0" w:line="360" w:lineRule="auto"/>
        <w:rPr>
          <w:rFonts w:ascii="Times New Roman" w:hAnsi="Times New Roman" w:cs="Times New Roman"/>
          <w:sz w:val="28"/>
          <w:szCs w:val="28"/>
        </w:rPr>
      </w:pPr>
    </w:p>
    <w:p w:rsidR="00563DEA" w:rsidRPr="00563DEA" w:rsidRDefault="00563DEA" w:rsidP="005E0D82">
      <w:pPr>
        <w:spacing w:after="0" w:line="360" w:lineRule="auto"/>
        <w:rPr>
          <w:rFonts w:ascii="Times New Roman" w:hAnsi="Times New Roman" w:cs="Times New Roman"/>
          <w:sz w:val="28"/>
          <w:szCs w:val="28"/>
        </w:rPr>
      </w:pPr>
    </w:p>
    <w:p w:rsidR="00563DEA" w:rsidRPr="0039083C" w:rsidRDefault="00563DEA" w:rsidP="005E0D82">
      <w:pPr>
        <w:spacing w:after="0" w:line="360" w:lineRule="auto"/>
        <w:rPr>
          <w:rFonts w:ascii="Times New Roman" w:hAnsi="Times New Roman" w:cs="Times New Roman"/>
          <w:sz w:val="28"/>
          <w:szCs w:val="28"/>
        </w:rPr>
      </w:pPr>
    </w:p>
    <w:p w:rsidR="002E124D" w:rsidRPr="00ED5119" w:rsidRDefault="002E124D" w:rsidP="005E0D82">
      <w:pPr>
        <w:spacing w:after="0" w:line="360" w:lineRule="auto"/>
        <w:rPr>
          <w:rFonts w:ascii="Times New Roman" w:hAnsi="Times New Roman" w:cs="Times New Roman"/>
          <w:sz w:val="28"/>
          <w:szCs w:val="28"/>
        </w:rPr>
      </w:pPr>
      <w:r w:rsidRPr="00ED5119">
        <w:rPr>
          <w:rFonts w:ascii="Times New Roman" w:hAnsi="Times New Roman" w:cs="Times New Roman"/>
          <w:sz w:val="28"/>
          <w:szCs w:val="28"/>
        </w:rPr>
        <w:br w:type="page"/>
      </w:r>
    </w:p>
    <w:p w:rsidR="00B6229A" w:rsidRPr="00ED5119" w:rsidRDefault="00B6229A" w:rsidP="005E0D82">
      <w:pPr>
        <w:spacing w:after="0" w:line="360" w:lineRule="auto"/>
        <w:rPr>
          <w:rFonts w:ascii="Times New Roman" w:hAnsi="Times New Roman" w:cs="Times New Roman"/>
          <w:sz w:val="28"/>
          <w:szCs w:val="28"/>
        </w:rPr>
      </w:pPr>
    </w:p>
    <w:p w:rsidR="00FC51C4" w:rsidRPr="00ED5119" w:rsidRDefault="00FC51C4" w:rsidP="005E0D82">
      <w:pPr>
        <w:pStyle w:val="1"/>
        <w:spacing w:before="0" w:after="0"/>
        <w:rPr>
          <w:rFonts w:cs="Times New Roman"/>
        </w:rPr>
      </w:pPr>
      <w:bookmarkStart w:id="69" w:name="_Toc419408721"/>
      <w:bookmarkStart w:id="70" w:name="_Toc9031284"/>
      <w:bookmarkStart w:id="71" w:name="_Toc9250617"/>
      <w:r w:rsidRPr="00ED5119">
        <w:rPr>
          <w:rFonts w:cs="Times New Roman"/>
        </w:rPr>
        <w:t>Глава 4. Заключение</w:t>
      </w:r>
      <w:bookmarkEnd w:id="69"/>
      <w:bookmarkEnd w:id="70"/>
      <w:bookmarkEnd w:id="71"/>
    </w:p>
    <w:p w:rsidR="00F4208B" w:rsidRPr="00ED5119" w:rsidRDefault="00F4208B" w:rsidP="005E0D82">
      <w:pPr>
        <w:spacing w:line="360" w:lineRule="auto"/>
        <w:rPr>
          <w:rFonts w:ascii="Times New Roman" w:hAnsi="Times New Roman" w:cs="Times New Roman"/>
          <w:sz w:val="28"/>
          <w:szCs w:val="28"/>
        </w:rPr>
      </w:pPr>
      <w:r w:rsidRPr="00ED5119">
        <w:rPr>
          <w:rFonts w:ascii="Times New Roman" w:hAnsi="Times New Roman" w:cs="Times New Roman"/>
          <w:sz w:val="28"/>
          <w:szCs w:val="28"/>
        </w:rPr>
        <w:t>1.  Част</w:t>
      </w:r>
      <w:r w:rsidR="004F562B" w:rsidRPr="00ED5119">
        <w:rPr>
          <w:rFonts w:ascii="Times New Roman" w:hAnsi="Times New Roman" w:cs="Times New Roman"/>
          <w:sz w:val="28"/>
          <w:szCs w:val="28"/>
        </w:rPr>
        <w:t>от</w:t>
      </w:r>
      <w:r w:rsidRPr="00ED5119">
        <w:rPr>
          <w:rFonts w:ascii="Times New Roman" w:hAnsi="Times New Roman" w:cs="Times New Roman"/>
          <w:sz w:val="28"/>
          <w:szCs w:val="28"/>
        </w:rPr>
        <w:t xml:space="preserve">а встречаемости мутации </w:t>
      </w:r>
      <w:r w:rsidRPr="00ED5119">
        <w:rPr>
          <w:rFonts w:ascii="Times New Roman" w:hAnsi="Times New Roman" w:cs="Times New Roman"/>
          <w:sz w:val="28"/>
          <w:szCs w:val="28"/>
          <w:lang w:val="en-US"/>
        </w:rPr>
        <w:t>IDH</w:t>
      </w:r>
      <w:r w:rsidRPr="00ED5119">
        <w:rPr>
          <w:rFonts w:ascii="Times New Roman" w:hAnsi="Times New Roman" w:cs="Times New Roman"/>
          <w:sz w:val="28"/>
          <w:szCs w:val="28"/>
        </w:rPr>
        <w:t xml:space="preserve"> в ДА</w:t>
      </w:r>
      <w:r w:rsidRPr="00ED5119">
        <w:rPr>
          <w:rFonts w:ascii="Times New Roman" w:hAnsi="Times New Roman" w:cs="Times New Roman"/>
          <w:sz w:val="28"/>
          <w:szCs w:val="28"/>
          <w:lang w:val="en-US"/>
        </w:rPr>
        <w:t>GII</w:t>
      </w:r>
      <w:r w:rsidRPr="00ED5119">
        <w:rPr>
          <w:rFonts w:ascii="Times New Roman" w:hAnsi="Times New Roman" w:cs="Times New Roman"/>
          <w:sz w:val="28"/>
          <w:szCs w:val="28"/>
        </w:rPr>
        <w:t xml:space="preserve"> составила - </w:t>
      </w:r>
      <w:r w:rsidR="004F562B" w:rsidRPr="00ED5119">
        <w:rPr>
          <w:rFonts w:ascii="Times New Roman" w:hAnsi="Times New Roman" w:cs="Times New Roman"/>
          <w:sz w:val="28"/>
          <w:szCs w:val="28"/>
        </w:rPr>
        <w:t>79</w:t>
      </w:r>
      <w:r w:rsidRPr="00ED5119">
        <w:rPr>
          <w:rFonts w:ascii="Times New Roman" w:hAnsi="Times New Roman" w:cs="Times New Roman"/>
          <w:sz w:val="28"/>
          <w:szCs w:val="28"/>
        </w:rPr>
        <w:t>%, ОДГ</w:t>
      </w:r>
      <w:r w:rsidRPr="00ED5119">
        <w:rPr>
          <w:rFonts w:ascii="Times New Roman" w:hAnsi="Times New Roman" w:cs="Times New Roman"/>
          <w:sz w:val="28"/>
          <w:szCs w:val="28"/>
          <w:lang w:val="en-US"/>
        </w:rPr>
        <w:t>GII</w:t>
      </w:r>
      <w:r w:rsidRPr="00ED5119">
        <w:rPr>
          <w:rFonts w:ascii="Times New Roman" w:hAnsi="Times New Roman" w:cs="Times New Roman"/>
          <w:sz w:val="28"/>
          <w:szCs w:val="28"/>
        </w:rPr>
        <w:t xml:space="preserve"> -  100%, АА</w:t>
      </w:r>
      <w:r w:rsidRPr="00ED5119">
        <w:rPr>
          <w:rFonts w:ascii="Times New Roman" w:hAnsi="Times New Roman" w:cs="Times New Roman"/>
          <w:sz w:val="28"/>
          <w:szCs w:val="28"/>
          <w:lang w:val="en-US"/>
        </w:rPr>
        <w:t>GIII</w:t>
      </w:r>
      <w:r w:rsidRPr="00ED5119">
        <w:rPr>
          <w:rFonts w:ascii="Times New Roman" w:hAnsi="Times New Roman" w:cs="Times New Roman"/>
          <w:sz w:val="28"/>
          <w:szCs w:val="28"/>
        </w:rPr>
        <w:t xml:space="preserve"> – </w:t>
      </w:r>
      <w:r w:rsidR="004F562B" w:rsidRPr="00ED5119">
        <w:rPr>
          <w:rFonts w:ascii="Times New Roman" w:hAnsi="Times New Roman" w:cs="Times New Roman"/>
          <w:sz w:val="28"/>
          <w:szCs w:val="28"/>
        </w:rPr>
        <w:t>60</w:t>
      </w:r>
      <w:r w:rsidRPr="00ED5119">
        <w:rPr>
          <w:rFonts w:ascii="Times New Roman" w:hAnsi="Times New Roman" w:cs="Times New Roman"/>
          <w:sz w:val="28"/>
          <w:szCs w:val="28"/>
        </w:rPr>
        <w:t>% , АОДГ</w:t>
      </w:r>
      <w:r w:rsidRPr="00ED5119">
        <w:rPr>
          <w:rFonts w:ascii="Times New Roman" w:hAnsi="Times New Roman" w:cs="Times New Roman"/>
          <w:sz w:val="28"/>
          <w:szCs w:val="28"/>
          <w:lang w:val="en-US"/>
        </w:rPr>
        <w:t>GIII</w:t>
      </w:r>
      <w:r w:rsidRPr="00ED5119">
        <w:rPr>
          <w:rFonts w:ascii="Times New Roman" w:hAnsi="Times New Roman" w:cs="Times New Roman"/>
          <w:sz w:val="28"/>
          <w:szCs w:val="28"/>
        </w:rPr>
        <w:t xml:space="preserve"> - </w:t>
      </w:r>
      <w:r w:rsidR="004F562B" w:rsidRPr="00ED5119">
        <w:rPr>
          <w:rFonts w:ascii="Times New Roman" w:hAnsi="Times New Roman" w:cs="Times New Roman"/>
          <w:sz w:val="28"/>
          <w:szCs w:val="28"/>
        </w:rPr>
        <w:t>86</w:t>
      </w:r>
      <w:r w:rsidRPr="00ED5119">
        <w:rPr>
          <w:rFonts w:ascii="Times New Roman" w:hAnsi="Times New Roman" w:cs="Times New Roman"/>
          <w:sz w:val="28"/>
          <w:szCs w:val="28"/>
        </w:rPr>
        <w:t>%. Част</w:t>
      </w:r>
      <w:r w:rsidR="004F562B" w:rsidRPr="00ED5119">
        <w:rPr>
          <w:rFonts w:ascii="Times New Roman" w:hAnsi="Times New Roman" w:cs="Times New Roman"/>
          <w:sz w:val="28"/>
          <w:szCs w:val="28"/>
        </w:rPr>
        <w:t>от</w:t>
      </w:r>
      <w:r w:rsidRPr="00ED5119">
        <w:rPr>
          <w:rFonts w:ascii="Times New Roman" w:hAnsi="Times New Roman" w:cs="Times New Roman"/>
          <w:sz w:val="28"/>
          <w:szCs w:val="28"/>
        </w:rPr>
        <w:t>а встречаемости ко-делеции 1</w:t>
      </w:r>
      <w:r w:rsidRPr="00ED5119">
        <w:rPr>
          <w:rFonts w:ascii="Times New Roman" w:hAnsi="Times New Roman" w:cs="Times New Roman"/>
          <w:sz w:val="28"/>
          <w:szCs w:val="28"/>
          <w:lang w:val="en-US"/>
        </w:rPr>
        <w:t>p</w:t>
      </w:r>
      <w:r w:rsidRPr="00ED5119">
        <w:rPr>
          <w:rFonts w:ascii="Times New Roman" w:hAnsi="Times New Roman" w:cs="Times New Roman"/>
          <w:sz w:val="28"/>
          <w:szCs w:val="28"/>
        </w:rPr>
        <w:t>19</w:t>
      </w:r>
      <w:r w:rsidRPr="00ED5119">
        <w:rPr>
          <w:rFonts w:ascii="Times New Roman" w:hAnsi="Times New Roman" w:cs="Times New Roman"/>
          <w:sz w:val="28"/>
          <w:szCs w:val="28"/>
          <w:lang w:val="en-US"/>
        </w:rPr>
        <w:t>q</w:t>
      </w:r>
      <w:r w:rsidRPr="00ED5119">
        <w:rPr>
          <w:rFonts w:ascii="Times New Roman" w:hAnsi="Times New Roman" w:cs="Times New Roman"/>
          <w:sz w:val="28"/>
          <w:szCs w:val="28"/>
        </w:rPr>
        <w:t xml:space="preserve"> в ДА</w:t>
      </w:r>
      <w:r w:rsidRPr="00ED5119">
        <w:rPr>
          <w:rFonts w:ascii="Times New Roman" w:hAnsi="Times New Roman" w:cs="Times New Roman"/>
          <w:sz w:val="28"/>
          <w:szCs w:val="28"/>
          <w:lang w:val="en-US"/>
        </w:rPr>
        <w:t>GII</w:t>
      </w:r>
      <w:r w:rsidRPr="00ED5119">
        <w:rPr>
          <w:rFonts w:ascii="Times New Roman" w:hAnsi="Times New Roman" w:cs="Times New Roman"/>
          <w:sz w:val="28"/>
          <w:szCs w:val="28"/>
        </w:rPr>
        <w:t xml:space="preserve"> составила - 19%, ОДГ</w:t>
      </w:r>
      <w:r w:rsidRPr="00ED5119">
        <w:rPr>
          <w:rFonts w:ascii="Times New Roman" w:hAnsi="Times New Roman" w:cs="Times New Roman"/>
          <w:sz w:val="28"/>
          <w:szCs w:val="28"/>
          <w:lang w:val="en-US"/>
        </w:rPr>
        <w:t>GII</w:t>
      </w:r>
      <w:r w:rsidRPr="00ED5119">
        <w:rPr>
          <w:rFonts w:ascii="Times New Roman" w:hAnsi="Times New Roman" w:cs="Times New Roman"/>
          <w:sz w:val="28"/>
          <w:szCs w:val="28"/>
        </w:rPr>
        <w:t xml:space="preserve"> -  100%, АА</w:t>
      </w:r>
      <w:r w:rsidRPr="00ED5119">
        <w:rPr>
          <w:rFonts w:ascii="Times New Roman" w:hAnsi="Times New Roman" w:cs="Times New Roman"/>
          <w:sz w:val="28"/>
          <w:szCs w:val="28"/>
          <w:lang w:val="en-US"/>
        </w:rPr>
        <w:t>GIII</w:t>
      </w:r>
      <w:r w:rsidRPr="00ED5119">
        <w:rPr>
          <w:rFonts w:ascii="Times New Roman" w:hAnsi="Times New Roman" w:cs="Times New Roman"/>
          <w:sz w:val="28"/>
          <w:szCs w:val="28"/>
        </w:rPr>
        <w:t xml:space="preserve"> – 17% , АОДГ</w:t>
      </w:r>
      <w:r w:rsidRPr="00ED5119">
        <w:rPr>
          <w:rFonts w:ascii="Times New Roman" w:hAnsi="Times New Roman" w:cs="Times New Roman"/>
          <w:sz w:val="28"/>
          <w:szCs w:val="28"/>
          <w:lang w:val="en-US"/>
        </w:rPr>
        <w:t>GIII</w:t>
      </w:r>
      <w:r w:rsidR="004F562B" w:rsidRPr="00ED5119">
        <w:rPr>
          <w:rFonts w:ascii="Times New Roman" w:hAnsi="Times New Roman" w:cs="Times New Roman"/>
          <w:sz w:val="28"/>
          <w:szCs w:val="28"/>
        </w:rPr>
        <w:t xml:space="preserve"> - 100%.</w:t>
      </w:r>
    </w:p>
    <w:p w:rsidR="004F562B" w:rsidRPr="00ED5119" w:rsidRDefault="004F562B" w:rsidP="005E0D82">
      <w:pPr>
        <w:spacing w:line="360" w:lineRule="auto"/>
        <w:rPr>
          <w:rFonts w:ascii="Times New Roman" w:hAnsi="Times New Roman" w:cs="Times New Roman"/>
          <w:sz w:val="28"/>
          <w:szCs w:val="28"/>
        </w:rPr>
      </w:pPr>
      <w:r w:rsidRPr="00ED5119">
        <w:rPr>
          <w:rFonts w:ascii="Times New Roman" w:hAnsi="Times New Roman" w:cs="Times New Roman"/>
          <w:sz w:val="28"/>
          <w:szCs w:val="28"/>
        </w:rPr>
        <w:t>2.  Рецидив первичной опухоли наблюдался в ДА</w:t>
      </w:r>
      <w:r w:rsidRPr="00ED5119">
        <w:rPr>
          <w:rFonts w:ascii="Times New Roman" w:hAnsi="Times New Roman" w:cs="Times New Roman"/>
          <w:sz w:val="28"/>
          <w:szCs w:val="28"/>
          <w:lang w:val="en-US"/>
        </w:rPr>
        <w:t>GII</w:t>
      </w:r>
      <w:r w:rsidRPr="00ED5119">
        <w:rPr>
          <w:rFonts w:ascii="Times New Roman" w:hAnsi="Times New Roman" w:cs="Times New Roman"/>
          <w:sz w:val="28"/>
          <w:szCs w:val="28"/>
        </w:rPr>
        <w:t xml:space="preserve"> наблюдался в 69%, ОДГ</w:t>
      </w:r>
      <w:r w:rsidRPr="00ED5119">
        <w:rPr>
          <w:rFonts w:ascii="Times New Roman" w:hAnsi="Times New Roman" w:cs="Times New Roman"/>
          <w:sz w:val="28"/>
          <w:szCs w:val="28"/>
          <w:lang w:val="en-US"/>
        </w:rPr>
        <w:t>GII</w:t>
      </w:r>
      <w:r w:rsidRPr="00ED5119">
        <w:rPr>
          <w:rFonts w:ascii="Times New Roman" w:hAnsi="Times New Roman" w:cs="Times New Roman"/>
          <w:sz w:val="28"/>
          <w:szCs w:val="28"/>
        </w:rPr>
        <w:t xml:space="preserve"> </w:t>
      </w:r>
      <w:r w:rsidRPr="00ED5119">
        <w:rPr>
          <w:rFonts w:ascii="Times New Roman" w:hAnsi="Times New Roman" w:cs="Times New Roman"/>
          <w:sz w:val="28"/>
          <w:szCs w:val="28"/>
          <w:cs/>
          <w:lang w:bidi="mr-IN"/>
        </w:rPr>
        <w:t>–</w:t>
      </w:r>
      <w:r w:rsidRPr="00ED5119">
        <w:rPr>
          <w:rFonts w:ascii="Times New Roman" w:hAnsi="Times New Roman" w:cs="Times New Roman"/>
          <w:sz w:val="28"/>
          <w:szCs w:val="28"/>
        </w:rPr>
        <w:t xml:space="preserve"> в 100 %, в АА</w:t>
      </w:r>
      <w:r w:rsidRPr="00ED5119">
        <w:rPr>
          <w:rFonts w:ascii="Times New Roman" w:hAnsi="Times New Roman" w:cs="Times New Roman"/>
          <w:sz w:val="28"/>
          <w:szCs w:val="28"/>
          <w:lang w:val="en-US"/>
        </w:rPr>
        <w:t>GIII</w:t>
      </w:r>
      <w:r w:rsidRPr="00ED5119">
        <w:rPr>
          <w:rFonts w:ascii="Times New Roman" w:hAnsi="Times New Roman" w:cs="Times New Roman"/>
          <w:sz w:val="28"/>
          <w:szCs w:val="28"/>
        </w:rPr>
        <w:t xml:space="preserve"> </w:t>
      </w:r>
      <w:r w:rsidRPr="00ED5119">
        <w:rPr>
          <w:rFonts w:ascii="Times New Roman" w:hAnsi="Times New Roman" w:cs="Times New Roman"/>
          <w:sz w:val="28"/>
          <w:szCs w:val="28"/>
          <w:cs/>
          <w:lang w:bidi="mr-IN"/>
        </w:rPr>
        <w:t>–</w:t>
      </w:r>
      <w:r w:rsidRPr="00ED5119">
        <w:rPr>
          <w:rFonts w:ascii="Times New Roman" w:hAnsi="Times New Roman" w:cs="Times New Roman"/>
          <w:sz w:val="28"/>
          <w:szCs w:val="28"/>
        </w:rPr>
        <w:t xml:space="preserve"> в 35%, в АОДГ</w:t>
      </w:r>
      <w:r w:rsidRPr="00ED5119">
        <w:rPr>
          <w:rFonts w:ascii="Times New Roman" w:hAnsi="Times New Roman" w:cs="Times New Roman"/>
          <w:sz w:val="28"/>
          <w:szCs w:val="28"/>
          <w:lang w:val="en-US"/>
        </w:rPr>
        <w:t>GIII</w:t>
      </w:r>
      <w:r w:rsidRPr="00ED5119">
        <w:rPr>
          <w:rFonts w:ascii="Times New Roman" w:hAnsi="Times New Roman" w:cs="Times New Roman"/>
          <w:sz w:val="28"/>
          <w:szCs w:val="28"/>
        </w:rPr>
        <w:t xml:space="preserve"> - 35%. Злокачественной трансформация в ДА</w:t>
      </w:r>
      <w:r w:rsidRPr="00ED5119">
        <w:rPr>
          <w:rFonts w:ascii="Times New Roman" w:hAnsi="Times New Roman" w:cs="Times New Roman"/>
          <w:sz w:val="28"/>
          <w:szCs w:val="28"/>
          <w:lang w:val="en-US"/>
        </w:rPr>
        <w:t>GII</w:t>
      </w:r>
      <w:r w:rsidRPr="00ED5119">
        <w:rPr>
          <w:rFonts w:ascii="Times New Roman" w:hAnsi="Times New Roman" w:cs="Times New Roman"/>
          <w:sz w:val="28"/>
          <w:szCs w:val="28"/>
        </w:rPr>
        <w:t xml:space="preserve"> наблюдалась в 95%, ОДГ</w:t>
      </w:r>
      <w:r w:rsidRPr="00ED5119">
        <w:rPr>
          <w:rFonts w:ascii="Times New Roman" w:hAnsi="Times New Roman" w:cs="Times New Roman"/>
          <w:sz w:val="28"/>
          <w:szCs w:val="28"/>
          <w:lang w:val="en-US"/>
        </w:rPr>
        <w:t>GII</w:t>
      </w:r>
      <w:r w:rsidRPr="00ED5119">
        <w:rPr>
          <w:rFonts w:ascii="Times New Roman" w:hAnsi="Times New Roman" w:cs="Times New Roman"/>
          <w:sz w:val="28"/>
          <w:szCs w:val="28"/>
        </w:rPr>
        <w:t xml:space="preserve"> </w:t>
      </w:r>
      <w:r w:rsidRPr="00ED5119">
        <w:rPr>
          <w:rFonts w:ascii="Times New Roman" w:hAnsi="Times New Roman" w:cs="Times New Roman"/>
          <w:sz w:val="28"/>
          <w:szCs w:val="28"/>
          <w:cs/>
          <w:lang w:bidi="mr-IN"/>
        </w:rPr>
        <w:t>–</w:t>
      </w:r>
      <w:r w:rsidRPr="00ED5119">
        <w:rPr>
          <w:rFonts w:ascii="Times New Roman" w:hAnsi="Times New Roman" w:cs="Times New Roman"/>
          <w:sz w:val="28"/>
          <w:szCs w:val="28"/>
        </w:rPr>
        <w:t xml:space="preserve"> в 100 %, в АА</w:t>
      </w:r>
      <w:r w:rsidRPr="00ED5119">
        <w:rPr>
          <w:rFonts w:ascii="Times New Roman" w:hAnsi="Times New Roman" w:cs="Times New Roman"/>
          <w:sz w:val="28"/>
          <w:szCs w:val="28"/>
          <w:lang w:val="en-US"/>
        </w:rPr>
        <w:t>GIII</w:t>
      </w:r>
      <w:r w:rsidRPr="00ED5119">
        <w:rPr>
          <w:rFonts w:ascii="Times New Roman" w:hAnsi="Times New Roman" w:cs="Times New Roman"/>
          <w:sz w:val="28"/>
          <w:szCs w:val="28"/>
        </w:rPr>
        <w:t xml:space="preserve"> </w:t>
      </w:r>
      <w:r w:rsidRPr="00ED5119">
        <w:rPr>
          <w:rFonts w:ascii="Times New Roman" w:hAnsi="Times New Roman" w:cs="Times New Roman"/>
          <w:sz w:val="28"/>
          <w:szCs w:val="28"/>
          <w:cs/>
          <w:lang w:bidi="mr-IN"/>
        </w:rPr>
        <w:t>–</w:t>
      </w:r>
      <w:r w:rsidRPr="00ED5119">
        <w:rPr>
          <w:rFonts w:ascii="Times New Roman" w:hAnsi="Times New Roman" w:cs="Times New Roman"/>
          <w:sz w:val="28"/>
          <w:szCs w:val="28"/>
        </w:rPr>
        <w:t xml:space="preserve"> в 69%, в АОДГ</w:t>
      </w:r>
      <w:r w:rsidRPr="00ED5119">
        <w:rPr>
          <w:rFonts w:ascii="Times New Roman" w:hAnsi="Times New Roman" w:cs="Times New Roman"/>
          <w:sz w:val="28"/>
          <w:szCs w:val="28"/>
          <w:lang w:val="en-US"/>
        </w:rPr>
        <w:t>GIII</w:t>
      </w:r>
      <w:r w:rsidRPr="00ED5119">
        <w:rPr>
          <w:rFonts w:ascii="Times New Roman" w:hAnsi="Times New Roman" w:cs="Times New Roman"/>
          <w:sz w:val="28"/>
          <w:szCs w:val="28"/>
        </w:rPr>
        <w:t xml:space="preserve"> - 20%.</w:t>
      </w:r>
    </w:p>
    <w:p w:rsidR="004F562B" w:rsidRPr="00ED5119" w:rsidRDefault="004F562B" w:rsidP="005E0D82">
      <w:pPr>
        <w:spacing w:line="360" w:lineRule="auto"/>
        <w:rPr>
          <w:rFonts w:ascii="Times New Roman" w:hAnsi="Times New Roman" w:cs="Times New Roman"/>
          <w:sz w:val="28"/>
          <w:szCs w:val="28"/>
        </w:rPr>
      </w:pPr>
      <w:r w:rsidRPr="00ED5119">
        <w:rPr>
          <w:rFonts w:ascii="Times New Roman" w:hAnsi="Times New Roman" w:cs="Times New Roman"/>
          <w:sz w:val="28"/>
          <w:szCs w:val="28"/>
        </w:rPr>
        <w:t>3. При многофакторном анализе на риск быстрой трансформации ДА</w:t>
      </w:r>
      <w:r w:rsidRPr="00ED5119">
        <w:rPr>
          <w:rFonts w:ascii="Times New Roman" w:hAnsi="Times New Roman" w:cs="Times New Roman"/>
          <w:sz w:val="28"/>
          <w:szCs w:val="28"/>
          <w:lang w:val="en-US"/>
        </w:rPr>
        <w:t>GII</w:t>
      </w:r>
      <w:r w:rsidRPr="00ED5119">
        <w:rPr>
          <w:rFonts w:ascii="Times New Roman" w:hAnsi="Times New Roman" w:cs="Times New Roman"/>
          <w:sz w:val="28"/>
          <w:szCs w:val="28"/>
        </w:rPr>
        <w:t xml:space="preserve"> в АА</w:t>
      </w:r>
      <w:r w:rsidRPr="00ED5119">
        <w:rPr>
          <w:rFonts w:ascii="Times New Roman" w:hAnsi="Times New Roman" w:cs="Times New Roman"/>
          <w:sz w:val="28"/>
          <w:szCs w:val="28"/>
          <w:lang w:val="en-US"/>
        </w:rPr>
        <w:t>GIII</w:t>
      </w:r>
      <w:r w:rsidRPr="00ED5119">
        <w:rPr>
          <w:rFonts w:ascii="Times New Roman" w:hAnsi="Times New Roman" w:cs="Times New Roman"/>
          <w:sz w:val="28"/>
          <w:szCs w:val="28"/>
        </w:rPr>
        <w:t xml:space="preserve"> или вторичную ГБ</w:t>
      </w:r>
      <w:r w:rsidRPr="00ED5119">
        <w:rPr>
          <w:rFonts w:ascii="Times New Roman" w:hAnsi="Times New Roman" w:cs="Times New Roman"/>
          <w:sz w:val="28"/>
          <w:szCs w:val="28"/>
          <w:lang w:val="en-US"/>
        </w:rPr>
        <w:t>GIV</w:t>
      </w:r>
      <w:r w:rsidRPr="00ED5119">
        <w:rPr>
          <w:rFonts w:ascii="Times New Roman" w:hAnsi="Times New Roman" w:cs="Times New Roman"/>
          <w:sz w:val="28"/>
          <w:szCs w:val="28"/>
        </w:rPr>
        <w:t xml:space="preserve"> оказали влияние возраст (</w:t>
      </w:r>
      <w:r w:rsidRPr="00ED5119">
        <w:rPr>
          <w:rFonts w:ascii="Times New Roman" w:hAnsi="Times New Roman" w:cs="Times New Roman"/>
          <w:sz w:val="28"/>
          <w:szCs w:val="28"/>
          <w:lang w:val="en-US"/>
        </w:rPr>
        <w:t>p</w:t>
      </w:r>
      <w:r w:rsidRPr="00ED5119">
        <w:rPr>
          <w:rFonts w:ascii="Times New Roman" w:hAnsi="Times New Roman" w:cs="Times New Roman"/>
          <w:sz w:val="28"/>
          <w:szCs w:val="28"/>
        </w:rPr>
        <w:t xml:space="preserve">=0,009), уровень экспрессии генов: </w:t>
      </w:r>
      <w:r w:rsidRPr="00ED5119">
        <w:rPr>
          <w:rFonts w:ascii="Times New Roman" w:hAnsi="Times New Roman" w:cs="Times New Roman"/>
          <w:sz w:val="28"/>
          <w:szCs w:val="28"/>
          <w:lang w:val="en-US"/>
        </w:rPr>
        <w:t>MGMT</w:t>
      </w:r>
      <w:r w:rsidRPr="00ED5119">
        <w:rPr>
          <w:rFonts w:ascii="Times New Roman" w:hAnsi="Times New Roman" w:cs="Times New Roman"/>
          <w:sz w:val="28"/>
          <w:szCs w:val="28"/>
        </w:rPr>
        <w:t xml:space="preserve"> (р=0,003), </w:t>
      </w:r>
      <w:r w:rsidRPr="00ED5119">
        <w:rPr>
          <w:rFonts w:ascii="Times New Roman" w:hAnsi="Times New Roman" w:cs="Times New Roman"/>
          <w:sz w:val="28"/>
          <w:szCs w:val="28"/>
          <w:lang w:val="en-US"/>
        </w:rPr>
        <w:t>TP</w:t>
      </w:r>
      <w:r w:rsidRPr="00ED5119">
        <w:rPr>
          <w:rFonts w:ascii="Times New Roman" w:hAnsi="Times New Roman" w:cs="Times New Roman"/>
          <w:sz w:val="28"/>
          <w:szCs w:val="28"/>
        </w:rPr>
        <w:t xml:space="preserve"> (р=0,023) и был близок ген </w:t>
      </w:r>
      <w:r w:rsidRPr="00ED5119">
        <w:rPr>
          <w:rFonts w:ascii="Times New Roman" w:hAnsi="Times New Roman" w:cs="Times New Roman"/>
          <w:sz w:val="28"/>
          <w:szCs w:val="28"/>
          <w:lang w:val="en-US"/>
        </w:rPr>
        <w:t>VEGF</w:t>
      </w:r>
      <w:r w:rsidRPr="00ED5119">
        <w:rPr>
          <w:rFonts w:ascii="Times New Roman" w:hAnsi="Times New Roman" w:cs="Times New Roman"/>
          <w:sz w:val="28"/>
          <w:szCs w:val="28"/>
        </w:rPr>
        <w:t xml:space="preserve"> (р=0,054). При линейном анализе на риск трансформации повлияло накопление контраста опухолью (р=0,0014) и размер опухоли на первом МРТ (р=0,045).</w:t>
      </w:r>
    </w:p>
    <w:p w:rsidR="004F562B" w:rsidRPr="00ED5119" w:rsidRDefault="004F562B" w:rsidP="005E0D82">
      <w:pPr>
        <w:spacing w:line="360" w:lineRule="auto"/>
        <w:rPr>
          <w:rFonts w:ascii="Times New Roman" w:hAnsi="Times New Roman" w:cs="Times New Roman"/>
          <w:sz w:val="28"/>
          <w:szCs w:val="28"/>
        </w:rPr>
      </w:pPr>
      <w:r w:rsidRPr="00ED5119">
        <w:rPr>
          <w:rFonts w:ascii="Times New Roman" w:hAnsi="Times New Roman" w:cs="Times New Roman"/>
          <w:sz w:val="28"/>
          <w:szCs w:val="28"/>
        </w:rPr>
        <w:t>4. При анапластической трансформации ДА/ОДГ</w:t>
      </w:r>
      <w:r w:rsidRPr="00ED5119">
        <w:rPr>
          <w:rFonts w:ascii="Times New Roman" w:hAnsi="Times New Roman" w:cs="Times New Roman"/>
          <w:sz w:val="28"/>
          <w:szCs w:val="28"/>
          <w:lang w:val="en-US"/>
        </w:rPr>
        <w:t>GII</w:t>
      </w:r>
      <w:r w:rsidRPr="00ED5119">
        <w:rPr>
          <w:rFonts w:ascii="Times New Roman" w:hAnsi="Times New Roman" w:cs="Times New Roman"/>
          <w:sz w:val="28"/>
          <w:szCs w:val="28"/>
        </w:rPr>
        <w:t xml:space="preserve"> в АА/АОДГ</w:t>
      </w:r>
      <w:r w:rsidRPr="00ED5119">
        <w:rPr>
          <w:rFonts w:ascii="Times New Roman" w:hAnsi="Times New Roman" w:cs="Times New Roman"/>
          <w:sz w:val="28"/>
          <w:szCs w:val="28"/>
          <w:lang w:val="en-US"/>
        </w:rPr>
        <w:t>GIII</w:t>
      </w:r>
      <w:r w:rsidRPr="00ED5119">
        <w:rPr>
          <w:rFonts w:ascii="Times New Roman" w:hAnsi="Times New Roman" w:cs="Times New Roman"/>
          <w:sz w:val="28"/>
          <w:szCs w:val="28"/>
        </w:rPr>
        <w:t xml:space="preserve"> и вт. ГБ</w:t>
      </w:r>
      <w:r w:rsidRPr="00ED5119">
        <w:rPr>
          <w:rFonts w:ascii="Times New Roman" w:hAnsi="Times New Roman" w:cs="Times New Roman"/>
          <w:sz w:val="28"/>
          <w:szCs w:val="28"/>
          <w:lang w:val="en-US"/>
        </w:rPr>
        <w:t>GIV</w:t>
      </w:r>
      <w:r w:rsidRPr="00ED5119">
        <w:rPr>
          <w:rFonts w:ascii="Times New Roman" w:hAnsi="Times New Roman" w:cs="Times New Roman"/>
          <w:sz w:val="28"/>
          <w:szCs w:val="28"/>
        </w:rPr>
        <w:t xml:space="preserve"> числовое выражение </w:t>
      </w:r>
      <w:r w:rsidRPr="00ED5119">
        <w:rPr>
          <w:rFonts w:ascii="Times New Roman" w:hAnsi="Times New Roman" w:cs="Times New Roman"/>
          <w:sz w:val="28"/>
          <w:szCs w:val="28"/>
        </w:rPr>
        <w:sym w:font="Symbol" w:char="F044"/>
      </w:r>
      <w:r w:rsidRPr="00ED5119">
        <w:rPr>
          <w:rFonts w:ascii="Times New Roman" w:hAnsi="Times New Roman" w:cs="Times New Roman"/>
          <w:sz w:val="28"/>
          <w:szCs w:val="28"/>
        </w:rPr>
        <w:t xml:space="preserve"> </w:t>
      </w:r>
      <w:r w:rsidRPr="00ED5119">
        <w:rPr>
          <w:rFonts w:ascii="Times New Roman" w:hAnsi="Times New Roman" w:cs="Times New Roman"/>
          <w:sz w:val="28"/>
          <w:szCs w:val="28"/>
          <w:lang w:val="en-US"/>
        </w:rPr>
        <w:t>Ct</w:t>
      </w:r>
      <w:r w:rsidRPr="00ED5119">
        <w:rPr>
          <w:rFonts w:ascii="Times New Roman" w:hAnsi="Times New Roman" w:cs="Times New Roman"/>
          <w:sz w:val="28"/>
          <w:szCs w:val="28"/>
        </w:rPr>
        <w:t xml:space="preserve"> менялось в каждом исследуемом гене, но наиболее выражено в гене </w:t>
      </w:r>
      <w:r w:rsidRPr="00ED5119">
        <w:rPr>
          <w:rFonts w:ascii="Times New Roman" w:hAnsi="Times New Roman" w:cs="Times New Roman"/>
          <w:sz w:val="28"/>
          <w:szCs w:val="28"/>
          <w:lang w:val="en-US"/>
        </w:rPr>
        <w:t>TP</w:t>
      </w:r>
      <w:r w:rsidRPr="00ED5119">
        <w:rPr>
          <w:rFonts w:ascii="Times New Roman" w:hAnsi="Times New Roman" w:cs="Times New Roman"/>
          <w:sz w:val="28"/>
          <w:szCs w:val="28"/>
        </w:rPr>
        <w:t xml:space="preserve"> – в 71,4% (5/7), </w:t>
      </w:r>
      <w:r w:rsidRPr="00ED5119">
        <w:rPr>
          <w:rFonts w:ascii="Times New Roman" w:hAnsi="Times New Roman" w:cs="Times New Roman"/>
          <w:sz w:val="28"/>
          <w:szCs w:val="28"/>
          <w:lang w:val="en-US"/>
        </w:rPr>
        <w:t>MGMT</w:t>
      </w:r>
      <w:r w:rsidRPr="00ED5119">
        <w:rPr>
          <w:rFonts w:ascii="Times New Roman" w:hAnsi="Times New Roman" w:cs="Times New Roman"/>
          <w:sz w:val="28"/>
          <w:szCs w:val="28"/>
        </w:rPr>
        <w:t xml:space="preserve"> – в 62,5% (5/8), С-kit - в 62,5% (5/8) и VEGF – в 50% (4/8). При трансформации АА</w:t>
      </w:r>
      <w:r w:rsidRPr="00ED5119">
        <w:rPr>
          <w:rFonts w:ascii="Times New Roman" w:hAnsi="Times New Roman" w:cs="Times New Roman"/>
          <w:sz w:val="28"/>
          <w:szCs w:val="28"/>
          <w:lang w:val="en-US"/>
        </w:rPr>
        <w:t>GIII</w:t>
      </w:r>
      <w:r w:rsidRPr="00ED5119">
        <w:rPr>
          <w:rFonts w:ascii="Times New Roman" w:hAnsi="Times New Roman" w:cs="Times New Roman"/>
          <w:sz w:val="28"/>
          <w:szCs w:val="28"/>
        </w:rPr>
        <w:t xml:space="preserve"> и АОДГ</w:t>
      </w:r>
      <w:r w:rsidRPr="00ED5119">
        <w:rPr>
          <w:rFonts w:ascii="Times New Roman" w:hAnsi="Times New Roman" w:cs="Times New Roman"/>
          <w:sz w:val="28"/>
          <w:szCs w:val="28"/>
          <w:lang w:val="en-US"/>
        </w:rPr>
        <w:t>GIII</w:t>
      </w:r>
      <w:r w:rsidRPr="00ED5119">
        <w:rPr>
          <w:rFonts w:ascii="Times New Roman" w:hAnsi="Times New Roman" w:cs="Times New Roman"/>
          <w:sz w:val="28"/>
          <w:szCs w:val="28"/>
        </w:rPr>
        <w:t xml:space="preserve"> во вт. ГБ</w:t>
      </w:r>
      <w:r w:rsidRPr="00ED5119">
        <w:rPr>
          <w:rFonts w:ascii="Times New Roman" w:hAnsi="Times New Roman" w:cs="Times New Roman"/>
          <w:sz w:val="28"/>
          <w:szCs w:val="28"/>
          <w:lang w:val="en-US"/>
        </w:rPr>
        <w:t>GIV</w:t>
      </w:r>
      <w:r w:rsidRPr="00ED5119">
        <w:rPr>
          <w:rFonts w:ascii="Times New Roman" w:hAnsi="Times New Roman" w:cs="Times New Roman"/>
          <w:sz w:val="28"/>
          <w:szCs w:val="28"/>
        </w:rPr>
        <w:t xml:space="preserve"> числовое выражение </w:t>
      </w:r>
      <w:r w:rsidRPr="00ED5119">
        <w:rPr>
          <w:rFonts w:ascii="Times New Roman" w:hAnsi="Times New Roman" w:cs="Times New Roman"/>
          <w:sz w:val="28"/>
          <w:szCs w:val="28"/>
        </w:rPr>
        <w:sym w:font="Symbol" w:char="F044"/>
      </w:r>
      <w:r w:rsidRPr="00ED5119">
        <w:rPr>
          <w:rFonts w:ascii="Times New Roman" w:hAnsi="Times New Roman" w:cs="Times New Roman"/>
          <w:sz w:val="28"/>
          <w:szCs w:val="28"/>
        </w:rPr>
        <w:t xml:space="preserve"> </w:t>
      </w:r>
      <w:r w:rsidRPr="00ED5119">
        <w:rPr>
          <w:rFonts w:ascii="Times New Roman" w:hAnsi="Times New Roman" w:cs="Times New Roman"/>
          <w:sz w:val="28"/>
          <w:szCs w:val="28"/>
          <w:lang w:val="en-US"/>
        </w:rPr>
        <w:t>Ct</w:t>
      </w:r>
      <w:r w:rsidRPr="00ED5119">
        <w:rPr>
          <w:rFonts w:ascii="Times New Roman" w:hAnsi="Times New Roman" w:cs="Times New Roman"/>
          <w:sz w:val="28"/>
          <w:szCs w:val="28"/>
        </w:rPr>
        <w:t xml:space="preserve"> менялось в каждом исследуемом гене, но наиболее выражено в гене </w:t>
      </w:r>
      <w:r w:rsidRPr="00ED5119">
        <w:rPr>
          <w:rFonts w:ascii="Times New Roman" w:hAnsi="Times New Roman" w:cs="Times New Roman"/>
          <w:sz w:val="28"/>
          <w:szCs w:val="28"/>
          <w:lang w:val="en-US"/>
        </w:rPr>
        <w:t>MGMT</w:t>
      </w:r>
      <w:r w:rsidRPr="00ED5119">
        <w:rPr>
          <w:rFonts w:ascii="Times New Roman" w:hAnsi="Times New Roman" w:cs="Times New Roman"/>
          <w:sz w:val="28"/>
          <w:szCs w:val="28"/>
        </w:rPr>
        <w:t xml:space="preserve"> – в 66,7% (4/6), β-тубулин – в 80% (4/5), VEGF – в 80% (4/5) </w:t>
      </w:r>
    </w:p>
    <w:p w:rsidR="004F562B" w:rsidRPr="00ED5119" w:rsidRDefault="004F562B" w:rsidP="005E0D82">
      <w:pPr>
        <w:spacing w:line="360" w:lineRule="auto"/>
        <w:rPr>
          <w:rFonts w:ascii="Times New Roman" w:hAnsi="Times New Roman" w:cs="Times New Roman"/>
          <w:sz w:val="28"/>
          <w:szCs w:val="28"/>
        </w:rPr>
      </w:pPr>
      <w:r w:rsidRPr="00ED5119">
        <w:rPr>
          <w:rFonts w:ascii="Times New Roman" w:hAnsi="Times New Roman" w:cs="Times New Roman"/>
          <w:sz w:val="28"/>
          <w:szCs w:val="28"/>
        </w:rPr>
        <w:t>5. На БРВ у больных с ДА</w:t>
      </w:r>
      <w:r w:rsidRPr="00ED5119">
        <w:rPr>
          <w:rFonts w:ascii="Times New Roman" w:hAnsi="Times New Roman" w:cs="Times New Roman"/>
          <w:sz w:val="28"/>
          <w:szCs w:val="28"/>
          <w:lang w:val="en-US"/>
        </w:rPr>
        <w:t>GII</w:t>
      </w:r>
      <w:r w:rsidRPr="00ED5119">
        <w:rPr>
          <w:rFonts w:ascii="Times New Roman" w:hAnsi="Times New Roman" w:cs="Times New Roman"/>
          <w:sz w:val="28"/>
          <w:szCs w:val="28"/>
        </w:rPr>
        <w:t xml:space="preserve"> и АА</w:t>
      </w:r>
      <w:r w:rsidRPr="00ED5119">
        <w:rPr>
          <w:rFonts w:ascii="Times New Roman" w:hAnsi="Times New Roman" w:cs="Times New Roman"/>
          <w:sz w:val="28"/>
          <w:szCs w:val="28"/>
          <w:lang w:val="en-US"/>
        </w:rPr>
        <w:t>GIII</w:t>
      </w:r>
      <w:r w:rsidRPr="00ED5119">
        <w:rPr>
          <w:rFonts w:ascii="Times New Roman" w:hAnsi="Times New Roman" w:cs="Times New Roman"/>
          <w:sz w:val="28"/>
          <w:szCs w:val="28"/>
        </w:rPr>
        <w:t xml:space="preserve"> оказывало влияние наличие мутации в гене </w:t>
      </w:r>
      <w:r w:rsidRPr="00ED5119">
        <w:rPr>
          <w:rFonts w:ascii="Times New Roman" w:hAnsi="Times New Roman" w:cs="Times New Roman"/>
          <w:sz w:val="28"/>
          <w:szCs w:val="28"/>
          <w:lang w:val="en-US"/>
        </w:rPr>
        <w:t>IDH</w:t>
      </w:r>
      <w:r w:rsidRPr="00ED5119">
        <w:rPr>
          <w:rFonts w:ascii="Times New Roman" w:hAnsi="Times New Roman" w:cs="Times New Roman"/>
          <w:sz w:val="28"/>
          <w:szCs w:val="28"/>
        </w:rPr>
        <w:t xml:space="preserve"> (р=0,051 и р</w:t>
      </w:r>
      <w:r w:rsidR="00ED5119">
        <w:rPr>
          <w:rFonts w:ascii="Times New Roman" w:hAnsi="Times New Roman" w:cs="Times New Roman"/>
          <w:sz w:val="28"/>
          <w:szCs w:val="28"/>
        </w:rPr>
        <w:t xml:space="preserve"> </w:t>
      </w:r>
      <w:r w:rsidRPr="00ED5119">
        <w:rPr>
          <w:rFonts w:ascii="Times New Roman" w:hAnsi="Times New Roman" w:cs="Times New Roman"/>
          <w:sz w:val="28"/>
          <w:szCs w:val="28"/>
        </w:rPr>
        <w:t>&lt;0,0001 соответственно). У больных с АА</w:t>
      </w:r>
      <w:r w:rsidRPr="00ED5119">
        <w:rPr>
          <w:rFonts w:ascii="Times New Roman" w:hAnsi="Times New Roman" w:cs="Times New Roman"/>
          <w:sz w:val="28"/>
          <w:szCs w:val="28"/>
          <w:lang w:val="en-US"/>
        </w:rPr>
        <w:t>GIII</w:t>
      </w:r>
      <w:r w:rsidRPr="00ED5119">
        <w:rPr>
          <w:rFonts w:ascii="Times New Roman" w:hAnsi="Times New Roman" w:cs="Times New Roman"/>
          <w:sz w:val="28"/>
          <w:szCs w:val="28"/>
        </w:rPr>
        <w:t xml:space="preserve"> наличие мутации в гене </w:t>
      </w:r>
      <w:r w:rsidRPr="00ED5119">
        <w:rPr>
          <w:rFonts w:ascii="Times New Roman" w:hAnsi="Times New Roman" w:cs="Times New Roman"/>
          <w:sz w:val="28"/>
          <w:szCs w:val="28"/>
          <w:lang w:val="en-US"/>
        </w:rPr>
        <w:t>IDH</w:t>
      </w:r>
      <w:r w:rsidRPr="00ED5119">
        <w:rPr>
          <w:rFonts w:ascii="Times New Roman" w:hAnsi="Times New Roman" w:cs="Times New Roman"/>
          <w:sz w:val="28"/>
          <w:szCs w:val="28"/>
        </w:rPr>
        <w:t xml:space="preserve"> увеличивало медиану ОВ, но без статистической достоверности (р=0,056). Присутствие ко-делеции 1</w:t>
      </w:r>
      <w:r w:rsidRPr="00ED5119">
        <w:rPr>
          <w:rFonts w:ascii="Times New Roman" w:hAnsi="Times New Roman" w:cs="Times New Roman"/>
          <w:sz w:val="28"/>
          <w:szCs w:val="28"/>
          <w:lang w:val="en-US"/>
        </w:rPr>
        <w:t>p</w:t>
      </w:r>
      <w:r w:rsidRPr="00ED5119">
        <w:rPr>
          <w:rFonts w:ascii="Times New Roman" w:hAnsi="Times New Roman" w:cs="Times New Roman"/>
          <w:sz w:val="28"/>
          <w:szCs w:val="28"/>
        </w:rPr>
        <w:t>19</w:t>
      </w:r>
      <w:r w:rsidRPr="00ED5119">
        <w:rPr>
          <w:rFonts w:ascii="Times New Roman" w:hAnsi="Times New Roman" w:cs="Times New Roman"/>
          <w:sz w:val="28"/>
          <w:szCs w:val="28"/>
          <w:lang w:val="en-US"/>
        </w:rPr>
        <w:t>q</w:t>
      </w:r>
      <w:r w:rsidRPr="00ED5119">
        <w:rPr>
          <w:rFonts w:ascii="Times New Roman" w:hAnsi="Times New Roman" w:cs="Times New Roman"/>
          <w:sz w:val="28"/>
          <w:szCs w:val="28"/>
        </w:rPr>
        <w:t xml:space="preserve"> не влияло на БРВ и ОВ у больных с ДА</w:t>
      </w:r>
      <w:r w:rsidRPr="00ED5119">
        <w:rPr>
          <w:rFonts w:ascii="Times New Roman" w:hAnsi="Times New Roman" w:cs="Times New Roman"/>
          <w:sz w:val="28"/>
          <w:szCs w:val="28"/>
          <w:lang w:val="en-US"/>
        </w:rPr>
        <w:t>GII</w:t>
      </w:r>
      <w:r w:rsidRPr="00ED5119">
        <w:rPr>
          <w:rFonts w:ascii="Times New Roman" w:hAnsi="Times New Roman" w:cs="Times New Roman"/>
          <w:sz w:val="28"/>
          <w:szCs w:val="28"/>
        </w:rPr>
        <w:t xml:space="preserve"> и АА</w:t>
      </w:r>
      <w:r w:rsidRPr="00ED5119">
        <w:rPr>
          <w:rFonts w:ascii="Times New Roman" w:hAnsi="Times New Roman" w:cs="Times New Roman"/>
          <w:sz w:val="28"/>
          <w:szCs w:val="28"/>
          <w:lang w:val="en-US"/>
        </w:rPr>
        <w:t>GIII</w:t>
      </w:r>
    </w:p>
    <w:p w:rsidR="004F562B" w:rsidRPr="00ED5119" w:rsidRDefault="004F562B" w:rsidP="005E0D82">
      <w:pPr>
        <w:spacing w:line="360" w:lineRule="auto"/>
        <w:rPr>
          <w:rFonts w:ascii="Times New Roman" w:hAnsi="Times New Roman" w:cs="Times New Roman"/>
          <w:sz w:val="28"/>
          <w:szCs w:val="28"/>
        </w:rPr>
      </w:pPr>
      <w:r w:rsidRPr="00ED5119">
        <w:rPr>
          <w:rFonts w:ascii="Times New Roman" w:hAnsi="Times New Roman" w:cs="Times New Roman"/>
          <w:sz w:val="28"/>
          <w:szCs w:val="28"/>
        </w:rPr>
        <w:lastRenderedPageBreak/>
        <w:t xml:space="preserve">6. Морфологические факторы, сопутствующие злокачественной трансформации: пролиферация сосудов и эндотелия, повышение плотноклеточности опухоли, увеличение индекса пролиферативной активности, наличие некрозов </w:t>
      </w:r>
      <w:r w:rsidR="00ED5119" w:rsidRPr="00ED5119">
        <w:rPr>
          <w:rFonts w:ascii="Times New Roman" w:hAnsi="Times New Roman" w:cs="Times New Roman"/>
          <w:sz w:val="28"/>
          <w:szCs w:val="28"/>
        </w:rPr>
        <w:t>(в случае вторичных глиобластом).</w:t>
      </w:r>
    </w:p>
    <w:p w:rsidR="004F562B" w:rsidRPr="004F562B" w:rsidRDefault="004F562B" w:rsidP="005E0D82">
      <w:pPr>
        <w:spacing w:line="360" w:lineRule="auto"/>
      </w:pPr>
    </w:p>
    <w:p w:rsidR="004F562B" w:rsidRPr="00F4208B" w:rsidRDefault="004F562B" w:rsidP="005E0D82">
      <w:pPr>
        <w:spacing w:line="360" w:lineRule="auto"/>
      </w:pPr>
    </w:p>
    <w:p w:rsidR="00F55E28" w:rsidRDefault="00F55E28" w:rsidP="005E0D82">
      <w:pPr>
        <w:spacing w:after="0" w:line="360" w:lineRule="auto"/>
      </w:pPr>
    </w:p>
    <w:p w:rsidR="00F55E28" w:rsidRDefault="00F55E28" w:rsidP="005E0D82">
      <w:pPr>
        <w:spacing w:after="0" w:line="360" w:lineRule="auto"/>
      </w:pPr>
    </w:p>
    <w:p w:rsidR="00F55E28" w:rsidRDefault="00F55E28" w:rsidP="005E0D82">
      <w:pPr>
        <w:spacing w:after="0" w:line="360" w:lineRule="auto"/>
      </w:pPr>
    </w:p>
    <w:p w:rsidR="00F55E28" w:rsidRPr="00F55E28" w:rsidRDefault="00F55E28" w:rsidP="005E0D82">
      <w:pPr>
        <w:spacing w:after="0" w:line="360" w:lineRule="auto"/>
      </w:pPr>
    </w:p>
    <w:p w:rsidR="00052117" w:rsidRPr="002E124D" w:rsidRDefault="00052117" w:rsidP="005E0D82">
      <w:pPr>
        <w:spacing w:after="0" w:line="360" w:lineRule="auto"/>
        <w:ind w:firstLine="851"/>
        <w:rPr>
          <w:rFonts w:ascii="Times New Roman" w:hAnsi="Times New Roman" w:cs="Times New Roman"/>
          <w:sz w:val="28"/>
          <w:szCs w:val="28"/>
        </w:rPr>
      </w:pPr>
    </w:p>
    <w:p w:rsidR="00D6761D" w:rsidRPr="002E124D" w:rsidRDefault="00D6761D" w:rsidP="005E0D82">
      <w:pPr>
        <w:spacing w:after="0" w:line="360" w:lineRule="auto"/>
        <w:ind w:firstLine="851"/>
        <w:rPr>
          <w:rFonts w:ascii="Times New Roman" w:hAnsi="Times New Roman" w:cs="Times New Roman"/>
          <w:sz w:val="28"/>
          <w:szCs w:val="28"/>
        </w:rPr>
      </w:pPr>
    </w:p>
    <w:p w:rsidR="009B456C" w:rsidRDefault="00D6761D" w:rsidP="005E0D82">
      <w:pPr>
        <w:pStyle w:val="1"/>
        <w:spacing w:before="0" w:after="0"/>
        <w:rPr>
          <w:rFonts w:cs="Times New Roman"/>
        </w:rPr>
      </w:pPr>
      <w:r w:rsidRPr="002E124D">
        <w:rPr>
          <w:rFonts w:cs="Times New Roman"/>
        </w:rPr>
        <w:br w:type="page"/>
      </w:r>
      <w:bookmarkStart w:id="72" w:name="_Toc9031285"/>
      <w:bookmarkStart w:id="73" w:name="_Toc9250618"/>
      <w:r w:rsidRPr="002E124D">
        <w:rPr>
          <w:rFonts w:cs="Times New Roman"/>
        </w:rPr>
        <w:lastRenderedPageBreak/>
        <w:t>Выводы</w:t>
      </w:r>
      <w:bookmarkStart w:id="74" w:name="_Toc9031286"/>
      <w:bookmarkEnd w:id="72"/>
      <w:bookmarkEnd w:id="73"/>
    </w:p>
    <w:p w:rsidR="00E26ADA" w:rsidRPr="00ED5119" w:rsidRDefault="009B456C" w:rsidP="005E0D82">
      <w:pPr>
        <w:spacing w:line="360" w:lineRule="auto"/>
        <w:rPr>
          <w:rFonts w:ascii="Times New Roman" w:hAnsi="Times New Roman" w:cs="Times New Roman"/>
          <w:sz w:val="28"/>
          <w:szCs w:val="28"/>
        </w:rPr>
      </w:pPr>
      <w:r w:rsidRPr="00E26ADA">
        <w:rPr>
          <w:rFonts w:ascii="Times New Roman" w:hAnsi="Times New Roman" w:cs="Times New Roman"/>
          <w:sz w:val="28"/>
          <w:szCs w:val="28"/>
        </w:rPr>
        <w:t xml:space="preserve">В рамках исследования были получены результаты в рамках каждого тезиса, поставленного в цели и задачах. Была оценена частота встречаемости мутации </w:t>
      </w:r>
      <w:r w:rsidRPr="00E26ADA">
        <w:rPr>
          <w:rFonts w:ascii="Times New Roman" w:hAnsi="Times New Roman" w:cs="Times New Roman"/>
          <w:sz w:val="28"/>
          <w:szCs w:val="28"/>
          <w:lang w:val="en-US"/>
        </w:rPr>
        <w:t>IDH</w:t>
      </w:r>
      <w:r w:rsidRPr="00E26ADA">
        <w:rPr>
          <w:rFonts w:ascii="Times New Roman" w:hAnsi="Times New Roman" w:cs="Times New Roman"/>
          <w:sz w:val="28"/>
          <w:szCs w:val="28"/>
        </w:rPr>
        <w:t xml:space="preserve"> в глиомах </w:t>
      </w:r>
      <w:r w:rsidRPr="00E26ADA">
        <w:rPr>
          <w:rFonts w:ascii="Times New Roman" w:hAnsi="Times New Roman" w:cs="Times New Roman"/>
          <w:sz w:val="28"/>
          <w:szCs w:val="28"/>
          <w:lang w:val="en-US"/>
        </w:rPr>
        <w:t>GII</w:t>
      </w:r>
      <w:r w:rsidRPr="00E26ADA">
        <w:rPr>
          <w:rFonts w:ascii="Times New Roman" w:hAnsi="Times New Roman" w:cs="Times New Roman"/>
          <w:sz w:val="28"/>
          <w:szCs w:val="28"/>
        </w:rPr>
        <w:t>/</w:t>
      </w:r>
      <w:r w:rsidRPr="00E26ADA">
        <w:rPr>
          <w:rFonts w:ascii="Times New Roman" w:hAnsi="Times New Roman" w:cs="Times New Roman"/>
          <w:sz w:val="28"/>
          <w:szCs w:val="28"/>
          <w:lang w:val="en-US"/>
        </w:rPr>
        <w:t>GIII</w:t>
      </w:r>
      <w:r w:rsidRPr="00E26ADA">
        <w:rPr>
          <w:rFonts w:ascii="Times New Roman" w:hAnsi="Times New Roman" w:cs="Times New Roman"/>
          <w:sz w:val="28"/>
          <w:szCs w:val="28"/>
        </w:rPr>
        <w:t xml:space="preserve">: наиболее часто мутация </w:t>
      </w:r>
      <w:r w:rsidRPr="00E26ADA">
        <w:rPr>
          <w:rFonts w:ascii="Times New Roman" w:hAnsi="Times New Roman" w:cs="Times New Roman"/>
          <w:sz w:val="28"/>
          <w:szCs w:val="28"/>
          <w:lang w:val="en-US"/>
        </w:rPr>
        <w:t>IDH</w:t>
      </w:r>
      <w:r w:rsidRPr="00E26ADA">
        <w:rPr>
          <w:rFonts w:ascii="Times New Roman" w:hAnsi="Times New Roman" w:cs="Times New Roman"/>
          <w:sz w:val="28"/>
          <w:szCs w:val="28"/>
        </w:rPr>
        <w:t xml:space="preserve"> встречается в олигодендроглиальных опухолях, соответствуя в астроцитомах значениям, указанным в литературе. В целом для глиальных опухолей характерна высокая частота мутации </w:t>
      </w:r>
      <w:r w:rsidRPr="00E26ADA">
        <w:rPr>
          <w:rFonts w:ascii="Times New Roman" w:hAnsi="Times New Roman" w:cs="Times New Roman"/>
          <w:sz w:val="28"/>
          <w:szCs w:val="28"/>
          <w:lang w:val="en-US"/>
        </w:rPr>
        <w:t>IDH</w:t>
      </w:r>
      <w:r w:rsidRPr="00E26ADA">
        <w:rPr>
          <w:rFonts w:ascii="Times New Roman" w:hAnsi="Times New Roman" w:cs="Times New Roman"/>
          <w:sz w:val="28"/>
          <w:szCs w:val="28"/>
        </w:rPr>
        <w:t>, превышающая во всех подтипах 50%.</w:t>
      </w:r>
      <w:r w:rsidR="00BD5DE2" w:rsidRPr="00E26ADA">
        <w:rPr>
          <w:rFonts w:ascii="Times New Roman" w:hAnsi="Times New Roman" w:cs="Times New Roman"/>
          <w:sz w:val="28"/>
          <w:szCs w:val="28"/>
        </w:rPr>
        <w:t xml:space="preserve"> Примечательно, что для АА</w:t>
      </w:r>
      <w:r w:rsidR="00BD5DE2" w:rsidRPr="00E26ADA">
        <w:rPr>
          <w:rFonts w:ascii="Times New Roman" w:hAnsi="Times New Roman" w:cs="Times New Roman"/>
          <w:sz w:val="28"/>
          <w:szCs w:val="28"/>
          <w:lang w:val="en-US"/>
        </w:rPr>
        <w:t>GIII</w:t>
      </w:r>
      <w:r w:rsidR="00BD5DE2" w:rsidRPr="00E26ADA">
        <w:rPr>
          <w:rFonts w:ascii="Times New Roman" w:hAnsi="Times New Roman" w:cs="Times New Roman"/>
          <w:sz w:val="28"/>
          <w:szCs w:val="28"/>
        </w:rPr>
        <w:t xml:space="preserve"> частота мутации </w:t>
      </w:r>
      <w:r w:rsidR="00BD5DE2" w:rsidRPr="00E26ADA">
        <w:rPr>
          <w:rFonts w:ascii="Times New Roman" w:hAnsi="Times New Roman" w:cs="Times New Roman"/>
          <w:sz w:val="28"/>
          <w:szCs w:val="28"/>
          <w:lang w:val="en-US"/>
        </w:rPr>
        <w:t>IDH</w:t>
      </w:r>
      <w:r w:rsidR="00BD5DE2" w:rsidRPr="00E26ADA">
        <w:rPr>
          <w:rFonts w:ascii="Times New Roman" w:hAnsi="Times New Roman" w:cs="Times New Roman"/>
          <w:sz w:val="28"/>
          <w:szCs w:val="28"/>
        </w:rPr>
        <w:t xml:space="preserve"> ниже, чем в ДА</w:t>
      </w:r>
      <w:r w:rsidR="00BD5DE2" w:rsidRPr="00E26ADA">
        <w:rPr>
          <w:rFonts w:ascii="Times New Roman" w:hAnsi="Times New Roman" w:cs="Times New Roman"/>
          <w:sz w:val="28"/>
          <w:szCs w:val="28"/>
          <w:lang w:val="en-US"/>
        </w:rPr>
        <w:t>GII</w:t>
      </w:r>
      <w:r w:rsidR="00BD5DE2" w:rsidRPr="00E26ADA">
        <w:rPr>
          <w:rFonts w:ascii="Times New Roman" w:hAnsi="Times New Roman" w:cs="Times New Roman"/>
          <w:sz w:val="28"/>
          <w:szCs w:val="28"/>
        </w:rPr>
        <w:t xml:space="preserve"> – для последних характерна также более высокая частота злокачественной трансформации.</w:t>
      </w:r>
      <w:r w:rsidRPr="00E26ADA">
        <w:rPr>
          <w:rFonts w:ascii="Times New Roman" w:hAnsi="Times New Roman" w:cs="Times New Roman"/>
          <w:sz w:val="28"/>
          <w:szCs w:val="28"/>
        </w:rPr>
        <w:t xml:space="preserve"> </w:t>
      </w:r>
      <w:r w:rsidR="00BD5DE2" w:rsidRPr="00E26ADA">
        <w:rPr>
          <w:rFonts w:ascii="Times New Roman" w:hAnsi="Times New Roman" w:cs="Times New Roman"/>
          <w:sz w:val="28"/>
          <w:szCs w:val="28"/>
        </w:rPr>
        <w:br/>
        <w:t>Была оценена частота встречаемости ко-делеции 1</w:t>
      </w:r>
      <w:r w:rsidR="00BD5DE2" w:rsidRPr="00E26ADA">
        <w:rPr>
          <w:rFonts w:ascii="Times New Roman" w:hAnsi="Times New Roman" w:cs="Times New Roman"/>
          <w:sz w:val="28"/>
          <w:szCs w:val="28"/>
          <w:lang w:val="en-US"/>
        </w:rPr>
        <w:t>p</w:t>
      </w:r>
      <w:r w:rsidR="00BD5DE2" w:rsidRPr="00E26ADA">
        <w:rPr>
          <w:rFonts w:ascii="Times New Roman" w:hAnsi="Times New Roman" w:cs="Times New Roman"/>
          <w:sz w:val="28"/>
          <w:szCs w:val="28"/>
        </w:rPr>
        <w:t>19</w:t>
      </w:r>
      <w:r w:rsidR="00BD5DE2" w:rsidRPr="00E26ADA">
        <w:rPr>
          <w:rFonts w:ascii="Times New Roman" w:hAnsi="Times New Roman" w:cs="Times New Roman"/>
          <w:sz w:val="28"/>
          <w:szCs w:val="28"/>
          <w:lang w:val="en-US"/>
        </w:rPr>
        <w:t>q</w:t>
      </w:r>
      <w:r w:rsidR="00BD5DE2" w:rsidRPr="00E26ADA">
        <w:rPr>
          <w:rFonts w:ascii="Times New Roman" w:hAnsi="Times New Roman" w:cs="Times New Roman"/>
          <w:sz w:val="28"/>
          <w:szCs w:val="28"/>
        </w:rPr>
        <w:t xml:space="preserve"> в глиомах </w:t>
      </w:r>
      <w:r w:rsidR="00BD5DE2" w:rsidRPr="00E26ADA">
        <w:rPr>
          <w:rFonts w:ascii="Times New Roman" w:hAnsi="Times New Roman" w:cs="Times New Roman"/>
          <w:sz w:val="28"/>
          <w:szCs w:val="28"/>
          <w:lang w:val="en-US"/>
        </w:rPr>
        <w:t>GII</w:t>
      </w:r>
      <w:r w:rsidR="00BD5DE2" w:rsidRPr="00E26ADA">
        <w:rPr>
          <w:rFonts w:ascii="Times New Roman" w:hAnsi="Times New Roman" w:cs="Times New Roman"/>
          <w:sz w:val="28"/>
          <w:szCs w:val="28"/>
        </w:rPr>
        <w:t>/</w:t>
      </w:r>
      <w:r w:rsidR="00BD5DE2" w:rsidRPr="00E26ADA">
        <w:rPr>
          <w:rFonts w:ascii="Times New Roman" w:hAnsi="Times New Roman" w:cs="Times New Roman"/>
          <w:sz w:val="28"/>
          <w:szCs w:val="28"/>
          <w:lang w:val="en-US"/>
        </w:rPr>
        <w:t>GIII</w:t>
      </w:r>
      <w:r w:rsidR="00BD5DE2" w:rsidRPr="00E26ADA">
        <w:rPr>
          <w:rFonts w:ascii="Times New Roman" w:hAnsi="Times New Roman" w:cs="Times New Roman"/>
          <w:sz w:val="28"/>
          <w:szCs w:val="28"/>
        </w:rPr>
        <w:t>: для астроцитарных опухолей она стабильно невысокая при абсолютно подавляющей встречаемости в олигодендроглиальных новообразованиях вне зависимости от степени дифференцировки.</w:t>
      </w:r>
      <w:r w:rsidR="00E26ADA">
        <w:rPr>
          <w:rFonts w:ascii="Times New Roman" w:hAnsi="Times New Roman" w:cs="Times New Roman"/>
          <w:sz w:val="28"/>
          <w:szCs w:val="28"/>
        </w:rPr>
        <w:br/>
      </w:r>
      <w:r w:rsidR="00BD5DE2" w:rsidRPr="00E26ADA">
        <w:rPr>
          <w:rFonts w:ascii="Times New Roman" w:hAnsi="Times New Roman" w:cs="Times New Roman"/>
          <w:sz w:val="28"/>
          <w:szCs w:val="28"/>
        </w:rPr>
        <w:t xml:space="preserve">Была проанализирована частота встречаемости уровней экспрессии генов TP, MGMT, PDGFR-α, VEGF, C-kit, β-тубулина в глиомах </w:t>
      </w:r>
      <w:r w:rsidR="00BD5DE2" w:rsidRPr="00E26ADA">
        <w:rPr>
          <w:rFonts w:ascii="Times New Roman" w:hAnsi="Times New Roman" w:cs="Times New Roman"/>
          <w:sz w:val="28"/>
          <w:szCs w:val="28"/>
          <w:lang w:val="en-US"/>
        </w:rPr>
        <w:t>GII</w:t>
      </w:r>
      <w:r w:rsidR="00BD5DE2" w:rsidRPr="00E26ADA">
        <w:rPr>
          <w:rFonts w:ascii="Times New Roman" w:hAnsi="Times New Roman" w:cs="Times New Roman"/>
          <w:sz w:val="28"/>
          <w:szCs w:val="28"/>
        </w:rPr>
        <w:t>/</w:t>
      </w:r>
      <w:r w:rsidR="00BD5DE2" w:rsidRPr="00E26ADA">
        <w:rPr>
          <w:rFonts w:ascii="Times New Roman" w:hAnsi="Times New Roman" w:cs="Times New Roman"/>
          <w:sz w:val="28"/>
          <w:szCs w:val="28"/>
          <w:lang w:val="en-US"/>
        </w:rPr>
        <w:t>GIII</w:t>
      </w:r>
      <w:r w:rsidR="00BD5DE2" w:rsidRPr="00E26ADA">
        <w:rPr>
          <w:rFonts w:ascii="Times New Roman" w:hAnsi="Times New Roman" w:cs="Times New Roman"/>
          <w:sz w:val="28"/>
          <w:szCs w:val="28"/>
        </w:rPr>
        <w:t xml:space="preserve">. Низкие и средние значения экспрессии гена ТР во всех подтипах говорят об умеренном пролиферативном потенциале глиальных опухолей; </w:t>
      </w:r>
      <w:r w:rsidR="00884329" w:rsidRPr="00E26ADA">
        <w:rPr>
          <w:rFonts w:ascii="Times New Roman" w:hAnsi="Times New Roman" w:cs="Times New Roman"/>
          <w:sz w:val="28"/>
          <w:szCs w:val="28"/>
        </w:rPr>
        <w:t xml:space="preserve">преимущественно низкие и средние значения гена </w:t>
      </w:r>
      <w:r w:rsidR="00884329" w:rsidRPr="00E26ADA">
        <w:rPr>
          <w:rFonts w:ascii="Times New Roman" w:hAnsi="Times New Roman" w:cs="Times New Roman"/>
          <w:sz w:val="28"/>
          <w:szCs w:val="28"/>
          <w:lang w:val="en-US"/>
        </w:rPr>
        <w:t>MGMT</w:t>
      </w:r>
      <w:r w:rsidR="00884329" w:rsidRPr="00E26ADA">
        <w:rPr>
          <w:rFonts w:ascii="Times New Roman" w:hAnsi="Times New Roman" w:cs="Times New Roman"/>
          <w:sz w:val="28"/>
          <w:szCs w:val="28"/>
        </w:rPr>
        <w:t xml:space="preserve"> указывают на предположительно благоприятный терапевтический ответ на терапию алкильными агентами, в частности, темозоломидом; средние значения PDGFR-α в астроцитарных опухолях, средние и высокие в ОДГ</w:t>
      </w:r>
      <w:r w:rsidR="00884329" w:rsidRPr="00E26ADA">
        <w:rPr>
          <w:rFonts w:ascii="Times New Roman" w:hAnsi="Times New Roman" w:cs="Times New Roman"/>
          <w:sz w:val="28"/>
          <w:szCs w:val="28"/>
          <w:lang w:val="en-US"/>
        </w:rPr>
        <w:t>GII</w:t>
      </w:r>
      <w:r w:rsidR="00884329" w:rsidRPr="00E26ADA">
        <w:rPr>
          <w:rFonts w:ascii="Times New Roman" w:hAnsi="Times New Roman" w:cs="Times New Roman"/>
          <w:sz w:val="28"/>
          <w:szCs w:val="28"/>
        </w:rPr>
        <w:t xml:space="preserve"> и  и средние в АОДГ</w:t>
      </w:r>
      <w:r w:rsidR="00884329" w:rsidRPr="00E26ADA">
        <w:rPr>
          <w:rFonts w:ascii="Times New Roman" w:hAnsi="Times New Roman" w:cs="Times New Roman"/>
          <w:sz w:val="28"/>
          <w:szCs w:val="28"/>
          <w:lang w:val="en-US"/>
        </w:rPr>
        <w:t>GIII</w:t>
      </w:r>
      <w:r w:rsidR="00884329" w:rsidRPr="00E26ADA">
        <w:rPr>
          <w:rFonts w:ascii="Times New Roman" w:hAnsi="Times New Roman" w:cs="Times New Roman"/>
          <w:sz w:val="28"/>
          <w:szCs w:val="28"/>
        </w:rPr>
        <w:t xml:space="preserve"> могут указывать на умеренный пролиферативный потенциал; относительно одинаково низкие и средние значения экспрессии  гена </w:t>
      </w:r>
      <w:r w:rsidR="00884329" w:rsidRPr="00E26ADA">
        <w:rPr>
          <w:rFonts w:ascii="Times New Roman" w:hAnsi="Times New Roman" w:cs="Times New Roman"/>
          <w:sz w:val="28"/>
          <w:szCs w:val="28"/>
          <w:lang w:val="en-US"/>
        </w:rPr>
        <w:t>VEGF</w:t>
      </w:r>
      <w:r w:rsidR="00884329" w:rsidRPr="00E26ADA">
        <w:rPr>
          <w:rFonts w:ascii="Times New Roman" w:hAnsi="Times New Roman" w:cs="Times New Roman"/>
          <w:sz w:val="28"/>
          <w:szCs w:val="28"/>
        </w:rPr>
        <w:t xml:space="preserve"> в </w:t>
      </w:r>
      <w:r w:rsidR="00884329" w:rsidRPr="00E26ADA">
        <w:rPr>
          <w:rFonts w:ascii="Times New Roman" w:hAnsi="Times New Roman" w:cs="Times New Roman"/>
          <w:sz w:val="28"/>
          <w:szCs w:val="28"/>
          <w:lang w:val="en-US"/>
        </w:rPr>
        <w:t>low</w:t>
      </w:r>
      <w:r w:rsidR="00884329" w:rsidRPr="00E26ADA">
        <w:rPr>
          <w:rFonts w:ascii="Times New Roman" w:hAnsi="Times New Roman" w:cs="Times New Roman"/>
          <w:sz w:val="28"/>
          <w:szCs w:val="28"/>
        </w:rPr>
        <w:t>-</w:t>
      </w:r>
      <w:r w:rsidR="00884329" w:rsidRPr="00E26ADA">
        <w:rPr>
          <w:rFonts w:ascii="Times New Roman" w:hAnsi="Times New Roman" w:cs="Times New Roman"/>
          <w:sz w:val="28"/>
          <w:szCs w:val="28"/>
          <w:lang w:val="en-US"/>
        </w:rPr>
        <w:t>grade</w:t>
      </w:r>
      <w:r w:rsidR="00884329" w:rsidRPr="00E26ADA">
        <w:rPr>
          <w:rFonts w:ascii="Times New Roman" w:hAnsi="Times New Roman" w:cs="Times New Roman"/>
          <w:sz w:val="28"/>
          <w:szCs w:val="28"/>
        </w:rPr>
        <w:t xml:space="preserve"> глиомах, возможно, указывают на в целом стабильный неоангиогенез в этих опухолях вне зависимости от </w:t>
      </w:r>
      <w:r w:rsidR="00884329" w:rsidRPr="00E26ADA">
        <w:rPr>
          <w:rFonts w:ascii="Times New Roman" w:hAnsi="Times New Roman" w:cs="Times New Roman"/>
          <w:sz w:val="28"/>
          <w:szCs w:val="28"/>
          <w:lang w:val="en-US"/>
        </w:rPr>
        <w:t>grade</w:t>
      </w:r>
      <w:r w:rsidR="00884329" w:rsidRPr="00E26ADA">
        <w:rPr>
          <w:rFonts w:ascii="Times New Roman" w:hAnsi="Times New Roman" w:cs="Times New Roman"/>
          <w:sz w:val="28"/>
          <w:szCs w:val="28"/>
        </w:rPr>
        <w:t xml:space="preserve">; низкий и средний уровень экспрессии гена </w:t>
      </w:r>
      <w:r w:rsidR="00884329" w:rsidRPr="00E26ADA">
        <w:rPr>
          <w:rFonts w:ascii="Times New Roman" w:hAnsi="Times New Roman" w:cs="Times New Roman"/>
          <w:sz w:val="28"/>
          <w:szCs w:val="28"/>
          <w:lang w:val="en-US"/>
        </w:rPr>
        <w:t>c</w:t>
      </w:r>
      <w:r w:rsidR="00884329" w:rsidRPr="00E26ADA">
        <w:rPr>
          <w:rFonts w:ascii="Times New Roman" w:hAnsi="Times New Roman" w:cs="Times New Roman"/>
          <w:sz w:val="28"/>
          <w:szCs w:val="28"/>
        </w:rPr>
        <w:t>-</w:t>
      </w:r>
      <w:r w:rsidR="00884329" w:rsidRPr="00E26ADA">
        <w:rPr>
          <w:rFonts w:ascii="Times New Roman" w:hAnsi="Times New Roman" w:cs="Times New Roman"/>
          <w:sz w:val="28"/>
          <w:szCs w:val="28"/>
          <w:lang w:val="en-US"/>
        </w:rPr>
        <w:t>kit</w:t>
      </w:r>
      <w:r w:rsidR="00884329" w:rsidRPr="00E26ADA">
        <w:rPr>
          <w:rFonts w:ascii="Times New Roman" w:hAnsi="Times New Roman" w:cs="Times New Roman"/>
          <w:sz w:val="28"/>
          <w:szCs w:val="28"/>
        </w:rPr>
        <w:t>, возможно, является предиктором ответа опухолей на терапию иматинибом; стабильно высокий уровень экспрессии β-тубулина, возможно, говорит не в пользу эффективности терапии препаратами винкристина, паклитаксела и т.п.</w:t>
      </w:r>
      <w:r w:rsidR="00884329" w:rsidRPr="00E26ADA">
        <w:rPr>
          <w:rFonts w:ascii="Times New Roman" w:hAnsi="Times New Roman" w:cs="Times New Roman"/>
          <w:sz w:val="28"/>
          <w:szCs w:val="28"/>
        </w:rPr>
        <w:br/>
      </w:r>
      <w:r w:rsidR="00884329" w:rsidRPr="00E26ADA">
        <w:rPr>
          <w:rFonts w:ascii="Times New Roman" w:hAnsi="Times New Roman" w:cs="Times New Roman"/>
          <w:sz w:val="28"/>
          <w:szCs w:val="28"/>
        </w:rPr>
        <w:lastRenderedPageBreak/>
        <w:t xml:space="preserve">Была изучена частота злокачественной трансформации глиом головного мозга – наиболее злокачественная транформация была характерна для диффузных астроцитом </w:t>
      </w:r>
      <w:r w:rsidR="00884329" w:rsidRPr="00E26ADA">
        <w:rPr>
          <w:rFonts w:ascii="Times New Roman" w:hAnsi="Times New Roman" w:cs="Times New Roman"/>
          <w:sz w:val="28"/>
          <w:szCs w:val="28"/>
          <w:lang w:val="en-US"/>
        </w:rPr>
        <w:t>GII</w:t>
      </w:r>
      <w:r w:rsidR="00884329" w:rsidRPr="00E26ADA">
        <w:rPr>
          <w:rFonts w:ascii="Times New Roman" w:hAnsi="Times New Roman" w:cs="Times New Roman"/>
          <w:sz w:val="28"/>
          <w:szCs w:val="28"/>
        </w:rPr>
        <w:t xml:space="preserve"> (95%) и олигодендроглиом </w:t>
      </w:r>
      <w:r w:rsidR="00884329" w:rsidRPr="00E26ADA">
        <w:rPr>
          <w:rFonts w:ascii="Times New Roman" w:hAnsi="Times New Roman" w:cs="Times New Roman"/>
          <w:sz w:val="28"/>
          <w:szCs w:val="28"/>
          <w:lang w:val="en-US"/>
        </w:rPr>
        <w:t>GII</w:t>
      </w:r>
      <w:r w:rsidR="00884329" w:rsidRPr="00E26ADA">
        <w:rPr>
          <w:rFonts w:ascii="Times New Roman" w:hAnsi="Times New Roman" w:cs="Times New Roman"/>
          <w:sz w:val="28"/>
          <w:szCs w:val="28"/>
        </w:rPr>
        <w:t xml:space="preserve"> (100%). В среднем частота злокачественной трансформации среди </w:t>
      </w:r>
      <w:r w:rsidR="00884329" w:rsidRPr="00E26ADA">
        <w:rPr>
          <w:rFonts w:ascii="Times New Roman" w:hAnsi="Times New Roman" w:cs="Times New Roman"/>
          <w:sz w:val="28"/>
          <w:szCs w:val="28"/>
          <w:lang w:val="en-US"/>
        </w:rPr>
        <w:t>GII</w:t>
      </w:r>
      <w:r w:rsidR="00884329" w:rsidRPr="00E26ADA">
        <w:rPr>
          <w:rFonts w:ascii="Times New Roman" w:hAnsi="Times New Roman" w:cs="Times New Roman"/>
          <w:sz w:val="28"/>
          <w:szCs w:val="28"/>
        </w:rPr>
        <w:t>-</w:t>
      </w:r>
      <w:r w:rsidR="00884329" w:rsidRPr="00E26ADA">
        <w:rPr>
          <w:rFonts w:ascii="Times New Roman" w:hAnsi="Times New Roman" w:cs="Times New Roman"/>
          <w:sz w:val="28"/>
          <w:szCs w:val="28"/>
          <w:lang w:val="en-US"/>
        </w:rPr>
        <w:t>III</w:t>
      </w:r>
      <w:r w:rsidR="00884329" w:rsidRPr="00E26ADA">
        <w:rPr>
          <w:rFonts w:ascii="Times New Roman" w:hAnsi="Times New Roman" w:cs="Times New Roman"/>
          <w:sz w:val="28"/>
          <w:szCs w:val="28"/>
        </w:rPr>
        <w:t xml:space="preserve"> глиом составила 71%. Частота злокачественной трансформации для опухолей </w:t>
      </w:r>
      <w:r w:rsidR="00884329" w:rsidRPr="00E26ADA">
        <w:rPr>
          <w:rFonts w:ascii="Times New Roman" w:hAnsi="Times New Roman" w:cs="Times New Roman"/>
          <w:sz w:val="28"/>
          <w:szCs w:val="28"/>
          <w:lang w:val="en-US"/>
        </w:rPr>
        <w:t>GIII</w:t>
      </w:r>
      <w:r w:rsidR="00884329" w:rsidRPr="00E26ADA">
        <w:rPr>
          <w:rFonts w:ascii="Times New Roman" w:hAnsi="Times New Roman" w:cs="Times New Roman"/>
          <w:sz w:val="28"/>
          <w:szCs w:val="28"/>
        </w:rPr>
        <w:t xml:space="preserve"> несколько ниже. Как правило, трансформация происходит из </w:t>
      </w:r>
      <w:r w:rsidR="00884329" w:rsidRPr="00E26ADA">
        <w:rPr>
          <w:rFonts w:ascii="Times New Roman" w:hAnsi="Times New Roman" w:cs="Times New Roman"/>
          <w:sz w:val="28"/>
          <w:szCs w:val="28"/>
          <w:lang w:val="en-US"/>
        </w:rPr>
        <w:t>GII</w:t>
      </w:r>
      <w:r w:rsidR="00884329" w:rsidRPr="00E26ADA">
        <w:rPr>
          <w:rFonts w:ascii="Times New Roman" w:hAnsi="Times New Roman" w:cs="Times New Roman"/>
          <w:sz w:val="28"/>
          <w:szCs w:val="28"/>
        </w:rPr>
        <w:t xml:space="preserve"> в </w:t>
      </w:r>
      <w:r w:rsidR="00884329" w:rsidRPr="00E26ADA">
        <w:rPr>
          <w:rFonts w:ascii="Times New Roman" w:hAnsi="Times New Roman" w:cs="Times New Roman"/>
          <w:sz w:val="28"/>
          <w:szCs w:val="28"/>
          <w:lang w:val="en-US"/>
        </w:rPr>
        <w:t>GIII</w:t>
      </w:r>
      <w:r w:rsidR="00884329" w:rsidRPr="00E26ADA">
        <w:rPr>
          <w:rFonts w:ascii="Times New Roman" w:hAnsi="Times New Roman" w:cs="Times New Roman"/>
          <w:sz w:val="28"/>
          <w:szCs w:val="28"/>
        </w:rPr>
        <w:t xml:space="preserve"> и с </w:t>
      </w:r>
      <w:r w:rsidR="00884329" w:rsidRPr="00E26ADA">
        <w:rPr>
          <w:rFonts w:ascii="Times New Roman" w:hAnsi="Times New Roman" w:cs="Times New Roman"/>
          <w:sz w:val="28"/>
          <w:szCs w:val="28"/>
          <w:lang w:val="en-US"/>
        </w:rPr>
        <w:t>GIII</w:t>
      </w:r>
      <w:r w:rsidR="00884329" w:rsidRPr="00E26ADA">
        <w:rPr>
          <w:rFonts w:ascii="Times New Roman" w:hAnsi="Times New Roman" w:cs="Times New Roman"/>
          <w:sz w:val="28"/>
          <w:szCs w:val="28"/>
        </w:rPr>
        <w:t xml:space="preserve"> в </w:t>
      </w:r>
      <w:r w:rsidR="00884329" w:rsidRPr="00E26ADA">
        <w:rPr>
          <w:rFonts w:ascii="Times New Roman" w:hAnsi="Times New Roman" w:cs="Times New Roman"/>
          <w:sz w:val="28"/>
          <w:szCs w:val="28"/>
          <w:lang w:val="en-US"/>
        </w:rPr>
        <w:t>GIV</w:t>
      </w:r>
      <w:r w:rsidR="00884329" w:rsidRPr="00E26ADA">
        <w:rPr>
          <w:rFonts w:ascii="Times New Roman" w:hAnsi="Times New Roman" w:cs="Times New Roman"/>
          <w:sz w:val="28"/>
          <w:szCs w:val="28"/>
        </w:rPr>
        <w:t>. Частота рецидивов опухолей перекликается с частотой злокачественной трансформации.</w:t>
      </w:r>
      <w:r w:rsidR="00884329" w:rsidRPr="00E26ADA">
        <w:rPr>
          <w:rFonts w:ascii="Times New Roman" w:hAnsi="Times New Roman" w:cs="Times New Roman"/>
          <w:sz w:val="28"/>
          <w:szCs w:val="28"/>
        </w:rPr>
        <w:br/>
        <w:t xml:space="preserve">Были исследованы морфологические факторы, </w:t>
      </w:r>
      <w:r w:rsidR="0051420A" w:rsidRPr="00E26ADA">
        <w:rPr>
          <w:rFonts w:ascii="Times New Roman" w:hAnsi="Times New Roman" w:cs="Times New Roman"/>
          <w:sz w:val="28"/>
          <w:szCs w:val="28"/>
        </w:rPr>
        <w:t>сопутствующие злокачественной трансформации</w:t>
      </w:r>
      <w:r w:rsidR="00884329" w:rsidRPr="00E26ADA">
        <w:rPr>
          <w:rFonts w:ascii="Times New Roman" w:hAnsi="Times New Roman" w:cs="Times New Roman"/>
          <w:sz w:val="28"/>
          <w:szCs w:val="28"/>
        </w:rPr>
        <w:t>: пролиферация сосудов и эндотелия, повышение плотноклеточности опухоли, увеличение индекса пролиферативной активности, наличие некрозов (в случае вторичных глиобластом).</w:t>
      </w:r>
      <w:r w:rsidR="0051420A" w:rsidRPr="00E26ADA">
        <w:rPr>
          <w:rFonts w:ascii="Times New Roman" w:hAnsi="Times New Roman" w:cs="Times New Roman"/>
          <w:sz w:val="28"/>
          <w:szCs w:val="28"/>
        </w:rPr>
        <w:br/>
        <w:t xml:space="preserve">Было изучено изменение уровня экспрессии генов при злокачественной трансформации: увеличение уровней экспрессии генов при трансформации </w:t>
      </w:r>
      <w:r w:rsidR="0051420A" w:rsidRPr="00E26ADA">
        <w:rPr>
          <w:rFonts w:ascii="Times New Roman" w:hAnsi="Times New Roman" w:cs="Times New Roman"/>
          <w:color w:val="000000"/>
          <w:sz w:val="28"/>
          <w:szCs w:val="28"/>
        </w:rPr>
        <w:t>ААGIII и АОДГ</w:t>
      </w:r>
      <w:r w:rsidR="0051420A" w:rsidRPr="00E26ADA">
        <w:rPr>
          <w:rFonts w:ascii="Times New Roman" w:hAnsi="Times New Roman" w:cs="Times New Roman"/>
          <w:color w:val="000000"/>
          <w:sz w:val="28"/>
          <w:szCs w:val="28"/>
          <w:lang w:val="en-US"/>
        </w:rPr>
        <w:t>GIII</w:t>
      </w:r>
      <w:r w:rsidR="0051420A" w:rsidRPr="00E26ADA">
        <w:rPr>
          <w:rFonts w:ascii="Times New Roman" w:hAnsi="Times New Roman" w:cs="Times New Roman"/>
          <w:color w:val="000000"/>
          <w:sz w:val="28"/>
          <w:szCs w:val="28"/>
        </w:rPr>
        <w:t xml:space="preserve"> во вторичную ГБGIV подтверждает неблагоприятный прогноз заболевания, снижение чувствительности опухоли к терапии темозоломидом во 2-й линии терапии (в 75%, 3/4) и целесообразности назначения бевацизумаба при трансформации опухоли во вторичную ГБ</w:t>
      </w:r>
      <w:r w:rsidR="0051420A" w:rsidRPr="00E26ADA">
        <w:rPr>
          <w:rFonts w:ascii="Times New Roman" w:hAnsi="Times New Roman" w:cs="Times New Roman"/>
          <w:color w:val="000000"/>
          <w:sz w:val="28"/>
          <w:szCs w:val="28"/>
          <w:lang w:val="en-US"/>
        </w:rPr>
        <w:t>GIV</w:t>
      </w:r>
      <w:r w:rsidR="0051420A" w:rsidRPr="00E26ADA">
        <w:rPr>
          <w:rFonts w:ascii="Times New Roman" w:hAnsi="Times New Roman" w:cs="Times New Roman"/>
          <w:color w:val="000000"/>
          <w:sz w:val="28"/>
          <w:szCs w:val="28"/>
        </w:rPr>
        <w:t xml:space="preserve">, что подтверждается высоким уровнем экспрессии гена </w:t>
      </w:r>
      <w:r w:rsidR="0051420A" w:rsidRPr="00E26ADA">
        <w:rPr>
          <w:rFonts w:ascii="Times New Roman" w:hAnsi="Times New Roman" w:cs="Times New Roman"/>
          <w:color w:val="000000"/>
          <w:sz w:val="28"/>
          <w:szCs w:val="28"/>
          <w:lang w:val="en-US"/>
        </w:rPr>
        <w:t>VEGF</w:t>
      </w:r>
      <w:r w:rsidR="0051420A" w:rsidRPr="00E26ADA">
        <w:rPr>
          <w:rFonts w:ascii="Times New Roman" w:hAnsi="Times New Roman" w:cs="Times New Roman"/>
          <w:color w:val="000000"/>
          <w:sz w:val="28"/>
          <w:szCs w:val="28"/>
        </w:rPr>
        <w:t xml:space="preserve"> в материале от второй операции в 80% случаев (4/5). </w:t>
      </w:r>
      <w:r w:rsidR="0051420A" w:rsidRPr="00E26ADA">
        <w:rPr>
          <w:rFonts w:ascii="Times New Roman" w:hAnsi="Times New Roman" w:cs="Times New Roman"/>
          <w:color w:val="000000"/>
          <w:sz w:val="28"/>
          <w:szCs w:val="28"/>
        </w:rPr>
        <w:br/>
        <w:t>Были проанализированы</w:t>
      </w:r>
      <w:r w:rsidR="0051420A" w:rsidRPr="00E26ADA">
        <w:rPr>
          <w:rFonts w:ascii="Times New Roman" w:hAnsi="Times New Roman" w:cs="Times New Roman"/>
          <w:sz w:val="28"/>
          <w:szCs w:val="28"/>
        </w:rPr>
        <w:t xml:space="preserve"> зависимость безрецидивной выживаемости от экспрессии генов и тактики лечения – длительной БРВ в случае ЗТ ДА</w:t>
      </w:r>
      <w:r w:rsidR="0051420A" w:rsidRPr="00E26ADA">
        <w:rPr>
          <w:rFonts w:ascii="Times New Roman" w:hAnsi="Times New Roman" w:cs="Times New Roman"/>
          <w:sz w:val="28"/>
          <w:szCs w:val="28"/>
          <w:lang w:val="en-US"/>
        </w:rPr>
        <w:t>GII</w:t>
      </w:r>
      <w:r w:rsidR="0051420A" w:rsidRPr="00E26ADA">
        <w:rPr>
          <w:rFonts w:ascii="Times New Roman" w:hAnsi="Times New Roman" w:cs="Times New Roman"/>
          <w:sz w:val="28"/>
          <w:szCs w:val="28"/>
        </w:rPr>
        <w:t>/ОДГ</w:t>
      </w:r>
      <w:r w:rsidR="0051420A" w:rsidRPr="00E26ADA">
        <w:rPr>
          <w:rFonts w:ascii="Times New Roman" w:hAnsi="Times New Roman" w:cs="Times New Roman"/>
          <w:sz w:val="28"/>
          <w:szCs w:val="28"/>
          <w:lang w:val="en-US"/>
        </w:rPr>
        <w:t>GII</w:t>
      </w:r>
      <w:r w:rsidR="0051420A" w:rsidRPr="00E26ADA">
        <w:rPr>
          <w:rFonts w:ascii="Times New Roman" w:hAnsi="Times New Roman" w:cs="Times New Roman"/>
          <w:sz w:val="28"/>
          <w:szCs w:val="28"/>
        </w:rPr>
        <w:t xml:space="preserve"> в АА</w:t>
      </w:r>
      <w:r w:rsidR="0051420A" w:rsidRPr="00E26ADA">
        <w:rPr>
          <w:rFonts w:ascii="Times New Roman" w:hAnsi="Times New Roman" w:cs="Times New Roman"/>
          <w:sz w:val="28"/>
          <w:szCs w:val="28"/>
          <w:lang w:val="en-US"/>
        </w:rPr>
        <w:t>GIII</w:t>
      </w:r>
      <w:r w:rsidR="0051420A" w:rsidRPr="00E26ADA">
        <w:rPr>
          <w:rFonts w:ascii="Times New Roman" w:hAnsi="Times New Roman" w:cs="Times New Roman"/>
          <w:sz w:val="28"/>
          <w:szCs w:val="28"/>
        </w:rPr>
        <w:t>/АОДГ</w:t>
      </w:r>
      <w:r w:rsidR="0051420A" w:rsidRPr="00E26ADA">
        <w:rPr>
          <w:rFonts w:ascii="Times New Roman" w:hAnsi="Times New Roman" w:cs="Times New Roman"/>
          <w:sz w:val="28"/>
          <w:szCs w:val="28"/>
          <w:lang w:val="en-US"/>
        </w:rPr>
        <w:t>GIII</w:t>
      </w:r>
      <w:r w:rsidR="0051420A" w:rsidRPr="00E26ADA">
        <w:rPr>
          <w:rFonts w:ascii="Times New Roman" w:hAnsi="Times New Roman" w:cs="Times New Roman"/>
          <w:sz w:val="28"/>
          <w:szCs w:val="28"/>
        </w:rPr>
        <w:t xml:space="preserve"> способствует проведение лучевой терапии в адъювантном режиме. При этом отмечалась связь низкой экспрессии </w:t>
      </w:r>
      <w:r w:rsidR="0051420A" w:rsidRPr="00E26ADA">
        <w:rPr>
          <w:rFonts w:ascii="Times New Roman" w:hAnsi="Times New Roman" w:cs="Times New Roman"/>
          <w:sz w:val="28"/>
          <w:szCs w:val="28"/>
          <w:lang w:val="en-US"/>
        </w:rPr>
        <w:t>MGMT</w:t>
      </w:r>
      <w:r w:rsidR="0051420A" w:rsidRPr="00E26ADA">
        <w:rPr>
          <w:rFonts w:ascii="Times New Roman" w:hAnsi="Times New Roman" w:cs="Times New Roman"/>
          <w:sz w:val="28"/>
          <w:szCs w:val="28"/>
        </w:rPr>
        <w:t>, при которых БРВ достигала высоких значений. В случае ЗТ АА</w:t>
      </w:r>
      <w:r w:rsidR="0051420A" w:rsidRPr="00E26ADA">
        <w:rPr>
          <w:rFonts w:ascii="Times New Roman" w:hAnsi="Times New Roman" w:cs="Times New Roman"/>
          <w:sz w:val="28"/>
          <w:szCs w:val="28"/>
          <w:lang w:val="en-US"/>
        </w:rPr>
        <w:t>GIII</w:t>
      </w:r>
      <w:r w:rsidR="0051420A" w:rsidRPr="00E26ADA">
        <w:rPr>
          <w:rFonts w:ascii="Times New Roman" w:hAnsi="Times New Roman" w:cs="Times New Roman"/>
          <w:sz w:val="28"/>
          <w:szCs w:val="28"/>
        </w:rPr>
        <w:t>/АОДГ</w:t>
      </w:r>
      <w:r w:rsidR="0051420A" w:rsidRPr="00E26ADA">
        <w:rPr>
          <w:rFonts w:ascii="Times New Roman" w:hAnsi="Times New Roman" w:cs="Times New Roman"/>
          <w:sz w:val="28"/>
          <w:szCs w:val="28"/>
          <w:lang w:val="en-US"/>
        </w:rPr>
        <w:t>GIII</w:t>
      </w:r>
      <w:r w:rsidR="0051420A" w:rsidRPr="00E26ADA">
        <w:rPr>
          <w:rFonts w:ascii="Times New Roman" w:hAnsi="Times New Roman" w:cs="Times New Roman"/>
          <w:sz w:val="28"/>
          <w:szCs w:val="28"/>
        </w:rPr>
        <w:t xml:space="preserve"> во вторичную ГБ</w:t>
      </w:r>
      <w:r w:rsidR="0051420A" w:rsidRPr="00E26ADA">
        <w:rPr>
          <w:rFonts w:ascii="Times New Roman" w:hAnsi="Times New Roman" w:cs="Times New Roman"/>
          <w:sz w:val="28"/>
          <w:szCs w:val="28"/>
          <w:lang w:val="en-US"/>
        </w:rPr>
        <w:t>GIV</w:t>
      </w:r>
      <w:r w:rsidR="0051420A" w:rsidRPr="00E26ADA">
        <w:rPr>
          <w:rFonts w:ascii="Times New Roman" w:hAnsi="Times New Roman" w:cs="Times New Roman"/>
          <w:sz w:val="28"/>
          <w:szCs w:val="28"/>
        </w:rPr>
        <w:t xml:space="preserve"> достоверно высокие значения БРВ отмечались при проведении химиолучевой терапии темозоломидом в первой линии и лучевой терапии с применением бевацизумаба и иринотекана во второй линии</w:t>
      </w:r>
      <w:r w:rsidR="00E26ADA">
        <w:rPr>
          <w:rFonts w:ascii="Times New Roman" w:hAnsi="Times New Roman" w:cs="Times New Roman"/>
          <w:sz w:val="28"/>
          <w:szCs w:val="28"/>
        </w:rPr>
        <w:t>.</w:t>
      </w:r>
      <w:r w:rsidR="00E26ADA">
        <w:rPr>
          <w:rFonts w:ascii="Times New Roman" w:hAnsi="Times New Roman" w:cs="Times New Roman"/>
          <w:sz w:val="28"/>
          <w:szCs w:val="28"/>
        </w:rPr>
        <w:br/>
      </w:r>
      <w:r w:rsidR="00E26ADA" w:rsidRPr="00E26ADA">
        <w:rPr>
          <w:rFonts w:ascii="Times New Roman" w:hAnsi="Times New Roman" w:cs="Times New Roman"/>
          <w:sz w:val="28"/>
          <w:szCs w:val="28"/>
        </w:rPr>
        <w:lastRenderedPageBreak/>
        <w:t xml:space="preserve">Была исследована зависимость безрецидивной и общей выживаемости от мутации </w:t>
      </w:r>
      <w:r w:rsidR="00E26ADA" w:rsidRPr="00E26ADA">
        <w:rPr>
          <w:rFonts w:ascii="Times New Roman" w:hAnsi="Times New Roman" w:cs="Times New Roman"/>
          <w:sz w:val="28"/>
          <w:szCs w:val="28"/>
          <w:lang w:val="en-US"/>
        </w:rPr>
        <w:t>IDH</w:t>
      </w:r>
      <w:r w:rsidR="00E26ADA" w:rsidRPr="00E26ADA">
        <w:rPr>
          <w:rFonts w:ascii="Times New Roman" w:hAnsi="Times New Roman" w:cs="Times New Roman"/>
          <w:sz w:val="28"/>
          <w:szCs w:val="28"/>
        </w:rPr>
        <w:t xml:space="preserve"> и ко-делеции 1</w:t>
      </w:r>
      <w:r w:rsidR="00E26ADA" w:rsidRPr="00E26ADA">
        <w:rPr>
          <w:rFonts w:ascii="Times New Roman" w:hAnsi="Times New Roman" w:cs="Times New Roman"/>
          <w:sz w:val="28"/>
          <w:szCs w:val="28"/>
          <w:lang w:val="en-US"/>
        </w:rPr>
        <w:t>p</w:t>
      </w:r>
      <w:r w:rsidR="00E26ADA" w:rsidRPr="00E26ADA">
        <w:rPr>
          <w:rFonts w:ascii="Times New Roman" w:hAnsi="Times New Roman" w:cs="Times New Roman"/>
          <w:sz w:val="28"/>
          <w:szCs w:val="28"/>
        </w:rPr>
        <w:t>19</w:t>
      </w:r>
      <w:r w:rsidR="00E26ADA" w:rsidRPr="00E26ADA">
        <w:rPr>
          <w:rFonts w:ascii="Times New Roman" w:hAnsi="Times New Roman" w:cs="Times New Roman"/>
          <w:sz w:val="28"/>
          <w:szCs w:val="28"/>
          <w:lang w:val="en-US"/>
        </w:rPr>
        <w:t>q</w:t>
      </w:r>
      <w:r w:rsidR="00E26ADA" w:rsidRPr="00E26ADA">
        <w:rPr>
          <w:rFonts w:ascii="Times New Roman" w:hAnsi="Times New Roman" w:cs="Times New Roman"/>
          <w:sz w:val="28"/>
          <w:szCs w:val="28"/>
        </w:rPr>
        <w:t xml:space="preserve"> в случае ДА</w:t>
      </w:r>
      <w:r w:rsidR="00E26ADA" w:rsidRPr="00E26ADA">
        <w:rPr>
          <w:rFonts w:ascii="Times New Roman" w:hAnsi="Times New Roman" w:cs="Times New Roman"/>
          <w:sz w:val="28"/>
          <w:szCs w:val="28"/>
          <w:lang w:val="en-US"/>
        </w:rPr>
        <w:t>GII</w:t>
      </w:r>
      <w:r w:rsidR="00E26ADA" w:rsidRPr="00E26ADA">
        <w:rPr>
          <w:rFonts w:ascii="Times New Roman" w:hAnsi="Times New Roman" w:cs="Times New Roman"/>
          <w:sz w:val="28"/>
          <w:szCs w:val="28"/>
        </w:rPr>
        <w:t>/ОДГ</w:t>
      </w:r>
      <w:r w:rsidR="00E26ADA" w:rsidRPr="00E26ADA">
        <w:rPr>
          <w:rFonts w:ascii="Times New Roman" w:hAnsi="Times New Roman" w:cs="Times New Roman"/>
          <w:sz w:val="28"/>
          <w:szCs w:val="28"/>
          <w:lang w:val="en-US"/>
        </w:rPr>
        <w:t>GII</w:t>
      </w:r>
      <w:r w:rsidR="00E26ADA" w:rsidRPr="00E26ADA">
        <w:rPr>
          <w:rFonts w:ascii="Times New Roman" w:hAnsi="Times New Roman" w:cs="Times New Roman"/>
          <w:sz w:val="28"/>
          <w:szCs w:val="28"/>
        </w:rPr>
        <w:t xml:space="preserve">: статистически достоверное увеличение БРВ наблюдалось в опухолях с мутацией </w:t>
      </w:r>
      <w:r w:rsidR="00E26ADA" w:rsidRPr="00E26ADA">
        <w:rPr>
          <w:rFonts w:ascii="Times New Roman" w:hAnsi="Times New Roman" w:cs="Times New Roman"/>
          <w:sz w:val="28"/>
          <w:szCs w:val="28"/>
          <w:lang w:val="en-US"/>
        </w:rPr>
        <w:t>IDH</w:t>
      </w:r>
      <w:r w:rsidR="00E26ADA" w:rsidRPr="00E26ADA">
        <w:rPr>
          <w:rFonts w:ascii="Times New Roman" w:hAnsi="Times New Roman" w:cs="Times New Roman"/>
          <w:sz w:val="28"/>
          <w:szCs w:val="28"/>
        </w:rPr>
        <w:t xml:space="preserve">. Влияние мутации в генах </w:t>
      </w:r>
      <w:r w:rsidR="00E26ADA" w:rsidRPr="00E26ADA">
        <w:rPr>
          <w:rFonts w:ascii="Times New Roman" w:hAnsi="Times New Roman" w:cs="Times New Roman"/>
          <w:sz w:val="28"/>
          <w:szCs w:val="28"/>
          <w:lang w:val="en-US"/>
        </w:rPr>
        <w:t>IDH</w:t>
      </w:r>
      <w:r w:rsidR="00E26ADA" w:rsidRPr="00E26ADA">
        <w:rPr>
          <w:rFonts w:ascii="Times New Roman" w:hAnsi="Times New Roman" w:cs="Times New Roman"/>
          <w:sz w:val="28"/>
          <w:szCs w:val="28"/>
        </w:rPr>
        <w:t xml:space="preserve"> 1/2 на ОВ не оказалось столь выраженным. Наличие ко-делеции 1</w:t>
      </w:r>
      <w:r w:rsidR="00E26ADA" w:rsidRPr="00E26ADA">
        <w:rPr>
          <w:rFonts w:ascii="Times New Roman" w:hAnsi="Times New Roman" w:cs="Times New Roman"/>
          <w:sz w:val="28"/>
          <w:szCs w:val="28"/>
          <w:lang w:val="en-US"/>
        </w:rPr>
        <w:t>p</w:t>
      </w:r>
      <w:r w:rsidR="00E26ADA" w:rsidRPr="00E26ADA">
        <w:rPr>
          <w:rFonts w:ascii="Times New Roman" w:hAnsi="Times New Roman" w:cs="Times New Roman"/>
          <w:sz w:val="28"/>
          <w:szCs w:val="28"/>
        </w:rPr>
        <w:t>19</w:t>
      </w:r>
      <w:r w:rsidR="00E26ADA" w:rsidRPr="00E26ADA">
        <w:rPr>
          <w:rFonts w:ascii="Times New Roman" w:hAnsi="Times New Roman" w:cs="Times New Roman"/>
          <w:sz w:val="28"/>
          <w:szCs w:val="28"/>
          <w:lang w:val="en-US"/>
        </w:rPr>
        <w:t>q</w:t>
      </w:r>
      <w:r w:rsidR="00E26ADA" w:rsidRPr="00E26ADA">
        <w:rPr>
          <w:rFonts w:ascii="Times New Roman" w:hAnsi="Times New Roman" w:cs="Times New Roman"/>
          <w:sz w:val="28"/>
          <w:szCs w:val="28"/>
        </w:rPr>
        <w:t xml:space="preserve"> не привело к статистическому увеличению БРВ/ОВ. Также была изучена зависимость безрецидивной и общей выживаемости от мутации </w:t>
      </w:r>
      <w:r w:rsidR="00E26ADA" w:rsidRPr="00E26ADA">
        <w:rPr>
          <w:rFonts w:ascii="Times New Roman" w:hAnsi="Times New Roman" w:cs="Times New Roman"/>
          <w:sz w:val="28"/>
          <w:szCs w:val="28"/>
          <w:lang w:val="en-US"/>
        </w:rPr>
        <w:t>IDH</w:t>
      </w:r>
      <w:r w:rsidR="00E26ADA" w:rsidRPr="00E26ADA">
        <w:rPr>
          <w:rFonts w:ascii="Times New Roman" w:hAnsi="Times New Roman" w:cs="Times New Roman"/>
          <w:sz w:val="28"/>
          <w:szCs w:val="28"/>
        </w:rPr>
        <w:t xml:space="preserve"> и ко-делеции 1</w:t>
      </w:r>
      <w:r w:rsidR="00E26ADA" w:rsidRPr="00E26ADA">
        <w:rPr>
          <w:rFonts w:ascii="Times New Roman" w:hAnsi="Times New Roman" w:cs="Times New Roman"/>
          <w:sz w:val="28"/>
          <w:szCs w:val="28"/>
          <w:lang w:val="en-US"/>
        </w:rPr>
        <w:t>p</w:t>
      </w:r>
      <w:r w:rsidR="00E26ADA" w:rsidRPr="00E26ADA">
        <w:rPr>
          <w:rFonts w:ascii="Times New Roman" w:hAnsi="Times New Roman" w:cs="Times New Roman"/>
          <w:sz w:val="28"/>
          <w:szCs w:val="28"/>
        </w:rPr>
        <w:t>19</w:t>
      </w:r>
      <w:r w:rsidR="00E26ADA" w:rsidRPr="00E26ADA">
        <w:rPr>
          <w:rFonts w:ascii="Times New Roman" w:hAnsi="Times New Roman" w:cs="Times New Roman"/>
          <w:sz w:val="28"/>
          <w:szCs w:val="28"/>
          <w:lang w:val="en-US"/>
        </w:rPr>
        <w:t>q</w:t>
      </w:r>
      <w:r w:rsidR="00E26ADA" w:rsidRPr="00E26ADA">
        <w:rPr>
          <w:rFonts w:ascii="Times New Roman" w:hAnsi="Times New Roman" w:cs="Times New Roman"/>
          <w:sz w:val="28"/>
          <w:szCs w:val="28"/>
        </w:rPr>
        <w:t xml:space="preserve"> в случае АА</w:t>
      </w:r>
      <w:r w:rsidR="00E26ADA" w:rsidRPr="00E26ADA">
        <w:rPr>
          <w:rFonts w:ascii="Times New Roman" w:hAnsi="Times New Roman" w:cs="Times New Roman"/>
          <w:sz w:val="28"/>
          <w:szCs w:val="28"/>
          <w:lang w:val="en-US"/>
        </w:rPr>
        <w:t>GIII</w:t>
      </w:r>
      <w:r w:rsidR="00E26ADA" w:rsidRPr="00E26ADA">
        <w:rPr>
          <w:rFonts w:ascii="Times New Roman" w:hAnsi="Times New Roman" w:cs="Times New Roman"/>
          <w:sz w:val="28"/>
          <w:szCs w:val="28"/>
        </w:rPr>
        <w:t>/АОДГ</w:t>
      </w:r>
      <w:r w:rsidR="00E26ADA" w:rsidRPr="00E26ADA">
        <w:rPr>
          <w:rFonts w:ascii="Times New Roman" w:hAnsi="Times New Roman" w:cs="Times New Roman"/>
          <w:sz w:val="28"/>
          <w:szCs w:val="28"/>
          <w:lang w:val="en-US"/>
        </w:rPr>
        <w:t>GIII</w:t>
      </w:r>
      <w:r w:rsidR="00E26ADA">
        <w:rPr>
          <w:rFonts w:ascii="Times New Roman" w:hAnsi="Times New Roman" w:cs="Times New Roman"/>
          <w:sz w:val="28"/>
          <w:szCs w:val="28"/>
        </w:rPr>
        <w:t xml:space="preserve">: </w:t>
      </w:r>
      <w:r w:rsidR="00E26ADA" w:rsidRPr="00E26ADA">
        <w:rPr>
          <w:rFonts w:ascii="Times New Roman" w:hAnsi="Times New Roman" w:cs="Times New Roman"/>
          <w:sz w:val="28"/>
          <w:szCs w:val="28"/>
        </w:rPr>
        <w:t xml:space="preserve">статистически достоверное увеличение БРВ наблюдалось в опухолях с мутацией </w:t>
      </w:r>
      <w:r w:rsidR="00E26ADA" w:rsidRPr="00E26ADA">
        <w:rPr>
          <w:rFonts w:ascii="Times New Roman" w:hAnsi="Times New Roman" w:cs="Times New Roman"/>
          <w:sz w:val="28"/>
          <w:szCs w:val="28"/>
          <w:lang w:val="en-US"/>
        </w:rPr>
        <w:t>IDH</w:t>
      </w:r>
      <w:r w:rsidR="00E26ADA">
        <w:rPr>
          <w:rFonts w:ascii="Times New Roman" w:hAnsi="Times New Roman" w:cs="Times New Roman"/>
          <w:sz w:val="28"/>
          <w:szCs w:val="28"/>
        </w:rPr>
        <w:t xml:space="preserve">. </w:t>
      </w:r>
      <w:r w:rsidR="00E26ADA" w:rsidRPr="00C24DF3">
        <w:rPr>
          <w:rFonts w:ascii="Times New Roman" w:hAnsi="Times New Roman" w:cs="Times New Roman"/>
          <w:sz w:val="28"/>
          <w:szCs w:val="28"/>
        </w:rPr>
        <w:t xml:space="preserve">Мутация в генах </w:t>
      </w:r>
      <w:r w:rsidR="00E26ADA" w:rsidRPr="00C24DF3">
        <w:rPr>
          <w:rFonts w:ascii="Times New Roman" w:hAnsi="Times New Roman" w:cs="Times New Roman"/>
          <w:sz w:val="28"/>
          <w:szCs w:val="28"/>
          <w:lang w:val="en-US"/>
        </w:rPr>
        <w:t>IDH</w:t>
      </w:r>
      <w:r w:rsidR="00E26ADA" w:rsidRPr="00C24DF3">
        <w:rPr>
          <w:rFonts w:ascii="Times New Roman" w:hAnsi="Times New Roman" w:cs="Times New Roman"/>
          <w:sz w:val="28"/>
          <w:szCs w:val="28"/>
        </w:rPr>
        <w:t xml:space="preserve"> 1/2 также оказала </w:t>
      </w:r>
      <w:r w:rsidR="00E26ADA">
        <w:rPr>
          <w:rFonts w:ascii="Times New Roman" w:hAnsi="Times New Roman" w:cs="Times New Roman"/>
          <w:sz w:val="28"/>
          <w:szCs w:val="28"/>
        </w:rPr>
        <w:t xml:space="preserve">положительное </w:t>
      </w:r>
      <w:r w:rsidR="00E26ADA" w:rsidRPr="00C24DF3">
        <w:rPr>
          <w:rFonts w:ascii="Times New Roman" w:hAnsi="Times New Roman" w:cs="Times New Roman"/>
          <w:sz w:val="28"/>
          <w:szCs w:val="28"/>
        </w:rPr>
        <w:t>влияние на общую выживаемость</w:t>
      </w:r>
      <w:r w:rsidR="00E26ADA">
        <w:rPr>
          <w:rFonts w:ascii="Times New Roman" w:hAnsi="Times New Roman" w:cs="Times New Roman"/>
          <w:sz w:val="28"/>
          <w:szCs w:val="28"/>
        </w:rPr>
        <w:t xml:space="preserve">. </w:t>
      </w:r>
      <w:r w:rsidR="00E26ADA" w:rsidRPr="00E26ADA">
        <w:rPr>
          <w:rFonts w:ascii="Times New Roman" w:hAnsi="Times New Roman" w:cs="Times New Roman"/>
          <w:sz w:val="28"/>
          <w:szCs w:val="28"/>
        </w:rPr>
        <w:t>Наличие ко-делеции 1</w:t>
      </w:r>
      <w:r w:rsidR="00E26ADA" w:rsidRPr="00E26ADA">
        <w:rPr>
          <w:rFonts w:ascii="Times New Roman" w:hAnsi="Times New Roman" w:cs="Times New Roman"/>
          <w:sz w:val="28"/>
          <w:szCs w:val="28"/>
          <w:lang w:val="en-US"/>
        </w:rPr>
        <w:t>p</w:t>
      </w:r>
      <w:r w:rsidR="00E26ADA" w:rsidRPr="00E26ADA">
        <w:rPr>
          <w:rFonts w:ascii="Times New Roman" w:hAnsi="Times New Roman" w:cs="Times New Roman"/>
          <w:sz w:val="28"/>
          <w:szCs w:val="28"/>
        </w:rPr>
        <w:t>19</w:t>
      </w:r>
      <w:r w:rsidR="00E26ADA" w:rsidRPr="00E26ADA">
        <w:rPr>
          <w:rFonts w:ascii="Times New Roman" w:hAnsi="Times New Roman" w:cs="Times New Roman"/>
          <w:sz w:val="28"/>
          <w:szCs w:val="28"/>
          <w:lang w:val="en-US"/>
        </w:rPr>
        <w:t>q</w:t>
      </w:r>
      <w:r w:rsidR="00E26ADA" w:rsidRPr="00E26ADA">
        <w:rPr>
          <w:rFonts w:ascii="Times New Roman" w:hAnsi="Times New Roman" w:cs="Times New Roman"/>
          <w:sz w:val="28"/>
          <w:szCs w:val="28"/>
        </w:rPr>
        <w:t xml:space="preserve"> не привело к статистическому увеличению БРВ/ОВ</w:t>
      </w:r>
      <w:r w:rsidR="00E26ADA">
        <w:rPr>
          <w:rFonts w:ascii="Times New Roman" w:hAnsi="Times New Roman" w:cs="Times New Roman"/>
          <w:sz w:val="28"/>
          <w:szCs w:val="28"/>
        </w:rPr>
        <w:t>.</w:t>
      </w:r>
      <w:r w:rsidR="00E26ADA">
        <w:rPr>
          <w:rFonts w:ascii="Times New Roman" w:hAnsi="Times New Roman" w:cs="Times New Roman"/>
          <w:sz w:val="28"/>
          <w:szCs w:val="28"/>
        </w:rPr>
        <w:br/>
        <w:t xml:space="preserve">Наконец, был проведен анализ клинических и молекулярно-генетических факторов риска наступления злокачественной трансформации: </w:t>
      </w:r>
      <w:r w:rsidR="00E26ADA" w:rsidRPr="00ED5119">
        <w:rPr>
          <w:rFonts w:ascii="Times New Roman" w:hAnsi="Times New Roman" w:cs="Times New Roman"/>
          <w:sz w:val="28"/>
          <w:szCs w:val="28"/>
        </w:rPr>
        <w:t>на риск быстрой трансформации ДА</w:t>
      </w:r>
      <w:r w:rsidR="00E26ADA" w:rsidRPr="00ED5119">
        <w:rPr>
          <w:rFonts w:ascii="Times New Roman" w:hAnsi="Times New Roman" w:cs="Times New Roman"/>
          <w:sz w:val="28"/>
          <w:szCs w:val="28"/>
          <w:lang w:val="en-US"/>
        </w:rPr>
        <w:t>GII</w:t>
      </w:r>
      <w:r w:rsidR="00E26ADA" w:rsidRPr="00ED5119">
        <w:rPr>
          <w:rFonts w:ascii="Times New Roman" w:hAnsi="Times New Roman" w:cs="Times New Roman"/>
          <w:sz w:val="28"/>
          <w:szCs w:val="28"/>
        </w:rPr>
        <w:t xml:space="preserve"> в АА</w:t>
      </w:r>
      <w:r w:rsidR="00E26ADA" w:rsidRPr="00ED5119">
        <w:rPr>
          <w:rFonts w:ascii="Times New Roman" w:hAnsi="Times New Roman" w:cs="Times New Roman"/>
          <w:sz w:val="28"/>
          <w:szCs w:val="28"/>
          <w:lang w:val="en-US"/>
        </w:rPr>
        <w:t>GIII</w:t>
      </w:r>
      <w:r w:rsidR="00E26ADA" w:rsidRPr="00ED5119">
        <w:rPr>
          <w:rFonts w:ascii="Times New Roman" w:hAnsi="Times New Roman" w:cs="Times New Roman"/>
          <w:sz w:val="28"/>
          <w:szCs w:val="28"/>
        </w:rPr>
        <w:t xml:space="preserve"> или вторичную ГБ</w:t>
      </w:r>
      <w:r w:rsidR="00E26ADA" w:rsidRPr="00ED5119">
        <w:rPr>
          <w:rFonts w:ascii="Times New Roman" w:hAnsi="Times New Roman" w:cs="Times New Roman"/>
          <w:sz w:val="28"/>
          <w:szCs w:val="28"/>
          <w:lang w:val="en-US"/>
        </w:rPr>
        <w:t>GIV</w:t>
      </w:r>
      <w:r w:rsidR="00E26ADA" w:rsidRPr="00ED5119">
        <w:rPr>
          <w:rFonts w:ascii="Times New Roman" w:hAnsi="Times New Roman" w:cs="Times New Roman"/>
          <w:sz w:val="28"/>
          <w:szCs w:val="28"/>
        </w:rPr>
        <w:t xml:space="preserve"> оказали влияние возраст (</w:t>
      </w:r>
      <w:r w:rsidR="00E26ADA" w:rsidRPr="00ED5119">
        <w:rPr>
          <w:rFonts w:ascii="Times New Roman" w:hAnsi="Times New Roman" w:cs="Times New Roman"/>
          <w:sz w:val="28"/>
          <w:szCs w:val="28"/>
          <w:lang w:val="en-US"/>
        </w:rPr>
        <w:t>p</w:t>
      </w:r>
      <w:r w:rsidR="00E26ADA" w:rsidRPr="00ED5119">
        <w:rPr>
          <w:rFonts w:ascii="Times New Roman" w:hAnsi="Times New Roman" w:cs="Times New Roman"/>
          <w:sz w:val="28"/>
          <w:szCs w:val="28"/>
        </w:rPr>
        <w:t xml:space="preserve">=0,009), уровень экспрессии генов: </w:t>
      </w:r>
      <w:r w:rsidR="00E26ADA" w:rsidRPr="00ED5119">
        <w:rPr>
          <w:rFonts w:ascii="Times New Roman" w:hAnsi="Times New Roman" w:cs="Times New Roman"/>
          <w:sz w:val="28"/>
          <w:szCs w:val="28"/>
          <w:lang w:val="en-US"/>
        </w:rPr>
        <w:t>MGMT</w:t>
      </w:r>
      <w:r w:rsidR="00E26ADA" w:rsidRPr="00ED5119">
        <w:rPr>
          <w:rFonts w:ascii="Times New Roman" w:hAnsi="Times New Roman" w:cs="Times New Roman"/>
          <w:sz w:val="28"/>
          <w:szCs w:val="28"/>
        </w:rPr>
        <w:t xml:space="preserve"> (р=0,003), </w:t>
      </w:r>
      <w:r w:rsidR="00E26ADA" w:rsidRPr="00ED5119">
        <w:rPr>
          <w:rFonts w:ascii="Times New Roman" w:hAnsi="Times New Roman" w:cs="Times New Roman"/>
          <w:sz w:val="28"/>
          <w:szCs w:val="28"/>
          <w:lang w:val="en-US"/>
        </w:rPr>
        <w:t>TP</w:t>
      </w:r>
      <w:r w:rsidR="00E26ADA" w:rsidRPr="00ED5119">
        <w:rPr>
          <w:rFonts w:ascii="Times New Roman" w:hAnsi="Times New Roman" w:cs="Times New Roman"/>
          <w:sz w:val="28"/>
          <w:szCs w:val="28"/>
        </w:rPr>
        <w:t xml:space="preserve"> (р=0,023) и был близок ген </w:t>
      </w:r>
      <w:r w:rsidR="00E26ADA" w:rsidRPr="00ED5119">
        <w:rPr>
          <w:rFonts w:ascii="Times New Roman" w:hAnsi="Times New Roman" w:cs="Times New Roman"/>
          <w:sz w:val="28"/>
          <w:szCs w:val="28"/>
          <w:lang w:val="en-US"/>
        </w:rPr>
        <w:t>VEGF</w:t>
      </w:r>
      <w:r w:rsidR="00E26ADA" w:rsidRPr="00ED5119">
        <w:rPr>
          <w:rFonts w:ascii="Times New Roman" w:hAnsi="Times New Roman" w:cs="Times New Roman"/>
          <w:sz w:val="28"/>
          <w:szCs w:val="28"/>
        </w:rPr>
        <w:t xml:space="preserve"> (р=0,054). При линейном анализе на риск трансформации повлияло накопление контраста опухолью (р=0,0014) и размер опухоли на первом МРТ (р=0,045).</w:t>
      </w:r>
    </w:p>
    <w:p w:rsidR="00E26ADA" w:rsidRPr="00E26ADA" w:rsidRDefault="00E26ADA" w:rsidP="005E0D82">
      <w:pPr>
        <w:spacing w:line="360" w:lineRule="auto"/>
        <w:rPr>
          <w:rFonts w:ascii="Times New Roman" w:hAnsi="Times New Roman" w:cs="Times New Roman"/>
          <w:sz w:val="28"/>
          <w:szCs w:val="28"/>
        </w:rPr>
      </w:pPr>
    </w:p>
    <w:p w:rsidR="0051420A" w:rsidRPr="0051420A" w:rsidRDefault="0051420A" w:rsidP="005E0D82">
      <w:pPr>
        <w:spacing w:after="0" w:line="360" w:lineRule="auto"/>
        <w:rPr>
          <w:rFonts w:ascii="Times New Roman" w:hAnsi="Times New Roman" w:cs="Times New Roman"/>
          <w:color w:val="000000"/>
          <w:sz w:val="28"/>
          <w:szCs w:val="28"/>
        </w:rPr>
      </w:pPr>
    </w:p>
    <w:p w:rsidR="0051420A" w:rsidRPr="00884329" w:rsidRDefault="0051420A" w:rsidP="005E0D82">
      <w:pPr>
        <w:spacing w:line="360" w:lineRule="auto"/>
        <w:rPr>
          <w:rFonts w:ascii="Times New Roman" w:hAnsi="Times New Roman" w:cs="Times New Roman"/>
          <w:sz w:val="28"/>
          <w:szCs w:val="28"/>
        </w:rPr>
      </w:pPr>
    </w:p>
    <w:p w:rsidR="00BD5DE2" w:rsidRPr="00884329" w:rsidRDefault="00884329" w:rsidP="005E0D82">
      <w:pPr>
        <w:spacing w:line="360" w:lineRule="auto"/>
        <w:rPr>
          <w:rFonts w:ascii="Times New Roman" w:hAnsi="Times New Roman" w:cs="Times New Roman"/>
          <w:sz w:val="28"/>
          <w:szCs w:val="28"/>
        </w:rPr>
      </w:pPr>
      <w:r w:rsidRPr="00884329">
        <w:rPr>
          <w:rFonts w:ascii="Times New Roman" w:hAnsi="Times New Roman" w:cs="Times New Roman"/>
          <w:sz w:val="28"/>
          <w:szCs w:val="28"/>
        </w:rPr>
        <w:t xml:space="preserve"> </w:t>
      </w:r>
      <w:r w:rsidR="00BD5DE2">
        <w:br w:type="page"/>
      </w:r>
    </w:p>
    <w:p w:rsidR="00701A93" w:rsidRPr="00C25FC0" w:rsidRDefault="00C849FD" w:rsidP="005E0D82">
      <w:pPr>
        <w:pStyle w:val="1"/>
        <w:spacing w:before="0" w:after="0"/>
        <w:jc w:val="both"/>
        <w:rPr>
          <w:rFonts w:cs="Times New Roman"/>
          <w:lang w:val="en-US"/>
        </w:rPr>
      </w:pPr>
      <w:bookmarkStart w:id="75" w:name="_Toc9250619"/>
      <w:r w:rsidRPr="002E124D">
        <w:rPr>
          <w:rFonts w:cs="Times New Roman"/>
        </w:rPr>
        <w:lastRenderedPageBreak/>
        <w:t>Список</w:t>
      </w:r>
      <w:r w:rsidRPr="00C25FC0">
        <w:rPr>
          <w:rFonts w:cs="Times New Roman"/>
          <w:lang w:val="en-US"/>
        </w:rPr>
        <w:t xml:space="preserve"> </w:t>
      </w:r>
      <w:r w:rsidRPr="002E124D">
        <w:rPr>
          <w:rFonts w:cs="Times New Roman"/>
        </w:rPr>
        <w:t>литературы</w:t>
      </w:r>
      <w:bookmarkEnd w:id="74"/>
      <w:bookmarkEnd w:id="75"/>
      <w:r w:rsidRPr="00C25FC0">
        <w:rPr>
          <w:rFonts w:cs="Times New Roman"/>
          <w:lang w:val="en-US"/>
        </w:rPr>
        <w:t xml:space="preserve"> </w:t>
      </w:r>
    </w:p>
    <w:p w:rsidR="00701A93" w:rsidRPr="00701A93" w:rsidRDefault="00701A93" w:rsidP="005E0D82">
      <w:pPr>
        <w:pStyle w:val="af"/>
        <w:spacing w:before="0" w:beforeAutospacing="0" w:after="0" w:afterAutospacing="0" w:line="360" w:lineRule="auto"/>
        <w:rPr>
          <w:sz w:val="28"/>
          <w:szCs w:val="28"/>
          <w:lang w:val="en-US"/>
        </w:rPr>
      </w:pPr>
      <w:r w:rsidRPr="00E26ADA">
        <w:rPr>
          <w:sz w:val="28"/>
          <w:szCs w:val="28"/>
          <w:lang w:val="en-US"/>
        </w:rPr>
        <w:t xml:space="preserve">1. </w:t>
      </w:r>
      <w:r w:rsidRPr="00701A93">
        <w:rPr>
          <w:sz w:val="28"/>
          <w:szCs w:val="28"/>
          <w:lang w:val="en-US"/>
        </w:rPr>
        <w:t>Deborah A. Forst; Brian V. Nahed et. al. Low-Grade Gliomas. The Oncologist 2014; 19; 403-413</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2. Louis D.; Schiff D., Batchelor T. et al. Classification and pathologic diagnosis of gliomas.</w:t>
      </w:r>
      <w:hyperlink r:id="rId32" w:history="1">
        <w:r w:rsidRPr="00701A93">
          <w:rPr>
            <w:rStyle w:val="a6"/>
            <w:rFonts w:eastAsiaTheme="majorEastAsia"/>
            <w:color w:val="auto"/>
            <w:sz w:val="28"/>
            <w:szCs w:val="28"/>
            <w:u w:val="none"/>
            <w:lang w:val="en-US"/>
          </w:rPr>
          <w:t xml:space="preserve"> </w:t>
        </w:r>
      </w:hyperlink>
      <w:r w:rsidRPr="00701A93">
        <w:rPr>
          <w:sz w:val="28"/>
          <w:szCs w:val="28"/>
          <w:lang w:val="en-US"/>
        </w:rPr>
        <w:t>UpToDate, 2019</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3. Bailey P, Cushing H. A classification of the tumors of the glioma group on a histogenetic basis with a correlated study of prognosis, JB Lippincott, Philadelphia 1926.</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4. </w:t>
      </w:r>
      <w:hyperlink r:id="rId33" w:history="1">
        <w:r w:rsidRPr="00701A93">
          <w:rPr>
            <w:rStyle w:val="a6"/>
            <w:rFonts w:eastAsiaTheme="majorEastAsia"/>
            <w:color w:val="auto"/>
            <w:sz w:val="28"/>
            <w:szCs w:val="28"/>
            <w:u w:val="none"/>
            <w:lang w:val="en-US"/>
          </w:rPr>
          <w:t>Kernohan JW, Marbon RF. A simplified classification of the gliomas. Proc Staff Meet Mayo Clin 1949; 24:71.</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5. Louis D.N., Ohgaki H., Wiestler O.D., Cavenee W.K. (Eds): WHO Classification of Tumours of the Central Nervous System (Revised 4th edition). IARC: Lyon. 2016; 4: 408.</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6. </w:t>
      </w:r>
      <w:r w:rsidRPr="00701A93">
        <w:rPr>
          <w:sz w:val="28"/>
          <w:szCs w:val="28"/>
        </w:rPr>
        <w:t>Мацко</w:t>
      </w:r>
      <w:r w:rsidRPr="00701A93">
        <w:rPr>
          <w:sz w:val="28"/>
          <w:szCs w:val="28"/>
          <w:lang w:val="en-US"/>
        </w:rPr>
        <w:t xml:space="preserve"> </w:t>
      </w:r>
      <w:r w:rsidRPr="00701A93">
        <w:rPr>
          <w:sz w:val="28"/>
          <w:szCs w:val="28"/>
        </w:rPr>
        <w:t>Д</w:t>
      </w:r>
      <w:r w:rsidRPr="00701A93">
        <w:rPr>
          <w:sz w:val="28"/>
          <w:szCs w:val="28"/>
          <w:lang w:val="en-US"/>
        </w:rPr>
        <w:t>.</w:t>
      </w:r>
      <w:r w:rsidRPr="00701A93">
        <w:rPr>
          <w:sz w:val="28"/>
          <w:szCs w:val="28"/>
        </w:rPr>
        <w:t>Е</w:t>
      </w:r>
      <w:r w:rsidRPr="00701A93">
        <w:rPr>
          <w:sz w:val="28"/>
          <w:szCs w:val="28"/>
          <w:lang w:val="en-US"/>
        </w:rPr>
        <w:t xml:space="preserve">., </w:t>
      </w:r>
      <w:r w:rsidRPr="00701A93">
        <w:rPr>
          <w:sz w:val="28"/>
          <w:szCs w:val="28"/>
        </w:rPr>
        <w:t>Мацко</w:t>
      </w:r>
      <w:r w:rsidRPr="00701A93">
        <w:rPr>
          <w:sz w:val="28"/>
          <w:szCs w:val="28"/>
          <w:lang w:val="en-US"/>
        </w:rPr>
        <w:t xml:space="preserve"> </w:t>
      </w:r>
      <w:r w:rsidRPr="00701A93">
        <w:rPr>
          <w:sz w:val="28"/>
          <w:szCs w:val="28"/>
        </w:rPr>
        <w:t>М</w:t>
      </w:r>
      <w:r w:rsidRPr="00701A93">
        <w:rPr>
          <w:sz w:val="28"/>
          <w:szCs w:val="28"/>
          <w:lang w:val="en-US"/>
        </w:rPr>
        <w:t>.</w:t>
      </w:r>
      <w:r w:rsidRPr="00701A93">
        <w:rPr>
          <w:sz w:val="28"/>
          <w:szCs w:val="28"/>
        </w:rPr>
        <w:t>В</w:t>
      </w:r>
      <w:r w:rsidRPr="00701A93">
        <w:rPr>
          <w:sz w:val="28"/>
          <w:szCs w:val="28"/>
          <w:lang w:val="en-US"/>
        </w:rPr>
        <w:t xml:space="preserve">., </w:t>
      </w:r>
      <w:r w:rsidRPr="00701A93">
        <w:rPr>
          <w:sz w:val="28"/>
          <w:szCs w:val="28"/>
        </w:rPr>
        <w:t>Имянитов</w:t>
      </w:r>
      <w:r w:rsidRPr="00701A93">
        <w:rPr>
          <w:sz w:val="28"/>
          <w:szCs w:val="28"/>
          <w:lang w:val="en-US"/>
        </w:rPr>
        <w:t xml:space="preserve"> </w:t>
      </w:r>
      <w:r w:rsidRPr="00701A93">
        <w:rPr>
          <w:sz w:val="28"/>
          <w:szCs w:val="28"/>
        </w:rPr>
        <w:t>Е</w:t>
      </w:r>
      <w:r w:rsidRPr="00701A93">
        <w:rPr>
          <w:sz w:val="28"/>
          <w:szCs w:val="28"/>
          <w:lang w:val="en-US"/>
        </w:rPr>
        <w:t>.</w:t>
      </w:r>
      <w:r w:rsidRPr="00701A93">
        <w:rPr>
          <w:sz w:val="28"/>
          <w:szCs w:val="28"/>
        </w:rPr>
        <w:t>Н</w:t>
      </w:r>
      <w:r w:rsidRPr="00701A93">
        <w:rPr>
          <w:sz w:val="28"/>
          <w:szCs w:val="28"/>
          <w:lang w:val="en-US"/>
        </w:rPr>
        <w:t xml:space="preserve">.: </w:t>
      </w:r>
      <w:r w:rsidRPr="00701A93">
        <w:rPr>
          <w:sz w:val="28"/>
          <w:szCs w:val="28"/>
        </w:rPr>
        <w:t>Нейроонкология</w:t>
      </w:r>
      <w:r w:rsidRPr="00701A93">
        <w:rPr>
          <w:sz w:val="28"/>
          <w:szCs w:val="28"/>
          <w:lang w:val="en-US"/>
        </w:rPr>
        <w:t xml:space="preserve">. </w:t>
      </w:r>
      <w:r w:rsidRPr="00701A93">
        <w:rPr>
          <w:sz w:val="28"/>
          <w:szCs w:val="28"/>
        </w:rPr>
        <w:t>Практическая</w:t>
      </w:r>
      <w:r w:rsidRPr="00701A93">
        <w:rPr>
          <w:sz w:val="28"/>
          <w:szCs w:val="28"/>
          <w:lang w:val="en-US"/>
        </w:rPr>
        <w:t xml:space="preserve"> </w:t>
      </w:r>
      <w:r w:rsidRPr="00701A93">
        <w:rPr>
          <w:sz w:val="28"/>
          <w:szCs w:val="28"/>
        </w:rPr>
        <w:t>онкология</w:t>
      </w:r>
      <w:r w:rsidRPr="00701A93">
        <w:rPr>
          <w:sz w:val="28"/>
          <w:szCs w:val="28"/>
          <w:lang w:val="en-US"/>
        </w:rPr>
        <w:t xml:space="preserve">, </w:t>
      </w:r>
      <w:r w:rsidRPr="00701A93">
        <w:rPr>
          <w:sz w:val="28"/>
          <w:szCs w:val="28"/>
        </w:rPr>
        <w:t>Т</w:t>
      </w:r>
      <w:r w:rsidRPr="00701A93">
        <w:rPr>
          <w:sz w:val="28"/>
          <w:szCs w:val="28"/>
          <w:lang w:val="en-US"/>
        </w:rPr>
        <w:t>. 18, №1, 2017</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7. </w:t>
      </w:r>
      <w:hyperlink r:id="rId34" w:history="1">
        <w:r w:rsidRPr="00701A93">
          <w:rPr>
            <w:rStyle w:val="a6"/>
            <w:rFonts w:eastAsiaTheme="majorEastAsia"/>
            <w:color w:val="auto"/>
            <w:sz w:val="28"/>
            <w:szCs w:val="28"/>
            <w:u w:val="none"/>
            <w:lang w:val="en-US"/>
          </w:rPr>
          <w:t>Louis DN, Perry A, Reifenberger G, et al. The 2016 World Health Organization Classification of Tumors of the Central Nervous System: a summary. Acta Neuropathol 2016; 131:803.</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8. </w:t>
      </w:r>
      <w:hyperlink r:id="rId35" w:history="1">
        <w:r w:rsidRPr="00701A93">
          <w:rPr>
            <w:rStyle w:val="a6"/>
            <w:rFonts w:eastAsiaTheme="majorEastAsia"/>
            <w:color w:val="auto"/>
            <w:sz w:val="28"/>
            <w:szCs w:val="28"/>
            <w:u w:val="none"/>
            <w:lang w:val="en-US"/>
          </w:rPr>
          <w:t>Forst DA</w:t>
        </w:r>
      </w:hyperlink>
      <w:r w:rsidRPr="00701A93">
        <w:rPr>
          <w:sz w:val="28"/>
          <w:szCs w:val="28"/>
          <w:lang w:val="en-US"/>
        </w:rPr>
        <w:t xml:space="preserve">, </w:t>
      </w:r>
      <w:hyperlink r:id="rId36" w:history="1">
        <w:r w:rsidRPr="00701A93">
          <w:rPr>
            <w:rStyle w:val="a6"/>
            <w:rFonts w:eastAsiaTheme="majorEastAsia"/>
            <w:color w:val="auto"/>
            <w:sz w:val="28"/>
            <w:szCs w:val="28"/>
            <w:u w:val="none"/>
            <w:lang w:val="en-US"/>
          </w:rPr>
          <w:t>Nahed BV</w:t>
        </w:r>
      </w:hyperlink>
      <w:r w:rsidRPr="00701A93">
        <w:rPr>
          <w:sz w:val="28"/>
          <w:szCs w:val="28"/>
          <w:lang w:val="en-US"/>
        </w:rPr>
        <w:t xml:space="preserve">, </w:t>
      </w:r>
      <w:hyperlink r:id="rId37" w:history="1">
        <w:r w:rsidRPr="00701A93">
          <w:rPr>
            <w:rStyle w:val="a6"/>
            <w:rFonts w:eastAsiaTheme="majorEastAsia"/>
            <w:color w:val="auto"/>
            <w:sz w:val="28"/>
            <w:szCs w:val="28"/>
            <w:u w:val="none"/>
            <w:lang w:val="en-US"/>
          </w:rPr>
          <w:t>Loeffler JS</w:t>
        </w:r>
      </w:hyperlink>
      <w:r w:rsidRPr="00701A93">
        <w:rPr>
          <w:sz w:val="28"/>
          <w:szCs w:val="28"/>
          <w:lang w:val="en-US"/>
        </w:rPr>
        <w:t xml:space="preserve">, </w:t>
      </w:r>
      <w:hyperlink r:id="rId38" w:history="1">
        <w:r w:rsidRPr="00701A93">
          <w:rPr>
            <w:rStyle w:val="a6"/>
            <w:rFonts w:eastAsiaTheme="majorEastAsia"/>
            <w:color w:val="auto"/>
            <w:sz w:val="28"/>
            <w:szCs w:val="28"/>
            <w:u w:val="none"/>
            <w:lang w:val="en-US"/>
          </w:rPr>
          <w:t>Batchelor TT</w:t>
        </w:r>
      </w:hyperlink>
      <w:r w:rsidRPr="00701A93">
        <w:rPr>
          <w:sz w:val="28"/>
          <w:szCs w:val="28"/>
          <w:lang w:val="en-US"/>
        </w:rPr>
        <w:t xml:space="preserve">. Low-grade gliomas. </w:t>
      </w:r>
      <w:hyperlink r:id="rId39" w:history="1">
        <w:r w:rsidRPr="00701A93">
          <w:rPr>
            <w:rStyle w:val="a6"/>
            <w:rFonts w:eastAsiaTheme="majorEastAsia"/>
            <w:color w:val="auto"/>
            <w:sz w:val="28"/>
            <w:szCs w:val="28"/>
            <w:u w:val="none"/>
            <w:lang w:val="en-US"/>
          </w:rPr>
          <w:t>Oncologist.</w:t>
        </w:r>
      </w:hyperlink>
      <w:r w:rsidRPr="00701A93">
        <w:rPr>
          <w:sz w:val="28"/>
          <w:szCs w:val="28"/>
          <w:lang w:val="en-US"/>
        </w:rPr>
        <w:t xml:space="preserve"> 2014 Apr;19(4):403-13</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9. Louis DN, Ohgaki H, Wiestler OD, Cavenee WK. Classification of Tumours of the Nervous System, IARC Press, Lyon, France 2007</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10. Central Brain Tumor Registry of the United States. Statistical Report: Primary Brain and Central Nervous System Tumors Diagnosed in the United</w:t>
      </w:r>
      <w:r w:rsidRPr="00701A93">
        <w:rPr>
          <w:sz w:val="28"/>
          <w:szCs w:val="28"/>
          <w:lang w:val="en-US"/>
        </w:rPr>
        <w:br/>
        <w:t>States in 2010-2008 (March 23, 2012 Revision). Hinsdale, IL: CBTRUS, 2012.</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11. </w:t>
      </w:r>
      <w:hyperlink r:id="rId40" w:history="1">
        <w:r w:rsidRPr="00701A93">
          <w:rPr>
            <w:rStyle w:val="a6"/>
            <w:rFonts w:eastAsiaTheme="majorEastAsia"/>
            <w:color w:val="auto"/>
            <w:sz w:val="28"/>
            <w:szCs w:val="28"/>
            <w:u w:val="none"/>
            <w:lang w:val="en-US"/>
          </w:rPr>
          <w:t>Cavaliere R, Farace E, Schiff D. Clinical implications of status epilepticus in patients with neoplasms. Arch Neurol 2006; 63:1746.</w:t>
        </w:r>
      </w:hyperlink>
    </w:p>
    <w:p w:rsidR="00701A93" w:rsidRPr="00701A93" w:rsidRDefault="00701A93" w:rsidP="005E0D82">
      <w:pPr>
        <w:pStyle w:val="af"/>
        <w:spacing w:before="0" w:beforeAutospacing="0" w:after="0" w:afterAutospacing="0" w:line="360" w:lineRule="auto"/>
        <w:rPr>
          <w:sz w:val="28"/>
          <w:szCs w:val="28"/>
        </w:rPr>
      </w:pPr>
      <w:r w:rsidRPr="00701A93">
        <w:rPr>
          <w:sz w:val="28"/>
          <w:szCs w:val="28"/>
          <w:lang w:val="en-US"/>
        </w:rPr>
        <w:t>12.  </w:t>
      </w:r>
      <w:hyperlink r:id="rId41" w:history="1">
        <w:r w:rsidRPr="00701A93">
          <w:rPr>
            <w:rStyle w:val="a6"/>
            <w:rFonts w:eastAsiaTheme="majorEastAsia"/>
            <w:color w:val="auto"/>
            <w:sz w:val="28"/>
            <w:szCs w:val="28"/>
            <w:u w:val="none"/>
            <w:lang w:val="en-US"/>
          </w:rPr>
          <w:t xml:space="preserve">Ostrom QT, Gittleman H, Truitt G, et al. CBTRUS Statistical Report: Primary Brain and Other Central Nervous System Tumors Diagnosed in the United States in 2011-2015. </w:t>
        </w:r>
        <w:r w:rsidRPr="00701A93">
          <w:rPr>
            <w:rStyle w:val="a6"/>
            <w:rFonts w:eastAsiaTheme="majorEastAsia"/>
            <w:color w:val="auto"/>
            <w:sz w:val="28"/>
            <w:szCs w:val="28"/>
            <w:u w:val="none"/>
          </w:rPr>
          <w:t>Neuro Oncol 2018; 20 Suppl 4:iv1.</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rPr>
        <w:lastRenderedPageBreak/>
        <w:t>13. Злокачественные новообразования в России в 2017 году (заболеваемость и смертность). Под ред. А.Д. Каприна, В.В. Старинского, Г.В. Петровой - М.: МНИОИ им. П</w:t>
      </w:r>
      <w:r w:rsidRPr="00701A93">
        <w:rPr>
          <w:sz w:val="28"/>
          <w:szCs w:val="28"/>
          <w:lang w:val="en-US"/>
        </w:rPr>
        <w:t>.</w:t>
      </w:r>
      <w:r w:rsidRPr="00701A93">
        <w:rPr>
          <w:sz w:val="28"/>
          <w:szCs w:val="28"/>
        </w:rPr>
        <w:t>А</w:t>
      </w:r>
      <w:r w:rsidRPr="00701A93">
        <w:rPr>
          <w:sz w:val="28"/>
          <w:szCs w:val="28"/>
          <w:lang w:val="en-US"/>
        </w:rPr>
        <w:t xml:space="preserve">. </w:t>
      </w:r>
      <w:r w:rsidRPr="00701A93">
        <w:rPr>
          <w:sz w:val="28"/>
          <w:szCs w:val="28"/>
        </w:rPr>
        <w:t>Герцена</w:t>
      </w:r>
      <w:r w:rsidRPr="00701A93">
        <w:rPr>
          <w:sz w:val="28"/>
          <w:szCs w:val="28"/>
          <w:lang w:val="en-US"/>
        </w:rPr>
        <w:t>, 2018.</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14. Ries LAG, Eisner MP, Kosary CL, Hankey BF, Miller BA, Clegg L, Mariotto A, Fay MP, Feuer EJ, Edwards BK (eds). SEER Cancer Statistics Review, 1975-2001, National Cancer Institute. Bethesda, MD seer.cancer.gov/csr/1975_2001 (Accessed on April 06, 2011).</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15. </w:t>
      </w:r>
      <w:hyperlink r:id="rId42" w:history="1">
        <w:r w:rsidRPr="00701A93">
          <w:rPr>
            <w:rStyle w:val="a6"/>
            <w:rFonts w:eastAsiaTheme="majorEastAsia"/>
            <w:color w:val="auto"/>
            <w:sz w:val="28"/>
            <w:szCs w:val="28"/>
            <w:u w:val="none"/>
            <w:lang w:val="en-US"/>
          </w:rPr>
          <w:t>Davis FG, Freels S, Grutsch J, et al. Survival rates in patients with primary malignant brain tumors stratified by patient age and tumor histological type: an analysis based on Surveillance, Epidemiology, and End Results (SEER) data, 1973-1991. J Neurosurg 1998; 88:1.</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16. </w:t>
      </w:r>
      <w:hyperlink r:id="rId43" w:history="1">
        <w:r w:rsidRPr="00701A93">
          <w:rPr>
            <w:rStyle w:val="a6"/>
            <w:rFonts w:eastAsiaTheme="majorEastAsia"/>
            <w:color w:val="auto"/>
            <w:sz w:val="28"/>
            <w:szCs w:val="28"/>
            <w:u w:val="none"/>
            <w:lang w:val="en-US"/>
          </w:rPr>
          <w:t>Chakrabarti I, Cockburn M, Cozen W, et al. A population-based description of glioblastoma multiforme in Los Angeles County, 1974-1999. Cancer 2005; 104:2798.</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17. Cairncross JG, Laperriere NJ: Low-grade glioma. To treat or</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not to treat? Arch Neurol 46: 1238-1239, 1989</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18. </w:t>
      </w:r>
      <w:hyperlink r:id="rId44" w:history="1">
        <w:r w:rsidRPr="00701A93">
          <w:rPr>
            <w:rStyle w:val="a6"/>
            <w:rFonts w:eastAsiaTheme="majorEastAsia"/>
            <w:color w:val="auto"/>
            <w:sz w:val="28"/>
            <w:szCs w:val="28"/>
            <w:u w:val="none"/>
            <w:lang w:val="en-US"/>
          </w:rPr>
          <w:t>Eric T Wong, MD, Julian K Wu, MD</w:t>
        </w:r>
      </w:hyperlink>
      <w:r w:rsidRPr="00701A93">
        <w:rPr>
          <w:sz w:val="28"/>
          <w:szCs w:val="28"/>
          <w:lang w:val="en-US"/>
        </w:rPr>
        <w:t>. Incidence of primary brain tumors. UpToDate, 2019</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19. </w:t>
      </w:r>
      <w:hyperlink r:id="rId45" w:history="1">
        <w:r w:rsidRPr="00701A93">
          <w:rPr>
            <w:rStyle w:val="a6"/>
            <w:rFonts w:eastAsiaTheme="majorEastAsia"/>
            <w:color w:val="auto"/>
            <w:sz w:val="28"/>
            <w:szCs w:val="28"/>
            <w:u w:val="none"/>
            <w:lang w:val="en-US"/>
          </w:rPr>
          <w:t>Radhakrishnan K, Mokri B, Parisi JE, et al. The trends in incidence of primary brain tumors in the population of Rochester, Minnesota. Ann Neurol 1995; 37:67.</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20. </w:t>
      </w:r>
      <w:hyperlink r:id="rId46" w:history="1">
        <w:r w:rsidRPr="00701A93">
          <w:rPr>
            <w:rStyle w:val="a6"/>
            <w:rFonts w:eastAsiaTheme="majorEastAsia"/>
            <w:color w:val="auto"/>
            <w:sz w:val="28"/>
            <w:szCs w:val="28"/>
            <w:u w:val="none"/>
            <w:lang w:val="en-US"/>
          </w:rPr>
          <w:t>Modan B, Wagener DK, Feldman JJ, et al. Increased mortality from brain tumors: a combined outcome of diagnostic technology and change of attitude toward the elderly. Am J Epidemiol 1992; 135:1349.</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21. Curado. M. P., Edwards, B., Shin. H.R., Storm. H., Ferlay. J., Heanue. M. and Boyle. P., eds. Cancer Incidence in Five Continents, Vol. IX IARC Scientific Publications No. 160, 2007.</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22. </w:t>
      </w:r>
      <w:hyperlink r:id="rId47" w:history="1">
        <w:r w:rsidRPr="00701A93">
          <w:rPr>
            <w:rStyle w:val="a6"/>
            <w:rFonts w:eastAsiaTheme="majorEastAsia"/>
            <w:color w:val="auto"/>
            <w:sz w:val="28"/>
            <w:szCs w:val="28"/>
            <w:u w:val="none"/>
            <w:lang w:val="en-US"/>
          </w:rPr>
          <w:t>Eric T Wong, Julian K Wu,</w:t>
        </w:r>
      </w:hyperlink>
      <w:r w:rsidRPr="00701A93">
        <w:rPr>
          <w:sz w:val="28"/>
          <w:szCs w:val="28"/>
          <w:lang w:val="en-US"/>
        </w:rPr>
        <w:t xml:space="preserve"> Overview of the clinical features and diagnosis of brain tumors in adults. UpToDate, 2019</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lastRenderedPageBreak/>
        <w:t xml:space="preserve">23. </w:t>
      </w:r>
      <w:hyperlink r:id="rId48" w:history="1">
        <w:r w:rsidRPr="00701A93">
          <w:rPr>
            <w:rStyle w:val="a6"/>
            <w:rFonts w:eastAsiaTheme="majorEastAsia"/>
            <w:color w:val="auto"/>
            <w:sz w:val="28"/>
            <w:szCs w:val="28"/>
            <w:u w:val="none"/>
            <w:lang w:val="en-US"/>
          </w:rPr>
          <w:t>Forsyth PA, Posner JB. Headaches in patients with brain tumors: a study of 111 patients. Neurology 1993; 43:1678.</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24. </w:t>
      </w:r>
      <w:hyperlink r:id="rId49" w:history="1">
        <w:r w:rsidRPr="00701A93">
          <w:rPr>
            <w:rStyle w:val="a6"/>
            <w:rFonts w:eastAsiaTheme="majorEastAsia"/>
            <w:color w:val="auto"/>
            <w:sz w:val="28"/>
            <w:szCs w:val="28"/>
            <w:u w:val="none"/>
            <w:lang w:val="en-US"/>
          </w:rPr>
          <w:t>Valentinis L, Tuniz F, Valent F, et al. Headache attributed to intracranial tumours: a prospective cohort study. Cephalalgia 2010; 30:389.</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25. </w:t>
      </w:r>
      <w:hyperlink r:id="rId50" w:history="1">
        <w:r w:rsidRPr="00701A93">
          <w:rPr>
            <w:rStyle w:val="a6"/>
            <w:rFonts w:eastAsiaTheme="majorEastAsia"/>
            <w:color w:val="auto"/>
            <w:sz w:val="28"/>
            <w:szCs w:val="28"/>
            <w:u w:val="none"/>
            <w:lang w:val="en-US"/>
          </w:rPr>
          <w:t>Cavaliere R, Farace E, Schiff D. Clinical implications of status epilepticus in patients with neoplasms. Arch Neurol 2006; 63:1746.</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26. Ferreri AJ. How I treat primary CNS lymphoma. Blood. 2011;118:510-522</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27. Ferreri AJ, Abrey LE, Blay J-Y, et al. Management of primary central nervous system lymphoma: a summary statement from the 8th International Conference on Malignant Lymphoma. J Clin Oncol. 2003;21:2407-2414</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28. Ohgaki H, Kleihues P. Population-based studies on incidence, survival rates, and genetic alterations in astrocytic and oligodendroglial gliomas. J Neuropathol Exp Neurol. 2005;64:479-489</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29. Snyder H, Robinson K, Shah D, et al. Signs and symptoms of patients with brain tumors presenting to the emergency department. J Emerg Med. 1993;11:253-258</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30. Whittle IR, Pringle AM, Taylor R. Effects of resective surgery for left-sided intracranial tumors on language function: a prospective study. Lancet. 1998;351:1014-1018</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31. Wu JS, Zhou LF, Tang WJ, et al. Clinical evaluation and follow-up outcome of diffusion tensor imagingbased functional neuronavigation: a prospective, controlled study in patients with gliomas involving pyramidal tracts. Neurosurgery. 2007;61:935-948</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32. </w:t>
      </w:r>
      <w:hyperlink r:id="rId51" w:history="1">
        <w:r w:rsidRPr="00701A93">
          <w:rPr>
            <w:rStyle w:val="a6"/>
            <w:rFonts w:eastAsiaTheme="majorEastAsia"/>
            <w:color w:val="auto"/>
            <w:sz w:val="28"/>
            <w:szCs w:val="28"/>
            <w:u w:val="none"/>
            <w:lang w:val="en-US"/>
          </w:rPr>
          <w:t>Anderson MD, Colen RR, Tremont-Lukats IW. Imaging mimics of primary malignant tumors of the central nervous system (CNS). Curr Oncol Rep 2014; 16:399.</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33. </w:t>
      </w:r>
      <w:hyperlink r:id="rId52" w:history="1">
        <w:r w:rsidRPr="00701A93">
          <w:rPr>
            <w:rStyle w:val="a6"/>
            <w:rFonts w:eastAsiaTheme="majorEastAsia"/>
            <w:color w:val="auto"/>
            <w:sz w:val="28"/>
            <w:szCs w:val="28"/>
            <w:u w:val="none"/>
            <w:lang w:val="en-US"/>
          </w:rPr>
          <w:t>Branzoli F, Di Stefano AL, Capelle L, et al. Highly specific determination of IDH status using edited in vivo magnetic resonance spectroscopy. Neuro Oncol 2018; 20:907.</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lastRenderedPageBreak/>
        <w:t xml:space="preserve">34. </w:t>
      </w:r>
      <w:hyperlink r:id="rId53" w:history="1">
        <w:r w:rsidRPr="00701A93">
          <w:rPr>
            <w:rStyle w:val="a6"/>
            <w:rFonts w:eastAsiaTheme="majorEastAsia"/>
            <w:color w:val="auto"/>
            <w:sz w:val="28"/>
            <w:szCs w:val="28"/>
            <w:u w:val="none"/>
            <w:lang w:val="en-US"/>
          </w:rPr>
          <w:t>Jackson RJ, Fuller GN, Abi-Said D, et al. Limitations of stereotactic biopsy in the initial management of gliomas. Neuro Oncol 2001; 3:193.</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35. </w:t>
      </w:r>
      <w:hyperlink r:id="rId54" w:history="1">
        <w:r w:rsidRPr="00701A93">
          <w:rPr>
            <w:rStyle w:val="a6"/>
            <w:rFonts w:eastAsiaTheme="majorEastAsia"/>
            <w:color w:val="auto"/>
            <w:sz w:val="28"/>
            <w:szCs w:val="28"/>
            <w:u w:val="none"/>
            <w:lang w:val="en-US"/>
          </w:rPr>
          <w:t>Louis DN, Perry A, Burger P, et al. International Society Of Neuropathology--Haarlem consensus guidelines for nervous system tumor classification and grading. Brain Pathol 2014; 24:429.</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36. </w:t>
      </w:r>
      <w:hyperlink r:id="rId55" w:history="1">
        <w:r w:rsidRPr="00701A93">
          <w:rPr>
            <w:rStyle w:val="a6"/>
            <w:rFonts w:eastAsiaTheme="majorEastAsia"/>
            <w:color w:val="auto"/>
            <w:sz w:val="28"/>
            <w:szCs w:val="28"/>
            <w:u w:val="none"/>
            <w:lang w:val="en-US"/>
          </w:rPr>
          <w:t>Suzuki H, Aoki K, Chiba K, et al. Mutational landscape and clonal architecture in grade II and III gliomas. Nat Genet 2015; 47:458.</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37. </w:t>
      </w:r>
      <w:hyperlink r:id="rId56" w:history="1">
        <w:r w:rsidRPr="00701A93">
          <w:rPr>
            <w:rStyle w:val="a6"/>
            <w:rFonts w:eastAsiaTheme="majorEastAsia"/>
            <w:color w:val="auto"/>
            <w:sz w:val="28"/>
            <w:szCs w:val="28"/>
            <w:u w:val="none"/>
            <w:lang w:val="en-US"/>
          </w:rPr>
          <w:t>Reuss DE, Mamatjan Y, Schrimpf D, et al. IDH mutant diffuse and anaplastic astrocytomas have similar age at presentation and little difference in survival: a grading problem for WHO. Acta Neuropathol 2015; 129:867.</w:t>
        </w:r>
        <w:r w:rsidRPr="00701A93">
          <w:rPr>
            <w:sz w:val="28"/>
            <w:szCs w:val="28"/>
            <w:lang w:val="en-US"/>
          </w:rPr>
          <w:br/>
        </w:r>
      </w:hyperlink>
      <w:r w:rsidRPr="00701A93">
        <w:rPr>
          <w:sz w:val="28"/>
          <w:szCs w:val="28"/>
          <w:lang w:val="en-US"/>
        </w:rPr>
        <w:t>38. Louis DN, Ohgaki H, Wiestler OD, Cavenee WK. Classification of Tumours of the Nervous System, IARC Press, Lyon, France 2007.</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39. </w:t>
      </w:r>
      <w:hyperlink r:id="rId57" w:history="1">
        <w:r w:rsidRPr="00701A93">
          <w:rPr>
            <w:rStyle w:val="a6"/>
            <w:rFonts w:eastAsiaTheme="majorEastAsia"/>
            <w:color w:val="auto"/>
            <w:sz w:val="28"/>
            <w:szCs w:val="28"/>
            <w:u w:val="none"/>
            <w:lang w:val="en-US"/>
          </w:rPr>
          <w:t>Nobusawa S, Watanabe T, Kleihues P, Ohgaki H. IDH1 mutations as molecular signature and predictive factor of secondary glioblastomas. Clin Cancer Res 2009; 15:6002.</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40. </w:t>
      </w:r>
      <w:hyperlink r:id="rId58" w:history="1">
        <w:r w:rsidRPr="00701A93">
          <w:rPr>
            <w:rStyle w:val="a6"/>
            <w:rFonts w:eastAsiaTheme="majorEastAsia"/>
            <w:color w:val="auto"/>
            <w:sz w:val="28"/>
            <w:szCs w:val="28"/>
            <w:u w:val="none"/>
            <w:lang w:val="en-US"/>
          </w:rPr>
          <w:t>Yan H, Parsons DW, Jin G, et al. IDH1 and IDH2 mutations in gliomas. N Engl J Med 2009; 360:765.</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41. </w:t>
      </w:r>
      <w:hyperlink r:id="rId59" w:history="1">
        <w:r w:rsidRPr="00701A93">
          <w:rPr>
            <w:rStyle w:val="a6"/>
            <w:rFonts w:eastAsiaTheme="majorEastAsia"/>
            <w:color w:val="auto"/>
            <w:sz w:val="28"/>
            <w:szCs w:val="28"/>
            <w:u w:val="none"/>
            <w:lang w:val="en-US"/>
          </w:rPr>
          <w:t>Olar A, Wani KM, Alfaro-Munoz KD, et al. IDH mutation status and role of WHO grade and mitotic index in overall survival in grade II-III diffuse gliomas. Acta Neuropathol 2015; 129:585.</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42. </w:t>
      </w:r>
      <w:hyperlink r:id="rId60" w:history="1">
        <w:r w:rsidRPr="00701A93">
          <w:rPr>
            <w:rStyle w:val="a6"/>
            <w:rFonts w:eastAsiaTheme="majorEastAsia"/>
            <w:color w:val="auto"/>
            <w:sz w:val="28"/>
            <w:szCs w:val="28"/>
            <w:u w:val="none"/>
            <w:lang w:val="en-US"/>
          </w:rPr>
          <w:t>Palma L, Guidetti B. Cystic pilocytic astrocytomas of the cerebral hemispheres. Surgical experience with 51 cases and long-term results. J Neurosurg 1985; 62:811.</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43. </w:t>
      </w:r>
      <w:hyperlink r:id="rId61" w:history="1">
        <w:r w:rsidRPr="00701A93">
          <w:rPr>
            <w:rStyle w:val="a6"/>
            <w:rFonts w:eastAsiaTheme="majorEastAsia"/>
            <w:color w:val="auto"/>
            <w:sz w:val="28"/>
            <w:szCs w:val="28"/>
            <w:u w:val="none"/>
            <w:lang w:val="en-US"/>
          </w:rPr>
          <w:t>Jacob K, Albrecht S, Sollier C, et al. Duplication of 7q34 is specific to juvenile pilocytic astrocytomas and a hallmark of cerebellar and optic pathway tumours. Br J Cancer 2009; 101:722.</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44. </w:t>
      </w:r>
      <w:hyperlink r:id="rId62" w:history="1">
        <w:r w:rsidRPr="00701A93">
          <w:rPr>
            <w:rStyle w:val="a6"/>
            <w:rFonts w:eastAsiaTheme="majorEastAsia"/>
            <w:color w:val="auto"/>
            <w:sz w:val="28"/>
            <w:szCs w:val="28"/>
            <w:u w:val="none"/>
            <w:lang w:val="en-US"/>
          </w:rPr>
          <w:t>Cancer Genome Atlas Research Network, Brat DJ, Verhaak RG, et al. Comprehensive, Integrative Genomic Analysis of Diffuse Lower-Grade Gliomas. N Engl J Med 2015; 372:2481.</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lastRenderedPageBreak/>
        <w:t xml:space="preserve">45. </w:t>
      </w:r>
      <w:hyperlink r:id="rId63" w:history="1">
        <w:r w:rsidRPr="00701A93">
          <w:rPr>
            <w:rStyle w:val="a6"/>
            <w:rFonts w:eastAsiaTheme="majorEastAsia"/>
            <w:color w:val="auto"/>
            <w:sz w:val="28"/>
            <w:szCs w:val="28"/>
            <w:u w:val="none"/>
            <w:lang w:val="en-US"/>
          </w:rPr>
          <w:t>Camelo-Piragua S, Jansen M, Ganguly A, et al. Mutant IDH1-specific immunohistochemistry distinguishes diffuse astrocytoma from astrocytosis. Acta Neuropathol 2010; 119:509.</w:t>
        </w:r>
      </w:hyperlink>
    </w:p>
    <w:p w:rsidR="00701A93" w:rsidRPr="00C25FC0"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46. </w:t>
      </w:r>
      <w:hyperlink r:id="rId64" w:history="1">
        <w:r w:rsidRPr="00701A93">
          <w:rPr>
            <w:rStyle w:val="a6"/>
            <w:rFonts w:eastAsiaTheme="majorEastAsia"/>
            <w:color w:val="auto"/>
            <w:sz w:val="28"/>
            <w:szCs w:val="28"/>
            <w:u w:val="none"/>
            <w:lang w:val="en-US"/>
          </w:rPr>
          <w:t xml:space="preserve">Horbinski C, Kofler J, Kelly LM, et al. Diagnostic use of IDH1/2 mutation analysis in routine clinical testing of formalin-fixed, paraffin-embedded glioma tissues. </w:t>
        </w:r>
        <w:r w:rsidRPr="00C25FC0">
          <w:rPr>
            <w:rStyle w:val="a6"/>
            <w:rFonts w:eastAsiaTheme="majorEastAsia"/>
            <w:color w:val="auto"/>
            <w:sz w:val="28"/>
            <w:szCs w:val="28"/>
            <w:u w:val="none"/>
            <w:lang w:val="en-US"/>
          </w:rPr>
          <w:t>J Neuropathol Exp Neurol 2009; 68:1319.</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47. </w:t>
      </w:r>
      <w:hyperlink r:id="rId65" w:history="1">
        <w:r w:rsidRPr="00701A93">
          <w:rPr>
            <w:rStyle w:val="a6"/>
            <w:rFonts w:eastAsiaTheme="majorEastAsia"/>
            <w:color w:val="auto"/>
            <w:sz w:val="28"/>
            <w:szCs w:val="28"/>
            <w:u w:val="none"/>
            <w:lang w:val="en-US"/>
          </w:rPr>
          <w:t>Reuss DE, Mamatjan Y, Schrimpf D, et al. IDH mutant diffuse and anaplastic astrocytomas have similar age at presentation and little difference in survival: a grading problem for WHO. Acta Neuropathol 2015; 129:867.</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48. Picca A, Berzero G, Bielle F, et al. FGFR1 actionable mutations, molecular specificities, and outcome of adult midline gliomas. Neurology 2018; 90:e2086.</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49. </w:t>
      </w:r>
      <w:hyperlink r:id="rId66" w:history="1">
        <w:r w:rsidRPr="00701A93">
          <w:rPr>
            <w:rStyle w:val="a6"/>
            <w:rFonts w:eastAsiaTheme="majorEastAsia"/>
            <w:color w:val="auto"/>
            <w:sz w:val="28"/>
            <w:szCs w:val="28"/>
            <w:u w:val="none"/>
            <w:lang w:val="en-US"/>
          </w:rPr>
          <w:t>Louis DN. Molecular pathology of malignant gliomas. Annu Rev Pathol 2006; 1:97.</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50. </w:t>
      </w:r>
      <w:hyperlink r:id="rId67" w:history="1">
        <w:r w:rsidRPr="00701A93">
          <w:rPr>
            <w:rStyle w:val="a6"/>
            <w:rFonts w:eastAsiaTheme="majorEastAsia"/>
            <w:color w:val="auto"/>
            <w:sz w:val="28"/>
            <w:szCs w:val="28"/>
            <w:u w:val="none"/>
            <w:lang w:val="en-US"/>
          </w:rPr>
          <w:t>Parsons DW, Jones S, Zhang X, et al. An integrated genomic analysis of human glioblastoma multiforme. Science 2008; 321:1807.</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51. </w:t>
      </w:r>
      <w:hyperlink r:id="rId68" w:history="1">
        <w:r w:rsidRPr="00701A93">
          <w:rPr>
            <w:rStyle w:val="a6"/>
            <w:rFonts w:eastAsiaTheme="majorEastAsia"/>
            <w:color w:val="auto"/>
            <w:sz w:val="28"/>
            <w:szCs w:val="28"/>
            <w:u w:val="none"/>
            <w:lang w:val="en-US"/>
          </w:rPr>
          <w:t>Yan H, Parsons DW, Jin G, et al. IDH1 and IDH2 mutations in gliomas. N Engl J Med 2009; 360:765.</w:t>
        </w:r>
      </w:hyperlink>
    </w:p>
    <w:p w:rsidR="00701A93" w:rsidRPr="00C25FC0"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52. </w:t>
      </w:r>
      <w:hyperlink r:id="rId69" w:history="1">
        <w:r w:rsidRPr="00701A93">
          <w:rPr>
            <w:rStyle w:val="a6"/>
            <w:rFonts w:eastAsiaTheme="majorEastAsia"/>
            <w:color w:val="auto"/>
            <w:sz w:val="28"/>
            <w:szCs w:val="28"/>
            <w:u w:val="none"/>
            <w:lang w:val="en-US"/>
          </w:rPr>
          <w:t xml:space="preserve">Sanson M, Marie Y, Paris S, et al. Isocitrate dehydrogenase 1 codon 132 mutation is an important prognostic biomarker in gliomas. </w:t>
        </w:r>
        <w:r w:rsidRPr="00C25FC0">
          <w:rPr>
            <w:rStyle w:val="a6"/>
            <w:rFonts w:eastAsiaTheme="majorEastAsia"/>
            <w:color w:val="auto"/>
            <w:sz w:val="28"/>
            <w:szCs w:val="28"/>
            <w:u w:val="none"/>
            <w:lang w:val="en-US"/>
          </w:rPr>
          <w:t>J Clin Oncol 2009; 27:4150.</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53. </w:t>
      </w:r>
      <w:hyperlink r:id="rId70" w:history="1">
        <w:r w:rsidRPr="00701A93">
          <w:rPr>
            <w:rStyle w:val="a6"/>
            <w:rFonts w:eastAsiaTheme="majorEastAsia"/>
            <w:color w:val="auto"/>
            <w:sz w:val="28"/>
            <w:szCs w:val="28"/>
            <w:u w:val="none"/>
            <w:lang w:val="en-US"/>
          </w:rPr>
          <w:t>Weller M, Felsberg J, Hartmann C, et al. Molecular predictors of progression-free and overall survival in patients with newly diagnosed glioblastoma: a prospective translational study of the German Glioma Network. J Clin Oncol 2009; 27:5743.</w:t>
        </w:r>
      </w:hyperlink>
    </w:p>
    <w:p w:rsidR="00701A93" w:rsidRPr="00C25FC0"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54. </w:t>
      </w:r>
      <w:hyperlink r:id="rId71" w:history="1">
        <w:r w:rsidRPr="00701A93">
          <w:rPr>
            <w:rStyle w:val="a6"/>
            <w:rFonts w:eastAsiaTheme="majorEastAsia"/>
            <w:color w:val="auto"/>
            <w:sz w:val="28"/>
            <w:szCs w:val="28"/>
            <w:u w:val="none"/>
            <w:lang w:val="en-US"/>
          </w:rPr>
          <w:t xml:space="preserve">van den Bent MJ, Dubbink HJ, Marie Y, et al. IDH1 and IDH2 mutations are prognostic but not predictive for outcome in anaplastic oligodendroglial tumors: a report of the European Organization for Research and Treatment of Cancer Brain Tumor Group. </w:t>
        </w:r>
        <w:r w:rsidRPr="00C25FC0">
          <w:rPr>
            <w:rStyle w:val="a6"/>
            <w:rFonts w:eastAsiaTheme="majorEastAsia"/>
            <w:color w:val="auto"/>
            <w:sz w:val="28"/>
            <w:szCs w:val="28"/>
            <w:u w:val="none"/>
            <w:lang w:val="en-US"/>
          </w:rPr>
          <w:t>Clin Cancer Res 2010; 16:1597.</w:t>
        </w:r>
      </w:hyperlink>
    </w:p>
    <w:p w:rsidR="00701A93" w:rsidRPr="00C25FC0"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55. </w:t>
      </w:r>
      <w:hyperlink r:id="rId72" w:history="1">
        <w:r w:rsidRPr="00701A93">
          <w:rPr>
            <w:rStyle w:val="a6"/>
            <w:rFonts w:eastAsiaTheme="majorEastAsia"/>
            <w:color w:val="auto"/>
            <w:sz w:val="28"/>
            <w:szCs w:val="28"/>
            <w:u w:val="none"/>
            <w:lang w:val="en-US"/>
          </w:rPr>
          <w:t xml:space="preserve">Shirahata M, Ono T, Stichel D, et al. Novel, improved grading system(s) for IDH-mutant astrocytic gliomas. </w:t>
        </w:r>
        <w:r w:rsidRPr="00C25FC0">
          <w:rPr>
            <w:rStyle w:val="a6"/>
            <w:rFonts w:eastAsiaTheme="majorEastAsia"/>
            <w:color w:val="auto"/>
            <w:sz w:val="28"/>
            <w:szCs w:val="28"/>
            <w:u w:val="none"/>
            <w:lang w:val="en-US"/>
          </w:rPr>
          <w:t>Acta Neuropathol 2018; 136:153.</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lastRenderedPageBreak/>
        <w:t xml:space="preserve">56. </w:t>
      </w:r>
      <w:hyperlink r:id="rId73" w:history="1">
        <w:r w:rsidRPr="00701A93">
          <w:rPr>
            <w:rStyle w:val="a6"/>
            <w:rFonts w:eastAsiaTheme="majorEastAsia"/>
            <w:color w:val="auto"/>
            <w:sz w:val="28"/>
            <w:szCs w:val="28"/>
            <w:u w:val="none"/>
            <w:lang w:val="en-US"/>
          </w:rPr>
          <w:t>Hartmann C, Hentschel B, Tatagiba M, et al. Molecular markers in low-grade gliomas: predictive or prognostic? Clin Cancer Res 2011; 17:4588.</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57. </w:t>
      </w:r>
      <w:hyperlink r:id="rId74" w:history="1">
        <w:r w:rsidRPr="00701A93">
          <w:rPr>
            <w:rStyle w:val="a6"/>
            <w:rFonts w:eastAsiaTheme="majorEastAsia"/>
            <w:color w:val="auto"/>
            <w:sz w:val="28"/>
            <w:szCs w:val="28"/>
            <w:u w:val="none"/>
            <w:lang w:val="en-US"/>
          </w:rPr>
          <w:t>Cairncross JG, Ueki K, Zlatescu MC, et al. Specific genetic predictors of chemotherapeutic response and survival in patients with anaplastic oligodendrogliomas. J Natl Cancer Inst 1998; 90:1473.</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58. </w:t>
      </w:r>
      <w:hyperlink r:id="rId75" w:history="1">
        <w:r w:rsidRPr="00701A93">
          <w:rPr>
            <w:rStyle w:val="a6"/>
            <w:rFonts w:eastAsiaTheme="majorEastAsia"/>
            <w:color w:val="auto"/>
            <w:sz w:val="28"/>
            <w:szCs w:val="28"/>
            <w:u w:val="none"/>
            <w:lang w:val="en-US"/>
          </w:rPr>
          <w:t>Louis DN, Giannini C, Capper D, et al. cIMPACT-NOW update 2: diagnostic clarifications for diffuse midline glioma, H3 K27M-mutant and diffuse astrocytoma/anaplastic astrocytoma, IDH-mutant. Acta Neuropathol 2018; 135:639.</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59. </w:t>
      </w:r>
      <w:hyperlink r:id="rId76" w:history="1">
        <w:r w:rsidRPr="00701A93">
          <w:rPr>
            <w:rStyle w:val="a6"/>
            <w:rFonts w:eastAsiaTheme="majorEastAsia"/>
            <w:color w:val="auto"/>
            <w:sz w:val="28"/>
            <w:szCs w:val="28"/>
            <w:u w:val="none"/>
            <w:lang w:val="en-US"/>
          </w:rPr>
          <w:t>Jiao Y, Killela PJ, Reitman ZJ, et al. Frequent ATRX, CIC, FUBP1 and IDH1 mutations refine the classification of malignant gliomas. Oncotarget 2012; 3:709.</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60. </w:t>
      </w:r>
      <w:hyperlink r:id="rId77" w:history="1">
        <w:r w:rsidRPr="00701A93">
          <w:rPr>
            <w:rStyle w:val="a6"/>
            <w:rFonts w:eastAsiaTheme="majorEastAsia"/>
            <w:color w:val="auto"/>
            <w:sz w:val="28"/>
            <w:szCs w:val="28"/>
            <w:u w:val="none"/>
            <w:lang w:val="en-US"/>
          </w:rPr>
          <w:t>Watanabe K, Tachibana O, Sata K, et al. Overexpression of the EGF receptor and p53 mutations are mutually exclusive in the evolution of primary and secondary glioblastomas. Brain Pathol 1996; 6:217.</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61. Pathology and genetics of tumours of the nervous system. In: World Health Organization Classification of Tumours of the Nervous System, Editorial and Consensus Conference Working Group, Louis DN, Ohgaki H, Wiestler OD, Cavenee WK (Eds), IARC Press, Lyon, France 2007.</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62. </w:t>
      </w:r>
      <w:hyperlink r:id="rId78" w:history="1">
        <w:r w:rsidRPr="00701A93">
          <w:rPr>
            <w:rStyle w:val="a6"/>
            <w:rFonts w:eastAsiaTheme="majorEastAsia"/>
            <w:color w:val="auto"/>
            <w:sz w:val="28"/>
            <w:szCs w:val="28"/>
            <w:u w:val="none"/>
            <w:lang w:val="en-US"/>
          </w:rPr>
          <w:t>Jones DT, Kocialkowski S, Liu L, et al. Tandem duplication producing a novel oncogenic BRAF fusion gene defines the majority of pilocytic astrocytomas. Cancer Res 2008; 68:8673.</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63. </w:t>
      </w:r>
      <w:hyperlink r:id="rId79" w:history="1">
        <w:r w:rsidRPr="00701A93">
          <w:rPr>
            <w:rStyle w:val="a6"/>
            <w:rFonts w:eastAsiaTheme="majorEastAsia"/>
            <w:color w:val="auto"/>
            <w:sz w:val="28"/>
            <w:szCs w:val="28"/>
            <w:u w:val="none"/>
            <w:lang w:val="en-US"/>
          </w:rPr>
          <w:t>Dougherty MJ, Santi M, Brose MS, et al. Activating mutations in BRAF characterize a spectrum of pediatric low-grade gliomas. Neuro Oncol 2010; 12:621.</w:t>
        </w:r>
      </w:hyperlink>
    </w:p>
    <w:p w:rsidR="00701A93" w:rsidRPr="00C25FC0"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64. </w:t>
      </w:r>
      <w:hyperlink r:id="rId80" w:history="1">
        <w:r w:rsidRPr="00701A93">
          <w:rPr>
            <w:rStyle w:val="a6"/>
            <w:rFonts w:eastAsiaTheme="majorEastAsia"/>
            <w:color w:val="auto"/>
            <w:sz w:val="28"/>
            <w:szCs w:val="28"/>
            <w:u w:val="none"/>
            <w:lang w:val="en-US"/>
          </w:rPr>
          <w:t xml:space="preserve">Lassaletta A, Zapotocky M, Mistry M, et al. Therapeutic and Prognostic Implications of BRAF V600E in Pediatric Low-Grade Gliomas. </w:t>
        </w:r>
        <w:r w:rsidRPr="00C25FC0">
          <w:rPr>
            <w:rStyle w:val="a6"/>
            <w:rFonts w:eastAsiaTheme="majorEastAsia"/>
            <w:color w:val="auto"/>
            <w:sz w:val="28"/>
            <w:szCs w:val="28"/>
            <w:u w:val="none"/>
            <w:lang w:val="en-US"/>
          </w:rPr>
          <w:t>J Clin Oncol 2017; 35:2934.</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65. </w:t>
      </w:r>
      <w:hyperlink r:id="rId81" w:history="1">
        <w:r w:rsidRPr="00701A93">
          <w:rPr>
            <w:rStyle w:val="a6"/>
            <w:rFonts w:eastAsiaTheme="majorEastAsia"/>
            <w:color w:val="auto"/>
            <w:sz w:val="28"/>
            <w:szCs w:val="28"/>
            <w:u w:val="none"/>
            <w:lang w:val="en-US"/>
          </w:rPr>
          <w:t xml:space="preserve">Hermanson M, Funa K, Hartman M, et al. Platelet-derived growth factor and its receptors in human glioma tissue: expression of messenger RNA and protein </w:t>
        </w:r>
        <w:r w:rsidRPr="00701A93">
          <w:rPr>
            <w:rStyle w:val="a6"/>
            <w:rFonts w:eastAsiaTheme="majorEastAsia"/>
            <w:color w:val="auto"/>
            <w:sz w:val="28"/>
            <w:szCs w:val="28"/>
            <w:u w:val="none"/>
            <w:lang w:val="en-US"/>
          </w:rPr>
          <w:lastRenderedPageBreak/>
          <w:t>suggests the presence of autocrine and paracrine loops. Cancer Res 1992; 52:3213.</w:t>
        </w:r>
      </w:hyperlink>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66. Morandi L, Franceschi E, de Biase D, Marucci G, Tosoni A, Ermani M, Pession A, Tallini G, Brandes A (2010). "Promoter methylation analysis of O6-methylguanine-DNA methyltransferase in glioblastoma: detection by locked nucleic acid based quantitative PCR using an imprinted gene (SNURF) as a reference". BMC Cancer. 10: 48</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67. Hegi ME, Diserens AC, Gorlia T, Hamou MF, de Tribolet N, Weller M, Kros JM, Hainfellner JA, Mason W, Mariani L, Bromberg JE, Hau P, Mirimanoff RO, Cairncross JG, Janzer RC, Stupp R (2005). "MGMT gene silencing and benefit from temozolomide in glioblastoma". N. Engl. J. Med. 352 (10): 997–1003</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68. Leu, Felten  et al. IDH mutation is associated with higher risk of malignant transformation in low-grade glioma. J Neurooncol (2016) 127:363–372</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69. </w:t>
      </w:r>
      <w:hyperlink r:id="rId82" w:history="1">
        <w:r w:rsidRPr="00701A93">
          <w:rPr>
            <w:rStyle w:val="a6"/>
            <w:rFonts w:eastAsiaTheme="majorEastAsia"/>
            <w:color w:val="auto"/>
            <w:sz w:val="28"/>
            <w:szCs w:val="28"/>
            <w:u w:val="none"/>
            <w:lang w:val="en-US"/>
          </w:rPr>
          <w:t>Brat DJ, Mapstone TB. Malignant glioma physiology: cellular response to hypoxia and its role in tumor progression. Ann Intern Med 2003; 138:659.</w:t>
        </w:r>
      </w:hyperlink>
    </w:p>
    <w:p w:rsidR="00701A93" w:rsidRPr="00C25FC0"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70. Senger, DR; Galli, SJ; Dvorak, AM; Perruzzi, CA; Harvey, VS; Dvorak, HF (25 February 1983). "Tumor cells secrete a vascular permeability factor that promotes accumulation of ascites fluid". </w:t>
      </w:r>
      <w:r w:rsidRPr="00C25FC0">
        <w:rPr>
          <w:sz w:val="28"/>
          <w:szCs w:val="28"/>
          <w:lang w:val="en-US"/>
        </w:rPr>
        <w:t>Science. 219 (4587): 983–5</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71. Yarden Y, Kuang WJ, Yang-Feng T, Coussens L, Munemitsu S, Dull TJ, Chen E, Schlessinger J, Francke U, Ullrich A (November 1987). </w:t>
      </w:r>
      <w:hyperlink r:id="rId83" w:history="1">
        <w:r w:rsidRPr="00701A93">
          <w:rPr>
            <w:rStyle w:val="a6"/>
            <w:rFonts w:eastAsiaTheme="majorEastAsia"/>
            <w:color w:val="auto"/>
            <w:sz w:val="28"/>
            <w:szCs w:val="28"/>
            <w:u w:val="none"/>
            <w:lang w:val="en-US"/>
          </w:rPr>
          <w:t>"Human proto-oncogene c-kit: a new cell surface receptor tyrosine kinase for an unidentified ligand"</w:t>
        </w:r>
      </w:hyperlink>
      <w:r w:rsidRPr="00701A93">
        <w:rPr>
          <w:sz w:val="28"/>
          <w:szCs w:val="28"/>
          <w:lang w:val="en-US"/>
        </w:rPr>
        <w:t>. EMBO J. 6 (11): 3341–51</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72. Zhou J, Giannakakou P (January 2005). "Targeting microtubules for cancer chemotherapy". Current Medicinal Chemistry. Anti-cancer Agents. 5 (1): 65–71. </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73. Chaichana KL, et al. Recurrence and malignant degeneration after resection</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of adult hemispheric low-grade gliomas. J Neurosurg 2010;112:10-17.</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74. McCormack BM, et al. Treatment and survival of low-grade astrocytoma in</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adults--1977-1988. Neurosurgery 1992;31:636-642; discussion 642.</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75. van den Bent MJ, et al. Long-term efficacy of early versus delayed</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lastRenderedPageBreak/>
        <w:t>radiotherapy for low-grade astrocytoma and oligodendroglioma in adults:</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The eortc 22845 randomised trial. Lancet 2005;366:985-990.</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76. Vertosick FT, Jr., Selker RG Arena VC. Survival of patients with well-</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differentiated astrocytomas diagnosed in the era of computed tomography.</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Neurosurgery 1991;28:496-501.</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77. </w:t>
      </w:r>
      <w:hyperlink r:id="rId84" w:history="1">
        <w:r w:rsidRPr="00701A93">
          <w:rPr>
            <w:rStyle w:val="a6"/>
            <w:rFonts w:eastAsiaTheme="majorEastAsia"/>
            <w:color w:val="auto"/>
            <w:sz w:val="28"/>
            <w:szCs w:val="28"/>
            <w:u w:val="none"/>
            <w:lang w:val="en-US"/>
          </w:rPr>
          <w:t>Daniels T.B</w:t>
        </w:r>
      </w:hyperlink>
      <w:r w:rsidRPr="00701A93">
        <w:rPr>
          <w:sz w:val="28"/>
          <w:szCs w:val="28"/>
          <w:lang w:val="en-US"/>
        </w:rPr>
        <w:t xml:space="preserve">. et al. Validation of EORTC prognostic factors for adults with low-grade glioma: a report using intergroup 86-72-51. </w:t>
      </w:r>
      <w:hyperlink r:id="rId85" w:history="1">
        <w:r w:rsidRPr="00701A93">
          <w:rPr>
            <w:rStyle w:val="a6"/>
            <w:rFonts w:eastAsiaTheme="majorEastAsia"/>
            <w:color w:val="auto"/>
            <w:sz w:val="28"/>
            <w:szCs w:val="28"/>
            <w:u w:val="none"/>
            <w:lang w:val="en-US"/>
          </w:rPr>
          <w:t>Int J Radiat Oncol Biol Phys.</w:t>
        </w:r>
      </w:hyperlink>
      <w:r w:rsidRPr="00701A93">
        <w:rPr>
          <w:sz w:val="28"/>
          <w:szCs w:val="28"/>
          <w:lang w:val="en-US"/>
        </w:rPr>
        <w:t xml:space="preserve"> 2011 Sep 1;81(1):218-24</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78. Murphy, Leyrer, Parsons et al. Risk Factors for Malignant Transformation of Low Grade Glioma. </w:t>
      </w:r>
      <w:hyperlink r:id="rId86" w:history="1">
        <w:r w:rsidRPr="00701A93">
          <w:rPr>
            <w:rStyle w:val="a6"/>
            <w:rFonts w:eastAsiaTheme="majorEastAsia"/>
            <w:color w:val="auto"/>
            <w:sz w:val="28"/>
            <w:szCs w:val="28"/>
            <w:u w:val="none"/>
            <w:lang w:val="en-US"/>
          </w:rPr>
          <w:t>Int J Radiat Oncol Biol Phys.</w:t>
        </w:r>
      </w:hyperlink>
      <w:r w:rsidRPr="00701A93">
        <w:rPr>
          <w:sz w:val="28"/>
          <w:szCs w:val="28"/>
          <w:lang w:val="en-US"/>
        </w:rPr>
        <w:t xml:space="preserve"> 2018 Mar 15;100(4):965-971</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79. Hunter C, et al. A hypermutation phenotype and somatic msh6 mutations in</w:t>
      </w:r>
    </w:p>
    <w:p w:rsidR="00701A93" w:rsidRPr="00C25FC0"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recurrent human malignant gliomas after alkylator chemotherapy. </w:t>
      </w:r>
      <w:r w:rsidRPr="00C25FC0">
        <w:rPr>
          <w:sz w:val="28"/>
          <w:szCs w:val="28"/>
          <w:lang w:val="en-US"/>
        </w:rPr>
        <w:t>Cancer</w:t>
      </w:r>
    </w:p>
    <w:p w:rsidR="00701A93" w:rsidRPr="00C25FC0" w:rsidRDefault="00701A93" w:rsidP="005E0D82">
      <w:pPr>
        <w:pStyle w:val="af"/>
        <w:spacing w:before="0" w:beforeAutospacing="0" w:after="0" w:afterAutospacing="0" w:line="360" w:lineRule="auto"/>
        <w:rPr>
          <w:sz w:val="28"/>
          <w:szCs w:val="28"/>
          <w:lang w:val="en-US"/>
        </w:rPr>
      </w:pPr>
      <w:r w:rsidRPr="00C25FC0">
        <w:rPr>
          <w:sz w:val="28"/>
          <w:szCs w:val="28"/>
          <w:lang w:val="en-US"/>
        </w:rPr>
        <w:t>Res 2006;66:3987-3991.</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80. </w:t>
      </w:r>
      <w:hyperlink r:id="rId87" w:history="1">
        <w:r w:rsidRPr="00701A93">
          <w:rPr>
            <w:rStyle w:val="a6"/>
            <w:rFonts w:eastAsiaTheme="majorEastAsia"/>
            <w:color w:val="auto"/>
            <w:sz w:val="28"/>
            <w:szCs w:val="28"/>
            <w:u w:val="none"/>
            <w:lang w:val="en-US"/>
          </w:rPr>
          <w:t>Shaw EG</w:t>
        </w:r>
      </w:hyperlink>
      <w:r w:rsidRPr="00701A93">
        <w:rPr>
          <w:sz w:val="28"/>
          <w:szCs w:val="28"/>
          <w:lang w:val="en-US"/>
        </w:rPr>
        <w:t xml:space="preserve">1, </w:t>
      </w:r>
      <w:hyperlink r:id="rId88" w:history="1">
        <w:r w:rsidRPr="00701A93">
          <w:rPr>
            <w:rStyle w:val="a6"/>
            <w:rFonts w:eastAsiaTheme="majorEastAsia"/>
            <w:color w:val="auto"/>
            <w:sz w:val="28"/>
            <w:szCs w:val="28"/>
            <w:u w:val="none"/>
            <w:lang w:val="en-US"/>
          </w:rPr>
          <w:t>Wang M</w:t>
        </w:r>
      </w:hyperlink>
      <w:r w:rsidRPr="00701A93">
        <w:rPr>
          <w:sz w:val="28"/>
          <w:szCs w:val="28"/>
          <w:lang w:val="en-US"/>
        </w:rPr>
        <w:t xml:space="preserve">, </w:t>
      </w:r>
      <w:hyperlink r:id="rId89" w:history="1">
        <w:r w:rsidRPr="00701A93">
          <w:rPr>
            <w:rStyle w:val="a6"/>
            <w:rFonts w:eastAsiaTheme="majorEastAsia"/>
            <w:color w:val="auto"/>
            <w:sz w:val="28"/>
            <w:szCs w:val="28"/>
            <w:u w:val="none"/>
            <w:lang w:val="en-US"/>
          </w:rPr>
          <w:t>Coons SW</w:t>
        </w:r>
      </w:hyperlink>
      <w:r w:rsidRPr="00701A93">
        <w:rPr>
          <w:sz w:val="28"/>
          <w:szCs w:val="28"/>
          <w:lang w:val="en-US"/>
        </w:rPr>
        <w:t xml:space="preserve">, </w:t>
      </w:r>
      <w:hyperlink r:id="rId90" w:history="1">
        <w:r w:rsidRPr="00701A93">
          <w:rPr>
            <w:rStyle w:val="a6"/>
            <w:rFonts w:eastAsiaTheme="majorEastAsia"/>
            <w:color w:val="auto"/>
            <w:sz w:val="28"/>
            <w:szCs w:val="28"/>
            <w:u w:val="none"/>
            <w:lang w:val="en-US"/>
          </w:rPr>
          <w:t>Brachman DG</w:t>
        </w:r>
      </w:hyperlink>
      <w:r w:rsidRPr="00701A93">
        <w:rPr>
          <w:sz w:val="28"/>
          <w:szCs w:val="28"/>
          <w:lang w:val="en-US"/>
        </w:rPr>
        <w:t xml:space="preserve">. Randomized trial of radiation therapy plus procarbazine, lomustine, and vincristine chemotherapy for supratentorial adult low-grade glioma: initial results of RTOG 9802. </w:t>
      </w:r>
      <w:hyperlink r:id="rId91" w:history="1">
        <w:r w:rsidRPr="00701A93">
          <w:rPr>
            <w:rStyle w:val="a6"/>
            <w:rFonts w:eastAsiaTheme="majorEastAsia"/>
            <w:color w:val="auto"/>
            <w:sz w:val="28"/>
            <w:szCs w:val="28"/>
            <w:u w:val="none"/>
            <w:lang w:val="en-US"/>
          </w:rPr>
          <w:t>J Clin Oncol.</w:t>
        </w:r>
      </w:hyperlink>
      <w:r w:rsidRPr="00701A93">
        <w:rPr>
          <w:sz w:val="28"/>
          <w:szCs w:val="28"/>
          <w:lang w:val="en-US"/>
        </w:rPr>
        <w:t xml:space="preserve"> 2012 Sep 1;30(25):3065-70</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 xml:space="preserve">81. </w:t>
      </w:r>
      <w:hyperlink r:id="rId92" w:history="1">
        <w:r w:rsidRPr="00701A93">
          <w:rPr>
            <w:rStyle w:val="a6"/>
            <w:rFonts w:eastAsiaTheme="majorEastAsia"/>
            <w:color w:val="auto"/>
            <w:sz w:val="28"/>
            <w:szCs w:val="28"/>
            <w:u w:val="none"/>
            <w:lang w:val="en-US"/>
          </w:rPr>
          <w:t>Buckner JC</w:t>
        </w:r>
      </w:hyperlink>
      <w:r w:rsidRPr="00701A93">
        <w:rPr>
          <w:sz w:val="28"/>
          <w:szCs w:val="28"/>
          <w:lang w:val="en-US"/>
        </w:rPr>
        <w:t xml:space="preserve">, </w:t>
      </w:r>
      <w:hyperlink r:id="rId93" w:history="1">
        <w:r w:rsidRPr="00701A93">
          <w:rPr>
            <w:rStyle w:val="a6"/>
            <w:rFonts w:eastAsiaTheme="majorEastAsia"/>
            <w:color w:val="auto"/>
            <w:sz w:val="28"/>
            <w:szCs w:val="28"/>
            <w:u w:val="none"/>
            <w:lang w:val="en-US"/>
          </w:rPr>
          <w:t>Chakravarti A</w:t>
        </w:r>
      </w:hyperlink>
      <w:r w:rsidRPr="00701A93">
        <w:rPr>
          <w:sz w:val="28"/>
          <w:szCs w:val="28"/>
          <w:lang w:val="en-US"/>
        </w:rPr>
        <w:t xml:space="preserve">, </w:t>
      </w:r>
      <w:hyperlink r:id="rId94" w:history="1">
        <w:r w:rsidRPr="00701A93">
          <w:rPr>
            <w:rStyle w:val="a6"/>
            <w:rFonts w:eastAsiaTheme="majorEastAsia"/>
            <w:color w:val="auto"/>
            <w:sz w:val="28"/>
            <w:szCs w:val="28"/>
            <w:u w:val="none"/>
            <w:lang w:val="en-US"/>
          </w:rPr>
          <w:t>Curran WJ Jr</w:t>
        </w:r>
      </w:hyperlink>
      <w:r w:rsidRPr="00701A93">
        <w:rPr>
          <w:sz w:val="28"/>
          <w:szCs w:val="28"/>
          <w:lang w:val="en-US"/>
        </w:rPr>
        <w:t xml:space="preserve">. Radiation plus Chemotherapy in Low-Grade Glioma. </w:t>
      </w:r>
      <w:hyperlink r:id="rId95" w:history="1">
        <w:r w:rsidRPr="00701A93">
          <w:rPr>
            <w:rStyle w:val="a6"/>
            <w:rFonts w:eastAsiaTheme="majorEastAsia"/>
            <w:color w:val="auto"/>
            <w:sz w:val="28"/>
            <w:szCs w:val="28"/>
            <w:u w:val="none"/>
            <w:lang w:val="en-US"/>
          </w:rPr>
          <w:t>N Engl J Med.</w:t>
        </w:r>
      </w:hyperlink>
      <w:r w:rsidRPr="00701A93">
        <w:rPr>
          <w:sz w:val="28"/>
          <w:szCs w:val="28"/>
          <w:lang w:val="en-US"/>
        </w:rPr>
        <w:t xml:space="preserve"> 2016 Aug 4;375(5):490-1.</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82. Kamasak K., Ekici M.A., Gocmez C.,  et al. Malign Transformation in the Low Grade Astrocytomas and Related Factors. Turk Neurosurg. 2012;22(5):566-75. doi: 10.5137/1019-5149.JTN.5347-11.3.</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83. Chul-Kee Park, Inho Park  et al. Genomic dynamics associated with malignant transformation in IDH1 mutated gliomas.</w:t>
      </w:r>
      <w:hyperlink r:id="rId96" w:history="1">
        <w:r w:rsidRPr="00701A93">
          <w:rPr>
            <w:rStyle w:val="a6"/>
            <w:rFonts w:eastAsiaTheme="majorEastAsia"/>
            <w:color w:val="auto"/>
            <w:sz w:val="28"/>
            <w:szCs w:val="28"/>
            <w:u w:val="none"/>
            <w:lang w:val="en-US"/>
          </w:rPr>
          <w:t xml:space="preserve"> Oncotarget.</w:t>
        </w:r>
      </w:hyperlink>
      <w:r w:rsidRPr="00701A93">
        <w:rPr>
          <w:sz w:val="28"/>
          <w:szCs w:val="28"/>
          <w:lang w:val="en-US"/>
        </w:rPr>
        <w:t xml:space="preserve"> 2015 Dec 22;6(41):43653-66. doi: 10.18632/oncotarget.6189.</w:t>
      </w:r>
    </w:p>
    <w:p w:rsidR="00701A93" w:rsidRPr="00C25FC0" w:rsidRDefault="00701A93" w:rsidP="005E0D82">
      <w:pPr>
        <w:pStyle w:val="af"/>
        <w:spacing w:before="0" w:beforeAutospacing="0" w:after="0" w:afterAutospacing="0" w:line="360" w:lineRule="auto"/>
        <w:rPr>
          <w:sz w:val="28"/>
          <w:szCs w:val="28"/>
          <w:lang w:val="en-US"/>
        </w:rPr>
      </w:pPr>
      <w:r w:rsidRPr="00701A93">
        <w:rPr>
          <w:sz w:val="28"/>
          <w:szCs w:val="28"/>
          <w:lang w:val="en-US"/>
        </w:rPr>
        <w:t>84. Jaeckle KA, Decker PA  et al. Transformation of low grade glioma and correlation with outcome: an NCCTG database analysis.</w:t>
      </w:r>
      <w:hyperlink r:id="rId97" w:history="1">
        <w:r w:rsidRPr="00701A93">
          <w:rPr>
            <w:rStyle w:val="a6"/>
            <w:rFonts w:eastAsiaTheme="majorEastAsia"/>
            <w:color w:val="auto"/>
            <w:sz w:val="28"/>
            <w:szCs w:val="28"/>
            <w:u w:val="none"/>
            <w:lang w:val="en-US"/>
          </w:rPr>
          <w:t xml:space="preserve"> </w:t>
        </w:r>
        <w:r w:rsidRPr="00C25FC0">
          <w:rPr>
            <w:rStyle w:val="a6"/>
            <w:rFonts w:eastAsiaTheme="majorEastAsia"/>
            <w:color w:val="auto"/>
            <w:sz w:val="28"/>
            <w:szCs w:val="28"/>
            <w:u w:val="none"/>
            <w:lang w:val="en-US"/>
          </w:rPr>
          <w:t>J Neurooncol.</w:t>
        </w:r>
      </w:hyperlink>
      <w:r w:rsidRPr="00C25FC0">
        <w:rPr>
          <w:sz w:val="28"/>
          <w:szCs w:val="28"/>
          <w:lang w:val="en-US"/>
        </w:rPr>
        <w:t xml:space="preserve"> 2011 Aug;104(1):253-9. doi: 10.1007/s11060-010-0476-2</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lastRenderedPageBreak/>
        <w:t>85. Kaisorn L. Chaichana, Mattew J. McGirt  et al. Recurrence and malignant degeneration after resection of adult hemispheric low-grade gliomas.</w:t>
      </w:r>
      <w:hyperlink r:id="rId98" w:history="1">
        <w:r w:rsidRPr="00701A93">
          <w:rPr>
            <w:rStyle w:val="a6"/>
            <w:rFonts w:eastAsiaTheme="majorEastAsia"/>
            <w:color w:val="auto"/>
            <w:sz w:val="28"/>
            <w:szCs w:val="28"/>
            <w:u w:val="none"/>
            <w:lang w:val="en-US"/>
          </w:rPr>
          <w:t xml:space="preserve"> J Neurosurg.</w:t>
        </w:r>
      </w:hyperlink>
      <w:r w:rsidRPr="00701A93">
        <w:rPr>
          <w:sz w:val="28"/>
          <w:szCs w:val="28"/>
          <w:lang w:val="en-US"/>
        </w:rPr>
        <w:t xml:space="preserve"> 2010 Jan;112(1):10-7. doi: 10.3171/2008.10.JNS08608</w:t>
      </w:r>
    </w:p>
    <w:p w:rsidR="00701A93" w:rsidRPr="00C25FC0" w:rsidRDefault="00701A93" w:rsidP="005E0D82">
      <w:pPr>
        <w:pStyle w:val="af"/>
        <w:spacing w:before="0" w:beforeAutospacing="0" w:after="0" w:afterAutospacing="0" w:line="360" w:lineRule="auto"/>
        <w:rPr>
          <w:sz w:val="28"/>
          <w:szCs w:val="28"/>
          <w:lang w:val="en-US"/>
        </w:rPr>
      </w:pPr>
      <w:r w:rsidRPr="00701A93">
        <w:rPr>
          <w:sz w:val="28"/>
          <w:szCs w:val="28"/>
          <w:lang w:val="en-US"/>
        </w:rPr>
        <w:t>86. Ittichai Sakarunchai, Rassamee Sangthong  et al. Free Survival Time of Recurrence and Malignant Transformation and Associated Factors in Patients with Supratentorial Low-Grade Gliomas.</w:t>
      </w:r>
      <w:hyperlink r:id="rId99" w:history="1">
        <w:r w:rsidRPr="00701A93">
          <w:rPr>
            <w:rStyle w:val="a6"/>
            <w:rFonts w:eastAsiaTheme="majorEastAsia"/>
            <w:color w:val="auto"/>
            <w:sz w:val="28"/>
            <w:szCs w:val="28"/>
            <w:u w:val="none"/>
            <w:lang w:val="en-US"/>
          </w:rPr>
          <w:t xml:space="preserve"> </w:t>
        </w:r>
        <w:r w:rsidRPr="00C25FC0">
          <w:rPr>
            <w:rStyle w:val="a6"/>
            <w:rFonts w:eastAsiaTheme="majorEastAsia"/>
            <w:color w:val="auto"/>
            <w:sz w:val="28"/>
            <w:szCs w:val="28"/>
            <w:u w:val="none"/>
            <w:lang w:val="en-US"/>
          </w:rPr>
          <w:t>J Med Assoc Thai.</w:t>
        </w:r>
      </w:hyperlink>
      <w:r w:rsidRPr="00C25FC0">
        <w:rPr>
          <w:sz w:val="28"/>
          <w:szCs w:val="28"/>
          <w:lang w:val="en-US"/>
        </w:rPr>
        <w:t xml:space="preserve"> 2013 Dec;96(12):1542-9.</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87. Tae-Young Jung, Shin Jung  et al. Early prognostic factors related to progression and malignant transformation of low-grade gliomas.</w:t>
      </w:r>
      <w:hyperlink r:id="rId100" w:history="1">
        <w:r w:rsidRPr="00701A93">
          <w:rPr>
            <w:rStyle w:val="a6"/>
            <w:rFonts w:eastAsiaTheme="majorEastAsia"/>
            <w:color w:val="auto"/>
            <w:sz w:val="28"/>
            <w:szCs w:val="28"/>
            <w:u w:val="none"/>
            <w:lang w:val="en-US"/>
          </w:rPr>
          <w:t xml:space="preserve"> Clin Neurol Neurosurg.</w:t>
        </w:r>
      </w:hyperlink>
      <w:r w:rsidRPr="00701A93">
        <w:rPr>
          <w:sz w:val="28"/>
          <w:szCs w:val="28"/>
          <w:lang w:val="en-US"/>
        </w:rPr>
        <w:t xml:space="preserve"> 2011 Nov;113(9):752-7. doi: 10.1016/j.clineuro.2011.08.002</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88. Rotta, Olivera  et al. Malignant transformation of low-grade gliomas in patients undergoing adjuvant therapy.</w:t>
      </w:r>
      <w:hyperlink r:id="rId101" w:history="1">
        <w:r w:rsidRPr="00701A93">
          <w:rPr>
            <w:rStyle w:val="a6"/>
            <w:rFonts w:eastAsiaTheme="majorEastAsia"/>
            <w:color w:val="auto"/>
            <w:sz w:val="28"/>
            <w:szCs w:val="28"/>
            <w:u w:val="none"/>
            <w:lang w:val="en-US"/>
          </w:rPr>
          <w:t xml:space="preserve"> Acta Neurol Belg.</w:t>
        </w:r>
      </w:hyperlink>
      <w:r w:rsidRPr="00701A93">
        <w:rPr>
          <w:sz w:val="28"/>
          <w:szCs w:val="28"/>
          <w:lang w:val="en-US"/>
        </w:rPr>
        <w:t xml:space="preserve"> 2017 Mar;117(1):235-239. doi: 10.1007/s13760-016-0657-7</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89. Laura, Snyder  et al. The impact of extend of resection on malignant transformation of pure oligodendrogliomas.</w:t>
      </w:r>
      <w:hyperlink r:id="rId102" w:history="1">
        <w:r w:rsidRPr="00701A93">
          <w:rPr>
            <w:rStyle w:val="a6"/>
            <w:rFonts w:eastAsiaTheme="majorEastAsia"/>
            <w:color w:val="auto"/>
            <w:sz w:val="28"/>
            <w:szCs w:val="28"/>
            <w:u w:val="none"/>
            <w:lang w:val="en-US"/>
          </w:rPr>
          <w:t xml:space="preserve"> J Neurosurg.</w:t>
        </w:r>
      </w:hyperlink>
      <w:r w:rsidRPr="00701A93">
        <w:rPr>
          <w:sz w:val="28"/>
          <w:szCs w:val="28"/>
          <w:lang w:val="en-US"/>
        </w:rPr>
        <w:t xml:space="preserve"> 2014 Feb;120(2):309-14. doi: 10.3171/2013.10.JNS13368</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90. Bourdillon, Hlaihel  et al. Prediction of anaplastic transformation in low-grade oligodendrogliomas based on magnetic resonance spectroscopy and 1p/19q codeletion status.</w:t>
      </w:r>
      <w:hyperlink r:id="rId103" w:history="1">
        <w:r w:rsidRPr="00701A93">
          <w:rPr>
            <w:rStyle w:val="a6"/>
            <w:rFonts w:eastAsiaTheme="majorEastAsia"/>
            <w:color w:val="auto"/>
            <w:sz w:val="28"/>
            <w:szCs w:val="28"/>
            <w:u w:val="none"/>
            <w:lang w:val="en-US"/>
          </w:rPr>
          <w:t xml:space="preserve"> J Neurooncol.</w:t>
        </w:r>
      </w:hyperlink>
      <w:r w:rsidRPr="00701A93">
        <w:rPr>
          <w:sz w:val="28"/>
          <w:szCs w:val="28"/>
          <w:lang w:val="en-US"/>
        </w:rPr>
        <w:t xml:space="preserve"> 2015 May;122(3):529-37. doi: 10.1007/s11060-015-1737-x</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91. Turkoglu, Gurer et al. Clinical outcome of surgically treated low-grade gliomas: A retrospective analysis of a single institute.</w:t>
      </w:r>
      <w:hyperlink r:id="rId104" w:history="1">
        <w:r w:rsidRPr="00701A93">
          <w:rPr>
            <w:rStyle w:val="a6"/>
            <w:rFonts w:eastAsiaTheme="majorEastAsia"/>
            <w:color w:val="auto"/>
            <w:sz w:val="28"/>
            <w:szCs w:val="28"/>
            <w:u w:val="none"/>
            <w:lang w:val="en-US"/>
          </w:rPr>
          <w:t xml:space="preserve"> Clin Neurol Neurosurg.</w:t>
        </w:r>
      </w:hyperlink>
      <w:r w:rsidRPr="00701A93">
        <w:rPr>
          <w:sz w:val="28"/>
          <w:szCs w:val="28"/>
          <w:lang w:val="en-US"/>
        </w:rPr>
        <w:t xml:space="preserve"> 2013 Dec;115(12):2508-13. doi: 10.1016/j.clineuro.2013.10.010</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92. Juratli, Peitzch et al. Accumulation of 2-hydroxyglutarate is not a biomarker for malignant progression in IDH-mutated low-grade gliomas.</w:t>
      </w:r>
      <w:hyperlink r:id="rId105" w:history="1">
        <w:r w:rsidRPr="00701A93">
          <w:rPr>
            <w:rStyle w:val="a6"/>
            <w:rFonts w:eastAsiaTheme="majorEastAsia"/>
            <w:color w:val="auto"/>
            <w:sz w:val="28"/>
            <w:szCs w:val="28"/>
            <w:u w:val="none"/>
            <w:lang w:val="en-US"/>
          </w:rPr>
          <w:t xml:space="preserve"> Neuro Oncol.</w:t>
        </w:r>
      </w:hyperlink>
      <w:r w:rsidRPr="00701A93">
        <w:rPr>
          <w:sz w:val="28"/>
          <w:szCs w:val="28"/>
          <w:lang w:val="en-US"/>
        </w:rPr>
        <w:t xml:space="preserve"> 2013 Jun;15(6):682-90. doi: 10.1093/neuonc/not006</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t>93. Morshed, Han, Hervey-Jumper et al. Molecular features and clinical outcomes in surgically treated low-grade diffuse gliomas in patients over the age of 60.</w:t>
      </w:r>
      <w:hyperlink r:id="rId106" w:history="1">
        <w:r w:rsidRPr="00701A93">
          <w:rPr>
            <w:rStyle w:val="a6"/>
            <w:rFonts w:eastAsiaTheme="majorEastAsia"/>
            <w:color w:val="auto"/>
            <w:sz w:val="28"/>
            <w:szCs w:val="28"/>
            <w:u w:val="none"/>
            <w:lang w:val="en-US"/>
          </w:rPr>
          <w:t xml:space="preserve"> J Neurooncol.</w:t>
        </w:r>
      </w:hyperlink>
      <w:r w:rsidRPr="00701A93">
        <w:rPr>
          <w:sz w:val="28"/>
          <w:szCs w:val="28"/>
          <w:lang w:val="en-US"/>
        </w:rPr>
        <w:t xml:space="preserve"> 2019 Jan;141(2):383-391. doi: 10.1007/s11060-018-03044</w:t>
      </w:r>
    </w:p>
    <w:p w:rsidR="00701A93" w:rsidRPr="00701A93" w:rsidRDefault="00701A93" w:rsidP="005E0D82">
      <w:pPr>
        <w:pStyle w:val="af"/>
        <w:spacing w:before="0" w:beforeAutospacing="0" w:after="0" w:afterAutospacing="0" w:line="360" w:lineRule="auto"/>
        <w:rPr>
          <w:sz w:val="28"/>
          <w:szCs w:val="28"/>
          <w:lang w:val="en-US"/>
        </w:rPr>
      </w:pPr>
      <w:r w:rsidRPr="00701A93">
        <w:rPr>
          <w:sz w:val="28"/>
          <w:szCs w:val="28"/>
          <w:lang w:val="en-US"/>
        </w:rPr>
        <w:lastRenderedPageBreak/>
        <w:t>94. Zhang, Chiang, Magge et al. Texture analysis on conventional MRI images accurately predicts early malignant transformation of low grade gliomas.</w:t>
      </w:r>
      <w:hyperlink r:id="rId107" w:history="1">
        <w:r w:rsidRPr="00701A93">
          <w:rPr>
            <w:rStyle w:val="a6"/>
            <w:rFonts w:eastAsiaTheme="majorEastAsia"/>
            <w:color w:val="auto"/>
            <w:sz w:val="28"/>
            <w:szCs w:val="28"/>
            <w:u w:val="none"/>
            <w:lang w:val="en-US"/>
          </w:rPr>
          <w:t xml:space="preserve"> Eur Radiol.</w:t>
        </w:r>
      </w:hyperlink>
      <w:r w:rsidRPr="00701A93">
        <w:rPr>
          <w:sz w:val="28"/>
          <w:szCs w:val="28"/>
          <w:lang w:val="en-US"/>
        </w:rPr>
        <w:t xml:space="preserve"> 2019 Jan 7. doi: 10.1007/s00330-018-5921-1</w:t>
      </w:r>
    </w:p>
    <w:p w:rsidR="00701A93" w:rsidRPr="00701A93" w:rsidRDefault="00701A93" w:rsidP="005E0D82">
      <w:pPr>
        <w:pStyle w:val="af"/>
        <w:spacing w:before="0" w:beforeAutospacing="0" w:after="0" w:afterAutospacing="0" w:line="360" w:lineRule="auto"/>
        <w:rPr>
          <w:sz w:val="28"/>
          <w:szCs w:val="28"/>
        </w:rPr>
      </w:pPr>
      <w:r w:rsidRPr="00701A93">
        <w:rPr>
          <w:sz w:val="28"/>
          <w:szCs w:val="28"/>
          <w:lang w:val="en-US"/>
        </w:rPr>
        <w:t>95. Bashir, Brennum, Broholm et al. The diagnostic accuracy of detecting malignant transformation of low-grade glioma using O-(2-[18F]fluoroethyl)-l-tyrosine positron emission tomography: a retrospective study.</w:t>
      </w:r>
      <w:hyperlink r:id="rId108" w:history="1">
        <w:r w:rsidRPr="00701A93">
          <w:rPr>
            <w:rStyle w:val="a6"/>
            <w:rFonts w:eastAsiaTheme="majorEastAsia"/>
            <w:color w:val="auto"/>
            <w:sz w:val="28"/>
            <w:szCs w:val="28"/>
            <w:u w:val="none"/>
            <w:lang w:val="en-US"/>
          </w:rPr>
          <w:t xml:space="preserve"> </w:t>
        </w:r>
        <w:r w:rsidRPr="00701A93">
          <w:rPr>
            <w:rStyle w:val="a6"/>
            <w:rFonts w:eastAsiaTheme="majorEastAsia"/>
            <w:color w:val="auto"/>
            <w:sz w:val="28"/>
            <w:szCs w:val="28"/>
            <w:u w:val="none"/>
          </w:rPr>
          <w:t>J Neurosurg.</w:t>
        </w:r>
      </w:hyperlink>
      <w:r w:rsidRPr="00701A93">
        <w:rPr>
          <w:sz w:val="28"/>
          <w:szCs w:val="28"/>
        </w:rPr>
        <w:t xml:space="preserve"> 2018 Apr 1:1-14. doi: 10.3171/2017.8.JNS171577</w:t>
      </w:r>
    </w:p>
    <w:p w:rsidR="0039083C" w:rsidRPr="00701A93" w:rsidRDefault="0039083C" w:rsidP="005E0D82">
      <w:pPr>
        <w:pStyle w:val="1"/>
        <w:spacing w:before="0" w:after="0"/>
        <w:jc w:val="both"/>
        <w:rPr>
          <w:rFonts w:cs="Times New Roman"/>
          <w:b w:val="0"/>
          <w:bCs w:val="0"/>
        </w:rPr>
      </w:pPr>
      <w:r w:rsidRPr="00C25FC0">
        <w:rPr>
          <w:rFonts w:cs="Times New Roman"/>
          <w:b w:val="0"/>
          <w:bCs w:val="0"/>
        </w:rPr>
        <w:br w:type="page"/>
      </w:r>
    </w:p>
    <w:p w:rsidR="0039083C" w:rsidRPr="00C25FC0" w:rsidRDefault="0039083C" w:rsidP="005E0D82">
      <w:pPr>
        <w:spacing w:after="0" w:line="360" w:lineRule="auto"/>
        <w:jc w:val="both"/>
        <w:rPr>
          <w:rFonts w:ascii="Times New Roman" w:hAnsi="Times New Roman" w:cs="Times New Roman"/>
          <w:sz w:val="28"/>
          <w:szCs w:val="28"/>
        </w:rPr>
      </w:pPr>
    </w:p>
    <w:p w:rsidR="00C849FD" w:rsidRPr="002E124D" w:rsidRDefault="00C849FD" w:rsidP="005E0D82">
      <w:pPr>
        <w:pStyle w:val="1"/>
        <w:spacing w:before="0" w:after="0"/>
        <w:jc w:val="both"/>
        <w:rPr>
          <w:rFonts w:cs="Times New Roman"/>
        </w:rPr>
      </w:pPr>
      <w:bookmarkStart w:id="76" w:name="_Toc9031287"/>
      <w:bookmarkStart w:id="77" w:name="_Toc9250620"/>
      <w:r w:rsidRPr="002E124D">
        <w:rPr>
          <w:rFonts w:cs="Times New Roman"/>
        </w:rPr>
        <w:t>Приложения</w:t>
      </w:r>
      <w:bookmarkEnd w:id="76"/>
      <w:bookmarkEnd w:id="77"/>
    </w:p>
    <w:p w:rsidR="009C58CA" w:rsidRPr="009E769B" w:rsidRDefault="001403F8" w:rsidP="005E0D82">
      <w:pPr>
        <w:pStyle w:val="2"/>
        <w:spacing w:before="0" w:after="0" w:line="360" w:lineRule="auto"/>
      </w:pPr>
      <w:bookmarkStart w:id="78" w:name="_Toc9031288"/>
      <w:bookmarkStart w:id="79" w:name="_Toc9250621"/>
      <w:r>
        <w:t>Приложение 1. Классификация опухолей ЦНС ВОЗ (2016)</w:t>
      </w:r>
      <w:r w:rsidR="00913AFC">
        <w:t xml:space="preserve"> </w:t>
      </w:r>
      <w:r w:rsidR="00913AFC" w:rsidRPr="009E769B">
        <w:t>[</w:t>
      </w:r>
      <w:r w:rsidR="00913AFC">
        <w:t>5,6</w:t>
      </w:r>
      <w:r w:rsidR="00913AFC" w:rsidRPr="009E769B">
        <w:t>]</w:t>
      </w:r>
      <w:bookmarkEnd w:id="78"/>
      <w:bookmarkEnd w:id="79"/>
    </w:p>
    <w:p w:rsidR="00B74897" w:rsidRDefault="002D5731" w:rsidP="005E0D82">
      <w:pPr>
        <w:spacing w:after="0" w:line="360" w:lineRule="auto"/>
      </w:pPr>
      <w:r>
        <w:pict>
          <v:shape id="_x0000_i1095" type="#_x0000_t75" style="width:452.4pt;height:124.8pt">
            <v:imagedata r:id="rId109" o:title="photo5202052359168044268"/>
          </v:shape>
        </w:pict>
      </w:r>
    </w:p>
    <w:p w:rsidR="00B74897" w:rsidRDefault="002D5731" w:rsidP="005E0D82">
      <w:pPr>
        <w:spacing w:after="0" w:line="360" w:lineRule="auto"/>
      </w:pPr>
      <w:r>
        <w:pict>
          <v:shape id="_x0000_i1096" type="#_x0000_t75" style="width:453pt;height:507pt">
            <v:imagedata r:id="rId110" o:title="photo5202052359168044269"/>
          </v:shape>
        </w:pict>
      </w:r>
    </w:p>
    <w:p w:rsidR="00B74897" w:rsidRDefault="002D5731" w:rsidP="005E0D82">
      <w:pPr>
        <w:spacing w:after="0" w:line="360" w:lineRule="auto"/>
      </w:pPr>
      <w:r>
        <w:lastRenderedPageBreak/>
        <w:pict>
          <v:shape id="_x0000_i1097" type="#_x0000_t75" style="width:453.6pt;height:638.4pt">
            <v:imagedata r:id="rId111" o:title="photo5202052359168044270"/>
          </v:shape>
        </w:pict>
      </w:r>
    </w:p>
    <w:p w:rsidR="00B74897" w:rsidRDefault="002D5731" w:rsidP="005E0D82">
      <w:pPr>
        <w:spacing w:after="0" w:line="360" w:lineRule="auto"/>
      </w:pPr>
      <w:r>
        <w:lastRenderedPageBreak/>
        <w:pict>
          <v:shape id="_x0000_i1098" type="#_x0000_t75" style="width:453.6pt;height:638.4pt">
            <v:imagedata r:id="rId112" o:title="photo5202052359168044271"/>
          </v:shape>
        </w:pict>
      </w:r>
    </w:p>
    <w:p w:rsidR="00B74897" w:rsidRPr="00B74897" w:rsidRDefault="002D5731" w:rsidP="005E0D82">
      <w:pPr>
        <w:spacing w:after="0" w:line="360" w:lineRule="auto"/>
      </w:pPr>
      <w:r>
        <w:lastRenderedPageBreak/>
        <w:pict>
          <v:shape id="_x0000_i1099" type="#_x0000_t75" style="width:453pt;height:372pt">
            <v:imagedata r:id="rId113" o:title="photo5202052359168044272"/>
          </v:shape>
        </w:pict>
      </w:r>
    </w:p>
    <w:p w:rsidR="001403F8" w:rsidRDefault="00A32A45" w:rsidP="005E0D82">
      <w:pPr>
        <w:spacing w:after="0" w:line="360" w:lineRule="auto"/>
      </w:pPr>
      <w:r>
        <w:lastRenderedPageBreak/>
        <w:pict>
          <v:shape id="_x0000_i1100" type="#_x0000_t75" style="width:453.6pt;height:601.8pt">
            <v:imagedata r:id="rId114" o:title="photo5204018114159815222"/>
          </v:shape>
        </w:pict>
      </w:r>
    </w:p>
    <w:p w:rsidR="001403F8" w:rsidRDefault="00A32A45" w:rsidP="005E0D82">
      <w:pPr>
        <w:spacing w:after="0" w:line="360" w:lineRule="auto"/>
      </w:pPr>
      <w:r>
        <w:lastRenderedPageBreak/>
        <w:pict>
          <v:shape id="_x0000_i1101" type="#_x0000_t75" style="width:452.4pt;height:256.8pt">
            <v:imagedata r:id="rId115" o:title="photo5202052359168044267"/>
          </v:shape>
        </w:pict>
      </w:r>
    </w:p>
    <w:p w:rsidR="00B74897" w:rsidRDefault="00B74897" w:rsidP="005E0D82">
      <w:pPr>
        <w:spacing w:after="0" w:line="360" w:lineRule="auto"/>
      </w:pPr>
    </w:p>
    <w:p w:rsidR="002D5731" w:rsidRDefault="002D5731" w:rsidP="002D5731">
      <w:pPr>
        <w:pStyle w:val="2"/>
      </w:pPr>
      <w:r>
        <w:t>Приложение 2</w:t>
      </w:r>
    </w:p>
    <w:p w:rsidR="002D5731" w:rsidRPr="002D5731" w:rsidRDefault="002D5731" w:rsidP="002D5731">
      <w:pPr>
        <w:autoSpaceDE w:val="0"/>
        <w:autoSpaceDN w:val="0"/>
        <w:adjustRightInd w:val="0"/>
        <w:spacing w:after="0" w:line="360" w:lineRule="auto"/>
        <w:jc w:val="both"/>
        <w:rPr>
          <w:rFonts w:ascii="Times New Roman" w:hAnsi="Times New Roman" w:cs="Times New Roman"/>
          <w:sz w:val="28"/>
          <w:szCs w:val="28"/>
        </w:rPr>
      </w:pPr>
      <w:r w:rsidRPr="002D5731">
        <w:rPr>
          <w:rFonts w:ascii="Times New Roman" w:hAnsi="Times New Roman" w:cs="Times New Roman"/>
          <w:sz w:val="28"/>
          <w:szCs w:val="28"/>
        </w:rPr>
        <w:t>Исаев А.А. Клинические и молекулярно-генетические аспекты злокачественной трансформации некоторых нейроэпителиальных опухолей</w:t>
      </w:r>
      <w:r w:rsidRPr="002D5731">
        <w:rPr>
          <w:rFonts w:ascii="Times New Roman" w:hAnsi="Times New Roman" w:cs="Times New Roman"/>
          <w:sz w:val="28"/>
          <w:szCs w:val="28"/>
        </w:rPr>
        <w:t xml:space="preserve"> / Фундаментальная наука и клиническая медицина - Человек и его здоровье: Тезисы </w:t>
      </w:r>
      <w:r w:rsidRPr="002D5731">
        <w:rPr>
          <w:rFonts w:ascii="Times New Roman" w:hAnsi="Times New Roman" w:cs="Times New Roman"/>
          <w:sz w:val="28"/>
          <w:szCs w:val="28"/>
          <w:lang w:val="en-US"/>
        </w:rPr>
        <w:t>XXII</w:t>
      </w:r>
      <w:r w:rsidRPr="002D5731">
        <w:rPr>
          <w:rFonts w:ascii="Times New Roman" w:hAnsi="Times New Roman" w:cs="Times New Roman"/>
          <w:sz w:val="28"/>
          <w:szCs w:val="28"/>
        </w:rPr>
        <w:t xml:space="preserve"> Международной медико-биологической конференции молодых исследователей. – СПб.: Изд-во СПбГУ, 201</w:t>
      </w:r>
      <w:r w:rsidRPr="002D5731">
        <w:rPr>
          <w:rFonts w:ascii="Times New Roman" w:hAnsi="Times New Roman" w:cs="Times New Roman"/>
          <w:sz w:val="28"/>
          <w:szCs w:val="28"/>
        </w:rPr>
        <w:t>9</w:t>
      </w:r>
      <w:r w:rsidRPr="002D5731">
        <w:rPr>
          <w:rFonts w:ascii="Times New Roman" w:hAnsi="Times New Roman" w:cs="Times New Roman"/>
          <w:sz w:val="28"/>
          <w:szCs w:val="28"/>
        </w:rPr>
        <w:t>. – с. 336-337.</w:t>
      </w:r>
    </w:p>
    <w:p w:rsidR="002D5731" w:rsidRPr="002D5731" w:rsidRDefault="002D5731" w:rsidP="002D5731">
      <w:pPr>
        <w:spacing w:after="0" w:line="360" w:lineRule="auto"/>
        <w:rPr>
          <w:rFonts w:ascii="Times New Roman" w:hAnsi="Times New Roman" w:cs="Times New Roman"/>
          <w:sz w:val="28"/>
          <w:szCs w:val="28"/>
        </w:rPr>
      </w:pPr>
      <w:r w:rsidRPr="002D5731">
        <w:rPr>
          <w:rFonts w:ascii="Times New Roman" w:hAnsi="Times New Roman" w:cs="Times New Roman"/>
          <w:sz w:val="28"/>
          <w:szCs w:val="28"/>
        </w:rPr>
        <w:t xml:space="preserve">Введение. Опухоли нейроэпителиальной природы отличаются высоким морфологическим полиморфизмом, и, как следствие, широким диапазоном показателей выживаемости и терапевтического подхода. Статистически подавляющее большинство опухолей данной группы представляет собой новообразования глиальной природы, дифференцируемые согласно классификации ВОЗ 2016 года по различным гистологическим (астроцитарные, олигодендроглиальные и т.д.), молекулярным (наличие или отсутствие </w:t>
      </w:r>
      <w:r w:rsidRPr="002D5731">
        <w:rPr>
          <w:rFonts w:ascii="Times New Roman" w:hAnsi="Times New Roman" w:cs="Times New Roman"/>
          <w:sz w:val="28"/>
          <w:szCs w:val="28"/>
          <w:lang w:val="en-US"/>
        </w:rPr>
        <w:t>IDH</w:t>
      </w:r>
      <w:r w:rsidRPr="002D5731">
        <w:rPr>
          <w:rFonts w:ascii="Times New Roman" w:hAnsi="Times New Roman" w:cs="Times New Roman"/>
          <w:sz w:val="28"/>
          <w:szCs w:val="28"/>
        </w:rPr>
        <w:t>-мутации, ко-делеции 1</w:t>
      </w:r>
      <w:r w:rsidRPr="002D5731">
        <w:rPr>
          <w:rFonts w:ascii="Times New Roman" w:hAnsi="Times New Roman" w:cs="Times New Roman"/>
          <w:sz w:val="28"/>
          <w:szCs w:val="28"/>
          <w:lang w:val="en-US"/>
        </w:rPr>
        <w:t>p</w:t>
      </w:r>
      <w:r w:rsidRPr="002D5731">
        <w:rPr>
          <w:rFonts w:ascii="Times New Roman" w:hAnsi="Times New Roman" w:cs="Times New Roman"/>
          <w:sz w:val="28"/>
          <w:szCs w:val="28"/>
        </w:rPr>
        <w:t>19</w:t>
      </w:r>
      <w:r w:rsidRPr="002D5731">
        <w:rPr>
          <w:rFonts w:ascii="Times New Roman" w:hAnsi="Times New Roman" w:cs="Times New Roman"/>
          <w:sz w:val="28"/>
          <w:szCs w:val="28"/>
          <w:lang w:val="en-US"/>
        </w:rPr>
        <w:t>q</w:t>
      </w:r>
      <w:r w:rsidRPr="002D5731">
        <w:rPr>
          <w:rFonts w:ascii="Times New Roman" w:hAnsi="Times New Roman" w:cs="Times New Roman"/>
          <w:sz w:val="28"/>
          <w:szCs w:val="28"/>
        </w:rPr>
        <w:t xml:space="preserve">) и прочим критериям (пролиферативная активность, клеточная атипия и значение индекса </w:t>
      </w:r>
      <w:r w:rsidRPr="002D5731">
        <w:rPr>
          <w:rFonts w:ascii="Times New Roman" w:hAnsi="Times New Roman" w:cs="Times New Roman"/>
          <w:sz w:val="28"/>
          <w:szCs w:val="28"/>
          <w:lang w:val="en-US"/>
        </w:rPr>
        <w:t>Ki</w:t>
      </w:r>
      <w:r w:rsidRPr="002D5731">
        <w:rPr>
          <w:rFonts w:ascii="Times New Roman" w:hAnsi="Times New Roman" w:cs="Times New Roman"/>
          <w:sz w:val="28"/>
          <w:szCs w:val="28"/>
        </w:rPr>
        <w:t xml:space="preserve">-67). Таким образом, глиомы принято делить в зависимости от степени дифференцировки на </w:t>
      </w:r>
      <w:r w:rsidRPr="002D5731">
        <w:rPr>
          <w:rFonts w:ascii="Times New Roman" w:hAnsi="Times New Roman" w:cs="Times New Roman"/>
          <w:sz w:val="28"/>
          <w:szCs w:val="28"/>
          <w:lang w:val="en-US"/>
        </w:rPr>
        <w:t>low</w:t>
      </w:r>
      <w:r w:rsidRPr="002D5731">
        <w:rPr>
          <w:rFonts w:ascii="Times New Roman" w:hAnsi="Times New Roman" w:cs="Times New Roman"/>
          <w:sz w:val="28"/>
          <w:szCs w:val="28"/>
        </w:rPr>
        <w:t>-</w:t>
      </w:r>
      <w:r w:rsidRPr="002D5731">
        <w:rPr>
          <w:rFonts w:ascii="Times New Roman" w:hAnsi="Times New Roman" w:cs="Times New Roman"/>
          <w:sz w:val="28"/>
          <w:szCs w:val="28"/>
          <w:lang w:val="en-US"/>
        </w:rPr>
        <w:t>grade</w:t>
      </w:r>
      <w:r w:rsidRPr="002D5731">
        <w:rPr>
          <w:rFonts w:ascii="Times New Roman" w:hAnsi="Times New Roman" w:cs="Times New Roman"/>
          <w:sz w:val="28"/>
          <w:szCs w:val="28"/>
        </w:rPr>
        <w:t xml:space="preserve"> (</w:t>
      </w:r>
      <w:r w:rsidRPr="002D5731">
        <w:rPr>
          <w:rFonts w:ascii="Times New Roman" w:hAnsi="Times New Roman" w:cs="Times New Roman"/>
          <w:sz w:val="28"/>
          <w:szCs w:val="28"/>
          <w:lang w:val="en-US"/>
        </w:rPr>
        <w:t>GI</w:t>
      </w:r>
      <w:r w:rsidRPr="002D5731">
        <w:rPr>
          <w:rFonts w:ascii="Times New Roman" w:hAnsi="Times New Roman" w:cs="Times New Roman"/>
          <w:sz w:val="28"/>
          <w:szCs w:val="28"/>
        </w:rPr>
        <w:t>-</w:t>
      </w:r>
      <w:r w:rsidRPr="002D5731">
        <w:rPr>
          <w:rFonts w:ascii="Times New Roman" w:hAnsi="Times New Roman" w:cs="Times New Roman"/>
          <w:sz w:val="28"/>
          <w:szCs w:val="28"/>
          <w:lang w:val="en-US"/>
        </w:rPr>
        <w:t>II</w:t>
      </w:r>
      <w:r w:rsidRPr="002D5731">
        <w:rPr>
          <w:rFonts w:ascii="Times New Roman" w:hAnsi="Times New Roman" w:cs="Times New Roman"/>
          <w:sz w:val="28"/>
          <w:szCs w:val="28"/>
        </w:rPr>
        <w:t xml:space="preserve">), то есть условно доброкачественные </w:t>
      </w:r>
      <w:r w:rsidRPr="002D5731">
        <w:rPr>
          <w:rFonts w:ascii="Times New Roman" w:hAnsi="Times New Roman" w:cs="Times New Roman"/>
          <w:sz w:val="28"/>
          <w:szCs w:val="28"/>
        </w:rPr>
        <w:lastRenderedPageBreak/>
        <w:t xml:space="preserve">и с хорошим прогнозом, и </w:t>
      </w:r>
      <w:r w:rsidRPr="002D5731">
        <w:rPr>
          <w:rFonts w:ascii="Times New Roman" w:hAnsi="Times New Roman" w:cs="Times New Roman"/>
          <w:sz w:val="28"/>
          <w:szCs w:val="28"/>
          <w:lang w:val="en-US"/>
        </w:rPr>
        <w:t>high</w:t>
      </w:r>
      <w:r w:rsidRPr="002D5731">
        <w:rPr>
          <w:rFonts w:ascii="Times New Roman" w:hAnsi="Times New Roman" w:cs="Times New Roman"/>
          <w:sz w:val="28"/>
          <w:szCs w:val="28"/>
        </w:rPr>
        <w:t>-</w:t>
      </w:r>
      <w:r w:rsidRPr="002D5731">
        <w:rPr>
          <w:rFonts w:ascii="Times New Roman" w:hAnsi="Times New Roman" w:cs="Times New Roman"/>
          <w:sz w:val="28"/>
          <w:szCs w:val="28"/>
          <w:lang w:val="en-US"/>
        </w:rPr>
        <w:t>grade</w:t>
      </w:r>
      <w:r w:rsidRPr="002D5731">
        <w:rPr>
          <w:rFonts w:ascii="Times New Roman" w:hAnsi="Times New Roman" w:cs="Times New Roman"/>
          <w:sz w:val="28"/>
          <w:szCs w:val="28"/>
        </w:rPr>
        <w:t xml:space="preserve"> (</w:t>
      </w:r>
      <w:r w:rsidRPr="002D5731">
        <w:rPr>
          <w:rFonts w:ascii="Times New Roman" w:hAnsi="Times New Roman" w:cs="Times New Roman"/>
          <w:sz w:val="28"/>
          <w:szCs w:val="28"/>
          <w:lang w:val="en-US"/>
        </w:rPr>
        <w:t>GIII</w:t>
      </w:r>
      <w:r w:rsidRPr="002D5731">
        <w:rPr>
          <w:rFonts w:ascii="Times New Roman" w:hAnsi="Times New Roman" w:cs="Times New Roman"/>
          <w:sz w:val="28"/>
          <w:szCs w:val="28"/>
        </w:rPr>
        <w:t>-</w:t>
      </w:r>
      <w:r w:rsidRPr="002D5731">
        <w:rPr>
          <w:rFonts w:ascii="Times New Roman" w:hAnsi="Times New Roman" w:cs="Times New Roman"/>
          <w:sz w:val="28"/>
          <w:szCs w:val="28"/>
          <w:lang w:val="en-US"/>
        </w:rPr>
        <w:t>IV</w:t>
      </w:r>
      <w:r w:rsidRPr="002D5731">
        <w:rPr>
          <w:rFonts w:ascii="Times New Roman" w:hAnsi="Times New Roman" w:cs="Times New Roman"/>
          <w:sz w:val="28"/>
          <w:szCs w:val="28"/>
        </w:rPr>
        <w:t>) с более агрессивным течением и низкими показателями выживаемости.</w:t>
      </w:r>
    </w:p>
    <w:p w:rsidR="002D5731" w:rsidRPr="002D5731" w:rsidRDefault="002D5731" w:rsidP="002D5731">
      <w:pPr>
        <w:spacing w:after="0" w:line="360" w:lineRule="auto"/>
        <w:rPr>
          <w:rFonts w:ascii="Times New Roman" w:hAnsi="Times New Roman" w:cs="Times New Roman"/>
          <w:sz w:val="28"/>
          <w:szCs w:val="28"/>
        </w:rPr>
      </w:pPr>
      <w:r w:rsidRPr="002D5731">
        <w:rPr>
          <w:rFonts w:ascii="Times New Roman" w:hAnsi="Times New Roman" w:cs="Times New Roman"/>
          <w:sz w:val="28"/>
          <w:szCs w:val="28"/>
        </w:rPr>
        <w:t>Цель. Определить клинические, морфологические и молекулярно-генетические аспекты злокачественной трансформации глиом головного мозга.</w:t>
      </w:r>
    </w:p>
    <w:p w:rsidR="002D5731" w:rsidRPr="002D5731" w:rsidRDefault="002D5731" w:rsidP="002D5731">
      <w:pPr>
        <w:spacing w:after="0" w:line="360" w:lineRule="auto"/>
        <w:rPr>
          <w:rFonts w:ascii="Times New Roman" w:hAnsi="Times New Roman" w:cs="Times New Roman"/>
          <w:sz w:val="28"/>
          <w:szCs w:val="28"/>
        </w:rPr>
      </w:pPr>
      <w:r w:rsidRPr="002D5731">
        <w:rPr>
          <w:rFonts w:ascii="Times New Roman" w:hAnsi="Times New Roman" w:cs="Times New Roman"/>
          <w:sz w:val="28"/>
          <w:szCs w:val="28"/>
        </w:rPr>
        <w:t xml:space="preserve">Материалы и методы. В рамках исследования была изучена частота злокачественной трансформации </w:t>
      </w:r>
      <w:r w:rsidRPr="002D5731">
        <w:rPr>
          <w:rFonts w:ascii="Times New Roman" w:hAnsi="Times New Roman" w:cs="Times New Roman"/>
          <w:sz w:val="28"/>
          <w:szCs w:val="28"/>
          <w:lang w:val="en-US"/>
        </w:rPr>
        <w:t>GII</w:t>
      </w:r>
      <w:r w:rsidRPr="002D5731">
        <w:rPr>
          <w:rFonts w:ascii="Times New Roman" w:hAnsi="Times New Roman" w:cs="Times New Roman"/>
          <w:sz w:val="28"/>
          <w:szCs w:val="28"/>
        </w:rPr>
        <w:t xml:space="preserve"> и </w:t>
      </w:r>
      <w:r w:rsidRPr="002D5731">
        <w:rPr>
          <w:rFonts w:ascii="Times New Roman" w:hAnsi="Times New Roman" w:cs="Times New Roman"/>
          <w:sz w:val="28"/>
          <w:szCs w:val="28"/>
          <w:lang w:val="en-US"/>
        </w:rPr>
        <w:t>GIII</w:t>
      </w:r>
      <w:r w:rsidRPr="002D5731">
        <w:rPr>
          <w:rFonts w:ascii="Times New Roman" w:hAnsi="Times New Roman" w:cs="Times New Roman"/>
          <w:sz w:val="28"/>
          <w:szCs w:val="28"/>
        </w:rPr>
        <w:t xml:space="preserve"> глиом различной морфологической природы (</w:t>
      </w:r>
      <w:r w:rsidRPr="002D5731">
        <w:rPr>
          <w:rFonts w:ascii="Times New Roman" w:hAnsi="Times New Roman" w:cs="Times New Roman"/>
          <w:sz w:val="28"/>
          <w:szCs w:val="28"/>
          <w:lang w:val="en-US"/>
        </w:rPr>
        <w:t>n</w:t>
      </w:r>
      <w:r w:rsidRPr="002D5731">
        <w:rPr>
          <w:rFonts w:ascii="Times New Roman" w:hAnsi="Times New Roman" w:cs="Times New Roman"/>
          <w:sz w:val="28"/>
          <w:szCs w:val="28"/>
        </w:rPr>
        <w:t xml:space="preserve"> = 94) у пациентов, перенесших то или иное лечение по поводу первичной опухоли и проведена оценка клинических (пол, возраст, объем опухоли и хирургического вмешательства) и молекулярных (уровень экспрессии генов </w:t>
      </w:r>
      <w:r w:rsidRPr="002D5731">
        <w:rPr>
          <w:rFonts w:ascii="Times New Roman" w:hAnsi="Times New Roman" w:cs="Times New Roman"/>
          <w:sz w:val="28"/>
          <w:szCs w:val="28"/>
          <w:lang w:val="en-US"/>
        </w:rPr>
        <w:t>IDH</w:t>
      </w:r>
      <w:r w:rsidRPr="002D5731">
        <w:rPr>
          <w:rFonts w:ascii="Times New Roman" w:hAnsi="Times New Roman" w:cs="Times New Roman"/>
          <w:sz w:val="28"/>
          <w:szCs w:val="28"/>
        </w:rPr>
        <w:t xml:space="preserve">, </w:t>
      </w:r>
      <w:r w:rsidRPr="002D5731">
        <w:rPr>
          <w:rFonts w:ascii="Times New Roman" w:hAnsi="Times New Roman" w:cs="Times New Roman"/>
          <w:sz w:val="28"/>
          <w:szCs w:val="28"/>
          <w:lang w:val="en-US"/>
        </w:rPr>
        <w:t>MGMT</w:t>
      </w:r>
      <w:r w:rsidRPr="002D5731">
        <w:rPr>
          <w:rFonts w:ascii="Times New Roman" w:hAnsi="Times New Roman" w:cs="Times New Roman"/>
          <w:sz w:val="28"/>
          <w:szCs w:val="28"/>
        </w:rPr>
        <w:t>, 1</w:t>
      </w:r>
      <w:r w:rsidRPr="002D5731">
        <w:rPr>
          <w:rFonts w:ascii="Times New Roman" w:hAnsi="Times New Roman" w:cs="Times New Roman"/>
          <w:sz w:val="28"/>
          <w:szCs w:val="28"/>
          <w:lang w:val="en-US"/>
        </w:rPr>
        <w:t>p</w:t>
      </w:r>
      <w:r w:rsidRPr="002D5731">
        <w:rPr>
          <w:rFonts w:ascii="Times New Roman" w:hAnsi="Times New Roman" w:cs="Times New Roman"/>
          <w:sz w:val="28"/>
          <w:szCs w:val="28"/>
        </w:rPr>
        <w:t>19</w:t>
      </w:r>
      <w:r w:rsidRPr="002D5731">
        <w:rPr>
          <w:rFonts w:ascii="Times New Roman" w:hAnsi="Times New Roman" w:cs="Times New Roman"/>
          <w:sz w:val="28"/>
          <w:szCs w:val="28"/>
          <w:lang w:val="en-US"/>
        </w:rPr>
        <w:t>q</w:t>
      </w:r>
      <w:r w:rsidRPr="002D5731">
        <w:rPr>
          <w:rFonts w:ascii="Times New Roman" w:hAnsi="Times New Roman" w:cs="Times New Roman"/>
          <w:sz w:val="28"/>
          <w:szCs w:val="28"/>
        </w:rPr>
        <w:t xml:space="preserve">, </w:t>
      </w:r>
      <w:r w:rsidRPr="002D5731">
        <w:rPr>
          <w:rFonts w:ascii="Times New Roman" w:hAnsi="Times New Roman" w:cs="Times New Roman"/>
          <w:sz w:val="28"/>
          <w:szCs w:val="28"/>
          <w:lang w:val="en-US"/>
        </w:rPr>
        <w:t>VEGF</w:t>
      </w:r>
      <w:r w:rsidRPr="002D5731">
        <w:rPr>
          <w:rFonts w:ascii="Times New Roman" w:hAnsi="Times New Roman" w:cs="Times New Roman"/>
          <w:sz w:val="28"/>
          <w:szCs w:val="28"/>
        </w:rPr>
        <w:t xml:space="preserve">, </w:t>
      </w:r>
      <w:r w:rsidRPr="002D5731">
        <w:rPr>
          <w:rFonts w:ascii="Times New Roman" w:hAnsi="Times New Roman" w:cs="Times New Roman"/>
          <w:sz w:val="28"/>
          <w:szCs w:val="28"/>
          <w:lang w:val="en-US"/>
        </w:rPr>
        <w:t>TP</w:t>
      </w:r>
      <w:r w:rsidRPr="002D5731">
        <w:rPr>
          <w:rFonts w:ascii="Times New Roman" w:hAnsi="Times New Roman" w:cs="Times New Roman"/>
          <w:sz w:val="28"/>
          <w:szCs w:val="28"/>
        </w:rPr>
        <w:t xml:space="preserve"> и др.) факторов малигнизации опухолей.</w:t>
      </w:r>
    </w:p>
    <w:p w:rsidR="002D5731" w:rsidRPr="002D5731" w:rsidRDefault="002D5731" w:rsidP="002D5731">
      <w:pPr>
        <w:spacing w:after="0" w:line="360" w:lineRule="auto"/>
        <w:rPr>
          <w:rFonts w:ascii="Times New Roman" w:hAnsi="Times New Roman" w:cs="Times New Roman"/>
          <w:sz w:val="28"/>
          <w:szCs w:val="28"/>
        </w:rPr>
      </w:pPr>
      <w:r w:rsidRPr="002D5731">
        <w:rPr>
          <w:rFonts w:ascii="Times New Roman" w:hAnsi="Times New Roman" w:cs="Times New Roman"/>
          <w:sz w:val="28"/>
          <w:szCs w:val="28"/>
        </w:rPr>
        <w:t xml:space="preserve">Результат. По результатам исследования можно выделить клинические, морфологические и молекулярно-генетические факторы злокачественной трансформации глиом головного мозга. К клиническим факторам можно отнести: мужской пол, нерадикальная резекция первичной опухоли, захват контрастного вещества по данным МРТ, высокий дооперационный объем опухоли, отсутствие адъювантной терапии. К морфологическим факторам относятся такие типы опухолей, как: диффузная астроцитома </w:t>
      </w:r>
      <w:r w:rsidRPr="002D5731">
        <w:rPr>
          <w:rFonts w:ascii="Times New Roman" w:hAnsi="Times New Roman" w:cs="Times New Roman"/>
          <w:sz w:val="28"/>
          <w:szCs w:val="28"/>
          <w:lang w:val="en-US"/>
        </w:rPr>
        <w:t>GII</w:t>
      </w:r>
      <w:r w:rsidRPr="002D5731">
        <w:rPr>
          <w:rFonts w:ascii="Times New Roman" w:hAnsi="Times New Roman" w:cs="Times New Roman"/>
          <w:sz w:val="28"/>
          <w:szCs w:val="28"/>
        </w:rPr>
        <w:t xml:space="preserve"> (95% трансформации), олигодендроглиома </w:t>
      </w:r>
      <w:r w:rsidRPr="002D5731">
        <w:rPr>
          <w:rFonts w:ascii="Times New Roman" w:hAnsi="Times New Roman" w:cs="Times New Roman"/>
          <w:sz w:val="28"/>
          <w:szCs w:val="28"/>
          <w:lang w:val="en-US"/>
        </w:rPr>
        <w:t>GII</w:t>
      </w:r>
      <w:r w:rsidRPr="002D5731">
        <w:rPr>
          <w:rFonts w:ascii="Times New Roman" w:hAnsi="Times New Roman" w:cs="Times New Roman"/>
          <w:sz w:val="28"/>
          <w:szCs w:val="28"/>
        </w:rPr>
        <w:t xml:space="preserve"> (80% трансформации), анапластическая астроцитома </w:t>
      </w:r>
      <w:r w:rsidRPr="002D5731">
        <w:rPr>
          <w:rFonts w:ascii="Times New Roman" w:hAnsi="Times New Roman" w:cs="Times New Roman"/>
          <w:sz w:val="28"/>
          <w:szCs w:val="28"/>
          <w:lang w:val="en-US"/>
        </w:rPr>
        <w:t>GIII</w:t>
      </w:r>
      <w:r w:rsidRPr="002D5731">
        <w:rPr>
          <w:rFonts w:ascii="Times New Roman" w:hAnsi="Times New Roman" w:cs="Times New Roman"/>
          <w:sz w:val="28"/>
          <w:szCs w:val="28"/>
        </w:rPr>
        <w:t xml:space="preserve"> (69%). Молекулярно-генетическими факторами являются: мутации генов </w:t>
      </w:r>
      <w:r w:rsidRPr="002D5731">
        <w:rPr>
          <w:rFonts w:ascii="Times New Roman" w:hAnsi="Times New Roman" w:cs="Times New Roman"/>
          <w:sz w:val="28"/>
          <w:szCs w:val="28"/>
          <w:lang w:val="en-US"/>
        </w:rPr>
        <w:t>IDH</w:t>
      </w:r>
      <w:r w:rsidRPr="002D5731">
        <w:rPr>
          <w:rFonts w:ascii="Times New Roman" w:hAnsi="Times New Roman" w:cs="Times New Roman"/>
          <w:sz w:val="28"/>
          <w:szCs w:val="28"/>
        </w:rPr>
        <w:t xml:space="preserve">, </w:t>
      </w:r>
      <w:r w:rsidRPr="002D5731">
        <w:rPr>
          <w:rFonts w:ascii="Times New Roman" w:hAnsi="Times New Roman" w:cs="Times New Roman"/>
          <w:sz w:val="28"/>
          <w:szCs w:val="28"/>
          <w:lang w:val="en-US"/>
        </w:rPr>
        <w:t>TP</w:t>
      </w:r>
      <w:r w:rsidRPr="002D5731">
        <w:rPr>
          <w:rFonts w:ascii="Times New Roman" w:hAnsi="Times New Roman" w:cs="Times New Roman"/>
          <w:sz w:val="28"/>
          <w:szCs w:val="28"/>
        </w:rPr>
        <w:t xml:space="preserve">, </w:t>
      </w:r>
      <w:r w:rsidRPr="002D5731">
        <w:rPr>
          <w:rFonts w:ascii="Times New Roman" w:hAnsi="Times New Roman" w:cs="Times New Roman"/>
          <w:sz w:val="28"/>
          <w:szCs w:val="28"/>
          <w:lang w:val="en-US"/>
        </w:rPr>
        <w:t>VEGF</w:t>
      </w:r>
      <w:r w:rsidRPr="002D5731">
        <w:rPr>
          <w:rFonts w:ascii="Times New Roman" w:hAnsi="Times New Roman" w:cs="Times New Roman"/>
          <w:sz w:val="28"/>
          <w:szCs w:val="28"/>
        </w:rPr>
        <w:t xml:space="preserve">, метилирование </w:t>
      </w:r>
      <w:r w:rsidRPr="002D5731">
        <w:rPr>
          <w:rFonts w:ascii="Times New Roman" w:hAnsi="Times New Roman" w:cs="Times New Roman"/>
          <w:sz w:val="28"/>
          <w:szCs w:val="28"/>
          <w:lang w:val="en-US"/>
        </w:rPr>
        <w:t>MGMT</w:t>
      </w:r>
      <w:r w:rsidRPr="002D5731">
        <w:rPr>
          <w:rFonts w:ascii="Times New Roman" w:hAnsi="Times New Roman" w:cs="Times New Roman"/>
          <w:sz w:val="28"/>
          <w:szCs w:val="28"/>
        </w:rPr>
        <w:t xml:space="preserve"> и отсутствие ко-делеции 1р19</w:t>
      </w:r>
      <w:r w:rsidRPr="002D5731">
        <w:rPr>
          <w:rFonts w:ascii="Times New Roman" w:hAnsi="Times New Roman" w:cs="Times New Roman"/>
          <w:sz w:val="28"/>
          <w:szCs w:val="28"/>
          <w:lang w:val="en-US"/>
        </w:rPr>
        <w:t>q</w:t>
      </w:r>
      <w:r w:rsidRPr="002D5731">
        <w:rPr>
          <w:rFonts w:ascii="Times New Roman" w:hAnsi="Times New Roman" w:cs="Times New Roman"/>
          <w:sz w:val="28"/>
          <w:szCs w:val="28"/>
        </w:rPr>
        <w:t>.</w:t>
      </w:r>
    </w:p>
    <w:p w:rsidR="002D5731" w:rsidRPr="002D5731" w:rsidRDefault="002D5731" w:rsidP="002D5731">
      <w:pPr>
        <w:spacing w:after="0" w:line="360" w:lineRule="auto"/>
        <w:rPr>
          <w:rFonts w:ascii="Times New Roman" w:hAnsi="Times New Roman" w:cs="Times New Roman"/>
          <w:sz w:val="28"/>
          <w:szCs w:val="28"/>
        </w:rPr>
      </w:pPr>
      <w:r w:rsidRPr="002D5731">
        <w:rPr>
          <w:rFonts w:ascii="Times New Roman" w:hAnsi="Times New Roman" w:cs="Times New Roman"/>
          <w:sz w:val="28"/>
          <w:szCs w:val="28"/>
        </w:rPr>
        <w:t xml:space="preserve">Выводы. Злокачественная трансформация </w:t>
      </w:r>
      <w:r w:rsidRPr="002D5731">
        <w:rPr>
          <w:rFonts w:ascii="Times New Roman" w:hAnsi="Times New Roman" w:cs="Times New Roman"/>
          <w:sz w:val="28"/>
          <w:szCs w:val="28"/>
          <w:lang w:val="en-US"/>
        </w:rPr>
        <w:t>low</w:t>
      </w:r>
      <w:r w:rsidRPr="002D5731">
        <w:rPr>
          <w:rFonts w:ascii="Times New Roman" w:hAnsi="Times New Roman" w:cs="Times New Roman"/>
          <w:sz w:val="28"/>
          <w:szCs w:val="28"/>
        </w:rPr>
        <w:t>-</w:t>
      </w:r>
      <w:r w:rsidRPr="002D5731">
        <w:rPr>
          <w:rFonts w:ascii="Times New Roman" w:hAnsi="Times New Roman" w:cs="Times New Roman"/>
          <w:sz w:val="28"/>
          <w:szCs w:val="28"/>
          <w:lang w:val="en-US"/>
        </w:rPr>
        <w:t>grade</w:t>
      </w:r>
      <w:r w:rsidRPr="002D5731">
        <w:rPr>
          <w:rFonts w:ascii="Times New Roman" w:hAnsi="Times New Roman" w:cs="Times New Roman"/>
          <w:sz w:val="28"/>
          <w:szCs w:val="28"/>
        </w:rPr>
        <w:t xml:space="preserve"> глиом является статистически распространенным исходом болезни и значительно влияет на прогностические факторы. Не вызывает сомнений тот факт, что существуют гистологические, молекулярные и клинические факторы, способствующие малигнизации этого типа опухолей. Данная проблема требует дальнейшего изучения в рамках стратегии эффективной терапии </w:t>
      </w:r>
      <w:r w:rsidRPr="002D5731">
        <w:rPr>
          <w:rFonts w:ascii="Times New Roman" w:hAnsi="Times New Roman" w:cs="Times New Roman"/>
          <w:sz w:val="28"/>
          <w:szCs w:val="28"/>
        </w:rPr>
        <w:lastRenderedPageBreak/>
        <w:t>пациентов с глиомами головного мозга различной степени дифференцировки.</w:t>
      </w:r>
    </w:p>
    <w:p w:rsidR="002D5731" w:rsidRDefault="002D5731" w:rsidP="002D5731">
      <w:pPr>
        <w:pStyle w:val="2"/>
      </w:pPr>
      <w:r>
        <w:lastRenderedPageBreak/>
        <w:t>Приложение 3</w:t>
      </w:r>
    </w:p>
    <w:p w:rsidR="002D5731" w:rsidRPr="002D5731" w:rsidRDefault="002D5731" w:rsidP="002D5731">
      <w:r>
        <w:pict>
          <v:shape id="_x0000_i1039" type="#_x0000_t75" style="width:478.2pt;height:676.8pt">
            <v:imagedata r:id="rId116" o:title="Screenshot_83"/>
          </v:shape>
        </w:pict>
      </w:r>
    </w:p>
    <w:sectPr w:rsidR="002D5731" w:rsidRPr="002D5731" w:rsidSect="009E769B">
      <w:footerReference w:type="default" r:id="rId117"/>
      <w:pgSz w:w="11906" w:h="16838"/>
      <w:pgMar w:top="1134"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A45" w:rsidRDefault="00A32A45" w:rsidP="00A03049">
      <w:pPr>
        <w:spacing w:after="0" w:line="240" w:lineRule="auto"/>
      </w:pPr>
      <w:r>
        <w:separator/>
      </w:r>
    </w:p>
  </w:endnote>
  <w:endnote w:type="continuationSeparator" w:id="0">
    <w:p w:rsidR="00A32A45" w:rsidRDefault="00A32A45" w:rsidP="00A03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807939"/>
      <w:docPartObj>
        <w:docPartGallery w:val="Page Numbers (Bottom of Page)"/>
        <w:docPartUnique/>
      </w:docPartObj>
    </w:sdtPr>
    <w:sdtEndPr/>
    <w:sdtContent>
      <w:p w:rsidR="004F562B" w:rsidRDefault="004F562B">
        <w:pPr>
          <w:pStyle w:val="ab"/>
          <w:jc w:val="right"/>
        </w:pPr>
        <w:r>
          <w:fldChar w:fldCharType="begin"/>
        </w:r>
        <w:r>
          <w:instrText>PAGE   \* MERGEFORMAT</w:instrText>
        </w:r>
        <w:r>
          <w:fldChar w:fldCharType="separate"/>
        </w:r>
        <w:r w:rsidR="002D5731">
          <w:rPr>
            <w:noProof/>
          </w:rPr>
          <w:t>3</w:t>
        </w:r>
        <w:r>
          <w:fldChar w:fldCharType="end"/>
        </w:r>
      </w:p>
    </w:sdtContent>
  </w:sdt>
  <w:p w:rsidR="004F562B" w:rsidRDefault="004F562B">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A45" w:rsidRDefault="00A32A45" w:rsidP="00A03049">
      <w:pPr>
        <w:spacing w:after="0" w:line="240" w:lineRule="auto"/>
      </w:pPr>
      <w:r>
        <w:separator/>
      </w:r>
    </w:p>
  </w:footnote>
  <w:footnote w:type="continuationSeparator" w:id="0">
    <w:p w:rsidR="00A32A45" w:rsidRDefault="00A32A45" w:rsidP="00A030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20B1"/>
    <w:multiLevelType w:val="hybridMultilevel"/>
    <w:tmpl w:val="A35EEACE"/>
    <w:lvl w:ilvl="0" w:tplc="6C3A49A0">
      <w:start w:val="1"/>
      <w:numFmt w:val="bullet"/>
      <w:lvlText w:val="•"/>
      <w:lvlJc w:val="left"/>
      <w:pPr>
        <w:tabs>
          <w:tab w:val="num" w:pos="720"/>
        </w:tabs>
        <w:ind w:left="720" w:hanging="360"/>
      </w:pPr>
      <w:rPr>
        <w:rFonts w:ascii="Arial" w:hAnsi="Arial" w:hint="default"/>
      </w:rPr>
    </w:lvl>
    <w:lvl w:ilvl="1" w:tplc="065442B0" w:tentative="1">
      <w:start w:val="1"/>
      <w:numFmt w:val="bullet"/>
      <w:lvlText w:val="•"/>
      <w:lvlJc w:val="left"/>
      <w:pPr>
        <w:tabs>
          <w:tab w:val="num" w:pos="1440"/>
        </w:tabs>
        <w:ind w:left="1440" w:hanging="360"/>
      </w:pPr>
      <w:rPr>
        <w:rFonts w:ascii="Arial" w:hAnsi="Arial" w:hint="default"/>
      </w:rPr>
    </w:lvl>
    <w:lvl w:ilvl="2" w:tplc="BAEEECA0" w:tentative="1">
      <w:start w:val="1"/>
      <w:numFmt w:val="bullet"/>
      <w:lvlText w:val="•"/>
      <w:lvlJc w:val="left"/>
      <w:pPr>
        <w:tabs>
          <w:tab w:val="num" w:pos="2160"/>
        </w:tabs>
        <w:ind w:left="2160" w:hanging="360"/>
      </w:pPr>
      <w:rPr>
        <w:rFonts w:ascii="Arial" w:hAnsi="Arial" w:hint="default"/>
      </w:rPr>
    </w:lvl>
    <w:lvl w:ilvl="3" w:tplc="41F6CBF4" w:tentative="1">
      <w:start w:val="1"/>
      <w:numFmt w:val="bullet"/>
      <w:lvlText w:val="•"/>
      <w:lvlJc w:val="left"/>
      <w:pPr>
        <w:tabs>
          <w:tab w:val="num" w:pos="2880"/>
        </w:tabs>
        <w:ind w:left="2880" w:hanging="360"/>
      </w:pPr>
      <w:rPr>
        <w:rFonts w:ascii="Arial" w:hAnsi="Arial" w:hint="default"/>
      </w:rPr>
    </w:lvl>
    <w:lvl w:ilvl="4" w:tplc="06069148" w:tentative="1">
      <w:start w:val="1"/>
      <w:numFmt w:val="bullet"/>
      <w:lvlText w:val="•"/>
      <w:lvlJc w:val="left"/>
      <w:pPr>
        <w:tabs>
          <w:tab w:val="num" w:pos="3600"/>
        </w:tabs>
        <w:ind w:left="3600" w:hanging="360"/>
      </w:pPr>
      <w:rPr>
        <w:rFonts w:ascii="Arial" w:hAnsi="Arial" w:hint="default"/>
      </w:rPr>
    </w:lvl>
    <w:lvl w:ilvl="5" w:tplc="FD9C161E" w:tentative="1">
      <w:start w:val="1"/>
      <w:numFmt w:val="bullet"/>
      <w:lvlText w:val="•"/>
      <w:lvlJc w:val="left"/>
      <w:pPr>
        <w:tabs>
          <w:tab w:val="num" w:pos="4320"/>
        </w:tabs>
        <w:ind w:left="4320" w:hanging="360"/>
      </w:pPr>
      <w:rPr>
        <w:rFonts w:ascii="Arial" w:hAnsi="Arial" w:hint="default"/>
      </w:rPr>
    </w:lvl>
    <w:lvl w:ilvl="6" w:tplc="06261AC8" w:tentative="1">
      <w:start w:val="1"/>
      <w:numFmt w:val="bullet"/>
      <w:lvlText w:val="•"/>
      <w:lvlJc w:val="left"/>
      <w:pPr>
        <w:tabs>
          <w:tab w:val="num" w:pos="5040"/>
        </w:tabs>
        <w:ind w:left="5040" w:hanging="360"/>
      </w:pPr>
      <w:rPr>
        <w:rFonts w:ascii="Arial" w:hAnsi="Arial" w:hint="default"/>
      </w:rPr>
    </w:lvl>
    <w:lvl w:ilvl="7" w:tplc="B2C83D5A" w:tentative="1">
      <w:start w:val="1"/>
      <w:numFmt w:val="bullet"/>
      <w:lvlText w:val="•"/>
      <w:lvlJc w:val="left"/>
      <w:pPr>
        <w:tabs>
          <w:tab w:val="num" w:pos="5760"/>
        </w:tabs>
        <w:ind w:left="5760" w:hanging="360"/>
      </w:pPr>
      <w:rPr>
        <w:rFonts w:ascii="Arial" w:hAnsi="Arial" w:hint="default"/>
      </w:rPr>
    </w:lvl>
    <w:lvl w:ilvl="8" w:tplc="1A98AB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770503"/>
    <w:multiLevelType w:val="multilevel"/>
    <w:tmpl w:val="FDC892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C363670"/>
    <w:multiLevelType w:val="hybridMultilevel"/>
    <w:tmpl w:val="439ACA2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1177229E"/>
    <w:multiLevelType w:val="hybridMultilevel"/>
    <w:tmpl w:val="9DD80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9B546C"/>
    <w:multiLevelType w:val="hybridMultilevel"/>
    <w:tmpl w:val="D2A2311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3953CC0"/>
    <w:multiLevelType w:val="hybridMultilevel"/>
    <w:tmpl w:val="C2A4B2D6"/>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060748"/>
    <w:multiLevelType w:val="hybridMultilevel"/>
    <w:tmpl w:val="891436E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2715130E"/>
    <w:multiLevelType w:val="hybridMultilevel"/>
    <w:tmpl w:val="98569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FC653E"/>
    <w:multiLevelType w:val="multilevel"/>
    <w:tmpl w:val="77AC8930"/>
    <w:lvl w:ilvl="0">
      <w:start w:val="1"/>
      <w:numFmt w:val="decimal"/>
      <w:lvlText w:val="%1."/>
      <w:lvlJc w:val="left"/>
      <w:pPr>
        <w:ind w:left="432" w:hanging="432"/>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15:restartNumberingAfterBreak="0">
    <w:nsid w:val="2BB03F39"/>
    <w:multiLevelType w:val="multilevel"/>
    <w:tmpl w:val="7DB61E1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C2A6FC2"/>
    <w:multiLevelType w:val="multilevel"/>
    <w:tmpl w:val="7FE87712"/>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1.%3."/>
      <w:lvlJc w:val="left"/>
      <w:pPr>
        <w:ind w:left="1071" w:hanging="357"/>
      </w:pPr>
      <w:rPr>
        <w:rFonts w:hint="default"/>
      </w:rPr>
    </w:lvl>
    <w:lvl w:ilvl="3">
      <w:start w:val="1"/>
      <w:numFmt w:val="decimal"/>
      <w:lvlText w:val="1.1.1.%4."/>
      <w:lvlJc w:val="left"/>
      <w:pPr>
        <w:ind w:left="1428" w:hanging="357"/>
      </w:pPr>
      <w:rPr>
        <w:rFonts w:hint="default"/>
      </w:rPr>
    </w:lvl>
    <w:lvl w:ilvl="4">
      <w:start w:val="1"/>
      <w:numFmt w:val="decimal"/>
      <w:lvlText w:val="1.1.1.1.%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1" w15:restartNumberingAfterBreak="0">
    <w:nsid w:val="2C9B7379"/>
    <w:multiLevelType w:val="multilevel"/>
    <w:tmpl w:val="87E6F1B8"/>
    <w:lvl w:ilvl="0">
      <w:start w:val="2"/>
      <w:numFmt w:val="decimal"/>
      <w:lvlText w:val="%1."/>
      <w:lvlJc w:val="left"/>
      <w:pPr>
        <w:ind w:left="450" w:hanging="450"/>
      </w:pPr>
      <w:rPr>
        <w:rFonts w:cstheme="majorBidi" w:hint="default"/>
      </w:rPr>
    </w:lvl>
    <w:lvl w:ilvl="1">
      <w:start w:val="2"/>
      <w:numFmt w:val="decimal"/>
      <w:lvlText w:val="%1.%2."/>
      <w:lvlJc w:val="left"/>
      <w:pPr>
        <w:ind w:left="720" w:hanging="72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1080" w:hanging="108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440" w:hanging="1440"/>
      </w:pPr>
      <w:rPr>
        <w:rFonts w:cstheme="majorBidi" w:hint="default"/>
      </w:rPr>
    </w:lvl>
    <w:lvl w:ilvl="6">
      <w:start w:val="1"/>
      <w:numFmt w:val="decimal"/>
      <w:lvlText w:val="%1.%2.%3.%4.%5.%6.%7."/>
      <w:lvlJc w:val="left"/>
      <w:pPr>
        <w:ind w:left="1800" w:hanging="1800"/>
      </w:pPr>
      <w:rPr>
        <w:rFonts w:cstheme="majorBidi" w:hint="default"/>
      </w:rPr>
    </w:lvl>
    <w:lvl w:ilvl="7">
      <w:start w:val="1"/>
      <w:numFmt w:val="decimal"/>
      <w:lvlText w:val="%1.%2.%3.%4.%5.%6.%7.%8."/>
      <w:lvlJc w:val="left"/>
      <w:pPr>
        <w:ind w:left="1800" w:hanging="1800"/>
      </w:pPr>
      <w:rPr>
        <w:rFonts w:cstheme="majorBidi" w:hint="default"/>
      </w:rPr>
    </w:lvl>
    <w:lvl w:ilvl="8">
      <w:start w:val="1"/>
      <w:numFmt w:val="decimal"/>
      <w:lvlText w:val="%1.%2.%3.%4.%5.%6.%7.%8.%9."/>
      <w:lvlJc w:val="left"/>
      <w:pPr>
        <w:ind w:left="2160" w:hanging="2160"/>
      </w:pPr>
      <w:rPr>
        <w:rFonts w:cstheme="majorBidi" w:hint="default"/>
      </w:rPr>
    </w:lvl>
  </w:abstractNum>
  <w:abstractNum w:abstractNumId="12" w15:restartNumberingAfterBreak="0">
    <w:nsid w:val="2D2B78F0"/>
    <w:multiLevelType w:val="hybridMultilevel"/>
    <w:tmpl w:val="A5A431D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BD31BD"/>
    <w:multiLevelType w:val="multilevel"/>
    <w:tmpl w:val="0409001F"/>
    <w:styleLink w:val="11111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DB2546"/>
    <w:multiLevelType w:val="multilevel"/>
    <w:tmpl w:val="7FE87712"/>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1.%3."/>
      <w:lvlJc w:val="left"/>
      <w:pPr>
        <w:ind w:left="1071" w:hanging="357"/>
      </w:pPr>
      <w:rPr>
        <w:rFonts w:hint="default"/>
      </w:rPr>
    </w:lvl>
    <w:lvl w:ilvl="3">
      <w:start w:val="1"/>
      <w:numFmt w:val="decimal"/>
      <w:lvlText w:val="1.1.1.%4."/>
      <w:lvlJc w:val="left"/>
      <w:pPr>
        <w:ind w:left="1428" w:hanging="357"/>
      </w:pPr>
      <w:rPr>
        <w:rFonts w:hint="default"/>
      </w:rPr>
    </w:lvl>
    <w:lvl w:ilvl="4">
      <w:start w:val="1"/>
      <w:numFmt w:val="decimal"/>
      <w:lvlText w:val="1.1.1.1.%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5" w15:restartNumberingAfterBreak="0">
    <w:nsid w:val="3ABC6C22"/>
    <w:multiLevelType w:val="hybridMultilevel"/>
    <w:tmpl w:val="44B8D3EA"/>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C7E65D6"/>
    <w:multiLevelType w:val="multilevel"/>
    <w:tmpl w:val="09E8832E"/>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C837B05"/>
    <w:multiLevelType w:val="hybridMultilevel"/>
    <w:tmpl w:val="8FD21186"/>
    <w:lvl w:ilvl="0" w:tplc="932A5E32">
      <w:start w:val="1"/>
      <w:numFmt w:val="bullet"/>
      <w:lvlText w:val="•"/>
      <w:lvlJc w:val="left"/>
      <w:pPr>
        <w:tabs>
          <w:tab w:val="num" w:pos="720"/>
        </w:tabs>
        <w:ind w:left="720" w:hanging="360"/>
      </w:pPr>
      <w:rPr>
        <w:rFonts w:ascii="Arial" w:hAnsi="Arial" w:hint="default"/>
      </w:rPr>
    </w:lvl>
    <w:lvl w:ilvl="1" w:tplc="11C4F63C" w:tentative="1">
      <w:start w:val="1"/>
      <w:numFmt w:val="bullet"/>
      <w:lvlText w:val="•"/>
      <w:lvlJc w:val="left"/>
      <w:pPr>
        <w:tabs>
          <w:tab w:val="num" w:pos="1440"/>
        </w:tabs>
        <w:ind w:left="1440" w:hanging="360"/>
      </w:pPr>
      <w:rPr>
        <w:rFonts w:ascii="Arial" w:hAnsi="Arial" w:hint="default"/>
      </w:rPr>
    </w:lvl>
    <w:lvl w:ilvl="2" w:tplc="E632A420" w:tentative="1">
      <w:start w:val="1"/>
      <w:numFmt w:val="bullet"/>
      <w:lvlText w:val="•"/>
      <w:lvlJc w:val="left"/>
      <w:pPr>
        <w:tabs>
          <w:tab w:val="num" w:pos="2160"/>
        </w:tabs>
        <w:ind w:left="2160" w:hanging="360"/>
      </w:pPr>
      <w:rPr>
        <w:rFonts w:ascii="Arial" w:hAnsi="Arial" w:hint="default"/>
      </w:rPr>
    </w:lvl>
    <w:lvl w:ilvl="3" w:tplc="D2DCE4FE" w:tentative="1">
      <w:start w:val="1"/>
      <w:numFmt w:val="bullet"/>
      <w:lvlText w:val="•"/>
      <w:lvlJc w:val="left"/>
      <w:pPr>
        <w:tabs>
          <w:tab w:val="num" w:pos="2880"/>
        </w:tabs>
        <w:ind w:left="2880" w:hanging="360"/>
      </w:pPr>
      <w:rPr>
        <w:rFonts w:ascii="Arial" w:hAnsi="Arial" w:hint="default"/>
      </w:rPr>
    </w:lvl>
    <w:lvl w:ilvl="4" w:tplc="A07A1472" w:tentative="1">
      <w:start w:val="1"/>
      <w:numFmt w:val="bullet"/>
      <w:lvlText w:val="•"/>
      <w:lvlJc w:val="left"/>
      <w:pPr>
        <w:tabs>
          <w:tab w:val="num" w:pos="3600"/>
        </w:tabs>
        <w:ind w:left="3600" w:hanging="360"/>
      </w:pPr>
      <w:rPr>
        <w:rFonts w:ascii="Arial" w:hAnsi="Arial" w:hint="default"/>
      </w:rPr>
    </w:lvl>
    <w:lvl w:ilvl="5" w:tplc="B5C24DF4" w:tentative="1">
      <w:start w:val="1"/>
      <w:numFmt w:val="bullet"/>
      <w:lvlText w:val="•"/>
      <w:lvlJc w:val="left"/>
      <w:pPr>
        <w:tabs>
          <w:tab w:val="num" w:pos="4320"/>
        </w:tabs>
        <w:ind w:left="4320" w:hanging="360"/>
      </w:pPr>
      <w:rPr>
        <w:rFonts w:ascii="Arial" w:hAnsi="Arial" w:hint="default"/>
      </w:rPr>
    </w:lvl>
    <w:lvl w:ilvl="6" w:tplc="F5A41694" w:tentative="1">
      <w:start w:val="1"/>
      <w:numFmt w:val="bullet"/>
      <w:lvlText w:val="•"/>
      <w:lvlJc w:val="left"/>
      <w:pPr>
        <w:tabs>
          <w:tab w:val="num" w:pos="5040"/>
        </w:tabs>
        <w:ind w:left="5040" w:hanging="360"/>
      </w:pPr>
      <w:rPr>
        <w:rFonts w:ascii="Arial" w:hAnsi="Arial" w:hint="default"/>
      </w:rPr>
    </w:lvl>
    <w:lvl w:ilvl="7" w:tplc="7FB01118" w:tentative="1">
      <w:start w:val="1"/>
      <w:numFmt w:val="bullet"/>
      <w:lvlText w:val="•"/>
      <w:lvlJc w:val="left"/>
      <w:pPr>
        <w:tabs>
          <w:tab w:val="num" w:pos="5760"/>
        </w:tabs>
        <w:ind w:left="5760" w:hanging="360"/>
      </w:pPr>
      <w:rPr>
        <w:rFonts w:ascii="Arial" w:hAnsi="Arial" w:hint="default"/>
      </w:rPr>
    </w:lvl>
    <w:lvl w:ilvl="8" w:tplc="0F9AFE3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D027AAB"/>
    <w:multiLevelType w:val="multilevel"/>
    <w:tmpl w:val="760AEC3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DBE30EC"/>
    <w:multiLevelType w:val="hybridMultilevel"/>
    <w:tmpl w:val="82661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0EF2C14"/>
    <w:multiLevelType w:val="multilevel"/>
    <w:tmpl w:val="6BFC27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7FE63D7"/>
    <w:multiLevelType w:val="hybridMultilevel"/>
    <w:tmpl w:val="F9362A16"/>
    <w:lvl w:ilvl="0" w:tplc="02143834">
      <w:start w:val="1"/>
      <w:numFmt w:val="bullet"/>
      <w:lvlText w:val="•"/>
      <w:lvlJc w:val="left"/>
      <w:pPr>
        <w:tabs>
          <w:tab w:val="num" w:pos="720"/>
        </w:tabs>
        <w:ind w:left="720" w:hanging="360"/>
      </w:pPr>
      <w:rPr>
        <w:rFonts w:ascii="Arial" w:hAnsi="Arial" w:hint="default"/>
      </w:rPr>
    </w:lvl>
    <w:lvl w:ilvl="1" w:tplc="79CA9A58" w:tentative="1">
      <w:start w:val="1"/>
      <w:numFmt w:val="bullet"/>
      <w:lvlText w:val="•"/>
      <w:lvlJc w:val="left"/>
      <w:pPr>
        <w:tabs>
          <w:tab w:val="num" w:pos="1440"/>
        </w:tabs>
        <w:ind w:left="1440" w:hanging="360"/>
      </w:pPr>
      <w:rPr>
        <w:rFonts w:ascii="Arial" w:hAnsi="Arial" w:hint="default"/>
      </w:rPr>
    </w:lvl>
    <w:lvl w:ilvl="2" w:tplc="B706D336" w:tentative="1">
      <w:start w:val="1"/>
      <w:numFmt w:val="bullet"/>
      <w:lvlText w:val="•"/>
      <w:lvlJc w:val="left"/>
      <w:pPr>
        <w:tabs>
          <w:tab w:val="num" w:pos="2160"/>
        </w:tabs>
        <w:ind w:left="2160" w:hanging="360"/>
      </w:pPr>
      <w:rPr>
        <w:rFonts w:ascii="Arial" w:hAnsi="Arial" w:hint="default"/>
      </w:rPr>
    </w:lvl>
    <w:lvl w:ilvl="3" w:tplc="4C5E4A86" w:tentative="1">
      <w:start w:val="1"/>
      <w:numFmt w:val="bullet"/>
      <w:lvlText w:val="•"/>
      <w:lvlJc w:val="left"/>
      <w:pPr>
        <w:tabs>
          <w:tab w:val="num" w:pos="2880"/>
        </w:tabs>
        <w:ind w:left="2880" w:hanging="360"/>
      </w:pPr>
      <w:rPr>
        <w:rFonts w:ascii="Arial" w:hAnsi="Arial" w:hint="default"/>
      </w:rPr>
    </w:lvl>
    <w:lvl w:ilvl="4" w:tplc="6CE2B9BC" w:tentative="1">
      <w:start w:val="1"/>
      <w:numFmt w:val="bullet"/>
      <w:lvlText w:val="•"/>
      <w:lvlJc w:val="left"/>
      <w:pPr>
        <w:tabs>
          <w:tab w:val="num" w:pos="3600"/>
        </w:tabs>
        <w:ind w:left="3600" w:hanging="360"/>
      </w:pPr>
      <w:rPr>
        <w:rFonts w:ascii="Arial" w:hAnsi="Arial" w:hint="default"/>
      </w:rPr>
    </w:lvl>
    <w:lvl w:ilvl="5" w:tplc="1004BE9A" w:tentative="1">
      <w:start w:val="1"/>
      <w:numFmt w:val="bullet"/>
      <w:lvlText w:val="•"/>
      <w:lvlJc w:val="left"/>
      <w:pPr>
        <w:tabs>
          <w:tab w:val="num" w:pos="4320"/>
        </w:tabs>
        <w:ind w:left="4320" w:hanging="360"/>
      </w:pPr>
      <w:rPr>
        <w:rFonts w:ascii="Arial" w:hAnsi="Arial" w:hint="default"/>
      </w:rPr>
    </w:lvl>
    <w:lvl w:ilvl="6" w:tplc="A816FF3A" w:tentative="1">
      <w:start w:val="1"/>
      <w:numFmt w:val="bullet"/>
      <w:lvlText w:val="•"/>
      <w:lvlJc w:val="left"/>
      <w:pPr>
        <w:tabs>
          <w:tab w:val="num" w:pos="5040"/>
        </w:tabs>
        <w:ind w:left="5040" w:hanging="360"/>
      </w:pPr>
      <w:rPr>
        <w:rFonts w:ascii="Arial" w:hAnsi="Arial" w:hint="default"/>
      </w:rPr>
    </w:lvl>
    <w:lvl w:ilvl="7" w:tplc="F2A0739E" w:tentative="1">
      <w:start w:val="1"/>
      <w:numFmt w:val="bullet"/>
      <w:lvlText w:val="•"/>
      <w:lvlJc w:val="left"/>
      <w:pPr>
        <w:tabs>
          <w:tab w:val="num" w:pos="5760"/>
        </w:tabs>
        <w:ind w:left="5760" w:hanging="360"/>
      </w:pPr>
      <w:rPr>
        <w:rFonts w:ascii="Arial" w:hAnsi="Arial" w:hint="default"/>
      </w:rPr>
    </w:lvl>
    <w:lvl w:ilvl="8" w:tplc="1766197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A815662"/>
    <w:multiLevelType w:val="multilevel"/>
    <w:tmpl w:val="6D526D2E"/>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CCD7D37"/>
    <w:multiLevelType w:val="hybridMultilevel"/>
    <w:tmpl w:val="E3362AA0"/>
    <w:lvl w:ilvl="0" w:tplc="9C584E1E">
      <w:start w:val="1"/>
      <w:numFmt w:val="bullet"/>
      <w:lvlText w:val="•"/>
      <w:lvlJc w:val="left"/>
      <w:pPr>
        <w:tabs>
          <w:tab w:val="num" w:pos="720"/>
        </w:tabs>
        <w:ind w:left="720" w:hanging="360"/>
      </w:pPr>
      <w:rPr>
        <w:rFonts w:ascii="Arial" w:hAnsi="Arial" w:hint="default"/>
      </w:rPr>
    </w:lvl>
    <w:lvl w:ilvl="1" w:tplc="51ACC1A6" w:tentative="1">
      <w:start w:val="1"/>
      <w:numFmt w:val="bullet"/>
      <w:lvlText w:val="•"/>
      <w:lvlJc w:val="left"/>
      <w:pPr>
        <w:tabs>
          <w:tab w:val="num" w:pos="1440"/>
        </w:tabs>
        <w:ind w:left="1440" w:hanging="360"/>
      </w:pPr>
      <w:rPr>
        <w:rFonts w:ascii="Arial" w:hAnsi="Arial" w:hint="default"/>
      </w:rPr>
    </w:lvl>
    <w:lvl w:ilvl="2" w:tplc="A8A2F2C4" w:tentative="1">
      <w:start w:val="1"/>
      <w:numFmt w:val="bullet"/>
      <w:lvlText w:val="•"/>
      <w:lvlJc w:val="left"/>
      <w:pPr>
        <w:tabs>
          <w:tab w:val="num" w:pos="2160"/>
        </w:tabs>
        <w:ind w:left="2160" w:hanging="360"/>
      </w:pPr>
      <w:rPr>
        <w:rFonts w:ascii="Arial" w:hAnsi="Arial" w:hint="default"/>
      </w:rPr>
    </w:lvl>
    <w:lvl w:ilvl="3" w:tplc="F8B873F4" w:tentative="1">
      <w:start w:val="1"/>
      <w:numFmt w:val="bullet"/>
      <w:lvlText w:val="•"/>
      <w:lvlJc w:val="left"/>
      <w:pPr>
        <w:tabs>
          <w:tab w:val="num" w:pos="2880"/>
        </w:tabs>
        <w:ind w:left="2880" w:hanging="360"/>
      </w:pPr>
      <w:rPr>
        <w:rFonts w:ascii="Arial" w:hAnsi="Arial" w:hint="default"/>
      </w:rPr>
    </w:lvl>
    <w:lvl w:ilvl="4" w:tplc="F64A1ACA" w:tentative="1">
      <w:start w:val="1"/>
      <w:numFmt w:val="bullet"/>
      <w:lvlText w:val="•"/>
      <w:lvlJc w:val="left"/>
      <w:pPr>
        <w:tabs>
          <w:tab w:val="num" w:pos="3600"/>
        </w:tabs>
        <w:ind w:left="3600" w:hanging="360"/>
      </w:pPr>
      <w:rPr>
        <w:rFonts w:ascii="Arial" w:hAnsi="Arial" w:hint="default"/>
      </w:rPr>
    </w:lvl>
    <w:lvl w:ilvl="5" w:tplc="19DC57C8" w:tentative="1">
      <w:start w:val="1"/>
      <w:numFmt w:val="bullet"/>
      <w:lvlText w:val="•"/>
      <w:lvlJc w:val="left"/>
      <w:pPr>
        <w:tabs>
          <w:tab w:val="num" w:pos="4320"/>
        </w:tabs>
        <w:ind w:left="4320" w:hanging="360"/>
      </w:pPr>
      <w:rPr>
        <w:rFonts w:ascii="Arial" w:hAnsi="Arial" w:hint="default"/>
      </w:rPr>
    </w:lvl>
    <w:lvl w:ilvl="6" w:tplc="15E452E8" w:tentative="1">
      <w:start w:val="1"/>
      <w:numFmt w:val="bullet"/>
      <w:lvlText w:val="•"/>
      <w:lvlJc w:val="left"/>
      <w:pPr>
        <w:tabs>
          <w:tab w:val="num" w:pos="5040"/>
        </w:tabs>
        <w:ind w:left="5040" w:hanging="360"/>
      </w:pPr>
      <w:rPr>
        <w:rFonts w:ascii="Arial" w:hAnsi="Arial" w:hint="default"/>
      </w:rPr>
    </w:lvl>
    <w:lvl w:ilvl="7" w:tplc="21BC81A4" w:tentative="1">
      <w:start w:val="1"/>
      <w:numFmt w:val="bullet"/>
      <w:lvlText w:val="•"/>
      <w:lvlJc w:val="left"/>
      <w:pPr>
        <w:tabs>
          <w:tab w:val="num" w:pos="5760"/>
        </w:tabs>
        <w:ind w:left="5760" w:hanging="360"/>
      </w:pPr>
      <w:rPr>
        <w:rFonts w:ascii="Arial" w:hAnsi="Arial" w:hint="default"/>
      </w:rPr>
    </w:lvl>
    <w:lvl w:ilvl="8" w:tplc="ED98917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CEF7F5A"/>
    <w:multiLevelType w:val="hybridMultilevel"/>
    <w:tmpl w:val="D3EEC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D9C73CD"/>
    <w:multiLevelType w:val="multilevel"/>
    <w:tmpl w:val="BA0E529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10432C0"/>
    <w:multiLevelType w:val="multilevel"/>
    <w:tmpl w:val="D5443116"/>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4F43A78"/>
    <w:multiLevelType w:val="hybridMultilevel"/>
    <w:tmpl w:val="40E4D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52A4930"/>
    <w:multiLevelType w:val="multilevel"/>
    <w:tmpl w:val="D544311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A865FED"/>
    <w:multiLevelType w:val="multilevel"/>
    <w:tmpl w:val="D544311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F696379"/>
    <w:multiLevelType w:val="multilevel"/>
    <w:tmpl w:val="B044C77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3462179"/>
    <w:multiLevelType w:val="hybridMultilevel"/>
    <w:tmpl w:val="794A7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AC933D2"/>
    <w:multiLevelType w:val="hybridMultilevel"/>
    <w:tmpl w:val="6F384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BAC37BE"/>
    <w:multiLevelType w:val="hybridMultilevel"/>
    <w:tmpl w:val="8766BE5A"/>
    <w:lvl w:ilvl="0" w:tplc="31FC0AB0">
      <w:start w:val="1"/>
      <w:numFmt w:val="bullet"/>
      <w:lvlText w:val=""/>
      <w:lvlJc w:val="left"/>
      <w:pPr>
        <w:tabs>
          <w:tab w:val="num" w:pos="720"/>
        </w:tabs>
        <w:ind w:left="720" w:hanging="360"/>
      </w:pPr>
      <w:rPr>
        <w:rFonts w:ascii="Wingdings" w:hAnsi="Wingdings" w:hint="default"/>
      </w:rPr>
    </w:lvl>
    <w:lvl w:ilvl="1" w:tplc="805E38FE" w:tentative="1">
      <w:start w:val="1"/>
      <w:numFmt w:val="bullet"/>
      <w:lvlText w:val=""/>
      <w:lvlJc w:val="left"/>
      <w:pPr>
        <w:tabs>
          <w:tab w:val="num" w:pos="1440"/>
        </w:tabs>
        <w:ind w:left="1440" w:hanging="360"/>
      </w:pPr>
      <w:rPr>
        <w:rFonts w:ascii="Wingdings" w:hAnsi="Wingdings" w:hint="default"/>
      </w:rPr>
    </w:lvl>
    <w:lvl w:ilvl="2" w:tplc="F6BE7650" w:tentative="1">
      <w:start w:val="1"/>
      <w:numFmt w:val="bullet"/>
      <w:lvlText w:val=""/>
      <w:lvlJc w:val="left"/>
      <w:pPr>
        <w:tabs>
          <w:tab w:val="num" w:pos="2160"/>
        </w:tabs>
        <w:ind w:left="2160" w:hanging="360"/>
      </w:pPr>
      <w:rPr>
        <w:rFonts w:ascii="Wingdings" w:hAnsi="Wingdings" w:hint="default"/>
      </w:rPr>
    </w:lvl>
    <w:lvl w:ilvl="3" w:tplc="38904CB2" w:tentative="1">
      <w:start w:val="1"/>
      <w:numFmt w:val="bullet"/>
      <w:lvlText w:val=""/>
      <w:lvlJc w:val="left"/>
      <w:pPr>
        <w:tabs>
          <w:tab w:val="num" w:pos="2880"/>
        </w:tabs>
        <w:ind w:left="2880" w:hanging="360"/>
      </w:pPr>
      <w:rPr>
        <w:rFonts w:ascii="Wingdings" w:hAnsi="Wingdings" w:hint="default"/>
      </w:rPr>
    </w:lvl>
    <w:lvl w:ilvl="4" w:tplc="C8F85386" w:tentative="1">
      <w:start w:val="1"/>
      <w:numFmt w:val="bullet"/>
      <w:lvlText w:val=""/>
      <w:lvlJc w:val="left"/>
      <w:pPr>
        <w:tabs>
          <w:tab w:val="num" w:pos="3600"/>
        </w:tabs>
        <w:ind w:left="3600" w:hanging="360"/>
      </w:pPr>
      <w:rPr>
        <w:rFonts w:ascii="Wingdings" w:hAnsi="Wingdings" w:hint="default"/>
      </w:rPr>
    </w:lvl>
    <w:lvl w:ilvl="5" w:tplc="A4C6D948" w:tentative="1">
      <w:start w:val="1"/>
      <w:numFmt w:val="bullet"/>
      <w:lvlText w:val=""/>
      <w:lvlJc w:val="left"/>
      <w:pPr>
        <w:tabs>
          <w:tab w:val="num" w:pos="4320"/>
        </w:tabs>
        <w:ind w:left="4320" w:hanging="360"/>
      </w:pPr>
      <w:rPr>
        <w:rFonts w:ascii="Wingdings" w:hAnsi="Wingdings" w:hint="default"/>
      </w:rPr>
    </w:lvl>
    <w:lvl w:ilvl="6" w:tplc="6002B512" w:tentative="1">
      <w:start w:val="1"/>
      <w:numFmt w:val="bullet"/>
      <w:lvlText w:val=""/>
      <w:lvlJc w:val="left"/>
      <w:pPr>
        <w:tabs>
          <w:tab w:val="num" w:pos="5040"/>
        </w:tabs>
        <w:ind w:left="5040" w:hanging="360"/>
      </w:pPr>
      <w:rPr>
        <w:rFonts w:ascii="Wingdings" w:hAnsi="Wingdings" w:hint="default"/>
      </w:rPr>
    </w:lvl>
    <w:lvl w:ilvl="7" w:tplc="E9C86300" w:tentative="1">
      <w:start w:val="1"/>
      <w:numFmt w:val="bullet"/>
      <w:lvlText w:val=""/>
      <w:lvlJc w:val="left"/>
      <w:pPr>
        <w:tabs>
          <w:tab w:val="num" w:pos="5760"/>
        </w:tabs>
        <w:ind w:left="5760" w:hanging="360"/>
      </w:pPr>
      <w:rPr>
        <w:rFonts w:ascii="Wingdings" w:hAnsi="Wingdings" w:hint="default"/>
      </w:rPr>
    </w:lvl>
    <w:lvl w:ilvl="8" w:tplc="6DD87CC8"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4"/>
  </w:num>
  <w:num w:numId="3">
    <w:abstractNumId w:val="28"/>
  </w:num>
  <w:num w:numId="4">
    <w:abstractNumId w:val="11"/>
  </w:num>
  <w:num w:numId="5">
    <w:abstractNumId w:val="29"/>
  </w:num>
  <w:num w:numId="6">
    <w:abstractNumId w:val="16"/>
  </w:num>
  <w:num w:numId="7">
    <w:abstractNumId w:val="8"/>
  </w:num>
  <w:num w:numId="8">
    <w:abstractNumId w:val="15"/>
  </w:num>
  <w:num w:numId="9">
    <w:abstractNumId w:val="12"/>
  </w:num>
  <w:num w:numId="10">
    <w:abstractNumId w:val="5"/>
  </w:num>
  <w:num w:numId="11">
    <w:abstractNumId w:val="26"/>
  </w:num>
  <w:num w:numId="12">
    <w:abstractNumId w:val="10"/>
  </w:num>
  <w:num w:numId="13">
    <w:abstractNumId w:val="19"/>
  </w:num>
  <w:num w:numId="14">
    <w:abstractNumId w:val="22"/>
  </w:num>
  <w:num w:numId="15">
    <w:abstractNumId w:val="31"/>
  </w:num>
  <w:num w:numId="16">
    <w:abstractNumId w:val="24"/>
  </w:num>
  <w:num w:numId="17">
    <w:abstractNumId w:val="3"/>
  </w:num>
  <w:num w:numId="18">
    <w:abstractNumId w:val="2"/>
  </w:num>
  <w:num w:numId="19">
    <w:abstractNumId w:val="33"/>
  </w:num>
  <w:num w:numId="20">
    <w:abstractNumId w:val="4"/>
  </w:num>
  <w:num w:numId="21">
    <w:abstractNumId w:val="6"/>
  </w:num>
  <w:num w:numId="22">
    <w:abstractNumId w:val="0"/>
  </w:num>
  <w:num w:numId="23">
    <w:abstractNumId w:val="21"/>
  </w:num>
  <w:num w:numId="24">
    <w:abstractNumId w:val="18"/>
  </w:num>
  <w:num w:numId="25">
    <w:abstractNumId w:val="20"/>
  </w:num>
  <w:num w:numId="26">
    <w:abstractNumId w:val="25"/>
  </w:num>
  <w:num w:numId="27">
    <w:abstractNumId w:val="9"/>
  </w:num>
  <w:num w:numId="28">
    <w:abstractNumId w:val="1"/>
  </w:num>
  <w:num w:numId="29">
    <w:abstractNumId w:val="30"/>
  </w:num>
  <w:num w:numId="30">
    <w:abstractNumId w:val="23"/>
  </w:num>
  <w:num w:numId="31">
    <w:abstractNumId w:val="27"/>
  </w:num>
  <w:num w:numId="32">
    <w:abstractNumId w:val="32"/>
  </w:num>
  <w:num w:numId="33">
    <w:abstractNumId w:val="7"/>
  </w:num>
  <w:num w:numId="34">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C7081"/>
    <w:rsid w:val="00006240"/>
    <w:rsid w:val="00017931"/>
    <w:rsid w:val="000206E6"/>
    <w:rsid w:val="000217AD"/>
    <w:rsid w:val="000229C6"/>
    <w:rsid w:val="00026CE7"/>
    <w:rsid w:val="00037502"/>
    <w:rsid w:val="00042AED"/>
    <w:rsid w:val="00052117"/>
    <w:rsid w:val="0006091E"/>
    <w:rsid w:val="00070813"/>
    <w:rsid w:val="00085AF5"/>
    <w:rsid w:val="000923B9"/>
    <w:rsid w:val="000945DD"/>
    <w:rsid w:val="00096254"/>
    <w:rsid w:val="000A73A2"/>
    <w:rsid w:val="000A79E8"/>
    <w:rsid w:val="000B2EB9"/>
    <w:rsid w:val="000C3602"/>
    <w:rsid w:val="000D4251"/>
    <w:rsid w:val="000E08C0"/>
    <w:rsid w:val="000E2110"/>
    <w:rsid w:val="000F3E72"/>
    <w:rsid w:val="00102FC3"/>
    <w:rsid w:val="00116006"/>
    <w:rsid w:val="00120019"/>
    <w:rsid w:val="00127607"/>
    <w:rsid w:val="00130234"/>
    <w:rsid w:val="001309AD"/>
    <w:rsid w:val="001322A5"/>
    <w:rsid w:val="0013422A"/>
    <w:rsid w:val="001403F8"/>
    <w:rsid w:val="00141202"/>
    <w:rsid w:val="00152401"/>
    <w:rsid w:val="00152F85"/>
    <w:rsid w:val="00166358"/>
    <w:rsid w:val="00190BE1"/>
    <w:rsid w:val="0019764F"/>
    <w:rsid w:val="001A4689"/>
    <w:rsid w:val="001C79D0"/>
    <w:rsid w:val="001D14EA"/>
    <w:rsid w:val="001D6F0E"/>
    <w:rsid w:val="00216E19"/>
    <w:rsid w:val="00221BD3"/>
    <w:rsid w:val="00224559"/>
    <w:rsid w:val="0022583E"/>
    <w:rsid w:val="0022764D"/>
    <w:rsid w:val="00232B5E"/>
    <w:rsid w:val="00245FC8"/>
    <w:rsid w:val="00246E18"/>
    <w:rsid w:val="0025230B"/>
    <w:rsid w:val="0026727D"/>
    <w:rsid w:val="00272B86"/>
    <w:rsid w:val="00280502"/>
    <w:rsid w:val="00291167"/>
    <w:rsid w:val="00294BC1"/>
    <w:rsid w:val="002A2725"/>
    <w:rsid w:val="002B2818"/>
    <w:rsid w:val="002B554B"/>
    <w:rsid w:val="002C7B5A"/>
    <w:rsid w:val="002D5731"/>
    <w:rsid w:val="002E124D"/>
    <w:rsid w:val="002F60CD"/>
    <w:rsid w:val="003076E7"/>
    <w:rsid w:val="00310182"/>
    <w:rsid w:val="00323A5A"/>
    <w:rsid w:val="00327253"/>
    <w:rsid w:val="00331632"/>
    <w:rsid w:val="00345601"/>
    <w:rsid w:val="00351B65"/>
    <w:rsid w:val="00360AC1"/>
    <w:rsid w:val="003720FF"/>
    <w:rsid w:val="00375155"/>
    <w:rsid w:val="00381044"/>
    <w:rsid w:val="0038725F"/>
    <w:rsid w:val="0039083C"/>
    <w:rsid w:val="00395542"/>
    <w:rsid w:val="003B2864"/>
    <w:rsid w:val="003B3DD6"/>
    <w:rsid w:val="003B4126"/>
    <w:rsid w:val="003B6471"/>
    <w:rsid w:val="003F1BC6"/>
    <w:rsid w:val="003F6AD2"/>
    <w:rsid w:val="00416BE6"/>
    <w:rsid w:val="0042212E"/>
    <w:rsid w:val="004267D4"/>
    <w:rsid w:val="0044700C"/>
    <w:rsid w:val="00447AB2"/>
    <w:rsid w:val="00450241"/>
    <w:rsid w:val="00451E38"/>
    <w:rsid w:val="00475F94"/>
    <w:rsid w:val="00481D47"/>
    <w:rsid w:val="00490A37"/>
    <w:rsid w:val="004A190A"/>
    <w:rsid w:val="004A55BE"/>
    <w:rsid w:val="004B1011"/>
    <w:rsid w:val="004B3E32"/>
    <w:rsid w:val="004B5F5B"/>
    <w:rsid w:val="004B6C7F"/>
    <w:rsid w:val="004C0F05"/>
    <w:rsid w:val="004D4733"/>
    <w:rsid w:val="004D4A3A"/>
    <w:rsid w:val="004E0558"/>
    <w:rsid w:val="004F3459"/>
    <w:rsid w:val="004F562B"/>
    <w:rsid w:val="00507B0E"/>
    <w:rsid w:val="005121A9"/>
    <w:rsid w:val="00513097"/>
    <w:rsid w:val="0051420A"/>
    <w:rsid w:val="00520558"/>
    <w:rsid w:val="00521A6C"/>
    <w:rsid w:val="00523362"/>
    <w:rsid w:val="00536C06"/>
    <w:rsid w:val="0056123C"/>
    <w:rsid w:val="0056151C"/>
    <w:rsid w:val="00563DEA"/>
    <w:rsid w:val="00572B16"/>
    <w:rsid w:val="0057769F"/>
    <w:rsid w:val="005C69DA"/>
    <w:rsid w:val="005D3D1C"/>
    <w:rsid w:val="005D3F72"/>
    <w:rsid w:val="005E0D82"/>
    <w:rsid w:val="005F175D"/>
    <w:rsid w:val="005F31CA"/>
    <w:rsid w:val="005F5023"/>
    <w:rsid w:val="005F56BD"/>
    <w:rsid w:val="00604A2F"/>
    <w:rsid w:val="006054F9"/>
    <w:rsid w:val="00607486"/>
    <w:rsid w:val="00607FC2"/>
    <w:rsid w:val="00657D10"/>
    <w:rsid w:val="00660CCD"/>
    <w:rsid w:val="00692299"/>
    <w:rsid w:val="006B3D1A"/>
    <w:rsid w:val="006C17B8"/>
    <w:rsid w:val="006C36CD"/>
    <w:rsid w:val="006C38F7"/>
    <w:rsid w:val="006C7081"/>
    <w:rsid w:val="006D52B0"/>
    <w:rsid w:val="006D546C"/>
    <w:rsid w:val="006D6114"/>
    <w:rsid w:val="006D6D78"/>
    <w:rsid w:val="006D6EFB"/>
    <w:rsid w:val="006E1965"/>
    <w:rsid w:val="006E55A3"/>
    <w:rsid w:val="006E7205"/>
    <w:rsid w:val="006F3090"/>
    <w:rsid w:val="00701A93"/>
    <w:rsid w:val="0071142E"/>
    <w:rsid w:val="00716330"/>
    <w:rsid w:val="00721EB7"/>
    <w:rsid w:val="007415C4"/>
    <w:rsid w:val="00751AE7"/>
    <w:rsid w:val="00763458"/>
    <w:rsid w:val="0078256A"/>
    <w:rsid w:val="0078377B"/>
    <w:rsid w:val="007961D1"/>
    <w:rsid w:val="00797E3B"/>
    <w:rsid w:val="007A325B"/>
    <w:rsid w:val="007A3553"/>
    <w:rsid w:val="007B230B"/>
    <w:rsid w:val="007B7064"/>
    <w:rsid w:val="007B7BD4"/>
    <w:rsid w:val="007E1CFF"/>
    <w:rsid w:val="007E3983"/>
    <w:rsid w:val="007F20A4"/>
    <w:rsid w:val="00825D55"/>
    <w:rsid w:val="00862C4A"/>
    <w:rsid w:val="008718DC"/>
    <w:rsid w:val="00884329"/>
    <w:rsid w:val="008A248B"/>
    <w:rsid w:val="008B02CF"/>
    <w:rsid w:val="008B1030"/>
    <w:rsid w:val="008D4511"/>
    <w:rsid w:val="008D7EC1"/>
    <w:rsid w:val="008E4891"/>
    <w:rsid w:val="008F296D"/>
    <w:rsid w:val="008F717E"/>
    <w:rsid w:val="00903431"/>
    <w:rsid w:val="00913AFC"/>
    <w:rsid w:val="009163C7"/>
    <w:rsid w:val="00936FA9"/>
    <w:rsid w:val="00946E5B"/>
    <w:rsid w:val="0095269F"/>
    <w:rsid w:val="009577D1"/>
    <w:rsid w:val="00960063"/>
    <w:rsid w:val="009723DE"/>
    <w:rsid w:val="00976B59"/>
    <w:rsid w:val="009802E3"/>
    <w:rsid w:val="009846B2"/>
    <w:rsid w:val="0098541F"/>
    <w:rsid w:val="00990FE2"/>
    <w:rsid w:val="00993855"/>
    <w:rsid w:val="009946AA"/>
    <w:rsid w:val="009A2E9F"/>
    <w:rsid w:val="009A7934"/>
    <w:rsid w:val="009B456C"/>
    <w:rsid w:val="009B65EF"/>
    <w:rsid w:val="009B6A3A"/>
    <w:rsid w:val="009C2AED"/>
    <w:rsid w:val="009C58CA"/>
    <w:rsid w:val="009E0FFB"/>
    <w:rsid w:val="009E43F3"/>
    <w:rsid w:val="009E6F39"/>
    <w:rsid w:val="009E769B"/>
    <w:rsid w:val="009F008A"/>
    <w:rsid w:val="009F1594"/>
    <w:rsid w:val="00A03049"/>
    <w:rsid w:val="00A03D2E"/>
    <w:rsid w:val="00A073A9"/>
    <w:rsid w:val="00A1619B"/>
    <w:rsid w:val="00A23A1F"/>
    <w:rsid w:val="00A273CF"/>
    <w:rsid w:val="00A32A45"/>
    <w:rsid w:val="00A42C81"/>
    <w:rsid w:val="00A51010"/>
    <w:rsid w:val="00A56053"/>
    <w:rsid w:val="00A61005"/>
    <w:rsid w:val="00A76EF0"/>
    <w:rsid w:val="00A83C7B"/>
    <w:rsid w:val="00A844C9"/>
    <w:rsid w:val="00A85373"/>
    <w:rsid w:val="00A86278"/>
    <w:rsid w:val="00AB42E8"/>
    <w:rsid w:val="00AE55BF"/>
    <w:rsid w:val="00AE595C"/>
    <w:rsid w:val="00AF1031"/>
    <w:rsid w:val="00AF1293"/>
    <w:rsid w:val="00B00B01"/>
    <w:rsid w:val="00B01ABC"/>
    <w:rsid w:val="00B13672"/>
    <w:rsid w:val="00B17599"/>
    <w:rsid w:val="00B44977"/>
    <w:rsid w:val="00B56ED0"/>
    <w:rsid w:val="00B614B5"/>
    <w:rsid w:val="00B6229A"/>
    <w:rsid w:val="00B64FB4"/>
    <w:rsid w:val="00B70040"/>
    <w:rsid w:val="00B73E9C"/>
    <w:rsid w:val="00B743A5"/>
    <w:rsid w:val="00B74897"/>
    <w:rsid w:val="00B75754"/>
    <w:rsid w:val="00B776A1"/>
    <w:rsid w:val="00B87CAE"/>
    <w:rsid w:val="00B92322"/>
    <w:rsid w:val="00B92399"/>
    <w:rsid w:val="00B9287A"/>
    <w:rsid w:val="00BC5822"/>
    <w:rsid w:val="00BC6FF8"/>
    <w:rsid w:val="00BD3ABB"/>
    <w:rsid w:val="00BD5DE2"/>
    <w:rsid w:val="00BE03E9"/>
    <w:rsid w:val="00BE1FAF"/>
    <w:rsid w:val="00BE2D98"/>
    <w:rsid w:val="00C1380B"/>
    <w:rsid w:val="00C24304"/>
    <w:rsid w:val="00C24DF3"/>
    <w:rsid w:val="00C25FC0"/>
    <w:rsid w:val="00C267D5"/>
    <w:rsid w:val="00C302C8"/>
    <w:rsid w:val="00C547A6"/>
    <w:rsid w:val="00C6549F"/>
    <w:rsid w:val="00C75DE4"/>
    <w:rsid w:val="00C82142"/>
    <w:rsid w:val="00C82556"/>
    <w:rsid w:val="00C849FD"/>
    <w:rsid w:val="00C9757E"/>
    <w:rsid w:val="00CA5226"/>
    <w:rsid w:val="00CE0BA6"/>
    <w:rsid w:val="00CF4A8B"/>
    <w:rsid w:val="00D21F5F"/>
    <w:rsid w:val="00D23D09"/>
    <w:rsid w:val="00D40B81"/>
    <w:rsid w:val="00D43D46"/>
    <w:rsid w:val="00D6761D"/>
    <w:rsid w:val="00D7194E"/>
    <w:rsid w:val="00D7357C"/>
    <w:rsid w:val="00D77E70"/>
    <w:rsid w:val="00DB5F18"/>
    <w:rsid w:val="00DC146A"/>
    <w:rsid w:val="00DD6C05"/>
    <w:rsid w:val="00DF5E63"/>
    <w:rsid w:val="00DF6641"/>
    <w:rsid w:val="00E0465B"/>
    <w:rsid w:val="00E139F7"/>
    <w:rsid w:val="00E14670"/>
    <w:rsid w:val="00E20FCF"/>
    <w:rsid w:val="00E26ADA"/>
    <w:rsid w:val="00E3323A"/>
    <w:rsid w:val="00E3493A"/>
    <w:rsid w:val="00E36435"/>
    <w:rsid w:val="00E47C4A"/>
    <w:rsid w:val="00E50592"/>
    <w:rsid w:val="00E62147"/>
    <w:rsid w:val="00E70E65"/>
    <w:rsid w:val="00E829E2"/>
    <w:rsid w:val="00E902EB"/>
    <w:rsid w:val="00E9304A"/>
    <w:rsid w:val="00E93B0B"/>
    <w:rsid w:val="00EA7EEE"/>
    <w:rsid w:val="00EC2AFC"/>
    <w:rsid w:val="00EC7E72"/>
    <w:rsid w:val="00ED3F44"/>
    <w:rsid w:val="00ED4743"/>
    <w:rsid w:val="00ED5119"/>
    <w:rsid w:val="00EE0F75"/>
    <w:rsid w:val="00EE2C4A"/>
    <w:rsid w:val="00EF25CF"/>
    <w:rsid w:val="00EF5BB5"/>
    <w:rsid w:val="00F00096"/>
    <w:rsid w:val="00F079BA"/>
    <w:rsid w:val="00F22D1A"/>
    <w:rsid w:val="00F31065"/>
    <w:rsid w:val="00F33B9D"/>
    <w:rsid w:val="00F34AF4"/>
    <w:rsid w:val="00F410B9"/>
    <w:rsid w:val="00F4208B"/>
    <w:rsid w:val="00F55E28"/>
    <w:rsid w:val="00F66694"/>
    <w:rsid w:val="00F75B77"/>
    <w:rsid w:val="00F80DD3"/>
    <w:rsid w:val="00F8324B"/>
    <w:rsid w:val="00F92EAD"/>
    <w:rsid w:val="00FA6017"/>
    <w:rsid w:val="00FC0972"/>
    <w:rsid w:val="00FC2ABD"/>
    <w:rsid w:val="00FC3FB8"/>
    <w:rsid w:val="00FC51C4"/>
    <w:rsid w:val="00FC5899"/>
    <w:rsid w:val="00FC7388"/>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09440"/>
  <w15:docId w15:val="{766DF536-2E8B-40AE-B301-12F042573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7081"/>
  </w:style>
  <w:style w:type="paragraph" w:styleId="1">
    <w:name w:val="heading 1"/>
    <w:basedOn w:val="a"/>
    <w:next w:val="a"/>
    <w:link w:val="10"/>
    <w:uiPriority w:val="9"/>
    <w:qFormat/>
    <w:rsid w:val="006C7081"/>
    <w:pPr>
      <w:keepNext/>
      <w:keepLines/>
      <w:spacing w:before="360" w:after="240" w:line="360" w:lineRule="auto"/>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6C7081"/>
    <w:pPr>
      <w:keepNext/>
      <w:keepLines/>
      <w:spacing w:before="200" w:after="120"/>
      <w:outlineLvl w:val="1"/>
    </w:pPr>
    <w:rPr>
      <w:rFonts w:ascii="Times New Roman" w:eastAsiaTheme="majorEastAsia" w:hAnsi="Times New Roman" w:cstheme="majorBidi"/>
      <w:bCs/>
      <w:sz w:val="28"/>
      <w:szCs w:val="26"/>
    </w:rPr>
  </w:style>
  <w:style w:type="paragraph" w:styleId="3">
    <w:name w:val="heading 3"/>
    <w:basedOn w:val="a"/>
    <w:next w:val="a"/>
    <w:link w:val="30"/>
    <w:uiPriority w:val="9"/>
    <w:unhideWhenUsed/>
    <w:qFormat/>
    <w:rsid w:val="006C7081"/>
    <w:pPr>
      <w:keepNext/>
      <w:keepLines/>
      <w:spacing w:before="200" w:after="120"/>
      <w:outlineLvl w:val="2"/>
    </w:pPr>
    <w:rPr>
      <w:rFonts w:ascii="Times New Roman" w:eastAsiaTheme="majorEastAsia" w:hAnsi="Times New Roman" w:cstheme="majorBidi"/>
      <w:bCs/>
      <w:sz w:val="28"/>
    </w:rPr>
  </w:style>
  <w:style w:type="paragraph" w:styleId="4">
    <w:name w:val="heading 4"/>
    <w:basedOn w:val="a"/>
    <w:next w:val="a"/>
    <w:link w:val="40"/>
    <w:uiPriority w:val="9"/>
    <w:unhideWhenUsed/>
    <w:qFormat/>
    <w:rsid w:val="006C7081"/>
    <w:pPr>
      <w:keepNext/>
      <w:keepLines/>
      <w:spacing w:before="200" w:after="120"/>
      <w:outlineLvl w:val="3"/>
    </w:pPr>
    <w:rPr>
      <w:rFonts w:ascii="Times New Roman" w:eastAsiaTheme="majorEastAsia" w:hAnsi="Times New Roman" w:cstheme="majorBidi"/>
      <w:bCs/>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7081"/>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6C7081"/>
    <w:rPr>
      <w:rFonts w:ascii="Times New Roman" w:eastAsiaTheme="majorEastAsia" w:hAnsi="Times New Roman" w:cstheme="majorBidi"/>
      <w:bCs/>
      <w:sz w:val="28"/>
      <w:szCs w:val="26"/>
    </w:rPr>
  </w:style>
  <w:style w:type="character" w:customStyle="1" w:styleId="30">
    <w:name w:val="Заголовок 3 Знак"/>
    <w:basedOn w:val="a0"/>
    <w:link w:val="3"/>
    <w:uiPriority w:val="9"/>
    <w:rsid w:val="006C7081"/>
    <w:rPr>
      <w:rFonts w:ascii="Times New Roman" w:eastAsiaTheme="majorEastAsia" w:hAnsi="Times New Roman" w:cstheme="majorBidi"/>
      <w:bCs/>
      <w:sz w:val="28"/>
    </w:rPr>
  </w:style>
  <w:style w:type="character" w:customStyle="1" w:styleId="40">
    <w:name w:val="Заголовок 4 Знак"/>
    <w:basedOn w:val="a0"/>
    <w:link w:val="4"/>
    <w:uiPriority w:val="9"/>
    <w:rsid w:val="006C7081"/>
    <w:rPr>
      <w:rFonts w:ascii="Times New Roman" w:eastAsiaTheme="majorEastAsia" w:hAnsi="Times New Roman" w:cstheme="majorBidi"/>
      <w:bCs/>
      <w:iCs/>
      <w:sz w:val="28"/>
    </w:rPr>
  </w:style>
  <w:style w:type="paragraph" w:styleId="a3">
    <w:name w:val="List Paragraph"/>
    <w:basedOn w:val="a"/>
    <w:uiPriority w:val="34"/>
    <w:qFormat/>
    <w:rsid w:val="006C7081"/>
    <w:pPr>
      <w:ind w:left="720"/>
      <w:contextualSpacing/>
    </w:pPr>
  </w:style>
  <w:style w:type="table" w:styleId="a4">
    <w:name w:val="Table Grid"/>
    <w:basedOn w:val="a1"/>
    <w:uiPriority w:val="59"/>
    <w:rsid w:val="006C7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2"/>
    <w:uiPriority w:val="99"/>
    <w:semiHidden/>
    <w:unhideWhenUsed/>
    <w:rsid w:val="006C7081"/>
    <w:pPr>
      <w:numPr>
        <w:numId w:val="1"/>
      </w:numPr>
    </w:pPr>
  </w:style>
  <w:style w:type="table" w:customStyle="1" w:styleId="11">
    <w:name w:val="Сетка таблицы1"/>
    <w:basedOn w:val="a1"/>
    <w:next w:val="a4"/>
    <w:uiPriority w:val="59"/>
    <w:rsid w:val="006C7081"/>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OC Heading"/>
    <w:basedOn w:val="1"/>
    <w:next w:val="a"/>
    <w:uiPriority w:val="39"/>
    <w:unhideWhenUsed/>
    <w:qFormat/>
    <w:rsid w:val="006C7081"/>
    <w:pPr>
      <w:spacing w:before="480" w:after="0" w:line="276" w:lineRule="auto"/>
      <w:outlineLvl w:val="9"/>
    </w:pPr>
    <w:rPr>
      <w:rFonts w:asciiTheme="majorHAnsi" w:hAnsiTheme="majorHAnsi"/>
      <w:color w:val="365F91" w:themeColor="accent1" w:themeShade="BF"/>
      <w:lang w:eastAsia="ru-RU"/>
    </w:rPr>
  </w:style>
  <w:style w:type="paragraph" w:styleId="12">
    <w:name w:val="toc 1"/>
    <w:basedOn w:val="a"/>
    <w:next w:val="a"/>
    <w:autoRedefine/>
    <w:uiPriority w:val="39"/>
    <w:unhideWhenUsed/>
    <w:rsid w:val="006C7081"/>
    <w:pPr>
      <w:spacing w:after="100"/>
    </w:pPr>
  </w:style>
  <w:style w:type="paragraph" w:styleId="21">
    <w:name w:val="toc 2"/>
    <w:basedOn w:val="a"/>
    <w:next w:val="a"/>
    <w:autoRedefine/>
    <w:uiPriority w:val="39"/>
    <w:unhideWhenUsed/>
    <w:rsid w:val="00C849FD"/>
    <w:pPr>
      <w:tabs>
        <w:tab w:val="left" w:pos="1100"/>
        <w:tab w:val="right" w:leader="dot" w:pos="9055"/>
      </w:tabs>
      <w:spacing w:after="100"/>
      <w:ind w:left="142"/>
    </w:pPr>
  </w:style>
  <w:style w:type="paragraph" w:styleId="31">
    <w:name w:val="toc 3"/>
    <w:basedOn w:val="a"/>
    <w:next w:val="a"/>
    <w:autoRedefine/>
    <w:uiPriority w:val="39"/>
    <w:unhideWhenUsed/>
    <w:rsid w:val="006C7081"/>
    <w:pPr>
      <w:tabs>
        <w:tab w:val="left" w:pos="1320"/>
        <w:tab w:val="right" w:leader="dot" w:pos="9055"/>
      </w:tabs>
      <w:spacing w:after="100" w:line="360" w:lineRule="auto"/>
      <w:ind w:left="440"/>
    </w:pPr>
  </w:style>
  <w:style w:type="character" w:styleId="a6">
    <w:name w:val="Hyperlink"/>
    <w:basedOn w:val="a0"/>
    <w:uiPriority w:val="99"/>
    <w:unhideWhenUsed/>
    <w:rsid w:val="006C7081"/>
    <w:rPr>
      <w:color w:val="0000FF" w:themeColor="hyperlink"/>
      <w:u w:val="single"/>
    </w:rPr>
  </w:style>
  <w:style w:type="paragraph" w:styleId="a7">
    <w:name w:val="Balloon Text"/>
    <w:basedOn w:val="a"/>
    <w:link w:val="a8"/>
    <w:uiPriority w:val="99"/>
    <w:semiHidden/>
    <w:unhideWhenUsed/>
    <w:rsid w:val="006C708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C7081"/>
    <w:rPr>
      <w:rFonts w:ascii="Tahoma" w:hAnsi="Tahoma" w:cs="Tahoma"/>
      <w:sz w:val="16"/>
      <w:szCs w:val="16"/>
    </w:rPr>
  </w:style>
  <w:style w:type="paragraph" w:styleId="41">
    <w:name w:val="toc 4"/>
    <w:basedOn w:val="a"/>
    <w:next w:val="a"/>
    <w:autoRedefine/>
    <w:uiPriority w:val="39"/>
    <w:unhideWhenUsed/>
    <w:rsid w:val="006C7081"/>
    <w:pPr>
      <w:spacing w:after="100"/>
      <w:ind w:left="660"/>
    </w:pPr>
  </w:style>
  <w:style w:type="paragraph" w:styleId="a9">
    <w:name w:val="header"/>
    <w:basedOn w:val="a"/>
    <w:link w:val="aa"/>
    <w:uiPriority w:val="99"/>
    <w:unhideWhenUsed/>
    <w:rsid w:val="006C708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C7081"/>
  </w:style>
  <w:style w:type="paragraph" w:styleId="ab">
    <w:name w:val="footer"/>
    <w:basedOn w:val="a"/>
    <w:link w:val="ac"/>
    <w:uiPriority w:val="99"/>
    <w:unhideWhenUsed/>
    <w:rsid w:val="006C708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C7081"/>
  </w:style>
  <w:style w:type="table" w:customStyle="1" w:styleId="22">
    <w:name w:val="Сетка таблицы2"/>
    <w:basedOn w:val="a1"/>
    <w:next w:val="a4"/>
    <w:uiPriority w:val="59"/>
    <w:rsid w:val="006C7081"/>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6C7081"/>
    <w:rPr>
      <w:color w:val="808080"/>
    </w:rPr>
  </w:style>
  <w:style w:type="table" w:customStyle="1" w:styleId="32">
    <w:name w:val="Сетка таблицы3"/>
    <w:basedOn w:val="a1"/>
    <w:next w:val="a4"/>
    <w:uiPriority w:val="59"/>
    <w:rsid w:val="006C7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
    <w:name w:val="WW-Базовый"/>
    <w:uiPriority w:val="99"/>
    <w:rsid w:val="006C7081"/>
    <w:pPr>
      <w:suppressAutoHyphens/>
    </w:pPr>
    <w:rPr>
      <w:rFonts w:ascii="Calibri" w:eastAsia="SimSun" w:hAnsi="Calibri" w:cs="Calibri"/>
      <w:lang w:eastAsia="zh-CN"/>
    </w:rPr>
  </w:style>
  <w:style w:type="character" w:customStyle="1" w:styleId="apple-converted-space">
    <w:name w:val="apple-converted-space"/>
    <w:basedOn w:val="a0"/>
    <w:rsid w:val="0095269F"/>
  </w:style>
  <w:style w:type="paragraph" w:styleId="5">
    <w:name w:val="toc 5"/>
    <w:basedOn w:val="a"/>
    <w:next w:val="a"/>
    <w:autoRedefine/>
    <w:uiPriority w:val="39"/>
    <w:unhideWhenUsed/>
    <w:rsid w:val="00C849FD"/>
    <w:pPr>
      <w:spacing w:after="100"/>
      <w:ind w:left="880"/>
    </w:pPr>
    <w:rPr>
      <w:rFonts w:eastAsiaTheme="minorEastAsia"/>
      <w:lang w:eastAsia="ru-RU"/>
    </w:rPr>
  </w:style>
  <w:style w:type="paragraph" w:styleId="6">
    <w:name w:val="toc 6"/>
    <w:basedOn w:val="a"/>
    <w:next w:val="a"/>
    <w:autoRedefine/>
    <w:uiPriority w:val="39"/>
    <w:unhideWhenUsed/>
    <w:rsid w:val="00C849FD"/>
    <w:pPr>
      <w:spacing w:after="100"/>
      <w:ind w:left="1100"/>
    </w:pPr>
    <w:rPr>
      <w:rFonts w:eastAsiaTheme="minorEastAsia"/>
      <w:lang w:eastAsia="ru-RU"/>
    </w:rPr>
  </w:style>
  <w:style w:type="paragraph" w:styleId="7">
    <w:name w:val="toc 7"/>
    <w:basedOn w:val="a"/>
    <w:next w:val="a"/>
    <w:autoRedefine/>
    <w:uiPriority w:val="39"/>
    <w:unhideWhenUsed/>
    <w:rsid w:val="00C849FD"/>
    <w:pPr>
      <w:spacing w:after="100"/>
      <w:ind w:left="1320"/>
    </w:pPr>
    <w:rPr>
      <w:rFonts w:eastAsiaTheme="minorEastAsia"/>
      <w:lang w:eastAsia="ru-RU"/>
    </w:rPr>
  </w:style>
  <w:style w:type="paragraph" w:styleId="8">
    <w:name w:val="toc 8"/>
    <w:basedOn w:val="a"/>
    <w:next w:val="a"/>
    <w:autoRedefine/>
    <w:uiPriority w:val="39"/>
    <w:unhideWhenUsed/>
    <w:rsid w:val="00C849FD"/>
    <w:pPr>
      <w:spacing w:after="100"/>
      <w:ind w:left="1540"/>
    </w:pPr>
    <w:rPr>
      <w:rFonts w:eastAsiaTheme="minorEastAsia"/>
      <w:lang w:eastAsia="ru-RU"/>
    </w:rPr>
  </w:style>
  <w:style w:type="paragraph" w:styleId="9">
    <w:name w:val="toc 9"/>
    <w:basedOn w:val="a"/>
    <w:next w:val="a"/>
    <w:autoRedefine/>
    <w:uiPriority w:val="39"/>
    <w:unhideWhenUsed/>
    <w:rsid w:val="00C849FD"/>
    <w:pPr>
      <w:spacing w:after="100"/>
      <w:ind w:left="1760"/>
    </w:pPr>
    <w:rPr>
      <w:rFonts w:eastAsiaTheme="minorEastAsia"/>
      <w:lang w:eastAsia="ru-RU"/>
    </w:rPr>
  </w:style>
  <w:style w:type="paragraph" w:styleId="ae">
    <w:name w:val="caption"/>
    <w:basedOn w:val="a"/>
    <w:next w:val="a"/>
    <w:uiPriority w:val="35"/>
    <w:unhideWhenUsed/>
    <w:qFormat/>
    <w:rsid w:val="005C69DA"/>
    <w:pPr>
      <w:spacing w:line="240" w:lineRule="auto"/>
    </w:pPr>
    <w:rPr>
      <w:i/>
      <w:iCs/>
      <w:color w:val="1F497D" w:themeColor="text2"/>
      <w:sz w:val="18"/>
      <w:szCs w:val="18"/>
    </w:rPr>
  </w:style>
  <w:style w:type="paragraph" w:styleId="af">
    <w:name w:val="Normal (Web)"/>
    <w:basedOn w:val="a"/>
    <w:uiPriority w:val="99"/>
    <w:unhideWhenUsed/>
    <w:rsid w:val="00563DEA"/>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paragraph" w:styleId="af0">
    <w:name w:val="No Spacing"/>
    <w:uiPriority w:val="1"/>
    <w:qFormat/>
    <w:rsid w:val="008718DC"/>
    <w:pPr>
      <w:spacing w:after="0" w:line="240" w:lineRule="auto"/>
    </w:pPr>
  </w:style>
  <w:style w:type="character" w:customStyle="1" w:styleId="highlight">
    <w:name w:val="highlight"/>
    <w:rsid w:val="00B70040"/>
  </w:style>
  <w:style w:type="character" w:styleId="af1">
    <w:name w:val="FollowedHyperlink"/>
    <w:basedOn w:val="a0"/>
    <w:uiPriority w:val="99"/>
    <w:semiHidden/>
    <w:unhideWhenUsed/>
    <w:rsid w:val="00B700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3863">
      <w:bodyDiv w:val="1"/>
      <w:marLeft w:val="0"/>
      <w:marRight w:val="0"/>
      <w:marTop w:val="0"/>
      <w:marBottom w:val="0"/>
      <w:divBdr>
        <w:top w:val="none" w:sz="0" w:space="0" w:color="auto"/>
        <w:left w:val="none" w:sz="0" w:space="0" w:color="auto"/>
        <w:bottom w:val="none" w:sz="0" w:space="0" w:color="auto"/>
        <w:right w:val="none" w:sz="0" w:space="0" w:color="auto"/>
      </w:divBdr>
    </w:div>
    <w:div w:id="71045800">
      <w:bodyDiv w:val="1"/>
      <w:marLeft w:val="0"/>
      <w:marRight w:val="0"/>
      <w:marTop w:val="0"/>
      <w:marBottom w:val="0"/>
      <w:divBdr>
        <w:top w:val="none" w:sz="0" w:space="0" w:color="auto"/>
        <w:left w:val="none" w:sz="0" w:space="0" w:color="auto"/>
        <w:bottom w:val="none" w:sz="0" w:space="0" w:color="auto"/>
        <w:right w:val="none" w:sz="0" w:space="0" w:color="auto"/>
      </w:divBdr>
    </w:div>
    <w:div w:id="148833682">
      <w:bodyDiv w:val="1"/>
      <w:marLeft w:val="0"/>
      <w:marRight w:val="0"/>
      <w:marTop w:val="0"/>
      <w:marBottom w:val="0"/>
      <w:divBdr>
        <w:top w:val="none" w:sz="0" w:space="0" w:color="auto"/>
        <w:left w:val="none" w:sz="0" w:space="0" w:color="auto"/>
        <w:bottom w:val="none" w:sz="0" w:space="0" w:color="auto"/>
        <w:right w:val="none" w:sz="0" w:space="0" w:color="auto"/>
      </w:divBdr>
    </w:div>
    <w:div w:id="149831962">
      <w:bodyDiv w:val="1"/>
      <w:marLeft w:val="0"/>
      <w:marRight w:val="0"/>
      <w:marTop w:val="0"/>
      <w:marBottom w:val="0"/>
      <w:divBdr>
        <w:top w:val="none" w:sz="0" w:space="0" w:color="auto"/>
        <w:left w:val="none" w:sz="0" w:space="0" w:color="auto"/>
        <w:bottom w:val="none" w:sz="0" w:space="0" w:color="auto"/>
        <w:right w:val="none" w:sz="0" w:space="0" w:color="auto"/>
      </w:divBdr>
    </w:div>
    <w:div w:id="346294213">
      <w:bodyDiv w:val="1"/>
      <w:marLeft w:val="0"/>
      <w:marRight w:val="0"/>
      <w:marTop w:val="0"/>
      <w:marBottom w:val="0"/>
      <w:divBdr>
        <w:top w:val="none" w:sz="0" w:space="0" w:color="auto"/>
        <w:left w:val="none" w:sz="0" w:space="0" w:color="auto"/>
        <w:bottom w:val="none" w:sz="0" w:space="0" w:color="auto"/>
        <w:right w:val="none" w:sz="0" w:space="0" w:color="auto"/>
      </w:divBdr>
    </w:div>
    <w:div w:id="373359075">
      <w:bodyDiv w:val="1"/>
      <w:marLeft w:val="0"/>
      <w:marRight w:val="0"/>
      <w:marTop w:val="0"/>
      <w:marBottom w:val="0"/>
      <w:divBdr>
        <w:top w:val="none" w:sz="0" w:space="0" w:color="auto"/>
        <w:left w:val="none" w:sz="0" w:space="0" w:color="auto"/>
        <w:bottom w:val="none" w:sz="0" w:space="0" w:color="auto"/>
        <w:right w:val="none" w:sz="0" w:space="0" w:color="auto"/>
      </w:divBdr>
    </w:div>
    <w:div w:id="377555841">
      <w:bodyDiv w:val="1"/>
      <w:marLeft w:val="0"/>
      <w:marRight w:val="0"/>
      <w:marTop w:val="0"/>
      <w:marBottom w:val="0"/>
      <w:divBdr>
        <w:top w:val="none" w:sz="0" w:space="0" w:color="auto"/>
        <w:left w:val="none" w:sz="0" w:space="0" w:color="auto"/>
        <w:bottom w:val="none" w:sz="0" w:space="0" w:color="auto"/>
        <w:right w:val="none" w:sz="0" w:space="0" w:color="auto"/>
      </w:divBdr>
    </w:div>
    <w:div w:id="409161737">
      <w:bodyDiv w:val="1"/>
      <w:marLeft w:val="0"/>
      <w:marRight w:val="0"/>
      <w:marTop w:val="0"/>
      <w:marBottom w:val="0"/>
      <w:divBdr>
        <w:top w:val="none" w:sz="0" w:space="0" w:color="auto"/>
        <w:left w:val="none" w:sz="0" w:space="0" w:color="auto"/>
        <w:bottom w:val="none" w:sz="0" w:space="0" w:color="auto"/>
        <w:right w:val="none" w:sz="0" w:space="0" w:color="auto"/>
      </w:divBdr>
    </w:div>
    <w:div w:id="431512042">
      <w:bodyDiv w:val="1"/>
      <w:marLeft w:val="0"/>
      <w:marRight w:val="0"/>
      <w:marTop w:val="0"/>
      <w:marBottom w:val="0"/>
      <w:divBdr>
        <w:top w:val="none" w:sz="0" w:space="0" w:color="auto"/>
        <w:left w:val="none" w:sz="0" w:space="0" w:color="auto"/>
        <w:bottom w:val="none" w:sz="0" w:space="0" w:color="auto"/>
        <w:right w:val="none" w:sz="0" w:space="0" w:color="auto"/>
      </w:divBdr>
    </w:div>
    <w:div w:id="489061115">
      <w:bodyDiv w:val="1"/>
      <w:marLeft w:val="0"/>
      <w:marRight w:val="0"/>
      <w:marTop w:val="0"/>
      <w:marBottom w:val="0"/>
      <w:divBdr>
        <w:top w:val="none" w:sz="0" w:space="0" w:color="auto"/>
        <w:left w:val="none" w:sz="0" w:space="0" w:color="auto"/>
        <w:bottom w:val="none" w:sz="0" w:space="0" w:color="auto"/>
        <w:right w:val="none" w:sz="0" w:space="0" w:color="auto"/>
      </w:divBdr>
    </w:div>
    <w:div w:id="490831487">
      <w:bodyDiv w:val="1"/>
      <w:marLeft w:val="0"/>
      <w:marRight w:val="0"/>
      <w:marTop w:val="0"/>
      <w:marBottom w:val="0"/>
      <w:divBdr>
        <w:top w:val="none" w:sz="0" w:space="0" w:color="auto"/>
        <w:left w:val="none" w:sz="0" w:space="0" w:color="auto"/>
        <w:bottom w:val="none" w:sz="0" w:space="0" w:color="auto"/>
        <w:right w:val="none" w:sz="0" w:space="0" w:color="auto"/>
      </w:divBdr>
    </w:div>
    <w:div w:id="499085552">
      <w:bodyDiv w:val="1"/>
      <w:marLeft w:val="0"/>
      <w:marRight w:val="0"/>
      <w:marTop w:val="0"/>
      <w:marBottom w:val="0"/>
      <w:divBdr>
        <w:top w:val="none" w:sz="0" w:space="0" w:color="auto"/>
        <w:left w:val="none" w:sz="0" w:space="0" w:color="auto"/>
        <w:bottom w:val="none" w:sz="0" w:space="0" w:color="auto"/>
        <w:right w:val="none" w:sz="0" w:space="0" w:color="auto"/>
      </w:divBdr>
    </w:div>
    <w:div w:id="598370849">
      <w:bodyDiv w:val="1"/>
      <w:marLeft w:val="0"/>
      <w:marRight w:val="0"/>
      <w:marTop w:val="0"/>
      <w:marBottom w:val="0"/>
      <w:divBdr>
        <w:top w:val="none" w:sz="0" w:space="0" w:color="auto"/>
        <w:left w:val="none" w:sz="0" w:space="0" w:color="auto"/>
        <w:bottom w:val="none" w:sz="0" w:space="0" w:color="auto"/>
        <w:right w:val="none" w:sz="0" w:space="0" w:color="auto"/>
      </w:divBdr>
    </w:div>
    <w:div w:id="609245720">
      <w:bodyDiv w:val="1"/>
      <w:marLeft w:val="0"/>
      <w:marRight w:val="0"/>
      <w:marTop w:val="0"/>
      <w:marBottom w:val="0"/>
      <w:divBdr>
        <w:top w:val="none" w:sz="0" w:space="0" w:color="auto"/>
        <w:left w:val="none" w:sz="0" w:space="0" w:color="auto"/>
        <w:bottom w:val="none" w:sz="0" w:space="0" w:color="auto"/>
        <w:right w:val="none" w:sz="0" w:space="0" w:color="auto"/>
      </w:divBdr>
    </w:div>
    <w:div w:id="734015646">
      <w:bodyDiv w:val="1"/>
      <w:marLeft w:val="0"/>
      <w:marRight w:val="0"/>
      <w:marTop w:val="0"/>
      <w:marBottom w:val="0"/>
      <w:divBdr>
        <w:top w:val="none" w:sz="0" w:space="0" w:color="auto"/>
        <w:left w:val="none" w:sz="0" w:space="0" w:color="auto"/>
        <w:bottom w:val="none" w:sz="0" w:space="0" w:color="auto"/>
        <w:right w:val="none" w:sz="0" w:space="0" w:color="auto"/>
      </w:divBdr>
      <w:divsChild>
        <w:div w:id="37169363">
          <w:marLeft w:val="446"/>
          <w:marRight w:val="0"/>
          <w:marTop w:val="82"/>
          <w:marBottom w:val="0"/>
          <w:divBdr>
            <w:top w:val="none" w:sz="0" w:space="0" w:color="auto"/>
            <w:left w:val="none" w:sz="0" w:space="0" w:color="auto"/>
            <w:bottom w:val="none" w:sz="0" w:space="0" w:color="auto"/>
            <w:right w:val="none" w:sz="0" w:space="0" w:color="auto"/>
          </w:divBdr>
        </w:div>
      </w:divsChild>
    </w:div>
    <w:div w:id="754323518">
      <w:bodyDiv w:val="1"/>
      <w:marLeft w:val="0"/>
      <w:marRight w:val="0"/>
      <w:marTop w:val="0"/>
      <w:marBottom w:val="0"/>
      <w:divBdr>
        <w:top w:val="none" w:sz="0" w:space="0" w:color="auto"/>
        <w:left w:val="none" w:sz="0" w:space="0" w:color="auto"/>
        <w:bottom w:val="none" w:sz="0" w:space="0" w:color="auto"/>
        <w:right w:val="none" w:sz="0" w:space="0" w:color="auto"/>
      </w:divBdr>
      <w:divsChild>
        <w:div w:id="71780454">
          <w:marLeft w:val="446"/>
          <w:marRight w:val="0"/>
          <w:marTop w:val="86"/>
          <w:marBottom w:val="60"/>
          <w:divBdr>
            <w:top w:val="none" w:sz="0" w:space="0" w:color="auto"/>
            <w:left w:val="none" w:sz="0" w:space="0" w:color="auto"/>
            <w:bottom w:val="none" w:sz="0" w:space="0" w:color="auto"/>
            <w:right w:val="none" w:sz="0" w:space="0" w:color="auto"/>
          </w:divBdr>
        </w:div>
        <w:div w:id="810633903">
          <w:marLeft w:val="446"/>
          <w:marRight w:val="0"/>
          <w:marTop w:val="86"/>
          <w:marBottom w:val="60"/>
          <w:divBdr>
            <w:top w:val="none" w:sz="0" w:space="0" w:color="auto"/>
            <w:left w:val="none" w:sz="0" w:space="0" w:color="auto"/>
            <w:bottom w:val="none" w:sz="0" w:space="0" w:color="auto"/>
            <w:right w:val="none" w:sz="0" w:space="0" w:color="auto"/>
          </w:divBdr>
        </w:div>
      </w:divsChild>
    </w:div>
    <w:div w:id="777603575">
      <w:bodyDiv w:val="1"/>
      <w:marLeft w:val="0"/>
      <w:marRight w:val="0"/>
      <w:marTop w:val="0"/>
      <w:marBottom w:val="0"/>
      <w:divBdr>
        <w:top w:val="none" w:sz="0" w:space="0" w:color="auto"/>
        <w:left w:val="none" w:sz="0" w:space="0" w:color="auto"/>
        <w:bottom w:val="none" w:sz="0" w:space="0" w:color="auto"/>
        <w:right w:val="none" w:sz="0" w:space="0" w:color="auto"/>
      </w:divBdr>
      <w:divsChild>
        <w:div w:id="1041441368">
          <w:marLeft w:val="360"/>
          <w:marRight w:val="0"/>
          <w:marTop w:val="200"/>
          <w:marBottom w:val="0"/>
          <w:divBdr>
            <w:top w:val="none" w:sz="0" w:space="0" w:color="auto"/>
            <w:left w:val="none" w:sz="0" w:space="0" w:color="auto"/>
            <w:bottom w:val="none" w:sz="0" w:space="0" w:color="auto"/>
            <w:right w:val="none" w:sz="0" w:space="0" w:color="auto"/>
          </w:divBdr>
        </w:div>
      </w:divsChild>
    </w:div>
    <w:div w:id="781732728">
      <w:bodyDiv w:val="1"/>
      <w:marLeft w:val="0"/>
      <w:marRight w:val="0"/>
      <w:marTop w:val="0"/>
      <w:marBottom w:val="0"/>
      <w:divBdr>
        <w:top w:val="none" w:sz="0" w:space="0" w:color="auto"/>
        <w:left w:val="none" w:sz="0" w:space="0" w:color="auto"/>
        <w:bottom w:val="none" w:sz="0" w:space="0" w:color="auto"/>
        <w:right w:val="none" w:sz="0" w:space="0" w:color="auto"/>
      </w:divBdr>
    </w:div>
    <w:div w:id="922641533">
      <w:bodyDiv w:val="1"/>
      <w:marLeft w:val="0"/>
      <w:marRight w:val="0"/>
      <w:marTop w:val="0"/>
      <w:marBottom w:val="0"/>
      <w:divBdr>
        <w:top w:val="none" w:sz="0" w:space="0" w:color="auto"/>
        <w:left w:val="none" w:sz="0" w:space="0" w:color="auto"/>
        <w:bottom w:val="none" w:sz="0" w:space="0" w:color="auto"/>
        <w:right w:val="none" w:sz="0" w:space="0" w:color="auto"/>
      </w:divBdr>
    </w:div>
    <w:div w:id="984625412">
      <w:bodyDiv w:val="1"/>
      <w:marLeft w:val="0"/>
      <w:marRight w:val="0"/>
      <w:marTop w:val="0"/>
      <w:marBottom w:val="0"/>
      <w:divBdr>
        <w:top w:val="none" w:sz="0" w:space="0" w:color="auto"/>
        <w:left w:val="none" w:sz="0" w:space="0" w:color="auto"/>
        <w:bottom w:val="none" w:sz="0" w:space="0" w:color="auto"/>
        <w:right w:val="none" w:sz="0" w:space="0" w:color="auto"/>
      </w:divBdr>
    </w:div>
    <w:div w:id="1065951275">
      <w:bodyDiv w:val="1"/>
      <w:marLeft w:val="0"/>
      <w:marRight w:val="0"/>
      <w:marTop w:val="0"/>
      <w:marBottom w:val="0"/>
      <w:divBdr>
        <w:top w:val="none" w:sz="0" w:space="0" w:color="auto"/>
        <w:left w:val="none" w:sz="0" w:space="0" w:color="auto"/>
        <w:bottom w:val="none" w:sz="0" w:space="0" w:color="auto"/>
        <w:right w:val="none" w:sz="0" w:space="0" w:color="auto"/>
      </w:divBdr>
      <w:divsChild>
        <w:div w:id="36207242">
          <w:marLeft w:val="446"/>
          <w:marRight w:val="0"/>
          <w:marTop w:val="96"/>
          <w:marBottom w:val="60"/>
          <w:divBdr>
            <w:top w:val="none" w:sz="0" w:space="0" w:color="auto"/>
            <w:left w:val="none" w:sz="0" w:space="0" w:color="auto"/>
            <w:bottom w:val="none" w:sz="0" w:space="0" w:color="auto"/>
            <w:right w:val="none" w:sz="0" w:space="0" w:color="auto"/>
          </w:divBdr>
        </w:div>
        <w:div w:id="1476873757">
          <w:marLeft w:val="446"/>
          <w:marRight w:val="0"/>
          <w:marTop w:val="96"/>
          <w:marBottom w:val="60"/>
          <w:divBdr>
            <w:top w:val="none" w:sz="0" w:space="0" w:color="auto"/>
            <w:left w:val="none" w:sz="0" w:space="0" w:color="auto"/>
            <w:bottom w:val="none" w:sz="0" w:space="0" w:color="auto"/>
            <w:right w:val="none" w:sz="0" w:space="0" w:color="auto"/>
          </w:divBdr>
        </w:div>
      </w:divsChild>
    </w:div>
    <w:div w:id="1075586267">
      <w:bodyDiv w:val="1"/>
      <w:marLeft w:val="0"/>
      <w:marRight w:val="0"/>
      <w:marTop w:val="0"/>
      <w:marBottom w:val="0"/>
      <w:divBdr>
        <w:top w:val="none" w:sz="0" w:space="0" w:color="auto"/>
        <w:left w:val="none" w:sz="0" w:space="0" w:color="auto"/>
        <w:bottom w:val="none" w:sz="0" w:space="0" w:color="auto"/>
        <w:right w:val="none" w:sz="0" w:space="0" w:color="auto"/>
      </w:divBdr>
    </w:div>
    <w:div w:id="1129199611">
      <w:bodyDiv w:val="1"/>
      <w:marLeft w:val="0"/>
      <w:marRight w:val="0"/>
      <w:marTop w:val="0"/>
      <w:marBottom w:val="0"/>
      <w:divBdr>
        <w:top w:val="none" w:sz="0" w:space="0" w:color="auto"/>
        <w:left w:val="none" w:sz="0" w:space="0" w:color="auto"/>
        <w:bottom w:val="none" w:sz="0" w:space="0" w:color="auto"/>
        <w:right w:val="none" w:sz="0" w:space="0" w:color="auto"/>
      </w:divBdr>
    </w:div>
    <w:div w:id="1182090601">
      <w:bodyDiv w:val="1"/>
      <w:marLeft w:val="0"/>
      <w:marRight w:val="0"/>
      <w:marTop w:val="0"/>
      <w:marBottom w:val="0"/>
      <w:divBdr>
        <w:top w:val="none" w:sz="0" w:space="0" w:color="auto"/>
        <w:left w:val="none" w:sz="0" w:space="0" w:color="auto"/>
        <w:bottom w:val="none" w:sz="0" w:space="0" w:color="auto"/>
        <w:right w:val="none" w:sz="0" w:space="0" w:color="auto"/>
      </w:divBdr>
    </w:div>
    <w:div w:id="1182933747">
      <w:bodyDiv w:val="1"/>
      <w:marLeft w:val="0"/>
      <w:marRight w:val="0"/>
      <w:marTop w:val="0"/>
      <w:marBottom w:val="0"/>
      <w:divBdr>
        <w:top w:val="none" w:sz="0" w:space="0" w:color="auto"/>
        <w:left w:val="none" w:sz="0" w:space="0" w:color="auto"/>
        <w:bottom w:val="none" w:sz="0" w:space="0" w:color="auto"/>
        <w:right w:val="none" w:sz="0" w:space="0" w:color="auto"/>
      </w:divBdr>
    </w:div>
    <w:div w:id="1280331877">
      <w:bodyDiv w:val="1"/>
      <w:marLeft w:val="0"/>
      <w:marRight w:val="0"/>
      <w:marTop w:val="0"/>
      <w:marBottom w:val="0"/>
      <w:divBdr>
        <w:top w:val="none" w:sz="0" w:space="0" w:color="auto"/>
        <w:left w:val="none" w:sz="0" w:space="0" w:color="auto"/>
        <w:bottom w:val="none" w:sz="0" w:space="0" w:color="auto"/>
        <w:right w:val="none" w:sz="0" w:space="0" w:color="auto"/>
      </w:divBdr>
    </w:div>
    <w:div w:id="1289701053">
      <w:bodyDiv w:val="1"/>
      <w:marLeft w:val="0"/>
      <w:marRight w:val="0"/>
      <w:marTop w:val="0"/>
      <w:marBottom w:val="0"/>
      <w:divBdr>
        <w:top w:val="none" w:sz="0" w:space="0" w:color="auto"/>
        <w:left w:val="none" w:sz="0" w:space="0" w:color="auto"/>
        <w:bottom w:val="none" w:sz="0" w:space="0" w:color="auto"/>
        <w:right w:val="none" w:sz="0" w:space="0" w:color="auto"/>
      </w:divBdr>
    </w:div>
    <w:div w:id="1296524974">
      <w:bodyDiv w:val="1"/>
      <w:marLeft w:val="0"/>
      <w:marRight w:val="0"/>
      <w:marTop w:val="0"/>
      <w:marBottom w:val="0"/>
      <w:divBdr>
        <w:top w:val="none" w:sz="0" w:space="0" w:color="auto"/>
        <w:left w:val="none" w:sz="0" w:space="0" w:color="auto"/>
        <w:bottom w:val="none" w:sz="0" w:space="0" w:color="auto"/>
        <w:right w:val="none" w:sz="0" w:space="0" w:color="auto"/>
      </w:divBdr>
    </w:div>
    <w:div w:id="1307204432">
      <w:bodyDiv w:val="1"/>
      <w:marLeft w:val="0"/>
      <w:marRight w:val="0"/>
      <w:marTop w:val="0"/>
      <w:marBottom w:val="0"/>
      <w:divBdr>
        <w:top w:val="none" w:sz="0" w:space="0" w:color="auto"/>
        <w:left w:val="none" w:sz="0" w:space="0" w:color="auto"/>
        <w:bottom w:val="none" w:sz="0" w:space="0" w:color="auto"/>
        <w:right w:val="none" w:sz="0" w:space="0" w:color="auto"/>
      </w:divBdr>
    </w:div>
    <w:div w:id="1366448844">
      <w:bodyDiv w:val="1"/>
      <w:marLeft w:val="0"/>
      <w:marRight w:val="0"/>
      <w:marTop w:val="0"/>
      <w:marBottom w:val="0"/>
      <w:divBdr>
        <w:top w:val="none" w:sz="0" w:space="0" w:color="auto"/>
        <w:left w:val="none" w:sz="0" w:space="0" w:color="auto"/>
        <w:bottom w:val="none" w:sz="0" w:space="0" w:color="auto"/>
        <w:right w:val="none" w:sz="0" w:space="0" w:color="auto"/>
      </w:divBdr>
    </w:div>
    <w:div w:id="1564949827">
      <w:bodyDiv w:val="1"/>
      <w:marLeft w:val="0"/>
      <w:marRight w:val="0"/>
      <w:marTop w:val="0"/>
      <w:marBottom w:val="0"/>
      <w:divBdr>
        <w:top w:val="none" w:sz="0" w:space="0" w:color="auto"/>
        <w:left w:val="none" w:sz="0" w:space="0" w:color="auto"/>
        <w:bottom w:val="none" w:sz="0" w:space="0" w:color="auto"/>
        <w:right w:val="none" w:sz="0" w:space="0" w:color="auto"/>
      </w:divBdr>
    </w:div>
    <w:div w:id="1585336726">
      <w:bodyDiv w:val="1"/>
      <w:marLeft w:val="0"/>
      <w:marRight w:val="0"/>
      <w:marTop w:val="0"/>
      <w:marBottom w:val="0"/>
      <w:divBdr>
        <w:top w:val="none" w:sz="0" w:space="0" w:color="auto"/>
        <w:left w:val="none" w:sz="0" w:space="0" w:color="auto"/>
        <w:bottom w:val="none" w:sz="0" w:space="0" w:color="auto"/>
        <w:right w:val="none" w:sz="0" w:space="0" w:color="auto"/>
      </w:divBdr>
    </w:div>
    <w:div w:id="1611014831">
      <w:bodyDiv w:val="1"/>
      <w:marLeft w:val="0"/>
      <w:marRight w:val="0"/>
      <w:marTop w:val="0"/>
      <w:marBottom w:val="0"/>
      <w:divBdr>
        <w:top w:val="none" w:sz="0" w:space="0" w:color="auto"/>
        <w:left w:val="none" w:sz="0" w:space="0" w:color="auto"/>
        <w:bottom w:val="none" w:sz="0" w:space="0" w:color="auto"/>
        <w:right w:val="none" w:sz="0" w:space="0" w:color="auto"/>
      </w:divBdr>
      <w:divsChild>
        <w:div w:id="1722096351">
          <w:marLeft w:val="547"/>
          <w:marRight w:val="0"/>
          <w:marTop w:val="0"/>
          <w:marBottom w:val="0"/>
          <w:divBdr>
            <w:top w:val="none" w:sz="0" w:space="0" w:color="auto"/>
            <w:left w:val="none" w:sz="0" w:space="0" w:color="auto"/>
            <w:bottom w:val="none" w:sz="0" w:space="0" w:color="auto"/>
            <w:right w:val="none" w:sz="0" w:space="0" w:color="auto"/>
          </w:divBdr>
        </w:div>
      </w:divsChild>
    </w:div>
    <w:div w:id="1688093337">
      <w:bodyDiv w:val="1"/>
      <w:marLeft w:val="0"/>
      <w:marRight w:val="0"/>
      <w:marTop w:val="0"/>
      <w:marBottom w:val="0"/>
      <w:divBdr>
        <w:top w:val="none" w:sz="0" w:space="0" w:color="auto"/>
        <w:left w:val="none" w:sz="0" w:space="0" w:color="auto"/>
        <w:bottom w:val="none" w:sz="0" w:space="0" w:color="auto"/>
        <w:right w:val="none" w:sz="0" w:space="0" w:color="auto"/>
      </w:divBdr>
    </w:div>
    <w:div w:id="1754474126">
      <w:bodyDiv w:val="1"/>
      <w:marLeft w:val="0"/>
      <w:marRight w:val="0"/>
      <w:marTop w:val="0"/>
      <w:marBottom w:val="0"/>
      <w:divBdr>
        <w:top w:val="none" w:sz="0" w:space="0" w:color="auto"/>
        <w:left w:val="none" w:sz="0" w:space="0" w:color="auto"/>
        <w:bottom w:val="none" w:sz="0" w:space="0" w:color="auto"/>
        <w:right w:val="none" w:sz="0" w:space="0" w:color="auto"/>
      </w:divBdr>
    </w:div>
    <w:div w:id="1755976102">
      <w:bodyDiv w:val="1"/>
      <w:marLeft w:val="0"/>
      <w:marRight w:val="0"/>
      <w:marTop w:val="0"/>
      <w:marBottom w:val="0"/>
      <w:divBdr>
        <w:top w:val="none" w:sz="0" w:space="0" w:color="auto"/>
        <w:left w:val="none" w:sz="0" w:space="0" w:color="auto"/>
        <w:bottom w:val="none" w:sz="0" w:space="0" w:color="auto"/>
        <w:right w:val="none" w:sz="0" w:space="0" w:color="auto"/>
      </w:divBdr>
    </w:div>
    <w:div w:id="1923949416">
      <w:bodyDiv w:val="1"/>
      <w:marLeft w:val="0"/>
      <w:marRight w:val="0"/>
      <w:marTop w:val="0"/>
      <w:marBottom w:val="0"/>
      <w:divBdr>
        <w:top w:val="none" w:sz="0" w:space="0" w:color="auto"/>
        <w:left w:val="none" w:sz="0" w:space="0" w:color="auto"/>
        <w:bottom w:val="none" w:sz="0" w:space="0" w:color="auto"/>
        <w:right w:val="none" w:sz="0" w:space="0" w:color="auto"/>
      </w:divBdr>
    </w:div>
    <w:div w:id="1980723949">
      <w:bodyDiv w:val="1"/>
      <w:marLeft w:val="0"/>
      <w:marRight w:val="0"/>
      <w:marTop w:val="0"/>
      <w:marBottom w:val="0"/>
      <w:divBdr>
        <w:top w:val="none" w:sz="0" w:space="0" w:color="auto"/>
        <w:left w:val="none" w:sz="0" w:space="0" w:color="auto"/>
        <w:bottom w:val="none" w:sz="0" w:space="0" w:color="auto"/>
        <w:right w:val="none" w:sz="0" w:space="0" w:color="auto"/>
      </w:divBdr>
      <w:divsChild>
        <w:div w:id="366880767">
          <w:marLeft w:val="446"/>
          <w:marRight w:val="0"/>
          <w:marTop w:val="82"/>
          <w:marBottom w:val="0"/>
          <w:divBdr>
            <w:top w:val="none" w:sz="0" w:space="0" w:color="auto"/>
            <w:left w:val="none" w:sz="0" w:space="0" w:color="auto"/>
            <w:bottom w:val="none" w:sz="0" w:space="0" w:color="auto"/>
            <w:right w:val="none" w:sz="0" w:space="0" w:color="auto"/>
          </w:divBdr>
        </w:div>
      </w:divsChild>
    </w:div>
    <w:div w:id="2014842967">
      <w:bodyDiv w:val="1"/>
      <w:marLeft w:val="0"/>
      <w:marRight w:val="0"/>
      <w:marTop w:val="0"/>
      <w:marBottom w:val="0"/>
      <w:divBdr>
        <w:top w:val="none" w:sz="0" w:space="0" w:color="auto"/>
        <w:left w:val="none" w:sz="0" w:space="0" w:color="auto"/>
        <w:bottom w:val="none" w:sz="0" w:space="0" w:color="auto"/>
        <w:right w:val="none" w:sz="0" w:space="0" w:color="auto"/>
      </w:divBdr>
    </w:div>
    <w:div w:id="2019579303">
      <w:bodyDiv w:val="1"/>
      <w:marLeft w:val="0"/>
      <w:marRight w:val="0"/>
      <w:marTop w:val="0"/>
      <w:marBottom w:val="0"/>
      <w:divBdr>
        <w:top w:val="none" w:sz="0" w:space="0" w:color="auto"/>
        <w:left w:val="none" w:sz="0" w:space="0" w:color="auto"/>
        <w:bottom w:val="none" w:sz="0" w:space="0" w:color="auto"/>
        <w:right w:val="none" w:sz="0" w:space="0" w:color="auto"/>
      </w:divBdr>
    </w:div>
    <w:div w:id="207338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oter" Target="footer1.xml"/><Relationship Id="rId21" Type="http://schemas.openxmlformats.org/officeDocument/2006/relationships/image" Target="media/image14.png"/><Relationship Id="rId42" Type="http://schemas.openxmlformats.org/officeDocument/2006/relationships/hyperlink" Target="https://www.uptodate.com/contents/incidence-of-primary-brain-tumors/abstract/6" TargetMode="External"/><Relationship Id="rId47" Type="http://schemas.openxmlformats.org/officeDocument/2006/relationships/hyperlink" Target="https://www.uptodate.com/contents/overview-of-the-clinical-features-and-diagnosis-of-brain-tumors-in-adults/contributors" TargetMode="External"/><Relationship Id="rId63" Type="http://schemas.openxmlformats.org/officeDocument/2006/relationships/hyperlink" Target="https://www.uptodate.com/contents/classification-and-pathologic-diagnosis-of-gliomas/abstract/11" TargetMode="External"/><Relationship Id="rId68" Type="http://schemas.openxmlformats.org/officeDocument/2006/relationships/hyperlink" Target="https://www.uptodate.com/contents/molecular-pathogenesis-of-diffuse-gliomas/abstract/28" TargetMode="External"/><Relationship Id="rId84" Type="http://schemas.openxmlformats.org/officeDocument/2006/relationships/hyperlink" Target="https://www.ncbi.nlm.nih.gov/pubmed/?term=Daniels%20TB%5BAuthor%5D&amp;cauthor=true&amp;cauthor_uid=21549518" TargetMode="External"/><Relationship Id="rId89" Type="http://schemas.openxmlformats.org/officeDocument/2006/relationships/hyperlink" Target="https://www.ncbi.nlm.nih.gov/pubmed/?term=Coons%20SW%5BAuthor%5D&amp;cauthor=true&amp;cauthor_uid=22851558" TargetMode="External"/><Relationship Id="rId112" Type="http://schemas.openxmlformats.org/officeDocument/2006/relationships/image" Target="media/image27.jpeg"/><Relationship Id="rId16" Type="http://schemas.openxmlformats.org/officeDocument/2006/relationships/image" Target="media/image9.jpeg"/><Relationship Id="rId107" Type="http://schemas.openxmlformats.org/officeDocument/2006/relationships/hyperlink" Target="https://www.ncbi.nlm.nih.gov/pubmed/?term=Texture+analysis+on+conventional+MRI+images+accurately+predicts+early+malignant+transformation+of+low+grade+gliomas"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www.uptodate.com/" TargetMode="External"/><Relationship Id="rId37" Type="http://schemas.openxmlformats.org/officeDocument/2006/relationships/hyperlink" Target="https://www.ncbi.nlm.nih.gov/pubmed/?term=Loeffler%20JS%5BAuthor%5D&amp;cauthor=true&amp;cauthor_uid=24664484" TargetMode="External"/><Relationship Id="rId40" Type="http://schemas.openxmlformats.org/officeDocument/2006/relationships/hyperlink" Target="https://www.uptodate.com/contents/overview-of-the-clinical-features-and-diagnosis-of-brain-tumors-in-adults/abstract/4" TargetMode="External"/><Relationship Id="rId45" Type="http://schemas.openxmlformats.org/officeDocument/2006/relationships/hyperlink" Target="https://www.uptodate.com/contents/incidence-of-primary-brain-tumors/abstract/9" TargetMode="External"/><Relationship Id="rId53" Type="http://schemas.openxmlformats.org/officeDocument/2006/relationships/hyperlink" Target="https://www.uptodate.com/contents/overview-of-the-clinical-features-and-diagnosis-of-brain-tumors-in-adults/abstract/16" TargetMode="External"/><Relationship Id="rId58" Type="http://schemas.openxmlformats.org/officeDocument/2006/relationships/hyperlink" Target="https://www.uptodate.com/contents/classification-and-pathologic-diagnosis-of-gliomas/abstract/35" TargetMode="External"/><Relationship Id="rId66" Type="http://schemas.openxmlformats.org/officeDocument/2006/relationships/hyperlink" Target="https://www.uptodate.com/contents/molecular-pathogenesis-of-diffuse-gliomas/abstract/8" TargetMode="External"/><Relationship Id="rId74" Type="http://schemas.openxmlformats.org/officeDocument/2006/relationships/hyperlink" Target="https://www.uptodate.com/contents/classification-and-pathologic-diagnosis-of-gliomas/abstract/16" TargetMode="External"/><Relationship Id="rId79" Type="http://schemas.openxmlformats.org/officeDocument/2006/relationships/hyperlink" Target="https://www.uptodate.com/contents/classification-and-pathologic-diagnosis-of-gliomas/abstract/21" TargetMode="External"/><Relationship Id="rId87" Type="http://schemas.openxmlformats.org/officeDocument/2006/relationships/hyperlink" Target="https://www.ncbi.nlm.nih.gov/pubmed/?term=Shaw%20EG%5BAuthor%5D&amp;cauthor=true&amp;cauthor_uid=22851558" TargetMode="External"/><Relationship Id="rId102" Type="http://schemas.openxmlformats.org/officeDocument/2006/relationships/hyperlink" Target="https://www.ncbi.nlm.nih.gov/pubmed/?term=The+impact+of+extend+of+resection+on+malignant+transformation+of+pure+oligodendrogliomas" TargetMode="External"/><Relationship Id="rId110" Type="http://schemas.openxmlformats.org/officeDocument/2006/relationships/image" Target="media/image25.jpeg"/><Relationship Id="rId115" Type="http://schemas.openxmlformats.org/officeDocument/2006/relationships/image" Target="media/image30.jpeg"/><Relationship Id="rId5" Type="http://schemas.openxmlformats.org/officeDocument/2006/relationships/webSettings" Target="webSettings.xml"/><Relationship Id="rId61" Type="http://schemas.openxmlformats.org/officeDocument/2006/relationships/hyperlink" Target="https://www.uptodate.com/contents/classification-and-pathologic-diagnosis-of-gliomas/abstract/47" TargetMode="External"/><Relationship Id="rId82" Type="http://schemas.openxmlformats.org/officeDocument/2006/relationships/hyperlink" Target="https://www.uptodate.com/contents/molecular-pathogenesis-of-diffuse-gliomas/abstract/53" TargetMode="External"/><Relationship Id="rId90" Type="http://schemas.openxmlformats.org/officeDocument/2006/relationships/hyperlink" Target="https://www.ncbi.nlm.nih.gov/pubmed/?term=Brachman%20DG%5BAuthor%5D&amp;cauthor=true&amp;cauthor_uid=22851558" TargetMode="External"/><Relationship Id="rId95" Type="http://schemas.openxmlformats.org/officeDocument/2006/relationships/hyperlink" Target="https://www.ncbi.nlm.nih.gov/pubmed/27518677" TargetMode="Externa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file:////var/folders/0v/ch_dk4fj4x5cqppxf3hjgpym0000gn/T/com.microsoft.Word/WebArchiveCopyPasteTempFiles/plot_zoom_png%3fwidth=892&amp;height=761" TargetMode="External"/><Relationship Id="rId35" Type="http://schemas.openxmlformats.org/officeDocument/2006/relationships/hyperlink" Target="https://www.ncbi.nlm.nih.gov/pubmed/?term=Forst%20DA%5BAuthor%5D&amp;cauthor=true&amp;cauthor_uid=24664484" TargetMode="External"/><Relationship Id="rId43" Type="http://schemas.openxmlformats.org/officeDocument/2006/relationships/hyperlink" Target="https://www.uptodate.com/contents/incidence-of-primary-brain-tumors/abstract/8" TargetMode="External"/><Relationship Id="rId48" Type="http://schemas.openxmlformats.org/officeDocument/2006/relationships/hyperlink" Target="https://www.uptodate.com/contents/overview-of-the-clinical-features-and-diagnosis-of-brain-tumors-in-adults/abstract/2" TargetMode="External"/><Relationship Id="rId56" Type="http://schemas.openxmlformats.org/officeDocument/2006/relationships/hyperlink" Target="https://www.uptodate.com/contents/classification-and-pathologic-diagnosis-of-gliomas/abstract/10" TargetMode="External"/><Relationship Id="rId64" Type="http://schemas.openxmlformats.org/officeDocument/2006/relationships/hyperlink" Target="https://www.uptodate.com/contents/classification-and-pathologic-diagnosis-of-gliomas/abstract/12" TargetMode="External"/><Relationship Id="rId69" Type="http://schemas.openxmlformats.org/officeDocument/2006/relationships/hyperlink" Target="https://www.uptodate.com/contents/molecular-pathogenesis-of-diffuse-gliomas/abstract/29" TargetMode="External"/><Relationship Id="rId77" Type="http://schemas.openxmlformats.org/officeDocument/2006/relationships/hyperlink" Target="https://www.uptodate.com/contents/molecular-pathogenesis-of-diffuse-gliomas/abstract/38" TargetMode="External"/><Relationship Id="rId100" Type="http://schemas.openxmlformats.org/officeDocument/2006/relationships/hyperlink" Target="https://www.ncbi.nlm.nih.gov/pubmed/21889256" TargetMode="External"/><Relationship Id="rId105" Type="http://schemas.openxmlformats.org/officeDocument/2006/relationships/hyperlink" Target="https://www.ncbi.nlm.nih.gov/pubmed/23410661" TargetMode="External"/><Relationship Id="rId113" Type="http://schemas.openxmlformats.org/officeDocument/2006/relationships/image" Target="media/image28.jpeg"/><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uptodate.com/contents/overview-of-the-clinical-features-and-diagnosis-of-brain-tumors-in-adults/abstract/5" TargetMode="External"/><Relationship Id="rId72" Type="http://schemas.openxmlformats.org/officeDocument/2006/relationships/hyperlink" Target="https://www.uptodate.com/contents/classification-and-pathologic-diagnosis-of-gliomas/abstract/31" TargetMode="External"/><Relationship Id="rId80" Type="http://schemas.openxmlformats.org/officeDocument/2006/relationships/hyperlink" Target="https://www.uptodate.com/contents/classification-and-pathologic-diagnosis-of-gliomas/abstract/24" TargetMode="External"/><Relationship Id="rId85" Type="http://schemas.openxmlformats.org/officeDocument/2006/relationships/hyperlink" Target="https://www.ncbi.nlm.nih.gov/pubmed/?term=Daniels+TB%5BAuthor%5D++2011" TargetMode="External"/><Relationship Id="rId93" Type="http://schemas.openxmlformats.org/officeDocument/2006/relationships/hyperlink" Target="https://www.ncbi.nlm.nih.gov/pubmed/?term=Chakravarti%20A%5BAuthor%5D&amp;cauthor=true&amp;cauthor_uid=27518677" TargetMode="External"/><Relationship Id="rId98" Type="http://schemas.openxmlformats.org/officeDocument/2006/relationships/hyperlink" Target="https://www.ncbi.nlm.nih.gov/pubmed/19361270"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www.uptodate.com/contents/classification-and-pathologic-diagnosis-of-gliomas/abstract/4" TargetMode="External"/><Relationship Id="rId38" Type="http://schemas.openxmlformats.org/officeDocument/2006/relationships/hyperlink" Target="https://www.ncbi.nlm.nih.gov/pubmed/?term=Batchelor%20TT%5BAuthor%5D&amp;cauthor=true&amp;cauthor_uid=24664484" TargetMode="External"/><Relationship Id="rId46" Type="http://schemas.openxmlformats.org/officeDocument/2006/relationships/hyperlink" Target="https://www.uptodate.com/contents/incidence-of-primary-brain-tumors/abstract/12" TargetMode="External"/><Relationship Id="rId59" Type="http://schemas.openxmlformats.org/officeDocument/2006/relationships/hyperlink" Target="https://www.uptodate.com/contents/classification-and-pathologic-diagnosis-of-gliomas/abstract/36" TargetMode="External"/><Relationship Id="rId67" Type="http://schemas.openxmlformats.org/officeDocument/2006/relationships/hyperlink" Target="https://www.uptodate.com/contents/molecular-pathogenesis-of-diffuse-gliomas/abstract/17" TargetMode="External"/><Relationship Id="rId103" Type="http://schemas.openxmlformats.org/officeDocument/2006/relationships/hyperlink" Target="https://www.ncbi.nlm.nih.gov/pubmed/?term=Prediction+of+anaplastic+transformation+in+low-grade+oligodendrogliomas+based+on+magnetic+resonance+spectroscopy+and+1p%2F19q+codeletion+status" TargetMode="External"/><Relationship Id="rId108" Type="http://schemas.openxmlformats.org/officeDocument/2006/relationships/hyperlink" Target="https://www.ncbi.nlm.nih.gov/pubmed/?term=The+diagnostic+accuracy+of+detecting+malignant+transformation+of+low-grade+glioma+using+O-(2-%5B18F%5Dfluoroethyl)-l-tyrosine+positron+emission+tomography%3A+a+retrospective+study" TargetMode="External"/><Relationship Id="rId116"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hyperlink" Target="https://www.uptodate.com/contents/overview-of-the-clinical-features-and-diagnosis-of-brain-tumors-in-adults/abstract/1" TargetMode="External"/><Relationship Id="rId54" Type="http://schemas.openxmlformats.org/officeDocument/2006/relationships/hyperlink" Target="https://www.uptodate.com/contents/classification-and-pathologic-diagnosis-of-gliomas/abstract/25" TargetMode="External"/><Relationship Id="rId62" Type="http://schemas.openxmlformats.org/officeDocument/2006/relationships/hyperlink" Target="https://www.uptodate.com/contents/classification-and-pathologic-diagnosis-of-gliomas/abstract/8" TargetMode="External"/><Relationship Id="rId70" Type="http://schemas.openxmlformats.org/officeDocument/2006/relationships/hyperlink" Target="https://www.uptodate.com/contents/molecular-pathogenesis-of-diffuse-gliomas/abstract/30" TargetMode="External"/><Relationship Id="rId75" Type="http://schemas.openxmlformats.org/officeDocument/2006/relationships/hyperlink" Target="https://www.uptodate.com/contents/classification-and-pathologic-diagnosis-of-gliomas/abstract/19" TargetMode="External"/><Relationship Id="rId83" Type="http://schemas.openxmlformats.org/officeDocument/2006/relationships/hyperlink" Target="https://www.ncbi.nlm.nih.gov/pmc/articles/PMC553789" TargetMode="External"/><Relationship Id="rId88" Type="http://schemas.openxmlformats.org/officeDocument/2006/relationships/hyperlink" Target="https://www.ncbi.nlm.nih.gov/pubmed/?term=Wang%20M%5BAuthor%5D&amp;cauthor=true&amp;cauthor_uid=22851558" TargetMode="External"/><Relationship Id="rId91" Type="http://schemas.openxmlformats.org/officeDocument/2006/relationships/hyperlink" Target="https://www.ncbi.nlm.nih.gov/pubmed/22851558" TargetMode="External"/><Relationship Id="rId96" Type="http://schemas.openxmlformats.org/officeDocument/2006/relationships/hyperlink" Target="https://www.ncbi.nlm.nih.gov/pubmed/?term=Genomic+dynamics+associated+with+malignant+transformation+in+IDH1+mutated+gliomas" TargetMode="External"/><Relationship Id="rId11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ncbi.nlm.nih.gov/pubmed/?term=Nahed%20BV%5BAuthor%5D&amp;cauthor=true&amp;cauthor_uid=24664484" TargetMode="External"/><Relationship Id="rId49" Type="http://schemas.openxmlformats.org/officeDocument/2006/relationships/hyperlink" Target="https://www.uptodate.com/contents/overview-of-the-clinical-features-and-diagnosis-of-brain-tumors-in-adults/abstract/3" TargetMode="External"/><Relationship Id="rId57" Type="http://schemas.openxmlformats.org/officeDocument/2006/relationships/hyperlink" Target="https://www.uptodate.com/contents/classification-and-pathologic-diagnosis-of-gliomas/abstract/34" TargetMode="External"/><Relationship Id="rId106" Type="http://schemas.openxmlformats.org/officeDocument/2006/relationships/hyperlink" Target="https://www.ncbi.nlm.nih.gov/pubmed/?term=Molecular+features+and+clinical+outcomes+in+surgically+treated+low-grade+diffuse+gliomas+in+patients+over+the+age+of+60" TargetMode="External"/><Relationship Id="rId114" Type="http://schemas.openxmlformats.org/officeDocument/2006/relationships/image" Target="media/image29.jpeg"/><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hyperlink" Target="https://www.uptodate.com/contents/overview-of-the-clinical-features-and-diagnosis-of-brain-tumors-in-adults/contributors" TargetMode="External"/><Relationship Id="rId52" Type="http://schemas.openxmlformats.org/officeDocument/2006/relationships/hyperlink" Target="https://www.uptodate.com/contents/overview-of-the-clinical-features-and-diagnosis-of-brain-tumors-in-adults/abstract/10" TargetMode="External"/><Relationship Id="rId60" Type="http://schemas.openxmlformats.org/officeDocument/2006/relationships/hyperlink" Target="https://www.uptodate.com/contents/classification-and-pathologic-diagnosis-of-gliomas/abstract/41" TargetMode="External"/><Relationship Id="rId65" Type="http://schemas.openxmlformats.org/officeDocument/2006/relationships/hyperlink" Target="https://www.uptodate.com/contents/classification-and-pathologic-diagnosis-of-gliomas/abstract/10" TargetMode="External"/><Relationship Id="rId73" Type="http://schemas.openxmlformats.org/officeDocument/2006/relationships/hyperlink" Target="https://www.uptodate.com/contents/classification-and-pathologic-diagnosis-of-gliomas/abstract/30" TargetMode="External"/><Relationship Id="rId78" Type="http://schemas.openxmlformats.org/officeDocument/2006/relationships/hyperlink" Target="https://www.uptodate.com/contents/classification-and-pathologic-diagnosis-of-gliomas/abstract/20" TargetMode="External"/><Relationship Id="rId81" Type="http://schemas.openxmlformats.org/officeDocument/2006/relationships/hyperlink" Target="https://www.uptodate.com/contents/molecular-pathogenesis-of-diffuse-gliomas/abstract/48" TargetMode="External"/><Relationship Id="rId86" Type="http://schemas.openxmlformats.org/officeDocument/2006/relationships/hyperlink" Target="https://www.ncbi.nlm.nih.gov/pubmed/29485076" TargetMode="External"/><Relationship Id="rId94" Type="http://schemas.openxmlformats.org/officeDocument/2006/relationships/hyperlink" Target="https://www.ncbi.nlm.nih.gov/pubmed/?term=Curran%20WJ%20Jr%5BAuthor%5D&amp;cauthor=true&amp;cauthor_uid=27518677" TargetMode="External"/><Relationship Id="rId99" Type="http://schemas.openxmlformats.org/officeDocument/2006/relationships/hyperlink" Target="https://www.ncbi.nlm.nih.gov/pubmed/?term=Free+Survival+Time+of+Recurrence+and+Malignant+Transformation+and+Associated+Factors+in+Patients+with+Supratentorial+Low-Grade+Gliomas" TargetMode="External"/><Relationship Id="rId101" Type="http://schemas.openxmlformats.org/officeDocument/2006/relationships/hyperlink" Target="https://www.ncbi.nlm.nih.gov/pubmed/27271289"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www.ncbi.nlm.nih.gov/pubmed/24664484" TargetMode="External"/><Relationship Id="rId109" Type="http://schemas.openxmlformats.org/officeDocument/2006/relationships/image" Target="media/image24.jpeg"/><Relationship Id="rId34" Type="http://schemas.openxmlformats.org/officeDocument/2006/relationships/hyperlink" Target="https://www.uptodate.com/contents/classification-and-pathologic-diagnosis-of-gliomas/abstract/2" TargetMode="External"/><Relationship Id="rId50" Type="http://schemas.openxmlformats.org/officeDocument/2006/relationships/hyperlink" Target="https://www.uptodate.com/contents/overview-of-the-clinical-features-and-diagnosis-of-brain-tumors-in-adults/abstract/4" TargetMode="External"/><Relationship Id="rId55" Type="http://schemas.openxmlformats.org/officeDocument/2006/relationships/hyperlink" Target="https://www.uptodate.com/contents/classification-and-pathologic-diagnosis-of-gliomas/abstract/26" TargetMode="External"/><Relationship Id="rId76" Type="http://schemas.openxmlformats.org/officeDocument/2006/relationships/hyperlink" Target="https://www.uptodate.com/contents/molecular-pathogenesis-of-diffuse-gliomas/abstract/34" TargetMode="External"/><Relationship Id="rId97" Type="http://schemas.openxmlformats.org/officeDocument/2006/relationships/hyperlink" Target="https://www.ncbi.nlm.nih.gov/pubmed/?term=Transformation+of+low+grade+glioma+and+correlation+with+outcome%3A+an+NCCTG+database+analysis" TargetMode="External"/><Relationship Id="rId104" Type="http://schemas.openxmlformats.org/officeDocument/2006/relationships/hyperlink" Target="https://www.ncbi.nlm.nih.gov/pubmed/24225484" TargetMode="External"/><Relationship Id="rId7" Type="http://schemas.openxmlformats.org/officeDocument/2006/relationships/endnotes" Target="endnotes.xml"/><Relationship Id="rId71" Type="http://schemas.openxmlformats.org/officeDocument/2006/relationships/hyperlink" Target="https://www.uptodate.com/contents/molecular-pathogenesis-of-diffuse-gliomas/abstract/31" TargetMode="External"/><Relationship Id="rId92" Type="http://schemas.openxmlformats.org/officeDocument/2006/relationships/hyperlink" Target="https://www.ncbi.nlm.nih.gov/pubmed/?term=Buckner%20JC%5BAuthor%5D&amp;cauthor=true&amp;cauthor_uid=27518677" TargetMode="External"/><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AE0F72-EA3C-4F4D-AE2A-B27272037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5123</TotalTime>
  <Pages>83</Pages>
  <Words>16975</Words>
  <Characters>96758</Characters>
  <Application>Microsoft Office Word</Application>
  <DocSecurity>0</DocSecurity>
  <Lines>806</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Лара</dc:creator>
  <cp:lastModifiedBy>Andrey Isaev</cp:lastModifiedBy>
  <cp:revision>32</cp:revision>
  <dcterms:created xsi:type="dcterms:W3CDTF">2016-05-15T10:48:00Z</dcterms:created>
  <dcterms:modified xsi:type="dcterms:W3CDTF">2019-05-21T07:55:00Z</dcterms:modified>
</cp:coreProperties>
</file>