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7" w:rsidRDefault="005B7157" w:rsidP="005B7157">
      <w:pPr>
        <w:pStyle w:val="ydp33679680msonormal"/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Отзыв о выпускной квалификационной работе студентки бакалавриата по программе </w:t>
      </w:r>
      <w:r>
        <w:rPr>
          <w:color w:val="000000"/>
          <w:spacing w:val="-10"/>
          <w:sz w:val="26"/>
          <w:szCs w:val="26"/>
        </w:rPr>
        <w:t>«Теоретическое и экспериментальное языкознание </w:t>
      </w:r>
      <w:r>
        <w:rPr>
          <w:color w:val="000000"/>
          <w:sz w:val="26"/>
          <w:szCs w:val="26"/>
        </w:rPr>
        <w:t>(Английский язык)» А. В. Азаргаевой на тему «Метаязыковое отрицание в высказываниях с именами собственными: корпусное исследование на материале русского языка»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Выпускная квалификационная работа А. В. Азаргаевой, в полном соответствии со своим названием, посвящена корпусному исследованию русских конструкций, содержащих метаязыковое отрицание. Под метаязыковым отрицанием понимается ситуация, когда маркер отрицания маркирует не ложность той или иной пропозиции, как в случае обычного, «дескриптивного», отрицания (</w:t>
      </w:r>
      <w:r>
        <w:rPr>
          <w:i/>
          <w:iCs/>
          <w:color w:val="000000"/>
          <w:sz w:val="26"/>
          <w:szCs w:val="26"/>
        </w:rPr>
        <w:t>Мы приехали не в Ленинград, а в Москву</w:t>
      </w:r>
      <w:r>
        <w:rPr>
          <w:color w:val="000000"/>
          <w:sz w:val="26"/>
          <w:szCs w:val="26"/>
        </w:rPr>
        <w:t>), а лишь неадекватность того или иного аспекта плана выражения, в большинстве случаев присутствующего в левом контексте, ср. </w:t>
      </w:r>
      <w:r>
        <w:rPr>
          <w:i/>
          <w:iCs/>
          <w:color w:val="000000"/>
          <w:sz w:val="26"/>
          <w:szCs w:val="26"/>
        </w:rPr>
        <w:t>Мы приехали не в Ленинград, а в Петербург</w:t>
      </w:r>
      <w:r>
        <w:rPr>
          <w:color w:val="000000"/>
          <w:sz w:val="26"/>
          <w:szCs w:val="26"/>
        </w:rPr>
        <w:t>. В качестве материала в работе используются такие конструкции, где два наименования разделены при помощи структуры типа “не </w:t>
      </w:r>
      <w:r>
        <w:rPr>
          <w:color w:val="000000"/>
          <w:sz w:val="26"/>
          <w:szCs w:val="26"/>
          <w:lang w:val="en-US"/>
        </w:rPr>
        <w:t>A</w:t>
      </w:r>
      <w:r>
        <w:rPr>
          <w:color w:val="000000"/>
          <w:sz w:val="26"/>
          <w:szCs w:val="26"/>
        </w:rPr>
        <w:t>, а </w:t>
      </w:r>
      <w:r>
        <w:rPr>
          <w:color w:val="000000"/>
          <w:sz w:val="26"/>
          <w:szCs w:val="26"/>
          <w:lang w:val="en-US"/>
        </w:rPr>
        <w:t>B</w:t>
      </w:r>
      <w:r>
        <w:rPr>
          <w:color w:val="000000"/>
          <w:sz w:val="26"/>
          <w:szCs w:val="26"/>
        </w:rPr>
        <w:t>”, где А и </w:t>
      </w:r>
      <w:r>
        <w:rPr>
          <w:color w:val="000000"/>
          <w:sz w:val="26"/>
          <w:szCs w:val="26"/>
          <w:lang w:val="en-GB"/>
        </w:rPr>
        <w:t>B</w:t>
      </w:r>
      <w:r>
        <w:rPr>
          <w:color w:val="000000"/>
          <w:sz w:val="26"/>
          <w:szCs w:val="26"/>
        </w:rPr>
        <w:t>— имена собственные, не различающиеся по своему референту, но различающиеся в каких-то других отношениях.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Работа состоит из введения, двух глав (главы разделены на шесть разделов, имеющих сквозную нумерацию), заключения, списка литературы и источников и обширного приложения, содержащего выборку примеров, попавших в поле рассмотрения. Забегая вперед, замечу, что это приложение может быть полезно для продолжения работы, поскольку представляет собой готовый для обработки материал, но в нынешнем виде не дает большой информации читателю, так как примеры в нем просто пронумерованы, но не проанализированы ни по каким параметрам, даже по тем, которые в тексте обсуждаются.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Основная задача, поставленная в работе, — разграничение дескриптивного и метаязыкового отрицания, а также создание классификации высказываний с метаязыковым отрицанием. Выстраиваемая классификация в основном строится с опорой на «источники возникновения ситуаций, в которых становится возможным функционирование М[етаязыкового] О[трицания]» (с. 61). Такая нацеленность работы во многом определяет ее специфику, как в положительном плане, так и в отрицательном. Положительным представляется то, что Александра Викторовна рассматривает не просто внешние признаки попавших в ее выборку примеров, но и в каждом (!) случае вникает в характер ситуации, приведшей к порождению высказывания с МО. Это требует и въедливости, и способности к семантико-прагматическому анализу — все эти способности автор успешно демонстрирует. Отрицательным при построении классификации «снизу вверх», по крайней мере в имеющемся исполнении, оказывается то, что итоговая классификация не кажется вполне стройной. В частности, обращает на себя внимание то, что иногда возникают группы, выделенные по остаточному принципу. Это касается даже верхнего уровня классификации, где наряду с вполне прозрачными «неприемлемыми» и «неправомерными» употреблениями имени собственного выделяется третья группа — «особые случаи», — которую можно назвать группой лишь с большой долей условности. Та же проблема повторяется и на более низких уровнях классификации. К сожалению, ситуация усугубляется тем, что сама </w:t>
      </w:r>
      <w:r>
        <w:rPr>
          <w:color w:val="000000"/>
          <w:sz w:val="26"/>
          <w:szCs w:val="26"/>
        </w:rPr>
        <w:lastRenderedPageBreak/>
        <w:t>рубрикация проводится в работе не вполне аккуратно, и иногда мне становилось непонятно, на каком уровне в общей таксономии ведется обсуждение.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 целом работа производит благоприятное впечатление. Поставленные в ней задачи можно считать решенными, текст написан вполне профессионально, владение навыками академического письма и оформление не вызывают сколько-нибудь значительных нареканий. К числу безусловных достоинств работы следует отнести то, что автор демонстрирует прекрасное владение литературой по проблеме — насколько я могу судить, учтены все основные работы, включая даже самые недавние (2018 года!).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Сильной стороной работы является также способность Александры Викторовны учитывать не только структуру конкретной конструкции, но и семантико-прагматический контекст, иногда требующий и понимания определенного «общекультурного контекста» (с. 51) — все это проделывается в работе тщательно и в целом убедительно. В частности, это ярко проявляется при анализе «спорных случаев» (с. 51–55), но относится и к другим разделам.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Разумеется, работа не свободна и от недостатков. Перечислю некоторые из них.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 Первая глава озаглавлена «подходы к изучению метаязыкового отрицания»; она весьма велика по объему, лишь немного уступает собственно исследовательской части. С самого начала такое соотношение настораживает, но проблема здесь даже не в размере, а в том, что а) соответствующий обзор почти лишен творческого взгляда со стороны автора, б) очень слабо привязан к собственно исследовательской части. Эта проблема нередко встречается в квалификационных работах, и здесь она отчасти смягчается тем, что, насколько я могу судить, обзоров соответствующей проблематики по-русски пока не существовало. И все же было лучше, если бы в конце первой главы автор хотя бы четко сформулировал, что именно из всего пересказанного понадобится при анализе материала — возможно, это бы позволило и сократить обзорную часть за счет периферийных сюжетов. Также можно пожелать автору большей смелости в теоретическом плане — пока что теоретическая часть состоит в пересказе аргументов и контраргументов, высказывавшихся предшественниками, и автор нигде не решается вступить в эти дебаты от своего лица.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 Из всех фрагментов классификации наиболее спорным мне показался раздел, где обсуждается вопрос о том, могут ли «неприемлемые» (ошибочные вне зависимости от ситуации контекста) и «неправомерные» (в принципе возможные, но не уместные в конкретной ситуации) наименования «характеризовать адресата». В качестве примеров такого случая, когда выбор наименования характеризует адресата, приводятся, в частности, контексты, где неправильный выбор говорит, по мнению автора работы, «о низком уровне образования», как в следующем примере: </w:t>
      </w:r>
      <w:r>
        <w:rPr>
          <w:i/>
          <w:iCs/>
          <w:color w:val="000000"/>
          <w:sz w:val="26"/>
          <w:szCs w:val="26"/>
        </w:rPr>
        <w:t>Поэтому, как говорил Жан-Жак Руссель, Заворачивай истории карусель. – Не Руссель, товарищ, а Руссо. </w:t>
      </w:r>
      <w:r>
        <w:rPr>
          <w:color w:val="000000"/>
          <w:sz w:val="26"/>
          <w:szCs w:val="26"/>
        </w:rPr>
        <w:t xml:space="preserve">(С. 60). Интересно, что рядом приводится пример, где исправляется ошибочное называние фамилии композитора Хренникова — и здесь уже не считается, что выбор номинации говорит о недостатке образования. Как человек, я готов согласиться, что знать Руссо для культурного человека важнее, чем знать Хренникова; однако как это представление можно </w:t>
      </w:r>
      <w:r>
        <w:rPr>
          <w:color w:val="000000"/>
          <w:sz w:val="26"/>
          <w:szCs w:val="26"/>
        </w:rPr>
        <w:lastRenderedPageBreak/>
        <w:t>операционализировать, я не представляю. Признак оказывается очень подвижным: одна и та же ошибка в высказывании может по чьему-то мнению говорить о невежестве, или о невнимании к окружающим, или о недостатке памяти, или о состоянии опьянения — и не говорить об этом по другому мнению. Я не увидел в этом параметре ничего собственно лингвистического, даже на уровне прагматики.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3) Самый большой вопрос, возникший у меня, возможно, говорит не о содержательном недостатке работы, а о недостатке четкости в выбранных критериях. Одна из основных задач автора, как уже говорилось, состояла в том, чтобы разграничить метаязыковое отрицание (МО) и дескриптивное и вскрыть причины возникновения первого явления. Мне кажется, что увлекшись поисками причин и анализом конкретного материала (конструкций вида «на Х, а </w:t>
      </w:r>
      <w:r>
        <w:rPr>
          <w:color w:val="000000"/>
          <w:sz w:val="26"/>
          <w:szCs w:val="26"/>
          <w:lang w:val="en-GB"/>
        </w:rPr>
        <w:t>Y</w:t>
      </w:r>
      <w:r>
        <w:rPr>
          <w:color w:val="000000"/>
          <w:sz w:val="26"/>
          <w:szCs w:val="26"/>
        </w:rPr>
        <w:t>», извлеченных из корпуса), автор во многих случаях в итоге отходит от собственного понимания металингвистического отрицания. В первой главе и во вводных частях второй главы А. В. Азаргаева в основном рассматривает несомненные случаи МО, например, </w:t>
      </w:r>
      <w:r>
        <w:rPr>
          <w:i/>
          <w:iCs/>
          <w:color w:val="000000"/>
          <w:sz w:val="26"/>
          <w:szCs w:val="26"/>
          <w:lang w:val="en-US"/>
        </w:rPr>
        <w:t>I didn</w:t>
      </w:r>
      <w:r>
        <w:rPr>
          <w:i/>
          <w:iCs/>
          <w:color w:val="000000"/>
          <w:sz w:val="26"/>
          <w:szCs w:val="26"/>
        </w:rPr>
        <w:t>’</w:t>
      </w:r>
      <w:r>
        <w:rPr>
          <w:i/>
          <w:iCs/>
          <w:color w:val="000000"/>
          <w:sz w:val="26"/>
          <w:szCs w:val="26"/>
          <w:lang w:val="en-US"/>
        </w:rPr>
        <w:t>t eat tom</w:t>
      </w:r>
      <w:r>
        <w:rPr>
          <w:i/>
          <w:iCs/>
          <w:color w:val="000000"/>
          <w:sz w:val="26"/>
          <w:szCs w:val="26"/>
        </w:rPr>
        <w:t>[</w:t>
      </w:r>
      <w:r>
        <w:rPr>
          <w:i/>
          <w:iCs/>
          <w:color w:val="000000"/>
          <w:sz w:val="26"/>
          <w:szCs w:val="26"/>
          <w:lang w:val="en-US"/>
        </w:rPr>
        <w:t>eiDouz</w:t>
      </w:r>
      <w:r>
        <w:rPr>
          <w:i/>
          <w:iCs/>
          <w:color w:val="000000"/>
          <w:sz w:val="26"/>
          <w:szCs w:val="26"/>
        </w:rPr>
        <w:t>], </w:t>
      </w:r>
      <w:r>
        <w:rPr>
          <w:i/>
          <w:iCs/>
          <w:color w:val="000000"/>
          <w:sz w:val="26"/>
          <w:szCs w:val="26"/>
          <w:lang w:val="en-US"/>
        </w:rPr>
        <w:t>Iate tom</w:t>
      </w:r>
      <w:r>
        <w:rPr>
          <w:i/>
          <w:iCs/>
          <w:color w:val="000000"/>
          <w:sz w:val="26"/>
          <w:szCs w:val="26"/>
        </w:rPr>
        <w:t>[</w:t>
      </w:r>
      <w:r>
        <w:rPr>
          <w:i/>
          <w:iCs/>
          <w:color w:val="000000"/>
          <w:sz w:val="26"/>
          <w:szCs w:val="26"/>
          <w:lang w:val="en-US"/>
        </w:rPr>
        <w:t>a</w:t>
      </w:r>
      <w:r>
        <w:rPr>
          <w:i/>
          <w:iCs/>
          <w:color w:val="000000"/>
          <w:sz w:val="26"/>
          <w:szCs w:val="26"/>
        </w:rPr>
        <w:t>:</w:t>
      </w:r>
      <w:r>
        <w:rPr>
          <w:i/>
          <w:iCs/>
          <w:color w:val="000000"/>
          <w:sz w:val="26"/>
          <w:szCs w:val="26"/>
          <w:lang w:val="en-US"/>
        </w:rPr>
        <w:t>touz</w:t>
      </w:r>
      <w:r>
        <w:rPr>
          <w:i/>
          <w:iCs/>
          <w:color w:val="000000"/>
          <w:sz w:val="26"/>
          <w:szCs w:val="26"/>
        </w:rPr>
        <w:t>]</w:t>
      </w:r>
      <w:r>
        <w:rPr>
          <w:color w:val="000000"/>
          <w:sz w:val="26"/>
          <w:szCs w:val="26"/>
        </w:rPr>
        <w:t>; </w:t>
      </w:r>
      <w:r>
        <w:rPr>
          <w:i/>
          <w:iCs/>
          <w:color w:val="000000"/>
          <w:sz w:val="26"/>
          <w:szCs w:val="26"/>
        </w:rPr>
        <w:t>мы приехали не в Ленинград, а в Петербург</w:t>
      </w:r>
      <w:r>
        <w:rPr>
          <w:color w:val="000000"/>
          <w:sz w:val="26"/>
          <w:szCs w:val="26"/>
        </w:rPr>
        <w:t>. Причины МО различны, и именно они являются основным объектом рассмотрения в работе. В число этих причин входят ошибки в выборе языковой формы или неадекватность имени текущей ситуации. Такие причины приводят к возникновению метаязыкового отрицания тогда, когда само по себе высказывание содержит пропозицию, затрагивающую некоторые референты. Таким образом, возникает странное сочетание: говорящий на самом деле ел помидоры, но при этом произносит клаузу </w:t>
      </w:r>
      <w:r>
        <w:rPr>
          <w:i/>
          <w:iCs/>
          <w:color w:val="000000"/>
          <w:sz w:val="26"/>
          <w:szCs w:val="26"/>
          <w:lang w:val="en-US"/>
        </w:rPr>
        <w:t>I didn</w:t>
      </w:r>
      <w:r>
        <w:rPr>
          <w:i/>
          <w:iCs/>
          <w:color w:val="000000"/>
          <w:sz w:val="26"/>
          <w:szCs w:val="26"/>
        </w:rPr>
        <w:t>’</w:t>
      </w:r>
      <w:r>
        <w:rPr>
          <w:i/>
          <w:iCs/>
          <w:color w:val="000000"/>
          <w:sz w:val="26"/>
          <w:szCs w:val="26"/>
          <w:lang w:val="en-US"/>
        </w:rPr>
        <w:t>t eat tom</w:t>
      </w:r>
      <w:r>
        <w:rPr>
          <w:i/>
          <w:iCs/>
          <w:color w:val="000000"/>
          <w:sz w:val="26"/>
          <w:szCs w:val="26"/>
        </w:rPr>
        <w:t>[</w:t>
      </w:r>
      <w:r>
        <w:rPr>
          <w:i/>
          <w:iCs/>
          <w:color w:val="000000"/>
          <w:sz w:val="26"/>
          <w:szCs w:val="26"/>
          <w:lang w:val="en-US"/>
        </w:rPr>
        <w:t>eiDouz</w:t>
      </w:r>
      <w:r>
        <w:rPr>
          <w:i/>
          <w:iCs/>
          <w:color w:val="000000"/>
          <w:sz w:val="26"/>
          <w:szCs w:val="26"/>
        </w:rPr>
        <w:t>]</w:t>
      </w:r>
      <w:r>
        <w:rPr>
          <w:color w:val="000000"/>
          <w:sz w:val="26"/>
          <w:szCs w:val="26"/>
        </w:rPr>
        <w:t>; кстати, А. В. Азаргаева показывает, что для метаязыкового отрицания такого типа необходимо продолжение, в котором языковая форма «исправляется» — что и дает слушателю понять, что отрицание в данном случае метаязыковое, т.е. не касается истинности пропозиции как таковой.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Однако в исследовательской части работы встречается огромное число примеров следующего типа: </w:t>
      </w:r>
      <w:r>
        <w:rPr>
          <w:i/>
          <w:iCs/>
          <w:color w:val="000000"/>
          <w:sz w:val="26"/>
          <w:szCs w:val="26"/>
        </w:rPr>
        <w:t>Русские улахинцы </w:t>
      </w:r>
      <w:r>
        <w:rPr>
          <w:b/>
          <w:bCs/>
          <w:i/>
          <w:iCs/>
          <w:color w:val="000000"/>
          <w:sz w:val="26"/>
          <w:szCs w:val="26"/>
        </w:rPr>
        <w:t>звали</w:t>
      </w:r>
      <w:r>
        <w:rPr>
          <w:i/>
          <w:iCs/>
          <w:color w:val="000000"/>
          <w:sz w:val="26"/>
          <w:szCs w:val="26"/>
        </w:rPr>
        <w:t> волостное село не Сандагоу, а Сундуга</w:t>
      </w:r>
      <w:r>
        <w:rPr>
          <w:color w:val="000000"/>
          <w:sz w:val="26"/>
          <w:szCs w:val="26"/>
        </w:rPr>
        <w:t>; </w:t>
      </w:r>
      <w:r>
        <w:rPr>
          <w:i/>
          <w:iCs/>
          <w:color w:val="000000"/>
          <w:sz w:val="26"/>
          <w:szCs w:val="26"/>
        </w:rPr>
        <w:t>Рассказала, что выходит замуж и ее </w:t>
      </w:r>
      <w:r>
        <w:rPr>
          <w:b/>
          <w:bCs/>
          <w:i/>
          <w:iCs/>
          <w:color w:val="000000"/>
          <w:sz w:val="26"/>
          <w:szCs w:val="26"/>
        </w:rPr>
        <w:t>фамилия</w:t>
      </w:r>
      <w:r>
        <w:rPr>
          <w:i/>
          <w:iCs/>
          <w:color w:val="000000"/>
          <w:sz w:val="26"/>
          <w:szCs w:val="26"/>
        </w:rPr>
        <w:t> будет уже не Сизова, а Зинькова… На пр. </w:t>
      </w:r>
      <w:r>
        <w:rPr>
          <w:b/>
          <w:bCs/>
          <w:i/>
          <w:iCs/>
          <w:color w:val="000000"/>
          <w:sz w:val="26"/>
          <w:szCs w:val="26"/>
        </w:rPr>
        <w:t>должно писать</w:t>
      </w:r>
      <w:r>
        <w:rPr>
          <w:i/>
          <w:iCs/>
          <w:color w:val="000000"/>
          <w:sz w:val="26"/>
          <w:szCs w:val="26"/>
        </w:rPr>
        <w:t> по-Руски не Кларенсъ, а Кларанъ; не Шамуни, а Шамони; не Нейшатель, а Ніошатель, и проч.</w:t>
      </w:r>
      <w:r>
        <w:rPr>
          <w:color w:val="000000"/>
          <w:sz w:val="26"/>
          <w:szCs w:val="26"/>
        </w:rPr>
        <w:t>(выделено мной — С.С.). Такие примеры также трактуются в работе как случаи металингвистического отрицания. На мой взгляд, они похожи на металингвистические конструкции по причинам, которые к ним приводят; эти причины можно охарактеризовать как поиск адекватной номинации. Однако в приведенных примерах присутствуют выражения вроде </w:t>
      </w:r>
      <w:r>
        <w:rPr>
          <w:i/>
          <w:iCs/>
          <w:color w:val="000000"/>
          <w:sz w:val="26"/>
          <w:szCs w:val="26"/>
        </w:rPr>
        <w:t>звали, фамилия, писать</w:t>
      </w:r>
      <w:r>
        <w:rPr>
          <w:color w:val="000000"/>
          <w:sz w:val="26"/>
          <w:szCs w:val="26"/>
        </w:rPr>
        <w:t> и т.д., т.е. выражения, эксплицитно отсылающие к языковой форме. В этом смысле суждение ‘ее фамилия Сизова’ объективно </w:t>
      </w:r>
      <w:r>
        <w:rPr>
          <w:b/>
          <w:bCs/>
          <w:color w:val="000000"/>
          <w:sz w:val="26"/>
          <w:szCs w:val="26"/>
        </w:rPr>
        <w:t>ложно,</w:t>
      </w:r>
      <w:r>
        <w:rPr>
          <w:color w:val="000000"/>
          <w:sz w:val="26"/>
          <w:szCs w:val="26"/>
        </w:rPr>
        <w:t> если женщина вышла замуж и сменила фамилию на Зинькова. Добавлю, что приведенные примеры вполне осмысленны без продолжения (ср. «</w:t>
      </w:r>
      <w:r>
        <w:rPr>
          <w:i/>
          <w:iCs/>
          <w:color w:val="000000"/>
          <w:sz w:val="26"/>
          <w:szCs w:val="26"/>
        </w:rPr>
        <w:t>ее фамилия будет уже не Сизова</w:t>
      </w:r>
      <w:r>
        <w:rPr>
          <w:color w:val="000000"/>
          <w:sz w:val="26"/>
          <w:szCs w:val="26"/>
        </w:rPr>
        <w:t>»), в отличие от несомненных случаев метаязыкового отрицания. Основной критерий, используемый автором для разграничения МО и дескриптивного отрицания — совпадение или несовпадение референтов. Этот критерий работал бы в предложении </w:t>
      </w:r>
      <w:r>
        <w:rPr>
          <w:i/>
          <w:iCs/>
          <w:color w:val="000000"/>
          <w:sz w:val="26"/>
          <w:szCs w:val="26"/>
        </w:rPr>
        <w:t>В комнату вошла Сизова </w:t>
      </w:r>
      <w:r>
        <w:rPr>
          <w:color w:val="000000"/>
          <w:sz w:val="26"/>
          <w:szCs w:val="26"/>
        </w:rPr>
        <w:t>— здесь имя собственное </w:t>
      </w:r>
      <w:r>
        <w:rPr>
          <w:i/>
          <w:iCs/>
          <w:color w:val="000000"/>
          <w:sz w:val="26"/>
          <w:szCs w:val="26"/>
        </w:rPr>
        <w:t>Сизова </w:t>
      </w:r>
      <w:r>
        <w:rPr>
          <w:color w:val="000000"/>
          <w:sz w:val="26"/>
          <w:szCs w:val="26"/>
        </w:rPr>
        <w:t>отсылало бы к референту и возникал бы вопрос о тождестве этого референта каким-то иным референтам. Однако в предложении </w:t>
      </w:r>
      <w:r>
        <w:rPr>
          <w:i/>
          <w:iCs/>
          <w:color w:val="000000"/>
          <w:sz w:val="26"/>
          <w:szCs w:val="26"/>
        </w:rPr>
        <w:t>ее фамилия будет уже не Сизова, а Зинькова </w:t>
      </w:r>
      <w:r>
        <w:rPr>
          <w:color w:val="000000"/>
          <w:sz w:val="26"/>
          <w:szCs w:val="26"/>
        </w:rPr>
        <w:t>существительное </w:t>
      </w:r>
      <w:r>
        <w:rPr>
          <w:i/>
          <w:iCs/>
          <w:color w:val="000000"/>
          <w:sz w:val="26"/>
          <w:szCs w:val="26"/>
        </w:rPr>
        <w:t>Сизова </w:t>
      </w:r>
      <w:r>
        <w:rPr>
          <w:color w:val="000000"/>
          <w:sz w:val="26"/>
          <w:szCs w:val="26"/>
        </w:rPr>
        <w:t xml:space="preserve">не имеет в качестве референта конкретную женщину, а употребляется автонимично. Таким </w:t>
      </w:r>
      <w:r>
        <w:rPr>
          <w:color w:val="000000"/>
          <w:sz w:val="26"/>
          <w:szCs w:val="26"/>
        </w:rPr>
        <w:lastRenderedPageBreak/>
        <w:t>образом, на мой взгляд, критерий идентичности референтов здесь либо вообще неприменим, либо должен вести к выводу о том, что в данном случае </w:t>
      </w:r>
      <w:r>
        <w:rPr>
          <w:i/>
          <w:iCs/>
          <w:color w:val="000000"/>
          <w:sz w:val="26"/>
          <w:szCs w:val="26"/>
        </w:rPr>
        <w:t>Сизова </w:t>
      </w:r>
      <w:r>
        <w:rPr>
          <w:color w:val="000000"/>
          <w:sz w:val="26"/>
          <w:szCs w:val="26"/>
        </w:rPr>
        <w:t>и </w:t>
      </w:r>
      <w:r>
        <w:rPr>
          <w:i/>
          <w:iCs/>
          <w:color w:val="000000"/>
          <w:sz w:val="26"/>
          <w:szCs w:val="26"/>
        </w:rPr>
        <w:t>Зинькова </w:t>
      </w:r>
      <w:r>
        <w:rPr>
          <w:color w:val="000000"/>
          <w:sz w:val="26"/>
          <w:szCs w:val="26"/>
        </w:rPr>
        <w:t>имеют в качестве референтов сами эти слова, то есть их референты не совпадают, а тогда перед нами уже не МО, а дескриптивное отрицание.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Мне представляется, что автору стоило либо исключить примеры, в которых эксплицитно обсуждаются номинации, из числа метаязыковых, либо каким-то образом модифицировать определение МО, чтобы такие примеры соответствовали этому понятию. Подчеркну, что хотя обсуждаемая проблема представляется мне весьма серьезной, на выводы автора она влияет очень косвенно, поскольку </w:t>
      </w:r>
      <w:r>
        <w:rPr>
          <w:b/>
          <w:bCs/>
          <w:color w:val="000000"/>
          <w:sz w:val="26"/>
          <w:szCs w:val="26"/>
        </w:rPr>
        <w:t>причины</w:t>
      </w:r>
      <w:r>
        <w:rPr>
          <w:color w:val="000000"/>
          <w:sz w:val="26"/>
          <w:szCs w:val="26"/>
        </w:rPr>
        <w:t> возникновения отрицания в обсуждавшихся спорных примерах совпадают с причинами возникновения несомненного метаязыкового отрицания.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Высказанные замечания не отменяют того факта, что ВКР А. В. Азаргаевой представляет собой ценное, профессиональное и самостоятельное исследование актуальной проблемы, в котором поставлена и в целом решена интересная задача.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Проверка работы А. В. Азаргаевой на плагиат в системе «Blackboard» выявила 3% текстовых совпадений, ни одно из которых не является неправомерным (системой отмечены названия мест, элементы структуры, имена некоторых лиц, названия произведений и т.п.).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Представленное сочинение удовлетворяет всем требованиям, предъявляемым к ВКР бакалавра по направлению «Лингвистика», а автор заслуживает присуждения искомой степени.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К.филол.н., доцент кафедры общего языкознания</w:t>
      </w:r>
    </w:p>
    <w:p w:rsidR="005B7157" w:rsidRDefault="005B7157" w:rsidP="005B7157">
      <w:pPr>
        <w:pStyle w:val="ydp33679680msonorma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С. С. Сай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5B7157"/>
    <w:rsid w:val="001A0972"/>
    <w:rsid w:val="00485359"/>
    <w:rsid w:val="005B715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33679680msonormal">
    <w:name w:val="ydp33679680msonormal"/>
    <w:basedOn w:val="a"/>
    <w:rsid w:val="005B71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l.korotun</dc:creator>
  <cp:keywords/>
  <dc:description/>
  <cp:lastModifiedBy>l.korotun</cp:lastModifiedBy>
  <cp:revision>3</cp:revision>
  <dcterms:created xsi:type="dcterms:W3CDTF">2018-06-13T07:30:00Z</dcterms:created>
  <dcterms:modified xsi:type="dcterms:W3CDTF">2018-06-13T07:30:00Z</dcterms:modified>
</cp:coreProperties>
</file>