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51" w:rsidRDefault="00DD7D51" w:rsidP="00DD7D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13DC">
        <w:rPr>
          <w:rFonts w:ascii="Times New Roman" w:hAnsi="Times New Roman" w:cs="Times New Roman"/>
          <w:sz w:val="28"/>
        </w:rPr>
        <w:t>Приложение 1</w:t>
      </w:r>
    </w:p>
    <w:p w:rsidR="00DD7D51" w:rsidRDefault="00DD7D51" w:rsidP="00DD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 1</w:t>
      </w:r>
      <w:r>
        <w:rPr>
          <w:rStyle w:val="a5"/>
          <w:rFonts w:ascii="Times New Roman" w:hAnsi="Times New Roman" w:cs="Times New Roman"/>
          <w:sz w:val="28"/>
        </w:rPr>
        <w:footnoteReference w:id="1"/>
      </w:r>
    </w:p>
    <w:p w:rsidR="00DD7D51" w:rsidRDefault="00DD7D51" w:rsidP="00DD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D7D51" w:rsidRDefault="00DD7D51" w:rsidP="00DD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D7D51" w:rsidRDefault="00DD7D51" w:rsidP="00DD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D7D51" w:rsidRDefault="00DD7D51" w:rsidP="00DD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D7D51" w:rsidRDefault="00DD7D51" w:rsidP="00DD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D7D51" w:rsidRDefault="00DD7D51" w:rsidP="00DD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D7D51" w:rsidRDefault="00DD7D51" w:rsidP="00DD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D7D51" w:rsidRDefault="00DD7D51" w:rsidP="00DD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D7D51" w:rsidRDefault="00DD7D51" w:rsidP="00DD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D7D51" w:rsidRDefault="00DD7D51" w:rsidP="00DD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D7D51" w:rsidRDefault="00DD7D51" w:rsidP="00DD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D7D51" w:rsidRDefault="00DD7D51" w:rsidP="00DD7D5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D7D51" w:rsidRDefault="00DD7D51" w:rsidP="00DD7D5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D7D51" w:rsidRDefault="00DD7D51" w:rsidP="00DD7D5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 2</w:t>
      </w:r>
      <w:r>
        <w:rPr>
          <w:rStyle w:val="a5"/>
          <w:rFonts w:ascii="Times New Roman" w:hAnsi="Times New Roman" w:cs="Times New Roman"/>
          <w:sz w:val="28"/>
        </w:rPr>
        <w:footnoteReference w:id="2"/>
      </w:r>
    </w:p>
    <w:tbl>
      <w:tblPr>
        <w:tblStyle w:val="a6"/>
        <w:tblW w:w="0" w:type="auto"/>
        <w:tblLayout w:type="fixed"/>
        <w:tblLook w:val="04A0"/>
      </w:tblPr>
      <w:tblGrid>
        <w:gridCol w:w="1809"/>
        <w:gridCol w:w="3686"/>
        <w:gridCol w:w="2693"/>
        <w:gridCol w:w="2410"/>
      </w:tblGrid>
      <w:tr w:rsidR="00DD7D51" w:rsidRPr="00D112E1" w:rsidTr="004D5B33">
        <w:trPr>
          <w:trHeight w:val="260"/>
        </w:trPr>
        <w:tc>
          <w:tcPr>
            <w:tcW w:w="1809" w:type="dxa"/>
          </w:tcPr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13DC">
              <w:rPr>
                <w:rFonts w:ascii="Times New Roman" w:hAnsi="Times New Roman" w:cs="Times New Roman"/>
                <w:sz w:val="24"/>
              </w:rPr>
              <w:t>Академические</w:t>
            </w:r>
          </w:p>
        </w:tc>
        <w:tc>
          <w:tcPr>
            <w:tcW w:w="2693" w:type="dxa"/>
          </w:tcPr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13DC">
              <w:rPr>
                <w:rFonts w:ascii="Times New Roman" w:hAnsi="Times New Roman" w:cs="Times New Roman"/>
                <w:sz w:val="24"/>
              </w:rPr>
              <w:t>Контрактные</w:t>
            </w:r>
          </w:p>
        </w:tc>
        <w:tc>
          <w:tcPr>
            <w:tcW w:w="2410" w:type="dxa"/>
          </w:tcPr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13DC">
              <w:rPr>
                <w:rFonts w:ascii="Times New Roman" w:hAnsi="Times New Roman" w:cs="Times New Roman"/>
                <w:sz w:val="24"/>
              </w:rPr>
              <w:t>Пропагандистские</w:t>
            </w:r>
          </w:p>
        </w:tc>
      </w:tr>
      <w:tr w:rsidR="00321185" w:rsidRPr="00D112E1" w:rsidTr="004D5B33">
        <w:trPr>
          <w:trHeight w:val="260"/>
        </w:trPr>
        <w:tc>
          <w:tcPr>
            <w:tcW w:w="1809" w:type="dxa"/>
          </w:tcPr>
          <w:p w:rsidR="00321185" w:rsidRDefault="00321185" w:rsidP="003211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 возникновения</w:t>
            </w:r>
          </w:p>
          <w:p w:rsidR="00321185" w:rsidRPr="00321185" w:rsidRDefault="00321185" w:rsidP="003211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21185" w:rsidRDefault="00321185" w:rsidP="003211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1185" w:rsidRPr="00BB13DC" w:rsidRDefault="00321185" w:rsidP="003211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1910-е гг.</w:t>
            </w:r>
          </w:p>
        </w:tc>
        <w:tc>
          <w:tcPr>
            <w:tcW w:w="2693" w:type="dxa"/>
          </w:tcPr>
          <w:p w:rsidR="00321185" w:rsidRDefault="00321185" w:rsidP="00321185">
            <w:pPr>
              <w:rPr>
                <w:rFonts w:ascii="Times New Roman" w:hAnsi="Times New Roman" w:cs="Times New Roman"/>
                <w:sz w:val="24"/>
              </w:rPr>
            </w:pPr>
          </w:p>
          <w:p w:rsidR="00321185" w:rsidRDefault="00321185" w:rsidP="004D5B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1940-е гг.</w:t>
            </w:r>
          </w:p>
          <w:p w:rsidR="00321185" w:rsidRPr="00BB13DC" w:rsidRDefault="00321185" w:rsidP="004D5B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21185" w:rsidRDefault="00321185" w:rsidP="004D5B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1185" w:rsidRPr="00BB13DC" w:rsidRDefault="00321185" w:rsidP="004D5B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1970-е гг.</w:t>
            </w:r>
          </w:p>
        </w:tc>
      </w:tr>
      <w:tr w:rsidR="00DD7D51" w:rsidRPr="00D112E1" w:rsidTr="004D5B33">
        <w:trPr>
          <w:trHeight w:val="2619"/>
        </w:trPr>
        <w:tc>
          <w:tcPr>
            <w:tcW w:w="1809" w:type="dxa"/>
          </w:tcPr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13DC">
              <w:rPr>
                <w:rFonts w:ascii="Times New Roman" w:hAnsi="Times New Roman" w:cs="Times New Roman"/>
                <w:sz w:val="24"/>
              </w:rPr>
              <w:t>Примеры</w:t>
            </w:r>
          </w:p>
        </w:tc>
        <w:tc>
          <w:tcPr>
            <w:tcW w:w="3686" w:type="dxa"/>
          </w:tcPr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13DC">
              <w:rPr>
                <w:rFonts w:ascii="Times New Roman" w:hAnsi="Times New Roman" w:cs="Times New Roman"/>
                <w:sz w:val="24"/>
              </w:rPr>
              <w:t>Фонд Карнеги за международный мир, Гудзоновский институт, Институт Брукингса, Центр международных и стратегических исследований, Совет по международным отношениям</w:t>
            </w:r>
          </w:p>
        </w:tc>
        <w:tc>
          <w:tcPr>
            <w:tcW w:w="2693" w:type="dxa"/>
          </w:tcPr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13DC">
              <w:rPr>
                <w:rFonts w:ascii="Times New Roman" w:hAnsi="Times New Roman" w:cs="Times New Roman"/>
                <w:sz w:val="24"/>
              </w:rPr>
              <w:t>Корпорация РЭНД, Международный научный центр им. Вудро Вильсона, Американский институт мира</w:t>
            </w:r>
          </w:p>
        </w:tc>
        <w:tc>
          <w:tcPr>
            <w:tcW w:w="2410" w:type="dxa"/>
          </w:tcPr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13DC">
              <w:rPr>
                <w:rFonts w:ascii="Times New Roman" w:hAnsi="Times New Roman" w:cs="Times New Roman"/>
                <w:sz w:val="24"/>
              </w:rPr>
              <w:t>Фонд «Наследие», Институт Катона</w:t>
            </w:r>
          </w:p>
        </w:tc>
      </w:tr>
      <w:tr w:rsidR="00DD7D51" w:rsidRPr="00D112E1" w:rsidTr="004D5B33">
        <w:trPr>
          <w:trHeight w:val="2111"/>
        </w:trPr>
        <w:tc>
          <w:tcPr>
            <w:tcW w:w="1809" w:type="dxa"/>
          </w:tcPr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13DC">
              <w:rPr>
                <w:rFonts w:ascii="Times New Roman" w:hAnsi="Times New Roman" w:cs="Times New Roman"/>
                <w:sz w:val="24"/>
              </w:rPr>
              <w:t>Основной механизм проецирования влияния</w:t>
            </w:r>
          </w:p>
        </w:tc>
        <w:tc>
          <w:tcPr>
            <w:tcW w:w="3686" w:type="dxa"/>
          </w:tcPr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13DC">
              <w:rPr>
                <w:rFonts w:ascii="Times New Roman" w:hAnsi="Times New Roman" w:cs="Times New Roman"/>
                <w:sz w:val="24"/>
              </w:rPr>
              <w:t>Выработка политических доктрин, подготовка обширных общих научных трудов для общественного ознакомления</w:t>
            </w:r>
          </w:p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7D51" w:rsidRPr="00BB13DC" w:rsidRDefault="00DD7D51" w:rsidP="004D5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13DC">
              <w:rPr>
                <w:rFonts w:ascii="Times New Roman" w:hAnsi="Times New Roman" w:cs="Times New Roman"/>
                <w:sz w:val="24"/>
              </w:rPr>
              <w:t xml:space="preserve">Направление высшим должностным лицам официальных отчётов (часто по запросу властей) </w:t>
            </w:r>
          </w:p>
        </w:tc>
        <w:tc>
          <w:tcPr>
            <w:tcW w:w="2410" w:type="dxa"/>
          </w:tcPr>
          <w:p w:rsidR="00DD7D51" w:rsidRPr="00BB13DC" w:rsidRDefault="00321185" w:rsidP="00321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Контакты со </w:t>
            </w:r>
            <w:r w:rsidR="00DD7D51" w:rsidRPr="00BB13DC">
              <w:rPr>
                <w:rFonts w:ascii="Times New Roman" w:hAnsi="Times New Roman" w:cs="Times New Roman"/>
                <w:sz w:val="24"/>
              </w:rPr>
              <w:t xml:space="preserve">СМИ, работа над имиджем в </w:t>
            </w:r>
            <w:r>
              <w:rPr>
                <w:rFonts w:ascii="Times New Roman" w:hAnsi="Times New Roman" w:cs="Times New Roman"/>
                <w:sz w:val="24"/>
              </w:rPr>
              <w:t>сети Интернет</w:t>
            </w:r>
            <w:r w:rsidR="00DD7D51" w:rsidRPr="00BB13DC">
              <w:rPr>
                <w:rFonts w:ascii="Times New Roman" w:hAnsi="Times New Roman" w:cs="Times New Roman"/>
                <w:sz w:val="24"/>
              </w:rPr>
              <w:t>, формирование общественного мнени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</w:tr>
    </w:tbl>
    <w:p w:rsidR="002E5D0D" w:rsidRPr="00DD7D51" w:rsidRDefault="00DD7D51" w:rsidP="00DD7D5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B13D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776773" cy="4444409"/>
            <wp:effectExtent l="19050" t="0" r="0" b="0"/>
            <wp:wrapSquare wrapText="bothSides"/>
            <wp:docPr id="3" name="Рисунок 1" descr="C:\Program Files\Desktop\Transparenc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Program Files\Desktop\Transparenc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44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E5D0D" w:rsidRPr="00DD7D51" w:rsidSect="00BB1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E3" w:rsidRDefault="009645E3" w:rsidP="00DD7D51">
      <w:pPr>
        <w:spacing w:after="0" w:line="240" w:lineRule="auto"/>
      </w:pPr>
      <w:r>
        <w:separator/>
      </w:r>
    </w:p>
  </w:endnote>
  <w:endnote w:type="continuationSeparator" w:id="0">
    <w:p w:rsidR="009645E3" w:rsidRDefault="009645E3" w:rsidP="00DD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E3" w:rsidRDefault="009645E3" w:rsidP="00DD7D51">
      <w:pPr>
        <w:spacing w:after="0" w:line="240" w:lineRule="auto"/>
      </w:pPr>
      <w:r>
        <w:separator/>
      </w:r>
    </w:p>
  </w:footnote>
  <w:footnote w:type="continuationSeparator" w:id="0">
    <w:p w:rsidR="009645E3" w:rsidRDefault="009645E3" w:rsidP="00DD7D51">
      <w:pPr>
        <w:spacing w:after="0" w:line="240" w:lineRule="auto"/>
      </w:pPr>
      <w:r>
        <w:continuationSeparator/>
      </w:r>
    </w:p>
  </w:footnote>
  <w:footnote w:id="1">
    <w:p w:rsidR="00DD7D51" w:rsidRPr="00BB13DC" w:rsidRDefault="00DD7D51" w:rsidP="00DD7D51">
      <w:pPr>
        <w:pStyle w:val="a3"/>
        <w:spacing w:before="240"/>
        <w:rPr>
          <w:lang w:val="en-US"/>
        </w:rPr>
      </w:pPr>
      <w:r w:rsidRPr="00E06204">
        <w:rPr>
          <w:rStyle w:val="a5"/>
          <w:rFonts w:ascii="Times New Roman" w:hAnsi="Times New Roman" w:cs="Times New Roman"/>
        </w:rPr>
        <w:footnoteRef/>
      </w:r>
      <w:r w:rsidRPr="00E0620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How Transparent Are Think Tanks about Who Funds Them 2016?  /</w:t>
      </w:r>
      <w:r w:rsidRPr="00E07AD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Transparify, Tbilisi/Georgia. June 29, 2016. P. 16</w:t>
      </w:r>
      <w:r w:rsidRPr="00E07AD5">
        <w:rPr>
          <w:rFonts w:ascii="Times New Roman" w:hAnsi="Times New Roman" w:cs="Times New Roman"/>
          <w:lang w:val="en-US"/>
        </w:rPr>
        <w:t>.</w:t>
      </w:r>
    </w:p>
  </w:footnote>
  <w:footnote w:id="2">
    <w:p w:rsidR="00DD7D51" w:rsidRDefault="00DD7D51" w:rsidP="00DD7D51">
      <w:pPr>
        <w:pStyle w:val="a3"/>
      </w:pPr>
      <w:r w:rsidRPr="00E06204">
        <w:rPr>
          <w:rStyle w:val="a5"/>
          <w:rFonts w:ascii="Times New Roman" w:hAnsi="Times New Roman" w:cs="Times New Roman"/>
        </w:rPr>
        <w:footnoteRef/>
      </w:r>
      <w:r w:rsidRPr="00E06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Авторская категоризация </w:t>
      </w:r>
      <w:r w:rsidRPr="00354992">
        <w:rPr>
          <w:rFonts w:ascii="Times New Roman" w:hAnsi="Times New Roman" w:cs="Times New Roman"/>
        </w:rPr>
        <w:t>в соответствии с классификацией, предложенной М. Ахмадом. См</w:t>
      </w:r>
      <w:r w:rsidRPr="00354992">
        <w:rPr>
          <w:rFonts w:ascii="Times New Roman" w:hAnsi="Times New Roman" w:cs="Times New Roman"/>
          <w:lang w:val="en-US"/>
        </w:rPr>
        <w:t>: Ahmad, M. US Think Tanks and the Politics of Expertise: Role, Value and Import. The</w:t>
      </w:r>
      <w:r w:rsidRPr="00EF04AE">
        <w:rPr>
          <w:rFonts w:ascii="Times New Roman" w:hAnsi="Times New Roman" w:cs="Times New Roman"/>
        </w:rPr>
        <w:t xml:space="preserve"> </w:t>
      </w:r>
      <w:r w:rsidRPr="00354992">
        <w:rPr>
          <w:rFonts w:ascii="Times New Roman" w:hAnsi="Times New Roman" w:cs="Times New Roman"/>
          <w:lang w:val="en-US"/>
        </w:rPr>
        <w:t>Political</w:t>
      </w:r>
      <w:r w:rsidRPr="00EF04AE">
        <w:rPr>
          <w:rFonts w:ascii="Times New Roman" w:hAnsi="Times New Roman" w:cs="Times New Roman"/>
        </w:rPr>
        <w:t xml:space="preserve"> </w:t>
      </w:r>
      <w:r w:rsidRPr="00354992">
        <w:rPr>
          <w:rFonts w:ascii="Times New Roman" w:hAnsi="Times New Roman" w:cs="Times New Roman"/>
          <w:lang w:val="en-US"/>
        </w:rPr>
        <w:t>Quarterly</w:t>
      </w:r>
      <w:r w:rsidRPr="00EF04AE">
        <w:rPr>
          <w:rFonts w:ascii="Times New Roman" w:hAnsi="Times New Roman" w:cs="Times New Roman"/>
        </w:rPr>
        <w:t xml:space="preserve">, </w:t>
      </w:r>
      <w:r w:rsidRPr="00354992">
        <w:rPr>
          <w:rFonts w:ascii="Times New Roman" w:hAnsi="Times New Roman" w:cs="Times New Roman"/>
          <w:lang w:val="en-US"/>
        </w:rPr>
        <w:t>Vol</w:t>
      </w:r>
      <w:r w:rsidRPr="00EF04AE">
        <w:rPr>
          <w:rFonts w:ascii="Times New Roman" w:hAnsi="Times New Roman" w:cs="Times New Roman"/>
        </w:rPr>
        <w:t xml:space="preserve"> 79, № 4, </w:t>
      </w:r>
      <w:r w:rsidRPr="00354992">
        <w:rPr>
          <w:rFonts w:ascii="Times New Roman" w:hAnsi="Times New Roman" w:cs="Times New Roman"/>
          <w:lang w:val="en-US"/>
        </w:rPr>
        <w:t>Oct</w:t>
      </w:r>
      <w:r w:rsidRPr="00EF04AE">
        <w:rPr>
          <w:rFonts w:ascii="Times New Roman" w:hAnsi="Times New Roman" w:cs="Times New Roman"/>
        </w:rPr>
        <w:t>.-</w:t>
      </w:r>
      <w:r w:rsidRPr="00354992">
        <w:rPr>
          <w:rFonts w:ascii="Times New Roman" w:hAnsi="Times New Roman" w:cs="Times New Roman"/>
          <w:lang w:val="en-US"/>
        </w:rPr>
        <w:t>Nov</w:t>
      </w:r>
      <w:r w:rsidRPr="00EF04AE">
        <w:rPr>
          <w:rFonts w:ascii="Times New Roman" w:hAnsi="Times New Roman" w:cs="Times New Roman"/>
        </w:rPr>
        <w:t>. 2008.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D51"/>
    <w:rsid w:val="002E5D0D"/>
    <w:rsid w:val="00321185"/>
    <w:rsid w:val="004E62BE"/>
    <w:rsid w:val="00621A07"/>
    <w:rsid w:val="00775C9B"/>
    <w:rsid w:val="007E226E"/>
    <w:rsid w:val="00883FB0"/>
    <w:rsid w:val="009645E3"/>
    <w:rsid w:val="00B03454"/>
    <w:rsid w:val="00B05E83"/>
    <w:rsid w:val="00DD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D7D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D7D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7D51"/>
    <w:rPr>
      <w:vertAlign w:val="superscript"/>
    </w:rPr>
  </w:style>
  <w:style w:type="table" w:styleId="a6">
    <w:name w:val="Table Grid"/>
    <w:basedOn w:val="a1"/>
    <w:uiPriority w:val="59"/>
    <w:rsid w:val="00DD7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041A-D08C-423E-BAD2-51EF54BA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don't Know</dc:creator>
  <cp:lastModifiedBy>I don't Know</cp:lastModifiedBy>
  <cp:revision>2</cp:revision>
  <dcterms:created xsi:type="dcterms:W3CDTF">2018-02-12T10:11:00Z</dcterms:created>
  <dcterms:modified xsi:type="dcterms:W3CDTF">2018-04-02T10:59:00Z</dcterms:modified>
</cp:coreProperties>
</file>