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985E82" w14:textId="77777777" w:rsidR="00517FD5" w:rsidRPr="006A663D" w:rsidRDefault="00517FD5" w:rsidP="00517FD5">
      <w:pPr>
        <w:jc w:val="center"/>
      </w:pPr>
      <w:r w:rsidRPr="006A663D">
        <w:t>Федеральное государственное бюджетное образовательное</w:t>
      </w:r>
      <w:r w:rsidRPr="006A663D">
        <w:br/>
        <w:t xml:space="preserve"> учреждение высшего профессионального образования</w:t>
      </w:r>
    </w:p>
    <w:p w14:paraId="176E88C8" w14:textId="77777777" w:rsidR="00517FD5" w:rsidRPr="006A663D" w:rsidRDefault="00517FD5" w:rsidP="00517FD5">
      <w:pPr>
        <w:jc w:val="center"/>
      </w:pPr>
      <w:r w:rsidRPr="006A663D">
        <w:t>Санкт-Петербургский государственный университет</w:t>
      </w:r>
      <w:r w:rsidRPr="006A663D">
        <w:br/>
        <w:t xml:space="preserve"> Институт «Высшая школа менеджмента»</w:t>
      </w:r>
    </w:p>
    <w:p w14:paraId="0682152F" w14:textId="77777777" w:rsidR="00517FD5" w:rsidRPr="008B543C" w:rsidRDefault="00517FD5" w:rsidP="00517FD5">
      <w:pPr>
        <w:spacing w:line="200" w:lineRule="exact"/>
        <w:ind w:left="1843" w:hanging="283"/>
        <w:rPr>
          <w:spacing w:val="2"/>
          <w:sz w:val="20"/>
          <w:szCs w:val="20"/>
        </w:rPr>
      </w:pPr>
    </w:p>
    <w:p w14:paraId="47736C36" w14:textId="77777777" w:rsidR="00517FD5" w:rsidRPr="008B543C" w:rsidRDefault="00517FD5" w:rsidP="00517FD5">
      <w:pPr>
        <w:spacing w:line="200" w:lineRule="exact"/>
        <w:ind w:left="1843" w:hanging="283"/>
        <w:rPr>
          <w:spacing w:val="2"/>
          <w:sz w:val="20"/>
          <w:szCs w:val="20"/>
        </w:rPr>
      </w:pPr>
    </w:p>
    <w:p w14:paraId="320B400A" w14:textId="77777777" w:rsidR="00517FD5" w:rsidRPr="008B543C" w:rsidRDefault="00517FD5" w:rsidP="00517FD5">
      <w:pPr>
        <w:spacing w:line="200" w:lineRule="exact"/>
        <w:ind w:left="1843" w:hanging="283"/>
        <w:rPr>
          <w:spacing w:val="2"/>
          <w:sz w:val="20"/>
          <w:szCs w:val="20"/>
        </w:rPr>
      </w:pPr>
    </w:p>
    <w:p w14:paraId="74A4931A" w14:textId="77777777" w:rsidR="00517FD5" w:rsidRPr="00E54412" w:rsidRDefault="00517FD5" w:rsidP="00517FD5">
      <w:pPr>
        <w:spacing w:line="200" w:lineRule="exact"/>
        <w:ind w:left="1843" w:hanging="283"/>
        <w:rPr>
          <w:sz w:val="20"/>
          <w:szCs w:val="20"/>
        </w:rPr>
      </w:pPr>
    </w:p>
    <w:p w14:paraId="68AC339F" w14:textId="77777777" w:rsidR="00517FD5" w:rsidRPr="00E54412" w:rsidRDefault="00517FD5" w:rsidP="00517FD5">
      <w:pPr>
        <w:spacing w:line="200" w:lineRule="exact"/>
        <w:ind w:left="1843" w:hanging="283"/>
        <w:rPr>
          <w:sz w:val="20"/>
          <w:szCs w:val="20"/>
        </w:rPr>
      </w:pPr>
    </w:p>
    <w:p w14:paraId="3145393F" w14:textId="77777777" w:rsidR="00517FD5" w:rsidRPr="00E54412" w:rsidRDefault="00517FD5" w:rsidP="00517FD5">
      <w:pPr>
        <w:spacing w:line="200" w:lineRule="exact"/>
        <w:ind w:left="1843" w:hanging="283"/>
        <w:rPr>
          <w:sz w:val="20"/>
          <w:szCs w:val="20"/>
        </w:rPr>
      </w:pPr>
    </w:p>
    <w:p w14:paraId="47B20199" w14:textId="77777777" w:rsidR="00517FD5" w:rsidRPr="00E54412" w:rsidRDefault="00517FD5" w:rsidP="00517FD5">
      <w:pPr>
        <w:spacing w:line="200" w:lineRule="exact"/>
        <w:ind w:left="1843" w:hanging="283"/>
        <w:rPr>
          <w:sz w:val="20"/>
          <w:szCs w:val="20"/>
        </w:rPr>
      </w:pPr>
    </w:p>
    <w:p w14:paraId="12F43103" w14:textId="77777777" w:rsidR="00517FD5" w:rsidRPr="00E54412" w:rsidRDefault="00517FD5" w:rsidP="00517FD5">
      <w:pPr>
        <w:spacing w:before="18" w:line="260" w:lineRule="exact"/>
        <w:ind w:left="1843" w:hanging="283"/>
        <w:rPr>
          <w:sz w:val="26"/>
          <w:szCs w:val="26"/>
        </w:rPr>
      </w:pPr>
    </w:p>
    <w:p w14:paraId="3D08FF2E" w14:textId="72C22709" w:rsidR="00517FD5" w:rsidRDefault="00D24533" w:rsidP="00517FD5">
      <w:pPr>
        <w:spacing w:line="312" w:lineRule="auto"/>
        <w:ind w:left="1843" w:right="2197" w:hanging="283"/>
        <w:jc w:val="center"/>
        <w:rPr>
          <w:b/>
          <w:bCs/>
        </w:rPr>
      </w:pPr>
      <w:r>
        <w:rPr>
          <w:b/>
          <w:bCs/>
        </w:rPr>
        <w:t>ВЗАИМОСВЯЗЬ НАЛИЧИЯ О</w:t>
      </w:r>
      <w:r w:rsidR="00341603">
        <w:rPr>
          <w:b/>
          <w:bCs/>
        </w:rPr>
        <w:t>Б</w:t>
      </w:r>
      <w:r>
        <w:rPr>
          <w:b/>
          <w:bCs/>
        </w:rPr>
        <w:t>ЛИГАЦИОННЫХ ЗАЙМОВ И КРЕДИ</w:t>
      </w:r>
      <w:r w:rsidR="00D604D1">
        <w:rPr>
          <w:b/>
          <w:bCs/>
        </w:rPr>
        <w:t>Т</w:t>
      </w:r>
      <w:r w:rsidR="003D1B4A">
        <w:rPr>
          <w:b/>
          <w:bCs/>
        </w:rPr>
        <w:t>НОГО РИСКА</w:t>
      </w:r>
      <w:r w:rsidR="00D604D1">
        <w:rPr>
          <w:b/>
          <w:bCs/>
        </w:rPr>
        <w:t xml:space="preserve"> КОМПАНИИ</w:t>
      </w:r>
    </w:p>
    <w:p w14:paraId="1D325F4E" w14:textId="77777777" w:rsidR="00517FD5" w:rsidRPr="002B696D" w:rsidRDefault="00517FD5" w:rsidP="00517FD5">
      <w:pPr>
        <w:spacing w:before="2" w:line="120" w:lineRule="exact"/>
        <w:ind w:left="1843" w:hanging="283"/>
        <w:jc w:val="center"/>
        <w:rPr>
          <w:sz w:val="12"/>
          <w:szCs w:val="12"/>
        </w:rPr>
      </w:pPr>
    </w:p>
    <w:p w14:paraId="307EF3C7" w14:textId="77777777" w:rsidR="00517FD5" w:rsidRPr="00E54412" w:rsidRDefault="00517FD5" w:rsidP="00517FD5">
      <w:pPr>
        <w:spacing w:line="200" w:lineRule="exact"/>
        <w:ind w:left="1843" w:hanging="850"/>
        <w:jc w:val="center"/>
        <w:rPr>
          <w:sz w:val="20"/>
          <w:szCs w:val="20"/>
        </w:rPr>
      </w:pPr>
    </w:p>
    <w:p w14:paraId="115AD4DD" w14:textId="77777777" w:rsidR="00517FD5" w:rsidRPr="00E54412" w:rsidRDefault="00517FD5" w:rsidP="00517FD5">
      <w:pPr>
        <w:spacing w:line="200" w:lineRule="exact"/>
        <w:ind w:left="1843" w:hanging="850"/>
        <w:rPr>
          <w:sz w:val="20"/>
          <w:szCs w:val="20"/>
        </w:rPr>
      </w:pPr>
    </w:p>
    <w:p w14:paraId="64A4E545" w14:textId="77777777" w:rsidR="00517FD5" w:rsidRDefault="00517FD5" w:rsidP="00517FD5">
      <w:pPr>
        <w:spacing w:line="200" w:lineRule="exact"/>
        <w:ind w:left="1843" w:hanging="850"/>
        <w:rPr>
          <w:sz w:val="20"/>
          <w:szCs w:val="20"/>
        </w:rPr>
      </w:pPr>
    </w:p>
    <w:p w14:paraId="24FC70BE" w14:textId="77777777" w:rsidR="00517FD5" w:rsidRDefault="00517FD5" w:rsidP="00517FD5">
      <w:pPr>
        <w:spacing w:line="200" w:lineRule="exact"/>
        <w:rPr>
          <w:sz w:val="20"/>
          <w:szCs w:val="20"/>
        </w:rPr>
      </w:pPr>
    </w:p>
    <w:p w14:paraId="037DF95A" w14:textId="77777777" w:rsidR="00517FD5" w:rsidRDefault="00517FD5" w:rsidP="00517FD5">
      <w:pPr>
        <w:spacing w:line="200" w:lineRule="exact"/>
        <w:rPr>
          <w:sz w:val="20"/>
          <w:szCs w:val="20"/>
        </w:rPr>
      </w:pPr>
    </w:p>
    <w:p w14:paraId="12D39A62" w14:textId="77777777" w:rsidR="00517FD5" w:rsidRDefault="00517FD5" w:rsidP="00517FD5">
      <w:pPr>
        <w:spacing w:line="200" w:lineRule="exact"/>
        <w:rPr>
          <w:sz w:val="20"/>
          <w:szCs w:val="20"/>
        </w:rPr>
      </w:pPr>
    </w:p>
    <w:p w14:paraId="5AD66D47" w14:textId="77777777" w:rsidR="00517FD5" w:rsidRDefault="00517FD5" w:rsidP="00517FD5">
      <w:pPr>
        <w:spacing w:line="200" w:lineRule="exact"/>
        <w:rPr>
          <w:sz w:val="20"/>
          <w:szCs w:val="20"/>
        </w:rPr>
      </w:pPr>
    </w:p>
    <w:p w14:paraId="6F2B282A" w14:textId="77777777" w:rsidR="00517FD5" w:rsidRPr="00E54412" w:rsidRDefault="00517FD5" w:rsidP="00517FD5">
      <w:pPr>
        <w:spacing w:line="200" w:lineRule="exact"/>
        <w:rPr>
          <w:sz w:val="20"/>
          <w:szCs w:val="20"/>
        </w:rPr>
      </w:pPr>
    </w:p>
    <w:p w14:paraId="65B0B842" w14:textId="77777777" w:rsidR="00517FD5" w:rsidRPr="00E54412" w:rsidRDefault="00517FD5" w:rsidP="00517FD5">
      <w:pPr>
        <w:spacing w:line="200" w:lineRule="exact"/>
        <w:rPr>
          <w:sz w:val="20"/>
          <w:szCs w:val="20"/>
        </w:rPr>
      </w:pPr>
    </w:p>
    <w:p w14:paraId="4799B67C" w14:textId="77777777" w:rsidR="00517FD5" w:rsidRPr="00E54412" w:rsidRDefault="00517FD5" w:rsidP="00517FD5">
      <w:pPr>
        <w:spacing w:line="200" w:lineRule="exact"/>
        <w:rPr>
          <w:sz w:val="20"/>
          <w:szCs w:val="20"/>
        </w:rPr>
      </w:pPr>
    </w:p>
    <w:p w14:paraId="6EFA8C36" w14:textId="77777777" w:rsidR="00517FD5" w:rsidRDefault="00517FD5" w:rsidP="00517FD5">
      <w:pPr>
        <w:ind w:left="4670" w:right="566"/>
      </w:pPr>
      <w:r w:rsidRPr="00E54412">
        <w:rPr>
          <w:spacing w:val="-1"/>
        </w:rPr>
        <w:t>В</w:t>
      </w:r>
      <w:r w:rsidRPr="00E54412">
        <w:rPr>
          <w:spacing w:val="2"/>
        </w:rPr>
        <w:t>ы</w:t>
      </w:r>
      <w:r w:rsidRPr="00E54412">
        <w:rPr>
          <w:spacing w:val="6"/>
        </w:rPr>
        <w:t>п</w:t>
      </w:r>
      <w:r w:rsidRPr="00E54412">
        <w:rPr>
          <w:spacing w:val="-9"/>
        </w:rPr>
        <w:t>у</w:t>
      </w:r>
      <w:r w:rsidRPr="00E54412">
        <w:rPr>
          <w:spacing w:val="-1"/>
        </w:rPr>
        <w:t>ск</w:t>
      </w:r>
      <w:r w:rsidRPr="00E54412">
        <w:rPr>
          <w:spacing w:val="1"/>
        </w:rPr>
        <w:t>н</w:t>
      </w:r>
      <w:r w:rsidRPr="00E54412">
        <w:rPr>
          <w:spacing w:val="-1"/>
        </w:rPr>
        <w:t>а</w:t>
      </w:r>
      <w:r w:rsidRPr="00E54412">
        <w:t>я</w:t>
      </w:r>
      <w:r w:rsidRPr="00E54412">
        <w:rPr>
          <w:spacing w:val="-9"/>
        </w:rPr>
        <w:t xml:space="preserve"> </w:t>
      </w:r>
      <w:r w:rsidRPr="00E54412">
        <w:rPr>
          <w:spacing w:val="-1"/>
        </w:rPr>
        <w:t>к</w:t>
      </w:r>
      <w:r w:rsidRPr="00E54412">
        <w:rPr>
          <w:spacing w:val="2"/>
        </w:rPr>
        <w:t>в</w:t>
      </w:r>
      <w:r w:rsidRPr="00E54412">
        <w:rPr>
          <w:spacing w:val="-1"/>
        </w:rPr>
        <w:t>ал</w:t>
      </w:r>
      <w:r w:rsidRPr="00E54412">
        <w:rPr>
          <w:spacing w:val="1"/>
        </w:rPr>
        <w:t>и</w:t>
      </w:r>
      <w:r w:rsidRPr="00E54412">
        <w:rPr>
          <w:spacing w:val="-2"/>
        </w:rPr>
        <w:t>ф</w:t>
      </w:r>
      <w:r w:rsidRPr="00E54412">
        <w:rPr>
          <w:spacing w:val="1"/>
        </w:rPr>
        <w:t>и</w:t>
      </w:r>
      <w:r w:rsidRPr="00E54412">
        <w:rPr>
          <w:spacing w:val="-1"/>
        </w:rPr>
        <w:t>ка</w:t>
      </w:r>
      <w:r w:rsidRPr="00E54412">
        <w:rPr>
          <w:spacing w:val="1"/>
        </w:rPr>
        <w:t>ци</w:t>
      </w:r>
      <w:r w:rsidRPr="00E54412">
        <w:rPr>
          <w:spacing w:val="5"/>
        </w:rPr>
        <w:t>о</w:t>
      </w:r>
      <w:r w:rsidRPr="00E54412">
        <w:rPr>
          <w:spacing w:val="1"/>
        </w:rPr>
        <w:t>нн</w:t>
      </w:r>
      <w:r w:rsidRPr="00E54412">
        <w:rPr>
          <w:spacing w:val="-1"/>
        </w:rPr>
        <w:t>а</w:t>
      </w:r>
      <w:r w:rsidRPr="00E54412">
        <w:t>я</w:t>
      </w:r>
      <w:r w:rsidRPr="00E54412">
        <w:rPr>
          <w:spacing w:val="-17"/>
        </w:rPr>
        <w:t xml:space="preserve"> </w:t>
      </w:r>
      <w:r w:rsidRPr="00E54412">
        <w:t>р</w:t>
      </w:r>
      <w:r w:rsidRPr="00E54412">
        <w:rPr>
          <w:spacing w:val="-1"/>
        </w:rPr>
        <w:t>а</w:t>
      </w:r>
      <w:r w:rsidRPr="00E54412">
        <w:rPr>
          <w:spacing w:val="-7"/>
        </w:rPr>
        <w:t>б</w:t>
      </w:r>
      <w:r w:rsidRPr="00E54412">
        <w:rPr>
          <w:spacing w:val="5"/>
        </w:rPr>
        <w:t>о</w:t>
      </w:r>
      <w:r w:rsidRPr="00E54412">
        <w:rPr>
          <w:spacing w:val="1"/>
        </w:rPr>
        <w:t>т</w:t>
      </w:r>
      <w:r w:rsidRPr="00E54412">
        <w:t xml:space="preserve">а </w:t>
      </w:r>
    </w:p>
    <w:p w14:paraId="1CE1D34E" w14:textId="77777777" w:rsidR="00517FD5" w:rsidRDefault="00517FD5" w:rsidP="00517FD5">
      <w:pPr>
        <w:ind w:left="4670" w:right="566"/>
      </w:pPr>
      <w:r w:rsidRPr="00E54412">
        <w:rPr>
          <w:spacing w:val="-1"/>
        </w:rPr>
        <w:t>с</w:t>
      </w:r>
      <w:r w:rsidRPr="00E54412">
        <w:rPr>
          <w:spacing w:val="5"/>
        </w:rPr>
        <w:t>т</w:t>
      </w:r>
      <w:r w:rsidRPr="00E54412">
        <w:rPr>
          <w:spacing w:val="-10"/>
        </w:rPr>
        <w:t>у</w:t>
      </w:r>
      <w:r w:rsidRPr="00E54412">
        <w:rPr>
          <w:spacing w:val="3"/>
        </w:rPr>
        <w:t>д</w:t>
      </w:r>
      <w:r w:rsidRPr="00E54412">
        <w:rPr>
          <w:spacing w:val="-1"/>
        </w:rPr>
        <w:t>е</w:t>
      </w:r>
      <w:r w:rsidRPr="00E54412">
        <w:rPr>
          <w:spacing w:val="1"/>
        </w:rPr>
        <w:t>нт</w:t>
      </w:r>
      <w:r w:rsidRPr="00E54412">
        <w:t>а</w:t>
      </w:r>
      <w:r w:rsidRPr="00E54412">
        <w:rPr>
          <w:spacing w:val="-7"/>
        </w:rPr>
        <w:t xml:space="preserve"> </w:t>
      </w:r>
      <w:r w:rsidRPr="00E54412">
        <w:t>4</w:t>
      </w:r>
      <w:r w:rsidRPr="00E54412">
        <w:rPr>
          <w:spacing w:val="1"/>
        </w:rPr>
        <w:t xml:space="preserve"> </w:t>
      </w:r>
      <w:r w:rsidRPr="00E54412">
        <w:rPr>
          <w:spacing w:val="3"/>
        </w:rPr>
        <w:t>к</w:t>
      </w:r>
      <w:r w:rsidRPr="00E54412">
        <w:rPr>
          <w:spacing w:val="-9"/>
        </w:rPr>
        <w:t>у</w:t>
      </w:r>
      <w:r w:rsidRPr="00E54412">
        <w:t>р</w:t>
      </w:r>
      <w:r w:rsidRPr="00E54412">
        <w:rPr>
          <w:spacing w:val="-1"/>
        </w:rPr>
        <w:t>с</w:t>
      </w:r>
      <w:r w:rsidRPr="00E54412">
        <w:t>а</w:t>
      </w:r>
      <w:r w:rsidRPr="00E54412">
        <w:rPr>
          <w:spacing w:val="-4"/>
        </w:rPr>
        <w:t xml:space="preserve"> </w:t>
      </w:r>
      <w:r w:rsidRPr="00E54412">
        <w:rPr>
          <w:spacing w:val="-2"/>
        </w:rPr>
        <w:t>б</w:t>
      </w:r>
      <w:r w:rsidRPr="00E54412">
        <w:rPr>
          <w:spacing w:val="4"/>
        </w:rPr>
        <w:t>а</w:t>
      </w:r>
      <w:r w:rsidRPr="00E54412">
        <w:rPr>
          <w:spacing w:val="-1"/>
        </w:rPr>
        <w:t>ка</w:t>
      </w:r>
      <w:r w:rsidRPr="00E54412">
        <w:t>л</w:t>
      </w:r>
      <w:r w:rsidRPr="00E54412">
        <w:rPr>
          <w:spacing w:val="-1"/>
        </w:rPr>
        <w:t>а</w:t>
      </w:r>
      <w:r w:rsidRPr="00E54412">
        <w:rPr>
          <w:spacing w:val="2"/>
        </w:rPr>
        <w:t>в</w:t>
      </w:r>
      <w:r w:rsidRPr="00E54412">
        <w:t>р</w:t>
      </w:r>
      <w:r w:rsidRPr="00E54412">
        <w:rPr>
          <w:spacing w:val="-1"/>
        </w:rPr>
        <w:t>ск</w:t>
      </w:r>
      <w:r w:rsidRPr="00E54412">
        <w:rPr>
          <w:spacing w:val="5"/>
        </w:rPr>
        <w:t>о</w:t>
      </w:r>
      <w:r w:rsidRPr="00E54412">
        <w:t>й</w:t>
      </w:r>
      <w:r w:rsidRPr="00E54412">
        <w:rPr>
          <w:spacing w:val="-10"/>
        </w:rPr>
        <w:t xml:space="preserve"> </w:t>
      </w:r>
      <w:r w:rsidRPr="00E54412">
        <w:rPr>
          <w:spacing w:val="1"/>
        </w:rPr>
        <w:t>п</w:t>
      </w:r>
      <w:r w:rsidRPr="00E54412">
        <w:rPr>
          <w:spacing w:val="-5"/>
        </w:rPr>
        <w:t>р</w:t>
      </w:r>
      <w:r w:rsidRPr="00E54412">
        <w:t>о</w:t>
      </w:r>
      <w:r w:rsidRPr="00E54412">
        <w:rPr>
          <w:spacing w:val="2"/>
        </w:rPr>
        <w:t>г</w:t>
      </w:r>
      <w:r w:rsidRPr="00E54412">
        <w:t>р</w:t>
      </w:r>
      <w:r w:rsidRPr="00E54412">
        <w:rPr>
          <w:spacing w:val="-1"/>
        </w:rPr>
        <w:t>а</w:t>
      </w:r>
      <w:r w:rsidRPr="00E54412">
        <w:rPr>
          <w:spacing w:val="2"/>
        </w:rPr>
        <w:t>м</w:t>
      </w:r>
      <w:r w:rsidRPr="00E54412">
        <w:rPr>
          <w:spacing w:val="-3"/>
        </w:rPr>
        <w:t>м</w:t>
      </w:r>
      <w:r w:rsidRPr="00E54412">
        <w:rPr>
          <w:spacing w:val="2"/>
        </w:rPr>
        <w:t>ы</w:t>
      </w:r>
      <w:r w:rsidRPr="00E54412">
        <w:t xml:space="preserve">, </w:t>
      </w:r>
      <w:r w:rsidRPr="00E54412">
        <w:rPr>
          <w:spacing w:val="1"/>
        </w:rPr>
        <w:t>п</w:t>
      </w:r>
      <w:r w:rsidRPr="00E54412">
        <w:t>р</w:t>
      </w:r>
      <w:r w:rsidRPr="00E54412">
        <w:rPr>
          <w:spacing w:val="5"/>
        </w:rPr>
        <w:t>о</w:t>
      </w:r>
      <w:r w:rsidRPr="00E54412">
        <w:rPr>
          <w:spacing w:val="-2"/>
        </w:rPr>
        <w:t>ф</w:t>
      </w:r>
      <w:r w:rsidRPr="00E54412">
        <w:rPr>
          <w:spacing w:val="1"/>
        </w:rPr>
        <w:t>и</w:t>
      </w:r>
      <w:r w:rsidRPr="00E54412">
        <w:t>ль</w:t>
      </w:r>
      <w:r w:rsidRPr="00E54412">
        <w:rPr>
          <w:spacing w:val="-11"/>
        </w:rPr>
        <w:t xml:space="preserve"> </w:t>
      </w:r>
      <w:r w:rsidRPr="00E54412">
        <w:t>–</w:t>
      </w:r>
      <w:r w:rsidRPr="00E54412">
        <w:rPr>
          <w:spacing w:val="1"/>
        </w:rPr>
        <w:t xml:space="preserve"> </w:t>
      </w:r>
      <w:r>
        <w:rPr>
          <w:spacing w:val="-7"/>
          <w:w w:val="98"/>
        </w:rPr>
        <w:t>Финансовый менеджмент</w:t>
      </w:r>
    </w:p>
    <w:p w14:paraId="1E74092A" w14:textId="77777777" w:rsidR="00517FD5" w:rsidRDefault="00517FD5" w:rsidP="00517FD5">
      <w:pPr>
        <w:ind w:left="4670" w:right="566"/>
      </w:pPr>
    </w:p>
    <w:p w14:paraId="64906214" w14:textId="2BD137F5" w:rsidR="00517FD5" w:rsidRPr="00E54412" w:rsidRDefault="00D24533" w:rsidP="00517FD5">
      <w:pPr>
        <w:ind w:left="4670" w:right="566"/>
      </w:pPr>
      <w:r>
        <w:rPr>
          <w:b/>
          <w:bCs/>
          <w:position w:val="-1"/>
        </w:rPr>
        <w:t>ГРИЦАЙ</w:t>
      </w:r>
      <w:r w:rsidRPr="00E54412">
        <w:rPr>
          <w:b/>
          <w:bCs/>
          <w:spacing w:val="-10"/>
          <w:position w:val="-1"/>
        </w:rPr>
        <w:t xml:space="preserve"> </w:t>
      </w:r>
      <w:r>
        <w:rPr>
          <w:b/>
          <w:bCs/>
          <w:position w:val="-1"/>
        </w:rPr>
        <w:t>Полина Александровна</w:t>
      </w:r>
    </w:p>
    <w:p w14:paraId="120F8098" w14:textId="77777777" w:rsidR="00517FD5" w:rsidRPr="00E54412" w:rsidRDefault="00517FD5" w:rsidP="00517FD5">
      <w:pPr>
        <w:spacing w:before="7" w:line="120" w:lineRule="exact"/>
        <w:ind w:right="566"/>
        <w:rPr>
          <w:sz w:val="12"/>
          <w:szCs w:val="12"/>
        </w:rPr>
      </w:pPr>
    </w:p>
    <w:p w14:paraId="77C50D33" w14:textId="77777777" w:rsidR="00517FD5" w:rsidRPr="00E54412" w:rsidRDefault="00517FD5" w:rsidP="00517FD5">
      <w:pPr>
        <w:spacing w:line="200" w:lineRule="exact"/>
        <w:ind w:right="566"/>
        <w:rPr>
          <w:sz w:val="20"/>
          <w:szCs w:val="20"/>
        </w:rPr>
      </w:pPr>
    </w:p>
    <w:p w14:paraId="5D985064" w14:textId="77777777" w:rsidR="00517FD5" w:rsidRPr="00E54412" w:rsidRDefault="00517FD5" w:rsidP="00517FD5">
      <w:pPr>
        <w:spacing w:before="38"/>
        <w:ind w:right="566"/>
        <w:jc w:val="center"/>
        <w:rPr>
          <w:sz w:val="16"/>
          <w:szCs w:val="16"/>
        </w:rPr>
      </w:pPr>
      <w:r>
        <w:rPr>
          <w:noProof/>
        </w:rPr>
        <mc:AlternateContent>
          <mc:Choice Requires="wpg">
            <w:drawing>
              <wp:anchor distT="0" distB="0" distL="114300" distR="114300" simplePos="0" relativeHeight="251659264" behindDoc="1" locked="0" layoutInCell="1" allowOverlap="1" wp14:anchorId="46B83A5D" wp14:editId="24A3E43E">
                <wp:simplePos x="0" y="0"/>
                <wp:positionH relativeFrom="page">
                  <wp:posOffset>4032250</wp:posOffset>
                </wp:positionH>
                <wp:positionV relativeFrom="paragraph">
                  <wp:posOffset>41910</wp:posOffset>
                </wp:positionV>
                <wp:extent cx="2209165" cy="1270"/>
                <wp:effectExtent l="12700" t="13335" r="6985" b="4445"/>
                <wp:wrapNone/>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8"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A959C" id="Group 4" o:spid="_x0000_s1026" style="position:absolute;margin-left:317.5pt;margin-top:3.3pt;width:173.95pt;height:.1pt;z-index:-251657216;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">
                <v:shape id="Freeform 5" o:spid="_x0000_s1027" style="position:absolute;left:6350;top:66;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" path="m,l3480,e" filled="f" strokeweight=".16931mm">
                  <v:path arrowok="t" o:connecttype="custom" o:connectlocs="0,0;3480,0" o:connectangles="0,0"/>
                </v:shape>
                <w10:wrap anchorx="page"/>
              </v:group>
            </w:pict>
          </mc:Fallback>
        </mc:AlternateContent>
      </w:r>
      <w:r>
        <w:rPr>
          <w:i/>
          <w:spacing w:val="-5"/>
          <w:w w:val="98"/>
          <w:sz w:val="16"/>
          <w:szCs w:val="16"/>
        </w:rPr>
        <w:t xml:space="preserve">                                                                                                     </w:t>
      </w:r>
      <w:r w:rsidRPr="00E54412">
        <w:rPr>
          <w:i/>
          <w:spacing w:val="-5"/>
          <w:w w:val="98"/>
          <w:sz w:val="16"/>
          <w:szCs w:val="16"/>
        </w:rPr>
        <w:t>(</w:t>
      </w:r>
      <w:r w:rsidRPr="00E54412">
        <w:rPr>
          <w:i/>
          <w:spacing w:val="2"/>
          <w:w w:val="98"/>
          <w:sz w:val="16"/>
          <w:szCs w:val="16"/>
        </w:rPr>
        <w:t>по</w:t>
      </w:r>
      <w:r w:rsidRPr="00E54412">
        <w:rPr>
          <w:i/>
          <w:spacing w:val="1"/>
          <w:w w:val="98"/>
          <w:sz w:val="16"/>
          <w:szCs w:val="16"/>
        </w:rPr>
        <w:t>д</w:t>
      </w:r>
      <w:r w:rsidRPr="00E54412">
        <w:rPr>
          <w:i/>
          <w:spacing w:val="2"/>
          <w:w w:val="98"/>
          <w:sz w:val="16"/>
          <w:szCs w:val="16"/>
        </w:rPr>
        <w:t>пис</w:t>
      </w:r>
      <w:r w:rsidRPr="00E54412">
        <w:rPr>
          <w:i/>
          <w:w w:val="98"/>
          <w:sz w:val="16"/>
          <w:szCs w:val="16"/>
        </w:rPr>
        <w:t>ь)</w:t>
      </w:r>
    </w:p>
    <w:p w14:paraId="3750F7B4" w14:textId="77777777" w:rsidR="00517FD5" w:rsidRPr="00E54412" w:rsidRDefault="00517FD5" w:rsidP="00517FD5">
      <w:pPr>
        <w:spacing w:line="200" w:lineRule="exact"/>
        <w:ind w:right="566"/>
        <w:rPr>
          <w:sz w:val="20"/>
          <w:szCs w:val="20"/>
        </w:rPr>
      </w:pPr>
    </w:p>
    <w:p w14:paraId="383B7308" w14:textId="77777777" w:rsidR="00517FD5" w:rsidRPr="00E54412" w:rsidRDefault="00517FD5" w:rsidP="00517FD5">
      <w:pPr>
        <w:spacing w:before="4" w:line="200" w:lineRule="exact"/>
        <w:ind w:right="566"/>
        <w:rPr>
          <w:sz w:val="20"/>
          <w:szCs w:val="20"/>
        </w:rPr>
      </w:pPr>
    </w:p>
    <w:p w14:paraId="5BB8CE0D" w14:textId="77777777" w:rsidR="00517FD5" w:rsidRDefault="00517FD5" w:rsidP="00517FD5">
      <w:pPr>
        <w:ind w:left="4670" w:right="566"/>
      </w:pPr>
      <w:r w:rsidRPr="00E54412">
        <w:t>Н</w:t>
      </w:r>
      <w:r w:rsidRPr="00E54412">
        <w:rPr>
          <w:spacing w:val="4"/>
        </w:rPr>
        <w:t>а</w:t>
      </w:r>
      <w:r w:rsidRPr="00E54412">
        <w:rPr>
          <w:spacing w:val="-9"/>
        </w:rPr>
        <w:t>у</w:t>
      </w:r>
      <w:r w:rsidRPr="00E54412">
        <w:t>ч</w:t>
      </w:r>
      <w:r w:rsidRPr="00E54412">
        <w:rPr>
          <w:spacing w:val="1"/>
        </w:rPr>
        <w:t>н</w:t>
      </w:r>
      <w:r w:rsidRPr="00E54412">
        <w:rPr>
          <w:spacing w:val="2"/>
        </w:rPr>
        <w:t>ы</w:t>
      </w:r>
      <w:r w:rsidRPr="00E54412">
        <w:t>й</w:t>
      </w:r>
      <w:r w:rsidRPr="00E54412">
        <w:rPr>
          <w:spacing w:val="-5"/>
        </w:rPr>
        <w:t xml:space="preserve"> </w:t>
      </w:r>
      <w:r w:rsidRPr="00E54412">
        <w:rPr>
          <w:spacing w:val="5"/>
        </w:rPr>
        <w:t>р</w:t>
      </w:r>
      <w:r w:rsidRPr="00E54412">
        <w:rPr>
          <w:spacing w:val="-9"/>
        </w:rPr>
        <w:t>у</w:t>
      </w:r>
      <w:r w:rsidRPr="00E54412">
        <w:rPr>
          <w:spacing w:val="-1"/>
        </w:rPr>
        <w:t>к</w:t>
      </w:r>
      <w:r w:rsidRPr="00E54412">
        <w:rPr>
          <w:spacing w:val="5"/>
        </w:rPr>
        <w:t>о</w:t>
      </w:r>
      <w:r w:rsidRPr="00E54412">
        <w:rPr>
          <w:spacing w:val="2"/>
        </w:rPr>
        <w:t>в</w:t>
      </w:r>
      <w:r w:rsidRPr="00E54412">
        <w:rPr>
          <w:spacing w:val="5"/>
        </w:rPr>
        <w:t>о</w:t>
      </w:r>
      <w:r w:rsidRPr="00E54412">
        <w:rPr>
          <w:spacing w:val="-2"/>
        </w:rPr>
        <w:t>д</w:t>
      </w:r>
      <w:r w:rsidRPr="00E54412">
        <w:rPr>
          <w:spacing w:val="1"/>
        </w:rPr>
        <w:t>ит</w:t>
      </w:r>
      <w:r w:rsidRPr="00E54412">
        <w:rPr>
          <w:spacing w:val="-1"/>
        </w:rPr>
        <w:t>е</w:t>
      </w:r>
      <w:r w:rsidRPr="00E54412">
        <w:t>л</w:t>
      </w:r>
      <w:r w:rsidRPr="00E54412">
        <w:rPr>
          <w:spacing w:val="1"/>
        </w:rPr>
        <w:t>ь</w:t>
      </w:r>
      <w:r w:rsidRPr="00E54412">
        <w:t xml:space="preserve">: </w:t>
      </w:r>
    </w:p>
    <w:p w14:paraId="5BC5A1E3" w14:textId="52116B50" w:rsidR="00517FD5" w:rsidRDefault="00D604D1" w:rsidP="00517FD5">
      <w:pPr>
        <w:ind w:left="4670" w:right="566"/>
        <w:rPr>
          <w:spacing w:val="1"/>
        </w:rPr>
      </w:pPr>
      <w:r>
        <w:rPr>
          <w:spacing w:val="-2"/>
        </w:rPr>
        <w:t>ст. преподаватель кафедры финансов и учета</w:t>
      </w:r>
    </w:p>
    <w:p w14:paraId="47E06126" w14:textId="6A460FDD" w:rsidR="00517FD5" w:rsidRPr="00E54412" w:rsidRDefault="00D24533" w:rsidP="00517FD5">
      <w:pPr>
        <w:ind w:left="4670" w:right="566"/>
      </w:pPr>
      <w:r>
        <w:t>БЕЛЯЕВ</w:t>
      </w:r>
      <w:r w:rsidRPr="00E54412">
        <w:rPr>
          <w:spacing w:val="-8"/>
        </w:rPr>
        <w:t xml:space="preserve"> </w:t>
      </w:r>
      <w:r>
        <w:t>Руслан Валерьевич</w:t>
      </w:r>
    </w:p>
    <w:p w14:paraId="05FBC6ED" w14:textId="77777777" w:rsidR="00517FD5" w:rsidRPr="00E54412" w:rsidRDefault="00517FD5" w:rsidP="00517FD5">
      <w:pPr>
        <w:spacing w:line="200" w:lineRule="exact"/>
        <w:ind w:right="566"/>
        <w:rPr>
          <w:sz w:val="20"/>
          <w:szCs w:val="20"/>
        </w:rPr>
      </w:pPr>
    </w:p>
    <w:p w14:paraId="270B1697" w14:textId="77777777" w:rsidR="00517FD5" w:rsidRPr="00E54412" w:rsidRDefault="00517FD5" w:rsidP="00517FD5">
      <w:pPr>
        <w:spacing w:before="2" w:line="240" w:lineRule="exact"/>
        <w:ind w:right="566"/>
      </w:pPr>
    </w:p>
    <w:p w14:paraId="6F6E63F0" w14:textId="77777777" w:rsidR="00517FD5" w:rsidRPr="00F776A9" w:rsidRDefault="00517FD5" w:rsidP="00517FD5">
      <w:pPr>
        <w:spacing w:before="38" w:line="180" w:lineRule="exact"/>
        <w:ind w:right="566"/>
        <w:jc w:val="center"/>
        <w:rPr>
          <w:sz w:val="16"/>
          <w:szCs w:val="16"/>
        </w:rPr>
      </w:pPr>
      <w:r>
        <w:rPr>
          <w:noProof/>
        </w:rPr>
        <mc:AlternateContent>
          <mc:Choice Requires="wpg">
            <w:drawing>
              <wp:anchor distT="0" distB="0" distL="114300" distR="114300" simplePos="0" relativeHeight="251660288" behindDoc="1" locked="0" layoutInCell="1" allowOverlap="1" wp14:anchorId="3E77EBED" wp14:editId="19A2AEEE">
                <wp:simplePos x="0" y="0"/>
                <wp:positionH relativeFrom="page">
                  <wp:posOffset>4032250</wp:posOffset>
                </wp:positionH>
                <wp:positionV relativeFrom="paragraph">
                  <wp:posOffset>45085</wp:posOffset>
                </wp:positionV>
                <wp:extent cx="2285365" cy="1270"/>
                <wp:effectExtent l="12700" t="6985" r="6985" b="1079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16"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A4A660" id="Group 2" o:spid="_x0000_s1026" style="position:absolute;margin-left:317.5pt;margin-top:3.55pt;width:179.95pt;height:.1pt;z-index:-251656192;mso-position-horizontal-relative:page" coordorigin="6350,71"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">
                <v:shape id="Freeform 3" o:spid="_x0000_s1027" style="position:absolute;left:6350;top:71;width:3599;height:2;visibility:visible;mso-wrap-style:square;v-text-anchor:top" coordsize="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" path="m,l3600,e" filled="f" strokeweight=".16931mm">
                  <v:path arrowok="t" o:connecttype="custom" o:connectlocs="0,0;3600,0" o:connectangles="0,0"/>
                </v:shape>
                <w10:wrap anchorx="page"/>
              </v:group>
            </w:pict>
          </mc:Fallback>
        </mc:AlternateContent>
      </w:r>
      <w:r>
        <w:rPr>
          <w:i/>
          <w:spacing w:val="-5"/>
          <w:w w:val="98"/>
          <w:position w:val="-1"/>
          <w:sz w:val="16"/>
          <w:szCs w:val="16"/>
        </w:rPr>
        <w:t xml:space="preserve">                                                                                                    </w:t>
      </w:r>
      <w:r w:rsidRPr="00E54412">
        <w:rPr>
          <w:i/>
          <w:spacing w:val="-5"/>
          <w:w w:val="98"/>
          <w:position w:val="-1"/>
          <w:sz w:val="16"/>
          <w:szCs w:val="16"/>
        </w:rPr>
        <w:t>(</w:t>
      </w:r>
      <w:r w:rsidRPr="00E54412">
        <w:rPr>
          <w:i/>
          <w:spacing w:val="2"/>
          <w:w w:val="98"/>
          <w:position w:val="-1"/>
          <w:sz w:val="16"/>
          <w:szCs w:val="16"/>
        </w:rPr>
        <w:t>по</w:t>
      </w:r>
      <w:r w:rsidRPr="00E54412">
        <w:rPr>
          <w:i/>
          <w:spacing w:val="1"/>
          <w:w w:val="98"/>
          <w:position w:val="-1"/>
          <w:sz w:val="16"/>
          <w:szCs w:val="16"/>
        </w:rPr>
        <w:t>д</w:t>
      </w:r>
      <w:r w:rsidRPr="00E54412">
        <w:rPr>
          <w:i/>
          <w:spacing w:val="2"/>
          <w:w w:val="98"/>
          <w:position w:val="-1"/>
          <w:sz w:val="16"/>
          <w:szCs w:val="16"/>
        </w:rPr>
        <w:t>пис</w:t>
      </w:r>
      <w:r w:rsidRPr="00E54412">
        <w:rPr>
          <w:i/>
          <w:w w:val="98"/>
          <w:position w:val="-1"/>
          <w:sz w:val="16"/>
          <w:szCs w:val="16"/>
        </w:rPr>
        <w:t>ь)</w:t>
      </w:r>
    </w:p>
    <w:p w14:paraId="78FCDA28" w14:textId="77777777" w:rsidR="00517FD5" w:rsidRPr="00E54412" w:rsidRDefault="00517FD5" w:rsidP="00517FD5">
      <w:pPr>
        <w:spacing w:line="200" w:lineRule="exact"/>
        <w:ind w:right="566"/>
        <w:rPr>
          <w:sz w:val="20"/>
          <w:szCs w:val="20"/>
        </w:rPr>
      </w:pPr>
    </w:p>
    <w:p w14:paraId="174A26FF" w14:textId="77777777" w:rsidR="00517FD5" w:rsidRPr="00E54412" w:rsidRDefault="00517FD5" w:rsidP="00517FD5">
      <w:pPr>
        <w:spacing w:line="200" w:lineRule="exact"/>
        <w:rPr>
          <w:sz w:val="20"/>
          <w:szCs w:val="20"/>
        </w:rPr>
      </w:pPr>
    </w:p>
    <w:p w14:paraId="12C6BEDC" w14:textId="77777777" w:rsidR="00517FD5" w:rsidRPr="00E54412" w:rsidRDefault="00517FD5" w:rsidP="00517FD5">
      <w:pPr>
        <w:spacing w:line="200" w:lineRule="exact"/>
        <w:rPr>
          <w:sz w:val="20"/>
          <w:szCs w:val="20"/>
        </w:rPr>
      </w:pPr>
    </w:p>
    <w:p w14:paraId="6D94B691" w14:textId="77777777" w:rsidR="00517FD5" w:rsidRPr="00E54412" w:rsidRDefault="00517FD5" w:rsidP="00517FD5">
      <w:pPr>
        <w:spacing w:line="200" w:lineRule="exact"/>
        <w:rPr>
          <w:sz w:val="20"/>
          <w:szCs w:val="20"/>
        </w:rPr>
      </w:pPr>
    </w:p>
    <w:p w14:paraId="7D2CBECD" w14:textId="77777777" w:rsidR="00517FD5" w:rsidRPr="00E54412" w:rsidRDefault="00517FD5" w:rsidP="00517FD5">
      <w:pPr>
        <w:spacing w:line="200" w:lineRule="exact"/>
        <w:rPr>
          <w:sz w:val="20"/>
          <w:szCs w:val="20"/>
        </w:rPr>
      </w:pPr>
    </w:p>
    <w:p w14:paraId="38A0AE7E" w14:textId="77777777" w:rsidR="00517FD5" w:rsidRDefault="00517FD5" w:rsidP="00517FD5">
      <w:pPr>
        <w:spacing w:line="200" w:lineRule="exact"/>
        <w:rPr>
          <w:sz w:val="20"/>
          <w:szCs w:val="20"/>
        </w:rPr>
      </w:pPr>
    </w:p>
    <w:p w14:paraId="0752E088" w14:textId="77777777" w:rsidR="00517FD5" w:rsidRDefault="00517FD5" w:rsidP="00517FD5">
      <w:pPr>
        <w:spacing w:line="200" w:lineRule="exact"/>
        <w:rPr>
          <w:sz w:val="20"/>
          <w:szCs w:val="20"/>
        </w:rPr>
      </w:pPr>
    </w:p>
    <w:p w14:paraId="117C8332" w14:textId="77777777" w:rsidR="00517FD5" w:rsidRDefault="00517FD5" w:rsidP="00517FD5">
      <w:pPr>
        <w:spacing w:line="200" w:lineRule="exact"/>
        <w:rPr>
          <w:sz w:val="20"/>
          <w:szCs w:val="20"/>
        </w:rPr>
      </w:pPr>
    </w:p>
    <w:p w14:paraId="70C1DB12" w14:textId="77777777" w:rsidR="00517FD5" w:rsidRDefault="00517FD5" w:rsidP="00517FD5">
      <w:pPr>
        <w:spacing w:line="200" w:lineRule="exact"/>
        <w:rPr>
          <w:sz w:val="20"/>
          <w:szCs w:val="20"/>
        </w:rPr>
      </w:pPr>
    </w:p>
    <w:p w14:paraId="57FE2D6F" w14:textId="77777777" w:rsidR="00517FD5" w:rsidRDefault="00517FD5" w:rsidP="00517FD5">
      <w:pPr>
        <w:spacing w:line="200" w:lineRule="exact"/>
        <w:rPr>
          <w:sz w:val="20"/>
          <w:szCs w:val="20"/>
        </w:rPr>
      </w:pPr>
    </w:p>
    <w:p w14:paraId="4D21EABE" w14:textId="77777777" w:rsidR="00517FD5" w:rsidRPr="00E54412" w:rsidRDefault="00517FD5" w:rsidP="00517FD5">
      <w:pPr>
        <w:spacing w:line="200" w:lineRule="exact"/>
        <w:rPr>
          <w:sz w:val="20"/>
          <w:szCs w:val="20"/>
        </w:rPr>
      </w:pPr>
    </w:p>
    <w:p w14:paraId="4B520D5C" w14:textId="77777777" w:rsidR="00517FD5" w:rsidRDefault="00517FD5" w:rsidP="007823B1">
      <w:pPr>
        <w:spacing w:before="29"/>
        <w:ind w:right="3846"/>
        <w:rPr>
          <w:spacing w:val="2"/>
        </w:rPr>
      </w:pPr>
    </w:p>
    <w:p w14:paraId="25D76FD2" w14:textId="77777777" w:rsidR="00517FD5" w:rsidRDefault="00517FD5" w:rsidP="00517FD5">
      <w:pPr>
        <w:spacing w:before="29"/>
        <w:ind w:left="3773" w:right="3846"/>
        <w:rPr>
          <w:spacing w:val="2"/>
        </w:rPr>
      </w:pPr>
    </w:p>
    <w:p w14:paraId="54E98642" w14:textId="77777777" w:rsidR="00517FD5" w:rsidRDefault="00517FD5" w:rsidP="00517FD5">
      <w:pPr>
        <w:jc w:val="center"/>
      </w:pPr>
    </w:p>
    <w:p w14:paraId="1DD069F2" w14:textId="77777777" w:rsidR="00517FD5" w:rsidRPr="00517FD5" w:rsidRDefault="00517FD5" w:rsidP="00517FD5">
      <w:pPr>
        <w:jc w:val="center"/>
      </w:pPr>
      <w:r w:rsidRPr="00517FD5">
        <w:t>Санкт-Петербург</w:t>
      </w:r>
      <w:r w:rsidRPr="00517FD5">
        <w:br/>
        <w:t>2018</w:t>
      </w:r>
      <w:r w:rsidRPr="00517FD5">
        <w:rPr>
          <w:b/>
        </w:rPr>
        <w:br w:type="page"/>
      </w:r>
    </w:p>
    <w:p w14:paraId="5F7D25D4" w14:textId="77777777" w:rsidR="006A663D" w:rsidRPr="006A663D" w:rsidRDefault="006A663D" w:rsidP="006A663D">
      <w:pPr>
        <w:jc w:val="center"/>
      </w:pPr>
      <w:r w:rsidRPr="006A663D">
        <w:lastRenderedPageBreak/>
        <w:t>Заявление</w:t>
      </w:r>
      <w:r>
        <w:br/>
      </w:r>
      <w:r w:rsidRPr="006A663D">
        <w:t>о самостоятельном выполнении выпускной квалификационной работы</w:t>
      </w:r>
    </w:p>
    <w:p w14:paraId="5F2129B4" w14:textId="77777777" w:rsidR="006A663D" w:rsidRPr="006A663D" w:rsidRDefault="006A663D" w:rsidP="006A663D"/>
    <w:p w14:paraId="1649C99E" w14:textId="77777777" w:rsidR="006A663D" w:rsidRPr="00E54412" w:rsidRDefault="006A663D" w:rsidP="006A663D">
      <w:pPr>
        <w:spacing w:line="200" w:lineRule="exact"/>
        <w:rPr>
          <w:sz w:val="20"/>
          <w:szCs w:val="20"/>
        </w:rPr>
      </w:pPr>
    </w:p>
    <w:p w14:paraId="27C8631B" w14:textId="3C4B5C34" w:rsidR="006A663D" w:rsidRPr="00F776A9" w:rsidRDefault="006A663D" w:rsidP="006A663D">
      <w:pPr>
        <w:spacing w:line="360" w:lineRule="auto"/>
        <w:ind w:firstLine="708"/>
        <w:jc w:val="both"/>
      </w:pPr>
      <w:r w:rsidRPr="00F776A9">
        <w:t xml:space="preserve">Я, </w:t>
      </w:r>
      <w:r w:rsidR="00D604D1">
        <w:t>Грицай Полина Александровна</w:t>
      </w:r>
      <w:r w:rsidRPr="00F776A9">
        <w:t>, студент</w:t>
      </w:r>
      <w:r w:rsidR="00D604D1">
        <w:t>ка</w:t>
      </w:r>
      <w:r w:rsidRPr="00F776A9">
        <w:t xml:space="preserve"> 4 курса направления 080200 «Менеджмент» (профиль подготовки – </w:t>
      </w:r>
      <w:r>
        <w:t>Финансовый менеджмент</w:t>
      </w:r>
      <w:r w:rsidRPr="00F776A9">
        <w:t>), заявляю, что в моей выпускной квалификационной работе на тему «</w:t>
      </w:r>
      <w:r w:rsidR="00D604D1">
        <w:t>Взаимосвязь наличия облигационных займов и кредитоспособности компании</w:t>
      </w:r>
      <w:r w:rsidRPr="00F776A9">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4D8EB8D5" w14:textId="77777777" w:rsidR="006A663D" w:rsidRPr="00F776A9" w:rsidRDefault="006A663D" w:rsidP="006A663D">
      <w:pPr>
        <w:spacing w:line="360" w:lineRule="auto"/>
        <w:ind w:firstLine="708"/>
        <w:jc w:val="both"/>
      </w:pPr>
      <w:r w:rsidRPr="00F776A9">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77559BCB" w14:textId="77777777" w:rsidR="006A663D" w:rsidRPr="006D4DF8" w:rsidRDefault="006A663D" w:rsidP="006A663D">
      <w:pPr>
        <w:spacing w:line="360" w:lineRule="auto"/>
        <w:ind w:firstLine="708"/>
        <w:jc w:val="both"/>
      </w:pPr>
    </w:p>
    <w:p w14:paraId="2A46A179" w14:textId="77777777" w:rsidR="006A663D" w:rsidRPr="006D4DF8" w:rsidRDefault="006A663D" w:rsidP="006A663D">
      <w:pPr>
        <w:spacing w:line="360" w:lineRule="auto"/>
        <w:ind w:firstLine="708"/>
        <w:jc w:val="both"/>
      </w:pPr>
    </w:p>
    <w:p w14:paraId="72AD79FE" w14:textId="77777777" w:rsidR="006A663D" w:rsidRPr="009E45D3" w:rsidRDefault="006A663D" w:rsidP="006A663D">
      <w:pPr>
        <w:spacing w:line="360" w:lineRule="auto"/>
        <w:jc w:val="both"/>
      </w:pPr>
      <w:r w:rsidRPr="009E45D3">
        <w:t>____________________________________ (Подпись студента)</w:t>
      </w:r>
    </w:p>
    <w:p w14:paraId="042DF9B7" w14:textId="77777777" w:rsidR="006A663D" w:rsidRDefault="006A663D" w:rsidP="006A663D">
      <w:pPr>
        <w:spacing w:line="360" w:lineRule="auto"/>
        <w:jc w:val="both"/>
      </w:pPr>
      <w:r w:rsidRPr="009E45D3">
        <w:t>____________________________________ (Дата)</w:t>
      </w:r>
    </w:p>
    <w:p w14:paraId="3DE2CBA8" w14:textId="659A12BF" w:rsidR="00800E10" w:rsidRPr="00800E10" w:rsidRDefault="006A663D" w:rsidP="00800E10">
      <w:r>
        <w:br w:type="page"/>
      </w:r>
    </w:p>
    <w:p w14:paraId="3E9F0F21" w14:textId="77143828" w:rsidR="00007A21" w:rsidRPr="00EA162F" w:rsidRDefault="00007A21" w:rsidP="00EA162F">
      <w:pPr>
        <w:pStyle w:val="13"/>
      </w:pPr>
      <w:r w:rsidRPr="00EA162F">
        <w:lastRenderedPageBreak/>
        <w:t>Оглавление</w:t>
      </w:r>
    </w:p>
    <w:p w14:paraId="08BC3A90" w14:textId="77777777" w:rsidR="00DA1759" w:rsidRDefault="00007A21">
      <w:pPr>
        <w:pStyle w:val="13"/>
        <w:rPr>
          <w:rFonts w:asciiTheme="minorHAnsi" w:eastAsiaTheme="minorEastAsia" w:hAnsiTheme="minorHAnsi" w:cstheme="minorBidi"/>
          <w:b w:val="0"/>
        </w:rPr>
      </w:pPr>
      <w:r w:rsidRPr="00007A21">
        <w:fldChar w:fldCharType="begin"/>
      </w:r>
      <w:r w:rsidRPr="00007A21">
        <w:instrText xml:space="preserve"> TOC \o "1-3" \h \z \u </w:instrText>
      </w:r>
      <w:r w:rsidRPr="00007A21">
        <w:fldChar w:fldCharType="separate"/>
      </w:r>
      <w:hyperlink w:anchor="_Toc514593067" w:history="1">
        <w:r w:rsidR="00DA1759" w:rsidRPr="0016713B">
          <w:rPr>
            <w:rStyle w:val="af1"/>
          </w:rPr>
          <w:t>Введение</w:t>
        </w:r>
        <w:r w:rsidR="00DA1759">
          <w:rPr>
            <w:webHidden/>
          </w:rPr>
          <w:tab/>
        </w:r>
        <w:r w:rsidR="00DA1759">
          <w:rPr>
            <w:webHidden/>
          </w:rPr>
          <w:fldChar w:fldCharType="begin"/>
        </w:r>
        <w:r w:rsidR="00DA1759">
          <w:rPr>
            <w:webHidden/>
          </w:rPr>
          <w:instrText xml:space="preserve"> PAGEREF _Toc514593067 \h </w:instrText>
        </w:r>
        <w:r w:rsidR="00DA1759">
          <w:rPr>
            <w:webHidden/>
          </w:rPr>
        </w:r>
        <w:r w:rsidR="00DA1759">
          <w:rPr>
            <w:webHidden/>
          </w:rPr>
          <w:fldChar w:fldCharType="separate"/>
        </w:r>
        <w:r w:rsidR="00DB6E9E">
          <w:rPr>
            <w:webHidden/>
          </w:rPr>
          <w:t>4</w:t>
        </w:r>
        <w:r w:rsidR="00DA1759">
          <w:rPr>
            <w:webHidden/>
          </w:rPr>
          <w:fldChar w:fldCharType="end"/>
        </w:r>
      </w:hyperlink>
    </w:p>
    <w:p w14:paraId="381F4BA1" w14:textId="77777777" w:rsidR="00DA1759" w:rsidRDefault="007457BE">
      <w:pPr>
        <w:pStyle w:val="13"/>
        <w:rPr>
          <w:rFonts w:asciiTheme="minorHAnsi" w:eastAsiaTheme="minorEastAsia" w:hAnsiTheme="minorHAnsi" w:cstheme="minorBidi"/>
          <w:b w:val="0"/>
        </w:rPr>
      </w:pPr>
      <w:hyperlink w:anchor="_Toc514593068" w:history="1">
        <w:r w:rsidR="00DA1759" w:rsidRPr="0016713B">
          <w:rPr>
            <w:rStyle w:val="af1"/>
          </w:rPr>
          <w:t>Глава 1. Облигационные займы ка</w:t>
        </w:r>
        <w:bookmarkStart w:id="0" w:name="_GoBack"/>
        <w:bookmarkEnd w:id="0"/>
        <w:r w:rsidR="00DA1759" w:rsidRPr="0016713B">
          <w:rPr>
            <w:rStyle w:val="af1"/>
          </w:rPr>
          <w:t>к инструмент привлечения финансирования</w:t>
        </w:r>
        <w:r w:rsidR="00DA1759">
          <w:rPr>
            <w:webHidden/>
          </w:rPr>
          <w:tab/>
        </w:r>
        <w:r w:rsidR="00DA1759">
          <w:rPr>
            <w:webHidden/>
          </w:rPr>
          <w:fldChar w:fldCharType="begin"/>
        </w:r>
        <w:r w:rsidR="00DA1759">
          <w:rPr>
            <w:webHidden/>
          </w:rPr>
          <w:instrText xml:space="preserve"> PAGEREF _Toc514593068 \h </w:instrText>
        </w:r>
        <w:r w:rsidR="00DA1759">
          <w:rPr>
            <w:webHidden/>
          </w:rPr>
        </w:r>
        <w:r w:rsidR="00DA1759">
          <w:rPr>
            <w:webHidden/>
          </w:rPr>
          <w:fldChar w:fldCharType="separate"/>
        </w:r>
        <w:r w:rsidR="00DB6E9E">
          <w:rPr>
            <w:webHidden/>
          </w:rPr>
          <w:t>7</w:t>
        </w:r>
        <w:r w:rsidR="00DA1759">
          <w:rPr>
            <w:webHidden/>
          </w:rPr>
          <w:fldChar w:fldCharType="end"/>
        </w:r>
      </w:hyperlink>
    </w:p>
    <w:p w14:paraId="23A52480" w14:textId="77777777" w:rsidR="00DA1759" w:rsidRDefault="007457BE">
      <w:pPr>
        <w:pStyle w:val="22"/>
        <w:tabs>
          <w:tab w:val="right" w:leader="dot" w:pos="9345"/>
        </w:tabs>
        <w:rPr>
          <w:rFonts w:asciiTheme="minorHAnsi" w:eastAsiaTheme="minorEastAsia" w:hAnsiTheme="minorHAnsi" w:cstheme="minorBidi"/>
          <w:noProof/>
        </w:rPr>
      </w:pPr>
      <w:hyperlink w:anchor="_Toc514593069" w:history="1">
        <w:r w:rsidR="00DA1759" w:rsidRPr="0016713B">
          <w:rPr>
            <w:rStyle w:val="af1"/>
            <w:noProof/>
          </w:rPr>
          <w:t>1.1 Понятие и характеристики облигационных займов</w:t>
        </w:r>
        <w:r w:rsidR="00DA1759">
          <w:rPr>
            <w:noProof/>
            <w:webHidden/>
          </w:rPr>
          <w:tab/>
        </w:r>
        <w:r w:rsidR="00DA1759">
          <w:rPr>
            <w:noProof/>
            <w:webHidden/>
          </w:rPr>
          <w:fldChar w:fldCharType="begin"/>
        </w:r>
        <w:r w:rsidR="00DA1759">
          <w:rPr>
            <w:noProof/>
            <w:webHidden/>
          </w:rPr>
          <w:instrText xml:space="preserve"> PAGEREF _Toc514593069 \h </w:instrText>
        </w:r>
        <w:r w:rsidR="00DA1759">
          <w:rPr>
            <w:noProof/>
            <w:webHidden/>
          </w:rPr>
        </w:r>
        <w:r w:rsidR="00DA1759">
          <w:rPr>
            <w:noProof/>
            <w:webHidden/>
          </w:rPr>
          <w:fldChar w:fldCharType="separate"/>
        </w:r>
        <w:r w:rsidR="00DB6E9E">
          <w:rPr>
            <w:noProof/>
            <w:webHidden/>
          </w:rPr>
          <w:t>7</w:t>
        </w:r>
        <w:r w:rsidR="00DA1759">
          <w:rPr>
            <w:noProof/>
            <w:webHidden/>
          </w:rPr>
          <w:fldChar w:fldCharType="end"/>
        </w:r>
      </w:hyperlink>
    </w:p>
    <w:p w14:paraId="11760125" w14:textId="77777777" w:rsidR="00DA1759" w:rsidRDefault="007457BE">
      <w:pPr>
        <w:pStyle w:val="22"/>
        <w:tabs>
          <w:tab w:val="right" w:leader="dot" w:pos="9345"/>
        </w:tabs>
        <w:rPr>
          <w:rFonts w:asciiTheme="minorHAnsi" w:eastAsiaTheme="minorEastAsia" w:hAnsiTheme="minorHAnsi" w:cstheme="minorBidi"/>
          <w:noProof/>
        </w:rPr>
      </w:pPr>
      <w:hyperlink w:anchor="_Toc514593070" w:history="1">
        <w:r w:rsidR="00DA1759" w:rsidRPr="0016713B">
          <w:rPr>
            <w:rStyle w:val="af1"/>
            <w:noProof/>
          </w:rPr>
          <w:t>1.2 Классификация корпоративных облигаций</w:t>
        </w:r>
        <w:r w:rsidR="00DA1759">
          <w:rPr>
            <w:noProof/>
            <w:webHidden/>
          </w:rPr>
          <w:tab/>
        </w:r>
        <w:r w:rsidR="00DA1759">
          <w:rPr>
            <w:noProof/>
            <w:webHidden/>
          </w:rPr>
          <w:fldChar w:fldCharType="begin"/>
        </w:r>
        <w:r w:rsidR="00DA1759">
          <w:rPr>
            <w:noProof/>
            <w:webHidden/>
          </w:rPr>
          <w:instrText xml:space="preserve"> PAGEREF _Toc514593070 \h </w:instrText>
        </w:r>
        <w:r w:rsidR="00DA1759">
          <w:rPr>
            <w:noProof/>
            <w:webHidden/>
          </w:rPr>
        </w:r>
        <w:r w:rsidR="00DA1759">
          <w:rPr>
            <w:noProof/>
            <w:webHidden/>
          </w:rPr>
          <w:fldChar w:fldCharType="separate"/>
        </w:r>
        <w:r w:rsidR="00DB6E9E">
          <w:rPr>
            <w:noProof/>
            <w:webHidden/>
          </w:rPr>
          <w:t>11</w:t>
        </w:r>
        <w:r w:rsidR="00DA1759">
          <w:rPr>
            <w:noProof/>
            <w:webHidden/>
          </w:rPr>
          <w:fldChar w:fldCharType="end"/>
        </w:r>
      </w:hyperlink>
    </w:p>
    <w:p w14:paraId="77169638" w14:textId="77777777" w:rsidR="00DA1759" w:rsidRDefault="007457BE">
      <w:pPr>
        <w:pStyle w:val="22"/>
        <w:tabs>
          <w:tab w:val="right" w:leader="dot" w:pos="9345"/>
        </w:tabs>
        <w:rPr>
          <w:rFonts w:asciiTheme="minorHAnsi" w:eastAsiaTheme="minorEastAsia" w:hAnsiTheme="minorHAnsi" w:cstheme="minorBidi"/>
          <w:noProof/>
        </w:rPr>
      </w:pPr>
      <w:hyperlink w:anchor="_Toc514593071" w:history="1">
        <w:r w:rsidR="00DA1759" w:rsidRPr="0016713B">
          <w:rPr>
            <w:rStyle w:val="af1"/>
            <w:noProof/>
          </w:rPr>
          <w:t>1.3 Отличия корпоративных облигаций и банковских ссуд</w:t>
        </w:r>
        <w:r w:rsidR="00DA1759">
          <w:rPr>
            <w:noProof/>
            <w:webHidden/>
          </w:rPr>
          <w:tab/>
        </w:r>
        <w:r w:rsidR="00DA1759">
          <w:rPr>
            <w:noProof/>
            <w:webHidden/>
          </w:rPr>
          <w:fldChar w:fldCharType="begin"/>
        </w:r>
        <w:r w:rsidR="00DA1759">
          <w:rPr>
            <w:noProof/>
            <w:webHidden/>
          </w:rPr>
          <w:instrText xml:space="preserve"> PAGEREF _Toc514593071 \h </w:instrText>
        </w:r>
        <w:r w:rsidR="00DA1759">
          <w:rPr>
            <w:noProof/>
            <w:webHidden/>
          </w:rPr>
        </w:r>
        <w:r w:rsidR="00DA1759">
          <w:rPr>
            <w:noProof/>
            <w:webHidden/>
          </w:rPr>
          <w:fldChar w:fldCharType="separate"/>
        </w:r>
        <w:r w:rsidR="00DB6E9E">
          <w:rPr>
            <w:noProof/>
            <w:webHidden/>
          </w:rPr>
          <w:t>16</w:t>
        </w:r>
        <w:r w:rsidR="00DA1759">
          <w:rPr>
            <w:noProof/>
            <w:webHidden/>
          </w:rPr>
          <w:fldChar w:fldCharType="end"/>
        </w:r>
      </w:hyperlink>
    </w:p>
    <w:p w14:paraId="388DE1DF" w14:textId="77777777" w:rsidR="00DA1759" w:rsidRDefault="007457BE">
      <w:pPr>
        <w:pStyle w:val="22"/>
        <w:tabs>
          <w:tab w:val="right" w:leader="dot" w:pos="9345"/>
        </w:tabs>
        <w:rPr>
          <w:rFonts w:asciiTheme="minorHAnsi" w:eastAsiaTheme="minorEastAsia" w:hAnsiTheme="minorHAnsi" w:cstheme="minorBidi"/>
          <w:noProof/>
        </w:rPr>
      </w:pPr>
      <w:hyperlink w:anchor="_Toc514593072" w:history="1">
        <w:r w:rsidR="00DA1759" w:rsidRPr="0016713B">
          <w:rPr>
            <w:rStyle w:val="af1"/>
            <w:noProof/>
          </w:rPr>
          <w:t>1.4 Стадии выпуска облигаций</w:t>
        </w:r>
        <w:r w:rsidR="00DA1759">
          <w:rPr>
            <w:noProof/>
            <w:webHidden/>
          </w:rPr>
          <w:tab/>
        </w:r>
        <w:r w:rsidR="00DA1759">
          <w:rPr>
            <w:noProof/>
            <w:webHidden/>
          </w:rPr>
          <w:fldChar w:fldCharType="begin"/>
        </w:r>
        <w:r w:rsidR="00DA1759">
          <w:rPr>
            <w:noProof/>
            <w:webHidden/>
          </w:rPr>
          <w:instrText xml:space="preserve"> PAGEREF _Toc514593072 \h </w:instrText>
        </w:r>
        <w:r w:rsidR="00DA1759">
          <w:rPr>
            <w:noProof/>
            <w:webHidden/>
          </w:rPr>
        </w:r>
        <w:r w:rsidR="00DA1759">
          <w:rPr>
            <w:noProof/>
            <w:webHidden/>
          </w:rPr>
          <w:fldChar w:fldCharType="separate"/>
        </w:r>
        <w:r w:rsidR="00DB6E9E">
          <w:rPr>
            <w:noProof/>
            <w:webHidden/>
          </w:rPr>
          <w:t>17</w:t>
        </w:r>
        <w:r w:rsidR="00DA1759">
          <w:rPr>
            <w:noProof/>
            <w:webHidden/>
          </w:rPr>
          <w:fldChar w:fldCharType="end"/>
        </w:r>
      </w:hyperlink>
    </w:p>
    <w:p w14:paraId="361F07D9" w14:textId="77777777" w:rsidR="00DA1759" w:rsidRDefault="007457BE">
      <w:pPr>
        <w:pStyle w:val="22"/>
        <w:tabs>
          <w:tab w:val="right" w:leader="dot" w:pos="9345"/>
        </w:tabs>
        <w:rPr>
          <w:rFonts w:asciiTheme="minorHAnsi" w:eastAsiaTheme="minorEastAsia" w:hAnsiTheme="minorHAnsi" w:cstheme="minorBidi"/>
          <w:noProof/>
        </w:rPr>
      </w:pPr>
      <w:hyperlink w:anchor="_Toc514593073" w:history="1">
        <w:r w:rsidR="00DA1759" w:rsidRPr="0016713B">
          <w:rPr>
            <w:rStyle w:val="af1"/>
            <w:noProof/>
          </w:rPr>
          <w:t>1.5 Анализ рынка облигаций</w:t>
        </w:r>
        <w:r w:rsidR="00DA1759">
          <w:rPr>
            <w:noProof/>
            <w:webHidden/>
          </w:rPr>
          <w:tab/>
        </w:r>
        <w:r w:rsidR="00DA1759">
          <w:rPr>
            <w:noProof/>
            <w:webHidden/>
          </w:rPr>
          <w:fldChar w:fldCharType="begin"/>
        </w:r>
        <w:r w:rsidR="00DA1759">
          <w:rPr>
            <w:noProof/>
            <w:webHidden/>
          </w:rPr>
          <w:instrText xml:space="preserve"> PAGEREF _Toc514593073 \h </w:instrText>
        </w:r>
        <w:r w:rsidR="00DA1759">
          <w:rPr>
            <w:noProof/>
            <w:webHidden/>
          </w:rPr>
        </w:r>
        <w:r w:rsidR="00DA1759">
          <w:rPr>
            <w:noProof/>
            <w:webHidden/>
          </w:rPr>
          <w:fldChar w:fldCharType="separate"/>
        </w:r>
        <w:r w:rsidR="00DB6E9E">
          <w:rPr>
            <w:noProof/>
            <w:webHidden/>
          </w:rPr>
          <w:t>21</w:t>
        </w:r>
        <w:r w:rsidR="00DA1759">
          <w:rPr>
            <w:noProof/>
            <w:webHidden/>
          </w:rPr>
          <w:fldChar w:fldCharType="end"/>
        </w:r>
      </w:hyperlink>
    </w:p>
    <w:p w14:paraId="5F7CCF85" w14:textId="77777777" w:rsidR="00DA1759" w:rsidRDefault="007457BE">
      <w:pPr>
        <w:pStyle w:val="32"/>
        <w:tabs>
          <w:tab w:val="right" w:leader="dot" w:pos="9345"/>
        </w:tabs>
        <w:rPr>
          <w:rFonts w:asciiTheme="minorHAnsi" w:eastAsiaTheme="minorEastAsia" w:hAnsiTheme="minorHAnsi" w:cstheme="minorBidi"/>
          <w:noProof/>
        </w:rPr>
      </w:pPr>
      <w:hyperlink w:anchor="_Toc514593074" w:history="1">
        <w:r w:rsidR="00DA1759" w:rsidRPr="0016713B">
          <w:rPr>
            <w:rStyle w:val="af1"/>
            <w:noProof/>
          </w:rPr>
          <w:t>1.5.1 Российский рынок корпоративных облигаций</w:t>
        </w:r>
        <w:r w:rsidR="00DA1759">
          <w:rPr>
            <w:noProof/>
            <w:webHidden/>
          </w:rPr>
          <w:tab/>
        </w:r>
        <w:r w:rsidR="00DA1759">
          <w:rPr>
            <w:noProof/>
            <w:webHidden/>
          </w:rPr>
          <w:fldChar w:fldCharType="begin"/>
        </w:r>
        <w:r w:rsidR="00DA1759">
          <w:rPr>
            <w:noProof/>
            <w:webHidden/>
          </w:rPr>
          <w:instrText xml:space="preserve"> PAGEREF _Toc514593074 \h </w:instrText>
        </w:r>
        <w:r w:rsidR="00DA1759">
          <w:rPr>
            <w:noProof/>
            <w:webHidden/>
          </w:rPr>
        </w:r>
        <w:r w:rsidR="00DA1759">
          <w:rPr>
            <w:noProof/>
            <w:webHidden/>
          </w:rPr>
          <w:fldChar w:fldCharType="separate"/>
        </w:r>
        <w:r w:rsidR="00DB6E9E">
          <w:rPr>
            <w:noProof/>
            <w:webHidden/>
          </w:rPr>
          <w:t>22</w:t>
        </w:r>
        <w:r w:rsidR="00DA1759">
          <w:rPr>
            <w:noProof/>
            <w:webHidden/>
          </w:rPr>
          <w:fldChar w:fldCharType="end"/>
        </w:r>
      </w:hyperlink>
    </w:p>
    <w:p w14:paraId="52320A4A" w14:textId="77777777" w:rsidR="00DA1759" w:rsidRDefault="007457BE">
      <w:pPr>
        <w:pStyle w:val="32"/>
        <w:tabs>
          <w:tab w:val="right" w:leader="dot" w:pos="9345"/>
        </w:tabs>
        <w:rPr>
          <w:rFonts w:asciiTheme="minorHAnsi" w:eastAsiaTheme="minorEastAsia" w:hAnsiTheme="minorHAnsi" w:cstheme="minorBidi"/>
          <w:noProof/>
        </w:rPr>
      </w:pPr>
      <w:hyperlink w:anchor="_Toc514593075" w:history="1">
        <w:r w:rsidR="00DA1759" w:rsidRPr="0016713B">
          <w:rPr>
            <w:rStyle w:val="af1"/>
            <w:noProof/>
          </w:rPr>
          <w:t>1.5.2 Американский рынок корпоративных облигаций</w:t>
        </w:r>
        <w:r w:rsidR="00DA1759">
          <w:rPr>
            <w:noProof/>
            <w:webHidden/>
          </w:rPr>
          <w:tab/>
        </w:r>
        <w:r w:rsidR="00DA1759">
          <w:rPr>
            <w:noProof/>
            <w:webHidden/>
          </w:rPr>
          <w:fldChar w:fldCharType="begin"/>
        </w:r>
        <w:r w:rsidR="00DA1759">
          <w:rPr>
            <w:noProof/>
            <w:webHidden/>
          </w:rPr>
          <w:instrText xml:space="preserve"> PAGEREF _Toc514593075 \h </w:instrText>
        </w:r>
        <w:r w:rsidR="00DA1759">
          <w:rPr>
            <w:noProof/>
            <w:webHidden/>
          </w:rPr>
        </w:r>
        <w:r w:rsidR="00DA1759">
          <w:rPr>
            <w:noProof/>
            <w:webHidden/>
          </w:rPr>
          <w:fldChar w:fldCharType="separate"/>
        </w:r>
        <w:r w:rsidR="00DB6E9E">
          <w:rPr>
            <w:noProof/>
            <w:webHidden/>
          </w:rPr>
          <w:t>24</w:t>
        </w:r>
        <w:r w:rsidR="00DA1759">
          <w:rPr>
            <w:noProof/>
            <w:webHidden/>
          </w:rPr>
          <w:fldChar w:fldCharType="end"/>
        </w:r>
      </w:hyperlink>
    </w:p>
    <w:p w14:paraId="64C1A514" w14:textId="77777777" w:rsidR="00DA1759" w:rsidRDefault="007457BE">
      <w:pPr>
        <w:pStyle w:val="22"/>
        <w:tabs>
          <w:tab w:val="right" w:leader="dot" w:pos="9345"/>
        </w:tabs>
        <w:rPr>
          <w:rFonts w:asciiTheme="minorHAnsi" w:eastAsiaTheme="minorEastAsia" w:hAnsiTheme="minorHAnsi" w:cstheme="minorBidi"/>
          <w:noProof/>
        </w:rPr>
      </w:pPr>
      <w:hyperlink w:anchor="_Toc514593076" w:history="1">
        <w:r w:rsidR="00DA1759" w:rsidRPr="0016713B">
          <w:rPr>
            <w:rStyle w:val="af1"/>
            <w:noProof/>
          </w:rPr>
          <w:t>Выводы по первой главе</w:t>
        </w:r>
        <w:r w:rsidR="00DA1759">
          <w:rPr>
            <w:noProof/>
            <w:webHidden/>
          </w:rPr>
          <w:tab/>
        </w:r>
        <w:r w:rsidR="00DA1759">
          <w:rPr>
            <w:noProof/>
            <w:webHidden/>
          </w:rPr>
          <w:fldChar w:fldCharType="begin"/>
        </w:r>
        <w:r w:rsidR="00DA1759">
          <w:rPr>
            <w:noProof/>
            <w:webHidden/>
          </w:rPr>
          <w:instrText xml:space="preserve"> PAGEREF _Toc514593076 \h </w:instrText>
        </w:r>
        <w:r w:rsidR="00DA1759">
          <w:rPr>
            <w:noProof/>
            <w:webHidden/>
          </w:rPr>
        </w:r>
        <w:r w:rsidR="00DA1759">
          <w:rPr>
            <w:noProof/>
            <w:webHidden/>
          </w:rPr>
          <w:fldChar w:fldCharType="separate"/>
        </w:r>
        <w:r w:rsidR="00DB6E9E">
          <w:rPr>
            <w:noProof/>
            <w:webHidden/>
          </w:rPr>
          <w:t>25</w:t>
        </w:r>
        <w:r w:rsidR="00DA1759">
          <w:rPr>
            <w:noProof/>
            <w:webHidden/>
          </w:rPr>
          <w:fldChar w:fldCharType="end"/>
        </w:r>
      </w:hyperlink>
    </w:p>
    <w:p w14:paraId="73E6D531" w14:textId="77777777" w:rsidR="00DA1759" w:rsidRPr="00DA1759" w:rsidRDefault="007457BE">
      <w:pPr>
        <w:pStyle w:val="22"/>
        <w:tabs>
          <w:tab w:val="right" w:leader="dot" w:pos="9345"/>
        </w:tabs>
        <w:rPr>
          <w:rFonts w:asciiTheme="minorHAnsi" w:eastAsiaTheme="minorEastAsia" w:hAnsiTheme="minorHAnsi" w:cstheme="minorBidi"/>
          <w:b/>
          <w:noProof/>
        </w:rPr>
      </w:pPr>
      <w:hyperlink w:anchor="_Toc514593077" w:history="1">
        <w:r w:rsidR="00DA1759" w:rsidRPr="00DA1759">
          <w:rPr>
            <w:rStyle w:val="af1"/>
            <w:b/>
            <w:noProof/>
          </w:rPr>
          <w:t>Глава 2. Кредитный риск в коммерческом банке</w:t>
        </w:r>
        <w:r w:rsidR="00DA1759" w:rsidRPr="00DA1759">
          <w:rPr>
            <w:b/>
            <w:noProof/>
            <w:webHidden/>
          </w:rPr>
          <w:tab/>
        </w:r>
        <w:r w:rsidR="00DA1759" w:rsidRPr="00DA1759">
          <w:rPr>
            <w:b/>
            <w:noProof/>
            <w:webHidden/>
          </w:rPr>
          <w:fldChar w:fldCharType="begin"/>
        </w:r>
        <w:r w:rsidR="00DA1759" w:rsidRPr="00DA1759">
          <w:rPr>
            <w:b/>
            <w:noProof/>
            <w:webHidden/>
          </w:rPr>
          <w:instrText xml:space="preserve"> PAGEREF _Toc514593077 \h </w:instrText>
        </w:r>
        <w:r w:rsidR="00DA1759" w:rsidRPr="00DA1759">
          <w:rPr>
            <w:b/>
            <w:noProof/>
            <w:webHidden/>
          </w:rPr>
        </w:r>
        <w:r w:rsidR="00DA1759" w:rsidRPr="00DA1759">
          <w:rPr>
            <w:b/>
            <w:noProof/>
            <w:webHidden/>
          </w:rPr>
          <w:fldChar w:fldCharType="separate"/>
        </w:r>
        <w:r w:rsidR="00DB6E9E">
          <w:rPr>
            <w:b/>
            <w:noProof/>
            <w:webHidden/>
          </w:rPr>
          <w:t>27</w:t>
        </w:r>
        <w:r w:rsidR="00DA1759" w:rsidRPr="00DA1759">
          <w:rPr>
            <w:b/>
            <w:noProof/>
            <w:webHidden/>
          </w:rPr>
          <w:fldChar w:fldCharType="end"/>
        </w:r>
      </w:hyperlink>
    </w:p>
    <w:p w14:paraId="798DAC56" w14:textId="77777777" w:rsidR="00DA1759" w:rsidRDefault="007457BE">
      <w:pPr>
        <w:pStyle w:val="22"/>
        <w:tabs>
          <w:tab w:val="right" w:leader="dot" w:pos="9345"/>
        </w:tabs>
        <w:rPr>
          <w:rFonts w:asciiTheme="minorHAnsi" w:eastAsiaTheme="minorEastAsia" w:hAnsiTheme="minorHAnsi" w:cstheme="minorBidi"/>
          <w:noProof/>
        </w:rPr>
      </w:pPr>
      <w:hyperlink w:anchor="_Toc514593078" w:history="1">
        <w:r w:rsidR="00DA1759" w:rsidRPr="0016713B">
          <w:rPr>
            <w:rStyle w:val="af1"/>
            <w:noProof/>
          </w:rPr>
          <w:t>2.1 Понятие и природа возникновения кредитного риска</w:t>
        </w:r>
        <w:r w:rsidR="00DA1759">
          <w:rPr>
            <w:noProof/>
            <w:webHidden/>
          </w:rPr>
          <w:tab/>
        </w:r>
        <w:r w:rsidR="00DA1759">
          <w:rPr>
            <w:noProof/>
            <w:webHidden/>
          </w:rPr>
          <w:fldChar w:fldCharType="begin"/>
        </w:r>
        <w:r w:rsidR="00DA1759">
          <w:rPr>
            <w:noProof/>
            <w:webHidden/>
          </w:rPr>
          <w:instrText xml:space="preserve"> PAGEREF _Toc514593078 \h </w:instrText>
        </w:r>
        <w:r w:rsidR="00DA1759">
          <w:rPr>
            <w:noProof/>
            <w:webHidden/>
          </w:rPr>
        </w:r>
        <w:r w:rsidR="00DA1759">
          <w:rPr>
            <w:noProof/>
            <w:webHidden/>
          </w:rPr>
          <w:fldChar w:fldCharType="separate"/>
        </w:r>
        <w:r w:rsidR="00DB6E9E">
          <w:rPr>
            <w:noProof/>
            <w:webHidden/>
          </w:rPr>
          <w:t>27</w:t>
        </w:r>
        <w:r w:rsidR="00DA1759">
          <w:rPr>
            <w:noProof/>
            <w:webHidden/>
          </w:rPr>
          <w:fldChar w:fldCharType="end"/>
        </w:r>
      </w:hyperlink>
    </w:p>
    <w:p w14:paraId="4B19630A" w14:textId="77777777" w:rsidR="00DA1759" w:rsidRDefault="007457BE">
      <w:pPr>
        <w:pStyle w:val="22"/>
        <w:tabs>
          <w:tab w:val="right" w:leader="dot" w:pos="9345"/>
        </w:tabs>
        <w:rPr>
          <w:rFonts w:asciiTheme="minorHAnsi" w:eastAsiaTheme="minorEastAsia" w:hAnsiTheme="minorHAnsi" w:cstheme="minorBidi"/>
          <w:noProof/>
        </w:rPr>
      </w:pPr>
      <w:hyperlink w:anchor="_Toc514593079" w:history="1">
        <w:r w:rsidR="00DA1759" w:rsidRPr="0016713B">
          <w:rPr>
            <w:rStyle w:val="af1"/>
            <w:noProof/>
          </w:rPr>
          <w:t>2.2 Модели оценки кредитного риска и вероятности дефолта</w:t>
        </w:r>
        <w:r w:rsidR="00DA1759">
          <w:rPr>
            <w:noProof/>
            <w:webHidden/>
          </w:rPr>
          <w:tab/>
        </w:r>
        <w:r w:rsidR="00DA1759">
          <w:rPr>
            <w:noProof/>
            <w:webHidden/>
          </w:rPr>
          <w:fldChar w:fldCharType="begin"/>
        </w:r>
        <w:r w:rsidR="00DA1759">
          <w:rPr>
            <w:noProof/>
            <w:webHidden/>
          </w:rPr>
          <w:instrText xml:space="preserve"> PAGEREF _Toc514593079 \h </w:instrText>
        </w:r>
        <w:r w:rsidR="00DA1759">
          <w:rPr>
            <w:noProof/>
            <w:webHidden/>
          </w:rPr>
        </w:r>
        <w:r w:rsidR="00DA1759">
          <w:rPr>
            <w:noProof/>
            <w:webHidden/>
          </w:rPr>
          <w:fldChar w:fldCharType="separate"/>
        </w:r>
        <w:r w:rsidR="00DB6E9E">
          <w:rPr>
            <w:noProof/>
            <w:webHidden/>
          </w:rPr>
          <w:t>30</w:t>
        </w:r>
        <w:r w:rsidR="00DA1759">
          <w:rPr>
            <w:noProof/>
            <w:webHidden/>
          </w:rPr>
          <w:fldChar w:fldCharType="end"/>
        </w:r>
      </w:hyperlink>
    </w:p>
    <w:p w14:paraId="27F963F4" w14:textId="77777777" w:rsidR="00DA1759" w:rsidRDefault="007457BE">
      <w:pPr>
        <w:pStyle w:val="32"/>
        <w:tabs>
          <w:tab w:val="right" w:leader="dot" w:pos="9345"/>
        </w:tabs>
        <w:rPr>
          <w:rFonts w:asciiTheme="minorHAnsi" w:eastAsiaTheme="minorEastAsia" w:hAnsiTheme="minorHAnsi" w:cstheme="minorBidi"/>
          <w:noProof/>
        </w:rPr>
      </w:pPr>
      <w:hyperlink w:anchor="_Toc514593080" w:history="1">
        <w:r w:rsidR="00DA1759" w:rsidRPr="0016713B">
          <w:rPr>
            <w:rStyle w:val="af1"/>
            <w:noProof/>
          </w:rPr>
          <w:t>2.2.1 Модели на основе рыночных показателей</w:t>
        </w:r>
        <w:r w:rsidR="00DA1759">
          <w:rPr>
            <w:noProof/>
            <w:webHidden/>
          </w:rPr>
          <w:tab/>
        </w:r>
        <w:r w:rsidR="00DA1759">
          <w:rPr>
            <w:noProof/>
            <w:webHidden/>
          </w:rPr>
          <w:fldChar w:fldCharType="begin"/>
        </w:r>
        <w:r w:rsidR="00DA1759">
          <w:rPr>
            <w:noProof/>
            <w:webHidden/>
          </w:rPr>
          <w:instrText xml:space="preserve"> PAGEREF _Toc514593080 \h </w:instrText>
        </w:r>
        <w:r w:rsidR="00DA1759">
          <w:rPr>
            <w:noProof/>
            <w:webHidden/>
          </w:rPr>
        </w:r>
        <w:r w:rsidR="00DA1759">
          <w:rPr>
            <w:noProof/>
            <w:webHidden/>
          </w:rPr>
          <w:fldChar w:fldCharType="separate"/>
        </w:r>
        <w:r w:rsidR="00DB6E9E">
          <w:rPr>
            <w:noProof/>
            <w:webHidden/>
          </w:rPr>
          <w:t>30</w:t>
        </w:r>
        <w:r w:rsidR="00DA1759">
          <w:rPr>
            <w:noProof/>
            <w:webHidden/>
          </w:rPr>
          <w:fldChar w:fldCharType="end"/>
        </w:r>
      </w:hyperlink>
    </w:p>
    <w:p w14:paraId="257C6202" w14:textId="77777777" w:rsidR="00DA1759" w:rsidRDefault="007457BE">
      <w:pPr>
        <w:pStyle w:val="32"/>
        <w:tabs>
          <w:tab w:val="right" w:leader="dot" w:pos="9345"/>
        </w:tabs>
        <w:rPr>
          <w:rFonts w:asciiTheme="minorHAnsi" w:eastAsiaTheme="minorEastAsia" w:hAnsiTheme="minorHAnsi" w:cstheme="minorBidi"/>
          <w:noProof/>
        </w:rPr>
      </w:pPr>
      <w:hyperlink w:anchor="_Toc514593081" w:history="1">
        <w:r w:rsidR="00DA1759" w:rsidRPr="0016713B">
          <w:rPr>
            <w:rStyle w:val="af1"/>
            <w:noProof/>
          </w:rPr>
          <w:t>2.2.2 Модели на основе фундаментальных показателей</w:t>
        </w:r>
        <w:r w:rsidR="00DA1759">
          <w:rPr>
            <w:noProof/>
            <w:webHidden/>
          </w:rPr>
          <w:tab/>
        </w:r>
        <w:r w:rsidR="00DA1759">
          <w:rPr>
            <w:noProof/>
            <w:webHidden/>
          </w:rPr>
          <w:fldChar w:fldCharType="begin"/>
        </w:r>
        <w:r w:rsidR="00DA1759">
          <w:rPr>
            <w:noProof/>
            <w:webHidden/>
          </w:rPr>
          <w:instrText xml:space="preserve"> PAGEREF _Toc514593081 \h </w:instrText>
        </w:r>
        <w:r w:rsidR="00DA1759">
          <w:rPr>
            <w:noProof/>
            <w:webHidden/>
          </w:rPr>
        </w:r>
        <w:r w:rsidR="00DA1759">
          <w:rPr>
            <w:noProof/>
            <w:webHidden/>
          </w:rPr>
          <w:fldChar w:fldCharType="separate"/>
        </w:r>
        <w:r w:rsidR="00DB6E9E">
          <w:rPr>
            <w:noProof/>
            <w:webHidden/>
          </w:rPr>
          <w:t>32</w:t>
        </w:r>
        <w:r w:rsidR="00DA1759">
          <w:rPr>
            <w:noProof/>
            <w:webHidden/>
          </w:rPr>
          <w:fldChar w:fldCharType="end"/>
        </w:r>
      </w:hyperlink>
    </w:p>
    <w:p w14:paraId="2FC89C74" w14:textId="77777777" w:rsidR="00DA1759" w:rsidRDefault="007457BE">
      <w:pPr>
        <w:pStyle w:val="32"/>
        <w:tabs>
          <w:tab w:val="right" w:leader="dot" w:pos="9345"/>
        </w:tabs>
        <w:rPr>
          <w:rFonts w:asciiTheme="minorHAnsi" w:eastAsiaTheme="minorEastAsia" w:hAnsiTheme="minorHAnsi" w:cstheme="minorBidi"/>
          <w:noProof/>
        </w:rPr>
      </w:pPr>
      <w:hyperlink w:anchor="_Toc514593082" w:history="1">
        <w:r w:rsidR="00DA1759" w:rsidRPr="0016713B">
          <w:rPr>
            <w:rStyle w:val="af1"/>
            <w:noProof/>
          </w:rPr>
          <w:t>2.2.3 Современные подходы к оценке кредитного риска заемщика</w:t>
        </w:r>
        <w:r w:rsidR="00DA1759">
          <w:rPr>
            <w:noProof/>
            <w:webHidden/>
          </w:rPr>
          <w:tab/>
        </w:r>
        <w:r w:rsidR="00DA1759">
          <w:rPr>
            <w:noProof/>
            <w:webHidden/>
          </w:rPr>
          <w:fldChar w:fldCharType="begin"/>
        </w:r>
        <w:r w:rsidR="00DA1759">
          <w:rPr>
            <w:noProof/>
            <w:webHidden/>
          </w:rPr>
          <w:instrText xml:space="preserve"> PAGEREF _Toc514593082 \h </w:instrText>
        </w:r>
        <w:r w:rsidR="00DA1759">
          <w:rPr>
            <w:noProof/>
            <w:webHidden/>
          </w:rPr>
        </w:r>
        <w:r w:rsidR="00DA1759">
          <w:rPr>
            <w:noProof/>
            <w:webHidden/>
          </w:rPr>
          <w:fldChar w:fldCharType="separate"/>
        </w:r>
        <w:r w:rsidR="00DB6E9E">
          <w:rPr>
            <w:noProof/>
            <w:webHidden/>
          </w:rPr>
          <w:t>39</w:t>
        </w:r>
        <w:r w:rsidR="00DA1759">
          <w:rPr>
            <w:noProof/>
            <w:webHidden/>
          </w:rPr>
          <w:fldChar w:fldCharType="end"/>
        </w:r>
      </w:hyperlink>
    </w:p>
    <w:p w14:paraId="3E26CAAF" w14:textId="77777777" w:rsidR="00DA1759" w:rsidRDefault="007457BE">
      <w:pPr>
        <w:pStyle w:val="22"/>
        <w:tabs>
          <w:tab w:val="right" w:leader="dot" w:pos="9345"/>
        </w:tabs>
        <w:rPr>
          <w:rFonts w:asciiTheme="minorHAnsi" w:eastAsiaTheme="minorEastAsia" w:hAnsiTheme="minorHAnsi" w:cstheme="minorBidi"/>
          <w:noProof/>
        </w:rPr>
      </w:pPr>
      <w:hyperlink w:anchor="_Toc514593083" w:history="1">
        <w:r w:rsidR="00DA1759" w:rsidRPr="0016713B">
          <w:rPr>
            <w:rStyle w:val="af1"/>
            <w:noProof/>
          </w:rPr>
          <w:t>2.3 Выбор модели оценки кредитного риска для статистического исследования</w:t>
        </w:r>
        <w:r w:rsidR="00DA1759">
          <w:rPr>
            <w:noProof/>
            <w:webHidden/>
          </w:rPr>
          <w:tab/>
        </w:r>
        <w:r w:rsidR="00DA1759">
          <w:rPr>
            <w:noProof/>
            <w:webHidden/>
          </w:rPr>
          <w:fldChar w:fldCharType="begin"/>
        </w:r>
        <w:r w:rsidR="00DA1759">
          <w:rPr>
            <w:noProof/>
            <w:webHidden/>
          </w:rPr>
          <w:instrText xml:space="preserve"> PAGEREF _Toc514593083 \h </w:instrText>
        </w:r>
        <w:r w:rsidR="00DA1759">
          <w:rPr>
            <w:noProof/>
            <w:webHidden/>
          </w:rPr>
        </w:r>
        <w:r w:rsidR="00DA1759">
          <w:rPr>
            <w:noProof/>
            <w:webHidden/>
          </w:rPr>
          <w:fldChar w:fldCharType="separate"/>
        </w:r>
        <w:r w:rsidR="00DB6E9E">
          <w:rPr>
            <w:noProof/>
            <w:webHidden/>
          </w:rPr>
          <w:t>41</w:t>
        </w:r>
        <w:r w:rsidR="00DA1759">
          <w:rPr>
            <w:noProof/>
            <w:webHidden/>
          </w:rPr>
          <w:fldChar w:fldCharType="end"/>
        </w:r>
      </w:hyperlink>
    </w:p>
    <w:p w14:paraId="713A6C6B" w14:textId="77777777" w:rsidR="00DA1759" w:rsidRDefault="007457BE">
      <w:pPr>
        <w:pStyle w:val="22"/>
        <w:tabs>
          <w:tab w:val="right" w:leader="dot" w:pos="9345"/>
        </w:tabs>
        <w:rPr>
          <w:rFonts w:asciiTheme="minorHAnsi" w:eastAsiaTheme="minorEastAsia" w:hAnsiTheme="minorHAnsi" w:cstheme="minorBidi"/>
          <w:noProof/>
        </w:rPr>
      </w:pPr>
      <w:hyperlink w:anchor="_Toc514593084" w:history="1">
        <w:r w:rsidR="00DA1759" w:rsidRPr="0016713B">
          <w:rPr>
            <w:rStyle w:val="af1"/>
            <w:noProof/>
          </w:rPr>
          <w:t>Выводы по второй главе</w:t>
        </w:r>
        <w:r w:rsidR="00DA1759">
          <w:rPr>
            <w:noProof/>
            <w:webHidden/>
          </w:rPr>
          <w:tab/>
        </w:r>
        <w:r w:rsidR="00DA1759">
          <w:rPr>
            <w:noProof/>
            <w:webHidden/>
          </w:rPr>
          <w:fldChar w:fldCharType="begin"/>
        </w:r>
        <w:r w:rsidR="00DA1759">
          <w:rPr>
            <w:noProof/>
            <w:webHidden/>
          </w:rPr>
          <w:instrText xml:space="preserve"> PAGEREF _Toc514593084 \h </w:instrText>
        </w:r>
        <w:r w:rsidR="00DA1759">
          <w:rPr>
            <w:noProof/>
            <w:webHidden/>
          </w:rPr>
        </w:r>
        <w:r w:rsidR="00DA1759">
          <w:rPr>
            <w:noProof/>
            <w:webHidden/>
          </w:rPr>
          <w:fldChar w:fldCharType="separate"/>
        </w:r>
        <w:r w:rsidR="00DB6E9E">
          <w:rPr>
            <w:noProof/>
            <w:webHidden/>
          </w:rPr>
          <w:t>42</w:t>
        </w:r>
        <w:r w:rsidR="00DA1759">
          <w:rPr>
            <w:noProof/>
            <w:webHidden/>
          </w:rPr>
          <w:fldChar w:fldCharType="end"/>
        </w:r>
      </w:hyperlink>
    </w:p>
    <w:p w14:paraId="695E44B2" w14:textId="77777777" w:rsidR="00DA1759" w:rsidRDefault="007457BE">
      <w:pPr>
        <w:pStyle w:val="13"/>
        <w:rPr>
          <w:rFonts w:asciiTheme="minorHAnsi" w:eastAsiaTheme="minorEastAsia" w:hAnsiTheme="minorHAnsi" w:cstheme="minorBidi"/>
          <w:b w:val="0"/>
        </w:rPr>
      </w:pPr>
      <w:hyperlink w:anchor="_Toc514593085" w:history="1">
        <w:r w:rsidR="00DA1759" w:rsidRPr="0016713B">
          <w:rPr>
            <w:rStyle w:val="af1"/>
          </w:rPr>
          <w:t>Глава 3. Эмпирическое исследование взаимосвязи наличия корпоративных облигаций и кредитного риска заемщика</w:t>
        </w:r>
        <w:r w:rsidR="00DA1759">
          <w:rPr>
            <w:webHidden/>
          </w:rPr>
          <w:tab/>
        </w:r>
        <w:r w:rsidR="00DA1759">
          <w:rPr>
            <w:webHidden/>
          </w:rPr>
          <w:fldChar w:fldCharType="begin"/>
        </w:r>
        <w:r w:rsidR="00DA1759">
          <w:rPr>
            <w:webHidden/>
          </w:rPr>
          <w:instrText xml:space="preserve"> PAGEREF _Toc514593085 \h </w:instrText>
        </w:r>
        <w:r w:rsidR="00DA1759">
          <w:rPr>
            <w:webHidden/>
          </w:rPr>
        </w:r>
        <w:r w:rsidR="00DA1759">
          <w:rPr>
            <w:webHidden/>
          </w:rPr>
          <w:fldChar w:fldCharType="separate"/>
        </w:r>
        <w:r w:rsidR="00DB6E9E">
          <w:rPr>
            <w:webHidden/>
          </w:rPr>
          <w:t>44</w:t>
        </w:r>
        <w:r w:rsidR="00DA1759">
          <w:rPr>
            <w:webHidden/>
          </w:rPr>
          <w:fldChar w:fldCharType="end"/>
        </w:r>
      </w:hyperlink>
    </w:p>
    <w:p w14:paraId="607E5C5E" w14:textId="77777777" w:rsidR="00DA1759" w:rsidRDefault="007457BE">
      <w:pPr>
        <w:pStyle w:val="22"/>
        <w:tabs>
          <w:tab w:val="right" w:leader="dot" w:pos="9345"/>
        </w:tabs>
        <w:rPr>
          <w:rFonts w:asciiTheme="minorHAnsi" w:eastAsiaTheme="minorEastAsia" w:hAnsiTheme="minorHAnsi" w:cstheme="minorBidi"/>
          <w:noProof/>
        </w:rPr>
      </w:pPr>
      <w:hyperlink w:anchor="_Toc514593086" w:history="1">
        <w:r w:rsidR="00DA1759" w:rsidRPr="0016713B">
          <w:rPr>
            <w:rStyle w:val="af1"/>
            <w:noProof/>
          </w:rPr>
          <w:t>3.1 Выдвижение гипотез и формирование выборки</w:t>
        </w:r>
        <w:r w:rsidR="00DA1759">
          <w:rPr>
            <w:noProof/>
            <w:webHidden/>
          </w:rPr>
          <w:tab/>
        </w:r>
        <w:r w:rsidR="00DA1759">
          <w:rPr>
            <w:noProof/>
            <w:webHidden/>
          </w:rPr>
          <w:fldChar w:fldCharType="begin"/>
        </w:r>
        <w:r w:rsidR="00DA1759">
          <w:rPr>
            <w:noProof/>
            <w:webHidden/>
          </w:rPr>
          <w:instrText xml:space="preserve"> PAGEREF _Toc514593086 \h </w:instrText>
        </w:r>
        <w:r w:rsidR="00DA1759">
          <w:rPr>
            <w:noProof/>
            <w:webHidden/>
          </w:rPr>
        </w:r>
        <w:r w:rsidR="00DA1759">
          <w:rPr>
            <w:noProof/>
            <w:webHidden/>
          </w:rPr>
          <w:fldChar w:fldCharType="separate"/>
        </w:r>
        <w:r w:rsidR="00DB6E9E">
          <w:rPr>
            <w:noProof/>
            <w:webHidden/>
          </w:rPr>
          <w:t>44</w:t>
        </w:r>
        <w:r w:rsidR="00DA1759">
          <w:rPr>
            <w:noProof/>
            <w:webHidden/>
          </w:rPr>
          <w:fldChar w:fldCharType="end"/>
        </w:r>
      </w:hyperlink>
    </w:p>
    <w:p w14:paraId="6AAA7E14" w14:textId="77777777" w:rsidR="00DA1759" w:rsidRDefault="007457BE">
      <w:pPr>
        <w:pStyle w:val="22"/>
        <w:tabs>
          <w:tab w:val="right" w:leader="dot" w:pos="9345"/>
        </w:tabs>
        <w:rPr>
          <w:rFonts w:asciiTheme="minorHAnsi" w:eastAsiaTheme="minorEastAsia" w:hAnsiTheme="minorHAnsi" w:cstheme="minorBidi"/>
          <w:noProof/>
        </w:rPr>
      </w:pPr>
      <w:hyperlink w:anchor="_Toc514593087" w:history="1">
        <w:r w:rsidR="00DA1759" w:rsidRPr="0016713B">
          <w:rPr>
            <w:rStyle w:val="af1"/>
            <w:noProof/>
          </w:rPr>
          <w:t>3.2 Эконометрический анализ</w:t>
        </w:r>
        <w:r w:rsidR="00DA1759">
          <w:rPr>
            <w:noProof/>
            <w:webHidden/>
          </w:rPr>
          <w:tab/>
        </w:r>
        <w:r w:rsidR="00DA1759">
          <w:rPr>
            <w:noProof/>
            <w:webHidden/>
          </w:rPr>
          <w:fldChar w:fldCharType="begin"/>
        </w:r>
        <w:r w:rsidR="00DA1759">
          <w:rPr>
            <w:noProof/>
            <w:webHidden/>
          </w:rPr>
          <w:instrText xml:space="preserve"> PAGEREF _Toc514593087 \h </w:instrText>
        </w:r>
        <w:r w:rsidR="00DA1759">
          <w:rPr>
            <w:noProof/>
            <w:webHidden/>
          </w:rPr>
        </w:r>
        <w:r w:rsidR="00DA1759">
          <w:rPr>
            <w:noProof/>
            <w:webHidden/>
          </w:rPr>
          <w:fldChar w:fldCharType="separate"/>
        </w:r>
        <w:r w:rsidR="00DB6E9E">
          <w:rPr>
            <w:noProof/>
            <w:webHidden/>
          </w:rPr>
          <w:t>47</w:t>
        </w:r>
        <w:r w:rsidR="00DA1759">
          <w:rPr>
            <w:noProof/>
            <w:webHidden/>
          </w:rPr>
          <w:fldChar w:fldCharType="end"/>
        </w:r>
      </w:hyperlink>
    </w:p>
    <w:p w14:paraId="29B3AFBE" w14:textId="77777777" w:rsidR="00DA1759" w:rsidRDefault="007457BE">
      <w:pPr>
        <w:pStyle w:val="22"/>
        <w:tabs>
          <w:tab w:val="right" w:leader="dot" w:pos="9345"/>
        </w:tabs>
        <w:rPr>
          <w:rFonts w:asciiTheme="minorHAnsi" w:eastAsiaTheme="minorEastAsia" w:hAnsiTheme="minorHAnsi" w:cstheme="minorBidi"/>
          <w:noProof/>
        </w:rPr>
      </w:pPr>
      <w:hyperlink w:anchor="_Toc514593088" w:history="1">
        <w:r w:rsidR="00DA1759" w:rsidRPr="0016713B">
          <w:rPr>
            <w:rStyle w:val="af1"/>
            <w:noProof/>
          </w:rPr>
          <w:t>3.3 Анализ полученных результатов и выводы</w:t>
        </w:r>
        <w:r w:rsidR="00DA1759">
          <w:rPr>
            <w:noProof/>
            <w:webHidden/>
          </w:rPr>
          <w:tab/>
        </w:r>
        <w:r w:rsidR="00DA1759">
          <w:rPr>
            <w:noProof/>
            <w:webHidden/>
          </w:rPr>
          <w:fldChar w:fldCharType="begin"/>
        </w:r>
        <w:r w:rsidR="00DA1759">
          <w:rPr>
            <w:noProof/>
            <w:webHidden/>
          </w:rPr>
          <w:instrText xml:space="preserve"> PAGEREF _Toc514593088 \h </w:instrText>
        </w:r>
        <w:r w:rsidR="00DA1759">
          <w:rPr>
            <w:noProof/>
            <w:webHidden/>
          </w:rPr>
        </w:r>
        <w:r w:rsidR="00DA1759">
          <w:rPr>
            <w:noProof/>
            <w:webHidden/>
          </w:rPr>
          <w:fldChar w:fldCharType="separate"/>
        </w:r>
        <w:r w:rsidR="00DB6E9E">
          <w:rPr>
            <w:noProof/>
            <w:webHidden/>
          </w:rPr>
          <w:t>52</w:t>
        </w:r>
        <w:r w:rsidR="00DA1759">
          <w:rPr>
            <w:noProof/>
            <w:webHidden/>
          </w:rPr>
          <w:fldChar w:fldCharType="end"/>
        </w:r>
      </w:hyperlink>
    </w:p>
    <w:p w14:paraId="6D69C3C5" w14:textId="77777777" w:rsidR="00DA1759" w:rsidRDefault="007457BE">
      <w:pPr>
        <w:pStyle w:val="13"/>
        <w:rPr>
          <w:rFonts w:asciiTheme="minorHAnsi" w:eastAsiaTheme="minorEastAsia" w:hAnsiTheme="minorHAnsi" w:cstheme="minorBidi"/>
          <w:b w:val="0"/>
        </w:rPr>
      </w:pPr>
      <w:hyperlink w:anchor="_Toc514593089" w:history="1">
        <w:r w:rsidR="00DA1759" w:rsidRPr="0016713B">
          <w:rPr>
            <w:rStyle w:val="af1"/>
          </w:rPr>
          <w:t>Заключение</w:t>
        </w:r>
        <w:r w:rsidR="00DA1759">
          <w:rPr>
            <w:webHidden/>
          </w:rPr>
          <w:tab/>
        </w:r>
        <w:r w:rsidR="00DA1759">
          <w:rPr>
            <w:webHidden/>
          </w:rPr>
          <w:fldChar w:fldCharType="begin"/>
        </w:r>
        <w:r w:rsidR="00DA1759">
          <w:rPr>
            <w:webHidden/>
          </w:rPr>
          <w:instrText xml:space="preserve"> PAGEREF _Toc514593089 \h </w:instrText>
        </w:r>
        <w:r w:rsidR="00DA1759">
          <w:rPr>
            <w:webHidden/>
          </w:rPr>
        </w:r>
        <w:r w:rsidR="00DA1759">
          <w:rPr>
            <w:webHidden/>
          </w:rPr>
          <w:fldChar w:fldCharType="separate"/>
        </w:r>
        <w:r w:rsidR="00DB6E9E">
          <w:rPr>
            <w:webHidden/>
          </w:rPr>
          <w:t>56</w:t>
        </w:r>
        <w:r w:rsidR="00DA1759">
          <w:rPr>
            <w:webHidden/>
          </w:rPr>
          <w:fldChar w:fldCharType="end"/>
        </w:r>
      </w:hyperlink>
    </w:p>
    <w:p w14:paraId="0D883BCE" w14:textId="77777777" w:rsidR="00DA1759" w:rsidRDefault="007457BE">
      <w:pPr>
        <w:pStyle w:val="13"/>
        <w:rPr>
          <w:rFonts w:asciiTheme="minorHAnsi" w:eastAsiaTheme="minorEastAsia" w:hAnsiTheme="minorHAnsi" w:cstheme="minorBidi"/>
          <w:b w:val="0"/>
        </w:rPr>
      </w:pPr>
      <w:hyperlink w:anchor="_Toc514593090" w:history="1">
        <w:r w:rsidR="00DA1759" w:rsidRPr="0016713B">
          <w:rPr>
            <w:rStyle w:val="af1"/>
          </w:rPr>
          <w:t>Список литературы</w:t>
        </w:r>
        <w:r w:rsidR="00DA1759">
          <w:rPr>
            <w:webHidden/>
          </w:rPr>
          <w:tab/>
        </w:r>
        <w:r w:rsidR="00DA1759">
          <w:rPr>
            <w:webHidden/>
          </w:rPr>
          <w:fldChar w:fldCharType="begin"/>
        </w:r>
        <w:r w:rsidR="00DA1759">
          <w:rPr>
            <w:webHidden/>
          </w:rPr>
          <w:instrText xml:space="preserve"> PAGEREF _Toc514593090 \h </w:instrText>
        </w:r>
        <w:r w:rsidR="00DA1759">
          <w:rPr>
            <w:webHidden/>
          </w:rPr>
        </w:r>
        <w:r w:rsidR="00DA1759">
          <w:rPr>
            <w:webHidden/>
          </w:rPr>
          <w:fldChar w:fldCharType="separate"/>
        </w:r>
        <w:r w:rsidR="00DB6E9E">
          <w:rPr>
            <w:webHidden/>
          </w:rPr>
          <w:t>58</w:t>
        </w:r>
        <w:r w:rsidR="00DA1759">
          <w:rPr>
            <w:webHidden/>
          </w:rPr>
          <w:fldChar w:fldCharType="end"/>
        </w:r>
      </w:hyperlink>
    </w:p>
    <w:p w14:paraId="3E6AFC38" w14:textId="77777777" w:rsidR="00DA1759" w:rsidRDefault="007457BE">
      <w:pPr>
        <w:pStyle w:val="13"/>
        <w:rPr>
          <w:rFonts w:asciiTheme="minorHAnsi" w:eastAsiaTheme="minorEastAsia" w:hAnsiTheme="minorHAnsi" w:cstheme="minorBidi"/>
          <w:b w:val="0"/>
        </w:rPr>
      </w:pPr>
      <w:hyperlink w:anchor="_Toc514593091" w:history="1">
        <w:r w:rsidR="00DA1759" w:rsidRPr="0016713B">
          <w:rPr>
            <w:rStyle w:val="af1"/>
          </w:rPr>
          <w:t>Приложения</w:t>
        </w:r>
        <w:r w:rsidR="00DA1759">
          <w:rPr>
            <w:webHidden/>
          </w:rPr>
          <w:tab/>
        </w:r>
        <w:r w:rsidR="00DA1759">
          <w:rPr>
            <w:webHidden/>
          </w:rPr>
          <w:fldChar w:fldCharType="begin"/>
        </w:r>
        <w:r w:rsidR="00DA1759">
          <w:rPr>
            <w:webHidden/>
          </w:rPr>
          <w:instrText xml:space="preserve"> PAGEREF _Toc514593091 \h </w:instrText>
        </w:r>
        <w:r w:rsidR="00DA1759">
          <w:rPr>
            <w:webHidden/>
          </w:rPr>
        </w:r>
        <w:r w:rsidR="00DA1759">
          <w:rPr>
            <w:webHidden/>
          </w:rPr>
          <w:fldChar w:fldCharType="separate"/>
        </w:r>
        <w:r w:rsidR="00DB6E9E">
          <w:rPr>
            <w:webHidden/>
          </w:rPr>
          <w:t>63</w:t>
        </w:r>
        <w:r w:rsidR="00DA1759">
          <w:rPr>
            <w:webHidden/>
          </w:rPr>
          <w:fldChar w:fldCharType="end"/>
        </w:r>
      </w:hyperlink>
    </w:p>
    <w:p w14:paraId="6EDEBA91" w14:textId="7A17161C" w:rsidR="00CD0F76" w:rsidRPr="00956C84" w:rsidRDefault="00007A21" w:rsidP="00956C84">
      <w:pPr>
        <w:pStyle w:val="12"/>
        <w:rPr>
          <w:rStyle w:val="aff4"/>
          <w:rFonts w:cs="Times New Roman"/>
          <w:i w:val="0"/>
          <w:iCs w:val="0"/>
          <w:color w:val="auto"/>
          <w:sz w:val="24"/>
        </w:rPr>
      </w:pPr>
      <w:r w:rsidRPr="00007A21">
        <w:rPr>
          <w:rFonts w:cs="Times New Roman"/>
          <w:sz w:val="24"/>
        </w:rPr>
        <w:lastRenderedPageBreak/>
        <w:fldChar w:fldCharType="end"/>
      </w:r>
      <w:bookmarkStart w:id="1" w:name="_Toc508838901"/>
      <w:bookmarkStart w:id="2" w:name="_Toc514593067"/>
      <w:r w:rsidR="00CD0F76" w:rsidRPr="00007A21">
        <w:rPr>
          <w:rStyle w:val="aff4"/>
          <w:i w:val="0"/>
          <w:iCs w:val="0"/>
          <w:color w:val="auto"/>
        </w:rPr>
        <w:t>Введение</w:t>
      </w:r>
      <w:bookmarkEnd w:id="1"/>
      <w:bookmarkEnd w:id="2"/>
    </w:p>
    <w:p w14:paraId="13F0A9D7" w14:textId="1351D215" w:rsidR="0017134F" w:rsidRDefault="00E24FEF" w:rsidP="00031227">
      <w:pPr>
        <w:pStyle w:val="a6"/>
      </w:pPr>
      <w:r>
        <w:t xml:space="preserve">Одним из основных направлений развития коммерческих банков является рост корпоративного кредитования. </w:t>
      </w:r>
      <w:r w:rsidR="00147A5B">
        <w:t xml:space="preserve">Данный процесс тесно сопряжен с постоянным накоплением опыта в области кредитования и совершенствованием подходов к анализу кредитного риска. </w:t>
      </w:r>
      <w:r w:rsidR="00D239AD">
        <w:t>Несмотря</w:t>
      </w:r>
      <w:r w:rsidR="0017134F">
        <w:t xml:space="preserve"> на существование установленных</w:t>
      </w:r>
      <w:r w:rsidR="00D239AD">
        <w:t xml:space="preserve"> законодательст</w:t>
      </w:r>
      <w:r w:rsidR="0017134F">
        <w:t>вом</w:t>
      </w:r>
      <w:r w:rsidR="00D239AD">
        <w:t xml:space="preserve"> </w:t>
      </w:r>
      <w:r w:rsidR="0017134F">
        <w:t>норм и лимитов, призванных</w:t>
      </w:r>
      <w:r w:rsidR="00561310">
        <w:t xml:space="preserve"> обезопасить банки от взятия на себя излишнего риска, такие как норматив достаточности капитала, минимальное значение уставного капитала и собственных средств, у банков существует необходимость </w:t>
      </w:r>
      <w:r w:rsidR="00AB324E" w:rsidRPr="004E192D">
        <w:t>в разработк</w:t>
      </w:r>
      <w:r w:rsidR="00AB324E" w:rsidRPr="00BB74D9">
        <w:t>е</w:t>
      </w:r>
      <w:r w:rsidR="00AB324E">
        <w:t xml:space="preserve"> </w:t>
      </w:r>
      <w:r w:rsidR="00B42787">
        <w:t xml:space="preserve">внутренних </w:t>
      </w:r>
      <w:r w:rsidR="00561310">
        <w:t>методов оценки кредитного риска каждого заемщика.</w:t>
      </w:r>
      <w:r w:rsidR="001048A2">
        <w:t xml:space="preserve"> Кредитный риск возникает, когда компания принимает решение о привлечении заемного финансирования, одним из способов которого является выпуск облигационных займов. Данная работа призвана выяснить, существует ли взаимосвязь между уровнем кредитного риска компании и наличием облигационных займов в структуре ее долгового финансирования.  </w:t>
      </w:r>
    </w:p>
    <w:p w14:paraId="5D4E4329" w14:textId="4B6D4ACB" w:rsidR="001B011E" w:rsidRDefault="001B011E" w:rsidP="001B011E">
      <w:pPr>
        <w:pStyle w:val="a6"/>
      </w:pPr>
      <w:r>
        <w:t>Среди существующей литературы имеются работы, изучающие взаимосвязь между кредитным рейтингом компании, экономическими показателями и доходностью к погашению, например, работы [</w:t>
      </w:r>
      <w:r>
        <w:rPr>
          <w:lang w:val="en-US"/>
        </w:rPr>
        <w:t>Carleton</w:t>
      </w:r>
      <w:r w:rsidRPr="00D16569">
        <w:t xml:space="preserve"> </w:t>
      </w:r>
      <w:r>
        <w:t>and</w:t>
      </w:r>
      <w:r w:rsidRPr="00D16569">
        <w:t xml:space="preserve"> </w:t>
      </w:r>
      <w:r>
        <w:rPr>
          <w:lang w:val="en-US"/>
        </w:rPr>
        <w:t>Lerner</w:t>
      </w:r>
      <w:r w:rsidRPr="00D16569">
        <w:t>, 1969</w:t>
      </w:r>
      <w:r>
        <w:t xml:space="preserve">], [Copeland and Ingram, 1982] и [Liu and Thakor, 1984]. Однако нет работ, посвященных анализу взаимосвязи кредитного риска и отдельных характеристик облигаций, таких как доходность к погашению, количество облигационных выпусков и доля суммы выпуска в чистых активах компании, которые были рассмотрены в данной работе. Изучение взаимосвязи данных показателей с кредитным риском компании позволит использовать больше критериев при анализе ее кредитоспособности. </w:t>
      </w:r>
    </w:p>
    <w:p w14:paraId="1E2C0343" w14:textId="4DD4A6DF" w:rsidR="00563544" w:rsidRPr="00D239AD" w:rsidRDefault="006613DB" w:rsidP="00315F14">
      <w:pPr>
        <w:pStyle w:val="a6"/>
      </w:pPr>
      <w:r>
        <w:t xml:space="preserve">На деятельность банковского сектора существенное влияние оказывают цели и задачи регуляторов. Так, одним из стратегических направлений развития финансового рынка </w:t>
      </w:r>
      <w:r w:rsidR="0017134F">
        <w:t xml:space="preserve">с точки зрения </w:t>
      </w:r>
      <w:r>
        <w:t>Банк</w:t>
      </w:r>
      <w:r w:rsidR="0017134F">
        <w:t>а</w:t>
      </w:r>
      <w:r>
        <w:t xml:space="preserve"> России </w:t>
      </w:r>
      <w:r w:rsidR="0017134F">
        <w:t>является</w:t>
      </w:r>
      <w:r>
        <w:t xml:space="preserve"> развитие рынка корпоративных облигаций, </w:t>
      </w:r>
      <w:r w:rsidR="0017134F">
        <w:t xml:space="preserve">что, в свою очередь, организации </w:t>
      </w:r>
      <w:r>
        <w:t>банковск</w:t>
      </w:r>
      <w:r w:rsidR="0017134F">
        <w:t xml:space="preserve">ого </w:t>
      </w:r>
      <w:r>
        <w:t>сектор</w:t>
      </w:r>
      <w:r w:rsidR="0017134F">
        <w:t>а должны</w:t>
      </w:r>
      <w:r>
        <w:t xml:space="preserve"> непременно учитывать в своей деятельности.  </w:t>
      </w:r>
    </w:p>
    <w:p w14:paraId="4EA9CFA9" w14:textId="7EDEBD5E" w:rsidR="00563544" w:rsidRDefault="00563544" w:rsidP="00315F14">
      <w:pPr>
        <w:pStyle w:val="a6"/>
      </w:pPr>
      <w:r>
        <w:t>Весной 2014 года Центральный Банк РФ запустил проект</w:t>
      </w:r>
      <w:r w:rsidR="00CC2A8F">
        <w:t xml:space="preserve"> под названием «Красный апельсин, или Успеть за 24 часа»</w:t>
      </w:r>
      <w:r w:rsidR="00EA5958">
        <w:rPr>
          <w:rStyle w:val="a9"/>
        </w:rPr>
        <w:footnoteReference w:id="1"/>
      </w:r>
      <w:r>
        <w:t>, призванный, во-первых, дать существенный толчок развитию российского</w:t>
      </w:r>
      <w:r w:rsidR="00D239AD">
        <w:t xml:space="preserve"> рынка корпоративных облигаций,</w:t>
      </w:r>
      <w:r>
        <w:t xml:space="preserve"> во-вторых, упростить процедуру регистрации ценных бумаг в Ломбардном списке Банка России. </w:t>
      </w:r>
      <w:r w:rsidR="003352A0">
        <w:t xml:space="preserve">Поскольку программа начала осуществляться только в 2015 году, результат ее внедрения в финансовую систему будет </w:t>
      </w:r>
      <w:r w:rsidR="00934325">
        <w:t>наблюдаться нарастающим эффектом</w:t>
      </w:r>
      <w:r w:rsidR="003352A0">
        <w:t xml:space="preserve"> в ближайшие несколько лет. Актуальность </w:t>
      </w:r>
      <w:r w:rsidR="003352A0">
        <w:lastRenderedPageBreak/>
        <w:t xml:space="preserve">выбранной темы объясняется увеличением </w:t>
      </w:r>
      <w:r w:rsidR="006613DB">
        <w:t>количества заимствований на рынке облигаций среди представителей бизнеса</w:t>
      </w:r>
      <w:r w:rsidR="003352A0">
        <w:t xml:space="preserve"> благодаря вышеописанной инициативе Центрального Банка</w:t>
      </w:r>
      <w:r w:rsidR="006613DB">
        <w:t xml:space="preserve">. </w:t>
      </w:r>
      <w:r w:rsidR="0017134F">
        <w:t>С</w:t>
      </w:r>
      <w:r w:rsidR="00B12F6C">
        <w:t>ущественной проблемой является то, что э</w:t>
      </w:r>
      <w:r w:rsidR="0017134F">
        <w:t>то приведет</w:t>
      </w:r>
      <w:r w:rsidR="00B12F6C">
        <w:t xml:space="preserve"> </w:t>
      </w:r>
      <w:r w:rsidR="003352A0">
        <w:t xml:space="preserve">коммерческие </w:t>
      </w:r>
      <w:r w:rsidR="0017134F">
        <w:t xml:space="preserve">банки </w:t>
      </w:r>
      <w:r w:rsidR="00B12F6C">
        <w:t>к необходимости адаптации моделей оценки кредитоспособности потенциальных заемщиков, прежде всего моделей оценки дефолта, к специфике компаний, выпускающих облигационные займы.</w:t>
      </w:r>
    </w:p>
    <w:p w14:paraId="65D3A521" w14:textId="07FEFBEA" w:rsidR="00B12F6C" w:rsidRDefault="001B011E" w:rsidP="00C9575F">
      <w:pPr>
        <w:pStyle w:val="a6"/>
      </w:pPr>
      <w:r>
        <w:t>Таким образом, ц</w:t>
      </w:r>
      <w:r w:rsidR="00B12F6C">
        <w:t>ель данной работы – выявить</w:t>
      </w:r>
      <w:r w:rsidR="00C9575F">
        <w:t xml:space="preserve"> взаимосвязь</w:t>
      </w:r>
      <w:r w:rsidR="00B12F6C">
        <w:t xml:space="preserve"> наличия облигаций </w:t>
      </w:r>
      <w:r w:rsidR="00C9575F">
        <w:t>и</w:t>
      </w:r>
      <w:r w:rsidR="00B12F6C">
        <w:t xml:space="preserve"> кредитного риска компании</w:t>
      </w:r>
      <w:r w:rsidR="00C9575F">
        <w:t xml:space="preserve">. </w:t>
      </w:r>
      <w:r w:rsidR="00B12F6C">
        <w:t>В соответствии с указанной цел</w:t>
      </w:r>
      <w:r w:rsidR="00C9575F">
        <w:t>ью были поставлены следующие задачи:</w:t>
      </w:r>
    </w:p>
    <w:p w14:paraId="5360F637" w14:textId="4AB1EB42" w:rsidR="00C9575F" w:rsidRDefault="00C9575F" w:rsidP="00E357DC">
      <w:pPr>
        <w:pStyle w:val="a6"/>
        <w:numPr>
          <w:ilvl w:val="0"/>
          <w:numId w:val="6"/>
        </w:numPr>
      </w:pPr>
      <w:r>
        <w:t>Раскрыть особенности облигационных заимствований для корпоративных эмитентов;</w:t>
      </w:r>
    </w:p>
    <w:p w14:paraId="30EB3736" w14:textId="08CBF751" w:rsidR="00C9575F" w:rsidRDefault="00C9575F" w:rsidP="00E357DC">
      <w:pPr>
        <w:pStyle w:val="a6"/>
        <w:numPr>
          <w:ilvl w:val="0"/>
          <w:numId w:val="6"/>
        </w:numPr>
      </w:pPr>
      <w:r>
        <w:t>Выявить преимущества и недостатки существующих методов оценки кредитного риска предприятия;</w:t>
      </w:r>
    </w:p>
    <w:p w14:paraId="26FDF77D" w14:textId="09DA5A72" w:rsidR="00C9575F" w:rsidRDefault="00C9575F" w:rsidP="00E357DC">
      <w:pPr>
        <w:pStyle w:val="a6"/>
        <w:numPr>
          <w:ilvl w:val="0"/>
          <w:numId w:val="6"/>
        </w:numPr>
      </w:pPr>
      <w:r>
        <w:t xml:space="preserve">На основе выбранной модели определить, существует ли взаимосвязь между фактом наличия </w:t>
      </w:r>
      <w:r w:rsidR="00934325">
        <w:t>облигаций и кредитным риском</w:t>
      </w:r>
      <w:r w:rsidR="0017134F">
        <w:t xml:space="preserve"> компании;</w:t>
      </w:r>
    </w:p>
    <w:p w14:paraId="22D46B27" w14:textId="79BB12FA" w:rsidR="0017134F" w:rsidRDefault="0017134F" w:rsidP="00E357DC">
      <w:pPr>
        <w:pStyle w:val="a6"/>
        <w:numPr>
          <w:ilvl w:val="0"/>
          <w:numId w:val="6"/>
        </w:numPr>
      </w:pPr>
      <w:r>
        <w:t>Выделить дополнительные факторы для компаний-эмитентов, влияющие на величину их кредитного риска;</w:t>
      </w:r>
    </w:p>
    <w:p w14:paraId="3326F3B9" w14:textId="5420E213" w:rsidR="0017134F" w:rsidRDefault="0017134F" w:rsidP="00E357DC">
      <w:pPr>
        <w:pStyle w:val="a6"/>
        <w:numPr>
          <w:ilvl w:val="0"/>
          <w:numId w:val="6"/>
        </w:numPr>
      </w:pPr>
      <w:r>
        <w:t>Провести анализ различий значимости факторов, присущих эмитентам облигаций, в зависимости от отрасли функционирования предприятия.</w:t>
      </w:r>
    </w:p>
    <w:p w14:paraId="6046F9F6" w14:textId="3D6B5BAA" w:rsidR="00BB74D9" w:rsidRDefault="0012512B" w:rsidP="0017134F">
      <w:pPr>
        <w:pStyle w:val="a6"/>
        <w:rPr>
          <w:rFonts w:cs="Calibri"/>
        </w:rPr>
      </w:pPr>
      <w:r>
        <w:t xml:space="preserve">В рамках поставленных задач и установленной цели, в первой </w:t>
      </w:r>
      <w:r w:rsidR="00195E41">
        <w:t>главе</w:t>
      </w:r>
      <w:r>
        <w:t xml:space="preserve"> работы был проведен </w:t>
      </w:r>
      <w:r>
        <w:rPr>
          <w:rFonts w:cs="Calibri"/>
        </w:rPr>
        <w:t>обзор существующих зарубежных и российских источников информации, посвященных облигационным займам компаний</w:t>
      </w:r>
      <w:r w:rsidR="00BB74D9">
        <w:rPr>
          <w:rFonts w:cs="Calibri"/>
        </w:rPr>
        <w:t xml:space="preserve">. </w:t>
      </w:r>
      <w:r w:rsidR="00BB74D9">
        <w:t xml:space="preserve">Кроме того, был проведен анализ </w:t>
      </w:r>
      <w:r w:rsidR="00BB74D9">
        <w:rPr>
          <w:rFonts w:cs="Calibri"/>
        </w:rPr>
        <w:t>специфики облигационных займов, возможностей и ограничений их использования для финансирования компаний, были обозначены перспективы развития российского рынка корпоративных обли</w:t>
      </w:r>
      <w:r w:rsidR="0091309B">
        <w:rPr>
          <w:rFonts w:cs="Calibri"/>
        </w:rPr>
        <w:t xml:space="preserve">гаций в рамках КА-проекта Банка </w:t>
      </w:r>
      <w:r w:rsidR="00BB74D9">
        <w:rPr>
          <w:rFonts w:cs="Calibri"/>
        </w:rPr>
        <w:t>России.</w:t>
      </w:r>
    </w:p>
    <w:p w14:paraId="588ECD1F" w14:textId="17ED63A7" w:rsidR="00BB74D9" w:rsidRDefault="0012512B" w:rsidP="00BB74D9">
      <w:pPr>
        <w:pStyle w:val="a6"/>
        <w:rPr>
          <w:rFonts w:cs="Calibri"/>
        </w:rPr>
      </w:pPr>
      <w:r>
        <w:rPr>
          <w:rFonts w:cs="Calibri"/>
        </w:rPr>
        <w:t xml:space="preserve">Вторая </w:t>
      </w:r>
      <w:r w:rsidR="00195E41">
        <w:rPr>
          <w:rFonts w:cs="Calibri"/>
        </w:rPr>
        <w:t>глава</w:t>
      </w:r>
      <w:r w:rsidR="00BB74D9">
        <w:rPr>
          <w:rFonts w:cs="Calibri"/>
        </w:rPr>
        <w:t xml:space="preserve"> данной работы сфокусирована на специфике управления кредитным риском в банках и обзору основных классов моделей оценки кредитного риска заемщика</w:t>
      </w:r>
      <w:r w:rsidR="00BB74D9">
        <w:t xml:space="preserve">. </w:t>
      </w:r>
    </w:p>
    <w:p w14:paraId="18D3F38A" w14:textId="18CC71D4" w:rsidR="0017134F" w:rsidRPr="00254FF1" w:rsidRDefault="0012512B" w:rsidP="00254FF1">
      <w:pPr>
        <w:pStyle w:val="a6"/>
        <w:rPr>
          <w:rFonts w:cs="Calibri"/>
        </w:rPr>
      </w:pPr>
      <w:r>
        <w:rPr>
          <w:rFonts w:cs="Calibri"/>
        </w:rPr>
        <w:t xml:space="preserve"> </w:t>
      </w:r>
      <w:r w:rsidR="00BB74D9">
        <w:rPr>
          <w:rFonts w:cs="Calibri"/>
        </w:rPr>
        <w:t xml:space="preserve">Третья глава </w:t>
      </w:r>
      <w:r>
        <w:rPr>
          <w:rFonts w:cs="Calibri"/>
        </w:rPr>
        <w:t xml:space="preserve">исследования посвящена </w:t>
      </w:r>
      <w:r w:rsidR="00161F1A">
        <w:rPr>
          <w:rFonts w:cs="Calibri"/>
        </w:rPr>
        <w:t>обоснованию</w:t>
      </w:r>
      <w:r>
        <w:rPr>
          <w:rFonts w:cs="Calibri"/>
        </w:rPr>
        <w:t xml:space="preserve"> выбора эконометрической модели для оценки взаимосвязи</w:t>
      </w:r>
      <w:r w:rsidR="00161F1A">
        <w:rPr>
          <w:rFonts w:cs="Calibri"/>
        </w:rPr>
        <w:t>,</w:t>
      </w:r>
      <w:r w:rsidR="00766446">
        <w:rPr>
          <w:rFonts w:cs="Calibri"/>
        </w:rPr>
        <w:t xml:space="preserve"> выбору наиболее подходящего рынка для данного</w:t>
      </w:r>
      <w:r w:rsidR="00AA5FE4">
        <w:rPr>
          <w:rFonts w:cs="Calibri"/>
        </w:rPr>
        <w:t xml:space="preserve"> исследования. Поскольку для выполнения цели и задач исследования был необходим анализ большого количества компаний-эмитентов в разных отраслях экономики, для формирования выборки был выбран более развитый и ликвидный рынок Соединенных Штатов.</w:t>
      </w:r>
      <w:r w:rsidR="00254FF1">
        <w:rPr>
          <w:rFonts w:cs="Calibri"/>
        </w:rPr>
        <w:t xml:space="preserve"> Продолжение </w:t>
      </w:r>
      <w:r w:rsidR="00195E41">
        <w:rPr>
          <w:rFonts w:cs="Calibri"/>
        </w:rPr>
        <w:t xml:space="preserve">второй </w:t>
      </w:r>
      <w:r w:rsidR="00254FF1">
        <w:rPr>
          <w:rFonts w:cs="Calibri"/>
        </w:rPr>
        <w:t xml:space="preserve">части работы заключалось в </w:t>
      </w:r>
      <w:r>
        <w:rPr>
          <w:rFonts w:cs="Calibri"/>
        </w:rPr>
        <w:t>формирова</w:t>
      </w:r>
      <w:r w:rsidR="00254FF1">
        <w:rPr>
          <w:rFonts w:cs="Calibri"/>
        </w:rPr>
        <w:t>нии</w:t>
      </w:r>
      <w:r w:rsidR="00161F1A">
        <w:rPr>
          <w:rFonts w:cs="Calibri"/>
        </w:rPr>
        <w:t xml:space="preserve"> выборки</w:t>
      </w:r>
      <w:r>
        <w:rPr>
          <w:rFonts w:cs="Calibri"/>
        </w:rPr>
        <w:t xml:space="preserve"> для проведения эконометрического исследования</w:t>
      </w:r>
      <w:r w:rsidR="00161F1A">
        <w:rPr>
          <w:rFonts w:cs="Calibri"/>
        </w:rPr>
        <w:t xml:space="preserve"> и анализу</w:t>
      </w:r>
      <w:r>
        <w:rPr>
          <w:rFonts w:cs="Calibri"/>
        </w:rPr>
        <w:t xml:space="preserve"> </w:t>
      </w:r>
      <w:r w:rsidR="00161F1A">
        <w:rPr>
          <w:rFonts w:cs="Calibri"/>
        </w:rPr>
        <w:t>результатов</w:t>
      </w:r>
      <w:r>
        <w:rPr>
          <w:rFonts w:cs="Calibri"/>
        </w:rPr>
        <w:t xml:space="preserve"> оценки компаний, выпустивших корпоративные облигации, с использованием выбранной эконометрической </w:t>
      </w:r>
      <w:r w:rsidR="009C5BCD">
        <w:rPr>
          <w:rFonts w:cs="Calibri"/>
        </w:rPr>
        <w:lastRenderedPageBreak/>
        <w:t>модели</w:t>
      </w:r>
      <w:r w:rsidR="009C5BCD" w:rsidRPr="009C5BCD">
        <w:rPr>
          <w:rFonts w:cs="Calibri"/>
        </w:rPr>
        <w:t>.</w:t>
      </w:r>
      <w:r w:rsidR="00CF53AB">
        <w:rPr>
          <w:rFonts w:cs="Calibri"/>
        </w:rPr>
        <w:t xml:space="preserve"> Кроме того, базовая модель была дополнена новыми переменными, связанными с наличием корпоративных облигаций.</w:t>
      </w:r>
      <w:r w:rsidR="00161F1A">
        <w:rPr>
          <w:rFonts w:cs="Calibri"/>
        </w:rPr>
        <w:t xml:space="preserve"> </w:t>
      </w:r>
      <w:r w:rsidR="00CF53AB">
        <w:rPr>
          <w:rFonts w:cs="Calibri"/>
        </w:rPr>
        <w:t>Также</w:t>
      </w:r>
      <w:r w:rsidR="00161F1A">
        <w:rPr>
          <w:rFonts w:cs="Calibri"/>
        </w:rPr>
        <w:t>, был проведен а</w:t>
      </w:r>
      <w:r>
        <w:rPr>
          <w:rFonts w:cs="Calibri"/>
        </w:rPr>
        <w:t xml:space="preserve">нализ ключевых различий в </w:t>
      </w:r>
      <w:r w:rsidR="00161F1A">
        <w:rPr>
          <w:rFonts w:cs="Calibri"/>
        </w:rPr>
        <w:t>применении</w:t>
      </w:r>
      <w:r w:rsidR="00254FF1">
        <w:rPr>
          <w:rFonts w:cs="Calibri"/>
        </w:rPr>
        <w:t xml:space="preserve"> и интерпретации</w:t>
      </w:r>
      <w:r w:rsidR="00161F1A">
        <w:rPr>
          <w:rFonts w:cs="Calibri"/>
        </w:rPr>
        <w:t xml:space="preserve"> выбранной модели для оценки</w:t>
      </w:r>
      <w:r>
        <w:rPr>
          <w:rFonts w:cs="Calibri"/>
        </w:rPr>
        <w:t xml:space="preserve"> вероятности</w:t>
      </w:r>
      <w:r w:rsidR="00161F1A">
        <w:rPr>
          <w:rFonts w:cs="Calibri"/>
        </w:rPr>
        <w:t xml:space="preserve"> дефолта</w:t>
      </w:r>
      <w:r>
        <w:rPr>
          <w:rFonts w:cs="Calibri"/>
        </w:rPr>
        <w:t xml:space="preserve"> </w:t>
      </w:r>
      <w:r w:rsidR="00161F1A">
        <w:rPr>
          <w:rFonts w:cs="Calibri"/>
        </w:rPr>
        <w:t>в разных отраслях экономики</w:t>
      </w:r>
      <w:r w:rsidR="00766446">
        <w:rPr>
          <w:rFonts w:cs="Calibri"/>
        </w:rPr>
        <w:t xml:space="preserve"> США</w:t>
      </w:r>
      <w:r w:rsidR="00254FF1">
        <w:rPr>
          <w:rFonts w:cs="Calibri"/>
        </w:rPr>
        <w:t xml:space="preserve"> </w:t>
      </w:r>
      <w:r w:rsidR="00766446">
        <w:rPr>
          <w:rFonts w:cs="Calibri"/>
        </w:rPr>
        <w:t>с выделением наиболее знач</w:t>
      </w:r>
      <w:r w:rsidR="00CC2A8F">
        <w:rPr>
          <w:rFonts w:cs="Calibri"/>
        </w:rPr>
        <w:t xml:space="preserve">имых факторов </w:t>
      </w:r>
      <w:r w:rsidR="00D6593F">
        <w:rPr>
          <w:rFonts w:cs="Calibri"/>
        </w:rPr>
        <w:t>в различных отраслях.</w:t>
      </w:r>
    </w:p>
    <w:p w14:paraId="37E1A1A9" w14:textId="571093EF" w:rsidR="001B011E" w:rsidRDefault="00BD1F9A" w:rsidP="009163E7">
      <w:pPr>
        <w:pStyle w:val="a6"/>
      </w:pPr>
      <w:r>
        <w:t xml:space="preserve">При написании данной исследовательской работы автор опирался на </w:t>
      </w:r>
      <w:r w:rsidRPr="000377A9">
        <w:t>стат</w:t>
      </w:r>
      <w:r>
        <w:t xml:space="preserve">ьи и публикации в периодических </w:t>
      </w:r>
      <w:r w:rsidRPr="000377A9">
        <w:t>научных журналах и изданиях</w:t>
      </w:r>
      <w:r>
        <w:t xml:space="preserve">, </w:t>
      </w:r>
      <w:r w:rsidRPr="000377A9">
        <w:t>электронные ресурсы JSTOR - The S</w:t>
      </w:r>
      <w:r w:rsidR="00254FF1">
        <w:t>cholarly Journal Archive, EBSCO,</w:t>
      </w:r>
      <w:r>
        <w:t xml:space="preserve"> Wiley Online Library и другие, информацию, предоставленную базой данных </w:t>
      </w:r>
      <w:r w:rsidRPr="000377A9">
        <w:t xml:space="preserve">Thomson Reuters, официальные сайты </w:t>
      </w:r>
      <w:r>
        <w:t>банков, год</w:t>
      </w:r>
      <w:r w:rsidR="0066573C">
        <w:t>овые финансовые отчеты компаний</w:t>
      </w:r>
      <w:r w:rsidR="0091309B">
        <w:t>.</w:t>
      </w:r>
    </w:p>
    <w:p w14:paraId="37462654" w14:textId="77777777" w:rsidR="009163E7" w:rsidRPr="00856E09" w:rsidRDefault="009163E7" w:rsidP="009163E7">
      <w:pPr>
        <w:pStyle w:val="a6"/>
        <w:sectPr w:rsidR="009163E7" w:rsidRPr="00856E09" w:rsidSect="00341603">
          <w:footerReference w:type="even" r:id="rId8"/>
          <w:footerReference w:type="default" r:id="rId9"/>
          <w:footerReference w:type="first" r:id="rId10"/>
          <w:pgSz w:w="11906" w:h="16838"/>
          <w:pgMar w:top="1134" w:right="850" w:bottom="1134" w:left="1701" w:header="708" w:footer="708" w:gutter="0"/>
          <w:pgNumType w:start="1" w:chapStyle="1"/>
          <w:cols w:space="708"/>
          <w:titlePg/>
          <w:docGrid w:linePitch="360"/>
        </w:sectPr>
      </w:pPr>
    </w:p>
    <w:p w14:paraId="6F57BAA5" w14:textId="76580204" w:rsidR="0066573C" w:rsidRDefault="0066573C" w:rsidP="0066573C">
      <w:pPr>
        <w:pStyle w:val="12"/>
      </w:pPr>
      <w:bookmarkStart w:id="3" w:name="_Toc514593068"/>
      <w:r>
        <w:lastRenderedPageBreak/>
        <w:t>Глава 1. Облигационные займы как инструмент привлечения финансирования</w:t>
      </w:r>
      <w:bookmarkEnd w:id="3"/>
    </w:p>
    <w:p w14:paraId="3DF70FC9" w14:textId="49EF511E" w:rsidR="00AE319A" w:rsidRDefault="00856E09" w:rsidP="00AE319A">
      <w:pPr>
        <w:pStyle w:val="a6"/>
      </w:pPr>
      <w:r>
        <w:t>Компания может пользоваться несколькими способа</w:t>
      </w:r>
      <w:r w:rsidR="00F133D1">
        <w:t>ми финансирования одновременно.</w:t>
      </w:r>
      <w:r>
        <w:t xml:space="preserve"> </w:t>
      </w:r>
      <w:r w:rsidR="00A247AC">
        <w:t>Так, имеется возможность привлекать средства как с помощью банковских кредитов, так и на рынке долговых инструментов</w:t>
      </w:r>
      <w:r w:rsidR="00F133D1">
        <w:t>, то есть с помощью выпуска облигаций</w:t>
      </w:r>
      <w:r w:rsidR="00A247AC">
        <w:t xml:space="preserve">. </w:t>
      </w:r>
      <w:r w:rsidR="00AE319A">
        <w:t>Банковский кредит – наиболее распространенная форма кредитования, подразумевающая выдачу банком определенной суммы на установленный им срок и на определенных условиях. В зависимости от вида кредита, им могут пользоваться компании разных разм</w:t>
      </w:r>
      <w:r w:rsidR="00C14911">
        <w:t>е</w:t>
      </w:r>
      <w:r w:rsidR="00AE319A">
        <w:t xml:space="preserve">ров. </w:t>
      </w:r>
      <w:r w:rsidR="00C14911">
        <w:t>Эмиссия облигаций при этом является альтернативой банковской ссуде, которая предполагает определение процентной ставки, срока и условий самой компанией-эмитент</w:t>
      </w:r>
      <w:r w:rsidR="00934325">
        <w:t>ом. Иногда облигационные выпуски</w:t>
      </w:r>
      <w:r w:rsidR="00C14911">
        <w:t xml:space="preserve"> позволяют привлечь большие суммы по сравнению с банковским кредитом. Далее специфика облигационных займов будет рассмотрена более подробно.</w:t>
      </w:r>
    </w:p>
    <w:p w14:paraId="3A990798" w14:textId="0D436ED9" w:rsidR="00D24533" w:rsidRDefault="00240527" w:rsidP="00240527">
      <w:pPr>
        <w:pStyle w:val="21"/>
      </w:pPr>
      <w:bookmarkStart w:id="4" w:name="_Toc514593069"/>
      <w:r>
        <w:t xml:space="preserve">1.1 </w:t>
      </w:r>
      <w:r w:rsidR="009F43DD">
        <w:t>Понятие и характеристики облигационных займов</w:t>
      </w:r>
      <w:bookmarkEnd w:id="4"/>
    </w:p>
    <w:p w14:paraId="60A0A77C" w14:textId="3C9BFA7D" w:rsidR="00477F35" w:rsidRDefault="00477F35" w:rsidP="00477F35">
      <w:pPr>
        <w:pStyle w:val="a6"/>
      </w:pPr>
      <w:r>
        <w:t>Облигация – эмиссионная ценная бумага, дающая право ее держателю на получение купонного дохода и номинальной стоимости от эмитента в определенный срок.</w:t>
      </w:r>
      <w:r w:rsidR="00777C69">
        <w:t xml:space="preserve"> </w:t>
      </w:r>
      <w:r w:rsidR="00777C69">
        <w:rPr>
          <w:shd w:val="clear" w:color="auto" w:fill="FFFFFF"/>
        </w:rPr>
        <w:t>Согласно Федеральному закону «О рынке ценных бумаг», облигацией признается</w:t>
      </w:r>
      <w:r w:rsidR="00777C69" w:rsidRPr="005228A2">
        <w:rPr>
          <w:shd w:val="clear" w:color="auto" w:fill="FFFFFF"/>
        </w:rPr>
        <w:t xml:space="preserve"> эмиссионная ценная бумага, закрепляющая право ее владельца на получение от эмитента облигации в предусмотренный в ней срок ее номинальной стоимости или иного имущественного эквивалента. Облигация может также предусматривать право ее владельца на получение фиксированного в ней процента от номинальной стоимости облигации либо иные имущественные права. Доходом по облигации являются процент и/или дисконт.</w:t>
      </w:r>
      <w:r w:rsidR="00777C69" w:rsidRPr="00777C69">
        <w:rPr>
          <w:vertAlign w:val="superscript"/>
        </w:rPr>
        <w:footnoteReference w:id="2"/>
      </w:r>
    </w:p>
    <w:p w14:paraId="0E463B15" w14:textId="40F2DBFD" w:rsidR="00477F35" w:rsidRDefault="00CF2374" w:rsidP="00477F35">
      <w:pPr>
        <w:pStyle w:val="a6"/>
      </w:pPr>
      <w:r>
        <w:t>Основные</w:t>
      </w:r>
      <w:r w:rsidR="007837DD">
        <w:t xml:space="preserve"> </w:t>
      </w:r>
      <w:r w:rsidR="00477F35">
        <w:t>свойства облигации:</w:t>
      </w:r>
    </w:p>
    <w:p w14:paraId="375551D9" w14:textId="77777777" w:rsidR="00477F35" w:rsidRDefault="00477F35" w:rsidP="00F92131">
      <w:pPr>
        <w:pStyle w:val="a6"/>
        <w:numPr>
          <w:ilvl w:val="0"/>
          <w:numId w:val="3"/>
        </w:numPr>
      </w:pPr>
      <w:r>
        <w:t>носит характер займа и не дает право на управление компанией;</w:t>
      </w:r>
    </w:p>
    <w:p w14:paraId="5F31B4AB" w14:textId="77777777" w:rsidR="00477F35" w:rsidRDefault="00477F35" w:rsidP="00F92131">
      <w:pPr>
        <w:pStyle w:val="a6"/>
        <w:numPr>
          <w:ilvl w:val="0"/>
          <w:numId w:val="3"/>
        </w:numPr>
      </w:pPr>
      <w:r>
        <w:t>имеет срок погашения;</w:t>
      </w:r>
    </w:p>
    <w:p w14:paraId="1E12A3CF" w14:textId="77777777" w:rsidR="00167A67" w:rsidRDefault="00477F35" w:rsidP="00167A67">
      <w:pPr>
        <w:pStyle w:val="a6"/>
        <w:numPr>
          <w:ilvl w:val="0"/>
          <w:numId w:val="3"/>
        </w:numPr>
      </w:pPr>
      <w:r>
        <w:t>обладает приоритетом по сравнению с акциями при выплате процентов при ликвидации компании;</w:t>
      </w:r>
    </w:p>
    <w:p w14:paraId="777641CC" w14:textId="547008D1" w:rsidR="00167A67" w:rsidRDefault="00167A67" w:rsidP="00167A67">
      <w:pPr>
        <w:pStyle w:val="a6"/>
        <w:numPr>
          <w:ilvl w:val="0"/>
          <w:numId w:val="3"/>
        </w:numPr>
      </w:pPr>
      <w:r>
        <w:t>компания-эмитент является должником относительно своих инвесторов и должна быть привлечена к ответственности при невыполнении взятых на себя обязательств</w:t>
      </w:r>
      <w:r>
        <w:rPr>
          <w:rStyle w:val="a9"/>
        </w:rPr>
        <w:footnoteReference w:id="3"/>
      </w:r>
      <w:r>
        <w:t>.</w:t>
      </w:r>
    </w:p>
    <w:p w14:paraId="138467B7" w14:textId="77777777" w:rsidR="00477F35" w:rsidRDefault="00477F35" w:rsidP="00477F35">
      <w:pPr>
        <w:pStyle w:val="a6"/>
      </w:pPr>
      <w:r>
        <w:lastRenderedPageBreak/>
        <w:t>Понятие корпоративных облигаций означает ценные бумаги, выпущенные исключительно коммерческими организациями для финансирования текущей деятельности и развития предприятия. Ее отличительными особенностями являются следующие характеристики.</w:t>
      </w:r>
    </w:p>
    <w:p w14:paraId="598B83D6" w14:textId="77777777" w:rsidR="00477F35" w:rsidRDefault="00477F35" w:rsidP="00477F35">
      <w:pPr>
        <w:pStyle w:val="a6"/>
      </w:pPr>
      <w:r>
        <w:t>Обращаемость – способность на рынке быть проданной или купленной, а также обменянной на другие финансовые инструменты.</w:t>
      </w:r>
    </w:p>
    <w:p w14:paraId="584D96F6" w14:textId="77777777" w:rsidR="00477F35" w:rsidRDefault="00477F35" w:rsidP="00477F35">
      <w:pPr>
        <w:pStyle w:val="a6"/>
      </w:pPr>
      <w:r>
        <w:t>Доступность – способность участвовать в гражданских сделках, таких как заем, поручение, хранение, дарение и т.п.</w:t>
      </w:r>
    </w:p>
    <w:p w14:paraId="33A53CA0" w14:textId="77777777" w:rsidR="00477F35" w:rsidRDefault="00477F35" w:rsidP="00477F35">
      <w:pPr>
        <w:pStyle w:val="a6"/>
      </w:pPr>
      <w:r>
        <w:t>Стандартность – соответствие определенным правилам и стандартам проведения сделок с ценными бумагами.</w:t>
      </w:r>
    </w:p>
    <w:p w14:paraId="3BF031BA" w14:textId="389CBAC9" w:rsidR="009F43DD" w:rsidRPr="009F43DD" w:rsidRDefault="00477F35" w:rsidP="009F43DD">
      <w:pPr>
        <w:pStyle w:val="a6"/>
      </w:pPr>
      <w:r>
        <w:t>Документальность – способность зафиксировать условия обращения ценной бумаги, права держателя и обязанности эмитента облигации.</w:t>
      </w:r>
      <w:r w:rsidR="009F43DD">
        <w:rPr>
          <w:rStyle w:val="a9"/>
        </w:rPr>
        <w:footnoteReference w:id="4"/>
      </w:r>
    </w:p>
    <w:p w14:paraId="6BBF99B6" w14:textId="77777777" w:rsidR="00477F35" w:rsidRDefault="00477F35" w:rsidP="00477F35">
      <w:pPr>
        <w:pStyle w:val="a6"/>
      </w:pPr>
      <w:r>
        <w:t>Раскрытие информации – необходимость получения всеми инвесторами равного и полноценного доступа ко всей имеющейся на рынке информации, которая влияет на рыночную цену облигации, для обеспечения честного и справедливого инвестирования.</w:t>
      </w:r>
    </w:p>
    <w:p w14:paraId="3078C524" w14:textId="77777777" w:rsidR="00477F35" w:rsidRDefault="00477F35" w:rsidP="00477F35">
      <w:pPr>
        <w:pStyle w:val="a6"/>
      </w:pPr>
      <w:r>
        <w:t>Ликвидность – способность быстро оборачиваться на рынке, превращаться в денежные средства и обратно.</w:t>
      </w:r>
    </w:p>
    <w:p w14:paraId="242FD0D1" w14:textId="77777777" w:rsidR="00477F35" w:rsidRDefault="00477F35" w:rsidP="00477F35">
      <w:pPr>
        <w:pStyle w:val="a6"/>
      </w:pPr>
      <w:r>
        <w:t>Риск – вероятность того, что инвестор понесет потери, связанные с падением цены облигации и другими неблагоприятными факторами на финансовом рынке и в реальном секторе.</w:t>
      </w:r>
    </w:p>
    <w:p w14:paraId="596ABA7D" w14:textId="77777777" w:rsidR="00477F35" w:rsidRPr="00D42D0D" w:rsidRDefault="00477F35" w:rsidP="00477F35">
      <w:pPr>
        <w:pStyle w:val="a6"/>
      </w:pPr>
      <w:r>
        <w:t>Доходность – способность ценной бумаги увеличивать ценность портфеля активов инвестора.</w:t>
      </w:r>
    </w:p>
    <w:p w14:paraId="3A315663" w14:textId="30105D9B" w:rsidR="006C229B" w:rsidRDefault="00CF2374" w:rsidP="00F71D1D">
      <w:pPr>
        <w:pStyle w:val="a6"/>
      </w:pPr>
      <w:r>
        <w:t>Чтобы отразить положение корпоративных облигаций с точки зрения инвестиционной привлекательности финансовых инструментов для игроков на фондовой бирже, н</w:t>
      </w:r>
      <w:r w:rsidR="00477F35">
        <w:t>иже приведена схема</w:t>
      </w:r>
      <w:r w:rsidR="00C91F56">
        <w:t xml:space="preserve"> (рис. 1)</w:t>
      </w:r>
      <w:r w:rsidR="00477F35">
        <w:t>.</w:t>
      </w:r>
      <w:r w:rsidR="008917B4">
        <w:t xml:space="preserve"> </w:t>
      </w:r>
    </w:p>
    <w:p w14:paraId="1DE6700C" w14:textId="77777777" w:rsidR="000A4477" w:rsidRDefault="000A4477" w:rsidP="00F71D1D">
      <w:pPr>
        <w:pStyle w:val="a6"/>
      </w:pPr>
    </w:p>
    <w:p w14:paraId="2C653D66" w14:textId="77777777" w:rsidR="000A4477" w:rsidRPr="00CF2374" w:rsidRDefault="000A4477" w:rsidP="00F71D1D">
      <w:pPr>
        <w:pStyle w:val="a6"/>
      </w:pPr>
    </w:p>
    <w:p w14:paraId="6E814212" w14:textId="0EEC0150" w:rsidR="00477F35" w:rsidRDefault="00477F35" w:rsidP="006C2E9D">
      <w:pPr>
        <w:pStyle w:val="a6"/>
        <w:ind w:firstLine="0"/>
      </w:pPr>
      <w:r>
        <w:rPr>
          <w:noProof/>
        </w:rPr>
        <w:lastRenderedPageBreak/>
        <w:drawing>
          <wp:inline distT="0" distB="0" distL="0" distR="0" wp14:anchorId="3F9DAD2F" wp14:editId="7DFB1A12">
            <wp:extent cx="6163917" cy="1613673"/>
            <wp:effectExtent l="0" t="0" r="8890" b="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42AB0F6" w14:textId="236F9435" w:rsidR="00F71D1D" w:rsidRDefault="00F71D1D" w:rsidP="00F71D1D">
      <w:pPr>
        <w:pStyle w:val="a"/>
      </w:pPr>
      <w:r>
        <w:t>Инвестиционная привлекательности финансовых инструментов</w:t>
      </w:r>
    </w:p>
    <w:p w14:paraId="1F1E6FA7" w14:textId="65445B86" w:rsidR="0030413A" w:rsidRPr="00167A67" w:rsidRDefault="00D228B4" w:rsidP="00B32C23">
      <w:pPr>
        <w:pStyle w:val="a6"/>
      </w:pPr>
      <w:r w:rsidRPr="0046585A">
        <w:rPr>
          <w:i/>
        </w:rPr>
        <w:t>Источник:</w:t>
      </w:r>
      <w:r w:rsidRPr="0046585A">
        <w:t xml:space="preserve"> рисунок составлен</w:t>
      </w:r>
      <w:r w:rsidR="009D7867">
        <w:t xml:space="preserve"> автором статьи «</w:t>
      </w:r>
      <w:r w:rsidR="009D7867" w:rsidRPr="009D7867">
        <w:t>Как грамотно выбрать инструмент для инвестирования</w:t>
      </w:r>
      <w:r w:rsidR="009D7867">
        <w:t xml:space="preserve">», БКС Экспресс [Электронный ресурс] – Режим доступа: </w:t>
      </w:r>
      <w:r w:rsidR="009D7867" w:rsidRPr="009D7867">
        <w:t>https://bcs-express.ru/novosti-i-analitika/kak-gramotno-vybrat-instrument-dlya-investirovaniya</w:t>
      </w:r>
      <w:r w:rsidR="009D7867">
        <w:t xml:space="preserve"> - Загл. с экрана – 2008 – 2018.</w:t>
      </w:r>
    </w:p>
    <w:p w14:paraId="326EB2FB" w14:textId="77C2CE09" w:rsidR="00477F35" w:rsidRPr="00B930A3" w:rsidRDefault="00DE39FE" w:rsidP="00DE39FE">
      <w:pPr>
        <w:pStyle w:val="a6"/>
      </w:pPr>
      <w:r>
        <w:t xml:space="preserve">Рассмотрим положение корпоративных облигаций среди инструментов финансового рынка. </w:t>
      </w:r>
      <w:r w:rsidR="00477F35">
        <w:t>Данная последовательность выстроена с учетом повышения риска и доходности и понижения ликвидности и гарантированности выплат. К примеру, в случае ликвидации компании прежде всего будут выполняться требования кредиторов по обязательствам, обеспеченным залогом, то есть по корпоративным облигациям с обеспечением, затем по корпоративным облигациям без залога, далее идут выплаты по привилегированным акциям и</w:t>
      </w:r>
      <w:r w:rsidR="00907992">
        <w:t>,</w:t>
      </w:r>
      <w:r w:rsidR="00477F35">
        <w:t xml:space="preserve"> наконец</w:t>
      </w:r>
      <w:r w:rsidR="00907992">
        <w:t>,</w:t>
      </w:r>
      <w:r w:rsidR="00477F35">
        <w:t xml:space="preserve"> погашается заложенность по обыкновенным акциям.</w:t>
      </w:r>
      <w:r>
        <w:t xml:space="preserve"> </w:t>
      </w:r>
      <w:r w:rsidR="00477F35">
        <w:t>При осуществлении компанией своей текущей деятельности проценты по облигациям выплачиваются, даже несмотря на отсутствие прибыли (в таком случае прибегают к ресурсам резервного фонда). Привилегированные акции гарантируют прибыль их держателям только в случае получения компанией прибыли или создания специальных фондов, а до держателей обыкновенных акций дивиденды доходят, только если осталась нераспределенная чистая прибыль в нужном объеме. Справедливо отметить, что с увеличением риска неполучения выплат повышается и доходность ценной бумаги от обеспеченных облигаций до обыкновенных акций.</w:t>
      </w:r>
    </w:p>
    <w:p w14:paraId="1E8845A7" w14:textId="77777777" w:rsidR="00477F35" w:rsidRPr="006720DA" w:rsidRDefault="00477F35" w:rsidP="00477F35">
      <w:pPr>
        <w:pStyle w:val="a6"/>
      </w:pPr>
      <w:r w:rsidRPr="006720DA">
        <w:t>В случаях, предусмотренных законом или иными правовыми актами, договор займа может быть заключен путем выпуска и продажи облигаций.</w:t>
      </w:r>
    </w:p>
    <w:p w14:paraId="3E6FC335" w14:textId="4F6091DF" w:rsidR="00477F35" w:rsidRPr="00196503" w:rsidRDefault="00477F35" w:rsidP="00830A0A">
      <w:pPr>
        <w:pStyle w:val="a6"/>
      </w:pPr>
      <w:bookmarkStart w:id="5" w:name="dst101474"/>
      <w:bookmarkEnd w:id="5"/>
      <w:r>
        <w:t xml:space="preserve">Согласно Закону «О рынке ценных бумаг» эмиссионная ценная бумага закрепляет имущественные и неимущественные права сторон, размещается выпусками </w:t>
      </w:r>
      <w:r w:rsidRPr="00AA73DC">
        <w:t>(совокупностями ценных бумаг одного эмите</w:t>
      </w:r>
      <w:r>
        <w:t>нта, предоставляющих одинаковый</w:t>
      </w:r>
      <w:r w:rsidRPr="00AA73DC">
        <w:t xml:space="preserve"> объем прав их владельцам, имеющих одинаковую номинальную сто</w:t>
      </w:r>
      <w:r>
        <w:t xml:space="preserve">имость, единый </w:t>
      </w:r>
      <w:r>
        <w:lastRenderedPageBreak/>
        <w:t>государственный регистрационный</w:t>
      </w:r>
      <w:r w:rsidRPr="00AA73DC">
        <w:t xml:space="preserve"> номер</w:t>
      </w:r>
      <w:r>
        <w:rPr>
          <w:rStyle w:val="a9"/>
        </w:rPr>
        <w:footnoteReference w:id="5"/>
      </w:r>
      <w:r w:rsidRPr="00AA73DC">
        <w:t>)</w:t>
      </w:r>
      <w:r>
        <w:t xml:space="preserve"> и имеет равные объем и сроки исполнения взятых на себя обязательств независимо от времени покупки облигации.</w:t>
      </w:r>
    </w:p>
    <w:p w14:paraId="65A535F4" w14:textId="10B84AF1" w:rsidR="00D24533" w:rsidRPr="00D67DB8" w:rsidRDefault="004F04C2" w:rsidP="00D67DB8">
      <w:pPr>
        <w:pStyle w:val="a6"/>
        <w:rPr>
          <w:b/>
        </w:rPr>
      </w:pPr>
      <w:r w:rsidRPr="00D67DB8">
        <w:rPr>
          <w:b/>
        </w:rPr>
        <w:t xml:space="preserve">К </w:t>
      </w:r>
      <w:r w:rsidR="00DE39FE">
        <w:rPr>
          <w:b/>
        </w:rPr>
        <w:t>преимуществам</w:t>
      </w:r>
      <w:r w:rsidR="00D24533" w:rsidRPr="00D67DB8">
        <w:rPr>
          <w:b/>
        </w:rPr>
        <w:t xml:space="preserve"> привлечения об</w:t>
      </w:r>
      <w:r w:rsidR="00240527" w:rsidRPr="00D67DB8">
        <w:rPr>
          <w:b/>
        </w:rPr>
        <w:t>лигационных займов для эмитента</w:t>
      </w:r>
      <w:r w:rsidRPr="00D67DB8">
        <w:rPr>
          <w:b/>
        </w:rPr>
        <w:t xml:space="preserve"> относятся:</w:t>
      </w:r>
    </w:p>
    <w:p w14:paraId="0E13C1BD" w14:textId="117C215D" w:rsidR="00D24533" w:rsidRDefault="004F04C2" w:rsidP="004F04C2">
      <w:pPr>
        <w:pStyle w:val="a6"/>
      </w:pPr>
      <w:r>
        <w:t xml:space="preserve">- </w:t>
      </w:r>
      <w:r w:rsidR="00DE39FE">
        <w:t>Возможность долгосрочного финансирования</w:t>
      </w:r>
      <w:r w:rsidR="00D24533">
        <w:t>.</w:t>
      </w:r>
      <w:r w:rsidR="00DE39FE">
        <w:t xml:space="preserve"> </w:t>
      </w:r>
      <w:r w:rsidR="00D24533">
        <w:t>Это позволяет осуществлять капиталоемкие инвестиции в расширение производства, увеличение операционного потенциала, развитие экспортных возможностей и т.п.</w:t>
      </w:r>
    </w:p>
    <w:p w14:paraId="26FC18F3" w14:textId="212841A0" w:rsidR="00D24533" w:rsidRDefault="004F04C2" w:rsidP="00477F35">
      <w:pPr>
        <w:pStyle w:val="a6"/>
      </w:pPr>
      <w:r>
        <w:t xml:space="preserve">- </w:t>
      </w:r>
      <w:r w:rsidR="00D24533">
        <w:t>Диверсификация портфеля источников финансирования. Возможность снижение риска за счет разных сроков, условий начисления процента для повышения ликвидности долгов и минимизации издержек на привлечение займов.</w:t>
      </w:r>
    </w:p>
    <w:p w14:paraId="3055D8FA" w14:textId="204F0347" w:rsidR="00D24533" w:rsidRDefault="004F04C2" w:rsidP="00477F35">
      <w:pPr>
        <w:pStyle w:val="a6"/>
      </w:pPr>
      <w:r>
        <w:t xml:space="preserve">- </w:t>
      </w:r>
      <w:r w:rsidR="00D24533">
        <w:t xml:space="preserve">Финансирование осуществляется за счет </w:t>
      </w:r>
      <w:r w:rsidR="00DE39FE">
        <w:t>инвесторов на фондовом рынке</w:t>
      </w:r>
      <w:r w:rsidR="00D24533">
        <w:t>, что снижает степень зависимости эмитента от банков, предоставляющих кредит. Кроме того, наличие альтернативы привлечения займа в виде корпоративных облигаций может гарантировать более привлекательные условия кредитования.</w:t>
      </w:r>
    </w:p>
    <w:p w14:paraId="6871B939" w14:textId="61D4AB4D" w:rsidR="00D24533" w:rsidRDefault="004F04C2" w:rsidP="00477F35">
      <w:pPr>
        <w:pStyle w:val="a6"/>
      </w:pPr>
      <w:r>
        <w:t xml:space="preserve">- </w:t>
      </w:r>
      <w:r w:rsidR="00D24533">
        <w:t>Создание кредитной истории заемщика на публичном рынке. Более детальное раскрытие информации о предприятии и его рисках</w:t>
      </w:r>
      <w:r w:rsidR="00DE39FE">
        <w:t xml:space="preserve"> за счет публикации данных о заемщике</w:t>
      </w:r>
      <w:r w:rsidR="004B7A16">
        <w:t xml:space="preserve"> в проспекте эмиссии</w:t>
      </w:r>
      <w:r w:rsidR="00D24533">
        <w:t xml:space="preserve">. Повышение узнаваемости компании как заемщика и расширение границ доступа к заемному капиталу с использованием </w:t>
      </w:r>
      <w:r w:rsidR="00D24533" w:rsidRPr="00477F35">
        <w:t>различных инструментов привлечения финансирования</w:t>
      </w:r>
      <w:r w:rsidR="00D24533">
        <w:t>, что, в свою очередь, снижает издержки, связанные с этим процессом.</w:t>
      </w:r>
    </w:p>
    <w:p w14:paraId="6DDBA7B4" w14:textId="00E34BF7" w:rsidR="00D24533" w:rsidRDefault="004F04C2" w:rsidP="00477F35">
      <w:pPr>
        <w:pStyle w:val="a6"/>
      </w:pPr>
      <w:r>
        <w:t xml:space="preserve">- </w:t>
      </w:r>
      <w:r w:rsidR="00D24533">
        <w:t xml:space="preserve">Снижение </w:t>
      </w:r>
      <w:r w:rsidR="00D24533" w:rsidRPr="00477F35">
        <w:t>процентных издержек</w:t>
      </w:r>
      <w:r w:rsidR="00D24533">
        <w:t xml:space="preserve"> вследствие меньшего кредитного риска со стороны диверсифицированных инвесторов на финансовом рынке.</w:t>
      </w:r>
    </w:p>
    <w:p w14:paraId="1EBDA917" w14:textId="2AE5F7B5" w:rsidR="00D24533" w:rsidRDefault="004F04C2" w:rsidP="00477F35">
      <w:pPr>
        <w:pStyle w:val="a6"/>
      </w:pPr>
      <w:r>
        <w:t xml:space="preserve">- </w:t>
      </w:r>
      <w:r w:rsidR="00D24533">
        <w:t>Создание биржевой истории и репутации эмитента в глазах инвесторов за счет выпуска других производных финансовых инструментов (обыкновенные и привилегированные акции, депозитарные расписки, векселя) на базе первичных ценных бумаг.</w:t>
      </w:r>
    </w:p>
    <w:p w14:paraId="6D0CA534" w14:textId="535C9E57" w:rsidR="00D24533" w:rsidRDefault="004F04C2" w:rsidP="00477F35">
      <w:pPr>
        <w:pStyle w:val="a6"/>
      </w:pPr>
      <w:r>
        <w:t xml:space="preserve">- </w:t>
      </w:r>
      <w:r w:rsidR="00D24533">
        <w:t>Усиление бренда компании за счет публичного раскрытия информации и обращения ценных бумаг на фондовой бирже.</w:t>
      </w:r>
    </w:p>
    <w:p w14:paraId="6EB15874" w14:textId="77777777" w:rsidR="00F71D1D" w:rsidRDefault="004F04C2" w:rsidP="00F71D1D">
      <w:pPr>
        <w:pStyle w:val="a6"/>
      </w:pPr>
      <w:r>
        <w:t xml:space="preserve">- </w:t>
      </w:r>
      <w:r w:rsidR="00D24533">
        <w:t>Наличие индикатора деятельности компании. Продавая и покупая облигации предприятия, инвесторы на рынке ценных бумаг идентифицируют уровень ее инвестиционной привлекательности, таким образом, подавая сигнал менеджменту компании о качестве принимаемых решений в области управления.</w:t>
      </w:r>
    </w:p>
    <w:p w14:paraId="15E968C7" w14:textId="7D20871F" w:rsidR="00D24533" w:rsidRPr="00F71D1D" w:rsidRDefault="004F04C2" w:rsidP="00F71D1D">
      <w:pPr>
        <w:pStyle w:val="a6"/>
        <w:rPr>
          <w:b/>
        </w:rPr>
      </w:pPr>
      <w:r w:rsidRPr="00F71D1D">
        <w:rPr>
          <w:b/>
        </w:rPr>
        <w:lastRenderedPageBreak/>
        <w:t xml:space="preserve">К </w:t>
      </w:r>
      <w:r w:rsidR="004B7A16">
        <w:rPr>
          <w:b/>
        </w:rPr>
        <w:t>ограничениям</w:t>
      </w:r>
      <w:r w:rsidR="00D24533" w:rsidRPr="00F71D1D">
        <w:rPr>
          <w:b/>
        </w:rPr>
        <w:t xml:space="preserve"> привлечения об</w:t>
      </w:r>
      <w:r w:rsidR="00240527" w:rsidRPr="00F71D1D">
        <w:rPr>
          <w:b/>
        </w:rPr>
        <w:t>лигационных займов для эмитента</w:t>
      </w:r>
      <w:r w:rsidRPr="00F71D1D">
        <w:rPr>
          <w:b/>
        </w:rPr>
        <w:t xml:space="preserve"> относятся:</w:t>
      </w:r>
    </w:p>
    <w:p w14:paraId="366560E0" w14:textId="13DF2C83" w:rsidR="00D24533" w:rsidRDefault="004F04C2" w:rsidP="00477F35">
      <w:pPr>
        <w:pStyle w:val="a6"/>
      </w:pPr>
      <w:r>
        <w:t xml:space="preserve">- </w:t>
      </w:r>
      <w:r w:rsidR="00D24533">
        <w:t>Появление у эмитента дополнительных затрат, связанных с необходимостью публичного раскрытия информации.</w:t>
      </w:r>
    </w:p>
    <w:p w14:paraId="6A424F42" w14:textId="73BB5230" w:rsidR="00D24533" w:rsidRDefault="004F04C2" w:rsidP="00477F35">
      <w:pPr>
        <w:pStyle w:val="a6"/>
      </w:pPr>
      <w:r>
        <w:t xml:space="preserve">- </w:t>
      </w:r>
      <w:r w:rsidR="00D24533">
        <w:t>Компания, выпустившая облигации, обязана нести высокие регулятивные издержки, которые связаны с более жесткими требованиями к публичному раскрытию информации и налоговой отчетности. Так, облигационные займы в отличие от банковских кредитов и векселей предусматривают налог на операции с ценными бумагами.</w:t>
      </w:r>
    </w:p>
    <w:p w14:paraId="0CE787AC" w14:textId="744CE8E8" w:rsidR="00D24533" w:rsidRDefault="004F04C2" w:rsidP="00477F35">
      <w:pPr>
        <w:pStyle w:val="a6"/>
      </w:pPr>
      <w:r>
        <w:t xml:space="preserve">- </w:t>
      </w:r>
      <w:r w:rsidR="00D24533">
        <w:t>Эмитент несет дополнительные издержки на подготовку выпуска, размещение и обслуживание облигаций, не ограничиваясь выплатой процентами по займу как в случае с банковским кредитованием.</w:t>
      </w:r>
    </w:p>
    <w:p w14:paraId="294C8C28" w14:textId="458FF4A8" w:rsidR="00D24533" w:rsidRDefault="004F04C2" w:rsidP="00477F35">
      <w:pPr>
        <w:pStyle w:val="a6"/>
      </w:pPr>
      <w:r>
        <w:t xml:space="preserve">- </w:t>
      </w:r>
      <w:r w:rsidR="00D24533">
        <w:t>Более высокие расходы на услуги финансового посредника и риски для эмитента при первичном размещении облигационного займа из-за отсутствия биржевой истории и репутации на рынке ценных бумаг.</w:t>
      </w:r>
    </w:p>
    <w:p w14:paraId="78A9969F" w14:textId="3EA9ABEB" w:rsidR="00D24533" w:rsidRDefault="004F04C2" w:rsidP="00477F35">
      <w:pPr>
        <w:pStyle w:val="a6"/>
      </w:pPr>
      <w:r>
        <w:t xml:space="preserve">- </w:t>
      </w:r>
      <w:r w:rsidR="00D24533">
        <w:t>Более высокие временные издержки на выпуск корпоративных облигаций по сравнению с кредитными операциями в связи с необходимостью государственной регистрации, раскрытием информации о компании и ее рисках, работы с потенциальными инвесторами и организацией первичного размещения на финансовом рынке.</w:t>
      </w:r>
    </w:p>
    <w:p w14:paraId="7D2159FD" w14:textId="77777777" w:rsidR="009F43DD" w:rsidRDefault="009F43DD" w:rsidP="00477F35">
      <w:pPr>
        <w:pStyle w:val="a6"/>
      </w:pPr>
    </w:p>
    <w:p w14:paraId="5174DE98" w14:textId="26FCE817" w:rsidR="009F43DD" w:rsidRDefault="00492BB9" w:rsidP="00240527">
      <w:pPr>
        <w:pStyle w:val="21"/>
      </w:pPr>
      <w:bookmarkStart w:id="7" w:name="_Toc514593070"/>
      <w:r>
        <w:t>1.2</w:t>
      </w:r>
      <w:r w:rsidR="00240527">
        <w:t xml:space="preserve"> </w:t>
      </w:r>
      <w:r w:rsidR="009F43DD">
        <w:t>Класси</w:t>
      </w:r>
      <w:r w:rsidR="00240527">
        <w:t>фикация корпоративных облигаций</w:t>
      </w:r>
      <w:bookmarkEnd w:id="7"/>
    </w:p>
    <w:p w14:paraId="0B8C414B" w14:textId="77777777" w:rsidR="009F43DD" w:rsidRDefault="009F43DD" w:rsidP="009F43DD">
      <w:pPr>
        <w:pStyle w:val="a6"/>
      </w:pPr>
      <w:r>
        <w:t>По номиналу:</w:t>
      </w:r>
    </w:p>
    <w:p w14:paraId="1EB18615" w14:textId="77777777" w:rsidR="009F43DD" w:rsidRDefault="009F43DD" w:rsidP="009F43DD">
      <w:pPr>
        <w:pStyle w:val="a6"/>
      </w:pPr>
      <w:r>
        <w:t>Обязательным условием для определения ценной бумаги в качестве облигации согласно Закону «Об акционерных обществах» является наличие номинальной стоимости (статья 33). Таким образом, выпуск безноминальных корпоративных облигаций представляется невозможным. В то же время компания может производить эмиссию облигаций различного номинала. Так, выпуск может осуществляться как мелко-, так и крупнономинальных облигаций в зависимости от возможностей потенциального инвестора.</w:t>
      </w:r>
    </w:p>
    <w:p w14:paraId="1B719113" w14:textId="77777777" w:rsidR="009F43DD" w:rsidRDefault="009F43DD" w:rsidP="009F43DD">
      <w:pPr>
        <w:pStyle w:val="a6"/>
      </w:pPr>
      <w:r>
        <w:t>По валюте номинала:</w:t>
      </w:r>
    </w:p>
    <w:p w14:paraId="6ED73747" w14:textId="279448F0" w:rsidR="009F43DD" w:rsidRDefault="009F43DD" w:rsidP="009F43DD">
      <w:pPr>
        <w:pStyle w:val="a6"/>
      </w:pPr>
      <w:r>
        <w:t>Корпоративная облигация может быть выпущена в российских рублях, в условных денежных единицах, которые могут быть переведены в рубли, а также в иностранной валюте, что предусматривает регулирование со стороны валютного законодательства. Аналогично, имеют место быть индексированные корпоративные облигации. Их существование дает инвестору возможность сохранить вложенных капитал, поскольку номинал и купонных доход таких облигаций индексируются в соответствии с инфляцией.</w:t>
      </w:r>
    </w:p>
    <w:p w14:paraId="51709388" w14:textId="26124C11" w:rsidR="009F43DD" w:rsidRDefault="009F43DD" w:rsidP="009F43DD">
      <w:pPr>
        <w:pStyle w:val="a6"/>
      </w:pPr>
      <w:r>
        <w:t>По срокам:</w:t>
      </w:r>
    </w:p>
    <w:p w14:paraId="1FD51C90" w14:textId="274F8B34" w:rsidR="009F43DD" w:rsidRDefault="009F43DD" w:rsidP="00240527">
      <w:pPr>
        <w:pStyle w:val="a6"/>
      </w:pPr>
      <w:r>
        <w:lastRenderedPageBreak/>
        <w:t>Выделяют долгосрочные, среднесрочные и краткосрочные облигационные займы, то есть финансовые инструменты сроком от 1 года до 5 лет и на срок свыше 5 лет соответственно</w:t>
      </w:r>
      <w:r>
        <w:rPr>
          <w:rStyle w:val="a9"/>
        </w:rPr>
        <w:footnoteReference w:id="6"/>
      </w:r>
      <w:r>
        <w:t>. Тем временем чаще всего краткосрочные потребности в финансировании удовлетворяются за счет не эмиссионных ценных бумаг. Вышеупомянутые облигации объединяются в группу займов с указанной датой погашения. Одновременно с этим существуют облигации без определенного срока погашения. В этом случае они делятся на отзывные с возможностью досрочного погашения (заранее оговаривается номинал или номинал и премия), отсроченные с возможностью для эмитента отсрочить погашение и продлеваемые, дающие инвестору право продлевать срок обращения облига</w:t>
      </w:r>
      <w:r w:rsidR="00240527">
        <w:t>ции, включая выплаты процентов.</w:t>
      </w:r>
    </w:p>
    <w:p w14:paraId="70E26D54" w14:textId="77777777" w:rsidR="009F43DD" w:rsidRPr="00020A4F" w:rsidRDefault="009F43DD" w:rsidP="009F43DD">
      <w:pPr>
        <w:pStyle w:val="a6"/>
      </w:pPr>
      <w:r>
        <w:t>По способу погашения:</w:t>
      </w:r>
    </w:p>
    <w:p w14:paraId="39891066" w14:textId="77777777" w:rsidR="009F43DD" w:rsidRDefault="009F43DD" w:rsidP="009F43DD">
      <w:pPr>
        <w:pStyle w:val="a6"/>
      </w:pPr>
      <w:r>
        <w:t>Среди корпоративных облигаций выделяют те, которые погашаются единовременно, и те, которые выплачиваются периодическими платежами. В первом случае в конце срока выплачивается номинал или номинал и проценты. Во втором случае облигации бывают с фондом погашения, который служит для амортизации долга по выпущенным обязательствам за счет денежных средств и высоколиквидных активов. Фонд погашения создается как для частичного погашения облигационного займа, так и для полного его погашения, в таком случае к концу срока погашения выкупается весь объем выпущенных облигаций. Этот механизм может быть распространен как на всю эмиссию, так и на отдельный выпуск. Бланковым или агрегированным фондом погашения называется фонд, сформированный для погашения всей эмиссии и устанавливающийся в качестве процента от общей суммы всех корпоративных облигаций, выпущенных компанией.</w:t>
      </w:r>
    </w:p>
    <w:p w14:paraId="5A46EDA6" w14:textId="1A6F72AB" w:rsidR="009F43DD" w:rsidRDefault="009F43DD" w:rsidP="00240527">
      <w:pPr>
        <w:pStyle w:val="a6"/>
        <w:ind w:firstLine="708"/>
      </w:pPr>
      <w:r>
        <w:t xml:space="preserve">Создание фонда погашения </w:t>
      </w:r>
      <w:r w:rsidR="002D7D31">
        <w:t>может быть,</w:t>
      </w:r>
      <w:r>
        <w:t xml:space="preserve"> как обязательным, так и необязательным, что в свою очередь зависит от того, должно ли предприятие гасить эмиссию. Если предприятие не обязано гасить обязательства по облигациям, то выплаты производятся по усмотрению компании в зависимости от финансовых результатов, что не является выгодным для инвестора. Закон «Об акционерных обществах»</w:t>
      </w:r>
      <w:r>
        <w:rPr>
          <w:rStyle w:val="a9"/>
        </w:rPr>
        <w:footnoteReference w:id="7"/>
      </w:r>
      <w:r>
        <w:t xml:space="preserve"> предусматривает обязательное формирование резервного фонда (не менее 5</w:t>
      </w:r>
      <w:r w:rsidRPr="009C5E0C">
        <w:t>%</w:t>
      </w:r>
      <w:r>
        <w:t xml:space="preserve"> от уставного капитала) для покрытия его убытков, погашения облигационных займов и выкупа акций в определенных </w:t>
      </w:r>
      <w:r>
        <w:lastRenderedPageBreak/>
        <w:t>случаях.</w:t>
      </w:r>
      <w:r w:rsidRPr="009C5E0C">
        <w:t xml:space="preserve"> </w:t>
      </w:r>
      <w:r>
        <w:t>Тем не менее закон «Об обществах с ограниченной ответственностью»</w:t>
      </w:r>
      <w:r>
        <w:rPr>
          <w:rStyle w:val="a9"/>
        </w:rPr>
        <w:footnoteReference w:id="8"/>
      </w:r>
      <w:r>
        <w:t xml:space="preserve"> оставляет право прописывать порядок создания фонда в уставе общества. Таким образом, наряду с облигациями, под которые создается фонд погашения, существуют облигации без соответствующего фонда. Облигации с периодическими платежами, в целом, позволяют инвестору снизить кредитный риск, риск невыполнения эмитентом взятых на себя обязательств, и управлять процентным, который подразумевает возможность потерь от изменения рыночной стоимости купона. </w:t>
      </w:r>
    </w:p>
    <w:p w14:paraId="6E17D5EA" w14:textId="77777777" w:rsidR="009F43DD" w:rsidRDefault="009F43DD" w:rsidP="009F43DD">
      <w:pPr>
        <w:pStyle w:val="a6"/>
      </w:pPr>
      <w:r>
        <w:t>По возможности досрочного погашения:</w:t>
      </w:r>
    </w:p>
    <w:p w14:paraId="23765F55" w14:textId="77777777" w:rsidR="009F43DD" w:rsidRDefault="009F43DD" w:rsidP="009F43DD">
      <w:pPr>
        <w:pStyle w:val="a6"/>
      </w:pPr>
      <w:r>
        <w:t xml:space="preserve">Существуют облигации без досрочного выкупа, при выпуске которых не устанавливались права или обязательства эмитента по досрочному погашению облигаций, будь то инициатива инвестора или эмитента. Такие облигации не позволяют инвесторам и эмитентам снижать кредитные риски, а также управлять процентными и рыночными. Чего нельзя сказать об облигациях с возможностью досрочного погашения. </w:t>
      </w:r>
    </w:p>
    <w:p w14:paraId="0F33F3F5" w14:textId="77777777" w:rsidR="009F43DD" w:rsidRDefault="009F43DD" w:rsidP="009F43DD">
      <w:pPr>
        <w:pStyle w:val="a6"/>
      </w:pPr>
      <w:r>
        <w:t>Погашение может осуществляться как по запросу инвестора, так и эмитента. В первом случае владелец облигации может обладать правом досрочного погашения (в условии выпуска оговариваются срок и порядок проведения данной процедуры), при этом облигации изымаются из обращения, а также правом обратной продажи по номинальной стоимости эмитенту, которое позволяет облигациям в дальнейшем обращаться на рынке. В случае, когда досрочное погашение осуществляется по инициативе эмитента, облигации называются отзывными. Условия их выпуска предоставляют эмитенту право произвести их выкуп до наступления срока погашения облигаций. Зачастую предусматривается период в несколько лет с момента выпуска облигации, в течение которого эмитент не в праве осуществить отзыв облигаций либо отзыв производится с ограничениями. Такая процедура обычно происходит с курсовой надбавкой, которая в экономически развитых странах сопоставима годовым процентом по кредиту. Так же наблюдается прямая взаимосвязь между величиной надбавки и количеством времени до момента погашения облигации. Важно отметить, что досрочное погашение по инициативе эмитента осуществляется в отношении всех облигаций одного выпуска.</w:t>
      </w:r>
    </w:p>
    <w:p w14:paraId="468E53F1" w14:textId="77777777" w:rsidR="009F43DD" w:rsidRDefault="009F43DD" w:rsidP="009F43DD">
      <w:pPr>
        <w:pStyle w:val="a6"/>
      </w:pPr>
      <w:r>
        <w:t>По способу выплаты дохода:</w:t>
      </w:r>
    </w:p>
    <w:p w14:paraId="5D372B80" w14:textId="77777777" w:rsidR="009F43DD" w:rsidRDefault="009F43DD" w:rsidP="009F43DD">
      <w:pPr>
        <w:pStyle w:val="a6"/>
      </w:pPr>
      <w:r>
        <w:t xml:space="preserve">Корпоративные облигации по форме выплаты дохода делятся на процентные и дисконтные облигации. Процентные облигации еще также называют купонными, так как владельцу облигации регулярно выплачивается купонный доход, равный определенному проценту от номинальной стоимости облигации. Причем, процент может выплачиваться </w:t>
      </w:r>
      <w:r>
        <w:lastRenderedPageBreak/>
        <w:t>как по фиксированной ставке, в таком случае владелец и эмитент облигации уверены потоках процентных платежей, так и по переменной ставке, которая обычно привязана к некоему рыночному показателю, будь то среднерыночный процент, темп инфляции или ключевая ставка Центрального Банка РФ. Здесь имеет место получение выгоды исключительно от сложившейся на рынке ситуации.</w:t>
      </w:r>
    </w:p>
    <w:p w14:paraId="288CBD5F" w14:textId="77777777" w:rsidR="009F43DD" w:rsidRDefault="009F43DD" w:rsidP="009F43DD">
      <w:pPr>
        <w:pStyle w:val="a6"/>
      </w:pPr>
      <w:r>
        <w:t>Дисконтные облигации, они же бескупонные, предполагают получение выгоды владельцем при покупке облигации с дисконтом, то есть со скидкой, и погашении облигации по ее номинальной стоимости. Другими словами, выгода от владения облигацией заключается в разнице между ценой размещения и ценой погашения. Такие облигации еще называют облигациями с нулевым купоном, таким образом, по ним не выплачивается купонный доход. Дисконтные облигации являются более рискованными, чем процентные, так как по ним отсутствует регулярная выплата процентов.</w:t>
      </w:r>
    </w:p>
    <w:p w14:paraId="2D944436" w14:textId="77777777" w:rsidR="009F43DD" w:rsidRDefault="009F43DD" w:rsidP="009F43DD">
      <w:pPr>
        <w:pStyle w:val="a6"/>
      </w:pPr>
      <w:r>
        <w:t>По форме обеспечения:</w:t>
      </w:r>
    </w:p>
    <w:p w14:paraId="2C099B0B" w14:textId="77777777" w:rsidR="009F43DD" w:rsidRDefault="009F43DD" w:rsidP="009F43DD">
      <w:pPr>
        <w:pStyle w:val="a6"/>
      </w:pPr>
      <w:r>
        <w:t xml:space="preserve">Согласно данному признаку классификации облигаций, они могут быть с обеспечением и без обеспечения. Каждая из этих групп облигаций состоит из нескольких подгрупп. </w:t>
      </w:r>
    </w:p>
    <w:p w14:paraId="078DBD28" w14:textId="77777777" w:rsidR="009F43DD" w:rsidRDefault="009F43DD" w:rsidP="009F43DD">
      <w:pPr>
        <w:pStyle w:val="a6"/>
      </w:pPr>
      <w:r>
        <w:t>Начнем с корпоративных облигаций без обеспечения, подразделенных на четыре вида. Существуют полностью необеспеченные облигации, выпущенные под доброе имя эмитента, обладающего достаточно хорошей репутацией, чтобы инвесторы были уверены в его способности выполнить взятые на себя обязательства. Также есть облигации под конкретный вид доходов эмитента, что обязует его погашать облигационный заем только за счет доходов от определенных видов деятельности. Схожим классом облигаций являются облигации на конкретный инвестиционный проект. Прибыль с этого проекта идет на погашение обязательств по облигациям, которые были выпущены под реализацию бизнес-инициативы. Последний вид облигаций без обеспечения – это застрахованные облигации. Гарантом выплат по облигациям в данном случае выступает страховой полис, выданный частной страховой организацией. Такие облигационные займы используют, когда эмитент хочет застраховать себя от риска невыполнения обязательств перед владельцем по выплате номинала облигации и купонных доходов. Законодательство предусматривает регулирование страховых выплат по договорам займа статьями 929 и 932 Гражданского Кодекса РФ</w:t>
      </w:r>
      <w:r>
        <w:rPr>
          <w:rStyle w:val="a9"/>
        </w:rPr>
        <w:footnoteReference w:id="9"/>
      </w:r>
      <w:r>
        <w:t>.</w:t>
      </w:r>
    </w:p>
    <w:p w14:paraId="639E57EF" w14:textId="77777777" w:rsidR="009F43DD" w:rsidRDefault="009F43DD" w:rsidP="009F43DD">
      <w:pPr>
        <w:pStyle w:val="a6"/>
      </w:pPr>
      <w:r>
        <w:t xml:space="preserve">Свои подгруппы имеет и класс корпоративных облигаций с обеспечением. Первая подгруппа состоит из облигаций с залоговым обеспечением. Залогом в данном случае </w:t>
      </w:r>
      <w:r>
        <w:lastRenderedPageBreak/>
        <w:t>могут выступать только ценные бумаги и недвижимое имущество. Вторая большая подгруппа облигаций с обеспечением – это гарантированные облигации, исполнение обязательств по которым обеспечивается третьим лицом. Во-первых, гарантия может обеспечиваться поручительством, которое в письменной форме обязует поручителя обеспечивать исполнение обязательств эмитента в заранее определенном объеме перед владельцами облигаций. Во-вторых, зачастую гарантом корпоративных облигаций выступает банк. В данном случае коммерческая организация обязуется производить выплаты владельцам облигаций в размере, в котором эмитент по тем или иным причинам не погасил обязательства по облигациям. Вдобавок, гарантия не может быть аннулирована, а право на получение выплат от гаранта передается при продаже новым владельцам. В-третьих, облигации могут быть обеспечены государственной или муниципальной гарантией. Права и обязанности гаранта и бенефициара подробно изложены в 115 статье Бюджетного Кодекса РФ</w:t>
      </w:r>
      <w:r>
        <w:rPr>
          <w:rStyle w:val="a9"/>
        </w:rPr>
        <w:footnoteReference w:id="10"/>
      </w:r>
      <w:r>
        <w:t>. Гарант исполняет обязательства перед бенефициаром в пределах суммы, предусмотренной выданной гарантией и в размере не исполненных принципалом (эмитентом) обязательств.</w:t>
      </w:r>
    </w:p>
    <w:p w14:paraId="4CA052B3" w14:textId="77777777" w:rsidR="009F43DD" w:rsidRDefault="009F43DD" w:rsidP="009F43DD">
      <w:pPr>
        <w:pStyle w:val="a6"/>
      </w:pPr>
      <w:r>
        <w:t>По уровню риска:</w:t>
      </w:r>
    </w:p>
    <w:p w14:paraId="3D9185ED" w14:textId="77777777" w:rsidR="009F43DD" w:rsidRDefault="009F43DD" w:rsidP="009F43DD">
      <w:pPr>
        <w:pStyle w:val="a6"/>
      </w:pPr>
      <w:r>
        <w:t xml:space="preserve">Облигациями с наименьшим уровнем кредитного риска являются облигации инвестиционного качества. Их надежность подтверждается международными рейтинговыми агентствами, например, такими как </w:t>
      </w:r>
      <w:r>
        <w:rPr>
          <w:lang w:val="en-US"/>
        </w:rPr>
        <w:t>Standard</w:t>
      </w:r>
      <w:r w:rsidRPr="00232C93">
        <w:t xml:space="preserve"> &amp; </w:t>
      </w:r>
      <w:r>
        <w:rPr>
          <w:lang w:val="en-US"/>
        </w:rPr>
        <w:t>Poor</w:t>
      </w:r>
      <w:r w:rsidRPr="00232C93">
        <w:t>’</w:t>
      </w:r>
      <w:r>
        <w:rPr>
          <w:lang w:val="en-US"/>
        </w:rPr>
        <w:t>s</w:t>
      </w:r>
      <w:r w:rsidRPr="00232C93">
        <w:t xml:space="preserve"> </w:t>
      </w:r>
      <w:r>
        <w:t xml:space="preserve">и </w:t>
      </w:r>
      <w:r>
        <w:rPr>
          <w:lang w:val="en-US"/>
        </w:rPr>
        <w:t>Moody</w:t>
      </w:r>
      <w:r w:rsidRPr="00232C93">
        <w:t>’</w:t>
      </w:r>
      <w:r>
        <w:rPr>
          <w:lang w:val="en-US"/>
        </w:rPr>
        <w:t>s</w:t>
      </w:r>
      <w:r w:rsidRPr="00232C93">
        <w:t>.</w:t>
      </w:r>
      <w:r>
        <w:t xml:space="preserve"> В пределах российского финансового рынка наиболее популярные рейтинговые агентства — это «Эксперт РА» и «Рус-Рейтинг». Облигации с высоким рейтингом принадлежат крупным и надежным эмитентам с приемлемым запасом прочности и ничтожным риском невыполнения обязательств и банкротства. Такие облигации приобретают инвесторы с целью долгосрочного вложения и получения процентных выплат, рассчитывая на процветание компании-эмитента.</w:t>
      </w:r>
    </w:p>
    <w:p w14:paraId="12CBBA54" w14:textId="1698CD55" w:rsidR="009F43DD" w:rsidRDefault="009F43DD" w:rsidP="009F43DD">
      <w:pPr>
        <w:pStyle w:val="a6"/>
      </w:pPr>
      <w:r>
        <w:t xml:space="preserve">Далее по возрастанию кредитного риска идут облигации спекулятивного качества. Это облигации с </w:t>
      </w:r>
      <w:r w:rsidR="00E513F7">
        <w:t>низким кредитным рейтингом,</w:t>
      </w:r>
      <w:r>
        <w:t xml:space="preserve"> по мнению вышеупомянутых рейтинговых агентств. Считается, что выплаты по спекулятивным облигациям обладают низким запасом прочности, а финансовое состояни</w:t>
      </w:r>
      <w:r w:rsidR="00AF76FE">
        <w:t>е эмитента указывает на значительную</w:t>
      </w:r>
      <w:r>
        <w:t xml:space="preserve"> вероятности наступления </w:t>
      </w:r>
      <w:r w:rsidR="00AF76FE">
        <w:t>дефолта</w:t>
      </w:r>
      <w:r>
        <w:t>. Спекулятивные облигации приобретаются инвесторами, нацеленными на краткосрочные резкие колебания курса облигаций и получение спекулятивного дохода.</w:t>
      </w:r>
    </w:p>
    <w:p w14:paraId="2CB7EB34" w14:textId="77777777" w:rsidR="009F43DD" w:rsidRDefault="009F43DD" w:rsidP="009F43DD">
      <w:pPr>
        <w:pStyle w:val="a6"/>
      </w:pPr>
      <w:r>
        <w:lastRenderedPageBreak/>
        <w:t>Облигациями с наивысшим уровнем кредитного риска являются бросовые, или мусорные облигации. Это облигации с самым низким инвестиционным качеством, соответственно высоко рискованная, и наряду с этим, с наибольшим потенциалом получения высоких доходов. Портфели, состоящие из бросовых облигаций, зачастую приносят большую доходность, чем портфели, состоящие из облигаций инвестиционного качества.</w:t>
      </w:r>
    </w:p>
    <w:p w14:paraId="03864795" w14:textId="77777777" w:rsidR="009F43DD" w:rsidRDefault="009F43DD" w:rsidP="00477F35">
      <w:pPr>
        <w:pStyle w:val="a6"/>
      </w:pPr>
    </w:p>
    <w:p w14:paraId="1D044587" w14:textId="076F218B" w:rsidR="00D24533" w:rsidRDefault="00492BB9" w:rsidP="00240527">
      <w:pPr>
        <w:pStyle w:val="21"/>
      </w:pPr>
      <w:bookmarkStart w:id="9" w:name="_Toc514593071"/>
      <w:r>
        <w:t>1.3</w:t>
      </w:r>
      <w:r w:rsidR="00240527">
        <w:t xml:space="preserve"> </w:t>
      </w:r>
      <w:r w:rsidR="00D24533">
        <w:t>Отличия корпоратив</w:t>
      </w:r>
      <w:r w:rsidR="00240527">
        <w:t>ных облигаций и банковских ссуд</w:t>
      </w:r>
      <w:bookmarkEnd w:id="9"/>
    </w:p>
    <w:p w14:paraId="6804264D" w14:textId="64F85644" w:rsidR="009C0484" w:rsidRPr="000308CE" w:rsidRDefault="000308CE" w:rsidP="00477F35">
      <w:pPr>
        <w:pStyle w:val="a6"/>
      </w:pPr>
      <w:r>
        <w:t xml:space="preserve">Входе развития и расширения бизнеса, а иногда и для поддержания текущей деятельности компании прибегают к заемному финансированию. Таких способов существует большое количество, включая выход на </w:t>
      </w:r>
      <w:r>
        <w:rPr>
          <w:lang w:val="en-US"/>
        </w:rPr>
        <w:t>IPO</w:t>
      </w:r>
      <w:r w:rsidRPr="000308CE">
        <w:t>,</w:t>
      </w:r>
      <w:r>
        <w:t xml:space="preserve"> однако в данной работе хотелось бы подробнее остановиться на сравнении финансирования за счет облигационных займов и банковских кредитов</w:t>
      </w:r>
      <w:r w:rsidR="004B7A16">
        <w:t xml:space="preserve">, поскольку именно эти два способа </w:t>
      </w:r>
      <w:r w:rsidR="009D3BE3">
        <w:t xml:space="preserve">привлечения заемных средств </w:t>
      </w:r>
      <w:r w:rsidR="00F97FAC">
        <w:t>являются основными альтернативами</w:t>
      </w:r>
      <w:r w:rsidR="00AC3090">
        <w:t xml:space="preserve"> долгового финансирования</w:t>
      </w:r>
      <w:r>
        <w:t>.</w:t>
      </w:r>
    </w:p>
    <w:p w14:paraId="47EC17F2" w14:textId="17A284FC" w:rsidR="00D24533" w:rsidRDefault="005616C1" w:rsidP="00477F35">
      <w:pPr>
        <w:pStyle w:val="a6"/>
      </w:pPr>
      <w:r>
        <w:t>В таблице</w:t>
      </w:r>
      <w:r w:rsidR="00C91F56">
        <w:t xml:space="preserve"> 1</w:t>
      </w:r>
      <w:r>
        <w:t xml:space="preserve"> приведены параметры и их характеристики</w:t>
      </w:r>
      <w:r w:rsidR="00D24533">
        <w:t xml:space="preserve"> </w:t>
      </w:r>
      <w:r>
        <w:t>относительно</w:t>
      </w:r>
      <w:r w:rsidR="00D24533">
        <w:t xml:space="preserve"> облигационных займов и банковских кредитов:</w:t>
      </w:r>
    </w:p>
    <w:p w14:paraId="67C0AF92" w14:textId="7F158590" w:rsidR="00D24533" w:rsidRPr="00545DF1" w:rsidRDefault="00E513F7" w:rsidP="00DE11EF">
      <w:pPr>
        <w:pStyle w:val="a0"/>
      </w:pPr>
      <w:r>
        <w:t>Сравнение банковских кредитов и облигационных займов</w:t>
      </w:r>
    </w:p>
    <w:tbl>
      <w:tblPr>
        <w:tblStyle w:val="afd"/>
        <w:tblW w:w="0" w:type="auto"/>
        <w:tblLook w:val="04A0" w:firstRow="1" w:lastRow="0" w:firstColumn="1" w:lastColumn="0" w:noHBand="0" w:noVBand="1"/>
      </w:tblPr>
      <w:tblGrid>
        <w:gridCol w:w="2166"/>
        <w:gridCol w:w="3588"/>
        <w:gridCol w:w="3727"/>
      </w:tblGrid>
      <w:tr w:rsidR="00D24533" w:rsidRPr="00477F35" w14:paraId="3F985129" w14:textId="77777777" w:rsidTr="00E513F7">
        <w:trPr>
          <w:trHeight w:val="405"/>
        </w:trPr>
        <w:tc>
          <w:tcPr>
            <w:tcW w:w="2166" w:type="dxa"/>
          </w:tcPr>
          <w:p w14:paraId="661C62A2" w14:textId="77777777" w:rsidR="00D24533" w:rsidRPr="00477F35" w:rsidRDefault="00D24533" w:rsidP="00477F35">
            <w:pPr>
              <w:pStyle w:val="a6"/>
            </w:pPr>
          </w:p>
        </w:tc>
        <w:tc>
          <w:tcPr>
            <w:tcW w:w="3588" w:type="dxa"/>
          </w:tcPr>
          <w:p w14:paraId="6A00BE96" w14:textId="77777777" w:rsidR="00D24533" w:rsidRPr="00E513F7" w:rsidRDefault="00D24533" w:rsidP="00202A4B">
            <w:pPr>
              <w:pStyle w:val="a6"/>
              <w:ind w:firstLine="0"/>
              <w:jc w:val="center"/>
              <w:rPr>
                <w:b/>
              </w:rPr>
            </w:pPr>
            <w:r w:rsidRPr="00E513F7">
              <w:rPr>
                <w:b/>
              </w:rPr>
              <w:t>Облигации</w:t>
            </w:r>
          </w:p>
        </w:tc>
        <w:tc>
          <w:tcPr>
            <w:tcW w:w="3727" w:type="dxa"/>
          </w:tcPr>
          <w:p w14:paraId="399C6340" w14:textId="77777777" w:rsidR="00D24533" w:rsidRPr="00E513F7" w:rsidRDefault="00D24533" w:rsidP="00202A4B">
            <w:pPr>
              <w:pStyle w:val="a6"/>
              <w:ind w:firstLine="0"/>
              <w:jc w:val="center"/>
              <w:rPr>
                <w:b/>
              </w:rPr>
            </w:pPr>
            <w:r w:rsidRPr="00E513F7">
              <w:rPr>
                <w:b/>
              </w:rPr>
              <w:t>Кредиты</w:t>
            </w:r>
          </w:p>
        </w:tc>
      </w:tr>
      <w:tr w:rsidR="00D24533" w:rsidRPr="00477F35" w14:paraId="27C11B90" w14:textId="77777777" w:rsidTr="00E513F7">
        <w:trPr>
          <w:trHeight w:val="811"/>
        </w:trPr>
        <w:tc>
          <w:tcPr>
            <w:tcW w:w="2166" w:type="dxa"/>
          </w:tcPr>
          <w:p w14:paraId="516E739A" w14:textId="77777777" w:rsidR="00D24533" w:rsidRPr="00E513F7" w:rsidRDefault="00D24533" w:rsidP="00202A4B">
            <w:pPr>
              <w:pStyle w:val="a6"/>
              <w:ind w:firstLine="0"/>
              <w:rPr>
                <w:b/>
              </w:rPr>
            </w:pPr>
            <w:r w:rsidRPr="00E513F7">
              <w:rPr>
                <w:b/>
              </w:rPr>
              <w:t>Кредитор</w:t>
            </w:r>
          </w:p>
        </w:tc>
        <w:tc>
          <w:tcPr>
            <w:tcW w:w="3588" w:type="dxa"/>
          </w:tcPr>
          <w:p w14:paraId="1555AF64" w14:textId="77777777" w:rsidR="00D24533" w:rsidRPr="00477F35" w:rsidRDefault="00D24533" w:rsidP="00202A4B">
            <w:pPr>
              <w:pStyle w:val="a6"/>
              <w:ind w:firstLine="0"/>
            </w:pPr>
            <w:r w:rsidRPr="00477F35">
              <w:t>Многочисленная группа (состав изменчив)</w:t>
            </w:r>
          </w:p>
        </w:tc>
        <w:tc>
          <w:tcPr>
            <w:tcW w:w="3727" w:type="dxa"/>
          </w:tcPr>
          <w:p w14:paraId="13365E02" w14:textId="77777777" w:rsidR="00D24533" w:rsidRPr="00477F35" w:rsidRDefault="00D24533" w:rsidP="00202A4B">
            <w:pPr>
              <w:pStyle w:val="a6"/>
              <w:ind w:firstLine="0"/>
            </w:pPr>
            <w:r w:rsidRPr="00477F35">
              <w:t>Определен и, как правило, один (состав не меняется)</w:t>
            </w:r>
          </w:p>
        </w:tc>
      </w:tr>
      <w:tr w:rsidR="00D24533" w:rsidRPr="00477F35" w14:paraId="5EABF4E7" w14:textId="77777777" w:rsidTr="00E513F7">
        <w:trPr>
          <w:trHeight w:val="811"/>
        </w:trPr>
        <w:tc>
          <w:tcPr>
            <w:tcW w:w="2166" w:type="dxa"/>
          </w:tcPr>
          <w:p w14:paraId="364B3CED" w14:textId="77777777" w:rsidR="00D24533" w:rsidRPr="00E513F7" w:rsidRDefault="00D24533" w:rsidP="00202A4B">
            <w:pPr>
              <w:pStyle w:val="a6"/>
              <w:ind w:firstLine="0"/>
              <w:rPr>
                <w:b/>
              </w:rPr>
            </w:pPr>
            <w:r w:rsidRPr="00E513F7">
              <w:rPr>
                <w:b/>
              </w:rPr>
              <w:t xml:space="preserve">Изменение условий </w:t>
            </w:r>
          </w:p>
        </w:tc>
        <w:tc>
          <w:tcPr>
            <w:tcW w:w="3588" w:type="dxa"/>
          </w:tcPr>
          <w:p w14:paraId="7F6D3339" w14:textId="77777777" w:rsidR="00D24533" w:rsidRPr="00477F35" w:rsidRDefault="00D24533" w:rsidP="00202A4B">
            <w:pPr>
              <w:pStyle w:val="a6"/>
              <w:ind w:firstLine="0"/>
            </w:pPr>
            <w:r w:rsidRPr="00477F35">
              <w:t>По договоренности с держателями облигаций</w:t>
            </w:r>
          </w:p>
        </w:tc>
        <w:tc>
          <w:tcPr>
            <w:tcW w:w="3727" w:type="dxa"/>
          </w:tcPr>
          <w:p w14:paraId="1B531DD3" w14:textId="77777777" w:rsidR="00D24533" w:rsidRPr="00477F35" w:rsidRDefault="00D24533" w:rsidP="00202A4B">
            <w:pPr>
              <w:pStyle w:val="a6"/>
              <w:ind w:firstLine="0"/>
            </w:pPr>
            <w:r w:rsidRPr="00477F35">
              <w:t>По договоренности с банком</w:t>
            </w:r>
          </w:p>
        </w:tc>
      </w:tr>
      <w:tr w:rsidR="00D24533" w:rsidRPr="00477F35" w14:paraId="048DE294" w14:textId="77777777" w:rsidTr="00E513F7">
        <w:trPr>
          <w:trHeight w:val="825"/>
        </w:trPr>
        <w:tc>
          <w:tcPr>
            <w:tcW w:w="2166" w:type="dxa"/>
          </w:tcPr>
          <w:p w14:paraId="05DF262D" w14:textId="77777777" w:rsidR="00D24533" w:rsidRPr="00E513F7" w:rsidRDefault="00D24533" w:rsidP="00202A4B">
            <w:pPr>
              <w:pStyle w:val="a6"/>
              <w:ind w:firstLine="0"/>
              <w:rPr>
                <w:b/>
              </w:rPr>
            </w:pPr>
            <w:r w:rsidRPr="00E513F7">
              <w:rPr>
                <w:b/>
              </w:rPr>
              <w:t>Раскрытие информации</w:t>
            </w:r>
          </w:p>
        </w:tc>
        <w:tc>
          <w:tcPr>
            <w:tcW w:w="3588" w:type="dxa"/>
          </w:tcPr>
          <w:p w14:paraId="5CC8412C" w14:textId="77777777" w:rsidR="00D24533" w:rsidRPr="00477F35" w:rsidRDefault="00D24533" w:rsidP="00202A4B">
            <w:pPr>
              <w:pStyle w:val="a6"/>
              <w:ind w:firstLine="0"/>
            </w:pPr>
            <w:r w:rsidRPr="00477F35">
              <w:t>Публичное</w:t>
            </w:r>
          </w:p>
        </w:tc>
        <w:tc>
          <w:tcPr>
            <w:tcW w:w="3727" w:type="dxa"/>
          </w:tcPr>
          <w:p w14:paraId="09791100" w14:textId="77777777" w:rsidR="00D24533" w:rsidRPr="00477F35" w:rsidRDefault="00D24533" w:rsidP="00202A4B">
            <w:pPr>
              <w:pStyle w:val="a6"/>
              <w:ind w:firstLine="0"/>
            </w:pPr>
            <w:r w:rsidRPr="00477F35">
              <w:t>Информация доступна только банку</w:t>
            </w:r>
          </w:p>
        </w:tc>
      </w:tr>
      <w:tr w:rsidR="00D24533" w:rsidRPr="00477F35" w14:paraId="635136A1" w14:textId="77777777" w:rsidTr="00E513F7">
        <w:trPr>
          <w:trHeight w:val="811"/>
        </w:trPr>
        <w:tc>
          <w:tcPr>
            <w:tcW w:w="2166" w:type="dxa"/>
          </w:tcPr>
          <w:p w14:paraId="5239F65F" w14:textId="77777777" w:rsidR="00D24533" w:rsidRPr="00E513F7" w:rsidRDefault="00D24533" w:rsidP="00202A4B">
            <w:pPr>
              <w:pStyle w:val="a6"/>
              <w:ind w:firstLine="0"/>
              <w:rPr>
                <w:b/>
              </w:rPr>
            </w:pPr>
            <w:r w:rsidRPr="00E513F7">
              <w:rPr>
                <w:b/>
              </w:rPr>
              <w:t>Залоговое обеспечение</w:t>
            </w:r>
          </w:p>
        </w:tc>
        <w:tc>
          <w:tcPr>
            <w:tcW w:w="3588" w:type="dxa"/>
          </w:tcPr>
          <w:p w14:paraId="14AD739B" w14:textId="77777777" w:rsidR="00D24533" w:rsidRPr="00477F35" w:rsidRDefault="00D24533" w:rsidP="00202A4B">
            <w:pPr>
              <w:pStyle w:val="a6"/>
              <w:ind w:firstLine="0"/>
            </w:pPr>
            <w:r w:rsidRPr="00477F35">
              <w:t>Отсутствует (в основном)</w:t>
            </w:r>
          </w:p>
        </w:tc>
        <w:tc>
          <w:tcPr>
            <w:tcW w:w="3727" w:type="dxa"/>
          </w:tcPr>
          <w:p w14:paraId="5D38B3A9" w14:textId="77777777" w:rsidR="00D24533" w:rsidRPr="00477F35" w:rsidRDefault="00D24533" w:rsidP="00202A4B">
            <w:pPr>
              <w:pStyle w:val="a6"/>
              <w:ind w:firstLine="0"/>
            </w:pPr>
            <w:r w:rsidRPr="00477F35">
              <w:t>Имеется (в основном)</w:t>
            </w:r>
          </w:p>
        </w:tc>
      </w:tr>
      <w:tr w:rsidR="00D24533" w:rsidRPr="00477F35" w14:paraId="7B3F037D" w14:textId="77777777" w:rsidTr="00E513F7">
        <w:trPr>
          <w:trHeight w:val="405"/>
        </w:trPr>
        <w:tc>
          <w:tcPr>
            <w:tcW w:w="2166" w:type="dxa"/>
          </w:tcPr>
          <w:p w14:paraId="3DA9AF55" w14:textId="77777777" w:rsidR="00D24533" w:rsidRPr="00E513F7" w:rsidRDefault="00D24533" w:rsidP="00202A4B">
            <w:pPr>
              <w:pStyle w:val="a6"/>
              <w:ind w:firstLine="0"/>
              <w:rPr>
                <w:b/>
              </w:rPr>
            </w:pPr>
            <w:r w:rsidRPr="00E513F7">
              <w:rPr>
                <w:b/>
              </w:rPr>
              <w:t>Срок</w:t>
            </w:r>
          </w:p>
        </w:tc>
        <w:tc>
          <w:tcPr>
            <w:tcW w:w="3588" w:type="dxa"/>
          </w:tcPr>
          <w:p w14:paraId="31B8187C" w14:textId="77777777" w:rsidR="00D24533" w:rsidRPr="00477F35" w:rsidRDefault="00D24533" w:rsidP="00202A4B">
            <w:pPr>
              <w:pStyle w:val="a6"/>
              <w:ind w:firstLine="0"/>
            </w:pPr>
            <w:r w:rsidRPr="00477F35">
              <w:t>Относительно длительный</w:t>
            </w:r>
          </w:p>
        </w:tc>
        <w:tc>
          <w:tcPr>
            <w:tcW w:w="3727" w:type="dxa"/>
          </w:tcPr>
          <w:p w14:paraId="7E902742" w14:textId="77777777" w:rsidR="00D24533" w:rsidRPr="00477F35" w:rsidRDefault="00D24533" w:rsidP="00202A4B">
            <w:pPr>
              <w:pStyle w:val="a6"/>
              <w:ind w:firstLine="0"/>
            </w:pPr>
            <w:r w:rsidRPr="00477F35">
              <w:t>Относительно короткий</w:t>
            </w:r>
          </w:p>
        </w:tc>
      </w:tr>
      <w:tr w:rsidR="00D24533" w:rsidRPr="00477F35" w14:paraId="523AB1C8" w14:textId="77777777" w:rsidTr="00E513F7">
        <w:trPr>
          <w:trHeight w:val="1637"/>
        </w:trPr>
        <w:tc>
          <w:tcPr>
            <w:tcW w:w="2166" w:type="dxa"/>
          </w:tcPr>
          <w:p w14:paraId="3B75BDA2" w14:textId="77777777" w:rsidR="00D24533" w:rsidRPr="00E513F7" w:rsidRDefault="00D24533" w:rsidP="00202A4B">
            <w:pPr>
              <w:pStyle w:val="a6"/>
              <w:ind w:firstLine="0"/>
              <w:rPr>
                <w:b/>
              </w:rPr>
            </w:pPr>
            <w:r w:rsidRPr="00E513F7">
              <w:rPr>
                <w:b/>
              </w:rPr>
              <w:t>Инвесторы</w:t>
            </w:r>
          </w:p>
        </w:tc>
        <w:tc>
          <w:tcPr>
            <w:tcW w:w="3588" w:type="dxa"/>
          </w:tcPr>
          <w:p w14:paraId="2EF8C6FF" w14:textId="77777777" w:rsidR="00D24533" w:rsidRPr="00477F35" w:rsidRDefault="00D24533" w:rsidP="00202A4B">
            <w:pPr>
              <w:pStyle w:val="a6"/>
              <w:ind w:firstLine="0"/>
            </w:pPr>
            <w:r w:rsidRPr="00477F35">
              <w:t>Банки, инвестиционные и пенсионные фонды, страховые компании, физические лица</w:t>
            </w:r>
          </w:p>
        </w:tc>
        <w:tc>
          <w:tcPr>
            <w:tcW w:w="3727" w:type="dxa"/>
          </w:tcPr>
          <w:p w14:paraId="18F6E1A2" w14:textId="77777777" w:rsidR="00D24533" w:rsidRPr="00477F35" w:rsidRDefault="00D24533" w:rsidP="00202A4B">
            <w:pPr>
              <w:pStyle w:val="a6"/>
              <w:ind w:firstLine="0"/>
            </w:pPr>
            <w:r w:rsidRPr="00477F35">
              <w:t>Банки</w:t>
            </w:r>
          </w:p>
        </w:tc>
      </w:tr>
      <w:tr w:rsidR="00D24533" w:rsidRPr="00477F35" w14:paraId="6C0884F8" w14:textId="77777777" w:rsidTr="00E513F7">
        <w:trPr>
          <w:trHeight w:val="825"/>
        </w:trPr>
        <w:tc>
          <w:tcPr>
            <w:tcW w:w="2166" w:type="dxa"/>
          </w:tcPr>
          <w:p w14:paraId="30C32CC2" w14:textId="77777777" w:rsidR="00D24533" w:rsidRPr="00E513F7" w:rsidRDefault="00D24533" w:rsidP="00202A4B">
            <w:pPr>
              <w:pStyle w:val="a6"/>
              <w:ind w:firstLine="0"/>
              <w:rPr>
                <w:b/>
              </w:rPr>
            </w:pPr>
            <w:r w:rsidRPr="00E513F7">
              <w:rPr>
                <w:b/>
              </w:rPr>
              <w:t>Используют</w:t>
            </w:r>
          </w:p>
        </w:tc>
        <w:tc>
          <w:tcPr>
            <w:tcW w:w="3588" w:type="dxa"/>
          </w:tcPr>
          <w:p w14:paraId="4A98E5EB" w14:textId="77777777" w:rsidR="00D24533" w:rsidRPr="00477F35" w:rsidRDefault="00D24533" w:rsidP="00202A4B">
            <w:pPr>
              <w:pStyle w:val="a6"/>
              <w:ind w:firstLine="0"/>
            </w:pPr>
            <w:r w:rsidRPr="00477F35">
              <w:t>Крупные и средние компании</w:t>
            </w:r>
          </w:p>
        </w:tc>
        <w:tc>
          <w:tcPr>
            <w:tcW w:w="3727" w:type="dxa"/>
          </w:tcPr>
          <w:p w14:paraId="66B9413C" w14:textId="77777777" w:rsidR="00D24533" w:rsidRPr="00477F35" w:rsidRDefault="00D24533" w:rsidP="00202A4B">
            <w:pPr>
              <w:pStyle w:val="a6"/>
              <w:ind w:firstLine="0"/>
            </w:pPr>
            <w:r w:rsidRPr="00477F35">
              <w:t>Организации любого масштаба</w:t>
            </w:r>
          </w:p>
        </w:tc>
      </w:tr>
    </w:tbl>
    <w:p w14:paraId="49F6AEF3" w14:textId="501F912E" w:rsidR="0046585A" w:rsidRDefault="0046585A" w:rsidP="00D228B4">
      <w:pPr>
        <w:pStyle w:val="a6"/>
      </w:pPr>
      <w:r w:rsidRPr="0046585A">
        <w:rPr>
          <w:i/>
        </w:rPr>
        <w:t>Источник:</w:t>
      </w:r>
      <w:r w:rsidRPr="0046585A">
        <w:t xml:space="preserve"> </w:t>
      </w:r>
      <w:r w:rsidR="001144A6">
        <w:t>таблица</w:t>
      </w:r>
      <w:r w:rsidRPr="0046585A">
        <w:t xml:space="preserve"> составлен</w:t>
      </w:r>
      <w:r w:rsidR="001144A6">
        <w:t>а</w:t>
      </w:r>
      <w:r w:rsidRPr="0046585A">
        <w:t xml:space="preserve"> </w:t>
      </w:r>
      <w:r>
        <w:t xml:space="preserve">по данным, предоставленным официальным сайтом </w:t>
      </w:r>
      <w:r w:rsidR="00D228B4">
        <w:t>Центрального</w:t>
      </w:r>
      <w:r>
        <w:t xml:space="preserve"> банк</w:t>
      </w:r>
      <w:r w:rsidR="00D228B4">
        <w:t>а</w:t>
      </w:r>
      <w:r>
        <w:t xml:space="preserve"> Российской Федерации. Облигации как способ привлечения </w:t>
      </w:r>
      <w:r>
        <w:lastRenderedPageBreak/>
        <w:t xml:space="preserve">финансирования. </w:t>
      </w:r>
      <w:r w:rsidRPr="007A5BCC">
        <w:t>[Электронный ресурс]. – Режим доступа:</w:t>
      </w:r>
      <w:r>
        <w:t xml:space="preserve"> </w:t>
      </w:r>
      <w:r w:rsidRPr="00221DD9">
        <w:t>https://www.cbr.ru/StaticHtml/File/14531/DRFR.pdf</w:t>
      </w:r>
      <w:r>
        <w:t xml:space="preserve"> - Загл. с экрана – 2017.</w:t>
      </w:r>
    </w:p>
    <w:p w14:paraId="5E4DC9C5" w14:textId="07FB2CEA" w:rsidR="00477F35" w:rsidRDefault="00477F35" w:rsidP="007823B1">
      <w:pPr>
        <w:pStyle w:val="a6"/>
      </w:pPr>
    </w:p>
    <w:p w14:paraId="1DE206B2" w14:textId="706A62C0" w:rsidR="00D24533" w:rsidRDefault="00D24533" w:rsidP="007823B1">
      <w:pPr>
        <w:pStyle w:val="a6"/>
      </w:pPr>
      <w:r>
        <w:t>Кредиторы компании в случае выпуска облигаций представляют собой многочисленную группу инвесторов, состав которой может меняться при обращении облигации на рынке ценных бумаг, то есть происходит передача прав на получение купонных и номинальной выплат от одного владельца к другому во время продажи/покупки облигации. В случае с кредитом, инвестором зачастую является банк, который имеет право на полное погашение перед ним обязательств со стороны заемщика. Традиционно, это право никому не передается. Изменение условий заимствования с помощью выпуска облигаций и кредитования осуществляется по договоренности с держателями облигаций и банком. Размещение облигаций на рынке ценных бумаг, в свою очередь, предполагает публичное раскрытие информации об эмитенте, чего нельзя сказать о процедуре банковского кредитования. Еще одним отличием часто является отсутствие необходимости залогового обеспечения при выпуске облигаций и его наличие при получении кредита. Более того, облигационные займы позволяют привлекать денежные средства на более длительный срок, чем позволяют это делать банковские кредиты</w:t>
      </w:r>
      <w:r w:rsidR="005616C1">
        <w:t>. Э</w:t>
      </w:r>
      <w:r>
        <w:t>миссии облигаций подразумевают большой объем заи</w:t>
      </w:r>
      <w:r w:rsidR="005616C1">
        <w:t>мствования (больше, чем кредит), поэтому существует определенный порог, когда эмиссия просто невыгодна.</w:t>
      </w:r>
      <w:r>
        <w:t xml:space="preserve"> </w:t>
      </w:r>
      <w:r w:rsidR="005616C1">
        <w:t>Минимальный рекомендуемый размер эмиссии для обеспечения необходимого уровня ликвидности и сокращения издержек на единицу выпущенной облигации составляет около 300 млн рублей</w:t>
      </w:r>
      <w:r w:rsidR="00B54DE7">
        <w:rPr>
          <w:rStyle w:val="a9"/>
        </w:rPr>
        <w:footnoteReference w:id="11"/>
      </w:r>
      <w:r w:rsidR="005616C1">
        <w:t xml:space="preserve">, это приводит к тому, что </w:t>
      </w:r>
      <w:r>
        <w:t xml:space="preserve">к данному инструменту финансирования </w:t>
      </w:r>
      <w:r w:rsidR="005616C1">
        <w:t xml:space="preserve">чаще </w:t>
      </w:r>
      <w:r>
        <w:t>прибегают большие организации, представители среднего и крупного бизнеса.</w:t>
      </w:r>
      <w:r w:rsidR="005616C1">
        <w:t xml:space="preserve"> </w:t>
      </w:r>
    </w:p>
    <w:p w14:paraId="0327A406" w14:textId="77777777" w:rsidR="00D24533" w:rsidRPr="00955F38" w:rsidRDefault="00D24533" w:rsidP="007823B1">
      <w:pPr>
        <w:pStyle w:val="a6"/>
        <w:rPr>
          <w:rFonts w:ascii="Times" w:hAnsi="Times" w:cs="Times"/>
          <w:color w:val="000000"/>
          <w:sz w:val="32"/>
          <w:szCs w:val="32"/>
        </w:rPr>
      </w:pPr>
    </w:p>
    <w:p w14:paraId="22CC26FD" w14:textId="1E37DF05" w:rsidR="00D24533" w:rsidRPr="003E020F" w:rsidRDefault="00492BB9" w:rsidP="00240527">
      <w:pPr>
        <w:pStyle w:val="21"/>
      </w:pPr>
      <w:bookmarkStart w:id="10" w:name="_Toc514593072"/>
      <w:r>
        <w:t>1.4</w:t>
      </w:r>
      <w:r w:rsidR="00240527">
        <w:t xml:space="preserve"> </w:t>
      </w:r>
      <w:r w:rsidR="00D24533" w:rsidRPr="003E020F">
        <w:t>Стадии выпуска облигаций</w:t>
      </w:r>
      <w:bookmarkEnd w:id="10"/>
      <w:r w:rsidR="00E5002C">
        <w:t xml:space="preserve"> </w:t>
      </w:r>
    </w:p>
    <w:p w14:paraId="0D008338" w14:textId="77777777" w:rsidR="00D24533" w:rsidRPr="003E020F" w:rsidRDefault="00D24533" w:rsidP="007823B1">
      <w:pPr>
        <w:pStyle w:val="a6"/>
      </w:pPr>
      <w:r>
        <w:t xml:space="preserve">Порядок эмиссии облигаций предписывается в соответствующих законодательных </w:t>
      </w:r>
      <w:r w:rsidRPr="003E020F">
        <w:t>актах</w:t>
      </w:r>
      <w:r>
        <w:t>:</w:t>
      </w:r>
      <w:r w:rsidRPr="003E020F">
        <w:t xml:space="preserve"> </w:t>
      </w:r>
    </w:p>
    <w:p w14:paraId="67B6B483" w14:textId="7A046EDA" w:rsidR="00D24533" w:rsidRPr="003E020F" w:rsidRDefault="00477F35" w:rsidP="00F92131">
      <w:pPr>
        <w:pStyle w:val="a6"/>
        <w:numPr>
          <w:ilvl w:val="0"/>
          <w:numId w:val="2"/>
        </w:numPr>
      </w:pPr>
      <w:r>
        <w:t>Федеральным законом</w:t>
      </w:r>
      <w:r w:rsidR="00D24533" w:rsidRPr="003E020F">
        <w:t xml:space="preserve"> № 39 «О рынке ценных бумаг» от 22.04.1996</w:t>
      </w:r>
      <w:r w:rsidR="00D24533">
        <w:t>;</w:t>
      </w:r>
    </w:p>
    <w:p w14:paraId="6737F621" w14:textId="77777777" w:rsidR="00D24533" w:rsidRPr="003E020F" w:rsidRDefault="00D24533" w:rsidP="00F92131">
      <w:pPr>
        <w:pStyle w:val="a6"/>
        <w:numPr>
          <w:ilvl w:val="0"/>
          <w:numId w:val="2"/>
        </w:numPr>
      </w:pPr>
      <w:r w:rsidRPr="003E020F">
        <w:t>«Стандартами эмиссии», утвержденными ФСФР 16.03.2005 г.</w:t>
      </w:r>
    </w:p>
    <w:p w14:paraId="68EA4972" w14:textId="77777777" w:rsidR="00D24533" w:rsidRDefault="00D24533" w:rsidP="007823B1">
      <w:pPr>
        <w:pStyle w:val="a6"/>
      </w:pPr>
      <w:r w:rsidRPr="003E020F">
        <w:t xml:space="preserve"> </w:t>
      </w:r>
      <w:r>
        <w:t>Процедура состоит из пяти этапов</w:t>
      </w:r>
      <w:r w:rsidRPr="003E020F">
        <w:t>. Но для полного описания процесса</w:t>
      </w:r>
      <w:r>
        <w:t xml:space="preserve"> целесообразно выделить еще два: предварительный и окончательный.</w:t>
      </w:r>
    </w:p>
    <w:p w14:paraId="7F10851C" w14:textId="77777777" w:rsidR="00D24533" w:rsidRDefault="00D24533" w:rsidP="007823B1">
      <w:pPr>
        <w:pStyle w:val="a6"/>
      </w:pPr>
      <w:r>
        <w:lastRenderedPageBreak/>
        <w:t>Предварительный этап: разработка концепции эмиссии. Он должен содержать: цели предстоящего выпуска, общую инвестиционную программу и концепцию развития предприятий, выявление потенциальных инвесторов, описание и сравнение нескольких способов выпуска, а также планы вывода облигаций на вторичный рынок. Эта информация позволит эмитенту принять взвешенное и обоснованное решение о необходимости выпуска облигаций или отказа от него.</w:t>
      </w:r>
    </w:p>
    <w:p w14:paraId="37CF7630" w14:textId="769DDDEF" w:rsidR="00D24533" w:rsidRDefault="00D24533" w:rsidP="007823B1">
      <w:pPr>
        <w:pStyle w:val="a6"/>
      </w:pPr>
      <w:r>
        <w:t>I этап: решение о выпуске облигаций — это начало процесса. Для этого необходимо огласить инициативу и принять ее на совете директоров компании (для акционерных обществ) или на общем собрании участников (для организаций с ограниченной ответственностью). После этого решение должно быть опубликовано в периодическом издании. Тираж издания должен быть не менее 10 000 экземпляров. Довольно популярны и использу</w:t>
      </w:r>
      <w:r w:rsidR="0056238F">
        <w:t xml:space="preserve">ются для этой цели публикации: </w:t>
      </w:r>
      <w:r>
        <w:t>«Российская газета», «Налоговый вестник».</w:t>
      </w:r>
    </w:p>
    <w:p w14:paraId="2CF5E262" w14:textId="77777777" w:rsidR="00D24533" w:rsidRDefault="00D24533" w:rsidP="007823B1">
      <w:pPr>
        <w:pStyle w:val="a6"/>
      </w:pPr>
      <w:r>
        <w:t>II этап: утверждение решения. После публикации решения в течение полугодового периода необходимо одобрить решение о проспекте эмиссии и выпуске облигаций. Федеральная служба финансового регулирования утверждает это решение и ставит специальную отметку. Она означает регистрацию выпуска и присваивает номер выпуска эмиссии. Решение по выпуску должно содержать информацию о типе облигаций, номинальной стоимости, методах размещения и сроках. При условии, что облигации обеспечены активами предприятия, в это решение вносится примечание.</w:t>
      </w:r>
    </w:p>
    <w:p w14:paraId="6FFAA65C" w14:textId="77777777" w:rsidR="00D24533" w:rsidRDefault="00D24533" w:rsidP="007823B1">
      <w:pPr>
        <w:pStyle w:val="a6"/>
      </w:pPr>
      <w:r>
        <w:t>III этап: государственная регистрация. С момента подачи всех необходимых документов в ФСФР в течение 30 дней выпуск облигаций компании должен пройти процедуру государственной регистрации. Этот период регулируется законом, но, если необходимо, может быть увеличен ФСФР для дополнительного удостоверения в точности информации. Пакет документов для выпуска облигаций довольно мал. Он включает заявку на регистрацию, анкету компании-эмитента и копию свидетельства о государственной регистрации предприятия.</w:t>
      </w:r>
    </w:p>
    <w:p w14:paraId="7DCD12AD" w14:textId="77777777" w:rsidR="00D24533" w:rsidRDefault="00D24533" w:rsidP="007823B1">
      <w:pPr>
        <w:pStyle w:val="a6"/>
      </w:pPr>
      <w:r>
        <w:t>Стадия IV: размещение облигаций. В случае, когда принято решение о выпуске облигаций в размере определенной партии (например, 10 000 облигаций), то компания имеет право сначала выпустить меньшую партию (5000 облигаций), а затем выпустить оставшиеся. Но абсолютно невозможно выпускать больше облигаций, чем указано. Фактическая эмиссия происходит в течение 1 года с даты утверждения решения о выпуске. Надежным способом размещения облигаций на фондовом рынке является заключение договора с профессиональным посредником – андеррайтером. Средства от выпуска облигаций в полном объеме и автоматически переводятся на счет компании.</w:t>
      </w:r>
    </w:p>
    <w:p w14:paraId="3F526F68" w14:textId="77777777" w:rsidR="00D24533" w:rsidRDefault="00D24533" w:rsidP="007823B1">
      <w:pPr>
        <w:pStyle w:val="a6"/>
      </w:pPr>
      <w:r>
        <w:lastRenderedPageBreak/>
        <w:t xml:space="preserve">V этап: регистрация отчета об итогах выпуска. После того, как процедура эмиссии будет закончена, эмитент обязан представить в ФСФР отчет об итогах выпуска в течение 30 дней с даты выпуска. </w:t>
      </w:r>
    </w:p>
    <w:p w14:paraId="5888CCA9" w14:textId="77777777" w:rsidR="00D24533" w:rsidRDefault="00D24533" w:rsidP="007823B1">
      <w:pPr>
        <w:pStyle w:val="a6"/>
      </w:pPr>
      <w:r>
        <w:t>Заключительный этап: поддержание обращения облигаций на вторичном рынке. Важным аспектом деятельности эмитента после эмиссии является сохранение интереса на рынке к облигациям, что является драйвером их ликвидности. Способность облигаций быстро обращаться на рынке и быть легко проданными и купленными создает для компании хорошую репутацию. Она послужит гарантом качества эмитента и облегчит процесс повторной эмиссии в будущем</w:t>
      </w:r>
      <w:r>
        <w:rPr>
          <w:rStyle w:val="a9"/>
        </w:rPr>
        <w:footnoteReference w:id="12"/>
      </w:r>
      <w:r>
        <w:t xml:space="preserve">. </w:t>
      </w:r>
    </w:p>
    <w:p w14:paraId="5AC4FBE4" w14:textId="341F7D4E" w:rsidR="00793E4B" w:rsidRDefault="00793E4B" w:rsidP="00793E4B">
      <w:pPr>
        <w:pStyle w:val="a6"/>
      </w:pPr>
      <w:r>
        <w:t xml:space="preserve">В чем же существенные отличия в процедуре выхода на рынок облигаций, предложенной Центральным Банком РФ в рамках программы «Красный апельсин, или Успеть за 24 часа»? </w:t>
      </w:r>
      <w:r w:rsidR="00A93C50">
        <w:t>Основным новшеством данной программы облигаций является увеличение эффективности и сокращение времени выпуска облигаций за счет создания двухуровневой процедуры.</w:t>
      </w:r>
    </w:p>
    <w:p w14:paraId="4FD7E198" w14:textId="1A011CE6" w:rsidR="00A638DE" w:rsidRPr="00A638DE" w:rsidRDefault="00A93C50" w:rsidP="00A638DE">
      <w:pPr>
        <w:pStyle w:val="a6"/>
      </w:pPr>
      <w:r>
        <w:t>Первый этап предусматривает регистрацию основной части документа, то есть программы облигаций, в которой содержится информация о максимальной сумме размещаемых облигаций, другие общие для всех выпусков параметры выпуска и условия выпуска. Второй этап включает регистрацию решения о выпуске</w:t>
      </w:r>
      <w:r w:rsidRPr="00A93C50">
        <w:t xml:space="preserve"> </w:t>
      </w:r>
      <w:r>
        <w:t>при появлении необходимости привлечения заемных средств, в котором оговариваются специфические условия выпуска, не отраженные в программе облигаций. Таким образом, основной объем работы ложится на первоначальный этап регистрации программы, который осуществляется однократно. Когда непосредственно принимается решение о выпуске, о сумме, сроке и ставке, с помощью данной программы сделать это предполагается в сжатые сроки</w:t>
      </w:r>
      <w:r w:rsidR="00F72BDA">
        <w:rPr>
          <w:rStyle w:val="a9"/>
        </w:rPr>
        <w:footnoteReference w:id="13"/>
      </w:r>
      <w:r>
        <w:t xml:space="preserve">. </w:t>
      </w:r>
      <w:r w:rsidR="00221B34">
        <w:t xml:space="preserve">Более того, программа предусматривает подписание решения об эмиссии не только единоличным исполнительным органом компании, как это было раньше, а </w:t>
      </w:r>
      <w:r w:rsidR="00A638DE">
        <w:t>также уполномоченным должностным лицом.</w:t>
      </w:r>
    </w:p>
    <w:p w14:paraId="13204E1B" w14:textId="670B242A" w:rsidR="00D24533" w:rsidRDefault="00D24533" w:rsidP="007823B1">
      <w:pPr>
        <w:pStyle w:val="a6"/>
      </w:pPr>
      <w:r>
        <w:t xml:space="preserve">Компания выпускает корпоративные облигации с </w:t>
      </w:r>
      <w:r w:rsidRPr="00EA2C45">
        <w:rPr>
          <w:b/>
        </w:rPr>
        <w:t xml:space="preserve">целями </w:t>
      </w:r>
      <w:r>
        <w:t>привлечения инвестиций и реструктурирования бизнеса.</w:t>
      </w:r>
      <w:r w:rsidR="008B63FB">
        <w:t xml:space="preserve"> Привлекая средства</w:t>
      </w:r>
      <w:r w:rsidR="00E438DB">
        <w:t xml:space="preserve"> в долг, компания </w:t>
      </w:r>
      <w:r w:rsidR="00243EAD">
        <w:t xml:space="preserve">возлагает на своих кредиторов, владельцев облигаций, </w:t>
      </w:r>
      <w:r w:rsidR="0066573C">
        <w:t xml:space="preserve">определенный уровень кредитного риска. </w:t>
      </w:r>
    </w:p>
    <w:p w14:paraId="59612C10" w14:textId="77777777" w:rsidR="00D24533" w:rsidRDefault="00D24533" w:rsidP="007823B1">
      <w:pPr>
        <w:pStyle w:val="a6"/>
      </w:pPr>
      <w:r>
        <w:t>Привлечение инвестиций.</w:t>
      </w:r>
    </w:p>
    <w:p w14:paraId="7FE43BDF" w14:textId="77777777" w:rsidR="00D24533" w:rsidRDefault="00D24533" w:rsidP="007823B1">
      <w:pPr>
        <w:pStyle w:val="a6"/>
      </w:pPr>
      <w:r>
        <w:t>Средства, привлеченные за счет выпущенных облигаций, могут идти как на покрытие краткосрочного, так и средне- и долгосрочного дефицита ресурсов в компании.</w:t>
      </w:r>
    </w:p>
    <w:p w14:paraId="71D9E6F3" w14:textId="77777777" w:rsidR="00D24533" w:rsidRDefault="00D24533" w:rsidP="007823B1">
      <w:pPr>
        <w:pStyle w:val="a6"/>
      </w:pPr>
      <w:r>
        <w:lastRenderedPageBreak/>
        <w:t>В краткосрочной перспективе инвестиции могут быть использованы для финансирования оборотных средств, то есть для увеличения загрузки мощностей или доведения величины оборотных активов до нужного минимального уровня.</w:t>
      </w:r>
    </w:p>
    <w:p w14:paraId="4F7DEBBE" w14:textId="77777777" w:rsidR="00D24533" w:rsidRDefault="00D24533" w:rsidP="007823B1">
      <w:pPr>
        <w:pStyle w:val="a6"/>
      </w:pPr>
      <w:r>
        <w:t>За счет облигационных займов финансируются такие средне- и долгосрочные цели, как осуществление капитальных вложений, которое так же называют проектным финансированием, а именно, расширение базы производственных мощностей, их ремонт, реконструкция и усовершенствование, реализация инновационных проектов, проектов по диверсификации деятельности, созданию нового продукта, открытие филиалов и подразделений, развитие транспортной сети и системы дистрибуции.</w:t>
      </w:r>
    </w:p>
    <w:p w14:paraId="2CC9AE6B" w14:textId="77777777" w:rsidR="00D24533" w:rsidRDefault="00D24533" w:rsidP="007823B1">
      <w:pPr>
        <w:pStyle w:val="a6"/>
      </w:pPr>
      <w:r>
        <w:t>Реструктурирование бизнеса.</w:t>
      </w:r>
    </w:p>
    <w:p w14:paraId="503502E8" w14:textId="18571EBB" w:rsidR="00D24533" w:rsidRDefault="00D24533" w:rsidP="007823B1">
      <w:pPr>
        <w:pStyle w:val="a6"/>
      </w:pPr>
      <w:r>
        <w:t>В данном случае речь идет о финансировании таких процессов, как изменение с</w:t>
      </w:r>
      <w:r w:rsidR="008070CE">
        <w:t>труктуры собственности, слияние и поглощение</w:t>
      </w:r>
      <w:r>
        <w:t>, ликвидация нерентабельных филиалов и подразделений, реструктурирование долгов, осуществление программ финансового оздоровления.</w:t>
      </w:r>
    </w:p>
    <w:p w14:paraId="1CBD556D" w14:textId="77777777" w:rsidR="00D24533" w:rsidRDefault="00D24533" w:rsidP="007823B1">
      <w:pPr>
        <w:pStyle w:val="a6"/>
      </w:pPr>
      <w:r>
        <w:t>Наряду с вышеперечисленными драйверами выпуск облигаций также может производиться для следующих целей.</w:t>
      </w:r>
    </w:p>
    <w:p w14:paraId="2682F397" w14:textId="77777777" w:rsidR="00D24533" w:rsidRDefault="00D24533" w:rsidP="007823B1">
      <w:pPr>
        <w:pStyle w:val="a6"/>
      </w:pPr>
      <w:r>
        <w:t>Во-первых, выход компании на рынок корпоративных облигаций может объясняться осуществлением маркетинговой программы. Сюда входит повышение узнаваемости бренда компании и лояльности клиентов за счет присутствия компании на рынке продуктов или услуг и на финансовом рынке одновременно. Название компании упоминается в соответствующих средствах массовой информации, ее деятельность и показатели анализируют эксперты, облигации отражаются в биржевом индексе.</w:t>
      </w:r>
    </w:p>
    <w:p w14:paraId="08C7BC27" w14:textId="77777777" w:rsidR="00D24533" w:rsidRDefault="00D24533" w:rsidP="007823B1">
      <w:pPr>
        <w:pStyle w:val="a6"/>
      </w:pPr>
      <w:r>
        <w:t>Во-вторых, компания может преследовать цели, связанные с улучшением условий получения заемного финансирования. Эта цель достигается с помощью создания публичной кредитной истории на бирже. Так, инвесторы склонны больше доверять компаниям с высоким уровнем менеджмента и доверительными отношениями с держателями облигаций.</w:t>
      </w:r>
    </w:p>
    <w:p w14:paraId="7189E4E7" w14:textId="77777777" w:rsidR="00D24533" w:rsidRDefault="00D24533" w:rsidP="007823B1">
      <w:pPr>
        <w:pStyle w:val="a6"/>
      </w:pPr>
      <w:r>
        <w:t>В-третьих, компании зачастую прибегают к финансовому инжинирингу для удовлетворения потребностей в финансовых ресурсах. Комбинируя финансовые инструменты в портфеле, компания совершенствует схемы осуществления финансовых операций и минимизирует финансовые риски, управляет доходностью и обеспечивает ликвидность в системе финансового менеджмента.</w:t>
      </w:r>
    </w:p>
    <w:p w14:paraId="521F6FB9" w14:textId="77777777" w:rsidR="00D24533" w:rsidRDefault="00D24533" w:rsidP="007823B1">
      <w:pPr>
        <w:pStyle w:val="a6"/>
      </w:pPr>
    </w:p>
    <w:p w14:paraId="7CB39A56" w14:textId="0835528C" w:rsidR="00D24533" w:rsidRPr="006A2EBF" w:rsidRDefault="00492BB9" w:rsidP="00240527">
      <w:pPr>
        <w:pStyle w:val="21"/>
      </w:pPr>
      <w:bookmarkStart w:id="11" w:name="_Toc514593073"/>
      <w:r>
        <w:lastRenderedPageBreak/>
        <w:t>1.5</w:t>
      </w:r>
      <w:r w:rsidR="00240527">
        <w:t xml:space="preserve"> </w:t>
      </w:r>
      <w:r w:rsidR="00DA1B81">
        <w:t>Анализ рынка облигаций</w:t>
      </w:r>
      <w:bookmarkEnd w:id="11"/>
    </w:p>
    <w:p w14:paraId="031DDD4C" w14:textId="5C48DB97" w:rsidR="00A64710" w:rsidRDefault="00436DD2" w:rsidP="007823B1">
      <w:pPr>
        <w:pStyle w:val="a6"/>
      </w:pPr>
      <w:r>
        <w:t>Для проведения статистического исследования необходимо выбрать рынок, состояние которого отвечает цели и задачам данной работы.</w:t>
      </w:r>
    </w:p>
    <w:p w14:paraId="313B3B9E" w14:textId="721D2078" w:rsidR="00D24533" w:rsidRPr="007E628D" w:rsidRDefault="00D77A05" w:rsidP="007823B1">
      <w:pPr>
        <w:pStyle w:val="a6"/>
      </w:pPr>
      <w:r>
        <w:t xml:space="preserve">Для начала рассмотрим рынок облигаций России в целом. </w:t>
      </w:r>
      <w:r w:rsidR="00D24533">
        <w:t xml:space="preserve">На данный момент на </w:t>
      </w:r>
      <w:r w:rsidR="00B926AF">
        <w:t xml:space="preserve">российском </w:t>
      </w:r>
      <w:r w:rsidR="00D24533">
        <w:t xml:space="preserve">фондовом рынке обращаются облигации около 300 эмитентов на сумму более </w:t>
      </w:r>
      <w:r w:rsidR="00D24533" w:rsidRPr="00157BE3">
        <w:t>$</w:t>
      </w:r>
      <w:r w:rsidR="00D24533">
        <w:t>200 млрд. С опорой на статистику, предоставленную информационным агентством Финмаркет, можно утверждать, что 48% рынка заняты под облигации федерального займа, 4</w:t>
      </w:r>
      <w:r w:rsidR="00D24533" w:rsidRPr="00604A0B">
        <w:t>4</w:t>
      </w:r>
      <w:r w:rsidR="00D24533">
        <w:t xml:space="preserve">% облигаций составляют ценные бумаги корпоративного уровня и всего </w:t>
      </w:r>
      <w:r w:rsidR="00D24533" w:rsidRPr="00604A0B">
        <w:t>8</w:t>
      </w:r>
      <w:r w:rsidR="00D24533">
        <w:t>% приходится на муниципальные облигационные займы</w:t>
      </w:r>
      <w:r w:rsidR="00D24533">
        <w:rPr>
          <w:rStyle w:val="a9"/>
        </w:rPr>
        <w:footnoteReference w:id="14"/>
      </w:r>
      <w:r w:rsidR="00D24533">
        <w:t xml:space="preserve">. </w:t>
      </w:r>
    </w:p>
    <w:p w14:paraId="486AD7E4" w14:textId="30C33BA1" w:rsidR="00D24533" w:rsidRDefault="00D24533" w:rsidP="007823B1">
      <w:pPr>
        <w:pStyle w:val="a6"/>
      </w:pPr>
      <w:r>
        <w:t>Говоря об общем состоянии рынка ценных бумаг в России, эксперты и инвесторы отмечают высокую степень непостоянности. К примеру, российский рынок облигаций отличался высокими, около 30% в год, темпами роста в период с 2006 по 2010 год. Тем не мен</w:t>
      </w:r>
      <w:r w:rsidR="00A87E96">
        <w:t>ее, на следующий год рынок</w:t>
      </w:r>
      <w:r>
        <w:t xml:space="preserve"> перешел на стадию зрелости</w:t>
      </w:r>
      <w:r w:rsidR="001B62B6">
        <w:t>: темпы роста значительно снизились,</w:t>
      </w:r>
      <w:r>
        <w:t xml:space="preserve"> ставки по облигациям инвестиционного качества име</w:t>
      </w:r>
      <w:r w:rsidR="001B62B6">
        <w:t>ли</w:t>
      </w:r>
      <w:r>
        <w:t xml:space="preserve"> тенденцию к снижению, а спекулятивные облигации постепенно снижа</w:t>
      </w:r>
      <w:r w:rsidR="001B62B6">
        <w:t>лись</w:t>
      </w:r>
      <w:r>
        <w:t xml:space="preserve"> в цене. Со второй половины 2013 года количество эмиссий резко начало сокращаться и срок обращения облигаций уменьшился. В 2014 году </w:t>
      </w:r>
      <w:r w:rsidR="001B62B6">
        <w:t xml:space="preserve">в результате валютного кризиса в России </w:t>
      </w:r>
      <w:r>
        <w:t xml:space="preserve">выпуск облигаций сократился на 74% относительно предыдущего года и составил около </w:t>
      </w:r>
      <w:r w:rsidRPr="00AC5CEE">
        <w:t>$</w:t>
      </w:r>
      <w:r w:rsidR="00E53718">
        <w:t>9 млрд.</w:t>
      </w:r>
      <w:r w:rsidR="001B62B6">
        <w:t xml:space="preserve">. </w:t>
      </w:r>
      <w:r w:rsidR="007415DF">
        <w:t xml:space="preserve">Также, уменьшился </w:t>
      </w:r>
      <w:r>
        <w:t>объем корпоративных облигаций на вторичном рынке, что объясняется резким ростом объемов нерыночного размещения. Это произошло за счет девальвации рубля в конце 2014 года и роста ключевой ставки ЦБ России до 17% годовых</w:t>
      </w:r>
      <w:r w:rsidR="00EA5958">
        <w:rPr>
          <w:rStyle w:val="a9"/>
        </w:rPr>
        <w:footnoteReference w:id="15"/>
      </w:r>
      <w:r>
        <w:t>. У крупнейших российских заемщиков не осталось возможности финансироваться на зарубежных рынках под низкие ставки</w:t>
      </w:r>
      <w:r w:rsidR="001B62B6">
        <w:t xml:space="preserve"> </w:t>
      </w:r>
      <w:r w:rsidR="001B62B6" w:rsidRPr="001B62B6">
        <w:t>из-</w:t>
      </w:r>
      <w:r w:rsidR="00F53306" w:rsidRPr="001B62B6">
        <w:t>за девальвации и снижения аппетита инвесторов к российскому рынку</w:t>
      </w:r>
      <w:r>
        <w:t xml:space="preserve">, </w:t>
      </w:r>
      <w:r w:rsidR="001B62B6">
        <w:t xml:space="preserve">что заставило </w:t>
      </w:r>
      <w:r w:rsidR="007415DF">
        <w:t>российские компании</w:t>
      </w:r>
      <w:r w:rsidR="001B62B6">
        <w:t xml:space="preserve"> перевести</w:t>
      </w:r>
      <w:r>
        <w:t xml:space="preserve"> </w:t>
      </w:r>
      <w:r w:rsidR="007415DF">
        <w:t xml:space="preserve">свои </w:t>
      </w:r>
      <w:r>
        <w:t>валютны</w:t>
      </w:r>
      <w:r w:rsidR="001B62B6">
        <w:t>е долги</w:t>
      </w:r>
      <w:r>
        <w:t xml:space="preserve"> в</w:t>
      </w:r>
      <w:r w:rsidR="001B62B6">
        <w:t xml:space="preserve"> рублевые</w:t>
      </w:r>
      <w:r>
        <w:t xml:space="preserve">. </w:t>
      </w:r>
    </w:p>
    <w:p w14:paraId="61A5843F" w14:textId="160E49A1" w:rsidR="00E513F7" w:rsidRDefault="00D24533" w:rsidP="00E513F7">
      <w:pPr>
        <w:pStyle w:val="a6"/>
      </w:pPr>
      <w:r>
        <w:t xml:space="preserve">На сегодняшний момент облигации федерального и муниципального займа являются наиболее </w:t>
      </w:r>
      <w:r w:rsidR="00510392">
        <w:t>надежными</w:t>
      </w:r>
      <w:r>
        <w:t xml:space="preserve"> инструментами на финансовом рынке, что говорит об их нев</w:t>
      </w:r>
      <w:r w:rsidR="00E513F7">
        <w:t>ысок</w:t>
      </w:r>
      <w:r>
        <w:t xml:space="preserve">ом риске. </w:t>
      </w:r>
      <w:r w:rsidR="002C4FE9">
        <w:t>И</w:t>
      </w:r>
      <w:r w:rsidR="00C83C94">
        <w:t>нвестор</w:t>
      </w:r>
      <w:r>
        <w:t xml:space="preserve">, </w:t>
      </w:r>
      <w:r w:rsidR="002C4FE9">
        <w:t>купивший</w:t>
      </w:r>
      <w:r>
        <w:t xml:space="preserve"> облигаци</w:t>
      </w:r>
      <w:r w:rsidR="002C4FE9">
        <w:t>ю</w:t>
      </w:r>
      <w:r>
        <w:t xml:space="preserve"> федерального займа</w:t>
      </w:r>
      <w:r w:rsidR="002C4FE9">
        <w:t xml:space="preserve"> в первый день продажи в 2017 году</w:t>
      </w:r>
      <w:r>
        <w:t xml:space="preserve">, может </w:t>
      </w:r>
      <w:r w:rsidR="002C4FE9">
        <w:t xml:space="preserve">в среднем </w:t>
      </w:r>
      <w:r>
        <w:t xml:space="preserve">рассчитывать на доходность </w:t>
      </w:r>
      <w:r w:rsidR="002C4FE9">
        <w:t>9,02</w:t>
      </w:r>
      <w:r>
        <w:t>%</w:t>
      </w:r>
      <w:r w:rsidR="002C4FE9">
        <w:t xml:space="preserve"> в год</w:t>
      </w:r>
      <w:r w:rsidR="002C4FE9">
        <w:rPr>
          <w:rStyle w:val="a9"/>
        </w:rPr>
        <w:footnoteReference w:id="16"/>
      </w:r>
      <w:r>
        <w:t xml:space="preserve">. Основными инвесторами в гособлигации являются иностранные компании, более того, в </w:t>
      </w:r>
      <w:r>
        <w:lastRenderedPageBreak/>
        <w:t xml:space="preserve">перспективе ожидается увеличение спроса со стороны нерезидентов на российские облигации федерального </w:t>
      </w:r>
      <w:r w:rsidR="00E513F7">
        <w:t>займа</w:t>
      </w:r>
      <w:r w:rsidR="00C83C94">
        <w:t>.</w:t>
      </w:r>
    </w:p>
    <w:p w14:paraId="724B16BB" w14:textId="4D96602F" w:rsidR="00240527" w:rsidRDefault="00240527" w:rsidP="00EA5958">
      <w:pPr>
        <w:pStyle w:val="a6"/>
        <w:ind w:firstLine="0"/>
      </w:pPr>
    </w:p>
    <w:p w14:paraId="686418D5" w14:textId="6C83F695" w:rsidR="00DA1B81" w:rsidRDefault="00492BB9" w:rsidP="00240527">
      <w:pPr>
        <w:pStyle w:val="31"/>
      </w:pPr>
      <w:bookmarkStart w:id="12" w:name="_Toc514593074"/>
      <w:r>
        <w:t>1.5</w:t>
      </w:r>
      <w:r w:rsidR="00240527">
        <w:t xml:space="preserve">.1 </w:t>
      </w:r>
      <w:r w:rsidR="00DA1B81">
        <w:t xml:space="preserve">Российский рынок </w:t>
      </w:r>
      <w:r w:rsidR="00EA5958">
        <w:t xml:space="preserve">корпоративных </w:t>
      </w:r>
      <w:r w:rsidR="00DA1B81">
        <w:t>облигаций</w:t>
      </w:r>
      <w:bookmarkEnd w:id="12"/>
    </w:p>
    <w:p w14:paraId="6935F511" w14:textId="7DD62E97" w:rsidR="000C1732" w:rsidRDefault="000C1732" w:rsidP="000C1732">
      <w:pPr>
        <w:pStyle w:val="a6"/>
        <w:ind w:firstLine="708"/>
      </w:pPr>
      <w:r>
        <w:t>Корпоративные облигации считаются менее надежными, но более доходными</w:t>
      </w:r>
      <w:r w:rsidR="004F66C6">
        <w:t xml:space="preserve"> по сравнению с облигациями федерального и муниципального займа</w:t>
      </w:r>
      <w:r>
        <w:t>. Наблюдения последнего времени свидетельствуют о том, что количество эмитентов постепенно возрастает, а доля облигаций «третьего эшелона», так называемых мусорных облигаций, уменьшается. Драйвером к этому послужила политика регулирующего органа, который стимулирует кредитные организации приобретать более качественные ценные бумаги</w:t>
      </w:r>
      <w:r>
        <w:rPr>
          <w:rStyle w:val="a9"/>
        </w:rPr>
        <w:footnoteReference w:id="17"/>
      </w:r>
      <w:r>
        <w:t>.</w:t>
      </w:r>
      <w:r w:rsidR="008F3ADF">
        <w:t xml:space="preserve"> </w:t>
      </w:r>
      <w:r>
        <w:t>Тенденции в объеме рынка и объеме новых размещений российскими корпоративными эмитентами приведены в таблице 2.</w:t>
      </w:r>
    </w:p>
    <w:p w14:paraId="027E8210" w14:textId="77777777" w:rsidR="000C1732" w:rsidRDefault="000C1732" w:rsidP="00DE11EF">
      <w:pPr>
        <w:pStyle w:val="a0"/>
      </w:pPr>
      <w:r>
        <w:t>Объем рынка и объем размещений российскими компаниями</w:t>
      </w:r>
    </w:p>
    <w:tbl>
      <w:tblPr>
        <w:tblStyle w:val="afd"/>
        <w:tblpPr w:leftFromText="180" w:rightFromText="180" w:vertAnchor="text" w:horzAnchor="page" w:tblpX="1810" w:tblpY="150"/>
        <w:tblW w:w="0" w:type="auto"/>
        <w:tblLook w:val="04A0" w:firstRow="1" w:lastRow="0" w:firstColumn="1" w:lastColumn="0" w:noHBand="0" w:noVBand="1"/>
      </w:tblPr>
      <w:tblGrid>
        <w:gridCol w:w="3114"/>
        <w:gridCol w:w="850"/>
        <w:gridCol w:w="851"/>
        <w:gridCol w:w="850"/>
        <w:gridCol w:w="993"/>
        <w:gridCol w:w="850"/>
        <w:gridCol w:w="851"/>
        <w:gridCol w:w="980"/>
      </w:tblGrid>
      <w:tr w:rsidR="000C1732" w14:paraId="2E41134B" w14:textId="77777777" w:rsidTr="0046585A">
        <w:tc>
          <w:tcPr>
            <w:tcW w:w="3114" w:type="dxa"/>
          </w:tcPr>
          <w:p w14:paraId="4A504B32" w14:textId="77777777" w:rsidR="000C1732" w:rsidRDefault="000C1732" w:rsidP="0046585A">
            <w:pPr>
              <w:pStyle w:val="14"/>
            </w:pPr>
            <w:r>
              <w:t>Показатель</w:t>
            </w:r>
          </w:p>
        </w:tc>
        <w:tc>
          <w:tcPr>
            <w:tcW w:w="850" w:type="dxa"/>
          </w:tcPr>
          <w:p w14:paraId="05619D87" w14:textId="77777777" w:rsidR="000C1732" w:rsidRDefault="000C1732" w:rsidP="0046585A">
            <w:pPr>
              <w:pStyle w:val="14"/>
            </w:pPr>
            <w:r>
              <w:t>2010</w:t>
            </w:r>
          </w:p>
        </w:tc>
        <w:tc>
          <w:tcPr>
            <w:tcW w:w="851" w:type="dxa"/>
          </w:tcPr>
          <w:p w14:paraId="0CE4FECA" w14:textId="77777777" w:rsidR="000C1732" w:rsidRDefault="000C1732" w:rsidP="0046585A">
            <w:pPr>
              <w:pStyle w:val="14"/>
            </w:pPr>
            <w:r>
              <w:t>2011</w:t>
            </w:r>
          </w:p>
        </w:tc>
        <w:tc>
          <w:tcPr>
            <w:tcW w:w="850" w:type="dxa"/>
          </w:tcPr>
          <w:p w14:paraId="480F4E72" w14:textId="77777777" w:rsidR="000C1732" w:rsidRDefault="000C1732" w:rsidP="0046585A">
            <w:pPr>
              <w:pStyle w:val="14"/>
            </w:pPr>
            <w:r>
              <w:t>2012</w:t>
            </w:r>
          </w:p>
        </w:tc>
        <w:tc>
          <w:tcPr>
            <w:tcW w:w="993" w:type="dxa"/>
          </w:tcPr>
          <w:p w14:paraId="0E4134B3" w14:textId="77777777" w:rsidR="000C1732" w:rsidRDefault="000C1732" w:rsidP="0046585A">
            <w:pPr>
              <w:pStyle w:val="14"/>
            </w:pPr>
            <w:r>
              <w:t>2013</w:t>
            </w:r>
          </w:p>
        </w:tc>
        <w:tc>
          <w:tcPr>
            <w:tcW w:w="850" w:type="dxa"/>
          </w:tcPr>
          <w:p w14:paraId="768F5CDD" w14:textId="77777777" w:rsidR="000C1732" w:rsidRDefault="000C1732" w:rsidP="0046585A">
            <w:pPr>
              <w:pStyle w:val="14"/>
            </w:pPr>
            <w:r>
              <w:t>2014</w:t>
            </w:r>
          </w:p>
        </w:tc>
        <w:tc>
          <w:tcPr>
            <w:tcW w:w="851" w:type="dxa"/>
          </w:tcPr>
          <w:p w14:paraId="74EA8012" w14:textId="77777777" w:rsidR="000C1732" w:rsidRDefault="000C1732" w:rsidP="0046585A">
            <w:pPr>
              <w:pStyle w:val="14"/>
            </w:pPr>
            <w:r>
              <w:t>2015</w:t>
            </w:r>
          </w:p>
        </w:tc>
        <w:tc>
          <w:tcPr>
            <w:tcW w:w="980" w:type="dxa"/>
          </w:tcPr>
          <w:p w14:paraId="6340210E" w14:textId="77777777" w:rsidR="000C1732" w:rsidRDefault="000C1732" w:rsidP="0046585A">
            <w:pPr>
              <w:pStyle w:val="14"/>
            </w:pPr>
            <w:r>
              <w:t>2016</w:t>
            </w:r>
          </w:p>
        </w:tc>
      </w:tr>
      <w:tr w:rsidR="000C1732" w14:paraId="757833DD" w14:textId="77777777" w:rsidTr="0046585A">
        <w:tc>
          <w:tcPr>
            <w:tcW w:w="3114" w:type="dxa"/>
          </w:tcPr>
          <w:p w14:paraId="118DEBBB" w14:textId="77777777" w:rsidR="000C1732" w:rsidRDefault="000C1732" w:rsidP="0046585A">
            <w:pPr>
              <w:pStyle w:val="14"/>
            </w:pPr>
            <w:r>
              <w:t>Объем в обращении, трлн р.</w:t>
            </w:r>
          </w:p>
        </w:tc>
        <w:tc>
          <w:tcPr>
            <w:tcW w:w="850" w:type="dxa"/>
          </w:tcPr>
          <w:p w14:paraId="0C99235A" w14:textId="77777777" w:rsidR="000C1732" w:rsidRDefault="000C1732" w:rsidP="0046585A">
            <w:pPr>
              <w:pStyle w:val="14"/>
            </w:pPr>
            <w:r>
              <w:t>2,97</w:t>
            </w:r>
          </w:p>
        </w:tc>
        <w:tc>
          <w:tcPr>
            <w:tcW w:w="851" w:type="dxa"/>
          </w:tcPr>
          <w:p w14:paraId="69EDF2EF" w14:textId="77777777" w:rsidR="000C1732" w:rsidRDefault="000C1732" w:rsidP="0046585A">
            <w:pPr>
              <w:pStyle w:val="14"/>
            </w:pPr>
            <w:r>
              <w:t>3,44</w:t>
            </w:r>
          </w:p>
        </w:tc>
        <w:tc>
          <w:tcPr>
            <w:tcW w:w="850" w:type="dxa"/>
          </w:tcPr>
          <w:p w14:paraId="688DA05A" w14:textId="77777777" w:rsidR="000C1732" w:rsidRDefault="000C1732" w:rsidP="0046585A">
            <w:pPr>
              <w:pStyle w:val="14"/>
            </w:pPr>
            <w:r>
              <w:t>4,17</w:t>
            </w:r>
          </w:p>
        </w:tc>
        <w:tc>
          <w:tcPr>
            <w:tcW w:w="993" w:type="dxa"/>
          </w:tcPr>
          <w:p w14:paraId="1C4D7B42" w14:textId="77777777" w:rsidR="000C1732" w:rsidRDefault="000C1732" w:rsidP="0046585A">
            <w:pPr>
              <w:pStyle w:val="14"/>
            </w:pPr>
            <w:r>
              <w:t>5,19</w:t>
            </w:r>
          </w:p>
        </w:tc>
        <w:tc>
          <w:tcPr>
            <w:tcW w:w="850" w:type="dxa"/>
          </w:tcPr>
          <w:p w14:paraId="637E4F4B" w14:textId="77777777" w:rsidR="000C1732" w:rsidRDefault="000C1732" w:rsidP="0046585A">
            <w:pPr>
              <w:pStyle w:val="14"/>
            </w:pPr>
            <w:r>
              <w:t>6,62</w:t>
            </w:r>
          </w:p>
        </w:tc>
        <w:tc>
          <w:tcPr>
            <w:tcW w:w="851" w:type="dxa"/>
          </w:tcPr>
          <w:p w14:paraId="7FB4D28C" w14:textId="77777777" w:rsidR="000C1732" w:rsidRDefault="000C1732" w:rsidP="0046585A">
            <w:pPr>
              <w:pStyle w:val="14"/>
            </w:pPr>
            <w:r>
              <w:t>8,07</w:t>
            </w:r>
          </w:p>
        </w:tc>
        <w:tc>
          <w:tcPr>
            <w:tcW w:w="980" w:type="dxa"/>
          </w:tcPr>
          <w:p w14:paraId="56FE510D" w14:textId="77777777" w:rsidR="000C1732" w:rsidRDefault="000C1732" w:rsidP="0046585A">
            <w:pPr>
              <w:pStyle w:val="14"/>
            </w:pPr>
            <w:r>
              <w:t>9,44</w:t>
            </w:r>
          </w:p>
        </w:tc>
      </w:tr>
      <w:tr w:rsidR="000C1732" w14:paraId="12145573" w14:textId="77777777" w:rsidTr="0046585A">
        <w:tc>
          <w:tcPr>
            <w:tcW w:w="3114" w:type="dxa"/>
          </w:tcPr>
          <w:p w14:paraId="1F6AA4D1" w14:textId="77777777" w:rsidR="000C1732" w:rsidRDefault="000C1732" w:rsidP="0046585A">
            <w:pPr>
              <w:pStyle w:val="14"/>
            </w:pPr>
            <w:r>
              <w:t>Объем размещения в течение года, трлн р.</w:t>
            </w:r>
          </w:p>
        </w:tc>
        <w:tc>
          <w:tcPr>
            <w:tcW w:w="850" w:type="dxa"/>
          </w:tcPr>
          <w:p w14:paraId="59419F65" w14:textId="77777777" w:rsidR="000C1732" w:rsidRDefault="000C1732" w:rsidP="0046585A">
            <w:pPr>
              <w:pStyle w:val="14"/>
            </w:pPr>
            <w:r>
              <w:t>0,86</w:t>
            </w:r>
          </w:p>
        </w:tc>
        <w:tc>
          <w:tcPr>
            <w:tcW w:w="851" w:type="dxa"/>
          </w:tcPr>
          <w:p w14:paraId="458CCBBE" w14:textId="77777777" w:rsidR="000C1732" w:rsidRDefault="000C1732" w:rsidP="0046585A">
            <w:pPr>
              <w:pStyle w:val="14"/>
            </w:pPr>
            <w:r>
              <w:t>0,94</w:t>
            </w:r>
          </w:p>
        </w:tc>
        <w:tc>
          <w:tcPr>
            <w:tcW w:w="850" w:type="dxa"/>
          </w:tcPr>
          <w:p w14:paraId="457120FF" w14:textId="77777777" w:rsidR="000C1732" w:rsidRDefault="000C1732" w:rsidP="0046585A">
            <w:pPr>
              <w:pStyle w:val="14"/>
            </w:pPr>
            <w:r>
              <w:t>1,22</w:t>
            </w:r>
          </w:p>
        </w:tc>
        <w:tc>
          <w:tcPr>
            <w:tcW w:w="993" w:type="dxa"/>
          </w:tcPr>
          <w:p w14:paraId="200BC2D6" w14:textId="77777777" w:rsidR="000C1732" w:rsidRDefault="000C1732" w:rsidP="0046585A">
            <w:pPr>
              <w:pStyle w:val="14"/>
            </w:pPr>
            <w:r>
              <w:t>1,69</w:t>
            </w:r>
          </w:p>
        </w:tc>
        <w:tc>
          <w:tcPr>
            <w:tcW w:w="850" w:type="dxa"/>
          </w:tcPr>
          <w:p w14:paraId="7E3E4A4E" w14:textId="77777777" w:rsidR="000C1732" w:rsidRDefault="000C1732" w:rsidP="0046585A">
            <w:pPr>
              <w:pStyle w:val="14"/>
            </w:pPr>
            <w:r>
              <w:t>1,78</w:t>
            </w:r>
          </w:p>
        </w:tc>
        <w:tc>
          <w:tcPr>
            <w:tcW w:w="851" w:type="dxa"/>
          </w:tcPr>
          <w:p w14:paraId="36B585E0" w14:textId="77777777" w:rsidR="000C1732" w:rsidRDefault="000C1732" w:rsidP="0046585A">
            <w:pPr>
              <w:pStyle w:val="14"/>
            </w:pPr>
            <w:r>
              <w:t>2,24</w:t>
            </w:r>
          </w:p>
        </w:tc>
        <w:tc>
          <w:tcPr>
            <w:tcW w:w="980" w:type="dxa"/>
          </w:tcPr>
          <w:p w14:paraId="6CDDBFCF" w14:textId="77777777" w:rsidR="000C1732" w:rsidRDefault="000C1732" w:rsidP="0046585A">
            <w:pPr>
              <w:pStyle w:val="14"/>
            </w:pPr>
            <w:r>
              <w:t>2,36</w:t>
            </w:r>
          </w:p>
        </w:tc>
      </w:tr>
    </w:tbl>
    <w:p w14:paraId="73DA18EE" w14:textId="1CC653FD" w:rsidR="0046585A" w:rsidRPr="006C229B" w:rsidRDefault="0046585A" w:rsidP="0046585A">
      <w:pPr>
        <w:pStyle w:val="a6"/>
      </w:pPr>
      <w:r w:rsidRPr="0046585A">
        <w:rPr>
          <w:i/>
        </w:rPr>
        <w:t>Источник:</w:t>
      </w:r>
      <w:r w:rsidRPr="0046585A">
        <w:t xml:space="preserve"> </w:t>
      </w:r>
      <w:r w:rsidR="0091309B">
        <w:t>та</w:t>
      </w:r>
      <w:r w:rsidR="008F3ADF">
        <w:t>б</w:t>
      </w:r>
      <w:r w:rsidR="0091309B">
        <w:t>лица</w:t>
      </w:r>
      <w:r w:rsidRPr="0046585A">
        <w:t xml:space="preserve"> составлен</w:t>
      </w:r>
      <w:r w:rsidR="0091309B">
        <w:t>а</w:t>
      </w:r>
      <w:r w:rsidRPr="0046585A">
        <w:t xml:space="preserve"> автором </w:t>
      </w:r>
      <w:r>
        <w:t xml:space="preserve">статьи </w:t>
      </w:r>
      <w:r w:rsidRPr="001658D6">
        <w:t>В. Мау</w:t>
      </w:r>
      <w:r>
        <w:t xml:space="preserve"> </w:t>
      </w:r>
      <w:r w:rsidRPr="006C229B">
        <w:t>Российская экономика в 2016 году: тенденции и перспективы / под ред. С. Г. Синельников</w:t>
      </w:r>
      <w:r>
        <w:t>а-Мурылева, А. Д. Радыгина. — Москва</w:t>
      </w:r>
      <w:r w:rsidRPr="006C229B">
        <w:t>: Изд-во Ин-та Гайдара, 2017. — 109 с.</w:t>
      </w:r>
    </w:p>
    <w:p w14:paraId="3556E420" w14:textId="77777777" w:rsidR="0046585A" w:rsidRDefault="0046585A" w:rsidP="0046585A">
      <w:pPr>
        <w:pStyle w:val="a6"/>
        <w:ind w:firstLine="0"/>
      </w:pPr>
    </w:p>
    <w:p w14:paraId="772CB3A6" w14:textId="42A35C3C" w:rsidR="00D24533" w:rsidRDefault="00D24533" w:rsidP="000C1732">
      <w:pPr>
        <w:pStyle w:val="a6"/>
        <w:ind w:firstLine="708"/>
      </w:pPr>
      <w:r>
        <w:t>Общий объем размещения в 2016 году составил более 2,36 трлн р., что на 5,6% больше показателей 2015 года. Снижение ставки ЦБ до 10% в 2016 году привело к уменьшению стоимости облигационных займов, и как результат, стимулировало корпоративных эмитентов к выпуску облигаций. Наряду с ключевой ставкой, на эмиссионную и инвестиционную активность на рынке облигаций повлиял сократившийся уровень инфляции, составивший 5,4%, оба эти фактора поспособствовали увеличению количества первичных размещений. Российский рынок корпоративных облигаций является высоко концентрированным: по данным на 201</w:t>
      </w:r>
      <w:r w:rsidR="005A18C2">
        <w:t>7</w:t>
      </w:r>
      <w:r>
        <w:t xml:space="preserve"> год объем эмиссии десяти крупнейших эмитентов составлял 50% всего рынка. Причем государство имеет доли в компаниях, представляющих большинство крупных эмитентов. Таким образом, можно </w:t>
      </w:r>
      <w:r>
        <w:lastRenderedPageBreak/>
        <w:t>сказать, что происходит финансирование крупных государственных компаний за счет тех же государственных структур</w:t>
      </w:r>
      <w:r>
        <w:rPr>
          <w:rStyle w:val="a9"/>
        </w:rPr>
        <w:footnoteReference w:id="18"/>
      </w:r>
      <w:r>
        <w:t xml:space="preserve">. </w:t>
      </w:r>
    </w:p>
    <w:p w14:paraId="08F4D54E" w14:textId="5780CB5C" w:rsidR="00D24533" w:rsidRDefault="00D24533" w:rsidP="007823B1">
      <w:pPr>
        <w:pStyle w:val="a6"/>
      </w:pPr>
      <w:r>
        <w:t xml:space="preserve">Важным элементом анализа российского рынка корпоративных облигаций является его структура по секторам экономики. За последние 6 лет </w:t>
      </w:r>
      <w:r w:rsidR="005A18C2">
        <w:t>нефтегазовая отрасль вышла</w:t>
      </w:r>
      <w:r>
        <w:t xml:space="preserve"> в лидеры по объему выпуска. В 2016 году впервые доля выпусков нефтегазового сектора превысила долю выпусков банковского сектора, 27% против 20%</w:t>
      </w:r>
      <w:r w:rsidR="005A18C2">
        <w:t>,</w:t>
      </w:r>
      <w:r>
        <w:t xml:space="preserve"> соответственно. Подобные результаты по мнению экспертов свидетельствуют о развивающемся характере рынка капиталов в России</w:t>
      </w:r>
      <w:r>
        <w:rPr>
          <w:rStyle w:val="a9"/>
        </w:rPr>
        <w:footnoteReference w:id="19"/>
      </w:r>
      <w:r>
        <w:t>. По итогам того же года, только лишь 3% сделок с корпоративными облигациями совершались на фондов</w:t>
      </w:r>
      <w:r w:rsidR="00972C37">
        <w:t>ом</w:t>
      </w:r>
      <w:r w:rsidR="006C229B">
        <w:t xml:space="preserve"> </w:t>
      </w:r>
      <w:r>
        <w:t>рынке, остальная часть обращалась на денежном рынке, что говорит о низкой ликвидности</w:t>
      </w:r>
      <w:r>
        <w:rPr>
          <w:rStyle w:val="a9"/>
        </w:rPr>
        <w:footnoteReference w:id="20"/>
      </w:r>
      <w:r w:rsidR="005A18C2">
        <w:t xml:space="preserve"> </w:t>
      </w:r>
      <w:r>
        <w:t>облигаций на фондовом рынке,</w:t>
      </w:r>
      <w:r w:rsidR="005A18C2">
        <w:t xml:space="preserve"> то есть на рынке долгосрочного финансирования,</w:t>
      </w:r>
      <w:r>
        <w:t xml:space="preserve"> что присуще рынкам корпоративных облигаций развивающихся стран</w:t>
      </w:r>
      <w:r>
        <w:rPr>
          <w:rStyle w:val="a9"/>
        </w:rPr>
        <w:footnoteReference w:id="21"/>
      </w:r>
      <w:r>
        <w:t>.</w:t>
      </w:r>
    </w:p>
    <w:p w14:paraId="5EA38389" w14:textId="41A971B1" w:rsidR="00DE11EF" w:rsidRDefault="005B7FCF" w:rsidP="009172EB">
      <w:pPr>
        <w:pStyle w:val="a6"/>
      </w:pPr>
      <w:r>
        <w:t xml:space="preserve">Приведем небольшое сравнение кредитования на российских рынках корпоративных облигаций и банковского сектора. </w:t>
      </w:r>
      <w:r w:rsidR="00D24533">
        <w:t xml:space="preserve">Перед принятием решений о </w:t>
      </w:r>
      <w:r w:rsidR="008F3ADF">
        <w:t xml:space="preserve">способе </w:t>
      </w:r>
      <w:r w:rsidR="00D24533">
        <w:t xml:space="preserve">финансировании компания должна сравнить стоимость привлечения средств на </w:t>
      </w:r>
      <w:r>
        <w:t xml:space="preserve">данных </w:t>
      </w:r>
      <w:r w:rsidR="00D24533">
        <w:t>рынках</w:t>
      </w:r>
      <w:r w:rsidR="00E90156">
        <w:rPr>
          <w:rStyle w:val="a9"/>
        </w:rPr>
        <w:footnoteReference w:id="22"/>
      </w:r>
      <w:r w:rsidR="00D24533">
        <w:t>. Ниже приведены данные о стоимости заимствований согласно двум альтернативам за пе</w:t>
      </w:r>
      <w:r w:rsidR="00C91F56">
        <w:t>риод с 2013 по 2016 год (табл. 3</w:t>
      </w:r>
      <w:r w:rsidR="00D24533">
        <w:t>).</w:t>
      </w:r>
    </w:p>
    <w:p w14:paraId="1175585D" w14:textId="1B56C05C" w:rsidR="00E513F7" w:rsidRDefault="00E513F7" w:rsidP="00E513F7">
      <w:pPr>
        <w:pStyle w:val="a0"/>
      </w:pPr>
      <w:r>
        <w:t xml:space="preserve">Стоимости банковского и облигационного заимствований </w:t>
      </w:r>
    </w:p>
    <w:tbl>
      <w:tblPr>
        <w:tblStyle w:val="afd"/>
        <w:tblW w:w="0" w:type="auto"/>
        <w:tblLook w:val="04A0" w:firstRow="1" w:lastRow="0" w:firstColumn="1" w:lastColumn="0" w:noHBand="0" w:noVBand="1"/>
      </w:tblPr>
      <w:tblGrid>
        <w:gridCol w:w="2155"/>
        <w:gridCol w:w="2735"/>
        <w:gridCol w:w="1151"/>
        <w:gridCol w:w="1151"/>
        <w:gridCol w:w="1151"/>
        <w:gridCol w:w="1139"/>
      </w:tblGrid>
      <w:tr w:rsidR="00D24533" w:rsidRPr="00DA1B81" w14:paraId="2E4928AA" w14:textId="77777777" w:rsidTr="00E513F7">
        <w:trPr>
          <w:trHeight w:val="397"/>
        </w:trPr>
        <w:tc>
          <w:tcPr>
            <w:tcW w:w="2155" w:type="dxa"/>
          </w:tcPr>
          <w:p w14:paraId="0FFE2F2B" w14:textId="77777777" w:rsidR="00D24533" w:rsidRPr="00DA1B81" w:rsidRDefault="00D24533" w:rsidP="00DA1B81">
            <w:pPr>
              <w:pStyle w:val="14"/>
            </w:pPr>
            <w:r w:rsidRPr="00DA1B81">
              <w:t>Срок погашения</w:t>
            </w:r>
          </w:p>
        </w:tc>
        <w:tc>
          <w:tcPr>
            <w:tcW w:w="2735" w:type="dxa"/>
          </w:tcPr>
          <w:p w14:paraId="25643E18" w14:textId="77777777" w:rsidR="00D24533" w:rsidRPr="00DA1B81" w:rsidRDefault="00D24533" w:rsidP="00DA1B81">
            <w:pPr>
              <w:pStyle w:val="14"/>
            </w:pPr>
            <w:r w:rsidRPr="00DA1B81">
              <w:t>Показатель</w:t>
            </w:r>
          </w:p>
        </w:tc>
        <w:tc>
          <w:tcPr>
            <w:tcW w:w="1151" w:type="dxa"/>
          </w:tcPr>
          <w:p w14:paraId="11AEDE69" w14:textId="77777777" w:rsidR="00D24533" w:rsidRPr="00DA1B81" w:rsidRDefault="00D24533" w:rsidP="00DA1B81">
            <w:pPr>
              <w:pStyle w:val="14"/>
            </w:pPr>
            <w:r w:rsidRPr="00DA1B81">
              <w:t>2013</w:t>
            </w:r>
          </w:p>
        </w:tc>
        <w:tc>
          <w:tcPr>
            <w:tcW w:w="1151" w:type="dxa"/>
          </w:tcPr>
          <w:p w14:paraId="7C9724C1" w14:textId="77777777" w:rsidR="00D24533" w:rsidRPr="00DA1B81" w:rsidRDefault="00D24533" w:rsidP="00DA1B81">
            <w:pPr>
              <w:pStyle w:val="14"/>
            </w:pPr>
            <w:r w:rsidRPr="00DA1B81">
              <w:t>2014</w:t>
            </w:r>
          </w:p>
        </w:tc>
        <w:tc>
          <w:tcPr>
            <w:tcW w:w="1151" w:type="dxa"/>
          </w:tcPr>
          <w:p w14:paraId="4D69EC4F" w14:textId="77777777" w:rsidR="00D24533" w:rsidRPr="00DA1B81" w:rsidRDefault="00D24533" w:rsidP="00DA1B81">
            <w:pPr>
              <w:pStyle w:val="14"/>
            </w:pPr>
            <w:r w:rsidRPr="00DA1B81">
              <w:t>2015</w:t>
            </w:r>
          </w:p>
        </w:tc>
        <w:tc>
          <w:tcPr>
            <w:tcW w:w="1139" w:type="dxa"/>
          </w:tcPr>
          <w:p w14:paraId="739B77A0" w14:textId="77777777" w:rsidR="00D24533" w:rsidRPr="00DA1B81" w:rsidRDefault="00D24533" w:rsidP="00DA1B81">
            <w:pPr>
              <w:pStyle w:val="14"/>
            </w:pPr>
            <w:r w:rsidRPr="00DA1B81">
              <w:t>2016</w:t>
            </w:r>
          </w:p>
        </w:tc>
      </w:tr>
      <w:tr w:rsidR="00D24533" w:rsidRPr="00DA1B81" w14:paraId="47A949E6" w14:textId="77777777" w:rsidTr="00E513F7">
        <w:trPr>
          <w:trHeight w:val="397"/>
        </w:trPr>
        <w:tc>
          <w:tcPr>
            <w:tcW w:w="2155" w:type="dxa"/>
            <w:vMerge w:val="restart"/>
          </w:tcPr>
          <w:p w14:paraId="47A9DF31" w14:textId="77777777" w:rsidR="00D24533" w:rsidRPr="00DA1B81" w:rsidRDefault="00D24533" w:rsidP="00DA1B81">
            <w:pPr>
              <w:pStyle w:val="14"/>
            </w:pPr>
            <w:r w:rsidRPr="00DA1B81">
              <w:t>1-3 года</w:t>
            </w:r>
          </w:p>
        </w:tc>
        <w:tc>
          <w:tcPr>
            <w:tcW w:w="2735" w:type="dxa"/>
          </w:tcPr>
          <w:p w14:paraId="5AE4480B" w14:textId="77777777" w:rsidR="00D24533" w:rsidRPr="00DA1B81" w:rsidRDefault="00D24533" w:rsidP="00DA1B81">
            <w:pPr>
              <w:pStyle w:val="14"/>
            </w:pPr>
            <w:r w:rsidRPr="00DA1B81">
              <w:t>Кредит, %</w:t>
            </w:r>
          </w:p>
        </w:tc>
        <w:tc>
          <w:tcPr>
            <w:tcW w:w="1151" w:type="dxa"/>
          </w:tcPr>
          <w:p w14:paraId="02ACC7C2" w14:textId="77777777" w:rsidR="00D24533" w:rsidRPr="00DA1B81" w:rsidRDefault="00D24533" w:rsidP="00DA1B81">
            <w:pPr>
              <w:pStyle w:val="14"/>
            </w:pPr>
            <w:r w:rsidRPr="00DA1B81">
              <w:t>11,71</w:t>
            </w:r>
          </w:p>
        </w:tc>
        <w:tc>
          <w:tcPr>
            <w:tcW w:w="1151" w:type="dxa"/>
          </w:tcPr>
          <w:p w14:paraId="39781752" w14:textId="77777777" w:rsidR="00D24533" w:rsidRPr="00DA1B81" w:rsidRDefault="00D24533" w:rsidP="00DA1B81">
            <w:pPr>
              <w:pStyle w:val="14"/>
            </w:pPr>
            <w:r w:rsidRPr="00DA1B81">
              <w:t>11,89</w:t>
            </w:r>
          </w:p>
        </w:tc>
        <w:tc>
          <w:tcPr>
            <w:tcW w:w="1151" w:type="dxa"/>
          </w:tcPr>
          <w:p w14:paraId="4F238752" w14:textId="77777777" w:rsidR="00D24533" w:rsidRPr="00DA1B81" w:rsidRDefault="00D24533" w:rsidP="00DA1B81">
            <w:pPr>
              <w:pStyle w:val="14"/>
            </w:pPr>
            <w:r w:rsidRPr="00DA1B81">
              <w:t>15,62</w:t>
            </w:r>
          </w:p>
        </w:tc>
        <w:tc>
          <w:tcPr>
            <w:tcW w:w="1139" w:type="dxa"/>
          </w:tcPr>
          <w:p w14:paraId="210B402A" w14:textId="77777777" w:rsidR="00D24533" w:rsidRPr="00DA1B81" w:rsidRDefault="00D24533" w:rsidP="00DA1B81">
            <w:pPr>
              <w:pStyle w:val="14"/>
            </w:pPr>
            <w:r w:rsidRPr="00DA1B81">
              <w:t>13,03</w:t>
            </w:r>
          </w:p>
        </w:tc>
      </w:tr>
      <w:tr w:rsidR="00D24533" w:rsidRPr="00DA1B81" w14:paraId="1F50DC3F" w14:textId="77777777" w:rsidTr="00E513F7">
        <w:trPr>
          <w:trHeight w:val="139"/>
        </w:trPr>
        <w:tc>
          <w:tcPr>
            <w:tcW w:w="2155" w:type="dxa"/>
            <w:vMerge/>
          </w:tcPr>
          <w:p w14:paraId="4484D0B3" w14:textId="77777777" w:rsidR="00D24533" w:rsidRPr="00DA1B81" w:rsidRDefault="00D24533" w:rsidP="00DA1B81">
            <w:pPr>
              <w:pStyle w:val="14"/>
            </w:pPr>
          </w:p>
        </w:tc>
        <w:tc>
          <w:tcPr>
            <w:tcW w:w="2735" w:type="dxa"/>
          </w:tcPr>
          <w:p w14:paraId="36473C31" w14:textId="77777777" w:rsidR="00D24533" w:rsidRPr="00DA1B81" w:rsidRDefault="00D24533" w:rsidP="00DA1B81">
            <w:pPr>
              <w:pStyle w:val="14"/>
            </w:pPr>
            <w:r w:rsidRPr="00DA1B81">
              <w:t>Облигации, %</w:t>
            </w:r>
          </w:p>
        </w:tc>
        <w:tc>
          <w:tcPr>
            <w:tcW w:w="1151" w:type="dxa"/>
          </w:tcPr>
          <w:p w14:paraId="65DD037B" w14:textId="77777777" w:rsidR="00D24533" w:rsidRPr="00DA1B81" w:rsidRDefault="00D24533" w:rsidP="00DA1B81">
            <w:pPr>
              <w:pStyle w:val="14"/>
            </w:pPr>
            <w:r w:rsidRPr="00DA1B81">
              <w:t>8,18</w:t>
            </w:r>
          </w:p>
        </w:tc>
        <w:tc>
          <w:tcPr>
            <w:tcW w:w="1151" w:type="dxa"/>
          </w:tcPr>
          <w:p w14:paraId="6ADB8429" w14:textId="77777777" w:rsidR="00D24533" w:rsidRPr="00DA1B81" w:rsidRDefault="00D24533" w:rsidP="00DA1B81">
            <w:pPr>
              <w:pStyle w:val="14"/>
            </w:pPr>
            <w:r w:rsidRPr="00DA1B81">
              <w:t>10,36</w:t>
            </w:r>
          </w:p>
        </w:tc>
        <w:tc>
          <w:tcPr>
            <w:tcW w:w="1151" w:type="dxa"/>
          </w:tcPr>
          <w:p w14:paraId="026A0A1E" w14:textId="77777777" w:rsidR="00D24533" w:rsidRPr="00DA1B81" w:rsidRDefault="00D24533" w:rsidP="00DA1B81">
            <w:pPr>
              <w:pStyle w:val="14"/>
            </w:pPr>
            <w:r w:rsidRPr="00DA1B81">
              <w:t>12,95</w:t>
            </w:r>
          </w:p>
        </w:tc>
        <w:tc>
          <w:tcPr>
            <w:tcW w:w="1139" w:type="dxa"/>
          </w:tcPr>
          <w:p w14:paraId="3912BFB2" w14:textId="77777777" w:rsidR="00D24533" w:rsidRPr="00DA1B81" w:rsidRDefault="00D24533" w:rsidP="00DA1B81">
            <w:pPr>
              <w:pStyle w:val="14"/>
            </w:pPr>
            <w:r w:rsidRPr="00DA1B81">
              <w:t>10,56</w:t>
            </w:r>
          </w:p>
        </w:tc>
      </w:tr>
      <w:tr w:rsidR="00D24533" w:rsidRPr="00DA1B81" w14:paraId="07CEDB64" w14:textId="77777777" w:rsidTr="00E513F7">
        <w:trPr>
          <w:trHeight w:val="397"/>
        </w:trPr>
        <w:tc>
          <w:tcPr>
            <w:tcW w:w="2155" w:type="dxa"/>
            <w:vMerge w:val="restart"/>
          </w:tcPr>
          <w:p w14:paraId="7C1E196D" w14:textId="77777777" w:rsidR="00D24533" w:rsidRPr="00DA1B81" w:rsidRDefault="00D24533" w:rsidP="00DA1B81">
            <w:pPr>
              <w:pStyle w:val="14"/>
            </w:pPr>
            <w:r w:rsidRPr="00DA1B81">
              <w:t>3-5 лет</w:t>
            </w:r>
          </w:p>
        </w:tc>
        <w:tc>
          <w:tcPr>
            <w:tcW w:w="2735" w:type="dxa"/>
          </w:tcPr>
          <w:p w14:paraId="29C261CF" w14:textId="77777777" w:rsidR="00D24533" w:rsidRPr="00DA1B81" w:rsidRDefault="00D24533" w:rsidP="00DA1B81">
            <w:pPr>
              <w:pStyle w:val="14"/>
            </w:pPr>
            <w:r w:rsidRPr="00DA1B81">
              <w:t>Кредит, %</w:t>
            </w:r>
          </w:p>
        </w:tc>
        <w:tc>
          <w:tcPr>
            <w:tcW w:w="1151" w:type="dxa"/>
          </w:tcPr>
          <w:p w14:paraId="212F1BBE" w14:textId="77777777" w:rsidR="00D24533" w:rsidRPr="00DA1B81" w:rsidRDefault="00D24533" w:rsidP="00DA1B81">
            <w:pPr>
              <w:pStyle w:val="14"/>
            </w:pPr>
            <w:r w:rsidRPr="00DA1B81">
              <w:t>11,26</w:t>
            </w:r>
          </w:p>
        </w:tc>
        <w:tc>
          <w:tcPr>
            <w:tcW w:w="1151" w:type="dxa"/>
          </w:tcPr>
          <w:p w14:paraId="2747FDD3" w14:textId="77777777" w:rsidR="00D24533" w:rsidRPr="00DA1B81" w:rsidRDefault="00D24533" w:rsidP="00DA1B81">
            <w:pPr>
              <w:pStyle w:val="14"/>
            </w:pPr>
            <w:r w:rsidRPr="00DA1B81">
              <w:t>11,41</w:t>
            </w:r>
          </w:p>
        </w:tc>
        <w:tc>
          <w:tcPr>
            <w:tcW w:w="1151" w:type="dxa"/>
          </w:tcPr>
          <w:p w14:paraId="0FE14B2A" w14:textId="77777777" w:rsidR="00D24533" w:rsidRPr="00DA1B81" w:rsidRDefault="00D24533" w:rsidP="00DA1B81">
            <w:pPr>
              <w:pStyle w:val="14"/>
            </w:pPr>
            <w:r w:rsidRPr="00DA1B81">
              <w:t>14,27</w:t>
            </w:r>
          </w:p>
        </w:tc>
        <w:tc>
          <w:tcPr>
            <w:tcW w:w="1139" w:type="dxa"/>
          </w:tcPr>
          <w:p w14:paraId="510D56FC" w14:textId="77777777" w:rsidR="00D24533" w:rsidRPr="00DA1B81" w:rsidRDefault="00D24533" w:rsidP="00DA1B81">
            <w:pPr>
              <w:pStyle w:val="14"/>
            </w:pPr>
            <w:r w:rsidRPr="00DA1B81">
              <w:t>13,06</w:t>
            </w:r>
          </w:p>
        </w:tc>
      </w:tr>
      <w:tr w:rsidR="00D24533" w:rsidRPr="00DA1B81" w14:paraId="601BB986" w14:textId="77777777" w:rsidTr="00E513F7">
        <w:trPr>
          <w:trHeight w:val="139"/>
        </w:trPr>
        <w:tc>
          <w:tcPr>
            <w:tcW w:w="2155" w:type="dxa"/>
            <w:vMerge/>
          </w:tcPr>
          <w:p w14:paraId="25C336A3" w14:textId="77777777" w:rsidR="00D24533" w:rsidRPr="00DA1B81" w:rsidRDefault="00D24533" w:rsidP="00DA1B81">
            <w:pPr>
              <w:pStyle w:val="14"/>
            </w:pPr>
          </w:p>
        </w:tc>
        <w:tc>
          <w:tcPr>
            <w:tcW w:w="2735" w:type="dxa"/>
          </w:tcPr>
          <w:p w14:paraId="4D13E49B" w14:textId="77777777" w:rsidR="00D24533" w:rsidRPr="00DA1B81" w:rsidRDefault="00D24533" w:rsidP="00DA1B81">
            <w:pPr>
              <w:pStyle w:val="14"/>
            </w:pPr>
            <w:r w:rsidRPr="00DA1B81">
              <w:t>Облигации, %</w:t>
            </w:r>
          </w:p>
        </w:tc>
        <w:tc>
          <w:tcPr>
            <w:tcW w:w="1151" w:type="dxa"/>
          </w:tcPr>
          <w:p w14:paraId="0F35DC89" w14:textId="77777777" w:rsidR="00D24533" w:rsidRPr="00DA1B81" w:rsidRDefault="00D24533" w:rsidP="00DA1B81">
            <w:pPr>
              <w:pStyle w:val="14"/>
            </w:pPr>
            <w:r w:rsidRPr="00DA1B81">
              <w:t>8,42</w:t>
            </w:r>
          </w:p>
        </w:tc>
        <w:tc>
          <w:tcPr>
            <w:tcW w:w="1151" w:type="dxa"/>
          </w:tcPr>
          <w:p w14:paraId="205A3F86" w14:textId="77777777" w:rsidR="00D24533" w:rsidRPr="00DA1B81" w:rsidRDefault="00D24533" w:rsidP="00DA1B81">
            <w:pPr>
              <w:pStyle w:val="14"/>
            </w:pPr>
            <w:r w:rsidRPr="00DA1B81">
              <w:t>10,92</w:t>
            </w:r>
          </w:p>
        </w:tc>
        <w:tc>
          <w:tcPr>
            <w:tcW w:w="1151" w:type="dxa"/>
          </w:tcPr>
          <w:p w14:paraId="4143C3A8" w14:textId="77777777" w:rsidR="00D24533" w:rsidRPr="00DA1B81" w:rsidRDefault="00D24533" w:rsidP="00DA1B81">
            <w:pPr>
              <w:pStyle w:val="14"/>
            </w:pPr>
            <w:r w:rsidRPr="00DA1B81">
              <w:t>14,42</w:t>
            </w:r>
          </w:p>
        </w:tc>
        <w:tc>
          <w:tcPr>
            <w:tcW w:w="1139" w:type="dxa"/>
          </w:tcPr>
          <w:p w14:paraId="5FB5E4E9" w14:textId="77777777" w:rsidR="00D24533" w:rsidRPr="00DA1B81" w:rsidRDefault="00D24533" w:rsidP="00DA1B81">
            <w:pPr>
              <w:pStyle w:val="14"/>
            </w:pPr>
            <w:r w:rsidRPr="00DA1B81">
              <w:t>10,54</w:t>
            </w:r>
          </w:p>
        </w:tc>
      </w:tr>
    </w:tbl>
    <w:p w14:paraId="22A945B0" w14:textId="0AF849CE" w:rsidR="00D24533" w:rsidRDefault="0046585A" w:rsidP="0046585A">
      <w:pPr>
        <w:pStyle w:val="a6"/>
      </w:pPr>
      <w:r w:rsidRPr="0046585A">
        <w:rPr>
          <w:i/>
        </w:rPr>
        <w:t>Источник:</w:t>
      </w:r>
      <w:r w:rsidRPr="0046585A">
        <w:t xml:space="preserve"> рисунок составлен автором </w:t>
      </w:r>
      <w:r>
        <w:t>статьи Малышенко</w:t>
      </w:r>
      <w:r w:rsidRPr="004A3540">
        <w:t xml:space="preserve"> </w:t>
      </w:r>
      <w:r>
        <w:t>К. А., Малышенко</w:t>
      </w:r>
      <w:r w:rsidRPr="004A3540">
        <w:t xml:space="preserve"> </w:t>
      </w:r>
      <w:r>
        <w:t>В. А., Гребенник</w:t>
      </w:r>
      <w:r w:rsidRPr="004A3540">
        <w:t xml:space="preserve"> </w:t>
      </w:r>
      <w:r>
        <w:t>О. Ю., Головлева</w:t>
      </w:r>
      <w:r w:rsidRPr="004A3540">
        <w:t xml:space="preserve"> </w:t>
      </w:r>
      <w:r>
        <w:t>Е. В. Анализ современного состояния рынка акций России по материалам 16-й Междунар. науч.-практ. конф., Белгород, 30 июля 2016 г. — Белгород: Агентство перспектив. науч. исслед., 2016. — Вып. 11-10. — С. 94.</w:t>
      </w:r>
    </w:p>
    <w:p w14:paraId="4BE2B9CD" w14:textId="77777777" w:rsidR="00767914" w:rsidRDefault="00767914" w:rsidP="0046585A">
      <w:pPr>
        <w:pStyle w:val="a6"/>
      </w:pPr>
    </w:p>
    <w:p w14:paraId="52E33C04" w14:textId="77777777" w:rsidR="00D24533" w:rsidRDefault="00D24533" w:rsidP="007823B1">
      <w:pPr>
        <w:pStyle w:val="a6"/>
      </w:pPr>
      <w:r>
        <w:t>Для удобства и наглядности в таблице приведены годовые ставки по кредитам и облигациям на сроки 1-3 года и 3-5 лет. На основе собранных данных можно сказать, что на протяжении четырех рассмотренных лет для компаний было выгоднее привлекать средства на рынке облигаций, за исключением 2015 года, когда кредиты на 3-5 лет оказались дешевле выпуска корпоративных облигаций.</w:t>
      </w:r>
    </w:p>
    <w:p w14:paraId="72823F70" w14:textId="39AF7CEE" w:rsidR="00D24533" w:rsidRDefault="00D24533" w:rsidP="007823B1">
      <w:pPr>
        <w:pStyle w:val="a6"/>
      </w:pPr>
      <w:r>
        <w:t xml:space="preserve">Сложившаяся ситуация объясняется одним из самых весомых преимуществ облигационного займа, возможностью финансирования на более длительный срок, чем с помощью банковского кредитования, именно тенденция </w:t>
      </w:r>
      <w:r w:rsidR="005A18C2">
        <w:t xml:space="preserve">удлинения сроков </w:t>
      </w:r>
      <w:r>
        <w:t>имеет место на рынке облигаций</w:t>
      </w:r>
      <w:r>
        <w:rPr>
          <w:rStyle w:val="a9"/>
        </w:rPr>
        <w:footnoteReference w:id="23"/>
      </w:r>
      <w:r w:rsidR="005A18C2">
        <w:t xml:space="preserve">. </w:t>
      </w:r>
      <w:r>
        <w:t>Несмотря на то, что размещение облигаций является более дешевым способом привлечения финансирования, этот процесс осложняется необходимостью длительной подготовки компании к эмиссии</w:t>
      </w:r>
      <w:r>
        <w:rPr>
          <w:rStyle w:val="a9"/>
        </w:rPr>
        <w:footnoteReference w:id="24"/>
      </w:r>
      <w:r>
        <w:t>. Тем не менее, в настоящее время Банк России осуществляет деятельность по сокращению периода между принятием эмитентом решения о выпуске и самим выпуском облигаций до одних суток</w:t>
      </w:r>
      <w:r>
        <w:rPr>
          <w:rStyle w:val="a9"/>
        </w:rPr>
        <w:footnoteReference w:id="25"/>
      </w:r>
      <w:r>
        <w:t>. Таким образом, на российском рынке корпоративных облигаций ожидается существенный рост первичных размещений облигаций за счет сокращения времени на подготовку и выпуск, а также привлекательности средней доходности к погашению по облигациям по сравнению со ставкой по кредитам.</w:t>
      </w:r>
    </w:p>
    <w:p w14:paraId="6B556A37" w14:textId="77777777" w:rsidR="00764689" w:rsidRDefault="00764689" w:rsidP="007823B1">
      <w:pPr>
        <w:pStyle w:val="a6"/>
      </w:pPr>
    </w:p>
    <w:p w14:paraId="22974C80" w14:textId="5FF774BF" w:rsidR="00240527" w:rsidRPr="0089141F" w:rsidRDefault="00492BB9" w:rsidP="00240527">
      <w:pPr>
        <w:pStyle w:val="31"/>
      </w:pPr>
      <w:bookmarkStart w:id="13" w:name="_Toc514593075"/>
      <w:r>
        <w:t>1.5</w:t>
      </w:r>
      <w:r w:rsidR="00240527">
        <w:t xml:space="preserve">.2 Американский рынок </w:t>
      </w:r>
      <w:r w:rsidR="00EA5958">
        <w:t>корпоративных облигаций</w:t>
      </w:r>
      <w:bookmarkEnd w:id="13"/>
    </w:p>
    <w:p w14:paraId="7DB19381" w14:textId="3825A838" w:rsidR="00AB25FC" w:rsidRPr="00FD5D10" w:rsidRDefault="00AB25FC" w:rsidP="00FD5D10">
      <w:pPr>
        <w:pStyle w:val="a6"/>
      </w:pPr>
      <w:r w:rsidRPr="00FD5D10">
        <w:t>Соединенные Штаты обладают самым большим и наиболее развитым рынком капитала в мире. По данным Федеральной резервной системы</w:t>
      </w:r>
      <w:r w:rsidR="004E660F" w:rsidRPr="00FD5D10">
        <w:t xml:space="preserve"> США</w:t>
      </w:r>
      <w:r w:rsidR="004E660F" w:rsidRPr="0059704A">
        <w:rPr>
          <w:rStyle w:val="a9"/>
        </w:rPr>
        <w:footnoteReference w:id="26"/>
      </w:r>
      <w:r w:rsidR="0085299C" w:rsidRPr="00FD5D10">
        <w:t>, рынок капитала обеспечивает</w:t>
      </w:r>
      <w:r w:rsidRPr="00FD5D10">
        <w:t xml:space="preserve"> почти 80% долгового финансирования бизнеса в США. </w:t>
      </w:r>
    </w:p>
    <w:p w14:paraId="2074A909" w14:textId="64FA26B2" w:rsidR="00AB25FC" w:rsidRPr="00FD5D10" w:rsidRDefault="00D036E9" w:rsidP="00FD5D10">
      <w:pPr>
        <w:pStyle w:val="a6"/>
      </w:pPr>
      <w:r w:rsidRPr="00FD5D10">
        <w:t>Размер рынка</w:t>
      </w:r>
      <w:r w:rsidR="00AB25FC" w:rsidRPr="00FD5D10">
        <w:t xml:space="preserve"> корпоративных облигаций </w:t>
      </w:r>
      <w:r w:rsidR="006829E0" w:rsidRPr="00FD5D10">
        <w:t>в 2016 году составил</w:t>
      </w:r>
      <w:r w:rsidRPr="00FD5D10">
        <w:t xml:space="preserve"> 8,5 трлн долларов</w:t>
      </w:r>
      <w:r w:rsidR="006829E0" w:rsidRPr="00FD5D10">
        <w:t>, что на 61,9% больше по сравнению с 5,3 трлн долларов в 2007 году</w:t>
      </w:r>
      <w:r w:rsidR="00AB25FC" w:rsidRPr="00FD5D10">
        <w:t xml:space="preserve">. </w:t>
      </w:r>
      <w:r w:rsidR="0085299C" w:rsidRPr="00FD5D10">
        <w:t xml:space="preserve">В 2016 году </w:t>
      </w:r>
      <w:r w:rsidR="00AB25FC" w:rsidRPr="00FD5D10">
        <w:t>коло 1400 компаний</w:t>
      </w:r>
      <w:r w:rsidR="000047D2">
        <w:t xml:space="preserve"> в США</w:t>
      </w:r>
      <w:r w:rsidR="0085299C" w:rsidRPr="00FD5D10">
        <w:t xml:space="preserve"> выпустили корпоративные облигации на 1,5 трлн долларов</w:t>
      </w:r>
      <w:r w:rsidR="00AB25FC" w:rsidRPr="00FD5D10">
        <w:t xml:space="preserve"> для финансирования своей </w:t>
      </w:r>
      <w:r w:rsidR="0085299C" w:rsidRPr="00FD5D10">
        <w:t>деятельности и роста</w:t>
      </w:r>
      <w:r w:rsidR="000047D2">
        <w:t xml:space="preserve"> против 38,5 млн долларов в России</w:t>
      </w:r>
      <w:r w:rsidR="00AB25FC" w:rsidRPr="00FD5D10">
        <w:t>.</w:t>
      </w:r>
    </w:p>
    <w:p w14:paraId="4388BA08" w14:textId="757DE0B3" w:rsidR="00FC7A37" w:rsidRPr="00FD5D10" w:rsidRDefault="00FC7A37" w:rsidP="00FD5D10">
      <w:pPr>
        <w:pStyle w:val="a6"/>
      </w:pPr>
      <w:r w:rsidRPr="00FD5D10">
        <w:t xml:space="preserve">Корпоративные облигации США делятся на облигации инвестиционного уровня и высокодоходные облигации согласно рейтинговым оценкам. </w:t>
      </w:r>
      <w:r w:rsidR="006829E0" w:rsidRPr="00FD5D10">
        <w:t xml:space="preserve">Облигациям </w:t>
      </w:r>
      <w:r w:rsidR="006829E0" w:rsidRPr="00FD5D10">
        <w:lastRenderedPageBreak/>
        <w:t>инвестиционного уровня соответствуют рейтинги от BBB до AAA</w:t>
      </w:r>
      <w:r w:rsidR="000047D2">
        <w:t xml:space="preserve"> по шкале S&amp;P</w:t>
      </w:r>
      <w:r w:rsidR="006829E0" w:rsidRPr="00FD5D10">
        <w:t xml:space="preserve">, в то время как облигациям спекулятивного качества </w:t>
      </w:r>
      <w:r w:rsidR="000047D2">
        <w:t xml:space="preserve">соответствуют рейтинги ниже BB. </w:t>
      </w:r>
      <w:r w:rsidR="006829E0" w:rsidRPr="00FD5D10">
        <w:t>Облигации без рейтинговой оценки также считаются спекулятивными.</w:t>
      </w:r>
    </w:p>
    <w:p w14:paraId="6D64D354" w14:textId="0ADA93D5" w:rsidR="00D24533" w:rsidRDefault="00136321" w:rsidP="00B146A6">
      <w:pPr>
        <w:pStyle w:val="a6"/>
        <w:rPr>
          <w:rFonts w:ascii="Arial" w:hAnsi="Arial" w:cs="Arial"/>
          <w:color w:val="000000"/>
          <w:sz w:val="23"/>
          <w:szCs w:val="23"/>
        </w:rPr>
      </w:pPr>
      <w:r w:rsidRPr="00FD5D10">
        <w:rPr>
          <w:noProof/>
        </w:rPr>
        <w:drawing>
          <wp:inline distT="0" distB="0" distL="0" distR="0" wp14:anchorId="3B167B26" wp14:editId="737B1506">
            <wp:extent cx="5486400" cy="3200400"/>
            <wp:effectExtent l="0" t="0" r="1270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1F886A" w14:textId="5BC1F2F4" w:rsidR="00800E10" w:rsidRDefault="00B146A6" w:rsidP="00C91F56">
      <w:pPr>
        <w:pStyle w:val="a"/>
        <w:rPr>
          <w:rStyle w:val="af1"/>
          <w:color w:val="auto"/>
          <w:u w:val="none"/>
        </w:rPr>
      </w:pPr>
      <w:r>
        <w:rPr>
          <w:rStyle w:val="af1"/>
          <w:color w:val="auto"/>
          <w:u w:val="none"/>
        </w:rPr>
        <w:t>Облигационные выпуски по отраслям экономики США в 2016 году</w:t>
      </w:r>
    </w:p>
    <w:p w14:paraId="3B169053" w14:textId="4C317084" w:rsidR="000047D2" w:rsidRDefault="0046585A" w:rsidP="000047D2">
      <w:pPr>
        <w:pStyle w:val="a6"/>
        <w:rPr>
          <w:lang w:val="en-US"/>
        </w:rPr>
      </w:pPr>
      <w:r w:rsidRPr="0046585A">
        <w:rPr>
          <w:i/>
        </w:rPr>
        <w:t>Источник</w:t>
      </w:r>
      <w:r w:rsidRPr="0046585A">
        <w:rPr>
          <w:i/>
          <w:lang w:val="en-US"/>
        </w:rPr>
        <w:t>:</w:t>
      </w:r>
      <w:r w:rsidRPr="0046585A">
        <w:rPr>
          <w:lang w:val="en-US"/>
        </w:rPr>
        <w:t xml:space="preserve"> </w:t>
      </w:r>
      <w:r w:rsidRPr="0046585A">
        <w:t>рисунок</w:t>
      </w:r>
      <w:r w:rsidRPr="0046585A">
        <w:rPr>
          <w:lang w:val="en-US"/>
        </w:rPr>
        <w:t xml:space="preserve"> </w:t>
      </w:r>
      <w:r w:rsidRPr="0046585A">
        <w:t>составлен</w:t>
      </w:r>
      <w:r w:rsidRPr="0046585A">
        <w:rPr>
          <w:lang w:val="en-US"/>
        </w:rPr>
        <w:t xml:space="preserve"> </w:t>
      </w:r>
      <w:r w:rsidR="00312AB6">
        <w:t>автором</w:t>
      </w:r>
      <w:r w:rsidR="00312AB6" w:rsidRPr="00762032">
        <w:rPr>
          <w:lang w:val="en-US"/>
        </w:rPr>
        <w:t xml:space="preserve"> </w:t>
      </w:r>
      <w:r>
        <w:t>работы</w:t>
      </w:r>
      <w:r w:rsidRPr="0046585A">
        <w:rPr>
          <w:lang w:val="en-US"/>
        </w:rPr>
        <w:t xml:space="preserve"> </w:t>
      </w:r>
      <w:r w:rsidRPr="006E087F">
        <w:rPr>
          <w:lang w:val="en-US"/>
        </w:rPr>
        <w:t>U.S. Capital Markets Deck</w:t>
      </w:r>
      <w:r>
        <w:rPr>
          <w:lang w:val="en-US"/>
        </w:rPr>
        <w:t xml:space="preserve">, </w:t>
      </w:r>
      <w:r w:rsidRPr="006E087F">
        <w:rPr>
          <w:lang w:val="en-US"/>
        </w:rPr>
        <w:t>Securities Industry and Financial Markets Association</w:t>
      </w:r>
    </w:p>
    <w:p w14:paraId="081610D9" w14:textId="179015FB" w:rsidR="00C91F56" w:rsidRPr="000047D2" w:rsidRDefault="00C91F56" w:rsidP="000047D2">
      <w:pPr>
        <w:pStyle w:val="a6"/>
      </w:pPr>
      <w:r w:rsidRPr="00FD5D10">
        <w:t xml:space="preserve">Распределение </w:t>
      </w:r>
      <w:r>
        <w:t>выпуска корпоративных облигаций по отраслям экономики в 2016 году представлено на рисунке 2</w:t>
      </w:r>
      <w:r>
        <w:rPr>
          <w:rStyle w:val="a9"/>
        </w:rPr>
        <w:footnoteReference w:id="27"/>
      </w:r>
      <w:r>
        <w:t>.</w:t>
      </w:r>
      <w:r w:rsidR="002D0F67">
        <w:t xml:space="preserve"> В отличие от российского рынка наибольшую долю среди компаний, выпустивших облигации в 2016 году, составляют компании финансового сектора, а второе место заняли компании энергетической отрасли. Отрасли высоких технологий, здравоохранения и промышленности внесли приблизительно одинаковый вклад в совокупный объем выпуска. </w:t>
      </w:r>
    </w:p>
    <w:p w14:paraId="07A36944" w14:textId="77777777" w:rsidR="00AA04A9" w:rsidRDefault="00AA04A9" w:rsidP="00C91F56">
      <w:pPr>
        <w:pStyle w:val="a6"/>
      </w:pPr>
    </w:p>
    <w:p w14:paraId="1C60919B" w14:textId="77777777" w:rsidR="00C91F56" w:rsidRDefault="00C91F56" w:rsidP="00800E10">
      <w:pPr>
        <w:pStyle w:val="21"/>
      </w:pPr>
      <w:bookmarkStart w:id="14" w:name="_Toc514593076"/>
      <w:r>
        <w:t>Выводы по первой главе</w:t>
      </w:r>
      <w:bookmarkEnd w:id="14"/>
    </w:p>
    <w:p w14:paraId="2B14C0BD" w14:textId="446B63B8" w:rsidR="00B146A6" w:rsidRDefault="00C91F56" w:rsidP="00C91F56">
      <w:pPr>
        <w:pStyle w:val="a6"/>
      </w:pPr>
      <w:r>
        <w:t xml:space="preserve">В </w:t>
      </w:r>
      <w:r w:rsidR="002D0F67">
        <w:t xml:space="preserve">первой главе данной работы </w:t>
      </w:r>
      <w:r>
        <w:t>был</w:t>
      </w:r>
      <w:r w:rsidR="002D0F67">
        <w:t>и</w:t>
      </w:r>
      <w:r>
        <w:t xml:space="preserve"> рассмотрен</w:t>
      </w:r>
      <w:r w:rsidR="002D0F67">
        <w:t>ы</w:t>
      </w:r>
      <w:r>
        <w:t xml:space="preserve"> </w:t>
      </w:r>
      <w:r w:rsidR="007101FF">
        <w:t>особенност</w:t>
      </w:r>
      <w:r w:rsidR="002D0F67">
        <w:t>и</w:t>
      </w:r>
      <w:r>
        <w:t xml:space="preserve"> корпоративных облигаций. Данный инструмент финансирования </w:t>
      </w:r>
      <w:r w:rsidR="007C7009">
        <w:t>обладает значительными преимуществами по сравнению с банковским кредитом и используется для привлечения инвестиций как для покрытия дефицита ресурсов в компании, так и для качественных изменений в структуре и функционировании компании</w:t>
      </w:r>
      <w:r w:rsidR="002D0F67">
        <w:t xml:space="preserve">, таких как слияния и поглощения. </w:t>
      </w:r>
      <w:r w:rsidR="00764689">
        <w:t xml:space="preserve">С помощью рассмотрения </w:t>
      </w:r>
      <w:r w:rsidR="00B774A6">
        <w:t xml:space="preserve">классификаций </w:t>
      </w:r>
      <w:r w:rsidR="00764689">
        <w:t xml:space="preserve">облигаций по разным признакам были изучены </w:t>
      </w:r>
      <w:r w:rsidR="00764689">
        <w:lastRenderedPageBreak/>
        <w:t>присущие данному финансовому инструменту характеристики.</w:t>
      </w:r>
      <w:r w:rsidR="007C7009">
        <w:t xml:space="preserve"> </w:t>
      </w:r>
      <w:r w:rsidR="00AA04A9">
        <w:t xml:space="preserve">Прежде чем поочередно приступить к стадиям выпуска корпоративных облигаций руководство компании должно принять решение о способе выпуска, сумме выпуска, ставке по облигациям и сроке обращения облигации на рынке. </w:t>
      </w:r>
      <w:r w:rsidR="00B734F1">
        <w:t xml:space="preserve">Важным </w:t>
      </w:r>
      <w:r w:rsidR="00764689">
        <w:t>нововведением на развивающемся рынке облигаций России стала программа облигаций «Красный апельсин»,</w:t>
      </w:r>
      <w:r w:rsidR="00FF3F6A">
        <w:t xml:space="preserve"> </w:t>
      </w:r>
      <w:r w:rsidR="00764689">
        <w:t xml:space="preserve">которая призвана существенно оптимизировать выход компаний на данный рынок, сокращая как временные, так и финансовые затраты. </w:t>
      </w:r>
      <w:r w:rsidR="004B6F52">
        <w:t>Данная программа стимулирует компании выпускать облигации, тем самым раскрывать информацию о своей дея</w:t>
      </w:r>
      <w:r w:rsidR="00743DD1">
        <w:t xml:space="preserve">тельности и поддерживать необходимый уровень ведения финансовой отчетности. </w:t>
      </w:r>
      <w:r w:rsidR="00764689">
        <w:t>Тем не менее, это лишь ненамного приближает по уровню развития российский рынок корпоративных облигаций к американскому</w:t>
      </w:r>
      <w:r w:rsidR="00A17A86">
        <w:t>, на котором и будет проводиться дальнейшее статистическое исследование</w:t>
      </w:r>
      <w:r w:rsidR="00764689">
        <w:t xml:space="preserve">. </w:t>
      </w:r>
      <w:r w:rsidR="00FF3F6A">
        <w:t xml:space="preserve">На примере компаний американского рынка будет показано, существует ли взаимосвязь между наличием облигаций, выпущенных компанией, и ее кредитным риском, а также будут исследованы другие взаимосвязи между кредитным риском и характеристиками облигаций. </w:t>
      </w:r>
      <w:r w:rsidR="00EF26AD">
        <w:t>В следующей главе мы рассмотрим природу возникновения кредитного риска и методы его оценки.</w:t>
      </w:r>
      <w:r w:rsidR="00B146A6">
        <w:br w:type="page"/>
      </w:r>
    </w:p>
    <w:p w14:paraId="2C872148" w14:textId="2EC08756" w:rsidR="00800E10" w:rsidRDefault="00240527" w:rsidP="00800E10">
      <w:pPr>
        <w:pStyle w:val="21"/>
      </w:pPr>
      <w:bookmarkStart w:id="15" w:name="_Toc514593077"/>
      <w:r>
        <w:lastRenderedPageBreak/>
        <w:t xml:space="preserve">Глава 2. </w:t>
      </w:r>
      <w:r w:rsidR="00D24533" w:rsidRPr="00715897">
        <w:t xml:space="preserve">Кредитный риск </w:t>
      </w:r>
      <w:r w:rsidR="0083722A">
        <w:t>в коммерческом банке</w:t>
      </w:r>
      <w:bookmarkEnd w:id="15"/>
    </w:p>
    <w:p w14:paraId="79C105A3" w14:textId="0D2CDD4B" w:rsidR="00800E10" w:rsidRDefault="00800E10" w:rsidP="00800E10">
      <w:pPr>
        <w:pStyle w:val="21"/>
      </w:pPr>
      <w:bookmarkStart w:id="16" w:name="_Toc514593078"/>
      <w:r>
        <w:t>2.1 Понятие и природа возникновения кредитного риска</w:t>
      </w:r>
      <w:bookmarkEnd w:id="16"/>
    </w:p>
    <w:p w14:paraId="3C0C8EE8" w14:textId="77777777" w:rsidR="0091309B" w:rsidRDefault="0091309B" w:rsidP="0091309B">
      <w:pPr>
        <w:pStyle w:val="a6"/>
      </w:pPr>
      <w:r>
        <w:t>Важнейшим видом риска, который банк должен постоянно оценивать, контролировать и которым должен управлять, является кредитный риск. Другими словами, это риск того, что заемщик по каким-либо причинам не вернет кредит полностью и в срок. Чаще всего, когда стоимость активов заемщика больше стоимости долга, он в состоянии ответить по обязательствам перед кредитором, если же наблюдается обратная ситуация и долг компании превышает стоимость ее активов, то заемщик объявляет о дефолте. Поэтому банк, как финансовый посредник, должен уметь как можно точнее оценивать финансовое состояние заемщика, стоимость долга и активов компании, вероятность банкротства и ставку восстановления в этом случае.</w:t>
      </w:r>
    </w:p>
    <w:p w14:paraId="48D33146" w14:textId="77777777" w:rsidR="0091309B" w:rsidRDefault="0091309B" w:rsidP="0091309B">
      <w:pPr>
        <w:pStyle w:val="a6"/>
      </w:pPr>
      <w:r>
        <w:t>Функция кредитования делится на четыре этапа:</w:t>
      </w:r>
    </w:p>
    <w:p w14:paraId="69161FD9" w14:textId="77777777" w:rsidR="0091309B" w:rsidRDefault="0091309B" w:rsidP="0091309B">
      <w:pPr>
        <w:pStyle w:val="a6"/>
        <w:numPr>
          <w:ilvl w:val="0"/>
          <w:numId w:val="4"/>
        </w:numPr>
      </w:pPr>
      <w:r>
        <w:t>организация;</w:t>
      </w:r>
    </w:p>
    <w:p w14:paraId="10D0A45F" w14:textId="77777777" w:rsidR="0091309B" w:rsidRDefault="0091309B" w:rsidP="0091309B">
      <w:pPr>
        <w:pStyle w:val="a6"/>
        <w:numPr>
          <w:ilvl w:val="0"/>
          <w:numId w:val="4"/>
        </w:numPr>
      </w:pPr>
      <w:r>
        <w:t>фондирование;</w:t>
      </w:r>
    </w:p>
    <w:p w14:paraId="2F3E9080" w14:textId="77777777" w:rsidR="0091309B" w:rsidRDefault="0091309B" w:rsidP="0091309B">
      <w:pPr>
        <w:pStyle w:val="a6"/>
        <w:numPr>
          <w:ilvl w:val="0"/>
          <w:numId w:val="4"/>
        </w:numPr>
      </w:pPr>
      <w:r>
        <w:t>обслуживание;</w:t>
      </w:r>
    </w:p>
    <w:p w14:paraId="0E3A5CFD" w14:textId="77777777" w:rsidR="0091309B" w:rsidRDefault="0091309B" w:rsidP="0091309B">
      <w:pPr>
        <w:pStyle w:val="a6"/>
        <w:numPr>
          <w:ilvl w:val="0"/>
          <w:numId w:val="4"/>
        </w:numPr>
      </w:pPr>
      <w:r>
        <w:t>мониторинг</w:t>
      </w:r>
      <w:r>
        <w:rPr>
          <w:rStyle w:val="a9"/>
        </w:rPr>
        <w:footnoteReference w:id="28"/>
      </w:r>
      <w:r>
        <w:t>.</w:t>
      </w:r>
    </w:p>
    <w:p w14:paraId="700E0B42" w14:textId="77777777" w:rsidR="0091309B" w:rsidRDefault="0091309B" w:rsidP="0091309B">
      <w:pPr>
        <w:pStyle w:val="a6"/>
      </w:pPr>
      <w:r>
        <w:t xml:space="preserve">На первом этапе производится анализ кредитоспособности заемщика, второй этап предусматривает предоставление кредита, третий – сбор выплат по процентам и по номиналу кредитного займа, а этап мониторинга характеризуется контролем над состоянием заемщика, стоимостью его активов и долга. Задача работников кредитного отдела банка на этапе мониторинга состоит в прогнозировании возможных потерь по кредитам и установление лимитов на допустимые потери по кредитам. Именно на первой и последней стадиях кредитования, во время первичного кредитования и мониторинга, оказывается чрезвычайно важно обладать знаниями о характеристиках заемщика. На данном этапе на помощь приходит модель пяти параметров кредитоспособности (пять </w:t>
      </w:r>
      <w:r>
        <w:rPr>
          <w:lang w:val="en-US"/>
        </w:rPr>
        <w:t>C</w:t>
      </w:r>
      <w:r>
        <w:t>):</w:t>
      </w:r>
    </w:p>
    <w:p w14:paraId="65D2C967" w14:textId="77777777" w:rsidR="0091309B" w:rsidRDefault="0091309B" w:rsidP="0091309B">
      <w:pPr>
        <w:pStyle w:val="a6"/>
        <w:numPr>
          <w:ilvl w:val="0"/>
          <w:numId w:val="5"/>
        </w:numPr>
      </w:pPr>
      <w:r>
        <w:t>Способность генерировать потоки (</w:t>
      </w:r>
      <w:r>
        <w:rPr>
          <w:lang w:val="en-US"/>
        </w:rPr>
        <w:t>cash</w:t>
      </w:r>
      <w:r w:rsidRPr="004A0B25">
        <w:t xml:space="preserve"> </w:t>
      </w:r>
      <w:r>
        <w:rPr>
          <w:lang w:val="en-US"/>
        </w:rPr>
        <w:t>flow</w:t>
      </w:r>
      <w:r>
        <w:t>);</w:t>
      </w:r>
    </w:p>
    <w:p w14:paraId="628559F2" w14:textId="77777777" w:rsidR="0091309B" w:rsidRPr="00887A8B" w:rsidRDefault="0091309B" w:rsidP="0091309B">
      <w:pPr>
        <w:pStyle w:val="a6"/>
        <w:numPr>
          <w:ilvl w:val="0"/>
          <w:numId w:val="5"/>
        </w:numPr>
      </w:pPr>
      <w:r>
        <w:t>Обеспечение</w:t>
      </w:r>
      <w:r w:rsidRPr="007823B1">
        <w:t xml:space="preserve"> (</w:t>
      </w:r>
      <w:r>
        <w:rPr>
          <w:lang w:val="en-US"/>
        </w:rPr>
        <w:t>collateral</w:t>
      </w:r>
      <w:r w:rsidRPr="007823B1">
        <w:t>);</w:t>
      </w:r>
    </w:p>
    <w:p w14:paraId="30D8777A" w14:textId="77777777" w:rsidR="0091309B" w:rsidRDefault="0091309B" w:rsidP="0091309B">
      <w:pPr>
        <w:pStyle w:val="a6"/>
        <w:numPr>
          <w:ilvl w:val="0"/>
          <w:numId w:val="5"/>
        </w:numPr>
      </w:pPr>
      <w:r>
        <w:t>Капитал (</w:t>
      </w:r>
      <w:r>
        <w:rPr>
          <w:lang w:val="en-US"/>
        </w:rPr>
        <w:t>capital</w:t>
      </w:r>
      <w:r>
        <w:t>);</w:t>
      </w:r>
    </w:p>
    <w:p w14:paraId="7B6C3FA2" w14:textId="77777777" w:rsidR="0091309B" w:rsidRDefault="0091309B" w:rsidP="0091309B">
      <w:pPr>
        <w:pStyle w:val="a6"/>
        <w:numPr>
          <w:ilvl w:val="0"/>
          <w:numId w:val="5"/>
        </w:numPr>
      </w:pPr>
      <w:r>
        <w:t>Условия</w:t>
      </w:r>
      <w:r w:rsidRPr="007823B1">
        <w:t xml:space="preserve"> (</w:t>
      </w:r>
      <w:r>
        <w:rPr>
          <w:lang w:val="en-US"/>
        </w:rPr>
        <w:t>conditions</w:t>
      </w:r>
      <w:r w:rsidRPr="007823B1">
        <w:t>)</w:t>
      </w:r>
      <w:r>
        <w:t>;</w:t>
      </w:r>
    </w:p>
    <w:p w14:paraId="02D23286" w14:textId="77777777" w:rsidR="0091309B" w:rsidRDefault="0091309B" w:rsidP="0091309B">
      <w:pPr>
        <w:pStyle w:val="a6"/>
        <w:numPr>
          <w:ilvl w:val="0"/>
          <w:numId w:val="5"/>
        </w:numPr>
      </w:pPr>
      <w:r>
        <w:t>Характер</w:t>
      </w:r>
      <w:r w:rsidRPr="007823B1">
        <w:t xml:space="preserve"> (</w:t>
      </w:r>
      <w:r>
        <w:rPr>
          <w:lang w:val="en-US"/>
        </w:rPr>
        <w:t>character</w:t>
      </w:r>
      <w:r w:rsidRPr="007823B1">
        <w:t>)</w:t>
      </w:r>
      <w:r>
        <w:t>.</w:t>
      </w:r>
    </w:p>
    <w:p w14:paraId="54E8FE25" w14:textId="33C0723E" w:rsidR="0091309B" w:rsidRDefault="0091309B" w:rsidP="0091309B">
      <w:pPr>
        <w:pStyle w:val="a6"/>
      </w:pPr>
      <w:r>
        <w:t>Иначе говоря,</w:t>
      </w:r>
      <w:r w:rsidRPr="004A0B25">
        <w:t xml:space="preserve"> </w:t>
      </w:r>
      <w:r>
        <w:t>модель пяти параметров кредитоспособности основана</w:t>
      </w:r>
      <w:r w:rsidRPr="004A0B25">
        <w:t xml:space="preserve"> на анали</w:t>
      </w:r>
      <w:r>
        <w:t>тическом заключении банка</w:t>
      </w:r>
      <w:r w:rsidRPr="004A0B25">
        <w:t xml:space="preserve">. </w:t>
      </w:r>
      <w:r>
        <w:t>Банкир должен быть уверен, что, во-первых,</w:t>
      </w:r>
      <w:r w:rsidRPr="004A0B25">
        <w:t xml:space="preserve"> компания </w:t>
      </w:r>
      <w:r w:rsidRPr="004A0B25">
        <w:lastRenderedPageBreak/>
        <w:t xml:space="preserve">генерирует </w:t>
      </w:r>
      <w:r>
        <w:t>адекватное</w:t>
      </w:r>
      <w:r w:rsidRPr="004A0B25">
        <w:t xml:space="preserve"> движение денежных средств, чтобы о</w:t>
      </w:r>
      <w:r>
        <w:t>бслуживать запрошенный долг, во-вторых,</w:t>
      </w:r>
      <w:r w:rsidRPr="004A0B25">
        <w:t xml:space="preserve"> имеется достаточное количество средств для покрытия суммы кредита в качестве вторичного источника погашения</w:t>
      </w:r>
      <w:r>
        <w:t xml:space="preserve"> (обеспечение)</w:t>
      </w:r>
      <w:r w:rsidRPr="004A0B25">
        <w:t>, есл</w:t>
      </w:r>
      <w:r>
        <w:t>и компания потерпит неудачу, в-третьих,</w:t>
      </w:r>
      <w:r w:rsidRPr="004A0B25">
        <w:t xml:space="preserve"> в компании достаточно капитала, чтобы выдержать </w:t>
      </w:r>
      <w:r>
        <w:t>неблагоприятное событие</w:t>
      </w:r>
      <w:r w:rsidRPr="004A0B25">
        <w:t xml:space="preserve"> и обеспечить обяза</w:t>
      </w:r>
      <w:r>
        <w:t>тельство компании, в-четвертых,</w:t>
      </w:r>
      <w:r w:rsidRPr="004A0B25">
        <w:t xml:space="preserve"> </w:t>
      </w:r>
      <w:r>
        <w:t>деятельность компании в</w:t>
      </w:r>
      <w:r w:rsidRPr="004A0B25">
        <w:t xml:space="preserve"> бизнес</w:t>
      </w:r>
      <w:r>
        <w:t xml:space="preserve"> среде (условия)</w:t>
      </w:r>
      <w:r w:rsidRPr="004A0B25">
        <w:t xml:space="preserve"> не представляет каких-либо существенных</w:t>
      </w:r>
      <w:r>
        <w:t xml:space="preserve"> рисков, и в-пятых,</w:t>
      </w:r>
      <w:r w:rsidRPr="004A0B25">
        <w:t xml:space="preserve"> владельцы и</w:t>
      </w:r>
      <w:r>
        <w:t xml:space="preserve"> руководство компании имеют моральную репутацию людей (характер), которым можно доверять и на слова которых можно положиться</w:t>
      </w:r>
      <w:r w:rsidRPr="004A0B25">
        <w:t>.</w:t>
      </w:r>
    </w:p>
    <w:p w14:paraId="096AA584" w14:textId="0591B3C0" w:rsidR="0091309B" w:rsidRDefault="0091309B" w:rsidP="0091309B">
      <w:pPr>
        <w:pStyle w:val="a6"/>
      </w:pPr>
      <w:r>
        <w:t xml:space="preserve">Почему для банка </w:t>
      </w:r>
      <w:r w:rsidR="009172EB">
        <w:t>важно</w:t>
      </w:r>
      <w:r>
        <w:t xml:space="preserve"> оценивать кредитный риск и финансовое состояние заемщика?</w:t>
      </w:r>
    </w:p>
    <w:p w14:paraId="5B5C7BCA" w14:textId="2E4B8DF8" w:rsidR="0091309B" w:rsidRDefault="0091309B" w:rsidP="0091309B">
      <w:pPr>
        <w:pStyle w:val="a6"/>
      </w:pPr>
      <w:r>
        <w:t xml:space="preserve">Чаще всего, основную часть активов банка образуют выданные им кредиты. При осуществлении данной деятельности банк сталкивается с риском невозврата кредита. Здесь и возникает кредитный риск, который измеряется в неуверенности кредитора в том, что заемщик погасит кредит. Умение контролировать </w:t>
      </w:r>
      <w:r w:rsidR="00A22DFB">
        <w:t>функцию кредитования,</w:t>
      </w:r>
      <w:r>
        <w:t xml:space="preserve"> и выдача максимального количества качественных кредитов позволяют банку</w:t>
      </w:r>
      <w:r w:rsidR="00A22DFB">
        <w:t xml:space="preserve"> избежать финансовых трудностей, связанных с </w:t>
      </w:r>
      <w:r>
        <w:t>его основной деятельности.</w:t>
      </w:r>
    </w:p>
    <w:p w14:paraId="0605CF20" w14:textId="77777777" w:rsidR="0091309B" w:rsidRDefault="0091309B" w:rsidP="0091309B">
      <w:pPr>
        <w:pStyle w:val="a6"/>
      </w:pPr>
      <w:r>
        <w:t>Рассмотрим две крайние ситуации. Если бы банк выдавал кредиты всем нуждающимся в финансировании заемщикам, убытки от невозвращенных ссуд были бы огромными. Таким образом, банку необходимо проводить анализ кредитоспособности заемщика и решить, стоит ли одобрять кредит того или иного заявителя. Разумеется, полностью обезопасить себя от невозврата кредитов банку не представляется возможным, однако проведение анализа состояния потенциального заемщика помогает банку избежать совершение ошибки, именуемую в статистике, «ошибка первого рода». Такая ошибка допускается, когда банк выдает кредит компании, которая с большой долей вероятности потерпит дефолт. В то же время, в погоне за первоклассными заемщиками банк рискует допустить «ошибку второго рода», то есть не предоставить кредит той компании, которая с большой долей вероятности его погасит. Если большое количество ошибок второго рода, допускаемые банком, приведет к большим издержкам упущенных возможностей, то большое количество ошибок первого рода выведет банк из конкурентной борьбы в сфере финансовых услуг. В таблице 4 приведена матрица решений банка о кредитовании.</w:t>
      </w:r>
    </w:p>
    <w:p w14:paraId="4AB7DF0E" w14:textId="77777777" w:rsidR="000A4477" w:rsidRDefault="000A4477" w:rsidP="0091309B">
      <w:pPr>
        <w:pStyle w:val="a6"/>
      </w:pPr>
    </w:p>
    <w:p w14:paraId="0AF4EA8A" w14:textId="77777777" w:rsidR="000A4477" w:rsidRDefault="000A4477" w:rsidP="0091309B">
      <w:pPr>
        <w:pStyle w:val="a6"/>
      </w:pPr>
    </w:p>
    <w:p w14:paraId="70D66A6D" w14:textId="77777777" w:rsidR="000A4477" w:rsidRDefault="000A4477" w:rsidP="0091309B">
      <w:pPr>
        <w:pStyle w:val="a6"/>
      </w:pPr>
    </w:p>
    <w:p w14:paraId="6CBDBD93" w14:textId="77777777" w:rsidR="000A4477" w:rsidRDefault="000A4477" w:rsidP="0091309B">
      <w:pPr>
        <w:pStyle w:val="a6"/>
      </w:pPr>
    </w:p>
    <w:p w14:paraId="461E927C" w14:textId="77777777" w:rsidR="000A4477" w:rsidRDefault="000A4477" w:rsidP="0091309B">
      <w:pPr>
        <w:pStyle w:val="a6"/>
      </w:pPr>
    </w:p>
    <w:p w14:paraId="27E7B0D4" w14:textId="77777777" w:rsidR="0091309B" w:rsidRDefault="0091309B" w:rsidP="0091309B">
      <w:pPr>
        <w:pStyle w:val="a0"/>
      </w:pPr>
      <w:r>
        <w:lastRenderedPageBreak/>
        <w:t>Матрица решений о кредитовании</w:t>
      </w:r>
    </w:p>
    <w:tbl>
      <w:tblPr>
        <w:tblStyle w:val="afd"/>
        <w:tblW w:w="0" w:type="auto"/>
        <w:tblLook w:val="04A0" w:firstRow="1" w:lastRow="0" w:firstColumn="1" w:lastColumn="0" w:noHBand="0" w:noVBand="1"/>
      </w:tblPr>
      <w:tblGrid>
        <w:gridCol w:w="3113"/>
        <w:gridCol w:w="3113"/>
        <w:gridCol w:w="3113"/>
      </w:tblGrid>
      <w:tr w:rsidR="0091309B" w14:paraId="3CB6DEA7" w14:textId="77777777" w:rsidTr="00610144">
        <w:tc>
          <w:tcPr>
            <w:tcW w:w="3113" w:type="dxa"/>
          </w:tcPr>
          <w:p w14:paraId="7E778350" w14:textId="77777777" w:rsidR="0091309B" w:rsidRDefault="0091309B" w:rsidP="00610144">
            <w:pPr>
              <w:pStyle w:val="14"/>
            </w:pPr>
            <w:r>
              <w:t>Решение о выдаче кредита</w:t>
            </w:r>
          </w:p>
        </w:tc>
        <w:tc>
          <w:tcPr>
            <w:tcW w:w="3113" w:type="dxa"/>
          </w:tcPr>
          <w:p w14:paraId="49F58D25" w14:textId="77777777" w:rsidR="0091309B" w:rsidRDefault="0091309B" w:rsidP="00610144">
            <w:pPr>
              <w:pStyle w:val="14"/>
            </w:pPr>
            <w:r>
              <w:t>Хороший кредит</w:t>
            </w:r>
          </w:p>
        </w:tc>
        <w:tc>
          <w:tcPr>
            <w:tcW w:w="3113" w:type="dxa"/>
          </w:tcPr>
          <w:p w14:paraId="6C34B2A9" w14:textId="77777777" w:rsidR="0091309B" w:rsidRDefault="0091309B" w:rsidP="00610144">
            <w:pPr>
              <w:pStyle w:val="14"/>
            </w:pPr>
            <w:r>
              <w:t>Плохой кредит</w:t>
            </w:r>
          </w:p>
        </w:tc>
      </w:tr>
      <w:tr w:rsidR="0091309B" w14:paraId="7E7F149D" w14:textId="77777777" w:rsidTr="00610144">
        <w:tc>
          <w:tcPr>
            <w:tcW w:w="3113" w:type="dxa"/>
          </w:tcPr>
          <w:p w14:paraId="4E887DD1" w14:textId="77777777" w:rsidR="0091309B" w:rsidRDefault="0091309B" w:rsidP="00610144">
            <w:pPr>
              <w:pStyle w:val="14"/>
            </w:pPr>
            <w:r>
              <w:t>Да</w:t>
            </w:r>
          </w:p>
        </w:tc>
        <w:tc>
          <w:tcPr>
            <w:tcW w:w="3113" w:type="dxa"/>
          </w:tcPr>
          <w:p w14:paraId="654F89E6" w14:textId="77777777" w:rsidR="0091309B" w:rsidRDefault="0091309B" w:rsidP="00610144">
            <w:pPr>
              <w:pStyle w:val="14"/>
            </w:pPr>
            <w:r>
              <w:t>Погашение кредита</w:t>
            </w:r>
          </w:p>
        </w:tc>
        <w:tc>
          <w:tcPr>
            <w:tcW w:w="3113" w:type="dxa"/>
          </w:tcPr>
          <w:p w14:paraId="376A27A1" w14:textId="77777777" w:rsidR="0091309B" w:rsidRDefault="0091309B" w:rsidP="00610144">
            <w:pPr>
              <w:pStyle w:val="14"/>
            </w:pPr>
            <w:r>
              <w:t>Ошибка первого рода</w:t>
            </w:r>
          </w:p>
        </w:tc>
      </w:tr>
      <w:tr w:rsidR="0091309B" w14:paraId="6AD442D3" w14:textId="77777777" w:rsidTr="00610144">
        <w:tc>
          <w:tcPr>
            <w:tcW w:w="3113" w:type="dxa"/>
          </w:tcPr>
          <w:p w14:paraId="6C46D606" w14:textId="77777777" w:rsidR="0091309B" w:rsidRDefault="0091309B" w:rsidP="00610144">
            <w:pPr>
              <w:pStyle w:val="14"/>
            </w:pPr>
            <w:r>
              <w:t>Нет</w:t>
            </w:r>
          </w:p>
        </w:tc>
        <w:tc>
          <w:tcPr>
            <w:tcW w:w="3113" w:type="dxa"/>
          </w:tcPr>
          <w:p w14:paraId="748DA248" w14:textId="77777777" w:rsidR="0091309B" w:rsidRDefault="0091309B" w:rsidP="00610144">
            <w:pPr>
              <w:pStyle w:val="14"/>
            </w:pPr>
            <w:r>
              <w:t>Ошибка второго рода</w:t>
            </w:r>
          </w:p>
        </w:tc>
        <w:tc>
          <w:tcPr>
            <w:tcW w:w="3113" w:type="dxa"/>
          </w:tcPr>
          <w:p w14:paraId="789798F7" w14:textId="77777777" w:rsidR="0091309B" w:rsidRDefault="0091309B" w:rsidP="00610144">
            <w:pPr>
              <w:pStyle w:val="14"/>
            </w:pPr>
            <w:r>
              <w:t>Отказ в выдаче кредита</w:t>
            </w:r>
          </w:p>
        </w:tc>
      </w:tr>
    </w:tbl>
    <w:p w14:paraId="6C1485AC" w14:textId="370E1ECD" w:rsidR="0091309B" w:rsidRDefault="0091309B" w:rsidP="0091309B">
      <w:pPr>
        <w:pStyle w:val="a6"/>
        <w:ind w:left="360" w:firstLine="0"/>
      </w:pPr>
      <w:r w:rsidRPr="0046585A">
        <w:rPr>
          <w:i/>
        </w:rPr>
        <w:t>Источник:</w:t>
      </w:r>
      <w:r w:rsidRPr="0046585A">
        <w:t xml:space="preserve"> </w:t>
      </w:r>
      <w:r>
        <w:t>таблица</w:t>
      </w:r>
      <w:r w:rsidRPr="0046585A">
        <w:t xml:space="preserve"> составлен</w:t>
      </w:r>
      <w:r>
        <w:t xml:space="preserve">а автором книги </w:t>
      </w:r>
      <w:r w:rsidRPr="00DE11EF">
        <w:t>Синки Дж. Финансовый менеджмент в коммерческом банке и в индустрии финансовых услуг</w:t>
      </w:r>
      <w:r>
        <w:t xml:space="preserve"> </w:t>
      </w:r>
      <w:r w:rsidRPr="00DE11EF">
        <w:t>/</w:t>
      </w:r>
      <w:r>
        <w:t xml:space="preserve"> </w:t>
      </w:r>
      <w:r w:rsidRPr="00DE11EF">
        <w:t xml:space="preserve">Джозеф Синки – мл. Пер. с англ. М.: Альпина </w:t>
      </w:r>
      <w:r>
        <w:t>Паблишер</w:t>
      </w:r>
      <w:r w:rsidRPr="00DE11EF">
        <w:t>, 20</w:t>
      </w:r>
      <w:r>
        <w:t>17 – 472</w:t>
      </w:r>
      <w:r w:rsidRPr="00DE11EF">
        <w:t xml:space="preserve"> с.</w:t>
      </w:r>
      <w:r>
        <w:t xml:space="preserve"> </w:t>
      </w:r>
    </w:p>
    <w:p w14:paraId="6A58FC69" w14:textId="77777777" w:rsidR="0091309B" w:rsidRDefault="0091309B" w:rsidP="0091309B">
      <w:pPr>
        <w:pStyle w:val="a6"/>
      </w:pPr>
    </w:p>
    <w:p w14:paraId="72D83BC2" w14:textId="77777777" w:rsidR="0091309B" w:rsidRDefault="0091309B" w:rsidP="0091309B">
      <w:pPr>
        <w:pStyle w:val="a6"/>
      </w:pPr>
      <w:r>
        <w:t xml:space="preserve">Кредитный анализ представляет собой изучение финансовой отчетности и финансовой истории компании, изъявившей желание получить средства в кредит. Платежеспособность клиента определяется наряду со степенью финансовой устойчивости, вероятностью погашения обязательств по займу перед банком и, как следствие, необходимостью обеспечения или гарантий. По результатам анализа делается заключение о риске дефолта заемщика и прибыльной для банка ставке по кредиту. </w:t>
      </w:r>
    </w:p>
    <w:p w14:paraId="6C7965BA" w14:textId="327FCDC3" w:rsidR="0091309B" w:rsidRDefault="0091309B" w:rsidP="0091309B">
      <w:pPr>
        <w:pStyle w:val="a6"/>
      </w:pPr>
      <w:r>
        <w:t>На первом этапе принимается решение о кредитовании, выдавать кредит или нет. Главной целью данного этапа является поиск соответствия риска кре</w:t>
      </w:r>
      <w:r w:rsidR="00840AD8">
        <w:t>дитного портфеля прибыльности</w:t>
      </w:r>
      <w:r>
        <w:t xml:space="preserve">, получаемой банком. В случае высокой требовательности банка к качеству кредитов их объем будет достаточно маленьким, а также пострадает объем клиентской базы, снизится возможность реализовывать другие финансовые услуги, как следствие, снизится выручка банка. С другой стороны, слишком низкие требования к качеству кредитов приведут к нейтрализации выгод от широкой клиентской базы и многочисленных возможностей продаж финансовых сервисов убытками от невыплаченных или не полностью выплаченных кредитных займов. </w:t>
      </w:r>
    </w:p>
    <w:p w14:paraId="08409246" w14:textId="77777777" w:rsidR="0091309B" w:rsidRDefault="0091309B" w:rsidP="0091309B">
      <w:pPr>
        <w:pStyle w:val="a6"/>
      </w:pPr>
      <w:r>
        <w:t>На втором этапе осуществляется идентификация проблемных кредитов. В ходе анализа информации о финансовом состоянии заемщика кредитный отдел банка определяет займ в группу, соответствующую его кредитному риску. Кредитам, по которым осуществляется подобного рода мониторинг, может быть присвоен статус беспроблемного, проблемного и нуждающегося в дополнительной информации и анализе.</w:t>
      </w:r>
    </w:p>
    <w:p w14:paraId="30384B17" w14:textId="7F1EE36A" w:rsidR="0091309B" w:rsidRDefault="0091309B" w:rsidP="0091309B">
      <w:pPr>
        <w:pStyle w:val="a6"/>
      </w:pPr>
      <w:r>
        <w:t>На третьем этапе проводится работа с проблемными кредитами. Если по результатам предыдущих этапов кредит признан проблемным, осуществляется дополнительная работа с информацией о заемщике, чтобы определить действия по данному займу. В данном случае банк принимает решение, которое способствовало бы</w:t>
      </w:r>
      <w:r w:rsidR="000A4477">
        <w:t xml:space="preserve"> </w:t>
      </w:r>
      <w:r>
        <w:lastRenderedPageBreak/>
        <w:t>максимизации его чистой приведенной стоимости, будь то ликвидация обеспечения или привлечение заемщика к судебным разбирательствам</w:t>
      </w:r>
      <w:r>
        <w:rPr>
          <w:rStyle w:val="a9"/>
        </w:rPr>
        <w:footnoteReference w:id="29"/>
      </w:r>
      <w:r>
        <w:t>.</w:t>
      </w:r>
    </w:p>
    <w:p w14:paraId="7AA58C04" w14:textId="77777777" w:rsidR="0091309B" w:rsidRDefault="0091309B" w:rsidP="0091309B">
      <w:pPr>
        <w:pStyle w:val="a6"/>
      </w:pPr>
      <w:r>
        <w:t>Данная работа призвана выявить, является ли наличие облигаций, выпущенных компанией-заемщиком, сигналом для определения его кредитного риска. В свою очередь, для выявления данной взаимосвязи необходимо выбрать модель, на основе которой будет оцениваться кредитный риск компании, предварительно изучив основные классы моделей оценки кредитного риска и вероятности дефолта.</w:t>
      </w:r>
    </w:p>
    <w:p w14:paraId="10F6A9DA" w14:textId="77777777" w:rsidR="00D24533" w:rsidRDefault="00D24533" w:rsidP="00800E10">
      <w:pPr>
        <w:pStyle w:val="a6"/>
        <w:ind w:firstLine="0"/>
      </w:pPr>
    </w:p>
    <w:p w14:paraId="61DEBF66" w14:textId="32FE5379" w:rsidR="00D24533" w:rsidRPr="00800E10" w:rsidRDefault="00240527" w:rsidP="00800E10">
      <w:pPr>
        <w:pStyle w:val="21"/>
      </w:pPr>
      <w:bookmarkStart w:id="17" w:name="_Toc514593079"/>
      <w:r w:rsidRPr="00800E10">
        <w:t xml:space="preserve">2.2 </w:t>
      </w:r>
      <w:r w:rsidR="00D24533" w:rsidRPr="00800E10">
        <w:t xml:space="preserve">Модели </w:t>
      </w:r>
      <w:r w:rsidR="00800E10">
        <w:t xml:space="preserve">оценки кредитного риска и </w:t>
      </w:r>
      <w:r w:rsidR="00D24533" w:rsidRPr="00800E10">
        <w:t>вероятности дефолта</w:t>
      </w:r>
      <w:bookmarkEnd w:id="17"/>
    </w:p>
    <w:p w14:paraId="39619687" w14:textId="1CB2E8EE" w:rsidR="00D24533" w:rsidRPr="007E3914" w:rsidRDefault="00800E10" w:rsidP="00800E10">
      <w:pPr>
        <w:pStyle w:val="31"/>
      </w:pPr>
      <w:bookmarkStart w:id="18" w:name="_Toc514593080"/>
      <w:r>
        <w:t xml:space="preserve">2.2.1 </w:t>
      </w:r>
      <w:r w:rsidR="00D24533" w:rsidRPr="008120C4">
        <w:t>Модели на основе рыночных показателей</w:t>
      </w:r>
      <w:bookmarkEnd w:id="18"/>
      <w:r w:rsidR="00D24533">
        <w:t xml:space="preserve"> </w:t>
      </w:r>
    </w:p>
    <w:p w14:paraId="0B9B58A3" w14:textId="77777777" w:rsidR="00FA1168" w:rsidRDefault="00FA1168" w:rsidP="00FA1168">
      <w:pPr>
        <w:pStyle w:val="a6"/>
      </w:pPr>
      <w:r>
        <w:t xml:space="preserve">Значительное количество моделей оценки риска дефолта относятся к моделям, использующим рыночные показатели. Информация о рыночных показателях известна и доступна всем игрокам рынка, что является важнейшим преимуществом данного класса моделей при оценке кредитного риска. Однако показательной такая информация может считаться только при условии эффективности рынка, что практически не выполнимо. А на некоторых фондовых рынках, таких как российский, и вовсе доступна далеко не вся нужная для оценки с помощью данных моделей информация. Здесь существуют два подкласса: структурные модели и модели сокращенных форм. Рассмотрим каждый из них подробнее. </w:t>
      </w:r>
    </w:p>
    <w:p w14:paraId="61A41B3D" w14:textId="3DE4B28F" w:rsidR="00FA1168" w:rsidRPr="00CD4B0F" w:rsidRDefault="00FA1168" w:rsidP="00FA1168">
      <w:pPr>
        <w:pStyle w:val="a6"/>
      </w:pPr>
      <w:r w:rsidRPr="00B146A6">
        <w:rPr>
          <w:b/>
        </w:rPr>
        <w:t>Структурные модели</w:t>
      </w:r>
      <w:r>
        <w:t xml:space="preserve"> рассматривают стоимость всех акций компании в качестве </w:t>
      </w:r>
      <w:r>
        <w:rPr>
          <w:lang w:val="en-US"/>
        </w:rPr>
        <w:t>call</w:t>
      </w:r>
      <w:r w:rsidRPr="005D6776">
        <w:t>-</w:t>
      </w:r>
      <w:r>
        <w:t>опциона на активы компании, где обязательства компании приравниваются к цене</w:t>
      </w:r>
      <w:r w:rsidRPr="005D6776">
        <w:t xml:space="preserve"> </w:t>
      </w:r>
      <w:r>
        <w:t>страйк. Основу данной модели заложили Ф. Блэк и М. Шоулз, предложившие модель ценообразования опционов. Р. Мертон же продолжил идею, положенную Блэком и Шоулзом, и принял кредиторскую задолженность за требование, которое может быть обращено на ее стоимость. Далее он использовал формулу Блэка-Шоулза для вычисления риска дефолта компании</w:t>
      </w:r>
      <w:r>
        <w:rPr>
          <w:rStyle w:val="a9"/>
        </w:rPr>
        <w:footnoteReference w:id="30"/>
      </w:r>
      <w:r>
        <w:t xml:space="preserve">. Другими словами, модель расценивает кредит как покупку активов компании у держателей ее акций, одновременно с этим происходит передача им </w:t>
      </w:r>
      <w:r>
        <w:rPr>
          <w:lang w:val="en-US"/>
        </w:rPr>
        <w:t>call</w:t>
      </w:r>
      <w:r w:rsidRPr="005D6776">
        <w:t>-</w:t>
      </w:r>
      <w:r>
        <w:t>опциона на данные активы, где страйк ценой будет стоимость займа, а срок погашения будет равен сроку выдачи кредита</w:t>
      </w:r>
      <w:r>
        <w:rPr>
          <w:rStyle w:val="a9"/>
        </w:rPr>
        <w:footnoteReference w:id="31"/>
      </w:r>
      <w:r>
        <w:t xml:space="preserve">. Таким образом, если стоимость активов в момент времени </w:t>
      </w:r>
      <w:r>
        <w:rPr>
          <w:lang w:val="en-US"/>
        </w:rPr>
        <w:t>t</w:t>
      </w:r>
      <w:r w:rsidRPr="007E3914">
        <w:t xml:space="preserve"> </w:t>
      </w:r>
      <w:r>
        <w:t xml:space="preserve">обозначить как </w:t>
      </w:r>
      <w:r>
        <w:rPr>
          <w:lang w:val="en-US"/>
        </w:rPr>
        <w:t>V</w:t>
      </w:r>
      <w:r w:rsidR="00373879">
        <w:rPr>
          <w:vertAlign w:val="subscript"/>
          <w:lang w:val="en-US"/>
        </w:rPr>
        <w:t>T</w:t>
      </w:r>
      <w:r w:rsidRPr="007E3914">
        <w:t xml:space="preserve">, </w:t>
      </w:r>
      <w:r>
        <w:t>а номинальную сумму долга</w:t>
      </w:r>
      <w:r w:rsidRPr="0086447C">
        <w:t xml:space="preserve">, </w:t>
      </w:r>
      <w:r>
        <w:t xml:space="preserve">требуемую кредиторами в момент времени </w:t>
      </w:r>
      <w:r>
        <w:rPr>
          <w:lang w:val="en-US"/>
        </w:rPr>
        <w:t>T</w:t>
      </w:r>
      <w:r w:rsidRPr="0086447C">
        <w:t>,</w:t>
      </w:r>
      <w:r>
        <w:t xml:space="preserve"> обозначить </w:t>
      </w:r>
      <w:r>
        <w:rPr>
          <w:lang w:val="en-US"/>
        </w:rPr>
        <w:t>D</w:t>
      </w:r>
      <w:r w:rsidRPr="007E3914">
        <w:t xml:space="preserve">, </w:t>
      </w:r>
      <w:r>
        <w:t xml:space="preserve">то получаемая кредиторами сумма может </w:t>
      </w:r>
      <w:r>
        <w:lastRenderedPageBreak/>
        <w:t xml:space="preserve">быть описана следующим образом. Если сумма долга полностью покрывается активами компании, </w:t>
      </w:r>
      <w:r w:rsidRPr="0086447C">
        <w:t>т.е. V</w:t>
      </w:r>
      <w:r w:rsidRPr="0086447C">
        <w:rPr>
          <w:vertAlign w:val="subscript"/>
        </w:rPr>
        <w:t>T</w:t>
      </w:r>
      <w:r w:rsidRPr="0086447C">
        <w:t xml:space="preserve"> ≥ D</w:t>
      </w:r>
      <w:r>
        <w:t xml:space="preserve">, то кредиторы получат выгоду, </w:t>
      </w:r>
      <w:r w:rsidRPr="0086447C">
        <w:t>равную V</w:t>
      </w:r>
      <w:r w:rsidRPr="0086447C">
        <w:rPr>
          <w:vertAlign w:val="subscript"/>
        </w:rPr>
        <w:t xml:space="preserve">T </w:t>
      </w:r>
      <w:r w:rsidRPr="0086447C">
        <w:t>– D.</w:t>
      </w:r>
      <w:r>
        <w:t xml:space="preserve"> Однако если сумма долга не обеспечена активами компании, то кредиторы получают нулевую ценность. Большим недостатком данной модели является предположение, что компания имеет единственный долг, и вся сумма выплачивается единовременно, то есть не берутся в расчет промежуточные процентные выплаты. </w:t>
      </w:r>
    </w:p>
    <w:p w14:paraId="6FB5CB93" w14:textId="77777777" w:rsidR="00FA1168" w:rsidRDefault="00FA1168" w:rsidP="00FA1168">
      <w:pPr>
        <w:pStyle w:val="a6"/>
      </w:pPr>
      <w:r>
        <w:t xml:space="preserve">Еще одним распространенным видом рыночных моделей оценки вероятности дефолта являются </w:t>
      </w:r>
      <w:r>
        <w:rPr>
          <w:b/>
        </w:rPr>
        <w:t>модели сокращенных</w:t>
      </w:r>
      <w:r w:rsidRPr="00B146A6">
        <w:rPr>
          <w:b/>
        </w:rPr>
        <w:t xml:space="preserve"> форм</w:t>
      </w:r>
      <w:r>
        <w:t xml:space="preserve">. Они заключаются в том, что </w:t>
      </w:r>
      <w:r w:rsidRPr="00CA4490">
        <w:t>вероятность дефолта – величина непрерывная и ее значение привязано к изменению рыночной стоимости компании</w:t>
      </w:r>
      <w:r>
        <w:t xml:space="preserve">. Их применение требует наличие информации о текущей стоимости долга заемщика и спрэдах доходности по этим обязательствам по сравнению с безрисковой ставкой. Важно отметить, что данная модель не выявит конкретных факторов, повлиявших на банкротство компании. Модели сокращенной формы, основанные на исследованиях Мертона, были детально </w:t>
      </w:r>
      <w:r w:rsidRPr="00580AB0">
        <w:t>проработаны Робертом Джерроу и Стюартом Тернбуллом</w:t>
      </w:r>
      <w:r>
        <w:t>, где они предложили способ ценообразования и хеджирования деривативов, которым характерно наличие кредитного риска, при условии, что функция дефолта непрерывна и случайна</w:t>
      </w:r>
      <w:r>
        <w:rPr>
          <w:rStyle w:val="a9"/>
        </w:rPr>
        <w:footnoteReference w:id="32"/>
      </w:r>
      <w:r>
        <w:t>.</w:t>
      </w:r>
    </w:p>
    <w:p w14:paraId="2C4FAD21" w14:textId="77777777" w:rsidR="00FA1168" w:rsidRPr="00CA4490" w:rsidRDefault="00FA1168" w:rsidP="00FA1168">
      <w:pPr>
        <w:pStyle w:val="a6"/>
      </w:pPr>
      <w:r w:rsidRPr="00CA4490">
        <w:t>Несмотря на все недостатки рыночных моделей, связанных с недостатком информации и ограничени</w:t>
      </w:r>
      <w:r>
        <w:t>ями</w:t>
      </w:r>
      <w:r w:rsidRPr="00CA4490">
        <w:t xml:space="preserve"> применения данных инструментов оценивания риска дефолта, структурные модели дали толчок в развитии известного программного сервиса CreditMonitor корпорации KMV, которым пользуется одно из ведущих рейтинговых агентств в мире Moody’s. Данная модель предусматривает 4 шага оценки кредитного </w:t>
      </w:r>
      <w:r>
        <w:t>риска</w:t>
      </w:r>
      <w:r w:rsidRPr="00CA4490">
        <w:t xml:space="preserve"> фирмы, разместившей свои акции на рынке.</w:t>
      </w:r>
    </w:p>
    <w:p w14:paraId="07B1A608" w14:textId="77777777" w:rsidR="00FA1168" w:rsidRPr="00CA4490" w:rsidRDefault="00FA1168" w:rsidP="00FA1168">
      <w:pPr>
        <w:pStyle w:val="a6"/>
      </w:pPr>
      <w:r w:rsidRPr="00CA4490">
        <w:t xml:space="preserve">Первым шагом является </w:t>
      </w:r>
      <w:r>
        <w:t>расчет</w:t>
      </w:r>
      <w:r w:rsidRPr="00CA4490">
        <w:t xml:space="preserve"> критической точки дефолта, как правило, это сумма краткосрочных и половины долгосрочных обязательств фирмы. </w:t>
      </w:r>
      <w:r>
        <w:t>Затем</w:t>
      </w:r>
      <w:r w:rsidRPr="00CA4490">
        <w:t xml:space="preserve"> принимается утверждение</w:t>
      </w:r>
      <w:r>
        <w:t xml:space="preserve">, </w:t>
      </w:r>
      <w:r w:rsidRPr="00CA4490">
        <w:t>что наступление дефолта имеет место тогда, когда рыночная цена активов становится ниже установленной критической точки.</w:t>
      </w:r>
    </w:p>
    <w:p w14:paraId="453B289E" w14:textId="77777777" w:rsidR="00FA1168" w:rsidRPr="00CA4490" w:rsidRDefault="00FA1168" w:rsidP="00FA1168">
      <w:pPr>
        <w:pStyle w:val="a6"/>
      </w:pPr>
      <w:r w:rsidRPr="00CA4490">
        <w:t>Вторым шагом определяется стоимость и волатильност</w:t>
      </w:r>
      <w:r>
        <w:t xml:space="preserve">ь </w:t>
      </w:r>
      <w:r w:rsidRPr="00CA4490">
        <w:t>капитала, а потом и активов</w:t>
      </w:r>
      <w:r>
        <w:t xml:space="preserve"> компании</w:t>
      </w:r>
      <w:r w:rsidRPr="00CA4490">
        <w:t xml:space="preserve">. </w:t>
      </w:r>
    </w:p>
    <w:p w14:paraId="09921995" w14:textId="77777777" w:rsidR="00FA1168" w:rsidRPr="00CA4490" w:rsidRDefault="00FA1168" w:rsidP="00FA1168">
      <w:pPr>
        <w:pStyle w:val="a6"/>
      </w:pPr>
      <w:r w:rsidRPr="00CA4490">
        <w:t>Затем, третьим этапом высчитывается, так называемое, расстояние до дефолта, что равняется количеству стандартных отклонений до точки дефолта. Так, определяется предельное падение стоимости активов до момента объявления компании банкротом.</w:t>
      </w:r>
    </w:p>
    <w:p w14:paraId="44EC16FC" w14:textId="77777777" w:rsidR="00FA1168" w:rsidRPr="00CA4490" w:rsidRDefault="00FA1168" w:rsidP="00FA1168">
      <w:pPr>
        <w:pStyle w:val="a6"/>
      </w:pPr>
      <w:r w:rsidRPr="00CA4490">
        <w:lastRenderedPageBreak/>
        <w:t>Четвертый шаг – это определение ожидаемой частоты дефолта на базе данных системы CreditMonitor. Эта частота показывает долю фирм, имеющих одинаковое расстояние до дефолта и объявивших дефолт в рассматриваемый период.</w:t>
      </w:r>
      <w:r>
        <w:t xml:space="preserve"> За счет этого прогнозируется дефолт и для других компаний.</w:t>
      </w:r>
      <w:r w:rsidRPr="00CA4490">
        <w:t xml:space="preserve"> </w:t>
      </w:r>
    </w:p>
    <w:p w14:paraId="303AA1AE" w14:textId="77777777" w:rsidR="00FA1168" w:rsidRDefault="00FA1168" w:rsidP="00FA1168">
      <w:pPr>
        <w:pStyle w:val="a6"/>
      </w:pPr>
      <w:r w:rsidRPr="00CA4490">
        <w:t>Чем хорош такой подход, так это его предсказательной силой, ведь он позволяет предвидеть изменение рейтинга за 6-18 месяцев, при этом вероятность дефолта – величина непрерывная и ее значение привязано к изменению рыночной стоимости комп</w:t>
      </w:r>
      <w:r>
        <w:t>ании</w:t>
      </w:r>
      <w:r w:rsidRPr="00365848">
        <w:rPr>
          <w:rStyle w:val="a9"/>
        </w:rPr>
        <w:footnoteReference w:id="33"/>
      </w:r>
      <w:r>
        <w:t>.</w:t>
      </w:r>
    </w:p>
    <w:p w14:paraId="4447DE7B" w14:textId="77777777" w:rsidR="000A4477" w:rsidRPr="00CA4490" w:rsidRDefault="000A4477" w:rsidP="00FA1168">
      <w:pPr>
        <w:pStyle w:val="a6"/>
      </w:pPr>
    </w:p>
    <w:p w14:paraId="201C4578" w14:textId="5D87F7E6" w:rsidR="00D24533" w:rsidRPr="00B146A6" w:rsidRDefault="00800E10" w:rsidP="00B146A6">
      <w:pPr>
        <w:pStyle w:val="31"/>
      </w:pPr>
      <w:bookmarkStart w:id="19" w:name="_Toc514593081"/>
      <w:r>
        <w:t xml:space="preserve">2.2.2 </w:t>
      </w:r>
      <w:r w:rsidR="00D24533" w:rsidRPr="00E64067">
        <w:t>Модели на основе фундаментальных показателей</w:t>
      </w:r>
      <w:bookmarkEnd w:id="19"/>
      <w:r w:rsidR="00D24533" w:rsidRPr="00E64067">
        <w:t xml:space="preserve"> </w:t>
      </w:r>
    </w:p>
    <w:p w14:paraId="787DD54D" w14:textId="77777777" w:rsidR="00FA1168" w:rsidRDefault="00FA1168" w:rsidP="00FA1168">
      <w:pPr>
        <w:pStyle w:val="a6"/>
      </w:pPr>
      <w:r>
        <w:t xml:space="preserve">Для начала рассмотрим </w:t>
      </w:r>
      <w:r w:rsidRPr="00B146A6">
        <w:rPr>
          <w:b/>
        </w:rPr>
        <w:t>модели на основе макроэкономических показателей</w:t>
      </w:r>
      <w:r>
        <w:t xml:space="preserve">. Их существование обусловлено предположением, что вероятность наступления дефолта заемщиков банка имеет циклический характер и имеет тенденцию к возрастанию во время экономического спада. В большинстве случаев этот класс моделей использует регрессионный анализ, включающий макроэкономические показатели, например, такие как ВВП, курс национальной валюты, уровень безработицы и инфляции и другие. Здесь существует возможность получить две оценки вероятности дефолта: долгосрочную и краткосрочную. Первая из упомянутых оценка </w:t>
      </w:r>
      <w:r w:rsidRPr="00EA2D2B">
        <w:t>называется Through The Cycle estimation (TTC)</w:t>
      </w:r>
      <w:r>
        <w:t xml:space="preserve"> и показывает уровень риска банкротства на протяжении целого экономического цикла. Вторая же оценка </w:t>
      </w:r>
      <w:r w:rsidRPr="000F7160">
        <w:t>называется Point In Time estimation (PIT)</w:t>
      </w:r>
      <w:r>
        <w:t xml:space="preserve"> и отражает вероятность дефолта, изменяющуюся вслед за изменением состояния экономики</w:t>
      </w:r>
      <w:r>
        <w:rPr>
          <w:rStyle w:val="a9"/>
        </w:rPr>
        <w:footnoteReference w:id="34"/>
      </w:r>
      <w:r>
        <w:t xml:space="preserve">. Внутри данного класса моделей можно выделить модели, в основе которых лежат внешние и внутренние факторы. </w:t>
      </w:r>
    </w:p>
    <w:p w14:paraId="0E6CEA6E" w14:textId="64A4A621" w:rsidR="00FA1168" w:rsidRDefault="00FA1168" w:rsidP="00FA1168">
      <w:pPr>
        <w:pStyle w:val="a6"/>
      </w:pPr>
      <w:r w:rsidRPr="00E90C2E">
        <w:t>Идея макроэкономических моделей на основе внешних факторов состоит в том, что</w:t>
      </w:r>
      <w:r w:rsidR="00757DEB">
        <w:t xml:space="preserve"> макроэкономические показатели</w:t>
      </w:r>
      <w:r w:rsidRPr="00E90C2E">
        <w:t xml:space="preserve"> </w:t>
      </w:r>
      <w:r>
        <w:t xml:space="preserve">являются заданными вне модели. </w:t>
      </w:r>
      <w:r w:rsidRPr="00E90C2E">
        <w:t>Распространенным представителем данного класса моделей является модель Уилсона</w:t>
      </w:r>
      <w:r>
        <w:rPr>
          <w:rStyle w:val="a9"/>
        </w:rPr>
        <w:footnoteReference w:id="35"/>
      </w:r>
      <w:r w:rsidRPr="00E90C2E">
        <w:t xml:space="preserve">, продолжением которой стала программа </w:t>
      </w:r>
      <w:r w:rsidRPr="00BC1DC9">
        <w:t>CreditPortfolio View</w:t>
      </w:r>
      <w:r w:rsidRPr="00E90C2E">
        <w:t xml:space="preserve">, разработанная консалтинговой компанией </w:t>
      </w:r>
      <w:r w:rsidRPr="00BC1DC9">
        <w:t>McKinsey &amp; Co</w:t>
      </w:r>
      <w:r>
        <w:t xml:space="preserve"> для оценки кредитного риска</w:t>
      </w:r>
      <w:r w:rsidRPr="00E90C2E">
        <w:t>.</w:t>
      </w:r>
    </w:p>
    <w:p w14:paraId="036A3064" w14:textId="77777777" w:rsidR="00FA1168" w:rsidRDefault="00FA1168" w:rsidP="00FA1168">
      <w:pPr>
        <w:pStyle w:val="a6"/>
      </w:pPr>
      <w:r>
        <w:t xml:space="preserve">Традиционно, заемщиков делят по признаку принадлежности к определенной отрасли, в которой они ведут свою деятельность. Величина каждого фактора: ВВП, курса, инфляции, безработицы и т.д., определяется с помощью авторегрессии. Риски по каждой индустрии затем объединяются и при помощи метода Монте Карло генерируются убытки </w:t>
      </w:r>
      <w:r>
        <w:lastRenderedPageBreak/>
        <w:t xml:space="preserve">от дефолта по всем сегментам, максимальные потери по методологии </w:t>
      </w:r>
      <w:r>
        <w:rPr>
          <w:lang w:val="en-US"/>
        </w:rPr>
        <w:t>VaR</w:t>
      </w:r>
      <w:r w:rsidRPr="008D2876">
        <w:t xml:space="preserve"> (</w:t>
      </w:r>
      <w:r>
        <w:rPr>
          <w:lang w:val="en-US"/>
        </w:rPr>
        <w:t>Value</w:t>
      </w:r>
      <w:r w:rsidRPr="008D2876">
        <w:t xml:space="preserve"> </w:t>
      </w:r>
      <w:r>
        <w:rPr>
          <w:lang w:val="en-US"/>
        </w:rPr>
        <w:t>at</w:t>
      </w:r>
      <w:r w:rsidRPr="008D2876">
        <w:t xml:space="preserve"> </w:t>
      </w:r>
      <w:r>
        <w:rPr>
          <w:lang w:val="en-US"/>
        </w:rPr>
        <w:t>Risk</w:t>
      </w:r>
      <w:r w:rsidRPr="008D2876">
        <w:t>)</w:t>
      </w:r>
      <w:r w:rsidRPr="00407D82">
        <w:t xml:space="preserve">. </w:t>
      </w:r>
      <w:r>
        <w:t xml:space="preserve">Таким образом, данная модель незаменима при оценке риска дефолта по портфелю инструментов, которые в большей степени чувствительны к изменениям в экономике и экономическим циклам. Тем не менее, у данной модели существует значительный минус: она не предусматривает определение риска дефолта по отдельно взятой компании, поскольку анализ проводится на отраслевом уровне. </w:t>
      </w:r>
    </w:p>
    <w:p w14:paraId="1BCF292C" w14:textId="581A84C2" w:rsidR="00FA1168" w:rsidRPr="00DC5783" w:rsidRDefault="00FA1168" w:rsidP="00FA1168">
      <w:pPr>
        <w:pStyle w:val="a6"/>
      </w:pPr>
      <w:r>
        <w:t xml:space="preserve">Основное предположение макроэкономических моделей на основе внутренних факторов состоит в обратной связи между вероятностью дефолта заемщика и макроэкономическими показателями. К примеру, произошло снижение дохода компании, что привело к сокращению ее инвестиционных возможностей, а это, в свою очередь, отрицательно повлияло на показатель ВВП. Среди распространенных моделей данного класса </w:t>
      </w:r>
      <w:r w:rsidRPr="00776DCC">
        <w:t>модели Хоггарта, Соренсена и Зикчино (2005), Алвеса (2005), Тройтлера и Вайнера (2006)</w:t>
      </w:r>
      <w:r>
        <w:t>, которые основаны на построении векторной авторегрессии, включающей эндогенные переменные вероятности дефолта и состояния экономики</w:t>
      </w:r>
      <w:r>
        <w:rPr>
          <w:rStyle w:val="a9"/>
        </w:rPr>
        <w:footnoteReference w:id="36"/>
      </w:r>
      <w:r>
        <w:t xml:space="preserve">. Данные модели проявили себя на практике в системе стресс-тестирования риска наступления дефолта компаний банковского сектора под названием </w:t>
      </w:r>
      <w:r w:rsidRPr="00DC5783">
        <w:t>Financial Sector Assessment Programme, FSAP</w:t>
      </w:r>
      <w:r>
        <w:t>, разработанной Мировым банком и Международн</w:t>
      </w:r>
      <w:r w:rsidR="00ED34A5">
        <w:t>ым валютным фондом. В результате</w:t>
      </w:r>
      <w:r>
        <w:t xml:space="preserve"> был одобрен документ по оценке стабильности финансового сектора </w:t>
      </w:r>
      <w:r w:rsidRPr="00DC5783">
        <w:t>Financial Sector Stability Assessment, FSSA</w:t>
      </w:r>
      <w:r>
        <w:t xml:space="preserve"> и утверждены на модельном уровне основные показатели финансовой устойчивости кредитных </w:t>
      </w:r>
      <w:r w:rsidRPr="00DC5783">
        <w:t xml:space="preserve">организаций </w:t>
      </w:r>
      <w:r>
        <w:t xml:space="preserve">и системных рисков банковского сектора в целом, которые называются </w:t>
      </w:r>
      <w:r w:rsidRPr="00DC5783">
        <w:t>Financial Soundness Indicators, FSI</w:t>
      </w:r>
      <w:r>
        <w:t>.</w:t>
      </w:r>
    </w:p>
    <w:p w14:paraId="756B4357" w14:textId="77777777" w:rsidR="00FA1168" w:rsidRDefault="00FA1168" w:rsidP="00FA1168">
      <w:pPr>
        <w:pStyle w:val="a6"/>
      </w:pPr>
      <w:r>
        <w:t xml:space="preserve">Макроэкономические модели обладают следующими весомыми преимуществами. Во-первых, данные модели позволяют учитывать циклический характер вероятности дефолта заемщика и сделать это в долгосрочной перспективе. Во-вторых, они применимы для тестирования других моделей оценки риска дефолта на значимость. В-третьих, для оценки вероятности дефолта с помощью макроэкономических моделей используется доступная информация по показателям, что позволяет производить оценку риска банкротства компаний в разных географических локациях. </w:t>
      </w:r>
    </w:p>
    <w:p w14:paraId="2F034FF3" w14:textId="713DB6F3" w:rsidR="00FA1168" w:rsidRPr="006C187D" w:rsidRDefault="00FA1168" w:rsidP="00FA1168">
      <w:pPr>
        <w:pStyle w:val="a6"/>
      </w:pPr>
      <w:r>
        <w:t xml:space="preserve">В то же время, большим недостатком макроэкономических моделей является то, что их применение предполагает использование показателей, относящихся к одному бизнес-циклу, точное определение которого весьма </w:t>
      </w:r>
      <w:r w:rsidR="00743ADB">
        <w:t>затруднительно</w:t>
      </w:r>
      <w:r>
        <w:t xml:space="preserve">. К тому же, как уже было упомянуто, данные модели не позволяют оценить риск дефолта конкретного заемщика. </w:t>
      </w:r>
    </w:p>
    <w:p w14:paraId="2D1EF41F" w14:textId="65590E57" w:rsidR="00FA1168" w:rsidRDefault="00FA1168" w:rsidP="00FA1168">
      <w:pPr>
        <w:pStyle w:val="a6"/>
      </w:pPr>
      <w:r>
        <w:rPr>
          <w:b/>
        </w:rPr>
        <w:lastRenderedPageBreak/>
        <w:t>Модели,</w:t>
      </w:r>
      <w:r w:rsidRPr="00B146A6">
        <w:rPr>
          <w:b/>
        </w:rPr>
        <w:t xml:space="preserve"> </w:t>
      </w:r>
      <w:r>
        <w:rPr>
          <w:b/>
        </w:rPr>
        <w:t xml:space="preserve">используемые </w:t>
      </w:r>
      <w:r w:rsidRPr="00B146A6">
        <w:rPr>
          <w:b/>
        </w:rPr>
        <w:t>рейтинговы</w:t>
      </w:r>
      <w:r>
        <w:rPr>
          <w:b/>
        </w:rPr>
        <w:t>ми</w:t>
      </w:r>
      <w:r w:rsidRPr="00B146A6">
        <w:rPr>
          <w:b/>
        </w:rPr>
        <w:t xml:space="preserve"> агентств</w:t>
      </w:r>
      <w:r>
        <w:rPr>
          <w:b/>
        </w:rPr>
        <w:t>ами,</w:t>
      </w:r>
      <w:r>
        <w:t xml:space="preserve"> получили широкое распространение на практике. Основоположником данного класса моделей можно считать Тамари, который присваивал баллы от 0 до 100 в зависимости от показателей, входящих в модель, а также весовые коэффициенты в зависимости от важности показателя. Количество баллов, набранное компанией, </w:t>
      </w:r>
      <w:r w:rsidR="00743ADB">
        <w:t>находится в прямой зависимости от</w:t>
      </w:r>
      <w:r>
        <w:t xml:space="preserve"> ее </w:t>
      </w:r>
      <w:r w:rsidR="00743ADB">
        <w:t>финансового</w:t>
      </w:r>
      <w:r>
        <w:t xml:space="preserve"> состояни</w:t>
      </w:r>
      <w:r w:rsidR="00743ADB">
        <w:t>я</w:t>
      </w:r>
      <w:r>
        <w:rPr>
          <w:rStyle w:val="a9"/>
        </w:rPr>
        <w:footnoteReference w:id="37"/>
      </w:r>
      <w:r>
        <w:t xml:space="preserve">. В дальнейшем модель была усовершенствована включением в нее нормативных показателей. </w:t>
      </w:r>
    </w:p>
    <w:p w14:paraId="178810BF" w14:textId="77777777" w:rsidR="00FA1168" w:rsidRDefault="00FA1168" w:rsidP="00FA1168">
      <w:pPr>
        <w:pStyle w:val="a6"/>
      </w:pPr>
      <w:r>
        <w:t>В основе данной модели используются два подхода. Первый подход основывается на межгрупповых переходах, то есть переходах из одной группы риска в другую. В его рамках строятся матрицы перехода, которые отражают частоту, с которой выбранные фирмы переходят из одного рейтинга в другой. Вероятность дефолта здесь может рассчитываться с помощью модели, а также на основе анализа исторических данных. Эта величина вычисляется как отношение количества компаний, перешедших в группу дефолтных, к общему числу наблюдений на начало рассматриваемого периода. Результаты анализа межгрупповых переходов публикуются крупнейшими рейтинговыми агентствами мира.</w:t>
      </w:r>
    </w:p>
    <w:p w14:paraId="59F72DCD" w14:textId="299E4774" w:rsidR="00FA1168" w:rsidRDefault="00FA1168" w:rsidP="00FA1168">
      <w:pPr>
        <w:pStyle w:val="a6"/>
      </w:pPr>
      <w:r>
        <w:t>В основе кредитных рейтингов международных рейтинговых агентств лежат оценки вероятности дефолта, ожидаемых потерь и следующие качественные показатели. Большое значение имеет операционная среда компании, то есть внешняя экономическая среда и ситуация на рынке (конкуренция, концентрация, регулятивная база, государственная поддержка). Особое внимание уделяется менеджменту в компании, его качеству и профессионализму, уровню развития корпоративного управления, стратегии и управлению рисками. Среди количественных финансовых показателей, влияющих на присвоение того или иного рейтинга, выделяют достаточность капитала, ликвидность, рентабельность и оборачиваемость активов. Наличие существенной корреляции между рейт</w:t>
      </w:r>
      <w:r w:rsidR="00F21136">
        <w:t>ингом организации и степенью ее</w:t>
      </w:r>
      <w:r>
        <w:t xml:space="preserve"> кредитоспособности отражено в работах </w:t>
      </w:r>
      <w:r w:rsidRPr="00F632DF">
        <w:t>[</w:t>
      </w:r>
      <w:r>
        <w:rPr>
          <w:lang w:val="en-US"/>
        </w:rPr>
        <w:t>Brand</w:t>
      </w:r>
      <w:r w:rsidRPr="00F632DF">
        <w:t xml:space="preserve"> </w:t>
      </w:r>
      <w:r>
        <w:rPr>
          <w:lang w:val="en-US"/>
        </w:rPr>
        <w:t>and</w:t>
      </w:r>
      <w:r w:rsidRPr="00F632DF">
        <w:t xml:space="preserve"> </w:t>
      </w:r>
      <w:r>
        <w:rPr>
          <w:lang w:val="en-US"/>
        </w:rPr>
        <w:t>Reza</w:t>
      </w:r>
      <w:r w:rsidRPr="00F632DF">
        <w:t>, 1999]</w:t>
      </w:r>
      <w:r>
        <w:t xml:space="preserve"> и </w:t>
      </w:r>
      <w:r w:rsidRPr="00F632DF">
        <w:t>[</w:t>
      </w:r>
      <w:r>
        <w:t>Keenan, 1999</w:t>
      </w:r>
      <w:r w:rsidRPr="00F632DF">
        <w:t>]</w:t>
      </w:r>
      <w:r>
        <w:t>. Таким образом, было принято решение использовать оценки рейтинговых агентств в качестве оценочного зависимого параметра для дальнейшего статистического исследования, описание которого приведено в третьей главе данной работы.</w:t>
      </w:r>
    </w:p>
    <w:p w14:paraId="7AA4F712" w14:textId="6AC55501" w:rsidR="00FA1168" w:rsidRDefault="00FA1168" w:rsidP="00FA1168">
      <w:pPr>
        <w:pStyle w:val="a6"/>
      </w:pPr>
      <w:r>
        <w:t>В Таблице 5 приведены относительные вероятности дефолта компаний в соответствии с присвоенными им оценками рейтинговых агентств.</w:t>
      </w:r>
    </w:p>
    <w:p w14:paraId="2809B2AE" w14:textId="77777777" w:rsidR="00FA1168" w:rsidRDefault="00FA1168" w:rsidP="000A4477">
      <w:pPr>
        <w:pStyle w:val="a6"/>
        <w:ind w:firstLine="0"/>
      </w:pPr>
    </w:p>
    <w:p w14:paraId="17187ACE" w14:textId="77777777" w:rsidR="00FA1168" w:rsidRDefault="00FA1168" w:rsidP="00FA1168">
      <w:pPr>
        <w:pStyle w:val="a0"/>
      </w:pPr>
      <w:r>
        <w:lastRenderedPageBreak/>
        <w:t>Шкала оценок рейтинговых агентств</w:t>
      </w:r>
    </w:p>
    <w:p w14:paraId="212BF027" w14:textId="77777777" w:rsidR="00FA1168" w:rsidRDefault="00FA1168" w:rsidP="00FA1168">
      <w:pPr>
        <w:pStyle w:val="a6"/>
        <w:ind w:firstLine="0"/>
      </w:pPr>
    </w:p>
    <w:tbl>
      <w:tblPr>
        <w:tblStyle w:val="afd"/>
        <w:tblpPr w:leftFromText="180" w:rightFromText="180" w:vertAnchor="text" w:horzAnchor="page" w:tblpX="1810" w:tblpY="-348"/>
        <w:tblW w:w="9571" w:type="dxa"/>
        <w:tblLook w:val="04A0" w:firstRow="1" w:lastRow="0" w:firstColumn="1" w:lastColumn="0" w:noHBand="0" w:noVBand="1"/>
      </w:tblPr>
      <w:tblGrid>
        <w:gridCol w:w="2414"/>
        <w:gridCol w:w="2477"/>
        <w:gridCol w:w="2301"/>
        <w:gridCol w:w="2379"/>
      </w:tblGrid>
      <w:tr w:rsidR="00FA1168" w:rsidRPr="00314AF8" w14:paraId="7C265E48" w14:textId="77777777" w:rsidTr="00601969">
        <w:trPr>
          <w:trHeight w:val="300"/>
        </w:trPr>
        <w:tc>
          <w:tcPr>
            <w:tcW w:w="2414" w:type="dxa"/>
            <w:vAlign w:val="center"/>
            <w:hideMark/>
          </w:tcPr>
          <w:p w14:paraId="2DA8CE4D" w14:textId="77777777" w:rsidR="00FA1168" w:rsidRPr="00314AF8" w:rsidRDefault="00FA1168" w:rsidP="00610144">
            <w:pPr>
              <w:pStyle w:val="14"/>
              <w:jc w:val="center"/>
              <w:rPr>
                <w:sz w:val="20"/>
                <w:szCs w:val="20"/>
              </w:rPr>
            </w:pPr>
            <w:r w:rsidRPr="00314AF8">
              <w:rPr>
                <w:sz w:val="20"/>
                <w:szCs w:val="20"/>
              </w:rPr>
              <w:t>S&amp;P</w:t>
            </w:r>
          </w:p>
        </w:tc>
        <w:tc>
          <w:tcPr>
            <w:tcW w:w="2477" w:type="dxa"/>
            <w:vAlign w:val="center"/>
            <w:hideMark/>
          </w:tcPr>
          <w:p w14:paraId="3FFF3A69" w14:textId="77777777" w:rsidR="00FA1168" w:rsidRPr="00314AF8" w:rsidRDefault="00FA1168" w:rsidP="00610144">
            <w:pPr>
              <w:pStyle w:val="14"/>
              <w:jc w:val="center"/>
              <w:rPr>
                <w:sz w:val="20"/>
                <w:szCs w:val="20"/>
              </w:rPr>
            </w:pPr>
            <w:r w:rsidRPr="00314AF8">
              <w:rPr>
                <w:sz w:val="20"/>
                <w:szCs w:val="20"/>
              </w:rPr>
              <w:t>Moody’s</w:t>
            </w:r>
          </w:p>
        </w:tc>
        <w:tc>
          <w:tcPr>
            <w:tcW w:w="2301" w:type="dxa"/>
            <w:vAlign w:val="center"/>
            <w:hideMark/>
          </w:tcPr>
          <w:p w14:paraId="3D70B133" w14:textId="77777777" w:rsidR="00FA1168" w:rsidRPr="00314AF8" w:rsidRDefault="00FA1168" w:rsidP="00610144">
            <w:pPr>
              <w:pStyle w:val="14"/>
              <w:jc w:val="center"/>
              <w:rPr>
                <w:sz w:val="20"/>
                <w:szCs w:val="20"/>
              </w:rPr>
            </w:pPr>
            <w:r w:rsidRPr="00314AF8">
              <w:rPr>
                <w:sz w:val="20"/>
                <w:szCs w:val="20"/>
              </w:rPr>
              <w:t>Fitch</w:t>
            </w:r>
          </w:p>
        </w:tc>
        <w:tc>
          <w:tcPr>
            <w:tcW w:w="2379" w:type="dxa"/>
          </w:tcPr>
          <w:p w14:paraId="274AD050" w14:textId="19A5AEF0" w:rsidR="00FA1168" w:rsidRPr="00314AF8" w:rsidRDefault="00FA1168" w:rsidP="00610144">
            <w:pPr>
              <w:pStyle w:val="14"/>
              <w:jc w:val="center"/>
              <w:rPr>
                <w:sz w:val="20"/>
                <w:szCs w:val="20"/>
              </w:rPr>
            </w:pPr>
            <w:r>
              <w:rPr>
                <w:sz w:val="20"/>
                <w:szCs w:val="20"/>
              </w:rPr>
              <w:t>Относительная вероятность дефолта</w:t>
            </w:r>
            <w:r w:rsidR="00601969">
              <w:rPr>
                <w:sz w:val="20"/>
                <w:szCs w:val="20"/>
              </w:rPr>
              <w:t>, %</w:t>
            </w:r>
          </w:p>
        </w:tc>
      </w:tr>
      <w:tr w:rsidR="00FA1168" w:rsidRPr="00314AF8" w14:paraId="15D91EE6" w14:textId="77777777" w:rsidTr="00601969">
        <w:trPr>
          <w:trHeight w:val="300"/>
        </w:trPr>
        <w:tc>
          <w:tcPr>
            <w:tcW w:w="2414" w:type="dxa"/>
            <w:hideMark/>
          </w:tcPr>
          <w:p w14:paraId="66FBEC76" w14:textId="77777777" w:rsidR="00FA1168" w:rsidRPr="00314AF8" w:rsidRDefault="00FA1168" w:rsidP="00610144">
            <w:pPr>
              <w:pStyle w:val="14"/>
              <w:jc w:val="center"/>
              <w:rPr>
                <w:sz w:val="20"/>
                <w:szCs w:val="20"/>
              </w:rPr>
            </w:pPr>
            <w:r w:rsidRPr="00314AF8">
              <w:rPr>
                <w:sz w:val="20"/>
                <w:szCs w:val="20"/>
              </w:rPr>
              <w:t>AAA</w:t>
            </w:r>
          </w:p>
        </w:tc>
        <w:tc>
          <w:tcPr>
            <w:tcW w:w="2477" w:type="dxa"/>
            <w:hideMark/>
          </w:tcPr>
          <w:p w14:paraId="69AB51E4" w14:textId="77777777" w:rsidR="00FA1168" w:rsidRPr="00314AF8" w:rsidRDefault="00FA1168" w:rsidP="00610144">
            <w:pPr>
              <w:pStyle w:val="14"/>
              <w:jc w:val="center"/>
              <w:rPr>
                <w:sz w:val="20"/>
                <w:szCs w:val="20"/>
              </w:rPr>
            </w:pPr>
            <w:r w:rsidRPr="00314AF8">
              <w:rPr>
                <w:sz w:val="20"/>
                <w:szCs w:val="20"/>
              </w:rPr>
              <w:t>Aaa</w:t>
            </w:r>
          </w:p>
        </w:tc>
        <w:tc>
          <w:tcPr>
            <w:tcW w:w="2301" w:type="dxa"/>
            <w:hideMark/>
          </w:tcPr>
          <w:p w14:paraId="6C718EA9" w14:textId="77777777" w:rsidR="00FA1168" w:rsidRPr="00314AF8" w:rsidRDefault="00FA1168" w:rsidP="00610144">
            <w:pPr>
              <w:pStyle w:val="14"/>
              <w:jc w:val="center"/>
              <w:rPr>
                <w:sz w:val="20"/>
                <w:szCs w:val="20"/>
              </w:rPr>
            </w:pPr>
            <w:r w:rsidRPr="00314AF8">
              <w:rPr>
                <w:sz w:val="20"/>
                <w:szCs w:val="20"/>
              </w:rPr>
              <w:t>AAA</w:t>
            </w:r>
          </w:p>
        </w:tc>
        <w:tc>
          <w:tcPr>
            <w:tcW w:w="2379" w:type="dxa"/>
          </w:tcPr>
          <w:p w14:paraId="5B7AECBE" w14:textId="77777777" w:rsidR="00FA1168" w:rsidRPr="00314AF8" w:rsidRDefault="00FA1168" w:rsidP="00610144">
            <w:pPr>
              <w:pStyle w:val="14"/>
              <w:jc w:val="center"/>
              <w:rPr>
                <w:sz w:val="20"/>
                <w:szCs w:val="20"/>
              </w:rPr>
            </w:pPr>
            <w:r>
              <w:rPr>
                <w:sz w:val="20"/>
                <w:szCs w:val="20"/>
              </w:rPr>
              <w:t>0,00</w:t>
            </w:r>
          </w:p>
        </w:tc>
      </w:tr>
      <w:tr w:rsidR="00FA1168" w:rsidRPr="00314AF8" w14:paraId="3AEAF195" w14:textId="77777777" w:rsidTr="00601969">
        <w:trPr>
          <w:trHeight w:val="300"/>
        </w:trPr>
        <w:tc>
          <w:tcPr>
            <w:tcW w:w="2414" w:type="dxa"/>
            <w:hideMark/>
          </w:tcPr>
          <w:p w14:paraId="45832A48" w14:textId="77777777" w:rsidR="00FA1168" w:rsidRPr="00314AF8" w:rsidRDefault="00FA1168" w:rsidP="00610144">
            <w:pPr>
              <w:pStyle w:val="14"/>
              <w:jc w:val="center"/>
              <w:rPr>
                <w:sz w:val="20"/>
                <w:szCs w:val="20"/>
              </w:rPr>
            </w:pPr>
            <w:r w:rsidRPr="00314AF8">
              <w:rPr>
                <w:sz w:val="20"/>
                <w:szCs w:val="20"/>
              </w:rPr>
              <w:t>AA+</w:t>
            </w:r>
          </w:p>
        </w:tc>
        <w:tc>
          <w:tcPr>
            <w:tcW w:w="2477" w:type="dxa"/>
            <w:hideMark/>
          </w:tcPr>
          <w:p w14:paraId="53F9E5FF" w14:textId="77777777" w:rsidR="00FA1168" w:rsidRPr="00314AF8" w:rsidRDefault="00FA1168" w:rsidP="00610144">
            <w:pPr>
              <w:pStyle w:val="14"/>
              <w:jc w:val="center"/>
              <w:rPr>
                <w:sz w:val="20"/>
                <w:szCs w:val="20"/>
              </w:rPr>
            </w:pPr>
            <w:r w:rsidRPr="00314AF8">
              <w:rPr>
                <w:sz w:val="20"/>
                <w:szCs w:val="20"/>
              </w:rPr>
              <w:t>Aa1</w:t>
            </w:r>
          </w:p>
        </w:tc>
        <w:tc>
          <w:tcPr>
            <w:tcW w:w="2301" w:type="dxa"/>
            <w:hideMark/>
          </w:tcPr>
          <w:p w14:paraId="34F9394F" w14:textId="77777777" w:rsidR="00FA1168" w:rsidRPr="00314AF8" w:rsidRDefault="00FA1168" w:rsidP="00610144">
            <w:pPr>
              <w:pStyle w:val="14"/>
              <w:jc w:val="center"/>
              <w:rPr>
                <w:sz w:val="20"/>
                <w:szCs w:val="20"/>
              </w:rPr>
            </w:pPr>
            <w:r w:rsidRPr="00314AF8">
              <w:rPr>
                <w:sz w:val="20"/>
                <w:szCs w:val="20"/>
              </w:rPr>
              <w:t>AA+</w:t>
            </w:r>
          </w:p>
        </w:tc>
        <w:tc>
          <w:tcPr>
            <w:tcW w:w="2379" w:type="dxa"/>
          </w:tcPr>
          <w:p w14:paraId="58186516" w14:textId="77777777" w:rsidR="00FA1168" w:rsidRPr="00314AF8" w:rsidRDefault="00FA1168" w:rsidP="00610144">
            <w:pPr>
              <w:pStyle w:val="14"/>
              <w:jc w:val="center"/>
              <w:rPr>
                <w:sz w:val="20"/>
                <w:szCs w:val="20"/>
              </w:rPr>
            </w:pPr>
            <w:r>
              <w:rPr>
                <w:sz w:val="20"/>
                <w:szCs w:val="20"/>
              </w:rPr>
              <w:t>0,02</w:t>
            </w:r>
          </w:p>
        </w:tc>
      </w:tr>
      <w:tr w:rsidR="00FA1168" w:rsidRPr="00314AF8" w14:paraId="6EEA91CB" w14:textId="77777777" w:rsidTr="00601969">
        <w:trPr>
          <w:trHeight w:val="300"/>
        </w:trPr>
        <w:tc>
          <w:tcPr>
            <w:tcW w:w="2414" w:type="dxa"/>
            <w:hideMark/>
          </w:tcPr>
          <w:p w14:paraId="6242ACE1" w14:textId="77777777" w:rsidR="00FA1168" w:rsidRPr="00314AF8" w:rsidRDefault="00FA1168" w:rsidP="00610144">
            <w:pPr>
              <w:pStyle w:val="14"/>
              <w:jc w:val="center"/>
              <w:rPr>
                <w:sz w:val="20"/>
                <w:szCs w:val="20"/>
              </w:rPr>
            </w:pPr>
            <w:r w:rsidRPr="00314AF8">
              <w:rPr>
                <w:sz w:val="20"/>
                <w:szCs w:val="20"/>
              </w:rPr>
              <w:t>AA</w:t>
            </w:r>
          </w:p>
        </w:tc>
        <w:tc>
          <w:tcPr>
            <w:tcW w:w="2477" w:type="dxa"/>
            <w:hideMark/>
          </w:tcPr>
          <w:p w14:paraId="32EF2614" w14:textId="77777777" w:rsidR="00FA1168" w:rsidRPr="00314AF8" w:rsidRDefault="00FA1168" w:rsidP="00610144">
            <w:pPr>
              <w:pStyle w:val="14"/>
              <w:jc w:val="center"/>
              <w:rPr>
                <w:sz w:val="20"/>
                <w:szCs w:val="20"/>
              </w:rPr>
            </w:pPr>
            <w:r w:rsidRPr="00314AF8">
              <w:rPr>
                <w:sz w:val="20"/>
                <w:szCs w:val="20"/>
              </w:rPr>
              <w:t>Aa2</w:t>
            </w:r>
          </w:p>
        </w:tc>
        <w:tc>
          <w:tcPr>
            <w:tcW w:w="2301" w:type="dxa"/>
            <w:hideMark/>
          </w:tcPr>
          <w:p w14:paraId="1B94AE27" w14:textId="77777777" w:rsidR="00FA1168" w:rsidRPr="00314AF8" w:rsidRDefault="00FA1168" w:rsidP="00610144">
            <w:pPr>
              <w:pStyle w:val="14"/>
              <w:jc w:val="center"/>
              <w:rPr>
                <w:sz w:val="20"/>
                <w:szCs w:val="20"/>
              </w:rPr>
            </w:pPr>
            <w:r w:rsidRPr="00314AF8">
              <w:rPr>
                <w:sz w:val="20"/>
                <w:szCs w:val="20"/>
              </w:rPr>
              <w:t>AA</w:t>
            </w:r>
          </w:p>
        </w:tc>
        <w:tc>
          <w:tcPr>
            <w:tcW w:w="2379" w:type="dxa"/>
          </w:tcPr>
          <w:p w14:paraId="31E9BC53" w14:textId="77777777" w:rsidR="00FA1168" w:rsidRPr="00314AF8" w:rsidRDefault="00FA1168" w:rsidP="00610144">
            <w:pPr>
              <w:pStyle w:val="14"/>
              <w:jc w:val="center"/>
              <w:rPr>
                <w:sz w:val="20"/>
                <w:szCs w:val="20"/>
              </w:rPr>
            </w:pPr>
            <w:r>
              <w:rPr>
                <w:sz w:val="20"/>
                <w:szCs w:val="20"/>
              </w:rPr>
              <w:t>0,03</w:t>
            </w:r>
          </w:p>
        </w:tc>
      </w:tr>
      <w:tr w:rsidR="00FA1168" w:rsidRPr="00314AF8" w14:paraId="738D56CC" w14:textId="77777777" w:rsidTr="00601969">
        <w:trPr>
          <w:trHeight w:val="300"/>
        </w:trPr>
        <w:tc>
          <w:tcPr>
            <w:tcW w:w="2414" w:type="dxa"/>
            <w:hideMark/>
          </w:tcPr>
          <w:p w14:paraId="37E80A30" w14:textId="77777777" w:rsidR="00FA1168" w:rsidRPr="00314AF8" w:rsidRDefault="00FA1168" w:rsidP="00610144">
            <w:pPr>
              <w:pStyle w:val="14"/>
              <w:jc w:val="center"/>
              <w:rPr>
                <w:sz w:val="20"/>
                <w:szCs w:val="20"/>
              </w:rPr>
            </w:pPr>
            <w:r w:rsidRPr="00314AF8">
              <w:rPr>
                <w:sz w:val="20"/>
                <w:szCs w:val="20"/>
              </w:rPr>
              <w:t>AA-</w:t>
            </w:r>
          </w:p>
        </w:tc>
        <w:tc>
          <w:tcPr>
            <w:tcW w:w="2477" w:type="dxa"/>
            <w:hideMark/>
          </w:tcPr>
          <w:p w14:paraId="5BDBAD93" w14:textId="77777777" w:rsidR="00FA1168" w:rsidRPr="00314AF8" w:rsidRDefault="00FA1168" w:rsidP="00610144">
            <w:pPr>
              <w:pStyle w:val="14"/>
              <w:jc w:val="center"/>
              <w:rPr>
                <w:sz w:val="20"/>
                <w:szCs w:val="20"/>
              </w:rPr>
            </w:pPr>
            <w:r w:rsidRPr="00314AF8">
              <w:rPr>
                <w:sz w:val="20"/>
                <w:szCs w:val="20"/>
              </w:rPr>
              <w:t>Aa3</w:t>
            </w:r>
          </w:p>
        </w:tc>
        <w:tc>
          <w:tcPr>
            <w:tcW w:w="2301" w:type="dxa"/>
            <w:hideMark/>
          </w:tcPr>
          <w:p w14:paraId="159ECDF3" w14:textId="77777777" w:rsidR="00FA1168" w:rsidRPr="00314AF8" w:rsidRDefault="00FA1168" w:rsidP="00610144">
            <w:pPr>
              <w:pStyle w:val="14"/>
              <w:jc w:val="center"/>
              <w:rPr>
                <w:sz w:val="20"/>
                <w:szCs w:val="20"/>
              </w:rPr>
            </w:pPr>
            <w:r w:rsidRPr="00314AF8">
              <w:rPr>
                <w:sz w:val="20"/>
                <w:szCs w:val="20"/>
              </w:rPr>
              <w:t>AA-</w:t>
            </w:r>
          </w:p>
        </w:tc>
        <w:tc>
          <w:tcPr>
            <w:tcW w:w="2379" w:type="dxa"/>
          </w:tcPr>
          <w:p w14:paraId="084FAC30" w14:textId="77777777" w:rsidR="00FA1168" w:rsidRPr="00314AF8" w:rsidRDefault="00FA1168" w:rsidP="00610144">
            <w:pPr>
              <w:pStyle w:val="14"/>
              <w:jc w:val="center"/>
              <w:rPr>
                <w:sz w:val="20"/>
                <w:szCs w:val="20"/>
              </w:rPr>
            </w:pPr>
            <w:r>
              <w:rPr>
                <w:sz w:val="20"/>
                <w:szCs w:val="20"/>
              </w:rPr>
              <w:t>0,06</w:t>
            </w:r>
          </w:p>
        </w:tc>
      </w:tr>
      <w:tr w:rsidR="00FA1168" w:rsidRPr="00314AF8" w14:paraId="48D58D78" w14:textId="77777777" w:rsidTr="00601969">
        <w:trPr>
          <w:trHeight w:val="300"/>
        </w:trPr>
        <w:tc>
          <w:tcPr>
            <w:tcW w:w="2414" w:type="dxa"/>
            <w:hideMark/>
          </w:tcPr>
          <w:p w14:paraId="1047B424" w14:textId="77777777" w:rsidR="00FA1168" w:rsidRPr="00314AF8" w:rsidRDefault="00FA1168" w:rsidP="00610144">
            <w:pPr>
              <w:pStyle w:val="14"/>
              <w:jc w:val="center"/>
              <w:rPr>
                <w:sz w:val="20"/>
                <w:szCs w:val="20"/>
              </w:rPr>
            </w:pPr>
            <w:r w:rsidRPr="00314AF8">
              <w:rPr>
                <w:sz w:val="20"/>
                <w:szCs w:val="20"/>
              </w:rPr>
              <w:t>A+</w:t>
            </w:r>
          </w:p>
        </w:tc>
        <w:tc>
          <w:tcPr>
            <w:tcW w:w="2477" w:type="dxa"/>
            <w:hideMark/>
          </w:tcPr>
          <w:p w14:paraId="29D68F70" w14:textId="77777777" w:rsidR="00FA1168" w:rsidRPr="00314AF8" w:rsidRDefault="00FA1168" w:rsidP="00610144">
            <w:pPr>
              <w:pStyle w:val="14"/>
              <w:jc w:val="center"/>
              <w:rPr>
                <w:sz w:val="20"/>
                <w:szCs w:val="20"/>
              </w:rPr>
            </w:pPr>
            <w:r w:rsidRPr="00314AF8">
              <w:rPr>
                <w:sz w:val="20"/>
                <w:szCs w:val="20"/>
              </w:rPr>
              <w:t>A1</w:t>
            </w:r>
          </w:p>
        </w:tc>
        <w:tc>
          <w:tcPr>
            <w:tcW w:w="2301" w:type="dxa"/>
            <w:hideMark/>
          </w:tcPr>
          <w:p w14:paraId="274984AB" w14:textId="77777777" w:rsidR="00FA1168" w:rsidRPr="00314AF8" w:rsidRDefault="00FA1168" w:rsidP="00610144">
            <w:pPr>
              <w:pStyle w:val="14"/>
              <w:jc w:val="center"/>
              <w:rPr>
                <w:sz w:val="20"/>
                <w:szCs w:val="20"/>
              </w:rPr>
            </w:pPr>
            <w:r w:rsidRPr="00314AF8">
              <w:rPr>
                <w:sz w:val="20"/>
                <w:szCs w:val="20"/>
              </w:rPr>
              <w:t>A+</w:t>
            </w:r>
          </w:p>
        </w:tc>
        <w:tc>
          <w:tcPr>
            <w:tcW w:w="2379" w:type="dxa"/>
          </w:tcPr>
          <w:p w14:paraId="4A736AD0" w14:textId="77777777" w:rsidR="00FA1168" w:rsidRPr="00314AF8" w:rsidRDefault="00FA1168" w:rsidP="00610144">
            <w:pPr>
              <w:pStyle w:val="14"/>
              <w:jc w:val="center"/>
              <w:rPr>
                <w:sz w:val="20"/>
                <w:szCs w:val="20"/>
              </w:rPr>
            </w:pPr>
            <w:r>
              <w:rPr>
                <w:sz w:val="20"/>
                <w:szCs w:val="20"/>
              </w:rPr>
              <w:t>0,09</w:t>
            </w:r>
          </w:p>
        </w:tc>
      </w:tr>
      <w:tr w:rsidR="00FA1168" w:rsidRPr="00314AF8" w14:paraId="31D71EC8" w14:textId="77777777" w:rsidTr="00601969">
        <w:trPr>
          <w:trHeight w:val="300"/>
        </w:trPr>
        <w:tc>
          <w:tcPr>
            <w:tcW w:w="2414" w:type="dxa"/>
            <w:hideMark/>
          </w:tcPr>
          <w:p w14:paraId="43A1219D" w14:textId="77777777" w:rsidR="00FA1168" w:rsidRPr="00314AF8" w:rsidRDefault="00FA1168" w:rsidP="00610144">
            <w:pPr>
              <w:pStyle w:val="14"/>
              <w:jc w:val="center"/>
              <w:rPr>
                <w:sz w:val="20"/>
                <w:szCs w:val="20"/>
              </w:rPr>
            </w:pPr>
            <w:r w:rsidRPr="00314AF8">
              <w:rPr>
                <w:sz w:val="20"/>
                <w:szCs w:val="20"/>
              </w:rPr>
              <w:t>A-</w:t>
            </w:r>
          </w:p>
        </w:tc>
        <w:tc>
          <w:tcPr>
            <w:tcW w:w="2477" w:type="dxa"/>
            <w:hideMark/>
          </w:tcPr>
          <w:p w14:paraId="179368E4" w14:textId="77777777" w:rsidR="00FA1168" w:rsidRPr="00314AF8" w:rsidRDefault="00FA1168" w:rsidP="00610144">
            <w:pPr>
              <w:pStyle w:val="14"/>
              <w:jc w:val="center"/>
              <w:rPr>
                <w:sz w:val="20"/>
                <w:szCs w:val="20"/>
              </w:rPr>
            </w:pPr>
            <w:r w:rsidRPr="00314AF8">
              <w:rPr>
                <w:sz w:val="20"/>
                <w:szCs w:val="20"/>
              </w:rPr>
              <w:t>A3</w:t>
            </w:r>
          </w:p>
        </w:tc>
        <w:tc>
          <w:tcPr>
            <w:tcW w:w="2301" w:type="dxa"/>
            <w:hideMark/>
          </w:tcPr>
          <w:p w14:paraId="0D2BB90A" w14:textId="77777777" w:rsidR="00FA1168" w:rsidRPr="00314AF8" w:rsidRDefault="00FA1168" w:rsidP="00610144">
            <w:pPr>
              <w:pStyle w:val="14"/>
              <w:jc w:val="center"/>
              <w:rPr>
                <w:sz w:val="20"/>
                <w:szCs w:val="20"/>
              </w:rPr>
            </w:pPr>
            <w:r w:rsidRPr="00314AF8">
              <w:rPr>
                <w:sz w:val="20"/>
                <w:szCs w:val="20"/>
              </w:rPr>
              <w:t>A-</w:t>
            </w:r>
          </w:p>
        </w:tc>
        <w:tc>
          <w:tcPr>
            <w:tcW w:w="2379" w:type="dxa"/>
          </w:tcPr>
          <w:p w14:paraId="61666FAD" w14:textId="77777777" w:rsidR="00FA1168" w:rsidRPr="00314AF8" w:rsidRDefault="00FA1168" w:rsidP="00610144">
            <w:pPr>
              <w:pStyle w:val="14"/>
              <w:jc w:val="center"/>
              <w:rPr>
                <w:sz w:val="20"/>
                <w:szCs w:val="20"/>
              </w:rPr>
            </w:pPr>
            <w:r>
              <w:rPr>
                <w:sz w:val="20"/>
                <w:szCs w:val="20"/>
              </w:rPr>
              <w:t>0,24</w:t>
            </w:r>
          </w:p>
        </w:tc>
      </w:tr>
      <w:tr w:rsidR="00FA1168" w:rsidRPr="00314AF8" w14:paraId="5925C294" w14:textId="77777777" w:rsidTr="00601969">
        <w:trPr>
          <w:trHeight w:val="300"/>
        </w:trPr>
        <w:tc>
          <w:tcPr>
            <w:tcW w:w="2414" w:type="dxa"/>
            <w:hideMark/>
          </w:tcPr>
          <w:p w14:paraId="24C4BDD1" w14:textId="77777777" w:rsidR="00FA1168" w:rsidRPr="00314AF8" w:rsidRDefault="00FA1168" w:rsidP="00610144">
            <w:pPr>
              <w:pStyle w:val="14"/>
              <w:jc w:val="center"/>
              <w:rPr>
                <w:sz w:val="20"/>
                <w:szCs w:val="20"/>
              </w:rPr>
            </w:pPr>
            <w:r w:rsidRPr="00314AF8">
              <w:rPr>
                <w:sz w:val="20"/>
                <w:szCs w:val="20"/>
              </w:rPr>
              <w:t>BBB+</w:t>
            </w:r>
          </w:p>
        </w:tc>
        <w:tc>
          <w:tcPr>
            <w:tcW w:w="2477" w:type="dxa"/>
            <w:hideMark/>
          </w:tcPr>
          <w:p w14:paraId="2AB2C8A1" w14:textId="77777777" w:rsidR="00FA1168" w:rsidRPr="00314AF8" w:rsidRDefault="00FA1168" w:rsidP="00610144">
            <w:pPr>
              <w:pStyle w:val="14"/>
              <w:jc w:val="center"/>
              <w:rPr>
                <w:sz w:val="20"/>
                <w:szCs w:val="20"/>
              </w:rPr>
            </w:pPr>
            <w:r w:rsidRPr="00314AF8">
              <w:rPr>
                <w:sz w:val="20"/>
                <w:szCs w:val="20"/>
              </w:rPr>
              <w:t>Baa1</w:t>
            </w:r>
          </w:p>
        </w:tc>
        <w:tc>
          <w:tcPr>
            <w:tcW w:w="2301" w:type="dxa"/>
            <w:hideMark/>
          </w:tcPr>
          <w:p w14:paraId="27C789D4" w14:textId="77777777" w:rsidR="00FA1168" w:rsidRPr="00314AF8" w:rsidRDefault="00FA1168" w:rsidP="00610144">
            <w:pPr>
              <w:pStyle w:val="14"/>
              <w:jc w:val="center"/>
              <w:rPr>
                <w:sz w:val="20"/>
                <w:szCs w:val="20"/>
              </w:rPr>
            </w:pPr>
            <w:r w:rsidRPr="00314AF8">
              <w:rPr>
                <w:sz w:val="20"/>
                <w:szCs w:val="20"/>
              </w:rPr>
              <w:t>BBB+</w:t>
            </w:r>
          </w:p>
        </w:tc>
        <w:tc>
          <w:tcPr>
            <w:tcW w:w="2379" w:type="dxa"/>
          </w:tcPr>
          <w:p w14:paraId="2CFF4C7A" w14:textId="77777777" w:rsidR="00FA1168" w:rsidRPr="00314AF8" w:rsidRDefault="00FA1168" w:rsidP="00610144">
            <w:pPr>
              <w:pStyle w:val="14"/>
              <w:jc w:val="center"/>
              <w:rPr>
                <w:sz w:val="20"/>
                <w:szCs w:val="20"/>
              </w:rPr>
            </w:pPr>
            <w:r>
              <w:rPr>
                <w:sz w:val="20"/>
                <w:szCs w:val="20"/>
              </w:rPr>
              <w:t>0,38</w:t>
            </w:r>
          </w:p>
        </w:tc>
      </w:tr>
      <w:tr w:rsidR="00FA1168" w:rsidRPr="00314AF8" w14:paraId="75628897" w14:textId="77777777" w:rsidTr="00601969">
        <w:trPr>
          <w:trHeight w:val="300"/>
        </w:trPr>
        <w:tc>
          <w:tcPr>
            <w:tcW w:w="2414" w:type="dxa"/>
            <w:hideMark/>
          </w:tcPr>
          <w:p w14:paraId="18A694F0" w14:textId="77777777" w:rsidR="00FA1168" w:rsidRPr="00314AF8" w:rsidRDefault="00FA1168" w:rsidP="00610144">
            <w:pPr>
              <w:pStyle w:val="14"/>
              <w:jc w:val="center"/>
              <w:rPr>
                <w:sz w:val="20"/>
                <w:szCs w:val="20"/>
              </w:rPr>
            </w:pPr>
            <w:r w:rsidRPr="00314AF8">
              <w:rPr>
                <w:sz w:val="20"/>
                <w:szCs w:val="20"/>
              </w:rPr>
              <w:t>BBB</w:t>
            </w:r>
          </w:p>
        </w:tc>
        <w:tc>
          <w:tcPr>
            <w:tcW w:w="2477" w:type="dxa"/>
            <w:hideMark/>
          </w:tcPr>
          <w:p w14:paraId="49AC879D" w14:textId="77777777" w:rsidR="00FA1168" w:rsidRPr="00314AF8" w:rsidRDefault="00FA1168" w:rsidP="00610144">
            <w:pPr>
              <w:pStyle w:val="14"/>
              <w:jc w:val="center"/>
              <w:rPr>
                <w:sz w:val="20"/>
                <w:szCs w:val="20"/>
              </w:rPr>
            </w:pPr>
            <w:r w:rsidRPr="00314AF8">
              <w:rPr>
                <w:sz w:val="20"/>
                <w:szCs w:val="20"/>
              </w:rPr>
              <w:t>Baa2</w:t>
            </w:r>
          </w:p>
        </w:tc>
        <w:tc>
          <w:tcPr>
            <w:tcW w:w="2301" w:type="dxa"/>
            <w:hideMark/>
          </w:tcPr>
          <w:p w14:paraId="7ADB765C" w14:textId="77777777" w:rsidR="00FA1168" w:rsidRPr="00314AF8" w:rsidRDefault="00FA1168" w:rsidP="00610144">
            <w:pPr>
              <w:pStyle w:val="14"/>
              <w:jc w:val="center"/>
              <w:rPr>
                <w:sz w:val="20"/>
                <w:szCs w:val="20"/>
              </w:rPr>
            </w:pPr>
            <w:r w:rsidRPr="00314AF8">
              <w:rPr>
                <w:sz w:val="20"/>
                <w:szCs w:val="20"/>
              </w:rPr>
              <w:t>BBB</w:t>
            </w:r>
          </w:p>
        </w:tc>
        <w:tc>
          <w:tcPr>
            <w:tcW w:w="2379" w:type="dxa"/>
          </w:tcPr>
          <w:p w14:paraId="5058AFF1" w14:textId="77777777" w:rsidR="00FA1168" w:rsidRPr="00314AF8" w:rsidRDefault="00FA1168" w:rsidP="00610144">
            <w:pPr>
              <w:pStyle w:val="14"/>
              <w:jc w:val="center"/>
              <w:rPr>
                <w:sz w:val="20"/>
                <w:szCs w:val="20"/>
              </w:rPr>
            </w:pPr>
            <w:r>
              <w:rPr>
                <w:sz w:val="20"/>
                <w:szCs w:val="20"/>
              </w:rPr>
              <w:t>0,62</w:t>
            </w:r>
          </w:p>
        </w:tc>
      </w:tr>
      <w:tr w:rsidR="00FA1168" w:rsidRPr="00314AF8" w14:paraId="1831DE3D" w14:textId="77777777" w:rsidTr="00601969">
        <w:trPr>
          <w:trHeight w:val="300"/>
        </w:trPr>
        <w:tc>
          <w:tcPr>
            <w:tcW w:w="2414" w:type="dxa"/>
            <w:hideMark/>
          </w:tcPr>
          <w:p w14:paraId="601EF31A" w14:textId="77777777" w:rsidR="00FA1168" w:rsidRPr="00314AF8" w:rsidRDefault="00FA1168" w:rsidP="00610144">
            <w:pPr>
              <w:pStyle w:val="14"/>
              <w:jc w:val="center"/>
              <w:rPr>
                <w:sz w:val="20"/>
                <w:szCs w:val="20"/>
              </w:rPr>
            </w:pPr>
            <w:r w:rsidRPr="00314AF8">
              <w:rPr>
                <w:sz w:val="20"/>
                <w:szCs w:val="20"/>
              </w:rPr>
              <w:t>BBB-</w:t>
            </w:r>
          </w:p>
        </w:tc>
        <w:tc>
          <w:tcPr>
            <w:tcW w:w="2477" w:type="dxa"/>
            <w:hideMark/>
          </w:tcPr>
          <w:p w14:paraId="1E611C2A" w14:textId="77777777" w:rsidR="00FA1168" w:rsidRPr="00314AF8" w:rsidRDefault="00FA1168" w:rsidP="00610144">
            <w:pPr>
              <w:pStyle w:val="14"/>
              <w:jc w:val="center"/>
              <w:rPr>
                <w:sz w:val="20"/>
                <w:szCs w:val="20"/>
              </w:rPr>
            </w:pPr>
            <w:r w:rsidRPr="00314AF8">
              <w:rPr>
                <w:sz w:val="20"/>
                <w:szCs w:val="20"/>
              </w:rPr>
              <w:t>Baa3</w:t>
            </w:r>
          </w:p>
        </w:tc>
        <w:tc>
          <w:tcPr>
            <w:tcW w:w="2301" w:type="dxa"/>
            <w:hideMark/>
          </w:tcPr>
          <w:p w14:paraId="0E824A6E" w14:textId="77777777" w:rsidR="00FA1168" w:rsidRPr="00314AF8" w:rsidRDefault="00FA1168" w:rsidP="00610144">
            <w:pPr>
              <w:pStyle w:val="14"/>
              <w:jc w:val="center"/>
              <w:rPr>
                <w:sz w:val="20"/>
                <w:szCs w:val="20"/>
              </w:rPr>
            </w:pPr>
            <w:r w:rsidRPr="00314AF8">
              <w:rPr>
                <w:sz w:val="20"/>
                <w:szCs w:val="20"/>
              </w:rPr>
              <w:t>BBB-</w:t>
            </w:r>
          </w:p>
        </w:tc>
        <w:tc>
          <w:tcPr>
            <w:tcW w:w="2379" w:type="dxa"/>
          </w:tcPr>
          <w:p w14:paraId="376E2944" w14:textId="77777777" w:rsidR="00FA1168" w:rsidRPr="00314AF8" w:rsidRDefault="00FA1168" w:rsidP="00610144">
            <w:pPr>
              <w:pStyle w:val="14"/>
              <w:jc w:val="center"/>
              <w:rPr>
                <w:sz w:val="20"/>
                <w:szCs w:val="20"/>
              </w:rPr>
            </w:pPr>
            <w:r>
              <w:rPr>
                <w:sz w:val="20"/>
                <w:szCs w:val="20"/>
              </w:rPr>
              <w:t>1,00</w:t>
            </w:r>
          </w:p>
        </w:tc>
      </w:tr>
      <w:tr w:rsidR="00FA1168" w:rsidRPr="00314AF8" w14:paraId="36B46D4D" w14:textId="77777777" w:rsidTr="00601969">
        <w:trPr>
          <w:trHeight w:val="300"/>
        </w:trPr>
        <w:tc>
          <w:tcPr>
            <w:tcW w:w="2414" w:type="dxa"/>
            <w:hideMark/>
          </w:tcPr>
          <w:p w14:paraId="4C27770B" w14:textId="77777777" w:rsidR="00FA1168" w:rsidRPr="00314AF8" w:rsidRDefault="00FA1168" w:rsidP="00610144">
            <w:pPr>
              <w:pStyle w:val="14"/>
              <w:jc w:val="center"/>
              <w:rPr>
                <w:sz w:val="20"/>
                <w:szCs w:val="20"/>
              </w:rPr>
            </w:pPr>
            <w:r w:rsidRPr="00314AF8">
              <w:rPr>
                <w:sz w:val="20"/>
                <w:szCs w:val="20"/>
              </w:rPr>
              <w:t>BB+</w:t>
            </w:r>
          </w:p>
        </w:tc>
        <w:tc>
          <w:tcPr>
            <w:tcW w:w="2477" w:type="dxa"/>
            <w:hideMark/>
          </w:tcPr>
          <w:p w14:paraId="210EB345" w14:textId="77777777" w:rsidR="00FA1168" w:rsidRPr="00314AF8" w:rsidRDefault="00FA1168" w:rsidP="00610144">
            <w:pPr>
              <w:pStyle w:val="14"/>
              <w:jc w:val="center"/>
              <w:rPr>
                <w:sz w:val="20"/>
                <w:szCs w:val="20"/>
              </w:rPr>
            </w:pPr>
            <w:r w:rsidRPr="00314AF8">
              <w:rPr>
                <w:sz w:val="20"/>
                <w:szCs w:val="20"/>
              </w:rPr>
              <w:t>Ba1</w:t>
            </w:r>
          </w:p>
        </w:tc>
        <w:tc>
          <w:tcPr>
            <w:tcW w:w="2301" w:type="dxa"/>
            <w:hideMark/>
          </w:tcPr>
          <w:p w14:paraId="4C00227A" w14:textId="77777777" w:rsidR="00FA1168" w:rsidRPr="00314AF8" w:rsidRDefault="00FA1168" w:rsidP="00610144">
            <w:pPr>
              <w:pStyle w:val="14"/>
              <w:jc w:val="center"/>
              <w:rPr>
                <w:sz w:val="20"/>
                <w:szCs w:val="20"/>
              </w:rPr>
            </w:pPr>
            <w:r w:rsidRPr="00314AF8">
              <w:rPr>
                <w:sz w:val="20"/>
                <w:szCs w:val="20"/>
              </w:rPr>
              <w:t>BB+</w:t>
            </w:r>
          </w:p>
        </w:tc>
        <w:tc>
          <w:tcPr>
            <w:tcW w:w="2379" w:type="dxa"/>
          </w:tcPr>
          <w:p w14:paraId="3C3775F1" w14:textId="77777777" w:rsidR="00FA1168" w:rsidRPr="00314AF8" w:rsidRDefault="00FA1168" w:rsidP="00610144">
            <w:pPr>
              <w:pStyle w:val="14"/>
              <w:jc w:val="center"/>
              <w:rPr>
                <w:sz w:val="20"/>
                <w:szCs w:val="20"/>
              </w:rPr>
            </w:pPr>
            <w:r>
              <w:rPr>
                <w:sz w:val="20"/>
                <w:szCs w:val="20"/>
              </w:rPr>
              <w:t>1,62</w:t>
            </w:r>
          </w:p>
        </w:tc>
      </w:tr>
      <w:tr w:rsidR="00FA1168" w:rsidRPr="00314AF8" w14:paraId="67B22B6D" w14:textId="77777777" w:rsidTr="00601969">
        <w:trPr>
          <w:trHeight w:val="300"/>
        </w:trPr>
        <w:tc>
          <w:tcPr>
            <w:tcW w:w="2414" w:type="dxa"/>
            <w:hideMark/>
          </w:tcPr>
          <w:p w14:paraId="42D1F924" w14:textId="77777777" w:rsidR="00FA1168" w:rsidRPr="00314AF8" w:rsidRDefault="00FA1168" w:rsidP="00610144">
            <w:pPr>
              <w:pStyle w:val="14"/>
              <w:jc w:val="center"/>
              <w:rPr>
                <w:sz w:val="20"/>
                <w:szCs w:val="20"/>
              </w:rPr>
            </w:pPr>
            <w:r w:rsidRPr="00314AF8">
              <w:rPr>
                <w:sz w:val="20"/>
                <w:szCs w:val="20"/>
              </w:rPr>
              <w:t>BB-</w:t>
            </w:r>
          </w:p>
        </w:tc>
        <w:tc>
          <w:tcPr>
            <w:tcW w:w="2477" w:type="dxa"/>
            <w:hideMark/>
          </w:tcPr>
          <w:p w14:paraId="0C4FAF93" w14:textId="77777777" w:rsidR="00FA1168" w:rsidRPr="00314AF8" w:rsidRDefault="00FA1168" w:rsidP="00610144">
            <w:pPr>
              <w:pStyle w:val="14"/>
              <w:jc w:val="center"/>
              <w:rPr>
                <w:sz w:val="20"/>
                <w:szCs w:val="20"/>
              </w:rPr>
            </w:pPr>
            <w:r w:rsidRPr="00314AF8">
              <w:rPr>
                <w:sz w:val="20"/>
                <w:szCs w:val="20"/>
              </w:rPr>
              <w:t>Ba3</w:t>
            </w:r>
          </w:p>
        </w:tc>
        <w:tc>
          <w:tcPr>
            <w:tcW w:w="2301" w:type="dxa"/>
            <w:hideMark/>
          </w:tcPr>
          <w:p w14:paraId="680F578B" w14:textId="77777777" w:rsidR="00FA1168" w:rsidRPr="00314AF8" w:rsidRDefault="00FA1168" w:rsidP="00610144">
            <w:pPr>
              <w:pStyle w:val="14"/>
              <w:jc w:val="center"/>
              <w:rPr>
                <w:sz w:val="20"/>
                <w:szCs w:val="20"/>
              </w:rPr>
            </w:pPr>
            <w:r w:rsidRPr="00314AF8">
              <w:rPr>
                <w:sz w:val="20"/>
                <w:szCs w:val="20"/>
              </w:rPr>
              <w:t>BB-</w:t>
            </w:r>
          </w:p>
        </w:tc>
        <w:tc>
          <w:tcPr>
            <w:tcW w:w="2379" w:type="dxa"/>
          </w:tcPr>
          <w:p w14:paraId="2F9E51BA" w14:textId="77777777" w:rsidR="00FA1168" w:rsidRPr="00314AF8" w:rsidRDefault="00FA1168" w:rsidP="00610144">
            <w:pPr>
              <w:pStyle w:val="14"/>
              <w:jc w:val="center"/>
              <w:rPr>
                <w:sz w:val="20"/>
                <w:szCs w:val="20"/>
              </w:rPr>
            </w:pPr>
            <w:r>
              <w:rPr>
                <w:sz w:val="20"/>
                <w:szCs w:val="20"/>
              </w:rPr>
              <w:t>4,24</w:t>
            </w:r>
          </w:p>
        </w:tc>
      </w:tr>
      <w:tr w:rsidR="00FA1168" w:rsidRPr="00314AF8" w14:paraId="68A02317" w14:textId="77777777" w:rsidTr="00601969">
        <w:trPr>
          <w:trHeight w:val="300"/>
        </w:trPr>
        <w:tc>
          <w:tcPr>
            <w:tcW w:w="2414" w:type="dxa"/>
            <w:hideMark/>
          </w:tcPr>
          <w:p w14:paraId="3938F327" w14:textId="77777777" w:rsidR="00FA1168" w:rsidRPr="00314AF8" w:rsidRDefault="00FA1168" w:rsidP="00610144">
            <w:pPr>
              <w:pStyle w:val="14"/>
              <w:jc w:val="center"/>
              <w:rPr>
                <w:sz w:val="20"/>
                <w:szCs w:val="20"/>
              </w:rPr>
            </w:pPr>
            <w:r w:rsidRPr="00314AF8">
              <w:rPr>
                <w:sz w:val="20"/>
                <w:szCs w:val="20"/>
              </w:rPr>
              <w:t>B+</w:t>
            </w:r>
          </w:p>
        </w:tc>
        <w:tc>
          <w:tcPr>
            <w:tcW w:w="2477" w:type="dxa"/>
            <w:hideMark/>
          </w:tcPr>
          <w:p w14:paraId="58D4F0FD" w14:textId="77777777" w:rsidR="00FA1168" w:rsidRPr="00314AF8" w:rsidRDefault="00FA1168" w:rsidP="00610144">
            <w:pPr>
              <w:pStyle w:val="14"/>
              <w:jc w:val="center"/>
              <w:rPr>
                <w:sz w:val="20"/>
                <w:szCs w:val="20"/>
              </w:rPr>
            </w:pPr>
            <w:r w:rsidRPr="00314AF8">
              <w:rPr>
                <w:sz w:val="20"/>
                <w:szCs w:val="20"/>
              </w:rPr>
              <w:t>B1</w:t>
            </w:r>
          </w:p>
        </w:tc>
        <w:tc>
          <w:tcPr>
            <w:tcW w:w="2301" w:type="dxa"/>
            <w:hideMark/>
          </w:tcPr>
          <w:p w14:paraId="7C2E013C" w14:textId="77777777" w:rsidR="00FA1168" w:rsidRPr="00314AF8" w:rsidRDefault="00FA1168" w:rsidP="00610144">
            <w:pPr>
              <w:pStyle w:val="14"/>
              <w:jc w:val="center"/>
              <w:rPr>
                <w:sz w:val="20"/>
                <w:szCs w:val="20"/>
              </w:rPr>
            </w:pPr>
            <w:r w:rsidRPr="00314AF8">
              <w:rPr>
                <w:sz w:val="20"/>
                <w:szCs w:val="20"/>
              </w:rPr>
              <w:t>B+</w:t>
            </w:r>
          </w:p>
        </w:tc>
        <w:tc>
          <w:tcPr>
            <w:tcW w:w="2379" w:type="dxa"/>
          </w:tcPr>
          <w:p w14:paraId="0BF24726" w14:textId="77777777" w:rsidR="00FA1168" w:rsidRPr="00314AF8" w:rsidRDefault="00FA1168" w:rsidP="00610144">
            <w:pPr>
              <w:pStyle w:val="14"/>
              <w:jc w:val="center"/>
              <w:rPr>
                <w:sz w:val="20"/>
                <w:szCs w:val="20"/>
              </w:rPr>
            </w:pPr>
            <w:r>
              <w:rPr>
                <w:sz w:val="20"/>
                <w:szCs w:val="20"/>
              </w:rPr>
              <w:t>6,85</w:t>
            </w:r>
          </w:p>
        </w:tc>
      </w:tr>
      <w:tr w:rsidR="00FA1168" w:rsidRPr="00314AF8" w14:paraId="2FBF8834" w14:textId="77777777" w:rsidTr="00601969">
        <w:trPr>
          <w:trHeight w:val="300"/>
        </w:trPr>
        <w:tc>
          <w:tcPr>
            <w:tcW w:w="2414" w:type="dxa"/>
            <w:hideMark/>
          </w:tcPr>
          <w:p w14:paraId="626F2296" w14:textId="77777777" w:rsidR="00FA1168" w:rsidRPr="00314AF8" w:rsidRDefault="00FA1168" w:rsidP="00610144">
            <w:pPr>
              <w:pStyle w:val="14"/>
              <w:jc w:val="center"/>
              <w:rPr>
                <w:sz w:val="20"/>
                <w:szCs w:val="20"/>
              </w:rPr>
            </w:pPr>
            <w:r w:rsidRPr="00314AF8">
              <w:rPr>
                <w:sz w:val="20"/>
                <w:szCs w:val="20"/>
              </w:rPr>
              <w:t>B-</w:t>
            </w:r>
          </w:p>
        </w:tc>
        <w:tc>
          <w:tcPr>
            <w:tcW w:w="2477" w:type="dxa"/>
            <w:hideMark/>
          </w:tcPr>
          <w:p w14:paraId="5C8ED0A6" w14:textId="77777777" w:rsidR="00FA1168" w:rsidRPr="00314AF8" w:rsidRDefault="00FA1168" w:rsidP="00610144">
            <w:pPr>
              <w:pStyle w:val="14"/>
              <w:jc w:val="center"/>
              <w:rPr>
                <w:sz w:val="20"/>
                <w:szCs w:val="20"/>
              </w:rPr>
            </w:pPr>
            <w:r w:rsidRPr="00314AF8">
              <w:rPr>
                <w:sz w:val="20"/>
                <w:szCs w:val="20"/>
              </w:rPr>
              <w:t>B3</w:t>
            </w:r>
          </w:p>
        </w:tc>
        <w:tc>
          <w:tcPr>
            <w:tcW w:w="2301" w:type="dxa"/>
            <w:hideMark/>
          </w:tcPr>
          <w:p w14:paraId="6DE74951" w14:textId="77777777" w:rsidR="00FA1168" w:rsidRPr="00314AF8" w:rsidRDefault="00FA1168" w:rsidP="00610144">
            <w:pPr>
              <w:pStyle w:val="14"/>
              <w:jc w:val="center"/>
              <w:rPr>
                <w:sz w:val="20"/>
                <w:szCs w:val="20"/>
              </w:rPr>
            </w:pPr>
            <w:r w:rsidRPr="00314AF8">
              <w:rPr>
                <w:sz w:val="20"/>
                <w:szCs w:val="20"/>
              </w:rPr>
              <w:t>B-</w:t>
            </w:r>
          </w:p>
        </w:tc>
        <w:tc>
          <w:tcPr>
            <w:tcW w:w="2379" w:type="dxa"/>
          </w:tcPr>
          <w:p w14:paraId="5CF4A089" w14:textId="77777777" w:rsidR="00FA1168" w:rsidRPr="00314AF8" w:rsidRDefault="00FA1168" w:rsidP="00610144">
            <w:pPr>
              <w:pStyle w:val="14"/>
              <w:jc w:val="center"/>
              <w:rPr>
                <w:sz w:val="20"/>
                <w:szCs w:val="20"/>
              </w:rPr>
            </w:pPr>
            <w:r>
              <w:rPr>
                <w:sz w:val="20"/>
                <w:szCs w:val="20"/>
              </w:rPr>
              <w:t>17,94</w:t>
            </w:r>
          </w:p>
        </w:tc>
      </w:tr>
      <w:tr w:rsidR="00FA1168" w:rsidRPr="00314AF8" w14:paraId="4C048231" w14:textId="77777777" w:rsidTr="00601969">
        <w:trPr>
          <w:trHeight w:val="300"/>
        </w:trPr>
        <w:tc>
          <w:tcPr>
            <w:tcW w:w="2414" w:type="dxa"/>
            <w:hideMark/>
          </w:tcPr>
          <w:p w14:paraId="61D903F6" w14:textId="77777777" w:rsidR="00FA1168" w:rsidRPr="00314AF8" w:rsidRDefault="00FA1168" w:rsidP="00610144">
            <w:pPr>
              <w:pStyle w:val="14"/>
              <w:jc w:val="center"/>
              <w:rPr>
                <w:sz w:val="20"/>
                <w:szCs w:val="20"/>
              </w:rPr>
            </w:pPr>
            <w:r w:rsidRPr="00314AF8">
              <w:rPr>
                <w:sz w:val="20"/>
                <w:szCs w:val="20"/>
              </w:rPr>
              <w:t>CCC+</w:t>
            </w:r>
          </w:p>
        </w:tc>
        <w:tc>
          <w:tcPr>
            <w:tcW w:w="2477" w:type="dxa"/>
            <w:hideMark/>
          </w:tcPr>
          <w:p w14:paraId="5D79E2BC" w14:textId="77777777" w:rsidR="00FA1168" w:rsidRPr="00314AF8" w:rsidRDefault="00FA1168" w:rsidP="00610144">
            <w:pPr>
              <w:pStyle w:val="14"/>
              <w:jc w:val="center"/>
              <w:rPr>
                <w:sz w:val="20"/>
                <w:szCs w:val="20"/>
              </w:rPr>
            </w:pPr>
            <w:r w:rsidRPr="00314AF8">
              <w:rPr>
                <w:sz w:val="20"/>
                <w:szCs w:val="20"/>
              </w:rPr>
              <w:t>Caa1</w:t>
            </w:r>
          </w:p>
        </w:tc>
        <w:tc>
          <w:tcPr>
            <w:tcW w:w="2301" w:type="dxa"/>
            <w:hideMark/>
          </w:tcPr>
          <w:p w14:paraId="27FC357E" w14:textId="77777777" w:rsidR="00FA1168" w:rsidRPr="00314AF8" w:rsidRDefault="00FA1168" w:rsidP="00610144">
            <w:pPr>
              <w:pStyle w:val="14"/>
              <w:jc w:val="center"/>
              <w:rPr>
                <w:sz w:val="20"/>
                <w:szCs w:val="20"/>
              </w:rPr>
            </w:pPr>
            <w:r w:rsidRPr="00314AF8">
              <w:rPr>
                <w:sz w:val="20"/>
                <w:szCs w:val="20"/>
              </w:rPr>
              <w:t>CCC+</w:t>
            </w:r>
          </w:p>
        </w:tc>
        <w:tc>
          <w:tcPr>
            <w:tcW w:w="2379" w:type="dxa"/>
          </w:tcPr>
          <w:p w14:paraId="119CEB88" w14:textId="77777777" w:rsidR="00FA1168" w:rsidRPr="00314AF8" w:rsidRDefault="00FA1168" w:rsidP="00610144">
            <w:pPr>
              <w:pStyle w:val="14"/>
              <w:jc w:val="center"/>
              <w:rPr>
                <w:sz w:val="20"/>
                <w:szCs w:val="20"/>
              </w:rPr>
            </w:pPr>
            <w:r>
              <w:rPr>
                <w:sz w:val="20"/>
                <w:szCs w:val="20"/>
              </w:rPr>
              <w:t>29,03</w:t>
            </w:r>
          </w:p>
        </w:tc>
      </w:tr>
      <w:tr w:rsidR="00FA1168" w:rsidRPr="00314AF8" w14:paraId="2C80003C" w14:textId="77777777" w:rsidTr="00601969">
        <w:trPr>
          <w:trHeight w:val="300"/>
        </w:trPr>
        <w:tc>
          <w:tcPr>
            <w:tcW w:w="2414" w:type="dxa"/>
            <w:hideMark/>
          </w:tcPr>
          <w:p w14:paraId="64037E12" w14:textId="77777777" w:rsidR="00FA1168" w:rsidRPr="00314AF8" w:rsidRDefault="00FA1168" w:rsidP="00610144">
            <w:pPr>
              <w:pStyle w:val="14"/>
              <w:jc w:val="center"/>
              <w:rPr>
                <w:sz w:val="20"/>
                <w:szCs w:val="20"/>
              </w:rPr>
            </w:pPr>
            <w:r w:rsidRPr="00314AF8">
              <w:rPr>
                <w:sz w:val="20"/>
                <w:szCs w:val="20"/>
              </w:rPr>
              <w:t>CCC-</w:t>
            </w:r>
          </w:p>
        </w:tc>
        <w:tc>
          <w:tcPr>
            <w:tcW w:w="2477" w:type="dxa"/>
            <w:hideMark/>
          </w:tcPr>
          <w:p w14:paraId="7508646F" w14:textId="77777777" w:rsidR="00FA1168" w:rsidRPr="00314AF8" w:rsidRDefault="00FA1168" w:rsidP="00610144">
            <w:pPr>
              <w:pStyle w:val="14"/>
              <w:jc w:val="center"/>
              <w:rPr>
                <w:sz w:val="20"/>
                <w:szCs w:val="20"/>
              </w:rPr>
            </w:pPr>
            <w:r w:rsidRPr="00314AF8">
              <w:rPr>
                <w:sz w:val="20"/>
                <w:szCs w:val="20"/>
              </w:rPr>
              <w:t>Caa3</w:t>
            </w:r>
          </w:p>
        </w:tc>
        <w:tc>
          <w:tcPr>
            <w:tcW w:w="2301" w:type="dxa"/>
            <w:hideMark/>
          </w:tcPr>
          <w:p w14:paraId="5E01E5BE" w14:textId="77777777" w:rsidR="00FA1168" w:rsidRPr="00314AF8" w:rsidRDefault="00FA1168" w:rsidP="00610144">
            <w:pPr>
              <w:pStyle w:val="14"/>
              <w:jc w:val="center"/>
              <w:rPr>
                <w:sz w:val="20"/>
                <w:szCs w:val="20"/>
              </w:rPr>
            </w:pPr>
            <w:r w:rsidRPr="00314AF8">
              <w:rPr>
                <w:sz w:val="20"/>
                <w:szCs w:val="20"/>
              </w:rPr>
              <w:t>CCC-</w:t>
            </w:r>
          </w:p>
        </w:tc>
        <w:tc>
          <w:tcPr>
            <w:tcW w:w="2379" w:type="dxa"/>
          </w:tcPr>
          <w:p w14:paraId="09D787C3" w14:textId="77777777" w:rsidR="00FA1168" w:rsidRPr="00314AF8" w:rsidRDefault="00FA1168" w:rsidP="00610144">
            <w:pPr>
              <w:pStyle w:val="14"/>
              <w:jc w:val="center"/>
              <w:rPr>
                <w:sz w:val="20"/>
                <w:szCs w:val="20"/>
              </w:rPr>
            </w:pPr>
            <w:r>
              <w:rPr>
                <w:sz w:val="20"/>
                <w:szCs w:val="20"/>
              </w:rPr>
              <w:t>46,98</w:t>
            </w:r>
          </w:p>
        </w:tc>
      </w:tr>
      <w:tr w:rsidR="00FA1168" w:rsidRPr="00314AF8" w14:paraId="5B0A80DC" w14:textId="77777777" w:rsidTr="00601969">
        <w:trPr>
          <w:trHeight w:val="300"/>
        </w:trPr>
        <w:tc>
          <w:tcPr>
            <w:tcW w:w="2414" w:type="dxa"/>
            <w:hideMark/>
          </w:tcPr>
          <w:p w14:paraId="4595C0B5" w14:textId="77777777" w:rsidR="00FA1168" w:rsidRPr="00314AF8" w:rsidRDefault="00FA1168" w:rsidP="00610144">
            <w:pPr>
              <w:pStyle w:val="14"/>
              <w:jc w:val="center"/>
              <w:rPr>
                <w:sz w:val="20"/>
                <w:szCs w:val="20"/>
              </w:rPr>
            </w:pPr>
            <w:r w:rsidRPr="00314AF8">
              <w:rPr>
                <w:sz w:val="20"/>
                <w:szCs w:val="20"/>
              </w:rPr>
              <w:t>CC</w:t>
            </w:r>
          </w:p>
        </w:tc>
        <w:tc>
          <w:tcPr>
            <w:tcW w:w="2477" w:type="dxa"/>
            <w:hideMark/>
          </w:tcPr>
          <w:p w14:paraId="1D0EC176" w14:textId="77777777" w:rsidR="00FA1168" w:rsidRPr="00314AF8" w:rsidRDefault="00FA1168" w:rsidP="00610144">
            <w:pPr>
              <w:pStyle w:val="14"/>
              <w:jc w:val="center"/>
              <w:rPr>
                <w:sz w:val="20"/>
                <w:szCs w:val="20"/>
              </w:rPr>
            </w:pPr>
            <w:r w:rsidRPr="00314AF8">
              <w:rPr>
                <w:sz w:val="20"/>
                <w:szCs w:val="20"/>
              </w:rPr>
              <w:t>Ca</w:t>
            </w:r>
          </w:p>
        </w:tc>
        <w:tc>
          <w:tcPr>
            <w:tcW w:w="2301" w:type="dxa"/>
            <w:hideMark/>
          </w:tcPr>
          <w:p w14:paraId="5A20A04F" w14:textId="77777777" w:rsidR="00FA1168" w:rsidRPr="00314AF8" w:rsidRDefault="00FA1168" w:rsidP="00610144">
            <w:pPr>
              <w:pStyle w:val="14"/>
              <w:jc w:val="center"/>
              <w:rPr>
                <w:sz w:val="20"/>
                <w:szCs w:val="20"/>
              </w:rPr>
            </w:pPr>
            <w:r w:rsidRPr="00314AF8">
              <w:rPr>
                <w:sz w:val="20"/>
                <w:szCs w:val="20"/>
              </w:rPr>
              <w:t>CC</w:t>
            </w:r>
          </w:p>
        </w:tc>
        <w:tc>
          <w:tcPr>
            <w:tcW w:w="2379" w:type="dxa"/>
          </w:tcPr>
          <w:p w14:paraId="30B2EBBD" w14:textId="77777777" w:rsidR="00FA1168" w:rsidRPr="00314AF8" w:rsidRDefault="00FA1168" w:rsidP="00610144">
            <w:pPr>
              <w:pStyle w:val="14"/>
              <w:jc w:val="center"/>
              <w:rPr>
                <w:sz w:val="20"/>
                <w:szCs w:val="20"/>
              </w:rPr>
            </w:pPr>
            <w:r>
              <w:rPr>
                <w:sz w:val="20"/>
                <w:szCs w:val="20"/>
              </w:rPr>
              <w:t>76,01</w:t>
            </w:r>
          </w:p>
        </w:tc>
      </w:tr>
      <w:tr w:rsidR="00FA1168" w:rsidRPr="00314AF8" w14:paraId="0CD7FDCB" w14:textId="77777777" w:rsidTr="00601969">
        <w:trPr>
          <w:trHeight w:val="300"/>
        </w:trPr>
        <w:tc>
          <w:tcPr>
            <w:tcW w:w="2414" w:type="dxa"/>
            <w:hideMark/>
          </w:tcPr>
          <w:p w14:paraId="3CFE5189" w14:textId="77777777" w:rsidR="00FA1168" w:rsidRPr="00314AF8" w:rsidRDefault="00FA1168" w:rsidP="00610144">
            <w:pPr>
              <w:pStyle w:val="14"/>
              <w:jc w:val="center"/>
              <w:rPr>
                <w:sz w:val="20"/>
                <w:szCs w:val="20"/>
              </w:rPr>
            </w:pPr>
            <w:r w:rsidRPr="00314AF8">
              <w:rPr>
                <w:sz w:val="20"/>
                <w:szCs w:val="20"/>
              </w:rPr>
              <w:t>C</w:t>
            </w:r>
          </w:p>
        </w:tc>
        <w:tc>
          <w:tcPr>
            <w:tcW w:w="2477" w:type="dxa"/>
            <w:hideMark/>
          </w:tcPr>
          <w:p w14:paraId="038AD7E7" w14:textId="77777777" w:rsidR="00FA1168" w:rsidRPr="00314AF8" w:rsidRDefault="00FA1168" w:rsidP="00610144">
            <w:pPr>
              <w:pStyle w:val="14"/>
              <w:jc w:val="center"/>
              <w:rPr>
                <w:sz w:val="20"/>
                <w:szCs w:val="20"/>
              </w:rPr>
            </w:pPr>
            <w:r w:rsidRPr="00314AF8">
              <w:rPr>
                <w:sz w:val="20"/>
                <w:szCs w:val="20"/>
              </w:rPr>
              <w:t>C</w:t>
            </w:r>
          </w:p>
        </w:tc>
        <w:tc>
          <w:tcPr>
            <w:tcW w:w="2301" w:type="dxa"/>
            <w:hideMark/>
          </w:tcPr>
          <w:p w14:paraId="00897850" w14:textId="77777777" w:rsidR="00FA1168" w:rsidRPr="00314AF8" w:rsidRDefault="00FA1168" w:rsidP="00610144">
            <w:pPr>
              <w:pStyle w:val="14"/>
              <w:jc w:val="center"/>
              <w:rPr>
                <w:sz w:val="20"/>
                <w:szCs w:val="20"/>
              </w:rPr>
            </w:pPr>
            <w:r w:rsidRPr="00314AF8">
              <w:rPr>
                <w:sz w:val="20"/>
                <w:szCs w:val="20"/>
              </w:rPr>
              <w:t>C</w:t>
            </w:r>
          </w:p>
        </w:tc>
        <w:tc>
          <w:tcPr>
            <w:tcW w:w="2379" w:type="dxa"/>
          </w:tcPr>
          <w:p w14:paraId="34D93BCD" w14:textId="77777777" w:rsidR="00FA1168" w:rsidRPr="00314AF8" w:rsidRDefault="00FA1168" w:rsidP="00610144">
            <w:pPr>
              <w:pStyle w:val="14"/>
              <w:jc w:val="center"/>
              <w:rPr>
                <w:sz w:val="20"/>
                <w:szCs w:val="20"/>
              </w:rPr>
            </w:pPr>
            <w:r>
              <w:rPr>
                <w:sz w:val="20"/>
                <w:szCs w:val="20"/>
              </w:rPr>
              <w:t>94,76</w:t>
            </w:r>
          </w:p>
        </w:tc>
      </w:tr>
      <w:tr w:rsidR="00FA1168" w:rsidRPr="00314AF8" w14:paraId="0E3391AA" w14:textId="77777777" w:rsidTr="00601969">
        <w:trPr>
          <w:trHeight w:val="300"/>
        </w:trPr>
        <w:tc>
          <w:tcPr>
            <w:tcW w:w="2414" w:type="dxa"/>
            <w:hideMark/>
          </w:tcPr>
          <w:p w14:paraId="55301D50" w14:textId="77777777" w:rsidR="00FA1168" w:rsidRPr="00314AF8" w:rsidRDefault="00FA1168" w:rsidP="00610144">
            <w:pPr>
              <w:pStyle w:val="14"/>
              <w:jc w:val="center"/>
              <w:rPr>
                <w:sz w:val="20"/>
                <w:szCs w:val="20"/>
              </w:rPr>
            </w:pPr>
            <w:r w:rsidRPr="00314AF8">
              <w:rPr>
                <w:sz w:val="20"/>
                <w:szCs w:val="20"/>
              </w:rPr>
              <w:t>D</w:t>
            </w:r>
          </w:p>
        </w:tc>
        <w:tc>
          <w:tcPr>
            <w:tcW w:w="2477" w:type="dxa"/>
            <w:hideMark/>
          </w:tcPr>
          <w:p w14:paraId="31E16FFA" w14:textId="77777777" w:rsidR="00FA1168" w:rsidRPr="00314AF8" w:rsidRDefault="00FA1168" w:rsidP="00610144">
            <w:pPr>
              <w:pStyle w:val="14"/>
              <w:jc w:val="center"/>
              <w:rPr>
                <w:sz w:val="20"/>
                <w:szCs w:val="20"/>
              </w:rPr>
            </w:pPr>
          </w:p>
        </w:tc>
        <w:tc>
          <w:tcPr>
            <w:tcW w:w="2301" w:type="dxa"/>
            <w:hideMark/>
          </w:tcPr>
          <w:p w14:paraId="309186D0" w14:textId="77777777" w:rsidR="00FA1168" w:rsidRPr="00314AF8" w:rsidRDefault="00FA1168" w:rsidP="00610144">
            <w:pPr>
              <w:pStyle w:val="14"/>
              <w:jc w:val="center"/>
              <w:rPr>
                <w:sz w:val="20"/>
                <w:szCs w:val="20"/>
              </w:rPr>
            </w:pPr>
            <w:r w:rsidRPr="00314AF8">
              <w:rPr>
                <w:sz w:val="20"/>
                <w:szCs w:val="20"/>
              </w:rPr>
              <w:t>D</w:t>
            </w:r>
          </w:p>
        </w:tc>
        <w:tc>
          <w:tcPr>
            <w:tcW w:w="2379" w:type="dxa"/>
          </w:tcPr>
          <w:p w14:paraId="59EDADDB" w14:textId="77777777" w:rsidR="00FA1168" w:rsidRPr="00314AF8" w:rsidRDefault="00FA1168" w:rsidP="00610144">
            <w:pPr>
              <w:pStyle w:val="14"/>
              <w:jc w:val="center"/>
              <w:rPr>
                <w:sz w:val="20"/>
                <w:szCs w:val="20"/>
              </w:rPr>
            </w:pPr>
            <w:r>
              <w:rPr>
                <w:sz w:val="20"/>
                <w:szCs w:val="20"/>
              </w:rPr>
              <w:t>100</w:t>
            </w:r>
          </w:p>
        </w:tc>
      </w:tr>
    </w:tbl>
    <w:p w14:paraId="6B67D7D5" w14:textId="77777777" w:rsidR="00FA1168" w:rsidRPr="00795340" w:rsidRDefault="00FA1168" w:rsidP="00FA1168">
      <w:pPr>
        <w:pStyle w:val="a6"/>
        <w:ind w:firstLine="708"/>
      </w:pPr>
      <w:r w:rsidRPr="0046585A">
        <w:rPr>
          <w:i/>
        </w:rPr>
        <w:t>Источник:</w:t>
      </w:r>
      <w:r>
        <w:t xml:space="preserve"> таблица </w:t>
      </w:r>
      <w:r w:rsidRPr="0046585A">
        <w:t>составлен</w:t>
      </w:r>
      <w:r>
        <w:t xml:space="preserve">а автором статьи Международные рейтинговые агентства // </w:t>
      </w:r>
      <w:r w:rsidRPr="00767914">
        <w:t>«Сравни.ру»</w:t>
      </w:r>
      <w:r>
        <w:t xml:space="preserve"> [Электронный ресурс] – Режим доступа: </w:t>
      </w:r>
      <w:r w:rsidRPr="00767914">
        <w:t>https://www.sravni.ru/enciklopediya/info/mezhdunarodnye-rejtingovye-agentstva/</w:t>
      </w:r>
      <w:r>
        <w:t xml:space="preserve"> - Загл. с экрана – 2009–2018, а также Rating Methodology // Moody's Investors Service, 2016 Jan. – p. 110 – [Электронный ресурс] – Режим доступа: </w:t>
      </w:r>
      <w:r w:rsidRPr="00795340">
        <w:t>https://www.moodys.com/researchdocumentcontentpage.aspx?docid=PBC_186998</w:t>
      </w:r>
    </w:p>
    <w:p w14:paraId="09D0059C" w14:textId="77777777" w:rsidR="00FA1168" w:rsidRDefault="00FA1168" w:rsidP="00FA1168">
      <w:pPr>
        <w:pStyle w:val="a6"/>
        <w:ind w:firstLine="708"/>
      </w:pPr>
    </w:p>
    <w:p w14:paraId="0C73F5A3" w14:textId="77777777" w:rsidR="00FA1168" w:rsidRDefault="00FA1168" w:rsidP="00FA1168">
      <w:pPr>
        <w:pStyle w:val="a6"/>
        <w:ind w:firstLine="708"/>
      </w:pPr>
      <w:r w:rsidRPr="008120C4">
        <w:t xml:space="preserve">Самыми </w:t>
      </w:r>
      <w:r>
        <w:t>известными</w:t>
      </w:r>
      <w:r w:rsidRPr="008120C4">
        <w:t xml:space="preserve"> из рейтинговых </w:t>
      </w:r>
      <w:r>
        <w:t>агентств</w:t>
      </w:r>
      <w:r w:rsidRPr="008120C4">
        <w:t xml:space="preserve"> являются Standard &amp; Poor's (S &amp; P), Moody's &amp; Fitch. Рейтинги представляют собой показатель относительной кредитоспособности предприятия с учетом широкого спектра факторов, таких как условия </w:t>
      </w:r>
      <w:r>
        <w:t>внешней</w:t>
      </w:r>
      <w:r w:rsidRPr="008120C4">
        <w:t xml:space="preserve"> среды, конкурентоспособность, качество управления и финансовая устойчивост</w:t>
      </w:r>
      <w:r>
        <w:t>ь бизнеса. В таблице 5 приведены данные по шкалам рейтингов известных агентств</w:t>
      </w:r>
      <w:r w:rsidRPr="008120C4">
        <w:t xml:space="preserve">. </w:t>
      </w:r>
      <w:r>
        <w:t>Данное сравнение рейтингов важно</w:t>
      </w:r>
      <w:r w:rsidRPr="008120C4">
        <w:t xml:space="preserve">, когда кредитные портфели включают компании, содержащие рейтинги от различных рейтинговых </w:t>
      </w:r>
      <w:r>
        <w:t>агентств</w:t>
      </w:r>
      <w:r w:rsidRPr="008120C4">
        <w:t>. На основе оценок S &amp; P: - AAA: чрезвычайно сильная способность отвечать</w:t>
      </w:r>
      <w:r>
        <w:t xml:space="preserve"> по</w:t>
      </w:r>
      <w:r w:rsidRPr="008120C4">
        <w:t xml:space="preserve"> финансовым обязательствам </w:t>
      </w:r>
      <w:r>
        <w:t>- самый высокий рейтинг; АА: о</w:t>
      </w:r>
      <w:r w:rsidRPr="008120C4">
        <w:t xml:space="preserve">чень </w:t>
      </w:r>
      <w:r>
        <w:t>высокая</w:t>
      </w:r>
      <w:r w:rsidRPr="008120C4">
        <w:t xml:space="preserve"> способность выполнять финансовые обязательства; </w:t>
      </w:r>
      <w:r w:rsidRPr="008120C4">
        <w:lastRenderedPageBreak/>
        <w:t xml:space="preserve">A: </w:t>
      </w:r>
      <w:r>
        <w:t>высокая</w:t>
      </w:r>
      <w:r w:rsidRPr="008120C4">
        <w:t xml:space="preserve"> способность выполнять финансовые обязательства, но несколько подвержена неблагоприятным экономическим условиям и изменениям обстоятельств; BBB: считается </w:t>
      </w:r>
      <w:r>
        <w:t>участниками рынка самым высоким кредитным риском среди компаний инвестиционного качества; BB: компания м</w:t>
      </w:r>
      <w:r w:rsidRPr="008120C4">
        <w:t>енее уязвим</w:t>
      </w:r>
      <w:r>
        <w:t>а</w:t>
      </w:r>
      <w:r w:rsidRPr="008120C4">
        <w:t xml:space="preserve"> в краткосрочной перспективе, но сталкивается с существенной неоп</w:t>
      </w:r>
      <w:r>
        <w:t xml:space="preserve">ределенностью в неблагоприятных </w:t>
      </w:r>
      <w:r w:rsidRPr="008120C4">
        <w:t xml:space="preserve">экономических условиях; B: более </w:t>
      </w:r>
      <w:r>
        <w:t>высокая степень уязвимости</w:t>
      </w:r>
      <w:r w:rsidRPr="008120C4">
        <w:t xml:space="preserve"> для неблагоприятных деловых, финансовых и экономических условий, но в настоящее время имеет способность выполнять финансовые обязательства; </w:t>
      </w:r>
      <w:r>
        <w:t>ССС</w:t>
      </w:r>
      <w:r w:rsidRPr="008120C4">
        <w:t xml:space="preserve">: в настоящее время </w:t>
      </w:r>
      <w:r>
        <w:t>высокая уязвимость и зависимость</w:t>
      </w:r>
      <w:r w:rsidRPr="008120C4">
        <w:t xml:space="preserve"> от благоприятных деловых, финансовых и экономических условий для выполнени</w:t>
      </w:r>
      <w:r>
        <w:t>я финансовых обязательств; CC: очень незащищенное финансовое состояние; C: крайняя уязвимость и высокий риск дефолта, а также присутствуют</w:t>
      </w:r>
      <w:r w:rsidRPr="008120C4">
        <w:t xml:space="preserve"> другие </w:t>
      </w:r>
      <w:r>
        <w:t>неблагоприятные обстоятельства; D: дефолт</w:t>
      </w:r>
      <w:r w:rsidRPr="008120C4">
        <w:t xml:space="preserve"> по финансовым обязательствам.</w:t>
      </w:r>
    </w:p>
    <w:p w14:paraId="57A31806" w14:textId="77777777" w:rsidR="00FA1168" w:rsidRDefault="00FA1168" w:rsidP="00FA1168">
      <w:pPr>
        <w:pStyle w:val="a6"/>
      </w:pPr>
      <w:r>
        <w:t xml:space="preserve">Второй распространенный подход моделей на основе данных рейтинговых агентств – подход на основе дюрации. Он предусматривает постепенный процесс наступления банкротства вместо рассмотрения результата на конец временного периода. </w:t>
      </w:r>
    </w:p>
    <w:p w14:paraId="26DD85A8" w14:textId="77777777" w:rsidR="00FA1168" w:rsidRDefault="00FA1168" w:rsidP="00FA1168">
      <w:pPr>
        <w:pStyle w:val="a6"/>
      </w:pPr>
      <w:r>
        <w:t>Положительными аспектами моделей на основе данных рейтинговых агентств являются их простота и высокая предсказательная сила на момент оценки.</w:t>
      </w:r>
    </w:p>
    <w:p w14:paraId="1B5D51F4" w14:textId="77777777" w:rsidR="00FA1168" w:rsidRDefault="00FA1168" w:rsidP="00FA1168">
      <w:pPr>
        <w:pStyle w:val="a6"/>
      </w:pPr>
      <w:r>
        <w:t>Однако не все компании обладают рейтингом специализированных агентств. Даже если у компании-заемщика существует присвоенный ей рейтинг, то данная оценка может не отражать действительности в силу временной задержки оценки кредитоспособности компании рейтинговыми агентствами.</w:t>
      </w:r>
    </w:p>
    <w:p w14:paraId="661DC1E6" w14:textId="77777777" w:rsidR="00FA1168" w:rsidRPr="00032234" w:rsidRDefault="00FA1168" w:rsidP="00FA1168">
      <w:pPr>
        <w:pStyle w:val="a6"/>
        <w:rPr>
          <w:b/>
        </w:rPr>
      </w:pPr>
      <w:r w:rsidRPr="00032234">
        <w:rPr>
          <w:b/>
        </w:rPr>
        <w:t>Модели на основе показателей бухгалтерской и финансовой отчетности</w:t>
      </w:r>
    </w:p>
    <w:p w14:paraId="1EA4809B" w14:textId="77777777" w:rsidR="00FA1168" w:rsidRDefault="00FA1168" w:rsidP="00FA1168">
      <w:pPr>
        <w:pStyle w:val="a6"/>
      </w:pPr>
      <w:r>
        <w:t>Большой популярностью для оценки кредитоспособности заемщика пользуются модели, которые базируются на данных финансовой отчетности компании. Среди них можно выделить скоринговые модели, которые используются банками для первичного анализа большого количества потенциальных заемщиков, модели дискриминантного анализа, а также бинарные модели.</w:t>
      </w:r>
    </w:p>
    <w:p w14:paraId="27E66AF0" w14:textId="77777777" w:rsidR="00FA1168" w:rsidRDefault="00FA1168" w:rsidP="00FA1168">
      <w:pPr>
        <w:pStyle w:val="a6"/>
      </w:pPr>
      <w:r w:rsidRPr="00B13A57">
        <w:t xml:space="preserve">Модель кредитного скоринга — это инструмент, который обычно используется в процессе принятия решений о </w:t>
      </w:r>
      <w:r>
        <w:t>предоставлении</w:t>
      </w:r>
      <w:r w:rsidRPr="00B13A57">
        <w:t xml:space="preserve"> или отклонении кредита. Модель кредитного скоринга является результатом статистической модели, которая основ</w:t>
      </w:r>
      <w:r>
        <w:t>ывается на информации о заемщике, п</w:t>
      </w:r>
      <w:r w:rsidRPr="00B13A57">
        <w:t>озволяет различать «хорошие» и «плохие» кредиты и давать оценку вероятност</w:t>
      </w:r>
      <w:r>
        <w:t>и</w:t>
      </w:r>
      <w:r w:rsidRPr="00B13A57">
        <w:t xml:space="preserve"> дефолта. </w:t>
      </w:r>
      <w:r>
        <w:t xml:space="preserve">Скоринг активно применяется в банковской деятельности при анализе однородных кредитных портфелей. По сравнению с первоначальным прототипом, созданным американским ученым Дэвидом Дюраном в середине прошлого </w:t>
      </w:r>
      <w:r>
        <w:lastRenderedPageBreak/>
        <w:t>века, сегодняшние скоринговые модели включают и анализируют гораздо большее количество характеристик заемщика, нежели его пол, возраст, достаток и профессия.</w:t>
      </w:r>
      <w:r>
        <w:rPr>
          <w:rStyle w:val="a9"/>
        </w:rPr>
        <w:footnoteReference w:id="38"/>
      </w:r>
      <w:r>
        <w:t xml:space="preserve">.  </w:t>
      </w:r>
    </w:p>
    <w:p w14:paraId="4DA14E9B" w14:textId="77777777" w:rsidR="00FA1168" w:rsidRPr="00957929" w:rsidRDefault="00FA1168" w:rsidP="00FA1168">
      <w:pPr>
        <w:pStyle w:val="a6"/>
      </w:pPr>
      <w:r>
        <w:t>Самой распространенной моделью оценки риска дефолта компании методом множественного дискриминантного анализа является модель Альтмана. В своей работе</w:t>
      </w:r>
      <w:r>
        <w:rPr>
          <w:rStyle w:val="a9"/>
        </w:rPr>
        <w:footnoteReference w:id="39"/>
      </w:r>
      <w:r>
        <w:t xml:space="preserve"> «</w:t>
      </w:r>
      <w:r w:rsidRPr="00314AF8">
        <w:rPr>
          <w:lang w:val="en-US"/>
        </w:rPr>
        <w:t>Financial</w:t>
      </w:r>
      <w:r w:rsidRPr="00CE03BB">
        <w:t xml:space="preserve"> </w:t>
      </w:r>
      <w:r w:rsidRPr="00314AF8">
        <w:rPr>
          <w:lang w:val="en-US"/>
        </w:rPr>
        <w:t>ratios</w:t>
      </w:r>
      <w:r w:rsidRPr="00CE03BB">
        <w:t xml:space="preserve">. </w:t>
      </w:r>
      <w:r w:rsidRPr="00314AF8">
        <w:rPr>
          <w:lang w:val="en-US"/>
        </w:rPr>
        <w:t>Discriminant</w:t>
      </w:r>
      <w:r w:rsidRPr="00CE03BB">
        <w:t xml:space="preserve"> </w:t>
      </w:r>
      <w:r w:rsidRPr="00314AF8">
        <w:rPr>
          <w:lang w:val="en-US"/>
        </w:rPr>
        <w:t>analysis</w:t>
      </w:r>
      <w:r w:rsidRPr="00CE03BB">
        <w:t xml:space="preserve">, </w:t>
      </w:r>
      <w:r w:rsidRPr="00314AF8">
        <w:rPr>
          <w:lang w:val="en-US"/>
        </w:rPr>
        <w:t>and</w:t>
      </w:r>
      <w:r w:rsidRPr="00CE03BB">
        <w:t xml:space="preserve"> </w:t>
      </w:r>
      <w:r w:rsidRPr="00314AF8">
        <w:rPr>
          <w:lang w:val="en-US"/>
        </w:rPr>
        <w:t>the</w:t>
      </w:r>
      <w:r w:rsidRPr="00CE03BB">
        <w:t xml:space="preserve"> </w:t>
      </w:r>
      <w:r w:rsidRPr="00314AF8">
        <w:rPr>
          <w:lang w:val="en-US"/>
        </w:rPr>
        <w:t>prediction</w:t>
      </w:r>
      <w:r w:rsidRPr="00CE03BB">
        <w:t xml:space="preserve"> </w:t>
      </w:r>
      <w:r w:rsidRPr="00314AF8">
        <w:rPr>
          <w:lang w:val="en-US"/>
        </w:rPr>
        <w:t>of</w:t>
      </w:r>
      <w:r w:rsidRPr="00CE03BB">
        <w:t xml:space="preserve"> </w:t>
      </w:r>
      <w:r w:rsidRPr="00314AF8">
        <w:rPr>
          <w:lang w:val="en-US"/>
        </w:rPr>
        <w:t>corporate</w:t>
      </w:r>
      <w:r w:rsidRPr="00CE03BB">
        <w:t xml:space="preserve"> </w:t>
      </w:r>
      <w:r w:rsidRPr="00314AF8">
        <w:rPr>
          <w:lang w:val="en-US"/>
        </w:rPr>
        <w:t>bankruptcy</w:t>
      </w:r>
      <w:r>
        <w:t xml:space="preserve">» он исследовал 66 американских производственных компаний с 1946 по 1965 год и вывел </w:t>
      </w:r>
      <w:r>
        <w:rPr>
          <w:lang w:val="en-US"/>
        </w:rPr>
        <w:t>Z</w:t>
      </w:r>
      <w:r w:rsidRPr="00513EE0">
        <w:t>-</w:t>
      </w:r>
      <w:r>
        <w:t xml:space="preserve">дискриминант, который позволяет отнести компании к банкротам или не банкротам. Достоинство множественного дискриминантного анализа состоит в том, что он рассматривает весь профиль параметров, присущих фирме, а также их взаимодействие. Дискриминантная функция преобразует значение переменных в один дискриминантный балл, или значение </w:t>
      </w:r>
      <w:r>
        <w:rPr>
          <w:lang w:val="en-US"/>
        </w:rPr>
        <w:t>Z</w:t>
      </w:r>
      <w:r w:rsidRPr="00957929">
        <w:t xml:space="preserve">, </w:t>
      </w:r>
      <w:r>
        <w:t>которое затем используется для классификации компаний</w:t>
      </w:r>
      <w:r w:rsidRPr="00957929">
        <w:t xml:space="preserve">. </w:t>
      </w:r>
      <w:r>
        <w:t>Функция, полученная Альтманом, имеет следующий вид:</w:t>
      </w:r>
    </w:p>
    <w:p w14:paraId="40516CD8" w14:textId="77777777" w:rsidR="00FA1168" w:rsidRPr="006868AA" w:rsidRDefault="00FA1168" w:rsidP="00FA1168">
      <w:pPr>
        <w:pStyle w:val="a6"/>
        <w:rPr>
          <w:i/>
        </w:rPr>
      </w:pPr>
      <m:oMathPara>
        <m:oMath>
          <m:r>
            <w:rPr>
              <w:rFonts w:ascii="Cambria Math" w:hAnsi="Cambria Math"/>
            </w:rPr>
            <m:t>Z= 1,2</m:t>
          </m:r>
          <m:sSub>
            <m:sSubPr>
              <m:ctrlPr>
                <w:rPr>
                  <w:rFonts w:ascii="Cambria Math" w:eastAsiaTheme="minorHAnsi" w:hAnsi="Cambria Math"/>
                  <w:i/>
                  <w:szCs w:val="22"/>
                  <w:lang w:val="en-US"/>
                </w:rPr>
              </m:ctrlPr>
            </m:sSubPr>
            <m:e>
              <m:r>
                <w:rPr>
                  <w:rFonts w:ascii="Cambria Math" w:hAnsi="Cambria Math"/>
                  <w:lang w:val="en-US"/>
                </w:rPr>
                <m:t>X</m:t>
              </m:r>
            </m:e>
            <m:sub>
              <m:r>
                <w:rPr>
                  <w:rFonts w:ascii="Cambria Math" w:hAnsi="Cambria Math"/>
                </w:rPr>
                <m:t>1</m:t>
              </m:r>
            </m:sub>
          </m:sSub>
          <m:r>
            <w:rPr>
              <w:rFonts w:ascii="Cambria Math" w:hAnsi="Cambria Math"/>
            </w:rPr>
            <m:t>+ 1,4</m:t>
          </m:r>
          <m:sSub>
            <m:sSubPr>
              <m:ctrlPr>
                <w:rPr>
                  <w:rFonts w:ascii="Cambria Math" w:eastAsiaTheme="minorHAnsi" w:hAnsi="Cambria Math"/>
                  <w:i/>
                  <w:szCs w:val="22"/>
                  <w:lang w:val="en-US"/>
                </w:rPr>
              </m:ctrlPr>
            </m:sSubPr>
            <m:e>
              <m:r>
                <w:rPr>
                  <w:rFonts w:ascii="Cambria Math" w:hAnsi="Cambria Math"/>
                  <w:lang w:val="en-US"/>
                </w:rPr>
                <m:t>X</m:t>
              </m:r>
            </m:e>
            <m:sub>
              <m:r>
                <w:rPr>
                  <w:rFonts w:ascii="Cambria Math" w:hAnsi="Cambria Math"/>
                </w:rPr>
                <m:t>2</m:t>
              </m:r>
            </m:sub>
          </m:sSub>
          <m:r>
            <w:rPr>
              <w:rFonts w:ascii="Cambria Math" w:hAnsi="Cambria Math"/>
            </w:rPr>
            <m:t>+3,3</m:t>
          </m:r>
          <m:sSub>
            <m:sSubPr>
              <m:ctrlPr>
                <w:rPr>
                  <w:rFonts w:ascii="Cambria Math" w:eastAsiaTheme="minorHAnsi" w:hAnsi="Cambria Math"/>
                  <w:i/>
                  <w:szCs w:val="22"/>
                  <w:lang w:val="en-US"/>
                </w:rPr>
              </m:ctrlPr>
            </m:sSubPr>
            <m:e>
              <m:r>
                <w:rPr>
                  <w:rFonts w:ascii="Cambria Math" w:hAnsi="Cambria Math"/>
                  <w:lang w:val="en-US"/>
                </w:rPr>
                <m:t>X</m:t>
              </m:r>
            </m:e>
            <m:sub>
              <m:r>
                <w:rPr>
                  <w:rFonts w:ascii="Cambria Math" w:hAnsi="Cambria Math"/>
                </w:rPr>
                <m:t>3</m:t>
              </m:r>
            </m:sub>
          </m:sSub>
          <m:r>
            <w:rPr>
              <w:rFonts w:ascii="Cambria Math" w:hAnsi="Cambria Math"/>
            </w:rPr>
            <m:t>+0,6</m:t>
          </m:r>
          <m:sSub>
            <m:sSubPr>
              <m:ctrlPr>
                <w:rPr>
                  <w:rFonts w:ascii="Cambria Math" w:eastAsiaTheme="minorHAnsi" w:hAnsi="Cambria Math"/>
                  <w:i/>
                  <w:szCs w:val="22"/>
                  <w:lang w:val="en-US"/>
                </w:rPr>
              </m:ctrlPr>
            </m:sSubPr>
            <m:e>
              <m:r>
                <w:rPr>
                  <w:rFonts w:ascii="Cambria Math" w:hAnsi="Cambria Math"/>
                  <w:lang w:val="en-US"/>
                </w:rPr>
                <m:t>X</m:t>
              </m:r>
            </m:e>
            <m:sub>
              <m:r>
                <w:rPr>
                  <w:rFonts w:ascii="Cambria Math" w:hAnsi="Cambria Math"/>
                </w:rPr>
                <m:t>4</m:t>
              </m:r>
            </m:sub>
          </m:sSub>
          <m:r>
            <w:rPr>
              <w:rFonts w:ascii="Cambria Math" w:hAnsi="Cambria Math"/>
            </w:rPr>
            <m:t>+0,999</m:t>
          </m:r>
          <m:sSub>
            <m:sSubPr>
              <m:ctrlPr>
                <w:rPr>
                  <w:rFonts w:ascii="Cambria Math" w:eastAsiaTheme="minorHAnsi" w:hAnsi="Cambria Math"/>
                  <w:i/>
                  <w:szCs w:val="22"/>
                  <w:lang w:val="en-US"/>
                </w:rPr>
              </m:ctrlPr>
            </m:sSubPr>
            <m:e>
              <m:r>
                <w:rPr>
                  <w:rFonts w:ascii="Cambria Math" w:hAnsi="Cambria Math"/>
                  <w:lang w:val="en-US"/>
                </w:rPr>
                <m:t>X</m:t>
              </m:r>
            </m:e>
            <m:sub>
              <m:r>
                <w:rPr>
                  <w:rFonts w:ascii="Cambria Math" w:hAnsi="Cambria Math"/>
                </w:rPr>
                <m:t>5</m:t>
              </m:r>
            </m:sub>
          </m:sSub>
          <m:r>
            <w:rPr>
              <w:rFonts w:ascii="Cambria Math" w:hAnsi="Cambria Math"/>
            </w:rPr>
            <m:t xml:space="preserve"> </m:t>
          </m:r>
        </m:oMath>
      </m:oMathPara>
    </w:p>
    <w:p w14:paraId="0EC980D3" w14:textId="77777777" w:rsidR="00FA1168" w:rsidRDefault="00FA1168" w:rsidP="00FA1168">
      <w:pPr>
        <w:pStyle w:val="a6"/>
      </w:pPr>
      <w:r>
        <w:t xml:space="preserve"> </w:t>
      </w:r>
    </w:p>
    <w:p w14:paraId="635FD6C6" w14:textId="77777777" w:rsidR="00FA1168" w:rsidRDefault="00FA1168" w:rsidP="00FA1168">
      <w:pPr>
        <w:pStyle w:val="a6"/>
      </w:pPr>
      <w:r>
        <w:t xml:space="preserve">Где </w:t>
      </w:r>
      <w:r>
        <w:rPr>
          <w:lang w:val="en-US"/>
        </w:rPr>
        <w:t>Z</w:t>
      </w:r>
      <w:r w:rsidRPr="00957929">
        <w:t xml:space="preserve"> – </w:t>
      </w:r>
      <w:r>
        <w:t xml:space="preserve">результирующее значение дискриминанта, </w:t>
      </w:r>
      <w:r w:rsidRPr="00957929">
        <w:t>X</w:t>
      </w:r>
      <w:r>
        <w:rPr>
          <w:position w:val="-6"/>
          <w:sz w:val="12"/>
          <w:szCs w:val="12"/>
        </w:rPr>
        <w:t xml:space="preserve">1 </w:t>
      </w:r>
      <w:r>
        <w:t xml:space="preserve">— доля чистого оборотного капитала в сумме активов, </w:t>
      </w:r>
      <w:r w:rsidRPr="00957929">
        <w:t>X</w:t>
      </w:r>
      <w:r>
        <w:rPr>
          <w:position w:val="-6"/>
          <w:sz w:val="12"/>
          <w:szCs w:val="12"/>
        </w:rPr>
        <w:t xml:space="preserve">2 </w:t>
      </w:r>
      <w:r>
        <w:t xml:space="preserve">—  доля нераспределенной прибыли в общей сумме активов, </w:t>
      </w:r>
      <w:r w:rsidRPr="00957929">
        <w:t>X</w:t>
      </w:r>
      <w:r>
        <w:rPr>
          <w:position w:val="-6"/>
          <w:sz w:val="12"/>
          <w:szCs w:val="12"/>
        </w:rPr>
        <w:t xml:space="preserve">3 </w:t>
      </w:r>
      <w:r>
        <w:t xml:space="preserve">— доля прибыли до уплаты процентов и налогов в активах, </w:t>
      </w:r>
      <w:r w:rsidRPr="00957929">
        <w:t>X</w:t>
      </w:r>
      <w:r>
        <w:rPr>
          <w:position w:val="-6"/>
          <w:sz w:val="12"/>
          <w:szCs w:val="12"/>
        </w:rPr>
        <w:t xml:space="preserve">4 </w:t>
      </w:r>
      <w:r>
        <w:t xml:space="preserve">— отношение собственного капитала к объему обязательств, </w:t>
      </w:r>
      <w:r w:rsidRPr="00957929">
        <w:t>X</w:t>
      </w:r>
      <w:r>
        <w:rPr>
          <w:position w:val="-6"/>
          <w:sz w:val="12"/>
          <w:szCs w:val="12"/>
        </w:rPr>
        <w:t xml:space="preserve">5 </w:t>
      </w:r>
      <w:r>
        <w:t xml:space="preserve">— доля выручки в общих активах. Таким образом, переменные представляют пять категорий стандартных коэффициентов, включая ликвидность, доходность, леверидж, финансовую устойчивость и оборачиваемость. </w:t>
      </w:r>
    </w:p>
    <w:p w14:paraId="6EBF45A4" w14:textId="26B99492" w:rsidR="00FA1168" w:rsidRPr="00EE2DCF" w:rsidRDefault="00FA1168" w:rsidP="00FA1168">
      <w:pPr>
        <w:pStyle w:val="a6"/>
      </w:pPr>
      <w:r>
        <w:t xml:space="preserve">На основе значения </w:t>
      </w:r>
      <w:r>
        <w:rPr>
          <w:lang w:val="en-US"/>
        </w:rPr>
        <w:t>Z</w:t>
      </w:r>
      <w:r w:rsidRPr="00595A5F">
        <w:t>-</w:t>
      </w:r>
      <w:r>
        <w:rPr>
          <w:lang w:val="en-US"/>
        </w:rPr>
        <w:t>score</w:t>
      </w:r>
      <w:r w:rsidRPr="00595A5F">
        <w:t xml:space="preserve"> </w:t>
      </w:r>
      <w:r>
        <w:t xml:space="preserve">Альтман делал вывод о риске дефолта компании. Если значение </w:t>
      </w:r>
      <w:r w:rsidRPr="00EE2DCF">
        <w:t>дискриминанта Z</w:t>
      </w:r>
      <w:r>
        <w:t xml:space="preserve"> </w:t>
      </w:r>
      <w:r w:rsidRPr="00EE2DCF">
        <w:t>&gt;</w:t>
      </w:r>
      <w:r>
        <w:t>2,9, то компания попадает в зону финансовой устойчивости и вероятность банкротства крайне мала. Е</w:t>
      </w:r>
      <w:r w:rsidRPr="00EE2DCF">
        <w:t xml:space="preserve">сли </w:t>
      </w:r>
      <w:r>
        <w:t xml:space="preserve">результирующее значение в интервале от </w:t>
      </w:r>
      <w:r w:rsidRPr="00EE2DCF">
        <w:t>1,8</w:t>
      </w:r>
      <w:r>
        <w:t xml:space="preserve"> до 2,9, то точно определить компанию в какую-либо группу не представляется возможным, это так называемая серая зона. И наконец, компания относится к группе потенциальных банкротов, если значение ее </w:t>
      </w:r>
      <w:r>
        <w:rPr>
          <w:lang w:val="en-US"/>
        </w:rPr>
        <w:t>Z</w:t>
      </w:r>
      <w:r w:rsidR="00154CC2">
        <w:t>-</w:t>
      </w:r>
      <w:r>
        <w:t>дискриминанта меньше 1,8.</w:t>
      </w:r>
    </w:p>
    <w:p w14:paraId="3ADF8B01" w14:textId="77777777" w:rsidR="00FA1168" w:rsidRPr="00595A5F" w:rsidRDefault="00FA1168" w:rsidP="00FA1168">
      <w:pPr>
        <w:pStyle w:val="a6"/>
      </w:pPr>
      <w:r>
        <w:t xml:space="preserve">Огромным преимуществом модели Альтмана является ее высокая точность прогнозирования (до 70% верно предсказанных дефолтов за пять лет). </w:t>
      </w:r>
    </w:p>
    <w:p w14:paraId="2CE48AE5" w14:textId="77777777" w:rsidR="00FA1168" w:rsidRDefault="00FA1168" w:rsidP="00FA1168">
      <w:pPr>
        <w:pStyle w:val="a6"/>
      </w:pPr>
      <w:r>
        <w:t xml:space="preserve">В данном подклассе моделей также целесообразно рассмотреть модель Д. Чессера, которая направлена не только на выявление потенциального дефолта, но и любых отклонений от договора между кредитором и заемщиком. Чессер исследовал 74 </w:t>
      </w:r>
      <w:r>
        <w:lastRenderedPageBreak/>
        <w:t xml:space="preserve">банковских кредита, равное количество которых принадлежало группам хороших и плохих заемщиков, то есть тех, кто полностью и не в полной мере выполнил условия договора, соответственно. На основе анализа показателей финансовой отчетности автор вывел следующую модель. </w:t>
      </w:r>
    </w:p>
    <w:p w14:paraId="56B12B63" w14:textId="77777777" w:rsidR="00FA1168" w:rsidRPr="009F7825" w:rsidRDefault="007457BE" w:rsidP="00FA1168">
      <w:pPr>
        <w:pStyle w:val="a6"/>
        <w:rPr>
          <w:rFonts w:eastAsiaTheme="minorEastAsia"/>
        </w:rPr>
      </w:pPr>
      <m:oMathPara>
        <m:oMath>
          <m:sSub>
            <m:sSubPr>
              <m:ctrlPr>
                <w:rPr>
                  <w:rFonts w:ascii="Cambria Math" w:eastAsiaTheme="minorHAnsi" w:hAnsi="Cambria Math"/>
                  <w:i/>
                  <w:lang w:eastAsia="en-US"/>
                </w:rPr>
              </m:ctrlPr>
            </m:sSubPr>
            <m:e>
              <m:r>
                <w:rPr>
                  <w:rFonts w:ascii="Cambria Math" w:hAnsi="Cambria Math"/>
                </w:rPr>
                <m:t>Z</m:t>
              </m:r>
            </m:e>
            <m:sub>
              <m:r>
                <w:rPr>
                  <w:rFonts w:ascii="Cambria Math" w:hAnsi="Cambria Math"/>
                </w:rPr>
                <m:t>Chesser</m:t>
              </m:r>
            </m:sub>
          </m:sSub>
          <m:r>
            <w:rPr>
              <w:rFonts w:ascii="Cambria Math" w:hAnsi="Cambria Math"/>
            </w:rPr>
            <m:t xml:space="preserve">= </m:t>
          </m:r>
          <m:f>
            <m:fPr>
              <m:ctrlPr>
                <w:rPr>
                  <w:rFonts w:ascii="Cambria Math" w:eastAsiaTheme="minorHAnsi" w:hAnsi="Cambria Math"/>
                  <w:i/>
                  <w:lang w:eastAsia="en-US"/>
                </w:rPr>
              </m:ctrlPr>
            </m:fPr>
            <m:num>
              <m:r>
                <w:rPr>
                  <w:rFonts w:ascii="Cambria Math" w:hAnsi="Cambria Math"/>
                </w:rPr>
                <m:t>1</m:t>
              </m:r>
            </m:num>
            <m:den>
              <m:r>
                <w:rPr>
                  <w:rFonts w:ascii="Cambria Math" w:hAnsi="Cambria Math"/>
                </w:rPr>
                <m:t>1+</m:t>
              </m:r>
              <m:sSup>
                <m:sSupPr>
                  <m:ctrlPr>
                    <w:rPr>
                      <w:rFonts w:ascii="Cambria Math" w:eastAsiaTheme="minorHAnsi" w:hAnsi="Cambria Math"/>
                      <w:i/>
                      <w:lang w:eastAsia="en-US"/>
                    </w:rPr>
                  </m:ctrlPr>
                </m:sSupPr>
                <m:e>
                  <m:r>
                    <w:rPr>
                      <w:rFonts w:ascii="Cambria Math" w:hAnsi="Cambria Math"/>
                    </w:rPr>
                    <m:t>e</m:t>
                  </m:r>
                </m:e>
                <m:sup>
                  <m:r>
                    <w:rPr>
                      <w:rFonts w:ascii="Cambria Math" w:hAnsi="Cambria Math"/>
                    </w:rPr>
                    <m:t>-Y</m:t>
                  </m:r>
                </m:sup>
              </m:sSup>
            </m:den>
          </m:f>
        </m:oMath>
      </m:oMathPara>
    </w:p>
    <w:p w14:paraId="65DA57A5" w14:textId="77777777" w:rsidR="00FA1168" w:rsidRPr="009F7825" w:rsidRDefault="00FA1168" w:rsidP="00FA1168">
      <w:pPr>
        <w:pStyle w:val="a6"/>
        <w:rPr>
          <w:rFonts w:eastAsiaTheme="minorEastAsia"/>
          <w:i/>
        </w:rPr>
      </w:pPr>
      <m:oMathPara>
        <m:oMath>
          <m:r>
            <w:rPr>
              <w:rFonts w:ascii="Cambria Math" w:hAnsi="Cambria Math"/>
            </w:rPr>
            <m:t>Y= -2,0432-5,24</m:t>
          </m:r>
          <m:sSub>
            <m:sSubPr>
              <m:ctrlPr>
                <w:rPr>
                  <w:rFonts w:ascii="Cambria Math" w:eastAsiaTheme="minorHAnsi" w:hAnsi="Cambria Math"/>
                  <w:i/>
                  <w:lang w:eastAsia="en-US"/>
                </w:rPr>
              </m:ctrlPr>
            </m:sSubPr>
            <m:e>
              <m:r>
                <w:rPr>
                  <w:rFonts w:ascii="Cambria Math" w:hAnsi="Cambria Math"/>
                </w:rPr>
                <m:t>X</m:t>
              </m:r>
            </m:e>
            <m:sub>
              <m:r>
                <w:rPr>
                  <w:rFonts w:ascii="Cambria Math" w:hAnsi="Cambria Math"/>
                </w:rPr>
                <m:t>1</m:t>
              </m:r>
            </m:sub>
          </m:sSub>
          <m:r>
            <w:rPr>
              <w:rFonts w:ascii="Cambria Math" w:hAnsi="Cambria Math"/>
            </w:rPr>
            <m:t>+0,0053</m:t>
          </m:r>
          <m:sSub>
            <m:sSubPr>
              <m:ctrlPr>
                <w:rPr>
                  <w:rFonts w:ascii="Cambria Math" w:eastAsiaTheme="minorHAnsi" w:hAnsi="Cambria Math"/>
                  <w:i/>
                  <w:lang w:eastAsia="en-US"/>
                </w:rPr>
              </m:ctrlPr>
            </m:sSubPr>
            <m:e>
              <m:r>
                <w:rPr>
                  <w:rFonts w:ascii="Cambria Math" w:hAnsi="Cambria Math"/>
                </w:rPr>
                <m:t>X</m:t>
              </m:r>
            </m:e>
            <m:sub>
              <m:r>
                <w:rPr>
                  <w:rFonts w:ascii="Cambria Math" w:hAnsi="Cambria Math"/>
                </w:rPr>
                <m:t>2</m:t>
              </m:r>
            </m:sub>
          </m:sSub>
          <m:r>
            <w:rPr>
              <w:rFonts w:ascii="Cambria Math" w:hAnsi="Cambria Math"/>
            </w:rPr>
            <m:t>-6,6507</m:t>
          </m:r>
          <m:sSub>
            <m:sSubPr>
              <m:ctrlPr>
                <w:rPr>
                  <w:rFonts w:ascii="Cambria Math" w:eastAsiaTheme="minorHAnsi" w:hAnsi="Cambria Math"/>
                  <w:i/>
                  <w:lang w:eastAsia="en-US"/>
                </w:rPr>
              </m:ctrlPr>
            </m:sSubPr>
            <m:e>
              <m:r>
                <w:rPr>
                  <w:rFonts w:ascii="Cambria Math" w:hAnsi="Cambria Math"/>
                </w:rPr>
                <m:t>X</m:t>
              </m:r>
            </m:e>
            <m:sub>
              <m:r>
                <w:rPr>
                  <w:rFonts w:ascii="Cambria Math" w:hAnsi="Cambria Math"/>
                </w:rPr>
                <m:t>3</m:t>
              </m:r>
            </m:sub>
          </m:sSub>
          <m:r>
            <w:rPr>
              <w:rFonts w:ascii="Cambria Math" w:hAnsi="Cambria Math"/>
            </w:rPr>
            <m:t>+4,4009</m:t>
          </m:r>
          <m:sSub>
            <m:sSubPr>
              <m:ctrlPr>
                <w:rPr>
                  <w:rFonts w:ascii="Cambria Math" w:eastAsiaTheme="minorHAnsi" w:hAnsi="Cambria Math"/>
                  <w:i/>
                  <w:lang w:eastAsia="en-US"/>
                </w:rPr>
              </m:ctrlPr>
            </m:sSubPr>
            <m:e>
              <m:r>
                <w:rPr>
                  <w:rFonts w:ascii="Cambria Math" w:hAnsi="Cambria Math"/>
                </w:rPr>
                <m:t>X</m:t>
              </m:r>
            </m:e>
            <m:sub>
              <m:r>
                <w:rPr>
                  <w:rFonts w:ascii="Cambria Math" w:hAnsi="Cambria Math"/>
                </w:rPr>
                <m:t>4</m:t>
              </m:r>
            </m:sub>
          </m:sSub>
          <m:r>
            <w:rPr>
              <w:rFonts w:ascii="Cambria Math" w:hAnsi="Cambria Math"/>
            </w:rPr>
            <m:t>-0,0791</m:t>
          </m:r>
          <m:sSub>
            <m:sSubPr>
              <m:ctrlPr>
                <w:rPr>
                  <w:rFonts w:ascii="Cambria Math" w:eastAsiaTheme="minorHAnsi" w:hAnsi="Cambria Math"/>
                  <w:i/>
                  <w:lang w:eastAsia="en-US"/>
                </w:rPr>
              </m:ctrlPr>
            </m:sSubPr>
            <m:e>
              <m:r>
                <w:rPr>
                  <w:rFonts w:ascii="Cambria Math" w:hAnsi="Cambria Math"/>
                </w:rPr>
                <m:t>X</m:t>
              </m:r>
            </m:e>
            <m:sub>
              <m:r>
                <w:rPr>
                  <w:rFonts w:ascii="Cambria Math" w:hAnsi="Cambria Math"/>
                </w:rPr>
                <m:t>5</m:t>
              </m:r>
            </m:sub>
          </m:sSub>
          <m:r>
            <w:rPr>
              <w:rFonts w:ascii="Cambria Math" w:hAnsi="Cambria Math"/>
            </w:rPr>
            <m:t>-0,122</m:t>
          </m:r>
          <m:sSub>
            <m:sSubPr>
              <m:ctrlPr>
                <w:rPr>
                  <w:rFonts w:ascii="Cambria Math" w:eastAsiaTheme="minorHAnsi" w:hAnsi="Cambria Math"/>
                  <w:i/>
                  <w:lang w:eastAsia="en-US"/>
                </w:rPr>
              </m:ctrlPr>
            </m:sSubPr>
            <m:e>
              <m:r>
                <w:rPr>
                  <w:rFonts w:ascii="Cambria Math" w:hAnsi="Cambria Math"/>
                </w:rPr>
                <m:t>X</m:t>
              </m:r>
            </m:e>
            <m:sub>
              <m:r>
                <w:rPr>
                  <w:rFonts w:ascii="Cambria Math" w:hAnsi="Cambria Math"/>
                </w:rPr>
                <m:t>6</m:t>
              </m:r>
            </m:sub>
          </m:sSub>
        </m:oMath>
      </m:oMathPara>
    </w:p>
    <w:p w14:paraId="04613740" w14:textId="77777777" w:rsidR="00FA1168" w:rsidRPr="009F7825" w:rsidRDefault="00FA1168" w:rsidP="00FA1168">
      <w:pPr>
        <w:pStyle w:val="a6"/>
      </w:pPr>
      <w:r>
        <w:t xml:space="preserve">Где </w:t>
      </w:r>
      <w:r>
        <w:rPr>
          <w:shd w:val="clear" w:color="auto" w:fill="FFFFFF"/>
        </w:rPr>
        <w:t>X</w:t>
      </w:r>
      <w:r>
        <w:rPr>
          <w:shd w:val="clear" w:color="auto" w:fill="FFFFFF"/>
          <w:vertAlign w:val="subscript"/>
        </w:rPr>
        <w:t>1</w:t>
      </w:r>
      <w:r w:rsidRPr="009F7825">
        <w:rPr>
          <w:shd w:val="clear" w:color="auto" w:fill="FFFFFF"/>
        </w:rPr>
        <w:t xml:space="preserve"> – (Денежные средства + Быстрореализуемые ценные бумаги) / Совокупные активы</w:t>
      </w:r>
      <w:r>
        <w:t xml:space="preserve">, </w:t>
      </w:r>
      <w:r>
        <w:rPr>
          <w:shd w:val="clear" w:color="auto" w:fill="FFFFFF"/>
        </w:rPr>
        <w:t>X</w:t>
      </w:r>
      <w:r>
        <w:rPr>
          <w:shd w:val="clear" w:color="auto" w:fill="FFFFFF"/>
          <w:vertAlign w:val="subscript"/>
        </w:rPr>
        <w:t>2</w:t>
      </w:r>
      <w:r w:rsidRPr="009F7825">
        <w:rPr>
          <w:shd w:val="clear" w:color="auto" w:fill="FFFFFF"/>
        </w:rPr>
        <w:t xml:space="preserve"> – Нетто-продажи / (Денежные средства + Быстрореализуемые ценные бумаги)</w:t>
      </w:r>
      <w:r>
        <w:t xml:space="preserve">, </w:t>
      </w:r>
      <w:r>
        <w:rPr>
          <w:shd w:val="clear" w:color="auto" w:fill="FFFFFF"/>
        </w:rPr>
        <w:t>X</w:t>
      </w:r>
      <w:r>
        <w:rPr>
          <w:shd w:val="clear" w:color="auto" w:fill="FFFFFF"/>
          <w:vertAlign w:val="subscript"/>
        </w:rPr>
        <w:t>3</w:t>
      </w:r>
      <w:r w:rsidRPr="009F7825">
        <w:rPr>
          <w:shd w:val="clear" w:color="auto" w:fill="FFFFFF"/>
        </w:rPr>
        <w:t xml:space="preserve"> – Брутто-доходы / Совокупные активы</w:t>
      </w:r>
      <w:r>
        <w:t xml:space="preserve">, </w:t>
      </w:r>
      <w:r w:rsidRPr="009F7825">
        <w:rPr>
          <w:shd w:val="clear" w:color="auto" w:fill="FFFFFF"/>
        </w:rPr>
        <w:t>X</w:t>
      </w:r>
      <w:r w:rsidRPr="009F7825">
        <w:rPr>
          <w:shd w:val="clear" w:color="auto" w:fill="FFFFFF"/>
          <w:vertAlign w:val="subscript"/>
        </w:rPr>
        <w:t>4</w:t>
      </w:r>
      <w:r w:rsidRPr="009F7825">
        <w:rPr>
          <w:shd w:val="clear" w:color="auto" w:fill="FFFFFF"/>
        </w:rPr>
        <w:t xml:space="preserve"> – Совокупная задолженность / Совокупные активы</w:t>
      </w:r>
      <w:r>
        <w:t xml:space="preserve">, </w:t>
      </w:r>
      <w:r w:rsidRPr="009F7825">
        <w:rPr>
          <w:shd w:val="clear" w:color="auto" w:fill="FFFFFF"/>
        </w:rPr>
        <w:t>X</w:t>
      </w:r>
      <w:r w:rsidRPr="009F7825">
        <w:rPr>
          <w:shd w:val="clear" w:color="auto" w:fill="FFFFFF"/>
          <w:vertAlign w:val="subscript"/>
        </w:rPr>
        <w:t>5</w:t>
      </w:r>
      <w:r w:rsidRPr="009F7825">
        <w:rPr>
          <w:shd w:val="clear" w:color="auto" w:fill="FFFFFF"/>
        </w:rPr>
        <w:t xml:space="preserve"> – Основной капитал / Чистые активы</w:t>
      </w:r>
      <w:r>
        <w:t xml:space="preserve">, </w:t>
      </w:r>
      <w:r w:rsidRPr="009F7825">
        <w:rPr>
          <w:shd w:val="clear" w:color="auto" w:fill="FFFFFF"/>
        </w:rPr>
        <w:t>X</w:t>
      </w:r>
      <w:r w:rsidRPr="009F7825">
        <w:rPr>
          <w:shd w:val="clear" w:color="auto" w:fill="FFFFFF"/>
          <w:vertAlign w:val="subscript"/>
        </w:rPr>
        <w:t>6</w:t>
      </w:r>
      <w:r w:rsidRPr="009F7825">
        <w:rPr>
          <w:shd w:val="clear" w:color="auto" w:fill="FFFFFF"/>
        </w:rPr>
        <w:t xml:space="preserve"> – Оборотный капитал / Нетто-продажи</w:t>
      </w:r>
      <w:r>
        <w:rPr>
          <w:shd w:val="clear" w:color="auto" w:fill="FFFFFF"/>
        </w:rPr>
        <w:t>.</w:t>
      </w:r>
    </w:p>
    <w:p w14:paraId="209151B7" w14:textId="77777777" w:rsidR="00FA1168" w:rsidRDefault="00FA1168" w:rsidP="00FA1168">
      <w:pPr>
        <w:pStyle w:val="a6"/>
      </w:pPr>
      <w:r>
        <w:t xml:space="preserve">При этом если значение дискриминанта </w:t>
      </w:r>
      <m:oMath>
        <m:sSub>
          <m:sSubPr>
            <m:ctrlPr>
              <w:rPr>
                <w:rFonts w:ascii="Cambria Math" w:eastAsiaTheme="minorHAnsi" w:hAnsi="Cambria Math"/>
                <w:i/>
                <w:lang w:eastAsia="en-US"/>
              </w:rPr>
            </m:ctrlPr>
          </m:sSubPr>
          <m:e>
            <m:r>
              <w:rPr>
                <w:rFonts w:ascii="Cambria Math" w:hAnsi="Cambria Math"/>
              </w:rPr>
              <m:t>Z</m:t>
            </m:r>
          </m:e>
          <m:sub>
            <m:r>
              <w:rPr>
                <w:rFonts w:ascii="Cambria Math" w:hAnsi="Cambria Math"/>
              </w:rPr>
              <m:t>Chesser</m:t>
            </m:r>
          </m:sub>
        </m:sSub>
      </m:oMath>
      <w:r w:rsidRPr="009A6EA4">
        <w:rPr>
          <w:rFonts w:eastAsiaTheme="minorEastAsia"/>
        </w:rPr>
        <w:t xml:space="preserve"> </w:t>
      </w:r>
      <w:r>
        <w:t>≥</w:t>
      </w:r>
      <w:r w:rsidRPr="009A6EA4">
        <w:t xml:space="preserve"> 0,5</w:t>
      </w:r>
      <w:r>
        <w:t>, то компанию относят к плохим заемщикам и наоборот</w:t>
      </w:r>
      <w:r>
        <w:rPr>
          <w:rStyle w:val="a9"/>
        </w:rPr>
        <w:footnoteReference w:id="40"/>
      </w:r>
      <w:r>
        <w:t>. Модель Альтмана оценивает угрозу банкротства фирмы, в то время как модель Чессера направлена на выявление риска любого отклонения от первоначальных договоренностей банка и заемщика, это объясняет тот факт, что большинство значимых переменных в данных моделях отличаются. Данные модели позволяют без больших затрат времени и вычислительных сил провести анализ большого количества компаний и выявить проблемы на ранней стадии их возникновения.</w:t>
      </w:r>
    </w:p>
    <w:p w14:paraId="01F8AD8E" w14:textId="77777777" w:rsidR="00FA1168" w:rsidRDefault="00FA1168" w:rsidP="00FA1168">
      <w:pPr>
        <w:pStyle w:val="a6"/>
      </w:pPr>
      <w:r>
        <w:t xml:space="preserve">Наконец, третий вид моделей на основе показателей финансовой отчетности – это модели бинарного выбора, </w:t>
      </w:r>
      <w:r>
        <w:rPr>
          <w:lang w:val="en-US"/>
        </w:rPr>
        <w:t>logit</w:t>
      </w:r>
      <w:r>
        <w:t>-</w:t>
      </w:r>
      <w:r w:rsidRPr="0018591E">
        <w:t xml:space="preserve"> </w:t>
      </w:r>
      <w:r>
        <w:t>и</w:t>
      </w:r>
      <w:r w:rsidRPr="0018591E">
        <w:t xml:space="preserve"> </w:t>
      </w:r>
      <w:r>
        <w:rPr>
          <w:lang w:val="en-US"/>
        </w:rPr>
        <w:t>probit</w:t>
      </w:r>
      <w:r>
        <w:t>-модели, в основе которых лежит не линейная, а логистическая регрессия. Отличия заключаются в различных распределениях вероятности дефолта и в видах функциональной зависимости характерных для фирмы показателей и риском дефолта. В рамках данных моделей на первом этапе выявляются важные показатели кредитоспособности компании-заемщика, а на втором этапе оценивается вероятность банкротства</w:t>
      </w:r>
      <w:r>
        <w:rPr>
          <w:rStyle w:val="a9"/>
        </w:rPr>
        <w:footnoteReference w:id="41"/>
      </w:r>
      <w:r>
        <w:t>. Таким образом, модели бинарного выбора предполагают два типа переменных: комбинация независимых показателей и зависимая переменная, показывающая, к какой группе следует отнести заемщика.</w:t>
      </w:r>
    </w:p>
    <w:p w14:paraId="3C26CC6B" w14:textId="77777777" w:rsidR="00FA1168" w:rsidRDefault="00FA1168" w:rsidP="00FA1168">
      <w:pPr>
        <w:pStyle w:val="a6"/>
      </w:pPr>
      <w:r>
        <w:t>Существуют некоторые отличия данных моделей от моделей, основанных на мультипликативном дискриминантном анализе,</w:t>
      </w:r>
      <w:r w:rsidRPr="00F20E94">
        <w:t xml:space="preserve"> </w:t>
      </w:r>
      <w:r>
        <w:t>к примеру, от модели Альтмана</w:t>
      </w:r>
      <w:r w:rsidRPr="000300E5">
        <w:rPr>
          <w:i/>
        </w:rPr>
        <w:t>.</w:t>
      </w:r>
      <w:r>
        <w:rPr>
          <w:i/>
        </w:rPr>
        <w:t xml:space="preserve"> </w:t>
      </w:r>
      <w:r>
        <w:rPr>
          <w:lang w:val="en-US"/>
        </w:rPr>
        <w:t>Logit</w:t>
      </w:r>
      <w:r>
        <w:t xml:space="preserve">-модели предполагают получение точной оценки вероятности дефолта, которая принадлежит интервалу от 0 до 1. Однако, как и в моделях дискриминантного анализа, логистические модели рассматривают банкротство как событие, наступающее </w:t>
      </w:r>
      <w:r>
        <w:lastRenderedPageBreak/>
        <w:t>одномоментно, а не в течение определенного времени. Здесь важно помнить, что логистическая модель чувствительна к мультиколлинеарности, то есть к наличию линейной зависимости между объясняющими факторами, и результаты могут искажаться</w:t>
      </w:r>
      <w:r>
        <w:rPr>
          <w:rStyle w:val="a9"/>
        </w:rPr>
        <w:footnoteReference w:id="42"/>
      </w:r>
      <w:r>
        <w:t>. Данная модель не получила широкого распространения в России, так как нуждается в адаптации к внешним условиям, что обусловлено проведением данных исследований исключительно на развитых зарубежных рыках. Более того, большое количество рассмотренных моделей не берут во внимание специфику отрасли. Данный аспект в работе будет рассмотрен позже, когда результаты статистического исследования покажут, есть ли различия в значимости различных переменных в рамках выбранной модели.</w:t>
      </w:r>
    </w:p>
    <w:p w14:paraId="377D08AE" w14:textId="77777777" w:rsidR="00FA1168" w:rsidRPr="00CE7238" w:rsidRDefault="00FA1168" w:rsidP="00FA1168">
      <w:pPr>
        <w:pStyle w:val="a6"/>
      </w:pPr>
      <w:r>
        <w:t>Что касается класса моделей на основе данных бухгалтерской отчетности в целом, то основным преимуществом является доступность информации, поскольку любая компания-заемщик ее может предоставить. Главное, чтобы информация была достоверной, это повысит точность прогноза кредитоспособности компании.</w:t>
      </w:r>
    </w:p>
    <w:p w14:paraId="790E42B3" w14:textId="77777777" w:rsidR="00EE1D6E" w:rsidRDefault="00EE1D6E" w:rsidP="007823B1">
      <w:pPr>
        <w:pStyle w:val="a6"/>
      </w:pPr>
    </w:p>
    <w:p w14:paraId="17D68E15" w14:textId="2FC93AEF" w:rsidR="00D24533" w:rsidRDefault="00800E10" w:rsidP="00800E10">
      <w:pPr>
        <w:pStyle w:val="31"/>
      </w:pPr>
      <w:bookmarkStart w:id="20" w:name="_Toc514593082"/>
      <w:r>
        <w:t xml:space="preserve">2.2.3 </w:t>
      </w:r>
      <w:r w:rsidR="00D24533" w:rsidRPr="00C123D6">
        <w:t>Современные подходы к оценке кредитного риска заемщика</w:t>
      </w:r>
      <w:bookmarkEnd w:id="20"/>
    </w:p>
    <w:p w14:paraId="3E08BB7D" w14:textId="77777777" w:rsidR="00FA1168" w:rsidRDefault="00FA1168" w:rsidP="00FA1168">
      <w:pPr>
        <w:pStyle w:val="a6"/>
      </w:pPr>
      <w:r>
        <w:t>Сравнительно новым витком в развитии оценивания вероятности дефолта заемщика стали модели, использующие непараметрические методы. Показательность результатов применения непараметрических подходов к оценке дефолта подтверждена исследованиями, например, Галиндо и Тамай</w:t>
      </w:r>
      <w:r>
        <w:rPr>
          <w:rStyle w:val="a9"/>
        </w:rPr>
        <w:footnoteReference w:id="43"/>
      </w:r>
      <w:r>
        <w:t xml:space="preserve">. </w:t>
      </w:r>
    </w:p>
    <w:p w14:paraId="700D6E4B" w14:textId="77777777" w:rsidR="00FA1168" w:rsidRDefault="00FA1168" w:rsidP="00FA1168">
      <w:pPr>
        <w:pStyle w:val="a6"/>
      </w:pPr>
      <w:r>
        <w:t>Модель нейронных сетей базируется на компьютерных алгоритмах, не выделяя при этом лучшую модель, а используя метод многочисленных проб</w:t>
      </w:r>
      <w:r>
        <w:rPr>
          <w:rStyle w:val="a9"/>
        </w:rPr>
        <w:footnoteReference w:id="44"/>
      </w:r>
      <w:r>
        <w:t xml:space="preserve">. Еще одним новым методом прогнозирования потерь по займам является концепция </w:t>
      </w:r>
      <w:r>
        <w:rPr>
          <w:lang w:val="en-US"/>
        </w:rPr>
        <w:t>VaR</w:t>
      </w:r>
      <w:r w:rsidRPr="008120C4">
        <w:t xml:space="preserve"> (</w:t>
      </w:r>
      <w:r>
        <w:rPr>
          <w:lang w:val="en-US"/>
        </w:rPr>
        <w:t>Value</w:t>
      </w:r>
      <w:r w:rsidRPr="008120C4">
        <w:t xml:space="preserve"> </w:t>
      </w:r>
      <w:r>
        <w:rPr>
          <w:lang w:val="en-US"/>
        </w:rPr>
        <w:t>at</w:t>
      </w:r>
      <w:r w:rsidRPr="008120C4">
        <w:t xml:space="preserve"> </w:t>
      </w:r>
      <w:r>
        <w:rPr>
          <w:lang w:val="en-US"/>
        </w:rPr>
        <w:t>Risk</w:t>
      </w:r>
      <w:r w:rsidRPr="008120C4">
        <w:t>)</w:t>
      </w:r>
      <w:r>
        <w:t>. Данная величина показывает максимальный размер убытков на заданный период при определенном доверительном уровне</w:t>
      </w:r>
      <w:r>
        <w:rPr>
          <w:rStyle w:val="a9"/>
        </w:rPr>
        <w:footnoteReference w:id="45"/>
      </w:r>
      <w:r>
        <w:t xml:space="preserve">. Особый интерес при оценке вероятности дефолта был проявлен к методу нечеткой логики. С помощью нечетких экспертных оценок компании распределяются по группам в соответствии с уровнем риска. Вероятность </w:t>
      </w:r>
      <w:r>
        <w:lastRenderedPageBreak/>
        <w:t>дефолта заемщика вычисляется на основе треугольного нечеткого числа, отражающего наихудший, средний и наилучший результаты</w:t>
      </w:r>
      <w:r>
        <w:rPr>
          <w:rStyle w:val="a9"/>
        </w:rPr>
        <w:footnoteReference w:id="46"/>
      </w:r>
      <w:r>
        <w:t>.</w:t>
      </w:r>
    </w:p>
    <w:p w14:paraId="4E4D22D0" w14:textId="77777777" w:rsidR="00FA1168" w:rsidRDefault="00FA1168" w:rsidP="00FA1168">
      <w:pPr>
        <w:pStyle w:val="a6"/>
      </w:pPr>
      <w:r>
        <w:t>Фаворитом среди моделей оценки дефолта в страховом деле является модель Крамера-Лунберга. Она берет за основу, что момент наступления страхового события есть величина, распределенная по закону Пуассона, а выплаты являются независимой неотрицательной величиной с определенной функцией распределения. Данная модель призвана решить одну из важнейших задач страхового бизнеса в области страхования кредитного риска – назначение цены страхового контракта, которая гарантировала бы стабильность и финансовую устойчивость страховщика.</w:t>
      </w:r>
    </w:p>
    <w:p w14:paraId="003D713D" w14:textId="77777777" w:rsidR="00FA1168" w:rsidRDefault="00FA1168" w:rsidP="00FA1168">
      <w:pPr>
        <w:pStyle w:val="a6"/>
      </w:pPr>
      <w:r>
        <w:t>Применение данного класса моделей требует внушительных затрат времени. Тем не менее, множество экспертов считают их неоправданными. Так, Альтман в своей исследовательской работе показал, что предложенный им дискриминантный анализ на основе финансовых показателей позволяет оценивать риск дефолта точнее, чем модель на основе нейросетей</w:t>
      </w:r>
      <w:r>
        <w:rPr>
          <w:rStyle w:val="a9"/>
        </w:rPr>
        <w:footnoteReference w:id="47"/>
      </w:r>
      <w:r>
        <w:t>.</w:t>
      </w:r>
    </w:p>
    <w:p w14:paraId="4B9C161A" w14:textId="431E1467" w:rsidR="00FA1168" w:rsidRDefault="00FA1168" w:rsidP="00FA1168">
      <w:pPr>
        <w:pStyle w:val="a6"/>
      </w:pPr>
      <w:r>
        <w:t>Основные преимущества и недостатки описанных выше моделей оценки кредитного риска приведены в сводной таблице 6.</w:t>
      </w:r>
    </w:p>
    <w:p w14:paraId="24A4AB86" w14:textId="77777777" w:rsidR="00FC13C5" w:rsidRDefault="00FC13C5" w:rsidP="00FA1168">
      <w:pPr>
        <w:pStyle w:val="a6"/>
      </w:pPr>
    </w:p>
    <w:p w14:paraId="5C54EFB2" w14:textId="77777777" w:rsidR="00FC13C5" w:rsidRDefault="00FC13C5" w:rsidP="00FA1168">
      <w:pPr>
        <w:pStyle w:val="a6"/>
      </w:pPr>
    </w:p>
    <w:p w14:paraId="417C6C76" w14:textId="77777777" w:rsidR="00FC13C5" w:rsidRDefault="00FC13C5" w:rsidP="00FA1168">
      <w:pPr>
        <w:pStyle w:val="a6"/>
      </w:pPr>
    </w:p>
    <w:p w14:paraId="5D59BAD0" w14:textId="77777777" w:rsidR="00FC13C5" w:rsidRDefault="00FC13C5" w:rsidP="00FA1168">
      <w:pPr>
        <w:pStyle w:val="a6"/>
      </w:pPr>
    </w:p>
    <w:p w14:paraId="5660B67F" w14:textId="77777777" w:rsidR="00FC13C5" w:rsidRDefault="00FC13C5" w:rsidP="00FA1168">
      <w:pPr>
        <w:pStyle w:val="a6"/>
      </w:pPr>
    </w:p>
    <w:p w14:paraId="5746066B" w14:textId="77777777" w:rsidR="00FC13C5" w:rsidRDefault="00FC13C5" w:rsidP="00FA1168">
      <w:pPr>
        <w:pStyle w:val="a6"/>
      </w:pPr>
    </w:p>
    <w:p w14:paraId="3471205F" w14:textId="77777777" w:rsidR="00FC13C5" w:rsidRDefault="00FC13C5" w:rsidP="00FA1168">
      <w:pPr>
        <w:pStyle w:val="a6"/>
      </w:pPr>
    </w:p>
    <w:p w14:paraId="72F3ACC2" w14:textId="77777777" w:rsidR="00FC13C5" w:rsidRDefault="00FC13C5" w:rsidP="00FA1168">
      <w:pPr>
        <w:pStyle w:val="a6"/>
      </w:pPr>
    </w:p>
    <w:p w14:paraId="09377CED" w14:textId="77777777" w:rsidR="00FC13C5" w:rsidRDefault="00FC13C5" w:rsidP="00FA1168">
      <w:pPr>
        <w:pStyle w:val="a6"/>
      </w:pPr>
    </w:p>
    <w:p w14:paraId="30C039AF" w14:textId="77777777" w:rsidR="00FC13C5" w:rsidRDefault="00FC13C5" w:rsidP="00FA1168">
      <w:pPr>
        <w:pStyle w:val="a6"/>
      </w:pPr>
    </w:p>
    <w:p w14:paraId="5971C125" w14:textId="77777777" w:rsidR="00FC13C5" w:rsidRDefault="00FC13C5" w:rsidP="00FA1168">
      <w:pPr>
        <w:pStyle w:val="a6"/>
      </w:pPr>
    </w:p>
    <w:p w14:paraId="7C0B88B9" w14:textId="77777777" w:rsidR="00FC13C5" w:rsidRDefault="00FC13C5" w:rsidP="00FA1168">
      <w:pPr>
        <w:pStyle w:val="a6"/>
      </w:pPr>
    </w:p>
    <w:p w14:paraId="61890AB4" w14:textId="77777777" w:rsidR="00FC13C5" w:rsidRDefault="00FC13C5" w:rsidP="00FA1168">
      <w:pPr>
        <w:pStyle w:val="a6"/>
      </w:pPr>
    </w:p>
    <w:p w14:paraId="616C9200" w14:textId="77777777" w:rsidR="00FC13C5" w:rsidRDefault="00FC13C5" w:rsidP="00FA1168">
      <w:pPr>
        <w:pStyle w:val="a6"/>
      </w:pPr>
    </w:p>
    <w:p w14:paraId="1D29F872" w14:textId="77777777" w:rsidR="00FC13C5" w:rsidRDefault="00FC13C5" w:rsidP="00FA1168">
      <w:pPr>
        <w:pStyle w:val="a6"/>
      </w:pPr>
    </w:p>
    <w:p w14:paraId="6E2CFD36" w14:textId="77777777" w:rsidR="00FC13C5" w:rsidRPr="00C123D6" w:rsidRDefault="00FC13C5" w:rsidP="00FA1168">
      <w:pPr>
        <w:pStyle w:val="a6"/>
      </w:pPr>
    </w:p>
    <w:p w14:paraId="4D8A9985" w14:textId="59306360" w:rsidR="00032234" w:rsidRDefault="00032234" w:rsidP="00032234">
      <w:pPr>
        <w:pStyle w:val="a0"/>
      </w:pPr>
      <w:r>
        <w:lastRenderedPageBreak/>
        <w:t>Преимущества и недостатки моделей оценки дефолта</w:t>
      </w:r>
    </w:p>
    <w:tbl>
      <w:tblPr>
        <w:tblStyle w:val="afd"/>
        <w:tblpPr w:leftFromText="180" w:rightFromText="180" w:vertAnchor="text" w:horzAnchor="page" w:tblpX="1839" w:tblpY="68"/>
        <w:tblW w:w="9523" w:type="dxa"/>
        <w:tblLayout w:type="fixed"/>
        <w:tblLook w:val="04A0" w:firstRow="1" w:lastRow="0" w:firstColumn="1" w:lastColumn="0" w:noHBand="0" w:noVBand="1"/>
      </w:tblPr>
      <w:tblGrid>
        <w:gridCol w:w="1950"/>
        <w:gridCol w:w="1843"/>
        <w:gridCol w:w="1863"/>
        <w:gridCol w:w="1841"/>
        <w:gridCol w:w="2026"/>
      </w:tblGrid>
      <w:tr w:rsidR="00032234" w:rsidRPr="008C4C1E" w14:paraId="5296A78F" w14:textId="77777777" w:rsidTr="002223E5">
        <w:trPr>
          <w:trHeight w:val="370"/>
        </w:trPr>
        <w:tc>
          <w:tcPr>
            <w:tcW w:w="1950" w:type="dxa"/>
            <w:vMerge w:val="restart"/>
          </w:tcPr>
          <w:p w14:paraId="1AB4C486" w14:textId="77777777" w:rsidR="0033358E" w:rsidRPr="00F60D32" w:rsidRDefault="0033358E" w:rsidP="00F60D32">
            <w:pPr>
              <w:pStyle w:val="14"/>
              <w:jc w:val="center"/>
              <w:rPr>
                <w:b/>
              </w:rPr>
            </w:pPr>
            <w:r w:rsidRPr="00F60D32">
              <w:rPr>
                <w:b/>
              </w:rPr>
              <w:t>Модели на основе рыночных показателей</w:t>
            </w:r>
          </w:p>
        </w:tc>
        <w:tc>
          <w:tcPr>
            <w:tcW w:w="5547" w:type="dxa"/>
            <w:gridSpan w:val="3"/>
          </w:tcPr>
          <w:p w14:paraId="23E3F9E9" w14:textId="77777777" w:rsidR="0033358E" w:rsidRPr="00F60D32" w:rsidRDefault="0033358E" w:rsidP="00F60D32">
            <w:pPr>
              <w:pStyle w:val="14"/>
              <w:jc w:val="center"/>
              <w:rPr>
                <w:b/>
              </w:rPr>
            </w:pPr>
            <w:r w:rsidRPr="00F60D32">
              <w:rPr>
                <w:b/>
              </w:rPr>
              <w:t>Модели на основе фундаментальных показателей</w:t>
            </w:r>
          </w:p>
        </w:tc>
        <w:tc>
          <w:tcPr>
            <w:tcW w:w="2026" w:type="dxa"/>
            <w:vMerge w:val="restart"/>
          </w:tcPr>
          <w:p w14:paraId="7BF72014" w14:textId="77777777" w:rsidR="0033358E" w:rsidRPr="00F60D32" w:rsidRDefault="0033358E" w:rsidP="00F60D32">
            <w:pPr>
              <w:pStyle w:val="14"/>
              <w:jc w:val="center"/>
              <w:rPr>
                <w:b/>
              </w:rPr>
            </w:pPr>
            <w:r w:rsidRPr="00F60D32">
              <w:rPr>
                <w:b/>
              </w:rPr>
              <w:t>Современные модели</w:t>
            </w:r>
          </w:p>
        </w:tc>
      </w:tr>
      <w:tr w:rsidR="00BC0326" w:rsidRPr="008C4C1E" w14:paraId="533225F6" w14:textId="77777777" w:rsidTr="002223E5">
        <w:trPr>
          <w:trHeight w:val="129"/>
        </w:trPr>
        <w:tc>
          <w:tcPr>
            <w:tcW w:w="1950" w:type="dxa"/>
            <w:vMerge/>
          </w:tcPr>
          <w:p w14:paraId="78A7025F" w14:textId="77777777" w:rsidR="0033358E" w:rsidRPr="00F60D32" w:rsidRDefault="0033358E" w:rsidP="0085299C">
            <w:pPr>
              <w:pStyle w:val="14"/>
              <w:rPr>
                <w:b/>
              </w:rPr>
            </w:pPr>
          </w:p>
        </w:tc>
        <w:tc>
          <w:tcPr>
            <w:tcW w:w="1843" w:type="dxa"/>
          </w:tcPr>
          <w:p w14:paraId="3A12E628" w14:textId="4A3DD2BD" w:rsidR="0033358E" w:rsidRPr="00F60D32" w:rsidRDefault="0033358E" w:rsidP="00F60D32">
            <w:pPr>
              <w:pStyle w:val="14"/>
              <w:jc w:val="center"/>
              <w:rPr>
                <w:b/>
              </w:rPr>
            </w:pPr>
            <w:r w:rsidRPr="00F60D32">
              <w:rPr>
                <w:b/>
              </w:rPr>
              <w:t>Макроэконо</w:t>
            </w:r>
            <w:r w:rsidR="00610144" w:rsidRPr="00F60D32">
              <w:rPr>
                <w:b/>
              </w:rPr>
              <w:t>-</w:t>
            </w:r>
            <w:r w:rsidRPr="00F60D32">
              <w:rPr>
                <w:b/>
              </w:rPr>
              <w:t>мические модели</w:t>
            </w:r>
          </w:p>
        </w:tc>
        <w:tc>
          <w:tcPr>
            <w:tcW w:w="1863" w:type="dxa"/>
          </w:tcPr>
          <w:p w14:paraId="021458E3" w14:textId="77777777" w:rsidR="0033358E" w:rsidRPr="00F60D32" w:rsidRDefault="0033358E" w:rsidP="00F60D32">
            <w:pPr>
              <w:pStyle w:val="14"/>
              <w:jc w:val="center"/>
              <w:rPr>
                <w:b/>
              </w:rPr>
            </w:pPr>
            <w:r w:rsidRPr="00F60D32">
              <w:rPr>
                <w:b/>
              </w:rPr>
              <w:t>Модели на основе показателей бухгалтерской и финансовой отчетности</w:t>
            </w:r>
          </w:p>
        </w:tc>
        <w:tc>
          <w:tcPr>
            <w:tcW w:w="1841" w:type="dxa"/>
          </w:tcPr>
          <w:p w14:paraId="61A2B376" w14:textId="39062A92" w:rsidR="0033358E" w:rsidRPr="00F60D32" w:rsidRDefault="0033358E" w:rsidP="00F60D32">
            <w:pPr>
              <w:pStyle w:val="14"/>
              <w:jc w:val="center"/>
              <w:rPr>
                <w:b/>
              </w:rPr>
            </w:pPr>
            <w:r w:rsidRPr="00F60D32">
              <w:rPr>
                <w:b/>
              </w:rPr>
              <w:t>Модели</w:t>
            </w:r>
            <w:r w:rsidR="00610144" w:rsidRPr="00F60D32">
              <w:rPr>
                <w:b/>
              </w:rPr>
              <w:t>, используемые рейтинговыми агентствами</w:t>
            </w:r>
          </w:p>
        </w:tc>
        <w:tc>
          <w:tcPr>
            <w:tcW w:w="2026" w:type="dxa"/>
            <w:vMerge/>
          </w:tcPr>
          <w:p w14:paraId="39CB9C26" w14:textId="77777777" w:rsidR="0033358E" w:rsidRPr="008C4C1E" w:rsidRDefault="0033358E" w:rsidP="0085299C">
            <w:pPr>
              <w:pStyle w:val="14"/>
            </w:pPr>
          </w:p>
        </w:tc>
      </w:tr>
      <w:tr w:rsidR="00BC0326" w:rsidRPr="008C4C1E" w14:paraId="6EE19623" w14:textId="77777777" w:rsidTr="002223E5">
        <w:trPr>
          <w:trHeight w:val="2270"/>
        </w:trPr>
        <w:tc>
          <w:tcPr>
            <w:tcW w:w="1950" w:type="dxa"/>
          </w:tcPr>
          <w:p w14:paraId="45E72522" w14:textId="4840E9E6" w:rsidR="0033358E" w:rsidRPr="008C4C1E" w:rsidRDefault="0033358E" w:rsidP="0085299C">
            <w:pPr>
              <w:pStyle w:val="14"/>
            </w:pPr>
            <w:r w:rsidRPr="008C4C1E">
              <w:t>Высокая предсказатель</w:t>
            </w:r>
            <w:r w:rsidR="00610144">
              <w:t>-</w:t>
            </w:r>
            <w:r w:rsidRPr="008C4C1E">
              <w:t>ная сила</w:t>
            </w:r>
            <w:r w:rsidR="00610144">
              <w:t>;</w:t>
            </w:r>
          </w:p>
          <w:p w14:paraId="4F88703A" w14:textId="7D5A06CD" w:rsidR="0033358E" w:rsidRPr="008C4C1E" w:rsidRDefault="0033358E" w:rsidP="0085299C">
            <w:pPr>
              <w:pStyle w:val="14"/>
            </w:pPr>
            <w:r w:rsidRPr="008C4C1E">
              <w:t>Доступность информации на рынке</w:t>
            </w:r>
            <w:r w:rsidR="00610144">
              <w:t>.</w:t>
            </w:r>
          </w:p>
        </w:tc>
        <w:tc>
          <w:tcPr>
            <w:tcW w:w="1843" w:type="dxa"/>
          </w:tcPr>
          <w:p w14:paraId="404649F8" w14:textId="50F7294E" w:rsidR="0033358E" w:rsidRPr="008C4C1E" w:rsidRDefault="0033358E" w:rsidP="0085299C">
            <w:pPr>
              <w:pStyle w:val="14"/>
            </w:pPr>
            <w:r w:rsidRPr="008C4C1E">
              <w:t>Учет цикличности экономики</w:t>
            </w:r>
            <w:r w:rsidR="00610144">
              <w:t>;</w:t>
            </w:r>
          </w:p>
          <w:p w14:paraId="63909452" w14:textId="01C3D60C" w:rsidR="0033358E" w:rsidRPr="008C4C1E" w:rsidRDefault="0033358E" w:rsidP="0085299C">
            <w:pPr>
              <w:pStyle w:val="14"/>
            </w:pPr>
            <w:r w:rsidRPr="008C4C1E">
              <w:t>Применение в кросс-анализе</w:t>
            </w:r>
            <w:r w:rsidR="00610144">
              <w:t>.</w:t>
            </w:r>
          </w:p>
        </w:tc>
        <w:tc>
          <w:tcPr>
            <w:tcW w:w="1863" w:type="dxa"/>
          </w:tcPr>
          <w:p w14:paraId="3C96F6D7" w14:textId="34F86FDA" w:rsidR="0033358E" w:rsidRPr="008C4C1E" w:rsidRDefault="0033358E" w:rsidP="0085299C">
            <w:pPr>
              <w:pStyle w:val="14"/>
            </w:pPr>
            <w:r w:rsidRPr="008C4C1E">
              <w:t>Доступность информации</w:t>
            </w:r>
            <w:r w:rsidR="00610144">
              <w:t>;</w:t>
            </w:r>
          </w:p>
          <w:p w14:paraId="068862E9" w14:textId="39E7D8DC" w:rsidR="0033358E" w:rsidRPr="008C4C1E" w:rsidRDefault="0033358E" w:rsidP="0085299C">
            <w:pPr>
              <w:pStyle w:val="14"/>
            </w:pPr>
            <w:r w:rsidRPr="008C4C1E">
              <w:t>Высокая точность полученных результатов</w:t>
            </w:r>
            <w:r w:rsidR="00610144">
              <w:t>.</w:t>
            </w:r>
          </w:p>
        </w:tc>
        <w:tc>
          <w:tcPr>
            <w:tcW w:w="1841" w:type="dxa"/>
          </w:tcPr>
          <w:p w14:paraId="39473F17" w14:textId="382DEE02" w:rsidR="0033358E" w:rsidRPr="008C4C1E" w:rsidRDefault="0033358E" w:rsidP="0085299C">
            <w:pPr>
              <w:pStyle w:val="14"/>
            </w:pPr>
            <w:r w:rsidRPr="008C4C1E">
              <w:t>Высокая предсказатель</w:t>
            </w:r>
            <w:r w:rsidR="00610144">
              <w:t>-</w:t>
            </w:r>
            <w:r w:rsidRPr="008C4C1E">
              <w:t>ная сила</w:t>
            </w:r>
            <w:r w:rsidR="00610144">
              <w:t>;</w:t>
            </w:r>
          </w:p>
          <w:p w14:paraId="7D4C22E7" w14:textId="0E774186" w:rsidR="0033358E" w:rsidRPr="008C4C1E" w:rsidRDefault="0033358E" w:rsidP="0085299C">
            <w:pPr>
              <w:pStyle w:val="14"/>
            </w:pPr>
            <w:r w:rsidRPr="008C4C1E">
              <w:t>Простота проведения расчетов</w:t>
            </w:r>
            <w:r w:rsidR="00610144">
              <w:t>.</w:t>
            </w:r>
          </w:p>
        </w:tc>
        <w:tc>
          <w:tcPr>
            <w:tcW w:w="2026" w:type="dxa"/>
          </w:tcPr>
          <w:p w14:paraId="6CE3F80B" w14:textId="55108E1A" w:rsidR="0033358E" w:rsidRPr="008C4C1E" w:rsidRDefault="0033358E" w:rsidP="0085299C">
            <w:pPr>
              <w:pStyle w:val="14"/>
            </w:pPr>
            <w:r w:rsidRPr="008C4C1E">
              <w:t>Высокая предсказательная сила</w:t>
            </w:r>
            <w:r w:rsidR="00610144">
              <w:t>;</w:t>
            </w:r>
          </w:p>
          <w:p w14:paraId="00AFAF38" w14:textId="658FB2D2" w:rsidR="0033358E" w:rsidRPr="008C4C1E" w:rsidRDefault="0033358E" w:rsidP="0085299C">
            <w:pPr>
              <w:pStyle w:val="14"/>
            </w:pPr>
            <w:r w:rsidRPr="008C4C1E">
              <w:t>Учет непараметричес</w:t>
            </w:r>
            <w:r w:rsidR="00610144">
              <w:t>-</w:t>
            </w:r>
            <w:r w:rsidRPr="008C4C1E">
              <w:t>ких величин</w:t>
            </w:r>
            <w:r w:rsidR="00610144">
              <w:t>.</w:t>
            </w:r>
          </w:p>
        </w:tc>
      </w:tr>
      <w:tr w:rsidR="00BC0326" w:rsidRPr="008C4C1E" w14:paraId="04B7002A" w14:textId="77777777" w:rsidTr="00610144">
        <w:trPr>
          <w:trHeight w:val="3373"/>
        </w:trPr>
        <w:tc>
          <w:tcPr>
            <w:tcW w:w="1950" w:type="dxa"/>
          </w:tcPr>
          <w:p w14:paraId="5F49AFA8" w14:textId="54CC1B4C" w:rsidR="0033358E" w:rsidRPr="008C4C1E" w:rsidRDefault="0033358E" w:rsidP="0085299C">
            <w:pPr>
              <w:pStyle w:val="14"/>
            </w:pPr>
            <w:r w:rsidRPr="008C4C1E">
              <w:t>Необходимость выполнения гипотезы эффективности рынка</w:t>
            </w:r>
            <w:r w:rsidR="00610144">
              <w:t>;</w:t>
            </w:r>
          </w:p>
          <w:p w14:paraId="28E49779" w14:textId="354019DD" w:rsidR="0033358E" w:rsidRPr="008C4C1E" w:rsidRDefault="0033358E" w:rsidP="0085299C">
            <w:pPr>
              <w:pStyle w:val="14"/>
            </w:pPr>
            <w:r w:rsidRPr="008C4C1E">
              <w:t>Необходимость большого массива данных</w:t>
            </w:r>
            <w:r w:rsidR="00610144">
              <w:t>.</w:t>
            </w:r>
          </w:p>
        </w:tc>
        <w:tc>
          <w:tcPr>
            <w:tcW w:w="1843" w:type="dxa"/>
          </w:tcPr>
          <w:p w14:paraId="6493D5D2" w14:textId="772CF24C" w:rsidR="0033358E" w:rsidRPr="008C4C1E" w:rsidRDefault="0033358E" w:rsidP="0085299C">
            <w:pPr>
              <w:pStyle w:val="14"/>
            </w:pPr>
            <w:r w:rsidRPr="008C4C1E">
              <w:t>Сложность определения циклов</w:t>
            </w:r>
            <w:r w:rsidR="00610144">
              <w:t>;</w:t>
            </w:r>
            <w:r w:rsidRPr="008C4C1E">
              <w:t xml:space="preserve"> </w:t>
            </w:r>
          </w:p>
          <w:p w14:paraId="167EC377" w14:textId="12584499" w:rsidR="0033358E" w:rsidRPr="008C4C1E" w:rsidRDefault="0033358E" w:rsidP="0085299C">
            <w:pPr>
              <w:pStyle w:val="14"/>
            </w:pPr>
            <w:r w:rsidRPr="008C4C1E">
              <w:t>Сложность определения риска дефолта конкретного заемщика</w:t>
            </w:r>
            <w:r w:rsidR="00610144">
              <w:t>.</w:t>
            </w:r>
          </w:p>
        </w:tc>
        <w:tc>
          <w:tcPr>
            <w:tcW w:w="1863" w:type="dxa"/>
          </w:tcPr>
          <w:p w14:paraId="181D6E78" w14:textId="10F754A3" w:rsidR="0033358E" w:rsidRPr="008C4C1E" w:rsidRDefault="0033358E" w:rsidP="0085299C">
            <w:pPr>
              <w:pStyle w:val="14"/>
            </w:pPr>
            <w:r w:rsidRPr="008C4C1E">
              <w:t>Проведение анализа по историческим данным</w:t>
            </w:r>
            <w:r w:rsidR="00610144">
              <w:t>;</w:t>
            </w:r>
          </w:p>
          <w:p w14:paraId="3C23BAF3" w14:textId="5F4C6624" w:rsidR="0033358E" w:rsidRPr="008C4C1E" w:rsidRDefault="0033358E" w:rsidP="0085299C">
            <w:pPr>
              <w:pStyle w:val="14"/>
            </w:pPr>
            <w:r w:rsidRPr="008C4C1E">
              <w:t>Возможность недостоверной отчетности</w:t>
            </w:r>
            <w:r w:rsidR="00610144">
              <w:t>.</w:t>
            </w:r>
          </w:p>
        </w:tc>
        <w:tc>
          <w:tcPr>
            <w:tcW w:w="1841" w:type="dxa"/>
          </w:tcPr>
          <w:p w14:paraId="41C7CF73" w14:textId="7B76B7B8" w:rsidR="0033358E" w:rsidRPr="008C4C1E" w:rsidRDefault="0033358E" w:rsidP="0085299C">
            <w:pPr>
              <w:pStyle w:val="14"/>
            </w:pPr>
            <w:r w:rsidRPr="008C4C1E">
              <w:t>Пересмотр рейтинга происходит не перманентно</w:t>
            </w:r>
            <w:r w:rsidR="00610144">
              <w:t>.</w:t>
            </w:r>
            <w:r w:rsidRPr="008C4C1E">
              <w:t xml:space="preserve"> </w:t>
            </w:r>
          </w:p>
        </w:tc>
        <w:tc>
          <w:tcPr>
            <w:tcW w:w="2026" w:type="dxa"/>
          </w:tcPr>
          <w:p w14:paraId="296E3A15" w14:textId="14730B20" w:rsidR="0033358E" w:rsidRPr="008C4C1E" w:rsidRDefault="0033358E" w:rsidP="0085299C">
            <w:pPr>
              <w:pStyle w:val="14"/>
            </w:pPr>
            <w:r w:rsidRPr="008C4C1E">
              <w:t>Высокие временные и физические издержки</w:t>
            </w:r>
            <w:r w:rsidR="00610144">
              <w:t>.</w:t>
            </w:r>
          </w:p>
        </w:tc>
      </w:tr>
    </w:tbl>
    <w:p w14:paraId="13A47BB9" w14:textId="6114FAD6" w:rsidR="0033358E" w:rsidRDefault="002223E5" w:rsidP="00A0544F">
      <w:pPr>
        <w:pStyle w:val="a6"/>
      </w:pPr>
      <w:r w:rsidRPr="0046585A">
        <w:rPr>
          <w:i/>
        </w:rPr>
        <w:t>Источник:</w:t>
      </w:r>
      <w:r w:rsidRPr="0046585A">
        <w:t xml:space="preserve"> рисунок составлен</w:t>
      </w:r>
      <w:r>
        <w:t xml:space="preserve"> автором статьи </w:t>
      </w:r>
      <w:r w:rsidR="00A0544F" w:rsidRPr="00A0544F">
        <w:t>Тотьмянина</w:t>
      </w:r>
      <w:r w:rsidR="00A0544F">
        <w:t xml:space="preserve"> К. М.</w:t>
      </w:r>
      <w:r w:rsidR="00A0544F" w:rsidRPr="00A0544F">
        <w:t xml:space="preserve"> </w:t>
      </w:r>
      <w:r w:rsidR="00A0544F">
        <w:t xml:space="preserve">Обзор моделей </w:t>
      </w:r>
      <w:r w:rsidR="00A0544F" w:rsidRPr="00A0544F">
        <w:t>вероятности дефолта</w:t>
      </w:r>
      <w:r w:rsidR="00A0544F">
        <w:t xml:space="preserve">, Управление финансовыми рисками // </w:t>
      </w:r>
      <w:r w:rsidR="00B61FF8">
        <w:t xml:space="preserve">Журнал Высшей школы экономики, </w:t>
      </w:r>
      <w:r w:rsidR="00A0544F">
        <w:t>2011 – с. 12-24.</w:t>
      </w:r>
    </w:p>
    <w:p w14:paraId="32A9893F" w14:textId="77777777" w:rsidR="00B61FF8" w:rsidRPr="00A0544F" w:rsidRDefault="00B61FF8" w:rsidP="00A0544F">
      <w:pPr>
        <w:pStyle w:val="a6"/>
      </w:pPr>
    </w:p>
    <w:p w14:paraId="00770117" w14:textId="77B29D58" w:rsidR="00800E10" w:rsidRDefault="00A638DE" w:rsidP="00A638DE">
      <w:pPr>
        <w:pStyle w:val="21"/>
      </w:pPr>
      <w:bookmarkStart w:id="21" w:name="_Toc514593083"/>
      <w:r>
        <w:t xml:space="preserve">2.3 </w:t>
      </w:r>
      <w:r w:rsidR="00800E10">
        <w:t>Выбор модели оценки кредитного риска для статистического исследования</w:t>
      </w:r>
      <w:bookmarkEnd w:id="21"/>
    </w:p>
    <w:p w14:paraId="7ED1E045" w14:textId="77777777" w:rsidR="00FA1168" w:rsidRPr="00C644D0" w:rsidRDefault="00FA1168" w:rsidP="00FA1168">
      <w:pPr>
        <w:pStyle w:val="a6"/>
      </w:pPr>
      <w:r w:rsidRPr="00141A9C">
        <w:t xml:space="preserve">По результатам проведенного анализа моделей оценки финансовой устойчивости компаний, в качестве </w:t>
      </w:r>
      <w:r>
        <w:t>базовой</w:t>
      </w:r>
      <w:r w:rsidRPr="00141A9C">
        <w:t xml:space="preserve"> модели была выбрана модель Альтмана, основанная на методе МДА и на показателях финансовой отчетности. </w:t>
      </w:r>
      <w:r>
        <w:t>Выбранная модель характеризуется высокой предсказательной силой, а также является привлекательной ввиду доступности информации о финансовых показателях анализируемых компаний. Она часто используется в исследованиях, как на западных развитых рынках, так и на развивающихся рынках Азии.</w:t>
      </w:r>
    </w:p>
    <w:p w14:paraId="5495B6AB" w14:textId="77777777" w:rsidR="00FA1168" w:rsidRDefault="00FA1168" w:rsidP="00FA1168">
      <w:pPr>
        <w:pStyle w:val="a6"/>
      </w:pPr>
      <w:r>
        <w:lastRenderedPageBreak/>
        <w:t xml:space="preserve">Например, в работе </w:t>
      </w:r>
      <w:r w:rsidRPr="00F37FA6">
        <w:t>[Sanesh</w:t>
      </w:r>
      <w:r>
        <w:t>, 2016</w:t>
      </w:r>
      <w:r w:rsidRPr="00F37FA6">
        <w:t>]</w:t>
      </w:r>
      <w:r>
        <w:rPr>
          <w:rStyle w:val="a9"/>
        </w:rPr>
        <w:footnoteReference w:id="48"/>
      </w:r>
      <w:r>
        <w:t xml:space="preserve"> с помощью Z дискриминанта Альтмана были оценены 50 индийских компаний, исключая банки и финансовые компании. Модель была использована для оценки вероятности дефолта компаний во время финансового кризиса, исходя из текущей финансовой статистики компании. Аналогичный метод оценки риска дефолта был использован в работе </w:t>
      </w:r>
      <w:r w:rsidRPr="008C6BBA">
        <w:t xml:space="preserve">[Kumari, </w:t>
      </w:r>
      <w:r>
        <w:t>2013</w:t>
      </w:r>
      <w:r w:rsidRPr="008C6BBA">
        <w:t>]</w:t>
      </w:r>
      <w:r>
        <w:rPr>
          <w:rStyle w:val="a9"/>
        </w:rPr>
        <w:footnoteReference w:id="49"/>
      </w:r>
      <w:r w:rsidRPr="008C6BBA">
        <w:t xml:space="preserve">, </w:t>
      </w:r>
      <w:r>
        <w:t>где автор попытался предсказать банкротство крупнейшей индийской компании MMTC, экспортирующей природные ископаемые. Он пришел к выводу, что общее финансовое состояние MMTC является хорошим, и компания имеет благоприятные условия для инвестирования.</w:t>
      </w:r>
    </w:p>
    <w:p w14:paraId="0E8DA4DA" w14:textId="77777777" w:rsidR="00FA1168" w:rsidRDefault="00FA1168" w:rsidP="00FA1168">
      <w:pPr>
        <w:pStyle w:val="a6"/>
      </w:pPr>
      <w:r>
        <w:t xml:space="preserve">В работе </w:t>
      </w:r>
      <w:r w:rsidRPr="00B31B58">
        <w:t>[</w:t>
      </w:r>
      <w:r>
        <w:t>Хасанов, Каштанов, Маргарян, 2013</w:t>
      </w:r>
      <w:r w:rsidRPr="00B31B58">
        <w:t>]</w:t>
      </w:r>
      <w:r>
        <w:rPr>
          <w:rStyle w:val="a9"/>
        </w:rPr>
        <w:footnoteReference w:id="50"/>
      </w:r>
      <w:r>
        <w:t xml:space="preserve"> была проверена и доказана гипотеза о применимости модели Э. Альтмана в условиях российского рынка. Точность оценки была определена на уровне 93%, а граница высокой вероятности наступления банкротства для российских компаний была снижена до </w:t>
      </w:r>
      <w:r>
        <w:rPr>
          <w:lang w:val="en-US"/>
        </w:rPr>
        <w:t>Z</w:t>
      </w:r>
      <w:r>
        <w:t xml:space="preserve"> = 1,</w:t>
      </w:r>
      <w:r w:rsidRPr="00B31B58">
        <w:t>23</w:t>
      </w:r>
      <w:r>
        <w:t xml:space="preserve"> по сравнению с 1,8, предложенной непосредственно Альтманом.</w:t>
      </w:r>
    </w:p>
    <w:p w14:paraId="6AF9F3CB" w14:textId="77777777" w:rsidR="00FA1168" w:rsidRPr="00B31B58" w:rsidRDefault="00FA1168" w:rsidP="00FA1168">
      <w:pPr>
        <w:pStyle w:val="a6"/>
      </w:pPr>
      <w:r>
        <w:t>Таким образом, для дальнейшего исследования была выбрана модель Альтмана, поскольку она позволяет с высокой точностью определить риск дефолта, используя доступную информацию о финансовых показателях компаний.</w:t>
      </w:r>
    </w:p>
    <w:p w14:paraId="299533D5" w14:textId="77777777" w:rsidR="00FA1168" w:rsidRDefault="00FA1168" w:rsidP="00BC0326">
      <w:pPr>
        <w:pStyle w:val="21"/>
      </w:pPr>
    </w:p>
    <w:p w14:paraId="142DA4D6" w14:textId="77777777" w:rsidR="00BC0326" w:rsidRDefault="00BC0326" w:rsidP="00BC0326">
      <w:pPr>
        <w:pStyle w:val="21"/>
      </w:pPr>
      <w:bookmarkStart w:id="22" w:name="_Toc514593084"/>
      <w:r>
        <w:t>Выводы по второй главе</w:t>
      </w:r>
      <w:bookmarkEnd w:id="22"/>
    </w:p>
    <w:p w14:paraId="2138F40A" w14:textId="77777777" w:rsidR="000A4477" w:rsidRDefault="00FA1168" w:rsidP="00FA1168">
      <w:pPr>
        <w:pStyle w:val="a6"/>
      </w:pPr>
      <w:r>
        <w:t>В данной главе был проанализирован кредитный риск как основной риск, возникающий в операционной деятельности банка. Кредиты являются основным активом банка</w:t>
      </w:r>
      <w:r w:rsidR="003974CD">
        <w:t>,</w:t>
      </w:r>
      <w:r>
        <w:t xml:space="preserve"> и перед тем, как принять решение о кредитовании, банку необходимо всесторонне изучить кредитоспособность компании-заемщика, ее кредитную историю, финансовое состояние и т.д. Распространенным методом определения финансовой устойчивости потенциального заемщика является использование моделей оценки вероятности дефолта. Так, в данной работе были рассмотрены основные классы моделей оценки риска банкротства компаний и проанализированы их преимущества и недостатки. </w:t>
      </w:r>
    </w:p>
    <w:p w14:paraId="5BF24699" w14:textId="20F6D876" w:rsidR="00FA1168" w:rsidRDefault="00FA1168" w:rsidP="00FA1168">
      <w:pPr>
        <w:pStyle w:val="a6"/>
      </w:pPr>
      <w:r>
        <w:t xml:space="preserve">Как итог, была выбрана модель для проведения дальнейшего исследования на предмет наличия взаимосвязи между облигационными выпусками компании и ее кредитным риском. Также, важно заметить, что в статистическом исследовании в качестве </w:t>
      </w:r>
      <w:r>
        <w:lastRenderedPageBreak/>
        <w:t xml:space="preserve">зависимой переменной использованы кредитные рейтинги, присвоенные рейтинговыми агентствами. Поскольку в основе кредитных рейтингов лежат оценки вероятности дефолта, ожидаемых потерь и некоторые качественные показатели компании-заемщика, то рейтинги могут быть включены в модель в качестве показателей кредитного риска компании. </w:t>
      </w:r>
    </w:p>
    <w:p w14:paraId="788B3BB6" w14:textId="77777777" w:rsidR="00FA1168" w:rsidRDefault="00FA1168" w:rsidP="00FA1168">
      <w:pPr>
        <w:pStyle w:val="12"/>
        <w:sectPr w:rsidR="00FA1168" w:rsidSect="00723DD5">
          <w:footerReference w:type="even" r:id="rId17"/>
          <w:footerReference w:type="default" r:id="rId18"/>
          <w:pgSz w:w="11906" w:h="16838"/>
          <w:pgMar w:top="1134" w:right="850" w:bottom="1134" w:left="1701" w:header="708" w:footer="708" w:gutter="0"/>
          <w:cols w:space="708"/>
          <w:titlePg/>
          <w:docGrid w:linePitch="360"/>
        </w:sectPr>
      </w:pPr>
    </w:p>
    <w:p w14:paraId="7071768A" w14:textId="7F6046C3" w:rsidR="00800E10" w:rsidRDefault="00800E10" w:rsidP="00800E10">
      <w:pPr>
        <w:pStyle w:val="12"/>
      </w:pPr>
      <w:bookmarkStart w:id="23" w:name="_Toc514593085"/>
      <w:r>
        <w:lastRenderedPageBreak/>
        <w:t>Глава 3. Эмпирическое исследование</w:t>
      </w:r>
      <w:r w:rsidR="00641B90">
        <w:t xml:space="preserve"> взаимосвязи наличия корпоративных облигаций и кредитного риска заемщика</w:t>
      </w:r>
      <w:bookmarkEnd w:id="23"/>
    </w:p>
    <w:p w14:paraId="4BDD8C43" w14:textId="6DCF0C63" w:rsidR="00800E10" w:rsidRDefault="00800E10" w:rsidP="00800E10">
      <w:pPr>
        <w:pStyle w:val="21"/>
      </w:pPr>
      <w:bookmarkStart w:id="24" w:name="_Toc514593086"/>
      <w:r>
        <w:t xml:space="preserve">3.1 </w:t>
      </w:r>
      <w:r w:rsidR="007B7803">
        <w:t>Выдвижение гипотез и ф</w:t>
      </w:r>
      <w:r w:rsidR="0006790B">
        <w:t>ормирование выборки</w:t>
      </w:r>
      <w:bookmarkEnd w:id="24"/>
      <w:r w:rsidR="007B7803">
        <w:t xml:space="preserve"> </w:t>
      </w:r>
    </w:p>
    <w:p w14:paraId="07841B9B" w14:textId="77777777" w:rsidR="00610144" w:rsidRPr="007B7803" w:rsidRDefault="00610144" w:rsidP="00610144">
      <w:pPr>
        <w:pStyle w:val="a6"/>
      </w:pPr>
      <w:r>
        <w:t>Для выполнения цели и задач, поставленных в данной работе, была рассмотрена относящаяся к исследованию информация об американских компаниях. Данный рынок корпоративных облигаций является наиболее развитым и обладает достаточным количеством информации для осуществления данного исследования.</w:t>
      </w:r>
    </w:p>
    <w:p w14:paraId="7223CF4A" w14:textId="77777777" w:rsidR="00610144" w:rsidRDefault="00610144" w:rsidP="00610144">
      <w:pPr>
        <w:pStyle w:val="a6"/>
      </w:pPr>
      <w:r>
        <w:t>На первом этапе эконометрического анализа стояла задача выявить, действительно ли компании, выпускающие облигации имеют меньший показатель риска дефолта, чем компании, не прибегающие к финансированию за счет публичного долга. В соответствии с этим была выдвинута первая гипотеза.</w:t>
      </w:r>
    </w:p>
    <w:p w14:paraId="62D43CBF" w14:textId="7CDA2383" w:rsidR="00610144" w:rsidRPr="00894652" w:rsidRDefault="00610144" w:rsidP="00610144">
      <w:pPr>
        <w:pStyle w:val="a6"/>
        <w:rPr>
          <w:b/>
          <w:i/>
        </w:rPr>
      </w:pPr>
      <w:r>
        <w:rPr>
          <w:b/>
          <w:i/>
        </w:rPr>
        <w:t>Гипотеза №1.</w:t>
      </w:r>
      <w:r w:rsidRPr="00894652">
        <w:rPr>
          <w:b/>
          <w:i/>
        </w:rPr>
        <w:t xml:space="preserve"> Среднее значение риска дефолта</w:t>
      </w:r>
      <w:r w:rsidR="00AA7696">
        <w:rPr>
          <w:b/>
          <w:i/>
        </w:rPr>
        <w:t xml:space="preserve"> (</w:t>
      </w:r>
      <w:r w:rsidR="00AA7696">
        <w:rPr>
          <w:b/>
          <w:i/>
          <w:lang w:val="en-US"/>
        </w:rPr>
        <w:t>Z</w:t>
      </w:r>
      <w:r w:rsidR="00AA7696">
        <w:rPr>
          <w:b/>
          <w:i/>
        </w:rPr>
        <w:t>-</w:t>
      </w:r>
      <w:r w:rsidR="00AA7696">
        <w:rPr>
          <w:b/>
          <w:i/>
          <w:lang w:val="en-US"/>
        </w:rPr>
        <w:t>score</w:t>
      </w:r>
      <w:r w:rsidR="00AA7696">
        <w:rPr>
          <w:b/>
          <w:i/>
        </w:rPr>
        <w:t>)</w:t>
      </w:r>
      <w:r w:rsidRPr="00894652">
        <w:rPr>
          <w:b/>
          <w:i/>
        </w:rPr>
        <w:t xml:space="preserve"> компаний-эмитентов больше среднего значения риска дефолта компаний, не выпускающих облигации. </w:t>
      </w:r>
    </w:p>
    <w:p w14:paraId="4E135FD8" w14:textId="7D365F01" w:rsidR="00AA7696" w:rsidRDefault="00AA7696" w:rsidP="00610144">
      <w:pPr>
        <w:pStyle w:val="a6"/>
      </w:pPr>
      <w:r>
        <w:t xml:space="preserve">Напомним, что согласно модели Альтмана, чем выше значение результирующего фактора, тем ниже вероятность банкротства. </w:t>
      </w:r>
    </w:p>
    <w:p w14:paraId="032B56C3" w14:textId="77777777" w:rsidR="00610144" w:rsidRDefault="00610144" w:rsidP="00610144">
      <w:pPr>
        <w:pStyle w:val="a6"/>
      </w:pPr>
      <w:r>
        <w:t>Для проверки данной гипотезы была использована модель Альтмана, основанная на методе мультипликативного дискриминантного анализа. Функция зависимости дискриминанта от пяти факторов выглядит следующим образом:</w:t>
      </w:r>
    </w:p>
    <w:p w14:paraId="30AC357B" w14:textId="77777777" w:rsidR="00610144" w:rsidRPr="006868AA" w:rsidRDefault="00610144" w:rsidP="00610144">
      <w:pPr>
        <w:pStyle w:val="a6"/>
        <w:rPr>
          <w:szCs w:val="22"/>
        </w:rPr>
      </w:pPr>
      <m:oMathPara>
        <m:oMath>
          <m:r>
            <w:rPr>
              <w:rFonts w:ascii="Cambria Math" w:hAnsi="Cambria Math"/>
            </w:rPr>
            <m:t>Z= 1,2</m:t>
          </m:r>
          <m:sSub>
            <m:sSubPr>
              <m:ctrlPr>
                <w:rPr>
                  <w:rFonts w:ascii="Cambria Math" w:eastAsiaTheme="minorHAnsi" w:hAnsi="Cambria Math"/>
                  <w:i/>
                  <w:szCs w:val="22"/>
                  <w:lang w:val="en-US"/>
                </w:rPr>
              </m:ctrlPr>
            </m:sSubPr>
            <m:e>
              <m:r>
                <w:rPr>
                  <w:rFonts w:ascii="Cambria Math" w:hAnsi="Cambria Math"/>
                  <w:lang w:val="en-US"/>
                </w:rPr>
                <m:t>X</m:t>
              </m:r>
            </m:e>
            <m:sub>
              <m:r>
                <w:rPr>
                  <w:rFonts w:ascii="Cambria Math" w:hAnsi="Cambria Math"/>
                </w:rPr>
                <m:t>1</m:t>
              </m:r>
            </m:sub>
          </m:sSub>
          <m:r>
            <w:rPr>
              <w:rFonts w:ascii="Cambria Math" w:hAnsi="Cambria Math"/>
            </w:rPr>
            <m:t>+ 1,4</m:t>
          </m:r>
          <m:sSub>
            <m:sSubPr>
              <m:ctrlPr>
                <w:rPr>
                  <w:rFonts w:ascii="Cambria Math" w:eastAsiaTheme="minorHAnsi" w:hAnsi="Cambria Math"/>
                  <w:i/>
                  <w:szCs w:val="22"/>
                  <w:lang w:val="en-US"/>
                </w:rPr>
              </m:ctrlPr>
            </m:sSubPr>
            <m:e>
              <m:r>
                <w:rPr>
                  <w:rFonts w:ascii="Cambria Math" w:hAnsi="Cambria Math"/>
                  <w:lang w:val="en-US"/>
                </w:rPr>
                <m:t>X</m:t>
              </m:r>
            </m:e>
            <m:sub>
              <m:r>
                <w:rPr>
                  <w:rFonts w:ascii="Cambria Math" w:hAnsi="Cambria Math"/>
                </w:rPr>
                <m:t>2</m:t>
              </m:r>
            </m:sub>
          </m:sSub>
          <m:r>
            <w:rPr>
              <w:rFonts w:ascii="Cambria Math" w:hAnsi="Cambria Math"/>
            </w:rPr>
            <m:t>+3,3</m:t>
          </m:r>
          <m:sSub>
            <m:sSubPr>
              <m:ctrlPr>
                <w:rPr>
                  <w:rFonts w:ascii="Cambria Math" w:eastAsiaTheme="minorHAnsi" w:hAnsi="Cambria Math"/>
                  <w:i/>
                  <w:szCs w:val="22"/>
                  <w:lang w:val="en-US"/>
                </w:rPr>
              </m:ctrlPr>
            </m:sSubPr>
            <m:e>
              <m:r>
                <w:rPr>
                  <w:rFonts w:ascii="Cambria Math" w:hAnsi="Cambria Math"/>
                  <w:lang w:val="en-US"/>
                </w:rPr>
                <m:t>X</m:t>
              </m:r>
            </m:e>
            <m:sub>
              <m:r>
                <w:rPr>
                  <w:rFonts w:ascii="Cambria Math" w:hAnsi="Cambria Math"/>
                </w:rPr>
                <m:t>3</m:t>
              </m:r>
            </m:sub>
          </m:sSub>
          <m:r>
            <w:rPr>
              <w:rFonts w:ascii="Cambria Math" w:hAnsi="Cambria Math"/>
            </w:rPr>
            <m:t>+0,6</m:t>
          </m:r>
          <m:sSub>
            <m:sSubPr>
              <m:ctrlPr>
                <w:rPr>
                  <w:rFonts w:ascii="Cambria Math" w:eastAsiaTheme="minorHAnsi" w:hAnsi="Cambria Math"/>
                  <w:i/>
                  <w:szCs w:val="22"/>
                  <w:lang w:val="en-US"/>
                </w:rPr>
              </m:ctrlPr>
            </m:sSubPr>
            <m:e>
              <m:r>
                <w:rPr>
                  <w:rFonts w:ascii="Cambria Math" w:hAnsi="Cambria Math"/>
                  <w:lang w:val="en-US"/>
                </w:rPr>
                <m:t>X</m:t>
              </m:r>
            </m:e>
            <m:sub>
              <m:r>
                <w:rPr>
                  <w:rFonts w:ascii="Cambria Math" w:hAnsi="Cambria Math"/>
                </w:rPr>
                <m:t>4</m:t>
              </m:r>
            </m:sub>
          </m:sSub>
          <m:r>
            <w:rPr>
              <w:rFonts w:ascii="Cambria Math" w:hAnsi="Cambria Math"/>
            </w:rPr>
            <m:t>+0,999</m:t>
          </m:r>
          <m:sSub>
            <m:sSubPr>
              <m:ctrlPr>
                <w:rPr>
                  <w:rFonts w:ascii="Cambria Math" w:eastAsiaTheme="minorHAnsi" w:hAnsi="Cambria Math"/>
                  <w:i/>
                  <w:szCs w:val="22"/>
                  <w:lang w:val="en-US"/>
                </w:rPr>
              </m:ctrlPr>
            </m:sSubPr>
            <m:e>
              <m:r>
                <w:rPr>
                  <w:rFonts w:ascii="Cambria Math" w:hAnsi="Cambria Math"/>
                  <w:lang w:val="en-US"/>
                </w:rPr>
                <m:t>X</m:t>
              </m:r>
            </m:e>
            <m:sub>
              <m:r>
                <w:rPr>
                  <w:rFonts w:ascii="Cambria Math" w:hAnsi="Cambria Math"/>
                </w:rPr>
                <m:t>5</m:t>
              </m:r>
            </m:sub>
          </m:sSub>
        </m:oMath>
      </m:oMathPara>
    </w:p>
    <w:p w14:paraId="598C83D4" w14:textId="77777777" w:rsidR="00610144" w:rsidRDefault="00610144" w:rsidP="00610144">
      <w:pPr>
        <w:pStyle w:val="a6"/>
        <w:ind w:firstLine="0"/>
        <w:rPr>
          <w:szCs w:val="22"/>
        </w:rPr>
      </w:pPr>
      <w:r>
        <w:rPr>
          <w:szCs w:val="22"/>
        </w:rPr>
        <w:tab/>
        <w:t>Данные показатели по двум группам компаний, являющихся и не являющихся эмитентами облигаций, использованы для проверки гипотезы о равенстве средних. Их описание приведено в Таблице 7.</w:t>
      </w:r>
    </w:p>
    <w:p w14:paraId="361D1BD3" w14:textId="55B63F1F" w:rsidR="00780A6F" w:rsidRDefault="00780A6F" w:rsidP="00780A6F">
      <w:pPr>
        <w:pStyle w:val="a6"/>
      </w:pPr>
      <w:r>
        <w:t xml:space="preserve">Первоначально были взяты все компании, выпускающие облигации и не выпускавшие облигации. Все показатели, использованные при проверках гипотез, были получены из годовых отчетов компаний, а также из базы данных </w:t>
      </w:r>
      <w:r>
        <w:rPr>
          <w:lang w:val="en-US"/>
        </w:rPr>
        <w:t>Thomson</w:t>
      </w:r>
      <w:r w:rsidRPr="00525B1B">
        <w:t>&amp;</w:t>
      </w:r>
      <w:r>
        <w:rPr>
          <w:lang w:val="en-US"/>
        </w:rPr>
        <w:t>Reuters</w:t>
      </w:r>
      <w:r>
        <w:t>. Количество компаний-эмитентов составило</w:t>
      </w:r>
      <w:r w:rsidRPr="00AC39C0">
        <w:t xml:space="preserve"> </w:t>
      </w:r>
      <w:r>
        <w:t xml:space="preserve">321, а число компаний, не производивших облигационные выпуски, – 602. Число компаний изначально составляло 364 и 1143, соответственно, а затем было сокращено ввиду отсутствия информации по некоторым переменным и за счет выявления выбросов. </w:t>
      </w:r>
    </w:p>
    <w:p w14:paraId="4BA07116" w14:textId="77777777" w:rsidR="00780A6F" w:rsidRPr="00780A6F" w:rsidRDefault="00780A6F" w:rsidP="00780A6F">
      <w:pPr>
        <w:pStyle w:val="a6"/>
      </w:pPr>
    </w:p>
    <w:p w14:paraId="15C14087" w14:textId="77777777" w:rsidR="00780A6F" w:rsidRDefault="00780A6F" w:rsidP="00610144">
      <w:pPr>
        <w:pStyle w:val="a6"/>
        <w:ind w:firstLine="0"/>
        <w:rPr>
          <w:szCs w:val="22"/>
        </w:rPr>
      </w:pPr>
    </w:p>
    <w:p w14:paraId="31D52A79" w14:textId="77777777" w:rsidR="00780A6F" w:rsidRDefault="00780A6F" w:rsidP="00610144">
      <w:pPr>
        <w:pStyle w:val="a6"/>
        <w:ind w:firstLine="0"/>
        <w:rPr>
          <w:szCs w:val="22"/>
        </w:rPr>
      </w:pPr>
    </w:p>
    <w:p w14:paraId="59CB3CF8" w14:textId="77777777" w:rsidR="00780A6F" w:rsidRDefault="00780A6F" w:rsidP="00610144">
      <w:pPr>
        <w:pStyle w:val="a6"/>
        <w:ind w:firstLine="0"/>
        <w:rPr>
          <w:szCs w:val="22"/>
        </w:rPr>
      </w:pPr>
    </w:p>
    <w:p w14:paraId="64EEEE34" w14:textId="77777777" w:rsidR="00780A6F" w:rsidRDefault="00780A6F" w:rsidP="00610144">
      <w:pPr>
        <w:pStyle w:val="a6"/>
        <w:ind w:firstLine="0"/>
        <w:rPr>
          <w:szCs w:val="22"/>
        </w:rPr>
      </w:pPr>
    </w:p>
    <w:p w14:paraId="3D352140" w14:textId="77777777" w:rsidR="00780A6F" w:rsidRDefault="00780A6F" w:rsidP="00610144">
      <w:pPr>
        <w:pStyle w:val="a6"/>
        <w:ind w:firstLine="0"/>
        <w:rPr>
          <w:szCs w:val="22"/>
        </w:rPr>
      </w:pPr>
    </w:p>
    <w:p w14:paraId="7EAA4C2E" w14:textId="77777777" w:rsidR="00610144" w:rsidRDefault="00610144" w:rsidP="00523062">
      <w:pPr>
        <w:pStyle w:val="a0"/>
      </w:pPr>
      <w:r>
        <w:lastRenderedPageBreak/>
        <w:t>Описание переменных, использованных в моделях</w:t>
      </w:r>
    </w:p>
    <w:tbl>
      <w:tblPr>
        <w:tblStyle w:val="afd"/>
        <w:tblW w:w="9474" w:type="dxa"/>
        <w:tblLook w:val="04A0" w:firstRow="1" w:lastRow="0" w:firstColumn="1" w:lastColumn="0" w:noHBand="0" w:noVBand="1"/>
      </w:tblPr>
      <w:tblGrid>
        <w:gridCol w:w="1718"/>
        <w:gridCol w:w="7756"/>
      </w:tblGrid>
      <w:tr w:rsidR="00610144" w14:paraId="47E9BD4D" w14:textId="77777777" w:rsidTr="00610144">
        <w:trPr>
          <w:trHeight w:val="809"/>
        </w:trPr>
        <w:tc>
          <w:tcPr>
            <w:tcW w:w="1718" w:type="dxa"/>
          </w:tcPr>
          <w:p w14:paraId="66397DB0" w14:textId="77777777" w:rsidR="00610144" w:rsidRPr="00E07DEC" w:rsidRDefault="00610144" w:rsidP="00610144">
            <w:pPr>
              <w:pStyle w:val="a6"/>
              <w:ind w:firstLine="0"/>
              <w:jc w:val="center"/>
              <w:rPr>
                <w:b/>
              </w:rPr>
            </w:pPr>
            <w:r w:rsidRPr="00E07DEC">
              <w:rPr>
                <w:b/>
              </w:rPr>
              <w:t>Обозначение переменной</w:t>
            </w:r>
          </w:p>
        </w:tc>
        <w:tc>
          <w:tcPr>
            <w:tcW w:w="7756" w:type="dxa"/>
          </w:tcPr>
          <w:p w14:paraId="4697C83E" w14:textId="77777777" w:rsidR="00610144" w:rsidRPr="00E07DEC" w:rsidRDefault="00610144" w:rsidP="00610144">
            <w:pPr>
              <w:pStyle w:val="a6"/>
              <w:ind w:firstLine="0"/>
              <w:jc w:val="center"/>
              <w:rPr>
                <w:b/>
              </w:rPr>
            </w:pPr>
            <w:r w:rsidRPr="00E07DEC">
              <w:rPr>
                <w:b/>
              </w:rPr>
              <w:t>Описание</w:t>
            </w:r>
          </w:p>
        </w:tc>
      </w:tr>
      <w:tr w:rsidR="00610144" w14:paraId="1B22E8AA" w14:textId="77777777" w:rsidTr="00610144">
        <w:trPr>
          <w:trHeight w:val="2862"/>
        </w:trPr>
        <w:tc>
          <w:tcPr>
            <w:tcW w:w="1718" w:type="dxa"/>
          </w:tcPr>
          <w:p w14:paraId="6D101773" w14:textId="77777777" w:rsidR="00610144" w:rsidRPr="00E07DEC" w:rsidRDefault="00610144" w:rsidP="00610144">
            <w:pPr>
              <w:pStyle w:val="a6"/>
              <w:ind w:firstLine="0"/>
              <w:jc w:val="center"/>
              <w:rPr>
                <w:lang w:val="en-US"/>
              </w:rPr>
            </w:pPr>
            <w:r>
              <w:rPr>
                <w:lang w:val="en-US"/>
              </w:rPr>
              <w:t>X</w:t>
            </w:r>
            <w:r w:rsidRPr="00E07DEC">
              <w:rPr>
                <w:vertAlign w:val="subscript"/>
                <w:lang w:val="en-US"/>
              </w:rPr>
              <w:t>1</w:t>
            </w:r>
          </w:p>
        </w:tc>
        <w:tc>
          <w:tcPr>
            <w:tcW w:w="7756" w:type="dxa"/>
          </w:tcPr>
          <w:p w14:paraId="1D6086DF" w14:textId="77777777" w:rsidR="00610144" w:rsidRPr="00302B40" w:rsidRDefault="00610144" w:rsidP="00610144">
            <w:pPr>
              <w:pStyle w:val="a6"/>
              <w:ind w:firstLine="0"/>
            </w:pPr>
            <w:r>
              <w:t>Отношение оборотного капитала к общим активам. Данный показатель</w:t>
            </w:r>
            <w:r w:rsidRPr="00247455">
              <w:t xml:space="preserve"> часто встречается в иссл</w:t>
            </w:r>
            <w:r>
              <w:t>едованиях корпоративных проблем</w:t>
            </w:r>
            <w:r w:rsidRPr="00247455">
              <w:t xml:space="preserve"> </w:t>
            </w:r>
            <w:r>
              <w:t xml:space="preserve">и </w:t>
            </w:r>
            <w:r w:rsidRPr="00247455">
              <w:t xml:space="preserve">является показателем </w:t>
            </w:r>
            <w:r>
              <w:t>доли активов, относящихся к собственным оборотным средствам</w:t>
            </w:r>
            <w:r w:rsidRPr="00247455">
              <w:t xml:space="preserve">. Оборотный капитал определяется как разница между текущими активами и текущими обязательствами. </w:t>
            </w:r>
            <w:r>
              <w:t>Данное отношение показывает сумму</w:t>
            </w:r>
            <w:r w:rsidRPr="00302B40">
              <w:t xml:space="preserve"> активов, н</w:t>
            </w:r>
            <w:r>
              <w:t>еобходимых для ежедневной деятельности</w:t>
            </w:r>
            <w:r w:rsidRPr="00302B40">
              <w:t xml:space="preserve"> компании</w:t>
            </w:r>
            <w:r>
              <w:t>.</w:t>
            </w:r>
          </w:p>
        </w:tc>
      </w:tr>
      <w:tr w:rsidR="00610144" w14:paraId="4CB9AE48" w14:textId="77777777" w:rsidTr="00610144">
        <w:trPr>
          <w:trHeight w:val="2471"/>
        </w:trPr>
        <w:tc>
          <w:tcPr>
            <w:tcW w:w="1718" w:type="dxa"/>
          </w:tcPr>
          <w:p w14:paraId="25447875" w14:textId="77777777" w:rsidR="00610144" w:rsidRDefault="00610144" w:rsidP="00610144">
            <w:pPr>
              <w:pStyle w:val="a6"/>
              <w:ind w:firstLine="0"/>
              <w:jc w:val="center"/>
            </w:pPr>
            <w:r>
              <w:rPr>
                <w:lang w:val="en-US"/>
              </w:rPr>
              <w:t>X</w:t>
            </w:r>
            <w:r>
              <w:rPr>
                <w:vertAlign w:val="subscript"/>
                <w:lang w:val="en-US"/>
              </w:rPr>
              <w:t>2</w:t>
            </w:r>
          </w:p>
        </w:tc>
        <w:tc>
          <w:tcPr>
            <w:tcW w:w="7756" w:type="dxa"/>
          </w:tcPr>
          <w:p w14:paraId="4ECDEAE8" w14:textId="77777777" w:rsidR="00610144" w:rsidRPr="00302B40" w:rsidRDefault="00610144" w:rsidP="00610144">
            <w:pPr>
              <w:pStyle w:val="a6"/>
              <w:ind w:firstLine="0"/>
            </w:pPr>
            <w:r>
              <w:t>Отношение нераспределенной прибыли к активам. Оно</w:t>
            </w:r>
            <w:r w:rsidRPr="00302B40">
              <w:t xml:space="preserve"> измеряет совокупную доходность с течением вр</w:t>
            </w:r>
            <w:r>
              <w:t>емени как долю от общих активов</w:t>
            </w:r>
            <w:r w:rsidRPr="00302B40">
              <w:t xml:space="preserve">. </w:t>
            </w:r>
            <w:r>
              <w:t xml:space="preserve">                                                                                   Здесь большое влияние оказывает возраст компании. Относительно новые фирмы будут характеризоваться низким уровнем данного показателя, и это справедливо, так как большая доля банкротств происходит на ранних стадиях развития организации. </w:t>
            </w:r>
          </w:p>
        </w:tc>
      </w:tr>
      <w:tr w:rsidR="00610144" w14:paraId="37C9CA87" w14:textId="77777777" w:rsidTr="00610144">
        <w:trPr>
          <w:trHeight w:val="142"/>
        </w:trPr>
        <w:tc>
          <w:tcPr>
            <w:tcW w:w="1718" w:type="dxa"/>
          </w:tcPr>
          <w:p w14:paraId="0A5FDE7F" w14:textId="77777777" w:rsidR="00610144" w:rsidRDefault="00610144" w:rsidP="00610144">
            <w:pPr>
              <w:pStyle w:val="a6"/>
              <w:ind w:firstLine="0"/>
              <w:jc w:val="center"/>
            </w:pPr>
            <w:r>
              <w:rPr>
                <w:lang w:val="en-US"/>
              </w:rPr>
              <w:t>X</w:t>
            </w:r>
            <w:r w:rsidRPr="00302B40">
              <w:rPr>
                <w:vertAlign w:val="subscript"/>
              </w:rPr>
              <w:t>3</w:t>
            </w:r>
          </w:p>
        </w:tc>
        <w:tc>
          <w:tcPr>
            <w:tcW w:w="7756" w:type="dxa"/>
          </w:tcPr>
          <w:p w14:paraId="1AE7558D" w14:textId="77777777" w:rsidR="00610144" w:rsidRDefault="00610144" w:rsidP="00610144">
            <w:pPr>
              <w:pStyle w:val="a6"/>
              <w:ind w:firstLine="0"/>
            </w:pPr>
            <w:r>
              <w:t xml:space="preserve">Отношение прибыли до уплаты процентов и налогов к активам. </w:t>
            </w:r>
            <w:r w:rsidRPr="00124B36">
              <w:t xml:space="preserve">По сути, это показатель реальной производительности активов фирмы, </w:t>
            </w:r>
            <w:r>
              <w:t xml:space="preserve">исключающий влияние </w:t>
            </w:r>
            <w:r w:rsidRPr="00124B36">
              <w:t>факторов</w:t>
            </w:r>
            <w:r>
              <w:t>, таких как налоговый щит, то есть снижение налога, которым облагается собственный капитал, за счет роста доли заемного</w:t>
            </w:r>
            <w:r w:rsidRPr="00124B36">
              <w:t xml:space="preserve">. </w:t>
            </w:r>
            <w:r>
              <w:t>Н</w:t>
            </w:r>
            <w:r w:rsidRPr="00124B36">
              <w:t xml:space="preserve">есостоятельность </w:t>
            </w:r>
            <w:r>
              <w:t>компании</w:t>
            </w:r>
            <w:r w:rsidRPr="00124B36">
              <w:t xml:space="preserve"> возникает, когда общие обязательства превышают справедливую оценку активов фирмы со стоимостью, определяемой доходностью активов.</w:t>
            </w:r>
          </w:p>
        </w:tc>
      </w:tr>
      <w:tr w:rsidR="00610144" w14:paraId="3E79B877" w14:textId="77777777" w:rsidTr="00610144">
        <w:trPr>
          <w:trHeight w:val="142"/>
        </w:trPr>
        <w:tc>
          <w:tcPr>
            <w:tcW w:w="1718" w:type="dxa"/>
          </w:tcPr>
          <w:p w14:paraId="536B81BF" w14:textId="77777777" w:rsidR="00610144" w:rsidRDefault="00610144" w:rsidP="00610144">
            <w:pPr>
              <w:pStyle w:val="a6"/>
              <w:ind w:firstLine="0"/>
              <w:jc w:val="center"/>
            </w:pPr>
            <w:r>
              <w:rPr>
                <w:lang w:val="en-US"/>
              </w:rPr>
              <w:t>X</w:t>
            </w:r>
            <w:r w:rsidRPr="00302B40">
              <w:rPr>
                <w:vertAlign w:val="subscript"/>
              </w:rPr>
              <w:t>4</w:t>
            </w:r>
          </w:p>
        </w:tc>
        <w:tc>
          <w:tcPr>
            <w:tcW w:w="7756" w:type="dxa"/>
          </w:tcPr>
          <w:p w14:paraId="5E5D5B05" w14:textId="77777777" w:rsidR="00610144" w:rsidRDefault="00610144" w:rsidP="00610144">
            <w:pPr>
              <w:pStyle w:val="a6"/>
              <w:ind w:firstLine="0"/>
            </w:pPr>
            <w:r>
              <w:t>Отношение собственного капитала к долгосрочным и краткосрочным обязательствам. Данная м</w:t>
            </w:r>
            <w:r w:rsidRPr="00A452C0">
              <w:t>ера</w:t>
            </w:r>
            <w:r>
              <w:t>, коэффициент покрытия,</w:t>
            </w:r>
            <w:r w:rsidRPr="00A452C0">
              <w:t xml:space="preserve"> показывает, насколько активы компании могут </w:t>
            </w:r>
            <w:r>
              <w:t>снизиться</w:t>
            </w:r>
            <w:r w:rsidRPr="00A452C0">
              <w:t xml:space="preserve"> </w:t>
            </w:r>
            <w:r>
              <w:t>в стоимости</w:t>
            </w:r>
            <w:r w:rsidRPr="00A452C0">
              <w:t xml:space="preserve"> до того</w:t>
            </w:r>
            <w:r>
              <w:t xml:space="preserve"> момента</w:t>
            </w:r>
            <w:r w:rsidRPr="00A452C0">
              <w:t>, ка</w:t>
            </w:r>
            <w:r>
              <w:t>к обязательства превысят активы,</w:t>
            </w:r>
            <w:r w:rsidRPr="00A452C0">
              <w:t xml:space="preserve"> и фирма станет неплатежеспособной.</w:t>
            </w:r>
          </w:p>
        </w:tc>
      </w:tr>
      <w:tr w:rsidR="00610144" w14:paraId="34AEE1AB" w14:textId="77777777" w:rsidTr="00610144">
        <w:trPr>
          <w:trHeight w:val="142"/>
        </w:trPr>
        <w:tc>
          <w:tcPr>
            <w:tcW w:w="1718" w:type="dxa"/>
          </w:tcPr>
          <w:p w14:paraId="5EA68B6A" w14:textId="77777777" w:rsidR="00610144" w:rsidRDefault="00610144" w:rsidP="00610144">
            <w:pPr>
              <w:pStyle w:val="a6"/>
              <w:ind w:firstLine="0"/>
              <w:jc w:val="center"/>
            </w:pPr>
            <w:r>
              <w:rPr>
                <w:lang w:val="en-US"/>
              </w:rPr>
              <w:t>X</w:t>
            </w:r>
            <w:r w:rsidRPr="00302B40">
              <w:rPr>
                <w:vertAlign w:val="subscript"/>
              </w:rPr>
              <w:t>5</w:t>
            </w:r>
          </w:p>
        </w:tc>
        <w:tc>
          <w:tcPr>
            <w:tcW w:w="7756" w:type="dxa"/>
          </w:tcPr>
          <w:p w14:paraId="363F47B6" w14:textId="77777777" w:rsidR="00610144" w:rsidRDefault="00610144" w:rsidP="00610144">
            <w:pPr>
              <w:pStyle w:val="a6"/>
              <w:ind w:firstLine="0"/>
            </w:pPr>
            <w:r>
              <w:t>Отношение выручки к общей величине активов. Данный финансовый показатель оборачиваемости активов</w:t>
            </w:r>
            <w:r w:rsidRPr="00A452C0">
              <w:t xml:space="preserve"> иллюстриру</w:t>
            </w:r>
            <w:r>
              <w:t>ет</w:t>
            </w:r>
            <w:r w:rsidRPr="00A452C0">
              <w:t xml:space="preserve"> способность</w:t>
            </w:r>
            <w:r>
              <w:t xml:space="preserve"> компании</w:t>
            </w:r>
            <w:r w:rsidRPr="00A452C0">
              <w:t xml:space="preserve"> генерирова</w:t>
            </w:r>
            <w:r>
              <w:t>ть продажи за счет величины ее активов</w:t>
            </w:r>
            <w:r w:rsidRPr="00A452C0">
              <w:t xml:space="preserve">. </w:t>
            </w:r>
          </w:p>
        </w:tc>
      </w:tr>
    </w:tbl>
    <w:p w14:paraId="34141AB7" w14:textId="77777777" w:rsidR="00610144" w:rsidRPr="00C51FC1" w:rsidRDefault="00610144" w:rsidP="00610144">
      <w:pPr>
        <w:pStyle w:val="a6"/>
      </w:pPr>
      <w:r>
        <w:rPr>
          <w:i/>
        </w:rPr>
        <w:t xml:space="preserve">Источник: </w:t>
      </w:r>
      <w:r>
        <w:t xml:space="preserve">таблица составлена на основе данных статьи </w:t>
      </w:r>
      <w:r w:rsidRPr="00314AF8">
        <w:rPr>
          <w:lang w:val="en-US"/>
        </w:rPr>
        <w:t>Altman</w:t>
      </w:r>
      <w:r w:rsidRPr="00B77CF0">
        <w:t xml:space="preserve"> </w:t>
      </w:r>
      <w:r w:rsidRPr="00314AF8">
        <w:rPr>
          <w:lang w:val="en-US"/>
        </w:rPr>
        <w:t>E</w:t>
      </w:r>
      <w:r w:rsidRPr="00B77CF0">
        <w:t>.</w:t>
      </w:r>
      <w:r w:rsidRPr="00314AF8">
        <w:rPr>
          <w:lang w:val="en-US"/>
        </w:rPr>
        <w:t>I</w:t>
      </w:r>
      <w:r w:rsidRPr="00B77CF0">
        <w:t xml:space="preserve">., 1968. </w:t>
      </w:r>
      <w:r w:rsidRPr="00314AF8">
        <w:rPr>
          <w:lang w:val="en-US"/>
        </w:rPr>
        <w:t>Financial ratios. Discriminant analysis, and the prediction of corporate bankruptcy. Journal</w:t>
      </w:r>
      <w:r w:rsidRPr="00C51FC1">
        <w:t xml:space="preserve"> </w:t>
      </w:r>
      <w:r w:rsidRPr="00314AF8">
        <w:rPr>
          <w:lang w:val="en-US"/>
        </w:rPr>
        <w:t>of</w:t>
      </w:r>
      <w:r w:rsidRPr="00C51FC1">
        <w:t xml:space="preserve"> </w:t>
      </w:r>
      <w:r w:rsidRPr="00314AF8">
        <w:rPr>
          <w:lang w:val="en-US"/>
        </w:rPr>
        <w:t>Finance</w:t>
      </w:r>
      <w:r w:rsidRPr="00C51FC1">
        <w:t xml:space="preserve">, </w:t>
      </w:r>
      <w:r w:rsidRPr="00314AF8">
        <w:rPr>
          <w:lang w:val="en-US"/>
        </w:rPr>
        <w:t>September</w:t>
      </w:r>
      <w:r w:rsidRPr="00C51FC1">
        <w:t xml:space="preserve"> </w:t>
      </w:r>
      <w:r w:rsidRPr="00314AF8">
        <w:rPr>
          <w:lang w:val="en-US"/>
        </w:rPr>
        <w:t>No</w:t>
      </w:r>
      <w:r w:rsidRPr="00C51FC1">
        <w:t xml:space="preserve">. 4. </w:t>
      </w:r>
      <w:r>
        <w:rPr>
          <w:lang w:val="en-US"/>
        </w:rPr>
        <w:t>p</w:t>
      </w:r>
      <w:r w:rsidRPr="00314AF8">
        <w:rPr>
          <w:lang w:val="en-US"/>
        </w:rPr>
        <w:t>p</w:t>
      </w:r>
      <w:r w:rsidRPr="00C51FC1">
        <w:t>. 589–609.</w:t>
      </w:r>
    </w:p>
    <w:p w14:paraId="02519DCD" w14:textId="77777777" w:rsidR="00610144" w:rsidRPr="00D13878" w:rsidRDefault="00610144" w:rsidP="00610144">
      <w:pPr>
        <w:pStyle w:val="a6"/>
        <w:ind w:firstLine="0"/>
      </w:pPr>
    </w:p>
    <w:p w14:paraId="1EE261F7" w14:textId="50448288" w:rsidR="00610144" w:rsidRPr="001032F6" w:rsidRDefault="00610144" w:rsidP="00610144">
      <w:pPr>
        <w:pStyle w:val="a6"/>
      </w:pPr>
      <w:r>
        <w:lastRenderedPageBreak/>
        <w:t xml:space="preserve">Для проведения второй части исследования в состав выборки были включены только те компании, которые выпускают облигации. В качестве результирующего фактора был выбран рейтинг, присвоенный компании агентствами </w:t>
      </w:r>
      <w:r>
        <w:rPr>
          <w:lang w:val="en-US"/>
        </w:rPr>
        <w:t>Moody</w:t>
      </w:r>
      <w:r w:rsidRPr="00E07DEC">
        <w:t>’</w:t>
      </w:r>
      <w:r>
        <w:rPr>
          <w:lang w:val="en-US"/>
        </w:rPr>
        <w:t>s</w:t>
      </w:r>
      <w:r w:rsidRPr="00E07DEC">
        <w:t xml:space="preserve"> </w:t>
      </w:r>
      <w:r>
        <w:t xml:space="preserve">и </w:t>
      </w:r>
      <w:r>
        <w:rPr>
          <w:lang w:val="en-US"/>
        </w:rPr>
        <w:t>Standard</w:t>
      </w:r>
      <w:r w:rsidRPr="00E07DEC">
        <w:t xml:space="preserve"> &amp; </w:t>
      </w:r>
      <w:r>
        <w:rPr>
          <w:lang w:val="en-US"/>
        </w:rPr>
        <w:t>Poors</w:t>
      </w:r>
      <w:r>
        <w:t xml:space="preserve">. Для приведения данной переменной к числовому виду рейтинги были проранжированы с шагом 1 от 0, что соответствует самому низкому рейтингу </w:t>
      </w:r>
      <w:r>
        <w:rPr>
          <w:lang w:val="en-US"/>
        </w:rPr>
        <w:t>D</w:t>
      </w:r>
      <w:r w:rsidRPr="00614B14">
        <w:t>,</w:t>
      </w:r>
      <w:r>
        <w:t xml:space="preserve"> до 20, что характеризует наилучший рейтинг AAA.</w:t>
      </w:r>
      <w:r w:rsidRPr="00E07DEC">
        <w:t xml:space="preserve"> </w:t>
      </w:r>
      <w:r>
        <w:t>В качестве дополнительных независимых переменных, относящихся к выпуску корпоративных облигаций, были выбраны максимальная (присущая данной компании) доходность облигаций к погашению (</w:t>
      </w:r>
      <m:oMath>
        <m:r>
          <w:rPr>
            <w:rFonts w:ascii="Cambria Math" w:hAnsi="Cambria Math"/>
            <w:lang w:val="en-US"/>
          </w:rPr>
          <m:t>YDL</m:t>
        </m:r>
      </m:oMath>
      <w:r w:rsidR="00504B86">
        <w:t>)</w:t>
      </w:r>
      <w:r>
        <w:t>, отношение общей суммы всех выпусков на рассматриваемый момент</w:t>
      </w:r>
      <w:r w:rsidRPr="00217C7C">
        <w:t xml:space="preserve"> </w:t>
      </w:r>
      <w:r>
        <w:t>к чистым активам (</w:t>
      </w:r>
      <m:oMath>
        <m:r>
          <w:rPr>
            <w:rFonts w:ascii="Cambria Math" w:hAnsi="Cambria Math"/>
          </w:rPr>
          <m:t>AMT</m:t>
        </m:r>
      </m:oMath>
      <w:r>
        <w:t>) и количество выпусков эмитента (</w:t>
      </w:r>
      <m:oMath>
        <m:r>
          <w:rPr>
            <w:rFonts w:ascii="Cambria Math" w:hAnsi="Cambria Math"/>
          </w:rPr>
          <m:t>NUM</m:t>
        </m:r>
      </m:oMath>
      <w:r>
        <w:t xml:space="preserve">). Количество эмиссий, проведенных компаниями, было прологарифмировано для приведения распределения к нормальному. Принадлежность определенной отрасли была выражены через переменную </w:t>
      </w:r>
      <w:r w:rsidRPr="0035700F">
        <w:t>(</w:t>
      </w:r>
      <w:r>
        <w:rPr>
          <w:lang w:val="en-US"/>
        </w:rPr>
        <w:t>IND</w:t>
      </w:r>
      <w:r>
        <w:t>). Введение переменной, которая отражает принадлежность отрасли, нужно для того, чтобы понять, отличается ли уровень кредитного риска в зависимости от индустрии.</w:t>
      </w:r>
    </w:p>
    <w:p w14:paraId="6DD5146C" w14:textId="77777777" w:rsidR="00610144" w:rsidRDefault="00610144" w:rsidP="00610144">
      <w:pPr>
        <w:pStyle w:val="a6"/>
      </w:pPr>
      <w:r>
        <w:t>Здесь были выдвинуты следующие гипотезы.</w:t>
      </w:r>
    </w:p>
    <w:p w14:paraId="227D6F51" w14:textId="2795C171" w:rsidR="00610144" w:rsidRPr="0057631B" w:rsidRDefault="00610144" w:rsidP="00610144">
      <w:pPr>
        <w:pStyle w:val="a6"/>
        <w:rPr>
          <w:b/>
          <w:i/>
        </w:rPr>
      </w:pPr>
      <w:r w:rsidRPr="0057631B">
        <w:rPr>
          <w:b/>
          <w:i/>
        </w:rPr>
        <w:t>Гипотеза №2. Имеется отрицательная взаимосвязь между максимальной доходностью</w:t>
      </w:r>
      <w:r w:rsidR="001D3E1E">
        <w:rPr>
          <w:b/>
          <w:i/>
        </w:rPr>
        <w:t xml:space="preserve"> к погашению</w:t>
      </w:r>
      <w:r w:rsidRPr="0057631B">
        <w:rPr>
          <w:b/>
          <w:i/>
        </w:rPr>
        <w:t xml:space="preserve"> по облигациям и кредитным рейтингом компании. </w:t>
      </w:r>
    </w:p>
    <w:p w14:paraId="41244879" w14:textId="77777777" w:rsidR="00610144" w:rsidRPr="0057631B" w:rsidRDefault="00610144" w:rsidP="00610144">
      <w:pPr>
        <w:pStyle w:val="a6"/>
        <w:rPr>
          <w:b/>
          <w:i/>
        </w:rPr>
      </w:pPr>
      <w:r w:rsidRPr="0057631B">
        <w:rPr>
          <w:b/>
          <w:i/>
        </w:rPr>
        <w:t>Гипотеза №3. Имеется положительная взаимосвязь между количеством облигационных выпусков и кредитным рейтингом компании.</w:t>
      </w:r>
    </w:p>
    <w:p w14:paraId="27FD1FD4" w14:textId="77777777" w:rsidR="00610144" w:rsidRPr="0057631B" w:rsidRDefault="00610144" w:rsidP="00610144">
      <w:pPr>
        <w:pStyle w:val="a6"/>
        <w:rPr>
          <w:b/>
          <w:i/>
        </w:rPr>
      </w:pPr>
      <w:r w:rsidRPr="0057631B">
        <w:rPr>
          <w:b/>
          <w:i/>
        </w:rPr>
        <w:t>Гипотеза №4</w:t>
      </w:r>
      <w:r w:rsidRPr="00C51FC1">
        <w:rPr>
          <w:b/>
          <w:i/>
        </w:rPr>
        <w:t>.</w:t>
      </w:r>
      <w:r w:rsidRPr="0057631B">
        <w:rPr>
          <w:b/>
          <w:i/>
        </w:rPr>
        <w:t xml:space="preserve"> Имеется отрицательная взаимосвязь между долей суммы выпуска в чистых активах и кредитным рейтингом компании.</w:t>
      </w:r>
    </w:p>
    <w:p w14:paraId="34BAC1A3" w14:textId="77777777" w:rsidR="00610144" w:rsidRPr="0057631B" w:rsidRDefault="00610144" w:rsidP="00610144">
      <w:pPr>
        <w:pStyle w:val="a6"/>
        <w:rPr>
          <w:b/>
          <w:i/>
        </w:rPr>
      </w:pPr>
      <w:r w:rsidRPr="0057631B">
        <w:rPr>
          <w:b/>
          <w:i/>
        </w:rPr>
        <w:t>Гипотеза №5. Имеется взаимосвязь между отраслью компании-эмитента и ее кредитным рейтингом.</w:t>
      </w:r>
    </w:p>
    <w:p w14:paraId="7BA357D6" w14:textId="77777777" w:rsidR="00610144" w:rsidRPr="00F63C40" w:rsidRDefault="00610144" w:rsidP="00610144">
      <w:pPr>
        <w:pStyle w:val="a6"/>
        <w:rPr>
          <w:color w:val="000000" w:themeColor="text1"/>
        </w:rPr>
      </w:pPr>
      <w:r w:rsidRPr="00F63C40">
        <w:rPr>
          <w:color w:val="000000" w:themeColor="text1"/>
        </w:rPr>
        <w:t>В качестве базовой модели, использованной на данном этапе эконометрического</w:t>
      </w:r>
      <w:r>
        <w:rPr>
          <w:color w:val="000000" w:themeColor="text1"/>
        </w:rPr>
        <w:t xml:space="preserve"> исследования</w:t>
      </w:r>
      <w:r w:rsidRPr="00F63C40">
        <w:rPr>
          <w:color w:val="000000" w:themeColor="text1"/>
        </w:rPr>
        <w:t xml:space="preserve">, для </w:t>
      </w:r>
      <w:r>
        <w:rPr>
          <w:color w:val="000000" w:themeColor="text1"/>
        </w:rPr>
        <w:t>выявления факторов,</w:t>
      </w:r>
      <w:r w:rsidRPr="00F63C40">
        <w:rPr>
          <w:color w:val="000000" w:themeColor="text1"/>
        </w:rPr>
        <w:t xml:space="preserve"> </w:t>
      </w:r>
      <w:r>
        <w:rPr>
          <w:color w:val="000000" w:themeColor="text1"/>
        </w:rPr>
        <w:t>влияющих на кредитоспособность компании-эмитента</w:t>
      </w:r>
      <w:r w:rsidRPr="00F63C40">
        <w:rPr>
          <w:color w:val="000000" w:themeColor="text1"/>
        </w:rPr>
        <w:t>, была выбрана следующая регрессионная модель.</w:t>
      </w:r>
    </w:p>
    <w:p w14:paraId="446DB3D7" w14:textId="77777777" w:rsidR="00610144" w:rsidRPr="00641B90" w:rsidRDefault="00610144" w:rsidP="00610144">
      <w:pPr>
        <w:pStyle w:val="a6"/>
      </w:pPr>
      <m:oMathPara>
        <m:oMath>
          <m:r>
            <w:rPr>
              <w:rFonts w:ascii="Cambria Math" w:hAnsi="Cambria Math"/>
              <w:lang w:val="en-US"/>
            </w:rPr>
            <m:t>RTG</m:t>
          </m:r>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lang w:val="en-US"/>
            </w:rPr>
            <m:t>YDL</m:t>
          </m:r>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AMT+</m:t>
          </m:r>
          <m:sSub>
            <m:sSubPr>
              <m:ctrlPr>
                <w:rPr>
                  <w:rFonts w:ascii="Cambria Math" w:hAnsi="Cambria Math"/>
                  <w:i/>
                </w:rPr>
              </m:ctrlPr>
            </m:sSubPr>
            <m:e>
              <m:r>
                <w:rPr>
                  <w:rFonts w:ascii="Cambria Math" w:hAnsi="Cambria Math"/>
                </w:rPr>
                <m:t>β</m:t>
              </m:r>
            </m:e>
            <m:sub>
              <m:r>
                <w:rPr>
                  <w:rFonts w:ascii="Cambria Math" w:hAnsi="Cambria Math"/>
                </w:rPr>
                <m:t>8</m:t>
              </m:r>
            </m:sub>
          </m:sSub>
          <m:r>
            <w:rPr>
              <w:rFonts w:ascii="Cambria Math" w:hAnsi="Cambria Math"/>
            </w:rPr>
            <m:t>NUM+</m:t>
          </m:r>
          <m:sSub>
            <m:sSubPr>
              <m:ctrlPr>
                <w:rPr>
                  <w:rFonts w:ascii="Cambria Math" w:hAnsi="Cambria Math"/>
                  <w:i/>
                </w:rPr>
              </m:ctrlPr>
            </m:sSubPr>
            <m:e>
              <m:r>
                <w:rPr>
                  <w:rFonts w:ascii="Cambria Math" w:hAnsi="Cambria Math"/>
                </w:rPr>
                <m:t>β</m:t>
              </m:r>
            </m:e>
            <m:sub>
              <m:r>
                <w:rPr>
                  <w:rFonts w:ascii="Cambria Math" w:hAnsi="Cambria Math"/>
                </w:rPr>
                <m:t>9</m:t>
              </m:r>
            </m:sub>
          </m:sSub>
          <m:r>
            <w:rPr>
              <w:rFonts w:ascii="Cambria Math" w:hAnsi="Cambria Math"/>
              <w:lang w:val="en-US"/>
            </w:rPr>
            <m:t>IND</m:t>
          </m:r>
          <m:r>
            <w:rPr>
              <w:rFonts w:ascii="Cambria Math" w:hAnsi="Cambria Math"/>
            </w:rPr>
            <m:t>+ε</m:t>
          </m:r>
        </m:oMath>
      </m:oMathPara>
    </w:p>
    <w:p w14:paraId="3F9905C3" w14:textId="77777777" w:rsidR="00610144" w:rsidRDefault="00610144" w:rsidP="00610144">
      <w:pPr>
        <w:spacing w:before="120" w:after="120" w:line="360" w:lineRule="auto"/>
        <w:ind w:firstLine="708"/>
        <w:jc w:val="both"/>
        <w:rPr>
          <w:rFonts w:eastAsiaTheme="minorEastAsia"/>
        </w:rPr>
      </w:pPr>
      <w:r>
        <w:rPr>
          <w:rFonts w:eastAsiaTheme="minorEastAsia"/>
        </w:rPr>
        <w:t xml:space="preserve">В модели использованы следующие обозначения: под </w:t>
      </w:r>
      <m:oMath>
        <m:r>
          <w:rPr>
            <w:rFonts w:ascii="Cambria Math" w:hAnsi="Cambria Math"/>
          </w:rPr>
          <m:t>ε</m:t>
        </m:r>
      </m:oMath>
      <w:r>
        <w:rPr>
          <w:rFonts w:eastAsiaTheme="minorEastAsia"/>
        </w:rPr>
        <w:t xml:space="preserve"> следует понимать случайные величины в модели, под</w:t>
      </w:r>
      <w:r w:rsidRPr="00E01DA8">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Pr="00E01DA8">
        <w:rPr>
          <w:rFonts w:eastAsiaTheme="minorEastAsia"/>
        </w:rPr>
        <w:t xml:space="preserve"> </w:t>
      </w:r>
      <w:r>
        <w:rPr>
          <w:rFonts w:eastAsiaTheme="minorEastAsia"/>
        </w:rPr>
        <w:t>подразумевается</w:t>
      </w:r>
      <w:r w:rsidRPr="00E01DA8">
        <w:rPr>
          <w:rFonts w:eastAsiaTheme="minorEastAsia"/>
        </w:rPr>
        <w:t xml:space="preserve"> неизвестная скалярная вели</w:t>
      </w:r>
      <w:r>
        <w:rPr>
          <w:rFonts w:eastAsiaTheme="minorEastAsia"/>
        </w:rPr>
        <w:t>чина</w:t>
      </w:r>
      <w:r w:rsidRPr="00E01DA8">
        <w:rPr>
          <w:rFonts w:eastAsiaTheme="minorEastAsia"/>
        </w:rPr>
        <w:t xml:space="preserve"> (константа), </w:t>
      </w:r>
      <w:r>
        <w:rPr>
          <w:rFonts w:eastAsiaTheme="minorEastAsia"/>
        </w:rPr>
        <w:t xml:space="preserve">коэффициенты перед количественными переменными модели обозначены через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oMath>
      <w:r>
        <w:rPr>
          <w:rFonts w:eastAsiaTheme="minorEastAsia"/>
        </w:rPr>
        <w:t xml:space="preserve">. </w:t>
      </w:r>
    </w:p>
    <w:p w14:paraId="6C7EEEB1" w14:textId="71735E48" w:rsidR="00610144" w:rsidRPr="00384663" w:rsidRDefault="00610144" w:rsidP="00610144">
      <w:pPr>
        <w:pStyle w:val="a6"/>
      </w:pPr>
      <w:r>
        <w:t>Для выявления взаимосвязи отрасли и кредитного рейтинга и анализа различий влияния дополнительных факторов модели были выделены следующие отрасли, сформированные в три группы по характеру деятельности:</w:t>
      </w:r>
      <w:r w:rsidRPr="009E0A4B">
        <w:t xml:space="preserve"> </w:t>
      </w:r>
      <w:r>
        <w:t xml:space="preserve">телекоммуникационные </w:t>
      </w:r>
      <w:r>
        <w:lastRenderedPageBreak/>
        <w:t>компании и компании, предоставляющие услуги в области программного обеспечения и информационных технологий, обозначенные цифрой 1</w:t>
      </w:r>
      <w:r w:rsidR="006514F5">
        <w:t xml:space="preserve">, составляющие компании, важную роль в </w:t>
      </w:r>
      <w:r w:rsidR="008715D6">
        <w:t xml:space="preserve">деятельности </w:t>
      </w:r>
      <w:r w:rsidR="006514F5">
        <w:t>которых играет интеллектуальный капитал</w:t>
      </w:r>
      <w:r>
        <w:t xml:space="preserve">; </w:t>
      </w:r>
      <w:r w:rsidR="006514F5">
        <w:t xml:space="preserve">затем </w:t>
      </w:r>
      <w:r>
        <w:t>металлургическая, горнодобывающая и химическая промышленность, которые</w:t>
      </w:r>
      <w:r w:rsidR="006514F5">
        <w:t xml:space="preserve"> представляют группу капиталоемких отраслей и</w:t>
      </w:r>
      <w:r>
        <w:t xml:space="preserve"> были обозначены цифрой 2; сектор розничной торговли (в том числе продовольствие и лекарства), которому присвоен ранг 3. Всего было исследовано </w:t>
      </w:r>
      <w:r w:rsidR="006514F5">
        <w:t xml:space="preserve">321 </w:t>
      </w:r>
      <w:r>
        <w:t>компани</w:t>
      </w:r>
      <w:r w:rsidR="006514F5">
        <w:t>я-эмитент</w:t>
      </w:r>
      <w:r>
        <w:t xml:space="preserve">, по </w:t>
      </w:r>
      <w:r w:rsidR="006514F5">
        <w:t>103</w:t>
      </w:r>
      <w:r>
        <w:t xml:space="preserve">, </w:t>
      </w:r>
      <w:r w:rsidR="006514F5">
        <w:t>110</w:t>
      </w:r>
      <w:r>
        <w:t xml:space="preserve">, </w:t>
      </w:r>
      <w:r w:rsidR="006514F5">
        <w:t>108</w:t>
      </w:r>
      <w:r>
        <w:t xml:space="preserve"> в </w:t>
      </w:r>
      <w:r w:rsidR="006514F5">
        <w:t>каждой группе, соответственно.</w:t>
      </w:r>
      <w:r w:rsidR="00AA7696">
        <w:t xml:space="preserve"> Список наиболее крупных компаний-эмитентов, участвовавших в формировании выборки, приведен в Приложении 10.</w:t>
      </w:r>
    </w:p>
    <w:p w14:paraId="3AEF070F" w14:textId="3A12F076" w:rsidR="00975FD4" w:rsidRPr="00AC39C0" w:rsidRDefault="00800E10" w:rsidP="006868AA">
      <w:pPr>
        <w:pStyle w:val="21"/>
      </w:pPr>
      <w:bookmarkStart w:id="25" w:name="_Toc514593087"/>
      <w:r>
        <w:t xml:space="preserve">3.2 </w:t>
      </w:r>
      <w:r w:rsidR="00440B76">
        <w:t>Эконометрический анализ</w:t>
      </w:r>
      <w:bookmarkEnd w:id="25"/>
    </w:p>
    <w:p w14:paraId="1FEFBB64" w14:textId="653C1C37" w:rsidR="00610144" w:rsidRPr="005E3D04" w:rsidRDefault="00610144" w:rsidP="00610144">
      <w:pPr>
        <w:pStyle w:val="a6"/>
      </w:pPr>
      <w:r>
        <w:t xml:space="preserve">В первую очередь в рамках выявления существенной разницы между кредитоспособностью выпускающих и не выпускающих облигации компаний были посчитаны средние величины дискриминанта Z согласно модели Альтмана. Для указанных двух групп они равны 1,47 и 0,85, соответственно. Затем для проверки гипотезы о равенстве полученных средних значений был использован один из методов проверки статистических гипотез, t-критерий Стьюдента для двух выборок с неравными дисперсиями. Данный тест показал, что абсолютное значение статистики превышает критическое значение данного распределения при 95% уровне значимости. Это означает, что нулевая гипотеза о равенстве средних отвергается. Мы можем утверждать, что </w:t>
      </w:r>
      <w:r w:rsidR="00AA7696">
        <w:t>значение</w:t>
      </w:r>
      <w:r>
        <w:t xml:space="preserve"> кредитного </w:t>
      </w:r>
      <w:r w:rsidR="00AA7696">
        <w:t>риска</w:t>
      </w:r>
      <w:r>
        <w:t xml:space="preserve"> компаний-эмитентов, рассчитанный по модели Альтмана, выше соответствующего уровня для компаний, не выпустивших облигации. Таким образом, первая гипотеза подтверждается. Результаты теста, проведенного в программе </w:t>
      </w:r>
      <w:r>
        <w:rPr>
          <w:lang w:val="en-US"/>
        </w:rPr>
        <w:t>Stata</w:t>
      </w:r>
      <w:r>
        <w:t>, приведены в Приложении 1.</w:t>
      </w:r>
    </w:p>
    <w:p w14:paraId="25CD92E3" w14:textId="77777777" w:rsidR="00610144" w:rsidRDefault="00610144" w:rsidP="00610144">
      <w:pPr>
        <w:pStyle w:val="a0"/>
      </w:pPr>
      <w:r>
        <w:t>Описательная статистика переменных</w:t>
      </w:r>
    </w:p>
    <w:tbl>
      <w:tblPr>
        <w:tblW w:w="9381" w:type="dxa"/>
        <w:jc w:val="center"/>
        <w:tblLook w:val="04A0" w:firstRow="1" w:lastRow="0" w:firstColumn="1" w:lastColumn="0" w:noHBand="0" w:noVBand="1"/>
      </w:tblPr>
      <w:tblGrid>
        <w:gridCol w:w="1421"/>
        <w:gridCol w:w="1990"/>
        <w:gridCol w:w="1990"/>
        <w:gridCol w:w="1990"/>
        <w:gridCol w:w="1990"/>
      </w:tblGrid>
      <w:tr w:rsidR="00610144" w:rsidRPr="00780A6F" w14:paraId="17B9B027" w14:textId="77777777" w:rsidTr="00780A6F">
        <w:trPr>
          <w:trHeight w:val="421"/>
          <w:jc w:val="center"/>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8E78E" w14:textId="77777777" w:rsidR="00610144" w:rsidRPr="00780A6F" w:rsidRDefault="00610144" w:rsidP="00610144">
            <w:pPr>
              <w:jc w:val="center"/>
              <w:rPr>
                <w:color w:val="000000"/>
              </w:rPr>
            </w:pPr>
          </w:p>
        </w:tc>
        <w:tc>
          <w:tcPr>
            <w:tcW w:w="1990" w:type="dxa"/>
            <w:tcBorders>
              <w:top w:val="single" w:sz="4" w:space="0" w:color="auto"/>
              <w:left w:val="nil"/>
              <w:bottom w:val="single" w:sz="4" w:space="0" w:color="auto"/>
              <w:right w:val="single" w:sz="4" w:space="0" w:color="auto"/>
            </w:tcBorders>
            <w:shd w:val="clear" w:color="auto" w:fill="auto"/>
            <w:noWrap/>
            <w:vAlign w:val="center"/>
            <w:hideMark/>
          </w:tcPr>
          <w:p w14:paraId="51280B4D" w14:textId="77777777" w:rsidR="00610144" w:rsidRPr="00780A6F" w:rsidRDefault="00610144" w:rsidP="00610144">
            <w:pPr>
              <w:jc w:val="center"/>
              <w:rPr>
                <w:color w:val="000000"/>
              </w:rPr>
            </w:pPr>
            <w:r w:rsidRPr="00780A6F">
              <w:rPr>
                <w:color w:val="000000"/>
              </w:rPr>
              <w:t>Среднее</w:t>
            </w:r>
          </w:p>
        </w:tc>
        <w:tc>
          <w:tcPr>
            <w:tcW w:w="1990" w:type="dxa"/>
            <w:tcBorders>
              <w:top w:val="single" w:sz="4" w:space="0" w:color="auto"/>
              <w:left w:val="nil"/>
              <w:bottom w:val="single" w:sz="4" w:space="0" w:color="auto"/>
              <w:right w:val="single" w:sz="4" w:space="0" w:color="auto"/>
            </w:tcBorders>
            <w:shd w:val="clear" w:color="auto" w:fill="auto"/>
            <w:noWrap/>
            <w:vAlign w:val="center"/>
            <w:hideMark/>
          </w:tcPr>
          <w:p w14:paraId="08466537" w14:textId="77777777" w:rsidR="00610144" w:rsidRPr="00780A6F" w:rsidRDefault="00610144" w:rsidP="00610144">
            <w:pPr>
              <w:jc w:val="center"/>
              <w:rPr>
                <w:color w:val="000000"/>
              </w:rPr>
            </w:pPr>
            <w:r w:rsidRPr="00780A6F">
              <w:rPr>
                <w:color w:val="000000"/>
              </w:rPr>
              <w:t>СКО</w:t>
            </w:r>
          </w:p>
        </w:tc>
        <w:tc>
          <w:tcPr>
            <w:tcW w:w="1990" w:type="dxa"/>
            <w:tcBorders>
              <w:top w:val="single" w:sz="4" w:space="0" w:color="auto"/>
              <w:left w:val="nil"/>
              <w:bottom w:val="single" w:sz="4" w:space="0" w:color="auto"/>
              <w:right w:val="single" w:sz="4" w:space="0" w:color="auto"/>
            </w:tcBorders>
            <w:shd w:val="clear" w:color="auto" w:fill="auto"/>
            <w:noWrap/>
            <w:vAlign w:val="center"/>
            <w:hideMark/>
          </w:tcPr>
          <w:p w14:paraId="0FA59319" w14:textId="77777777" w:rsidR="00610144" w:rsidRPr="00780A6F" w:rsidRDefault="00610144" w:rsidP="00610144">
            <w:pPr>
              <w:jc w:val="center"/>
              <w:rPr>
                <w:color w:val="000000"/>
              </w:rPr>
            </w:pPr>
            <w:r w:rsidRPr="00780A6F">
              <w:rPr>
                <w:color w:val="000000"/>
              </w:rPr>
              <w:t>Минимум</w:t>
            </w:r>
          </w:p>
        </w:tc>
        <w:tc>
          <w:tcPr>
            <w:tcW w:w="1990" w:type="dxa"/>
            <w:tcBorders>
              <w:top w:val="single" w:sz="4" w:space="0" w:color="auto"/>
              <w:left w:val="nil"/>
              <w:bottom w:val="single" w:sz="4" w:space="0" w:color="auto"/>
              <w:right w:val="single" w:sz="4" w:space="0" w:color="auto"/>
            </w:tcBorders>
            <w:shd w:val="clear" w:color="auto" w:fill="auto"/>
            <w:noWrap/>
            <w:vAlign w:val="center"/>
            <w:hideMark/>
          </w:tcPr>
          <w:p w14:paraId="5E08EEB0" w14:textId="77777777" w:rsidR="00610144" w:rsidRPr="00780A6F" w:rsidRDefault="00610144" w:rsidP="00610144">
            <w:pPr>
              <w:jc w:val="center"/>
              <w:rPr>
                <w:color w:val="000000"/>
              </w:rPr>
            </w:pPr>
            <w:r w:rsidRPr="00780A6F">
              <w:rPr>
                <w:color w:val="000000"/>
              </w:rPr>
              <w:t>Максимум</w:t>
            </w:r>
          </w:p>
        </w:tc>
      </w:tr>
      <w:tr w:rsidR="00610144" w:rsidRPr="00780A6F" w14:paraId="2991A374" w14:textId="77777777" w:rsidTr="00780A6F">
        <w:trPr>
          <w:trHeight w:val="449"/>
          <w:jc w:val="center"/>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49A79651" w14:textId="77777777" w:rsidR="00610144" w:rsidRPr="00780A6F" w:rsidRDefault="00610144" w:rsidP="00610144">
            <w:pPr>
              <w:jc w:val="center"/>
              <w:rPr>
                <w:color w:val="000000"/>
                <w:lang w:val="en-US"/>
              </w:rPr>
            </w:pPr>
            <w:r w:rsidRPr="00780A6F">
              <w:rPr>
                <w:lang w:val="en-US"/>
              </w:rPr>
              <w:t>X</w:t>
            </w:r>
            <w:r w:rsidRPr="00780A6F">
              <w:rPr>
                <w:vertAlign w:val="subscript"/>
                <w:lang w:val="en-US"/>
              </w:rPr>
              <w:t>1</w:t>
            </w:r>
          </w:p>
        </w:tc>
        <w:tc>
          <w:tcPr>
            <w:tcW w:w="1990" w:type="dxa"/>
            <w:tcBorders>
              <w:top w:val="nil"/>
              <w:left w:val="nil"/>
              <w:bottom w:val="single" w:sz="4" w:space="0" w:color="auto"/>
              <w:right w:val="single" w:sz="4" w:space="0" w:color="auto"/>
            </w:tcBorders>
            <w:shd w:val="clear" w:color="auto" w:fill="auto"/>
            <w:vAlign w:val="center"/>
            <w:hideMark/>
          </w:tcPr>
          <w:p w14:paraId="3D3E8C93" w14:textId="77777777" w:rsidR="00610144" w:rsidRPr="00780A6F" w:rsidRDefault="00610144" w:rsidP="00610144">
            <w:pPr>
              <w:jc w:val="center"/>
              <w:rPr>
                <w:color w:val="000000"/>
              </w:rPr>
            </w:pPr>
            <w:r w:rsidRPr="00780A6F">
              <w:rPr>
                <w:color w:val="000000"/>
              </w:rPr>
              <w:t>0.147635828</w:t>
            </w:r>
          </w:p>
        </w:tc>
        <w:tc>
          <w:tcPr>
            <w:tcW w:w="1990" w:type="dxa"/>
            <w:tcBorders>
              <w:top w:val="nil"/>
              <w:left w:val="nil"/>
              <w:bottom w:val="single" w:sz="4" w:space="0" w:color="auto"/>
              <w:right w:val="single" w:sz="4" w:space="0" w:color="auto"/>
            </w:tcBorders>
            <w:shd w:val="clear" w:color="auto" w:fill="auto"/>
            <w:vAlign w:val="center"/>
            <w:hideMark/>
          </w:tcPr>
          <w:p w14:paraId="23A3B381" w14:textId="77777777" w:rsidR="00610144" w:rsidRPr="00780A6F" w:rsidRDefault="00610144" w:rsidP="00610144">
            <w:pPr>
              <w:jc w:val="center"/>
              <w:rPr>
                <w:color w:val="000000"/>
              </w:rPr>
            </w:pPr>
            <w:r w:rsidRPr="00780A6F">
              <w:rPr>
                <w:color w:val="000000"/>
              </w:rPr>
              <w:t>0.144176101</w:t>
            </w:r>
          </w:p>
        </w:tc>
        <w:tc>
          <w:tcPr>
            <w:tcW w:w="1990" w:type="dxa"/>
            <w:tcBorders>
              <w:top w:val="nil"/>
              <w:left w:val="nil"/>
              <w:bottom w:val="single" w:sz="4" w:space="0" w:color="auto"/>
              <w:right w:val="single" w:sz="4" w:space="0" w:color="auto"/>
            </w:tcBorders>
            <w:shd w:val="clear" w:color="auto" w:fill="auto"/>
            <w:vAlign w:val="center"/>
            <w:hideMark/>
          </w:tcPr>
          <w:p w14:paraId="5A2A1602" w14:textId="77777777" w:rsidR="00610144" w:rsidRPr="00780A6F" w:rsidRDefault="00610144" w:rsidP="00610144">
            <w:pPr>
              <w:jc w:val="center"/>
              <w:rPr>
                <w:color w:val="000000"/>
              </w:rPr>
            </w:pPr>
            <w:r w:rsidRPr="00780A6F">
              <w:rPr>
                <w:color w:val="000000"/>
              </w:rPr>
              <w:t>-0.348446567</w:t>
            </w:r>
          </w:p>
        </w:tc>
        <w:tc>
          <w:tcPr>
            <w:tcW w:w="1990" w:type="dxa"/>
            <w:tcBorders>
              <w:top w:val="nil"/>
              <w:left w:val="nil"/>
              <w:bottom w:val="single" w:sz="4" w:space="0" w:color="auto"/>
              <w:right w:val="single" w:sz="4" w:space="0" w:color="auto"/>
            </w:tcBorders>
            <w:shd w:val="clear" w:color="auto" w:fill="auto"/>
            <w:vAlign w:val="center"/>
            <w:hideMark/>
          </w:tcPr>
          <w:p w14:paraId="1B9B22C5" w14:textId="77777777" w:rsidR="00610144" w:rsidRPr="00780A6F" w:rsidRDefault="00610144" w:rsidP="00610144">
            <w:pPr>
              <w:jc w:val="center"/>
              <w:rPr>
                <w:color w:val="000000"/>
              </w:rPr>
            </w:pPr>
            <w:r w:rsidRPr="00780A6F">
              <w:rPr>
                <w:color w:val="000000"/>
              </w:rPr>
              <w:t>0.639274294</w:t>
            </w:r>
          </w:p>
        </w:tc>
      </w:tr>
      <w:tr w:rsidR="00610144" w:rsidRPr="00780A6F" w14:paraId="75FAB625" w14:textId="77777777" w:rsidTr="00780A6F">
        <w:trPr>
          <w:trHeight w:val="450"/>
          <w:jc w:val="center"/>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53386258" w14:textId="77777777" w:rsidR="00610144" w:rsidRPr="00780A6F" w:rsidRDefault="00610144" w:rsidP="00610144">
            <w:pPr>
              <w:jc w:val="center"/>
              <w:rPr>
                <w:color w:val="000000"/>
              </w:rPr>
            </w:pPr>
            <w:r w:rsidRPr="00780A6F">
              <w:rPr>
                <w:lang w:val="en-US"/>
              </w:rPr>
              <w:t>X</w:t>
            </w:r>
            <w:r w:rsidRPr="00780A6F">
              <w:rPr>
                <w:vertAlign w:val="subscript"/>
                <w:lang w:val="en-US"/>
              </w:rPr>
              <w:t>2</w:t>
            </w:r>
          </w:p>
        </w:tc>
        <w:tc>
          <w:tcPr>
            <w:tcW w:w="1990" w:type="dxa"/>
            <w:tcBorders>
              <w:top w:val="nil"/>
              <w:left w:val="nil"/>
              <w:bottom w:val="single" w:sz="4" w:space="0" w:color="auto"/>
              <w:right w:val="single" w:sz="4" w:space="0" w:color="auto"/>
            </w:tcBorders>
            <w:shd w:val="clear" w:color="auto" w:fill="auto"/>
            <w:vAlign w:val="center"/>
            <w:hideMark/>
          </w:tcPr>
          <w:p w14:paraId="3521B591" w14:textId="77777777" w:rsidR="00610144" w:rsidRPr="00780A6F" w:rsidRDefault="00610144" w:rsidP="00610144">
            <w:pPr>
              <w:jc w:val="center"/>
              <w:rPr>
                <w:color w:val="000000"/>
              </w:rPr>
            </w:pPr>
            <w:r w:rsidRPr="00780A6F">
              <w:rPr>
                <w:color w:val="000000"/>
              </w:rPr>
              <w:t>0.117852828</w:t>
            </w:r>
          </w:p>
        </w:tc>
        <w:tc>
          <w:tcPr>
            <w:tcW w:w="1990" w:type="dxa"/>
            <w:tcBorders>
              <w:top w:val="nil"/>
              <w:left w:val="nil"/>
              <w:bottom w:val="single" w:sz="4" w:space="0" w:color="auto"/>
              <w:right w:val="single" w:sz="4" w:space="0" w:color="auto"/>
            </w:tcBorders>
            <w:shd w:val="clear" w:color="auto" w:fill="auto"/>
            <w:vAlign w:val="center"/>
            <w:hideMark/>
          </w:tcPr>
          <w:p w14:paraId="693F4F38" w14:textId="77777777" w:rsidR="00610144" w:rsidRPr="00780A6F" w:rsidRDefault="00610144" w:rsidP="00610144">
            <w:pPr>
              <w:jc w:val="center"/>
              <w:rPr>
                <w:color w:val="000000"/>
              </w:rPr>
            </w:pPr>
            <w:r w:rsidRPr="00780A6F">
              <w:rPr>
                <w:color w:val="000000"/>
              </w:rPr>
              <w:t>0.653566039</w:t>
            </w:r>
          </w:p>
        </w:tc>
        <w:tc>
          <w:tcPr>
            <w:tcW w:w="1990" w:type="dxa"/>
            <w:tcBorders>
              <w:top w:val="nil"/>
              <w:left w:val="nil"/>
              <w:bottom w:val="single" w:sz="4" w:space="0" w:color="auto"/>
              <w:right w:val="single" w:sz="4" w:space="0" w:color="auto"/>
            </w:tcBorders>
            <w:shd w:val="clear" w:color="auto" w:fill="auto"/>
            <w:vAlign w:val="center"/>
            <w:hideMark/>
          </w:tcPr>
          <w:p w14:paraId="3CCF057D" w14:textId="77777777" w:rsidR="00610144" w:rsidRPr="00780A6F" w:rsidRDefault="00610144" w:rsidP="00610144">
            <w:pPr>
              <w:jc w:val="center"/>
              <w:rPr>
                <w:color w:val="000000"/>
              </w:rPr>
            </w:pPr>
            <w:r w:rsidRPr="00780A6F">
              <w:rPr>
                <w:color w:val="000000"/>
              </w:rPr>
              <w:t>-6.016205016</w:t>
            </w:r>
          </w:p>
        </w:tc>
        <w:tc>
          <w:tcPr>
            <w:tcW w:w="1990" w:type="dxa"/>
            <w:tcBorders>
              <w:top w:val="nil"/>
              <w:left w:val="nil"/>
              <w:bottom w:val="single" w:sz="4" w:space="0" w:color="auto"/>
              <w:right w:val="single" w:sz="4" w:space="0" w:color="auto"/>
            </w:tcBorders>
            <w:shd w:val="clear" w:color="auto" w:fill="auto"/>
            <w:vAlign w:val="center"/>
            <w:hideMark/>
          </w:tcPr>
          <w:p w14:paraId="6D1266B2" w14:textId="77777777" w:rsidR="00610144" w:rsidRPr="00780A6F" w:rsidRDefault="00610144" w:rsidP="00610144">
            <w:pPr>
              <w:jc w:val="center"/>
              <w:rPr>
                <w:color w:val="000000"/>
              </w:rPr>
            </w:pPr>
            <w:r w:rsidRPr="00780A6F">
              <w:rPr>
                <w:color w:val="000000"/>
              </w:rPr>
              <w:t>1.612845732</w:t>
            </w:r>
          </w:p>
        </w:tc>
      </w:tr>
      <w:tr w:rsidR="00610144" w:rsidRPr="00780A6F" w14:paraId="22FF3591" w14:textId="77777777" w:rsidTr="00780A6F">
        <w:trPr>
          <w:trHeight w:val="449"/>
          <w:jc w:val="center"/>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2E2A9078" w14:textId="77777777" w:rsidR="00610144" w:rsidRPr="00780A6F" w:rsidRDefault="00610144" w:rsidP="00610144">
            <w:pPr>
              <w:jc w:val="center"/>
              <w:rPr>
                <w:color w:val="000000"/>
              </w:rPr>
            </w:pPr>
            <w:r w:rsidRPr="00780A6F">
              <w:rPr>
                <w:lang w:val="en-US"/>
              </w:rPr>
              <w:t>X</w:t>
            </w:r>
            <w:r w:rsidRPr="00780A6F">
              <w:rPr>
                <w:vertAlign w:val="subscript"/>
              </w:rPr>
              <w:t>3</w:t>
            </w:r>
          </w:p>
        </w:tc>
        <w:tc>
          <w:tcPr>
            <w:tcW w:w="1990" w:type="dxa"/>
            <w:tcBorders>
              <w:top w:val="nil"/>
              <w:left w:val="nil"/>
              <w:bottom w:val="single" w:sz="4" w:space="0" w:color="auto"/>
              <w:right w:val="single" w:sz="4" w:space="0" w:color="auto"/>
            </w:tcBorders>
            <w:shd w:val="clear" w:color="auto" w:fill="auto"/>
            <w:vAlign w:val="center"/>
            <w:hideMark/>
          </w:tcPr>
          <w:p w14:paraId="31F51C25" w14:textId="77777777" w:rsidR="00610144" w:rsidRPr="00780A6F" w:rsidRDefault="00610144" w:rsidP="00610144">
            <w:pPr>
              <w:jc w:val="center"/>
              <w:rPr>
                <w:color w:val="000000"/>
              </w:rPr>
            </w:pPr>
            <w:r w:rsidRPr="00780A6F">
              <w:rPr>
                <w:color w:val="000000"/>
              </w:rPr>
              <w:t>0.091206011</w:t>
            </w:r>
          </w:p>
        </w:tc>
        <w:tc>
          <w:tcPr>
            <w:tcW w:w="1990" w:type="dxa"/>
            <w:tcBorders>
              <w:top w:val="nil"/>
              <w:left w:val="nil"/>
              <w:bottom w:val="single" w:sz="4" w:space="0" w:color="auto"/>
              <w:right w:val="single" w:sz="4" w:space="0" w:color="auto"/>
            </w:tcBorders>
            <w:shd w:val="clear" w:color="auto" w:fill="auto"/>
            <w:vAlign w:val="center"/>
            <w:hideMark/>
          </w:tcPr>
          <w:p w14:paraId="23457509" w14:textId="77777777" w:rsidR="00610144" w:rsidRPr="00780A6F" w:rsidRDefault="00610144" w:rsidP="00610144">
            <w:pPr>
              <w:jc w:val="center"/>
              <w:rPr>
                <w:color w:val="000000"/>
              </w:rPr>
            </w:pPr>
            <w:r w:rsidRPr="00780A6F">
              <w:rPr>
                <w:color w:val="000000"/>
              </w:rPr>
              <w:t>0.084531972</w:t>
            </w:r>
          </w:p>
        </w:tc>
        <w:tc>
          <w:tcPr>
            <w:tcW w:w="1990" w:type="dxa"/>
            <w:tcBorders>
              <w:top w:val="nil"/>
              <w:left w:val="nil"/>
              <w:bottom w:val="single" w:sz="4" w:space="0" w:color="auto"/>
              <w:right w:val="single" w:sz="4" w:space="0" w:color="auto"/>
            </w:tcBorders>
            <w:shd w:val="clear" w:color="auto" w:fill="auto"/>
            <w:vAlign w:val="center"/>
            <w:hideMark/>
          </w:tcPr>
          <w:p w14:paraId="3AA79996" w14:textId="77777777" w:rsidR="00610144" w:rsidRPr="00780A6F" w:rsidRDefault="00610144" w:rsidP="00610144">
            <w:pPr>
              <w:jc w:val="center"/>
              <w:rPr>
                <w:color w:val="000000"/>
              </w:rPr>
            </w:pPr>
            <w:r w:rsidRPr="00780A6F">
              <w:rPr>
                <w:color w:val="000000"/>
              </w:rPr>
              <w:t>-0.26560057</w:t>
            </w:r>
          </w:p>
        </w:tc>
        <w:tc>
          <w:tcPr>
            <w:tcW w:w="1990" w:type="dxa"/>
            <w:tcBorders>
              <w:top w:val="nil"/>
              <w:left w:val="nil"/>
              <w:bottom w:val="single" w:sz="4" w:space="0" w:color="auto"/>
              <w:right w:val="single" w:sz="4" w:space="0" w:color="auto"/>
            </w:tcBorders>
            <w:shd w:val="clear" w:color="auto" w:fill="auto"/>
            <w:vAlign w:val="center"/>
            <w:hideMark/>
          </w:tcPr>
          <w:p w14:paraId="4ABBD5A0" w14:textId="77777777" w:rsidR="00610144" w:rsidRPr="00780A6F" w:rsidRDefault="00610144" w:rsidP="00610144">
            <w:pPr>
              <w:jc w:val="center"/>
              <w:rPr>
                <w:color w:val="000000"/>
              </w:rPr>
            </w:pPr>
            <w:r w:rsidRPr="00780A6F">
              <w:rPr>
                <w:color w:val="000000"/>
              </w:rPr>
              <w:t>0.43921012</w:t>
            </w:r>
          </w:p>
        </w:tc>
      </w:tr>
      <w:tr w:rsidR="00610144" w:rsidRPr="00780A6F" w14:paraId="22C0E59B" w14:textId="77777777" w:rsidTr="00780A6F">
        <w:trPr>
          <w:trHeight w:val="407"/>
          <w:jc w:val="center"/>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33B6B85E" w14:textId="77777777" w:rsidR="00610144" w:rsidRPr="00780A6F" w:rsidRDefault="00610144" w:rsidP="00610144">
            <w:pPr>
              <w:jc w:val="center"/>
              <w:rPr>
                <w:color w:val="000000"/>
              </w:rPr>
            </w:pPr>
            <w:r w:rsidRPr="00780A6F">
              <w:rPr>
                <w:lang w:val="en-US"/>
              </w:rPr>
              <w:t>X</w:t>
            </w:r>
            <w:r w:rsidRPr="00780A6F">
              <w:rPr>
                <w:vertAlign w:val="subscript"/>
              </w:rPr>
              <w:t>4</w:t>
            </w:r>
          </w:p>
        </w:tc>
        <w:tc>
          <w:tcPr>
            <w:tcW w:w="1990" w:type="dxa"/>
            <w:tcBorders>
              <w:top w:val="nil"/>
              <w:left w:val="nil"/>
              <w:bottom w:val="single" w:sz="4" w:space="0" w:color="auto"/>
              <w:right w:val="single" w:sz="4" w:space="0" w:color="auto"/>
            </w:tcBorders>
            <w:shd w:val="clear" w:color="auto" w:fill="auto"/>
            <w:vAlign w:val="center"/>
            <w:hideMark/>
          </w:tcPr>
          <w:p w14:paraId="03CBCCF0" w14:textId="77777777" w:rsidR="00610144" w:rsidRPr="00780A6F" w:rsidRDefault="00610144" w:rsidP="00610144">
            <w:pPr>
              <w:jc w:val="center"/>
              <w:rPr>
                <w:color w:val="000000"/>
              </w:rPr>
            </w:pPr>
            <w:r w:rsidRPr="00780A6F">
              <w:rPr>
                <w:color w:val="000000"/>
              </w:rPr>
              <w:t>0.516731903</w:t>
            </w:r>
          </w:p>
        </w:tc>
        <w:tc>
          <w:tcPr>
            <w:tcW w:w="1990" w:type="dxa"/>
            <w:tcBorders>
              <w:top w:val="nil"/>
              <w:left w:val="nil"/>
              <w:bottom w:val="single" w:sz="4" w:space="0" w:color="auto"/>
              <w:right w:val="single" w:sz="4" w:space="0" w:color="auto"/>
            </w:tcBorders>
            <w:shd w:val="clear" w:color="auto" w:fill="auto"/>
            <w:vAlign w:val="center"/>
            <w:hideMark/>
          </w:tcPr>
          <w:p w14:paraId="3C81BE0C" w14:textId="77777777" w:rsidR="00610144" w:rsidRPr="00780A6F" w:rsidRDefault="00610144" w:rsidP="00610144">
            <w:pPr>
              <w:jc w:val="center"/>
              <w:rPr>
                <w:color w:val="000000"/>
              </w:rPr>
            </w:pPr>
            <w:r w:rsidRPr="00780A6F">
              <w:rPr>
                <w:color w:val="000000"/>
              </w:rPr>
              <w:t>0.493546697</w:t>
            </w:r>
          </w:p>
        </w:tc>
        <w:tc>
          <w:tcPr>
            <w:tcW w:w="1990" w:type="dxa"/>
            <w:tcBorders>
              <w:top w:val="nil"/>
              <w:left w:val="nil"/>
              <w:bottom w:val="single" w:sz="4" w:space="0" w:color="auto"/>
              <w:right w:val="single" w:sz="4" w:space="0" w:color="auto"/>
            </w:tcBorders>
            <w:shd w:val="clear" w:color="auto" w:fill="auto"/>
            <w:vAlign w:val="center"/>
            <w:hideMark/>
          </w:tcPr>
          <w:p w14:paraId="5864A84D" w14:textId="77777777" w:rsidR="00610144" w:rsidRPr="00780A6F" w:rsidRDefault="00610144" w:rsidP="00610144">
            <w:pPr>
              <w:jc w:val="center"/>
              <w:rPr>
                <w:color w:val="000000"/>
              </w:rPr>
            </w:pPr>
            <w:r w:rsidRPr="00780A6F">
              <w:rPr>
                <w:color w:val="000000"/>
              </w:rPr>
              <w:t>-0.571806294</w:t>
            </w:r>
          </w:p>
        </w:tc>
        <w:tc>
          <w:tcPr>
            <w:tcW w:w="1990" w:type="dxa"/>
            <w:tcBorders>
              <w:top w:val="nil"/>
              <w:left w:val="nil"/>
              <w:bottom w:val="single" w:sz="4" w:space="0" w:color="auto"/>
              <w:right w:val="single" w:sz="4" w:space="0" w:color="auto"/>
            </w:tcBorders>
            <w:shd w:val="clear" w:color="auto" w:fill="auto"/>
            <w:vAlign w:val="center"/>
            <w:hideMark/>
          </w:tcPr>
          <w:p w14:paraId="289978ED" w14:textId="77777777" w:rsidR="00610144" w:rsidRPr="00780A6F" w:rsidRDefault="00610144" w:rsidP="00610144">
            <w:pPr>
              <w:jc w:val="center"/>
              <w:rPr>
                <w:color w:val="000000"/>
              </w:rPr>
            </w:pPr>
            <w:r w:rsidRPr="00780A6F">
              <w:rPr>
                <w:color w:val="000000"/>
              </w:rPr>
              <w:t>3.404594468</w:t>
            </w:r>
          </w:p>
        </w:tc>
      </w:tr>
      <w:tr w:rsidR="00610144" w:rsidRPr="00780A6F" w14:paraId="0E826B04" w14:textId="77777777" w:rsidTr="00780A6F">
        <w:trPr>
          <w:trHeight w:val="435"/>
          <w:jc w:val="center"/>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5D35260D" w14:textId="77777777" w:rsidR="00610144" w:rsidRPr="00780A6F" w:rsidRDefault="00610144" w:rsidP="00610144">
            <w:pPr>
              <w:jc w:val="center"/>
              <w:rPr>
                <w:color w:val="000000"/>
              </w:rPr>
            </w:pPr>
            <w:r w:rsidRPr="00780A6F">
              <w:rPr>
                <w:lang w:val="en-US"/>
              </w:rPr>
              <w:t>X</w:t>
            </w:r>
            <w:r w:rsidRPr="00780A6F">
              <w:rPr>
                <w:vertAlign w:val="subscript"/>
              </w:rPr>
              <w:t>5</w:t>
            </w:r>
          </w:p>
        </w:tc>
        <w:tc>
          <w:tcPr>
            <w:tcW w:w="1990" w:type="dxa"/>
            <w:tcBorders>
              <w:top w:val="nil"/>
              <w:left w:val="nil"/>
              <w:bottom w:val="single" w:sz="4" w:space="0" w:color="auto"/>
              <w:right w:val="single" w:sz="4" w:space="0" w:color="auto"/>
            </w:tcBorders>
            <w:shd w:val="clear" w:color="auto" w:fill="auto"/>
            <w:vAlign w:val="center"/>
            <w:hideMark/>
          </w:tcPr>
          <w:p w14:paraId="5B01AA25" w14:textId="77777777" w:rsidR="00610144" w:rsidRPr="00780A6F" w:rsidRDefault="00610144" w:rsidP="00610144">
            <w:pPr>
              <w:jc w:val="center"/>
              <w:rPr>
                <w:color w:val="000000"/>
              </w:rPr>
            </w:pPr>
            <w:r w:rsidRPr="00780A6F">
              <w:rPr>
                <w:color w:val="000000"/>
              </w:rPr>
              <w:t>1.112915585</w:t>
            </w:r>
          </w:p>
        </w:tc>
        <w:tc>
          <w:tcPr>
            <w:tcW w:w="1990" w:type="dxa"/>
            <w:tcBorders>
              <w:top w:val="nil"/>
              <w:left w:val="nil"/>
              <w:bottom w:val="single" w:sz="4" w:space="0" w:color="auto"/>
              <w:right w:val="single" w:sz="4" w:space="0" w:color="auto"/>
            </w:tcBorders>
            <w:shd w:val="clear" w:color="auto" w:fill="auto"/>
            <w:vAlign w:val="center"/>
            <w:hideMark/>
          </w:tcPr>
          <w:p w14:paraId="69E93D15" w14:textId="77777777" w:rsidR="00610144" w:rsidRPr="00780A6F" w:rsidRDefault="00610144" w:rsidP="00610144">
            <w:pPr>
              <w:jc w:val="center"/>
              <w:rPr>
                <w:color w:val="000000"/>
              </w:rPr>
            </w:pPr>
            <w:r w:rsidRPr="00780A6F">
              <w:rPr>
                <w:color w:val="000000"/>
              </w:rPr>
              <w:t>0.839535811</w:t>
            </w:r>
          </w:p>
        </w:tc>
        <w:tc>
          <w:tcPr>
            <w:tcW w:w="1990" w:type="dxa"/>
            <w:tcBorders>
              <w:top w:val="nil"/>
              <w:left w:val="nil"/>
              <w:bottom w:val="single" w:sz="4" w:space="0" w:color="auto"/>
              <w:right w:val="single" w:sz="4" w:space="0" w:color="auto"/>
            </w:tcBorders>
            <w:shd w:val="clear" w:color="auto" w:fill="auto"/>
            <w:vAlign w:val="center"/>
            <w:hideMark/>
          </w:tcPr>
          <w:p w14:paraId="33D94132" w14:textId="77777777" w:rsidR="00610144" w:rsidRPr="00780A6F" w:rsidRDefault="00610144" w:rsidP="00610144">
            <w:pPr>
              <w:jc w:val="center"/>
              <w:rPr>
                <w:color w:val="000000"/>
              </w:rPr>
            </w:pPr>
            <w:r w:rsidRPr="00780A6F">
              <w:rPr>
                <w:color w:val="000000"/>
              </w:rPr>
              <w:t>0.118466409</w:t>
            </w:r>
          </w:p>
        </w:tc>
        <w:tc>
          <w:tcPr>
            <w:tcW w:w="1990" w:type="dxa"/>
            <w:tcBorders>
              <w:top w:val="nil"/>
              <w:left w:val="nil"/>
              <w:bottom w:val="single" w:sz="4" w:space="0" w:color="auto"/>
              <w:right w:val="single" w:sz="4" w:space="0" w:color="auto"/>
            </w:tcBorders>
            <w:shd w:val="clear" w:color="auto" w:fill="auto"/>
            <w:vAlign w:val="center"/>
            <w:hideMark/>
          </w:tcPr>
          <w:p w14:paraId="30A6EA97" w14:textId="77777777" w:rsidR="00610144" w:rsidRPr="00780A6F" w:rsidRDefault="00610144" w:rsidP="00610144">
            <w:pPr>
              <w:jc w:val="center"/>
              <w:rPr>
                <w:color w:val="000000"/>
              </w:rPr>
            </w:pPr>
            <w:r w:rsidRPr="00780A6F">
              <w:rPr>
                <w:color w:val="000000"/>
              </w:rPr>
              <w:t>4.336328801</w:t>
            </w:r>
          </w:p>
        </w:tc>
      </w:tr>
      <w:tr w:rsidR="00610144" w:rsidRPr="00780A6F" w14:paraId="453AB154" w14:textId="77777777" w:rsidTr="00780A6F">
        <w:trPr>
          <w:trHeight w:val="380"/>
          <w:jc w:val="center"/>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3C5028DB" w14:textId="77777777" w:rsidR="00610144" w:rsidRPr="00780A6F" w:rsidRDefault="00610144" w:rsidP="00610144">
            <w:pPr>
              <w:jc w:val="center"/>
              <w:rPr>
                <w:color w:val="000000"/>
              </w:rPr>
            </w:pPr>
            <w:r w:rsidRPr="00780A6F">
              <w:rPr>
                <w:color w:val="000000"/>
              </w:rPr>
              <w:t>YLD</w:t>
            </w:r>
          </w:p>
        </w:tc>
        <w:tc>
          <w:tcPr>
            <w:tcW w:w="1990" w:type="dxa"/>
            <w:tcBorders>
              <w:top w:val="nil"/>
              <w:left w:val="nil"/>
              <w:bottom w:val="single" w:sz="4" w:space="0" w:color="auto"/>
              <w:right w:val="single" w:sz="4" w:space="0" w:color="auto"/>
            </w:tcBorders>
            <w:shd w:val="clear" w:color="auto" w:fill="auto"/>
            <w:vAlign w:val="center"/>
            <w:hideMark/>
          </w:tcPr>
          <w:p w14:paraId="6A3C406F" w14:textId="77777777" w:rsidR="00610144" w:rsidRPr="00780A6F" w:rsidRDefault="00610144" w:rsidP="00610144">
            <w:pPr>
              <w:jc w:val="center"/>
              <w:rPr>
                <w:color w:val="000000"/>
              </w:rPr>
            </w:pPr>
            <w:r w:rsidRPr="00780A6F">
              <w:rPr>
                <w:color w:val="000000"/>
              </w:rPr>
              <w:t>5.193924051</w:t>
            </w:r>
          </w:p>
        </w:tc>
        <w:tc>
          <w:tcPr>
            <w:tcW w:w="1990" w:type="dxa"/>
            <w:tcBorders>
              <w:top w:val="nil"/>
              <w:left w:val="nil"/>
              <w:bottom w:val="single" w:sz="4" w:space="0" w:color="auto"/>
              <w:right w:val="single" w:sz="4" w:space="0" w:color="auto"/>
            </w:tcBorders>
            <w:shd w:val="clear" w:color="auto" w:fill="auto"/>
            <w:vAlign w:val="center"/>
            <w:hideMark/>
          </w:tcPr>
          <w:p w14:paraId="2480CB3A" w14:textId="77777777" w:rsidR="00610144" w:rsidRPr="00780A6F" w:rsidRDefault="00610144" w:rsidP="00610144">
            <w:pPr>
              <w:jc w:val="center"/>
              <w:rPr>
                <w:color w:val="000000"/>
              </w:rPr>
            </w:pPr>
            <w:r w:rsidRPr="00780A6F">
              <w:rPr>
                <w:color w:val="000000"/>
              </w:rPr>
              <w:t>12.45066287</w:t>
            </w:r>
          </w:p>
        </w:tc>
        <w:tc>
          <w:tcPr>
            <w:tcW w:w="1990" w:type="dxa"/>
            <w:tcBorders>
              <w:top w:val="nil"/>
              <w:left w:val="nil"/>
              <w:bottom w:val="single" w:sz="4" w:space="0" w:color="auto"/>
              <w:right w:val="single" w:sz="4" w:space="0" w:color="auto"/>
            </w:tcBorders>
            <w:shd w:val="clear" w:color="auto" w:fill="auto"/>
            <w:vAlign w:val="center"/>
            <w:hideMark/>
          </w:tcPr>
          <w:p w14:paraId="7C012EEF" w14:textId="77777777" w:rsidR="00610144" w:rsidRPr="00780A6F" w:rsidRDefault="00610144" w:rsidP="00610144">
            <w:pPr>
              <w:jc w:val="center"/>
              <w:rPr>
                <w:color w:val="000000"/>
              </w:rPr>
            </w:pPr>
            <w:r w:rsidRPr="00780A6F">
              <w:rPr>
                <w:color w:val="000000"/>
              </w:rPr>
              <w:t>-121</w:t>
            </w:r>
          </w:p>
        </w:tc>
        <w:tc>
          <w:tcPr>
            <w:tcW w:w="1990" w:type="dxa"/>
            <w:tcBorders>
              <w:top w:val="nil"/>
              <w:left w:val="nil"/>
              <w:bottom w:val="single" w:sz="4" w:space="0" w:color="auto"/>
              <w:right w:val="single" w:sz="4" w:space="0" w:color="auto"/>
            </w:tcBorders>
            <w:shd w:val="clear" w:color="auto" w:fill="auto"/>
            <w:vAlign w:val="center"/>
            <w:hideMark/>
          </w:tcPr>
          <w:p w14:paraId="54726FDF" w14:textId="77777777" w:rsidR="00610144" w:rsidRPr="00780A6F" w:rsidRDefault="00610144" w:rsidP="00610144">
            <w:pPr>
              <w:jc w:val="center"/>
              <w:rPr>
                <w:color w:val="000000"/>
              </w:rPr>
            </w:pPr>
            <w:r w:rsidRPr="00780A6F">
              <w:rPr>
                <w:color w:val="000000"/>
              </w:rPr>
              <w:t>93</w:t>
            </w:r>
          </w:p>
        </w:tc>
      </w:tr>
      <w:tr w:rsidR="00610144" w:rsidRPr="00780A6F" w14:paraId="0F50EB26" w14:textId="77777777" w:rsidTr="00780A6F">
        <w:trPr>
          <w:trHeight w:val="393"/>
          <w:jc w:val="center"/>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77B1ABE5" w14:textId="77777777" w:rsidR="00610144" w:rsidRPr="00780A6F" w:rsidRDefault="00610144" w:rsidP="00610144">
            <w:pPr>
              <w:jc w:val="center"/>
              <w:rPr>
                <w:color w:val="000000"/>
              </w:rPr>
            </w:pPr>
            <w:r w:rsidRPr="00780A6F">
              <w:rPr>
                <w:color w:val="000000"/>
              </w:rPr>
              <w:t>NUM</w:t>
            </w:r>
          </w:p>
        </w:tc>
        <w:tc>
          <w:tcPr>
            <w:tcW w:w="1990" w:type="dxa"/>
            <w:tcBorders>
              <w:top w:val="nil"/>
              <w:left w:val="nil"/>
              <w:bottom w:val="single" w:sz="4" w:space="0" w:color="auto"/>
              <w:right w:val="single" w:sz="4" w:space="0" w:color="auto"/>
            </w:tcBorders>
            <w:shd w:val="clear" w:color="auto" w:fill="auto"/>
            <w:vAlign w:val="center"/>
            <w:hideMark/>
          </w:tcPr>
          <w:p w14:paraId="761C5BDC" w14:textId="77777777" w:rsidR="00610144" w:rsidRPr="00780A6F" w:rsidRDefault="00610144" w:rsidP="00610144">
            <w:pPr>
              <w:jc w:val="center"/>
              <w:rPr>
                <w:color w:val="000000"/>
              </w:rPr>
            </w:pPr>
            <w:r w:rsidRPr="00780A6F">
              <w:rPr>
                <w:color w:val="000000"/>
              </w:rPr>
              <w:t>1.638618093</w:t>
            </w:r>
          </w:p>
        </w:tc>
        <w:tc>
          <w:tcPr>
            <w:tcW w:w="1990" w:type="dxa"/>
            <w:tcBorders>
              <w:top w:val="nil"/>
              <w:left w:val="nil"/>
              <w:bottom w:val="single" w:sz="4" w:space="0" w:color="auto"/>
              <w:right w:val="single" w:sz="4" w:space="0" w:color="auto"/>
            </w:tcBorders>
            <w:shd w:val="clear" w:color="auto" w:fill="auto"/>
            <w:vAlign w:val="center"/>
            <w:hideMark/>
          </w:tcPr>
          <w:p w14:paraId="38FD07E0" w14:textId="77777777" w:rsidR="00610144" w:rsidRPr="00780A6F" w:rsidRDefault="00610144" w:rsidP="00610144">
            <w:pPr>
              <w:jc w:val="center"/>
              <w:rPr>
                <w:color w:val="000000"/>
              </w:rPr>
            </w:pPr>
            <w:r w:rsidRPr="00780A6F">
              <w:rPr>
                <w:color w:val="000000"/>
              </w:rPr>
              <w:t>1.101220349</w:t>
            </w:r>
          </w:p>
        </w:tc>
        <w:tc>
          <w:tcPr>
            <w:tcW w:w="1990" w:type="dxa"/>
            <w:tcBorders>
              <w:top w:val="nil"/>
              <w:left w:val="nil"/>
              <w:bottom w:val="single" w:sz="4" w:space="0" w:color="auto"/>
              <w:right w:val="single" w:sz="4" w:space="0" w:color="auto"/>
            </w:tcBorders>
            <w:shd w:val="clear" w:color="auto" w:fill="auto"/>
            <w:vAlign w:val="center"/>
            <w:hideMark/>
          </w:tcPr>
          <w:p w14:paraId="5E23E714" w14:textId="77777777" w:rsidR="00610144" w:rsidRPr="00780A6F" w:rsidRDefault="00610144" w:rsidP="00610144">
            <w:pPr>
              <w:jc w:val="center"/>
              <w:rPr>
                <w:color w:val="000000"/>
              </w:rPr>
            </w:pPr>
            <w:r w:rsidRPr="00780A6F">
              <w:rPr>
                <w:color w:val="000000"/>
              </w:rPr>
              <w:t>0</w:t>
            </w:r>
          </w:p>
        </w:tc>
        <w:tc>
          <w:tcPr>
            <w:tcW w:w="1990" w:type="dxa"/>
            <w:tcBorders>
              <w:top w:val="nil"/>
              <w:left w:val="nil"/>
              <w:bottom w:val="single" w:sz="4" w:space="0" w:color="auto"/>
              <w:right w:val="single" w:sz="4" w:space="0" w:color="auto"/>
            </w:tcBorders>
            <w:shd w:val="clear" w:color="auto" w:fill="auto"/>
            <w:vAlign w:val="center"/>
            <w:hideMark/>
          </w:tcPr>
          <w:p w14:paraId="2264C7C7" w14:textId="77777777" w:rsidR="00610144" w:rsidRPr="00780A6F" w:rsidRDefault="00610144" w:rsidP="00610144">
            <w:pPr>
              <w:jc w:val="center"/>
              <w:rPr>
                <w:color w:val="000000"/>
              </w:rPr>
            </w:pPr>
            <w:r w:rsidRPr="00780A6F">
              <w:rPr>
                <w:color w:val="000000"/>
              </w:rPr>
              <w:t>5.087596335</w:t>
            </w:r>
          </w:p>
        </w:tc>
      </w:tr>
      <w:tr w:rsidR="00610144" w:rsidRPr="00780A6F" w14:paraId="0338B1DB" w14:textId="77777777" w:rsidTr="00780A6F">
        <w:trPr>
          <w:trHeight w:val="407"/>
          <w:jc w:val="center"/>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2E59B9B8" w14:textId="77777777" w:rsidR="00610144" w:rsidRPr="00780A6F" w:rsidRDefault="00610144" w:rsidP="00610144">
            <w:pPr>
              <w:jc w:val="center"/>
              <w:rPr>
                <w:color w:val="000000"/>
              </w:rPr>
            </w:pPr>
            <w:r w:rsidRPr="00780A6F">
              <w:rPr>
                <w:color w:val="000000"/>
              </w:rPr>
              <w:t>AMT</w:t>
            </w:r>
          </w:p>
        </w:tc>
        <w:tc>
          <w:tcPr>
            <w:tcW w:w="1990" w:type="dxa"/>
            <w:tcBorders>
              <w:top w:val="nil"/>
              <w:left w:val="nil"/>
              <w:bottom w:val="single" w:sz="4" w:space="0" w:color="auto"/>
              <w:right w:val="single" w:sz="4" w:space="0" w:color="auto"/>
            </w:tcBorders>
            <w:shd w:val="clear" w:color="auto" w:fill="auto"/>
            <w:vAlign w:val="center"/>
            <w:hideMark/>
          </w:tcPr>
          <w:p w14:paraId="43368210" w14:textId="77777777" w:rsidR="00610144" w:rsidRPr="00780A6F" w:rsidRDefault="00610144" w:rsidP="00610144">
            <w:pPr>
              <w:jc w:val="center"/>
              <w:rPr>
                <w:color w:val="000000"/>
              </w:rPr>
            </w:pPr>
            <w:r w:rsidRPr="00780A6F">
              <w:rPr>
                <w:color w:val="000000"/>
              </w:rPr>
              <w:t>0.804289933</w:t>
            </w:r>
          </w:p>
        </w:tc>
        <w:tc>
          <w:tcPr>
            <w:tcW w:w="1990" w:type="dxa"/>
            <w:tcBorders>
              <w:top w:val="nil"/>
              <w:left w:val="nil"/>
              <w:bottom w:val="single" w:sz="4" w:space="0" w:color="auto"/>
              <w:right w:val="single" w:sz="4" w:space="0" w:color="auto"/>
            </w:tcBorders>
            <w:shd w:val="clear" w:color="auto" w:fill="auto"/>
            <w:vAlign w:val="center"/>
            <w:hideMark/>
          </w:tcPr>
          <w:p w14:paraId="1D287ED3" w14:textId="77777777" w:rsidR="00610144" w:rsidRPr="00780A6F" w:rsidRDefault="00610144" w:rsidP="00610144">
            <w:pPr>
              <w:jc w:val="center"/>
              <w:rPr>
                <w:color w:val="000000"/>
              </w:rPr>
            </w:pPr>
            <w:r w:rsidRPr="00780A6F">
              <w:rPr>
                <w:color w:val="000000"/>
              </w:rPr>
              <w:t>2.048587107</w:t>
            </w:r>
          </w:p>
        </w:tc>
        <w:tc>
          <w:tcPr>
            <w:tcW w:w="1990" w:type="dxa"/>
            <w:tcBorders>
              <w:top w:val="nil"/>
              <w:left w:val="nil"/>
              <w:bottom w:val="single" w:sz="4" w:space="0" w:color="auto"/>
              <w:right w:val="single" w:sz="4" w:space="0" w:color="auto"/>
            </w:tcBorders>
            <w:shd w:val="clear" w:color="auto" w:fill="auto"/>
            <w:vAlign w:val="center"/>
            <w:hideMark/>
          </w:tcPr>
          <w:p w14:paraId="3596246B" w14:textId="77777777" w:rsidR="00610144" w:rsidRPr="00780A6F" w:rsidRDefault="00610144" w:rsidP="00610144">
            <w:pPr>
              <w:jc w:val="center"/>
              <w:rPr>
                <w:color w:val="000000"/>
              </w:rPr>
            </w:pPr>
            <w:r w:rsidRPr="00780A6F">
              <w:rPr>
                <w:color w:val="000000"/>
              </w:rPr>
              <w:t>0.019037015</w:t>
            </w:r>
          </w:p>
        </w:tc>
        <w:tc>
          <w:tcPr>
            <w:tcW w:w="1990" w:type="dxa"/>
            <w:tcBorders>
              <w:top w:val="nil"/>
              <w:left w:val="nil"/>
              <w:bottom w:val="single" w:sz="4" w:space="0" w:color="auto"/>
              <w:right w:val="single" w:sz="4" w:space="0" w:color="auto"/>
            </w:tcBorders>
            <w:shd w:val="clear" w:color="auto" w:fill="auto"/>
            <w:vAlign w:val="center"/>
            <w:hideMark/>
          </w:tcPr>
          <w:p w14:paraId="5BFFE673" w14:textId="77777777" w:rsidR="00610144" w:rsidRPr="00780A6F" w:rsidRDefault="00610144" w:rsidP="00610144">
            <w:pPr>
              <w:jc w:val="center"/>
              <w:rPr>
                <w:color w:val="000000"/>
              </w:rPr>
            </w:pPr>
            <w:r w:rsidRPr="00780A6F">
              <w:rPr>
                <w:color w:val="000000"/>
              </w:rPr>
              <w:t>23.91882093</w:t>
            </w:r>
          </w:p>
        </w:tc>
      </w:tr>
      <w:tr w:rsidR="00610144" w:rsidRPr="00780A6F" w14:paraId="384C2E46" w14:textId="77777777" w:rsidTr="00780A6F">
        <w:trPr>
          <w:trHeight w:val="379"/>
          <w:jc w:val="center"/>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310BDD80" w14:textId="77777777" w:rsidR="00610144" w:rsidRPr="00780A6F" w:rsidRDefault="00610144" w:rsidP="00610144">
            <w:pPr>
              <w:jc w:val="center"/>
              <w:rPr>
                <w:color w:val="000000"/>
              </w:rPr>
            </w:pPr>
            <w:r w:rsidRPr="00780A6F">
              <w:rPr>
                <w:color w:val="000000"/>
              </w:rPr>
              <w:t>RTG</w:t>
            </w:r>
          </w:p>
        </w:tc>
        <w:tc>
          <w:tcPr>
            <w:tcW w:w="1990" w:type="dxa"/>
            <w:tcBorders>
              <w:top w:val="nil"/>
              <w:left w:val="nil"/>
              <w:bottom w:val="single" w:sz="4" w:space="0" w:color="auto"/>
              <w:right w:val="single" w:sz="4" w:space="0" w:color="auto"/>
            </w:tcBorders>
            <w:shd w:val="clear" w:color="auto" w:fill="auto"/>
            <w:vAlign w:val="center"/>
            <w:hideMark/>
          </w:tcPr>
          <w:p w14:paraId="2F3D4129" w14:textId="77777777" w:rsidR="00610144" w:rsidRPr="00780A6F" w:rsidRDefault="00610144" w:rsidP="00610144">
            <w:pPr>
              <w:jc w:val="center"/>
              <w:rPr>
                <w:color w:val="000000"/>
              </w:rPr>
            </w:pPr>
            <w:r w:rsidRPr="00780A6F">
              <w:rPr>
                <w:color w:val="000000"/>
              </w:rPr>
              <w:t>11.04968944</w:t>
            </w:r>
          </w:p>
        </w:tc>
        <w:tc>
          <w:tcPr>
            <w:tcW w:w="1990" w:type="dxa"/>
            <w:tcBorders>
              <w:top w:val="nil"/>
              <w:left w:val="nil"/>
              <w:bottom w:val="single" w:sz="4" w:space="0" w:color="auto"/>
              <w:right w:val="single" w:sz="4" w:space="0" w:color="auto"/>
            </w:tcBorders>
            <w:shd w:val="clear" w:color="auto" w:fill="auto"/>
            <w:vAlign w:val="center"/>
            <w:hideMark/>
          </w:tcPr>
          <w:p w14:paraId="5BF97B37" w14:textId="77777777" w:rsidR="00610144" w:rsidRPr="00780A6F" w:rsidRDefault="00610144" w:rsidP="00610144">
            <w:pPr>
              <w:jc w:val="center"/>
              <w:rPr>
                <w:color w:val="000000"/>
              </w:rPr>
            </w:pPr>
            <w:r w:rsidRPr="00780A6F">
              <w:rPr>
                <w:color w:val="000000"/>
              </w:rPr>
              <w:t>3.377871449</w:t>
            </w:r>
          </w:p>
        </w:tc>
        <w:tc>
          <w:tcPr>
            <w:tcW w:w="1990" w:type="dxa"/>
            <w:tcBorders>
              <w:top w:val="nil"/>
              <w:left w:val="nil"/>
              <w:bottom w:val="single" w:sz="4" w:space="0" w:color="auto"/>
              <w:right w:val="single" w:sz="4" w:space="0" w:color="auto"/>
            </w:tcBorders>
            <w:shd w:val="clear" w:color="auto" w:fill="auto"/>
            <w:vAlign w:val="center"/>
            <w:hideMark/>
          </w:tcPr>
          <w:p w14:paraId="0CF8C519" w14:textId="77777777" w:rsidR="00610144" w:rsidRPr="00780A6F" w:rsidRDefault="00610144" w:rsidP="00610144">
            <w:pPr>
              <w:jc w:val="center"/>
              <w:rPr>
                <w:color w:val="000000"/>
              </w:rPr>
            </w:pPr>
            <w:r w:rsidRPr="00780A6F">
              <w:rPr>
                <w:color w:val="000000"/>
              </w:rPr>
              <w:t>0</w:t>
            </w:r>
          </w:p>
        </w:tc>
        <w:tc>
          <w:tcPr>
            <w:tcW w:w="1990" w:type="dxa"/>
            <w:tcBorders>
              <w:top w:val="nil"/>
              <w:left w:val="nil"/>
              <w:bottom w:val="single" w:sz="4" w:space="0" w:color="auto"/>
              <w:right w:val="single" w:sz="4" w:space="0" w:color="auto"/>
            </w:tcBorders>
            <w:shd w:val="clear" w:color="auto" w:fill="auto"/>
            <w:vAlign w:val="center"/>
            <w:hideMark/>
          </w:tcPr>
          <w:p w14:paraId="3EAE1AF0" w14:textId="77777777" w:rsidR="00610144" w:rsidRPr="00780A6F" w:rsidRDefault="00610144" w:rsidP="00610144">
            <w:pPr>
              <w:jc w:val="center"/>
              <w:rPr>
                <w:color w:val="000000"/>
              </w:rPr>
            </w:pPr>
            <w:r w:rsidRPr="00780A6F">
              <w:rPr>
                <w:color w:val="000000"/>
              </w:rPr>
              <w:t>21</w:t>
            </w:r>
          </w:p>
        </w:tc>
      </w:tr>
    </w:tbl>
    <w:p w14:paraId="5D97F909" w14:textId="77777777" w:rsidR="00610144" w:rsidRPr="00BB014F" w:rsidRDefault="00610144" w:rsidP="008715D6">
      <w:pPr>
        <w:pStyle w:val="a6"/>
        <w:ind w:firstLine="0"/>
        <w:rPr>
          <w:lang w:val="en-US"/>
        </w:rPr>
      </w:pPr>
    </w:p>
    <w:p w14:paraId="58493E1F" w14:textId="77777777" w:rsidR="008715D6" w:rsidRDefault="008715D6" w:rsidP="008715D6">
      <w:pPr>
        <w:pStyle w:val="a6"/>
      </w:pPr>
      <w:r>
        <w:lastRenderedPageBreak/>
        <w:t xml:space="preserve">Далее эконометрическое исследование основывалось исключительно на компаниях, выпускающих облигации. В Таблице 8 приведена описательная статистика как переменных базовой модели, так и предложенных новых переменных, связанных с характеристиками выпуска облигаций. </w:t>
      </w:r>
    </w:p>
    <w:p w14:paraId="2A39C4A8" w14:textId="77777777" w:rsidR="00610144" w:rsidRDefault="00610144" w:rsidP="00610144">
      <w:pPr>
        <w:pStyle w:val="a6"/>
        <w:ind w:firstLine="708"/>
      </w:pPr>
      <w:r>
        <w:t>Затем была построена корреляционная матрица для того, чтобы включение новых переменных в модель было статистически оправданным. Полученные значения выборочных коэффициентов корреляции оказались меньше 0,7 по модулю, что говорит об отсутствии сильной корреляции между объясняющими факторами (Приложение 2). Это позволяет перейти к следующему шагу построения регрессионной модели.</w:t>
      </w:r>
    </w:p>
    <w:p w14:paraId="053A3A93" w14:textId="5F4EC897" w:rsidR="00610144" w:rsidRDefault="00610144" w:rsidP="00610144">
      <w:pPr>
        <w:pStyle w:val="a6"/>
      </w:pPr>
      <w:r>
        <w:t>Построение базовой модели показало</w:t>
      </w:r>
      <w:r w:rsidR="00346BE8">
        <w:t xml:space="preserve"> (Приложение 3)</w:t>
      </w:r>
      <w:r>
        <w:t xml:space="preserve">, что она является значимой, а выборочный коэффициент детерминации равен 0,5237. Это означает, что на 52,37% уровень кредитного рейтинга может быть объяснен данной линейной регрессией. </w:t>
      </w:r>
    </w:p>
    <w:p w14:paraId="25E5CF34" w14:textId="1A941550" w:rsidR="00610144" w:rsidRDefault="00610144" w:rsidP="00610144">
      <w:pPr>
        <w:pStyle w:val="a6"/>
      </w:pPr>
      <w:r>
        <w:t>Следующим этапом было включение в модель новых переменных</w:t>
      </w:r>
      <w:r w:rsidR="00346BE8">
        <w:t xml:space="preserve"> и построение линейной регрессионной модели (Приложение 4)</w:t>
      </w:r>
      <w:r>
        <w:t>. Таким образом, были включены следующие переменные: максимальная доходность</w:t>
      </w:r>
      <w:r w:rsidR="004B1483">
        <w:t xml:space="preserve"> к погашению</w:t>
      </w:r>
      <w:r>
        <w:t xml:space="preserve"> по всем облигациям, выпущенным компанией (</w:t>
      </w:r>
      <w:r w:rsidRPr="007A05D6">
        <w:rPr>
          <w:color w:val="000000"/>
        </w:rPr>
        <w:t>YLD</w:t>
      </w:r>
      <w:r>
        <w:t>), прологарифмированное количество выпусков (</w:t>
      </w:r>
      <w:r w:rsidRPr="007A05D6">
        <w:rPr>
          <w:color w:val="000000"/>
        </w:rPr>
        <w:t>NUM</w:t>
      </w:r>
      <w:r>
        <w:t>), осуществленных компанией, отношение суммы выпуска к чистым активам (</w:t>
      </w:r>
      <w:r w:rsidRPr="007A05D6">
        <w:rPr>
          <w:color w:val="000000"/>
        </w:rPr>
        <w:t>AMT</w:t>
      </w:r>
      <w:r>
        <w:rPr>
          <w:color w:val="000000"/>
        </w:rPr>
        <w:t>), и принадлежность компании к определенной отрасли (</w:t>
      </w:r>
      <w:r>
        <w:rPr>
          <w:color w:val="000000"/>
          <w:lang w:val="en-US"/>
        </w:rPr>
        <w:t>IND</w:t>
      </w:r>
      <w:r w:rsidRPr="00FF3A12">
        <w:rPr>
          <w:color w:val="000000"/>
        </w:rPr>
        <w:t>)</w:t>
      </w:r>
      <w:r>
        <w:t>. Проверка последней переменной на значимость позволит понять, отличается ли кредитный риск в разных отраслях. Если результаты проверки пятой гипотезы покажут, что переменная значима, то будет исследована каждая группа отраслей отдельно, предполагая, что различные переменные значимы в различных отраслях. Результаты построения линейных регрессий приведены в таблице 9.</w:t>
      </w:r>
    </w:p>
    <w:p w14:paraId="2A91DFAF" w14:textId="77777777" w:rsidR="00CB40E6" w:rsidRDefault="00CB40E6" w:rsidP="00CB40E6">
      <w:pPr>
        <w:pStyle w:val="a6"/>
        <w:rPr>
          <w:color w:val="000000" w:themeColor="text1"/>
        </w:rPr>
      </w:pPr>
      <w:r>
        <w:t xml:space="preserve">Все факторы в базовой модели и в модели линейной регрессии были проверены на мультиколлинеарность, то есть на наличие линейной зависимости между объясняющими переменными, и гетероскедастичность ошибок, непостоянство дисперсий ошибок. Для этого проводится тест </w:t>
      </w:r>
      <w:r>
        <w:rPr>
          <w:color w:val="000000" w:themeColor="text1"/>
          <w:lang w:val="en-US"/>
        </w:rPr>
        <w:t>VIF</w:t>
      </w:r>
      <w:r w:rsidRPr="00E06D1D">
        <w:rPr>
          <w:color w:val="000000" w:themeColor="text1"/>
        </w:rPr>
        <w:t xml:space="preserve"> (</w:t>
      </w:r>
      <w:r>
        <w:rPr>
          <w:color w:val="000000" w:themeColor="text1"/>
          <w:lang w:val="en-US"/>
        </w:rPr>
        <w:t>Variance</w:t>
      </w:r>
      <w:r w:rsidRPr="00E06D1D">
        <w:rPr>
          <w:color w:val="000000" w:themeColor="text1"/>
        </w:rPr>
        <w:t xml:space="preserve"> </w:t>
      </w:r>
      <w:r>
        <w:rPr>
          <w:color w:val="000000" w:themeColor="text1"/>
          <w:lang w:val="en-US"/>
        </w:rPr>
        <w:t>Inflation</w:t>
      </w:r>
      <w:r w:rsidRPr="00E06D1D">
        <w:rPr>
          <w:color w:val="000000" w:themeColor="text1"/>
        </w:rPr>
        <w:t xml:space="preserve"> </w:t>
      </w:r>
      <w:r>
        <w:rPr>
          <w:color w:val="000000" w:themeColor="text1"/>
          <w:lang w:val="en-US"/>
        </w:rPr>
        <w:t>Factor</w:t>
      </w:r>
      <w:r w:rsidRPr="00E06D1D">
        <w:rPr>
          <w:color w:val="000000" w:themeColor="text1"/>
        </w:rPr>
        <w:t>)</w:t>
      </w:r>
      <w:r>
        <w:rPr>
          <w:color w:val="000000" w:themeColor="text1"/>
        </w:rPr>
        <w:t>, который показал, что коэффициент увеличения дисперсии по всем переменным оказался меньше 4 (Приложение 5). А также, проводится тест Бреуша-Пагана, по результатам которого была принята гипотеза о постоянстве дисперсий ошибок, то есть об их гомоскедастичности (Приложение 6). Таким образом, можно делать вывод о состоятельности параметров моделей регрессионного анализа.</w:t>
      </w:r>
    </w:p>
    <w:p w14:paraId="623F1EEA" w14:textId="77777777" w:rsidR="00CB40E6" w:rsidRDefault="00CB40E6" w:rsidP="00610144">
      <w:pPr>
        <w:pStyle w:val="a6"/>
      </w:pPr>
    </w:p>
    <w:p w14:paraId="393F0CE6" w14:textId="77777777" w:rsidR="00CB40E6" w:rsidRDefault="00CB40E6" w:rsidP="00610144">
      <w:pPr>
        <w:pStyle w:val="a6"/>
      </w:pPr>
    </w:p>
    <w:p w14:paraId="42DEA29B" w14:textId="77777777" w:rsidR="00CB40E6" w:rsidRDefault="00CB40E6" w:rsidP="00610144">
      <w:pPr>
        <w:pStyle w:val="a6"/>
      </w:pPr>
    </w:p>
    <w:p w14:paraId="7C4AC166" w14:textId="77777777" w:rsidR="00610144" w:rsidRDefault="00610144" w:rsidP="00610144">
      <w:pPr>
        <w:pStyle w:val="a0"/>
      </w:pPr>
      <w:r>
        <w:lastRenderedPageBreak/>
        <w:t>Результаты регрессионного анализа</w:t>
      </w:r>
    </w:p>
    <w:tbl>
      <w:tblPr>
        <w:tblStyle w:val="afd"/>
        <w:tblW w:w="0" w:type="auto"/>
        <w:tblLook w:val="04A0" w:firstRow="1" w:lastRow="0" w:firstColumn="1" w:lastColumn="0" w:noHBand="0" w:noVBand="1"/>
      </w:tblPr>
      <w:tblGrid>
        <w:gridCol w:w="3111"/>
        <w:gridCol w:w="3122"/>
        <w:gridCol w:w="3234"/>
      </w:tblGrid>
      <w:tr w:rsidR="00610144" w14:paraId="5BDFF78E" w14:textId="77777777" w:rsidTr="00610144">
        <w:trPr>
          <w:trHeight w:val="449"/>
        </w:trPr>
        <w:tc>
          <w:tcPr>
            <w:tcW w:w="3111" w:type="dxa"/>
          </w:tcPr>
          <w:p w14:paraId="5AEA5925" w14:textId="77777777" w:rsidR="00610144" w:rsidRPr="00CC6286" w:rsidRDefault="00610144" w:rsidP="00610144">
            <w:pPr>
              <w:pStyle w:val="aff8"/>
            </w:pPr>
            <w:r>
              <w:t>Переменная</w:t>
            </w:r>
          </w:p>
        </w:tc>
        <w:tc>
          <w:tcPr>
            <w:tcW w:w="3122" w:type="dxa"/>
          </w:tcPr>
          <w:p w14:paraId="6B6ABA47" w14:textId="77777777" w:rsidR="00610144" w:rsidRDefault="00610144" w:rsidP="00610144">
            <w:pPr>
              <w:pStyle w:val="aff8"/>
              <w:rPr>
                <w:color w:val="000000" w:themeColor="text1"/>
              </w:rPr>
            </w:pPr>
            <w:r>
              <w:rPr>
                <w:color w:val="000000" w:themeColor="text1"/>
              </w:rPr>
              <w:t>Базовая модель</w:t>
            </w:r>
          </w:p>
        </w:tc>
        <w:tc>
          <w:tcPr>
            <w:tcW w:w="3234" w:type="dxa"/>
          </w:tcPr>
          <w:p w14:paraId="78792DD3" w14:textId="77777777" w:rsidR="00610144" w:rsidRPr="008E517E" w:rsidRDefault="00610144" w:rsidP="00610144">
            <w:pPr>
              <w:pStyle w:val="aff8"/>
              <w:rPr>
                <w:color w:val="000000" w:themeColor="text1"/>
                <w:lang w:val="en-US"/>
              </w:rPr>
            </w:pPr>
            <w:r>
              <w:rPr>
                <w:color w:val="000000" w:themeColor="text1"/>
              </w:rPr>
              <w:t xml:space="preserve">Линейная регрессия </w:t>
            </w:r>
          </w:p>
        </w:tc>
      </w:tr>
      <w:tr w:rsidR="00610144" w14:paraId="188FB838" w14:textId="77777777" w:rsidTr="00610144">
        <w:trPr>
          <w:trHeight w:val="322"/>
        </w:trPr>
        <w:tc>
          <w:tcPr>
            <w:tcW w:w="3111" w:type="dxa"/>
            <w:vAlign w:val="center"/>
          </w:tcPr>
          <w:p w14:paraId="3A28DED3" w14:textId="77777777" w:rsidR="00610144" w:rsidRDefault="00610144" w:rsidP="00610144">
            <w:pPr>
              <w:pStyle w:val="aff8"/>
              <w:rPr>
                <w:color w:val="000000" w:themeColor="text1"/>
              </w:rPr>
            </w:pPr>
            <w:r>
              <w:rPr>
                <w:lang w:val="en-US"/>
              </w:rPr>
              <w:t>X</w:t>
            </w:r>
            <w:r w:rsidRPr="00E07DEC">
              <w:rPr>
                <w:vertAlign w:val="subscript"/>
                <w:lang w:val="en-US"/>
              </w:rPr>
              <w:t>1</w:t>
            </w:r>
          </w:p>
        </w:tc>
        <w:tc>
          <w:tcPr>
            <w:tcW w:w="3122" w:type="dxa"/>
          </w:tcPr>
          <w:p w14:paraId="4CF90F21" w14:textId="77777777" w:rsidR="00610144" w:rsidRDefault="00610144" w:rsidP="00610144">
            <w:pPr>
              <w:pStyle w:val="aff9"/>
            </w:pPr>
            <w:r>
              <w:t>0,153*</w:t>
            </w:r>
          </w:p>
        </w:tc>
        <w:tc>
          <w:tcPr>
            <w:tcW w:w="3234" w:type="dxa"/>
          </w:tcPr>
          <w:p w14:paraId="09C653F6" w14:textId="77777777" w:rsidR="00610144" w:rsidRDefault="00610144" w:rsidP="00610144">
            <w:pPr>
              <w:pStyle w:val="aff9"/>
            </w:pPr>
            <w:r>
              <w:t>0,335*</w:t>
            </w:r>
          </w:p>
        </w:tc>
      </w:tr>
      <w:tr w:rsidR="00610144" w14:paraId="48C582E3" w14:textId="77777777" w:rsidTr="00610144">
        <w:trPr>
          <w:trHeight w:val="322"/>
        </w:trPr>
        <w:tc>
          <w:tcPr>
            <w:tcW w:w="3111" w:type="dxa"/>
            <w:vAlign w:val="center"/>
          </w:tcPr>
          <w:p w14:paraId="5C9B0A7E" w14:textId="77777777" w:rsidR="00610144" w:rsidRDefault="00610144" w:rsidP="00610144">
            <w:pPr>
              <w:pStyle w:val="aff8"/>
              <w:rPr>
                <w:color w:val="000000" w:themeColor="text1"/>
              </w:rPr>
            </w:pPr>
            <w:r>
              <w:rPr>
                <w:lang w:val="en-US"/>
              </w:rPr>
              <w:t>X</w:t>
            </w:r>
            <w:r>
              <w:rPr>
                <w:vertAlign w:val="subscript"/>
                <w:lang w:val="en-US"/>
              </w:rPr>
              <w:t>2</w:t>
            </w:r>
          </w:p>
        </w:tc>
        <w:tc>
          <w:tcPr>
            <w:tcW w:w="3122" w:type="dxa"/>
          </w:tcPr>
          <w:p w14:paraId="42EE6EEC" w14:textId="77777777" w:rsidR="00610144" w:rsidRPr="0078255F" w:rsidRDefault="00610144" w:rsidP="00610144">
            <w:pPr>
              <w:pStyle w:val="aff9"/>
              <w:rPr>
                <w:lang w:val="en-US"/>
              </w:rPr>
            </w:pPr>
            <w:r>
              <w:t>0,101</w:t>
            </w:r>
            <w:r>
              <w:rPr>
                <w:lang w:val="en-US"/>
              </w:rPr>
              <w:t>**</w:t>
            </w:r>
          </w:p>
        </w:tc>
        <w:tc>
          <w:tcPr>
            <w:tcW w:w="3234" w:type="dxa"/>
          </w:tcPr>
          <w:p w14:paraId="502223D5" w14:textId="77777777" w:rsidR="00610144" w:rsidRDefault="00610144" w:rsidP="00610144">
            <w:pPr>
              <w:pStyle w:val="aff9"/>
            </w:pPr>
            <w:r>
              <w:t>0,116**</w:t>
            </w:r>
          </w:p>
        </w:tc>
      </w:tr>
      <w:tr w:rsidR="00610144" w14:paraId="2F742042" w14:textId="77777777" w:rsidTr="00610144">
        <w:trPr>
          <w:trHeight w:val="312"/>
        </w:trPr>
        <w:tc>
          <w:tcPr>
            <w:tcW w:w="3111" w:type="dxa"/>
            <w:vAlign w:val="center"/>
          </w:tcPr>
          <w:p w14:paraId="5C3B1681" w14:textId="77777777" w:rsidR="00610144" w:rsidRDefault="00610144" w:rsidP="00610144">
            <w:pPr>
              <w:pStyle w:val="aff8"/>
              <w:rPr>
                <w:color w:val="000000" w:themeColor="text1"/>
              </w:rPr>
            </w:pPr>
            <w:r>
              <w:rPr>
                <w:lang w:val="en-US"/>
              </w:rPr>
              <w:t>X</w:t>
            </w:r>
            <w:r w:rsidRPr="00302B40">
              <w:rPr>
                <w:vertAlign w:val="subscript"/>
              </w:rPr>
              <w:t>3</w:t>
            </w:r>
          </w:p>
        </w:tc>
        <w:tc>
          <w:tcPr>
            <w:tcW w:w="3122" w:type="dxa"/>
          </w:tcPr>
          <w:p w14:paraId="61DB3D1C" w14:textId="77777777" w:rsidR="00610144" w:rsidRDefault="00610144" w:rsidP="00610144">
            <w:pPr>
              <w:pStyle w:val="aff9"/>
            </w:pPr>
            <w:r>
              <w:t>0,561*</w:t>
            </w:r>
          </w:p>
        </w:tc>
        <w:tc>
          <w:tcPr>
            <w:tcW w:w="3234" w:type="dxa"/>
          </w:tcPr>
          <w:p w14:paraId="32C44ABE" w14:textId="77777777" w:rsidR="00610144" w:rsidRDefault="00610144" w:rsidP="00610144">
            <w:pPr>
              <w:pStyle w:val="aff9"/>
            </w:pPr>
            <w:r>
              <w:t>1,176**</w:t>
            </w:r>
          </w:p>
        </w:tc>
      </w:tr>
      <w:tr w:rsidR="00610144" w14:paraId="42D107A6" w14:textId="77777777" w:rsidTr="00610144">
        <w:trPr>
          <w:trHeight w:val="322"/>
        </w:trPr>
        <w:tc>
          <w:tcPr>
            <w:tcW w:w="3111" w:type="dxa"/>
            <w:vAlign w:val="center"/>
          </w:tcPr>
          <w:p w14:paraId="15065786" w14:textId="77777777" w:rsidR="00610144" w:rsidRDefault="00610144" w:rsidP="00610144">
            <w:pPr>
              <w:pStyle w:val="aff8"/>
              <w:rPr>
                <w:color w:val="000000" w:themeColor="text1"/>
              </w:rPr>
            </w:pPr>
            <w:r>
              <w:rPr>
                <w:lang w:val="en-US"/>
              </w:rPr>
              <w:t>X</w:t>
            </w:r>
            <w:r w:rsidRPr="00302B40">
              <w:rPr>
                <w:vertAlign w:val="subscript"/>
              </w:rPr>
              <w:t>4</w:t>
            </w:r>
          </w:p>
        </w:tc>
        <w:tc>
          <w:tcPr>
            <w:tcW w:w="3122" w:type="dxa"/>
          </w:tcPr>
          <w:p w14:paraId="2F587776" w14:textId="77777777" w:rsidR="00610144" w:rsidRDefault="00610144" w:rsidP="00610144">
            <w:pPr>
              <w:pStyle w:val="aff9"/>
            </w:pPr>
            <w:r>
              <w:t>-0,094*</w:t>
            </w:r>
          </w:p>
        </w:tc>
        <w:tc>
          <w:tcPr>
            <w:tcW w:w="3234" w:type="dxa"/>
          </w:tcPr>
          <w:p w14:paraId="6FEBC427" w14:textId="77777777" w:rsidR="00610144" w:rsidRDefault="00610144" w:rsidP="00610144">
            <w:pPr>
              <w:pStyle w:val="aff9"/>
            </w:pPr>
            <w:r>
              <w:t>-0,019*</w:t>
            </w:r>
          </w:p>
        </w:tc>
      </w:tr>
      <w:tr w:rsidR="00610144" w14:paraId="4AC4A102" w14:textId="77777777" w:rsidTr="00610144">
        <w:trPr>
          <w:trHeight w:val="322"/>
        </w:trPr>
        <w:tc>
          <w:tcPr>
            <w:tcW w:w="3111" w:type="dxa"/>
            <w:vAlign w:val="center"/>
          </w:tcPr>
          <w:p w14:paraId="681F5254" w14:textId="77777777" w:rsidR="00610144" w:rsidRDefault="00610144" w:rsidP="00610144">
            <w:pPr>
              <w:pStyle w:val="aff8"/>
              <w:rPr>
                <w:color w:val="000000" w:themeColor="text1"/>
              </w:rPr>
            </w:pPr>
            <w:r>
              <w:rPr>
                <w:lang w:val="en-US"/>
              </w:rPr>
              <w:t>X</w:t>
            </w:r>
            <w:r w:rsidRPr="00302B40">
              <w:rPr>
                <w:vertAlign w:val="subscript"/>
              </w:rPr>
              <w:t>5</w:t>
            </w:r>
          </w:p>
        </w:tc>
        <w:tc>
          <w:tcPr>
            <w:tcW w:w="3122" w:type="dxa"/>
          </w:tcPr>
          <w:p w14:paraId="14A6575B" w14:textId="77777777" w:rsidR="00610144" w:rsidRDefault="00610144" w:rsidP="00610144">
            <w:pPr>
              <w:pStyle w:val="aff9"/>
            </w:pPr>
            <w:r>
              <w:t>0,655**</w:t>
            </w:r>
          </w:p>
        </w:tc>
        <w:tc>
          <w:tcPr>
            <w:tcW w:w="3234" w:type="dxa"/>
          </w:tcPr>
          <w:p w14:paraId="4C71F4AE" w14:textId="77777777" w:rsidR="00610144" w:rsidRDefault="00610144" w:rsidP="00610144">
            <w:pPr>
              <w:pStyle w:val="aff9"/>
            </w:pPr>
            <w:r>
              <w:t>0,684**</w:t>
            </w:r>
          </w:p>
        </w:tc>
      </w:tr>
      <w:tr w:rsidR="00610144" w14:paraId="2523E6A7" w14:textId="77777777" w:rsidTr="00610144">
        <w:trPr>
          <w:trHeight w:val="322"/>
        </w:trPr>
        <w:tc>
          <w:tcPr>
            <w:tcW w:w="3111" w:type="dxa"/>
            <w:vAlign w:val="center"/>
          </w:tcPr>
          <w:p w14:paraId="7461B5D8" w14:textId="77777777" w:rsidR="00610144" w:rsidRDefault="00610144" w:rsidP="00610144">
            <w:pPr>
              <w:pStyle w:val="aff8"/>
              <w:rPr>
                <w:color w:val="000000" w:themeColor="text1"/>
              </w:rPr>
            </w:pPr>
            <w:r w:rsidRPr="007A05D6">
              <w:rPr>
                <w:color w:val="000000"/>
              </w:rPr>
              <w:t>YLD</w:t>
            </w:r>
          </w:p>
        </w:tc>
        <w:tc>
          <w:tcPr>
            <w:tcW w:w="3122" w:type="dxa"/>
          </w:tcPr>
          <w:p w14:paraId="638A23CA" w14:textId="77777777" w:rsidR="00610144" w:rsidRDefault="00610144" w:rsidP="00610144">
            <w:pPr>
              <w:pStyle w:val="aff9"/>
            </w:pPr>
            <w:r>
              <w:t>-</w:t>
            </w:r>
          </w:p>
        </w:tc>
        <w:tc>
          <w:tcPr>
            <w:tcW w:w="3234" w:type="dxa"/>
          </w:tcPr>
          <w:p w14:paraId="458BF431" w14:textId="77777777" w:rsidR="00610144" w:rsidRDefault="00610144" w:rsidP="00610144">
            <w:pPr>
              <w:pStyle w:val="aff9"/>
            </w:pPr>
            <w:r>
              <w:t>-0,007*</w:t>
            </w:r>
          </w:p>
        </w:tc>
      </w:tr>
      <w:tr w:rsidR="00610144" w14:paraId="24A9AE5A" w14:textId="77777777" w:rsidTr="00610144">
        <w:trPr>
          <w:trHeight w:val="322"/>
        </w:trPr>
        <w:tc>
          <w:tcPr>
            <w:tcW w:w="3111" w:type="dxa"/>
            <w:vAlign w:val="center"/>
          </w:tcPr>
          <w:p w14:paraId="6D5448E4" w14:textId="77777777" w:rsidR="00610144" w:rsidRDefault="00610144" w:rsidP="00610144">
            <w:pPr>
              <w:pStyle w:val="aff8"/>
              <w:rPr>
                <w:color w:val="000000" w:themeColor="text1"/>
              </w:rPr>
            </w:pPr>
            <w:r w:rsidRPr="007A05D6">
              <w:rPr>
                <w:color w:val="000000"/>
              </w:rPr>
              <w:t>NUM</w:t>
            </w:r>
          </w:p>
        </w:tc>
        <w:tc>
          <w:tcPr>
            <w:tcW w:w="3122" w:type="dxa"/>
          </w:tcPr>
          <w:p w14:paraId="557D43D2" w14:textId="77777777" w:rsidR="00610144" w:rsidRDefault="00610144" w:rsidP="00610144">
            <w:pPr>
              <w:pStyle w:val="aff9"/>
            </w:pPr>
            <w:r>
              <w:t>-</w:t>
            </w:r>
          </w:p>
        </w:tc>
        <w:tc>
          <w:tcPr>
            <w:tcW w:w="3234" w:type="dxa"/>
          </w:tcPr>
          <w:p w14:paraId="419FA5D5" w14:textId="77777777" w:rsidR="00610144" w:rsidRDefault="00610144" w:rsidP="00610144">
            <w:pPr>
              <w:pStyle w:val="aff9"/>
            </w:pPr>
            <w:r>
              <w:t>0,109**</w:t>
            </w:r>
          </w:p>
        </w:tc>
      </w:tr>
      <w:tr w:rsidR="00610144" w14:paraId="423A44AC" w14:textId="77777777" w:rsidTr="00610144">
        <w:trPr>
          <w:trHeight w:val="312"/>
        </w:trPr>
        <w:tc>
          <w:tcPr>
            <w:tcW w:w="3111" w:type="dxa"/>
            <w:vAlign w:val="center"/>
          </w:tcPr>
          <w:p w14:paraId="1C928199" w14:textId="77777777" w:rsidR="00610144" w:rsidRPr="004730C3" w:rsidRDefault="00610144" w:rsidP="00610144">
            <w:pPr>
              <w:pStyle w:val="aff8"/>
              <w:rPr>
                <w:lang w:val="en-US"/>
              </w:rPr>
            </w:pPr>
            <w:r w:rsidRPr="007A05D6">
              <w:rPr>
                <w:color w:val="000000"/>
              </w:rPr>
              <w:t>AMT</w:t>
            </w:r>
          </w:p>
        </w:tc>
        <w:tc>
          <w:tcPr>
            <w:tcW w:w="3122" w:type="dxa"/>
          </w:tcPr>
          <w:p w14:paraId="3B828853" w14:textId="77777777" w:rsidR="00610144" w:rsidRDefault="00610144" w:rsidP="00610144">
            <w:pPr>
              <w:pStyle w:val="aff9"/>
            </w:pPr>
            <w:r>
              <w:t>-</w:t>
            </w:r>
          </w:p>
        </w:tc>
        <w:tc>
          <w:tcPr>
            <w:tcW w:w="3234" w:type="dxa"/>
          </w:tcPr>
          <w:p w14:paraId="19B4A568" w14:textId="77777777" w:rsidR="00610144" w:rsidRDefault="00610144" w:rsidP="00610144">
            <w:pPr>
              <w:pStyle w:val="aff9"/>
            </w:pPr>
            <w:r>
              <w:t>-0,042</w:t>
            </w:r>
          </w:p>
        </w:tc>
      </w:tr>
      <w:tr w:rsidR="00610144" w14:paraId="51E35CF2" w14:textId="77777777" w:rsidTr="00610144">
        <w:trPr>
          <w:trHeight w:val="312"/>
        </w:trPr>
        <w:tc>
          <w:tcPr>
            <w:tcW w:w="3111" w:type="dxa"/>
            <w:vAlign w:val="center"/>
          </w:tcPr>
          <w:p w14:paraId="506955AC" w14:textId="77777777" w:rsidR="00610144" w:rsidRPr="006D472A" w:rsidRDefault="00610144" w:rsidP="00610144">
            <w:pPr>
              <w:pStyle w:val="aff8"/>
              <w:rPr>
                <w:color w:val="000000"/>
                <w:lang w:val="en-US"/>
              </w:rPr>
            </w:pPr>
            <w:r>
              <w:rPr>
                <w:color w:val="000000"/>
                <w:lang w:val="en-US"/>
              </w:rPr>
              <w:t>IND</w:t>
            </w:r>
          </w:p>
        </w:tc>
        <w:tc>
          <w:tcPr>
            <w:tcW w:w="3122" w:type="dxa"/>
          </w:tcPr>
          <w:p w14:paraId="7408837E" w14:textId="77777777" w:rsidR="00610144" w:rsidRDefault="00610144" w:rsidP="00610144">
            <w:pPr>
              <w:pStyle w:val="aff9"/>
            </w:pPr>
            <w:r>
              <w:t>-</w:t>
            </w:r>
          </w:p>
        </w:tc>
        <w:tc>
          <w:tcPr>
            <w:tcW w:w="3234" w:type="dxa"/>
          </w:tcPr>
          <w:p w14:paraId="05A97B14" w14:textId="77777777" w:rsidR="00610144" w:rsidRDefault="00610144" w:rsidP="00610144">
            <w:pPr>
              <w:pStyle w:val="aff9"/>
            </w:pPr>
            <w:r>
              <w:t>-0,052**</w:t>
            </w:r>
          </w:p>
        </w:tc>
      </w:tr>
      <w:tr w:rsidR="00610144" w14:paraId="35D4B533" w14:textId="77777777" w:rsidTr="00610144">
        <w:trPr>
          <w:trHeight w:val="322"/>
        </w:trPr>
        <w:tc>
          <w:tcPr>
            <w:tcW w:w="3111" w:type="dxa"/>
          </w:tcPr>
          <w:p w14:paraId="1A718FFA" w14:textId="77777777" w:rsidR="00610144" w:rsidRDefault="00610144" w:rsidP="00610144">
            <w:pPr>
              <w:pStyle w:val="aff8"/>
              <w:rPr>
                <w:color w:val="000000" w:themeColor="text1"/>
              </w:rPr>
            </w:pPr>
            <w:r w:rsidRPr="00921C91">
              <w:t>R</w:t>
            </w:r>
            <w:r w:rsidRPr="00921C91">
              <w:rPr>
                <w:vertAlign w:val="superscript"/>
              </w:rPr>
              <w:t>2</w:t>
            </w:r>
          </w:p>
        </w:tc>
        <w:tc>
          <w:tcPr>
            <w:tcW w:w="3122" w:type="dxa"/>
          </w:tcPr>
          <w:p w14:paraId="11AD180E" w14:textId="77777777" w:rsidR="00610144" w:rsidRDefault="00610144" w:rsidP="00610144">
            <w:pPr>
              <w:pStyle w:val="aff9"/>
            </w:pPr>
            <w:r>
              <w:t>0,</w:t>
            </w:r>
            <w:r w:rsidRPr="004730C3">
              <w:t>52</w:t>
            </w:r>
            <w:r>
              <w:t>37</w:t>
            </w:r>
          </w:p>
        </w:tc>
        <w:tc>
          <w:tcPr>
            <w:tcW w:w="3234" w:type="dxa"/>
          </w:tcPr>
          <w:p w14:paraId="38808756" w14:textId="77777777" w:rsidR="00610144" w:rsidRDefault="00610144" w:rsidP="00610144">
            <w:pPr>
              <w:pStyle w:val="aff9"/>
            </w:pPr>
            <w:r w:rsidRPr="00E825CF">
              <w:t>0</w:t>
            </w:r>
            <w:r>
              <w:t>,</w:t>
            </w:r>
            <w:r w:rsidRPr="00E825CF">
              <w:t>56</w:t>
            </w:r>
            <w:r>
              <w:t>88</w:t>
            </w:r>
          </w:p>
        </w:tc>
      </w:tr>
      <w:tr w:rsidR="00610144" w14:paraId="2E5819DB" w14:textId="77777777" w:rsidTr="00610144">
        <w:trPr>
          <w:trHeight w:val="322"/>
        </w:trPr>
        <w:tc>
          <w:tcPr>
            <w:tcW w:w="3111" w:type="dxa"/>
          </w:tcPr>
          <w:p w14:paraId="3C383FE4" w14:textId="77777777" w:rsidR="00610144" w:rsidRDefault="00610144" w:rsidP="00610144">
            <w:pPr>
              <w:pStyle w:val="aff8"/>
            </w:pPr>
            <w:r>
              <w:t>p-value</w:t>
            </w:r>
          </w:p>
        </w:tc>
        <w:tc>
          <w:tcPr>
            <w:tcW w:w="3122" w:type="dxa"/>
          </w:tcPr>
          <w:p w14:paraId="54F7E9EA" w14:textId="77777777" w:rsidR="00610144" w:rsidRDefault="00610144" w:rsidP="00610144">
            <w:pPr>
              <w:pStyle w:val="aff9"/>
            </w:pPr>
            <w:r>
              <w:t>0,</w:t>
            </w:r>
            <w:r w:rsidRPr="004730C3">
              <w:t>0000</w:t>
            </w:r>
          </w:p>
        </w:tc>
        <w:tc>
          <w:tcPr>
            <w:tcW w:w="3234" w:type="dxa"/>
          </w:tcPr>
          <w:p w14:paraId="45D598EA" w14:textId="77777777" w:rsidR="00610144" w:rsidRDefault="00610144" w:rsidP="00610144">
            <w:pPr>
              <w:pStyle w:val="aff9"/>
            </w:pPr>
            <w:r>
              <w:t>0,</w:t>
            </w:r>
            <w:r w:rsidRPr="004730C3">
              <w:t>0000</w:t>
            </w:r>
          </w:p>
        </w:tc>
      </w:tr>
      <w:tr w:rsidR="00610144" w14:paraId="70891C93" w14:textId="77777777" w:rsidTr="00610144">
        <w:trPr>
          <w:trHeight w:val="286"/>
        </w:trPr>
        <w:tc>
          <w:tcPr>
            <w:tcW w:w="3111" w:type="dxa"/>
          </w:tcPr>
          <w:p w14:paraId="04E4C007" w14:textId="77777777" w:rsidR="00610144" w:rsidRDefault="00610144" w:rsidP="00610144">
            <w:pPr>
              <w:pStyle w:val="aff8"/>
            </w:pPr>
            <w:r>
              <w:t>N</w:t>
            </w:r>
          </w:p>
        </w:tc>
        <w:tc>
          <w:tcPr>
            <w:tcW w:w="3122" w:type="dxa"/>
          </w:tcPr>
          <w:p w14:paraId="56A77B5F" w14:textId="77777777" w:rsidR="00610144" w:rsidRPr="004730C3" w:rsidRDefault="00610144" w:rsidP="00610144">
            <w:pPr>
              <w:pStyle w:val="aff9"/>
            </w:pPr>
            <w:r>
              <w:t>161</w:t>
            </w:r>
          </w:p>
        </w:tc>
        <w:tc>
          <w:tcPr>
            <w:tcW w:w="3234" w:type="dxa"/>
          </w:tcPr>
          <w:p w14:paraId="7234D981" w14:textId="77777777" w:rsidR="00610144" w:rsidRDefault="00610144" w:rsidP="00610144">
            <w:pPr>
              <w:pStyle w:val="aff9"/>
            </w:pPr>
            <w:r>
              <w:t>156</w:t>
            </w:r>
          </w:p>
        </w:tc>
      </w:tr>
    </w:tbl>
    <w:p w14:paraId="571A3733" w14:textId="77777777" w:rsidR="00610144" w:rsidRPr="0078255F" w:rsidRDefault="00610144" w:rsidP="00610144">
      <w:pPr>
        <w:pStyle w:val="a6"/>
      </w:pPr>
      <w:r w:rsidRPr="0078255F">
        <w:t>Примечание: Знаками * и ** отмечены значимые переменные на 10% и 5% уровне значимости, соответственно.</w:t>
      </w:r>
    </w:p>
    <w:p w14:paraId="465C3B32" w14:textId="372AC752" w:rsidR="00610144" w:rsidRPr="00425FDA" w:rsidRDefault="00610144" w:rsidP="00610144">
      <w:pPr>
        <w:pStyle w:val="a6"/>
      </w:pPr>
      <w:r>
        <w:rPr>
          <w:color w:val="000000" w:themeColor="text1"/>
        </w:rPr>
        <w:t xml:space="preserve">Переходя к анализу полученных в ходе регрессионного анализа результатов, важно отметить значимость обеих линейных моделей. Мы можем утверждать, что модель, включающая в себя дополнительные факторы, связанные с выпуском облигаций, </w:t>
      </w:r>
      <w:r w:rsidR="00716C21">
        <w:rPr>
          <w:color w:val="000000" w:themeColor="text1"/>
        </w:rPr>
        <w:t>лучше объясняет</w:t>
      </w:r>
      <w:r>
        <w:rPr>
          <w:color w:val="000000" w:themeColor="text1"/>
        </w:rPr>
        <w:t xml:space="preserve"> </w:t>
      </w:r>
      <w:r w:rsidR="00716C21">
        <w:rPr>
          <w:color w:val="000000" w:themeColor="text1"/>
        </w:rPr>
        <w:t xml:space="preserve">уровень </w:t>
      </w:r>
      <w:r>
        <w:rPr>
          <w:color w:val="000000" w:themeColor="text1"/>
        </w:rPr>
        <w:t>кредитного риска, поскольку выборочный коэффициент детерминации увеличился до 56,88%. Также об этом свидетельствует то, что в новой модели более значимым, то есть значимым на 5% уровне, оказался фактор X</w:t>
      </w:r>
      <w:r>
        <w:rPr>
          <w:color w:val="000000" w:themeColor="text1"/>
          <w:vertAlign w:val="subscript"/>
        </w:rPr>
        <w:t>3</w:t>
      </w:r>
      <w:r>
        <w:rPr>
          <w:color w:val="000000" w:themeColor="text1"/>
        </w:rPr>
        <w:t xml:space="preserve">, отношение прибыли до уплаты процентов и налогов к общим активам. Что касается нововведенных переменных, то на 5% уровне значимым оказался фактор, характеризующий число выпусков, произведенных компанией. На таком же уровне оказался значим фактор принадлежности компании определенной отрасли. Кроме того, эконометрический анализ показал, что максимальная доходность облигаций компании является значимым регрессором, но на 10% уровне значимости. Таким образом, подтверждаются 2, 3, и 5 гипотезы об </w:t>
      </w:r>
      <w:r>
        <w:t xml:space="preserve">отрицательной взаимосвязи между максимальной доходностью </w:t>
      </w:r>
      <w:r w:rsidR="001D3E1E">
        <w:t xml:space="preserve">к погашению </w:t>
      </w:r>
      <w:r>
        <w:t>по облигациям и кредитным рейтингом компании, о положительной взаимосвязи между количеством облигационных выпусков и кредитным рейтингом компании и наличии взаимосвязи между отраслью компании-эмитента и ее кредитным рейтингом, что означает, что кредитный риск варьируется согласно отраслевой принадлежности. Однако переменная (</w:t>
      </w:r>
      <w:r>
        <w:rPr>
          <w:lang w:val="en-US"/>
        </w:rPr>
        <w:t>AMT</w:t>
      </w:r>
      <w:r>
        <w:t xml:space="preserve">), обозначающая отношение суммы выпуска к величине чистых активов, оказалась не значима, поэтому мы не можем принять гипотезу 4 об отрицательной </w:t>
      </w:r>
      <w:r>
        <w:lastRenderedPageBreak/>
        <w:t xml:space="preserve">взаимосвязи между долей суммы выпуска в чистых активах и кредитным рейтингом компании. </w:t>
      </w:r>
    </w:p>
    <w:p w14:paraId="5B57C940" w14:textId="195FF216" w:rsidR="00610144" w:rsidRDefault="00610144" w:rsidP="00610144">
      <w:pPr>
        <w:pStyle w:val="a6"/>
        <w:ind w:firstLine="0"/>
      </w:pPr>
      <w:r>
        <w:tab/>
        <w:t>Ввиду значимости отраслевого фактора, было принято решение провести более подробный анализ капиталоемких отраслей, отраслей, в которых важную роль играет интеллектуальный капитал, и непроизводственных отраслей, занимающихся торговлей. Рассмотрим значения нескольких переменных, исходя из принадлежности компании к определенной отрасли. Ниже приведен график (рис. 3), на котором отражены доходности</w:t>
      </w:r>
      <w:r w:rsidR="002D3994">
        <w:t xml:space="preserve"> к погашению</w:t>
      </w:r>
      <w:r>
        <w:t xml:space="preserve"> облигаций компаний рассматриваемых отраслей. </w:t>
      </w:r>
    </w:p>
    <w:p w14:paraId="51D07F28" w14:textId="77777777" w:rsidR="00610144" w:rsidRDefault="00610144" w:rsidP="00610144">
      <w:pPr>
        <w:pStyle w:val="a6"/>
      </w:pPr>
    </w:p>
    <w:p w14:paraId="46AAF261" w14:textId="77777777" w:rsidR="00610144" w:rsidRDefault="00610144" w:rsidP="00610144">
      <w:pPr>
        <w:pStyle w:val="a6"/>
      </w:pPr>
      <w:r>
        <w:rPr>
          <w:noProof/>
        </w:rPr>
        <w:drawing>
          <wp:inline distT="0" distB="0" distL="0" distR="0" wp14:anchorId="2C6D948B" wp14:editId="02E862D4">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 xml:space="preserve"> </w:t>
      </w:r>
    </w:p>
    <w:p w14:paraId="27214CB4" w14:textId="10D6EF51" w:rsidR="00610144" w:rsidRDefault="00610144" w:rsidP="00610144">
      <w:pPr>
        <w:pStyle w:val="a"/>
      </w:pPr>
      <w:r>
        <w:t>Доходность</w:t>
      </w:r>
      <w:r w:rsidR="002D3994">
        <w:t xml:space="preserve"> к погашению</w:t>
      </w:r>
      <w:r>
        <w:t xml:space="preserve"> облигаций по отраслям</w:t>
      </w:r>
    </w:p>
    <w:p w14:paraId="43886A96" w14:textId="77777777" w:rsidR="00610144" w:rsidRDefault="00610144" w:rsidP="00610144">
      <w:pPr>
        <w:pStyle w:val="a6"/>
      </w:pPr>
      <w:r>
        <w:rPr>
          <w:i/>
        </w:rPr>
        <w:t xml:space="preserve">Источник: </w:t>
      </w:r>
      <w:r>
        <w:t>график составлен на основе данных выборки.</w:t>
      </w:r>
    </w:p>
    <w:p w14:paraId="636DC41F" w14:textId="77777777" w:rsidR="00610144" w:rsidRPr="0057631B" w:rsidRDefault="00610144" w:rsidP="00610144">
      <w:pPr>
        <w:pStyle w:val="a6"/>
      </w:pPr>
    </w:p>
    <w:p w14:paraId="0509CBFB" w14:textId="77777777" w:rsidR="00610144" w:rsidRDefault="00610144" w:rsidP="00610144">
      <w:pPr>
        <w:pStyle w:val="a6"/>
      </w:pPr>
      <w:r>
        <w:t>На рисунке видно, что наиболее высокое значение средней доходности по облигациям принадлежит отрасли высоких технологий и составляет 5,57%. Причиной может быть относительная новизна данной отрасли и более высокие риски инвестирования. Капиталоемкие отрасли и ритейл характеризуются меньшими значениями доходности облигаций, 5,27 и 4,73, соответственно.</w:t>
      </w:r>
    </w:p>
    <w:p w14:paraId="63E3132E" w14:textId="77777777" w:rsidR="00610144" w:rsidRDefault="00610144" w:rsidP="00610144">
      <w:pPr>
        <w:pStyle w:val="a6"/>
      </w:pPr>
      <w:r>
        <w:t xml:space="preserve">Также было интересно посмотреть, как отличаются значения количества выпусков, осуществленных компаниями разных отраслей. </w:t>
      </w:r>
    </w:p>
    <w:p w14:paraId="412B8F17" w14:textId="7576D48E" w:rsidR="00027218" w:rsidRDefault="00CB40E6" w:rsidP="00CB40E6">
      <w:pPr>
        <w:pStyle w:val="a6"/>
      </w:pPr>
      <w:r>
        <w:t xml:space="preserve">Исходя из рисунка 4, можно отметить, что наибольшее среднее количество облигационных эмиссий на эмитента - 13,59 наблюдается в отрасли высоких технологий. Далее идут торговля и капиталоемкие отрасли со средним количеством эмиссий 11,91 и 7,18, соответственно. </w:t>
      </w:r>
    </w:p>
    <w:p w14:paraId="1963B1FE" w14:textId="77777777" w:rsidR="00610144" w:rsidRDefault="00610144" w:rsidP="00610144">
      <w:pPr>
        <w:pStyle w:val="a6"/>
      </w:pPr>
      <w:r>
        <w:rPr>
          <w:noProof/>
        </w:rPr>
        <w:lastRenderedPageBreak/>
        <w:drawing>
          <wp:inline distT="0" distB="0" distL="0" distR="0" wp14:anchorId="282419B0" wp14:editId="0BFA3109">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B00E6E" w14:textId="77777777" w:rsidR="00610144" w:rsidRDefault="00610144" w:rsidP="00610144">
      <w:pPr>
        <w:pStyle w:val="a"/>
      </w:pPr>
      <w:r>
        <w:t>Количество облигационных эмиссий по отраслям</w:t>
      </w:r>
    </w:p>
    <w:p w14:paraId="1D264B6F" w14:textId="77777777" w:rsidR="00610144" w:rsidRPr="00CB40E6" w:rsidRDefault="00610144" w:rsidP="00610144">
      <w:pPr>
        <w:pStyle w:val="a"/>
        <w:numPr>
          <w:ilvl w:val="0"/>
          <w:numId w:val="0"/>
        </w:numPr>
        <w:ind w:left="709"/>
        <w:jc w:val="left"/>
        <w:rPr>
          <w:i w:val="0"/>
        </w:rPr>
      </w:pPr>
      <w:r>
        <w:t xml:space="preserve">Источник: </w:t>
      </w:r>
      <w:r w:rsidRPr="00CB40E6">
        <w:rPr>
          <w:i w:val="0"/>
        </w:rPr>
        <w:t>график составлен на основе данных выборки.</w:t>
      </w:r>
    </w:p>
    <w:p w14:paraId="6128A103" w14:textId="77777777" w:rsidR="00610144" w:rsidRPr="00CB40E6" w:rsidRDefault="00610144" w:rsidP="00610144">
      <w:pPr>
        <w:pStyle w:val="a6"/>
      </w:pPr>
    </w:p>
    <w:p w14:paraId="0C6DB1EC" w14:textId="458A033B" w:rsidR="00610144" w:rsidRPr="00CB40E6" w:rsidRDefault="00610144" w:rsidP="00CB40E6">
      <w:pPr>
        <w:pStyle w:val="a6"/>
      </w:pPr>
      <w:r>
        <w:t>При этом отраслями с наибольшей средней долей объема выпуска в величине чистых активов, равной 0,93, являются капиталоемкие отрасли. Это неудивительно, поскольку спецификой данных отраслей являются капиталоемкие инвестиции. Аналогичные величины для компаний отрасли высоких технологий и ритейла практически одинаковы и составляют 0,57 и 0,58, соответственно. Данная информация отражена на рисунке 5.</w:t>
      </w:r>
    </w:p>
    <w:p w14:paraId="36DD6635" w14:textId="77777777" w:rsidR="00610144" w:rsidRDefault="00610144" w:rsidP="00610144">
      <w:pPr>
        <w:pStyle w:val="a6"/>
      </w:pPr>
      <w:r>
        <w:rPr>
          <w:noProof/>
        </w:rPr>
        <w:drawing>
          <wp:inline distT="0" distB="0" distL="0" distR="0" wp14:anchorId="1837E450" wp14:editId="333E93D3">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A6DC8A" w14:textId="77777777" w:rsidR="00610144" w:rsidRDefault="00610144" w:rsidP="00610144">
      <w:pPr>
        <w:pStyle w:val="a"/>
      </w:pPr>
      <w:r>
        <w:t>Доля суммы выпусков в чистых активах по отраслям</w:t>
      </w:r>
    </w:p>
    <w:p w14:paraId="2A677971" w14:textId="77777777" w:rsidR="00610144" w:rsidRDefault="00610144" w:rsidP="00610144">
      <w:pPr>
        <w:pStyle w:val="a"/>
        <w:numPr>
          <w:ilvl w:val="0"/>
          <w:numId w:val="0"/>
        </w:numPr>
        <w:ind w:left="822" w:hanging="113"/>
        <w:jc w:val="left"/>
      </w:pPr>
      <w:r>
        <w:t xml:space="preserve">Источник: </w:t>
      </w:r>
      <w:r w:rsidRPr="00557D64">
        <w:rPr>
          <w:i w:val="0"/>
        </w:rPr>
        <w:t>график составлен на основе данных выборки.</w:t>
      </w:r>
    </w:p>
    <w:p w14:paraId="5EAABFB0" w14:textId="77777777" w:rsidR="00610144" w:rsidRDefault="00610144" w:rsidP="00610144">
      <w:pPr>
        <w:pStyle w:val="a6"/>
      </w:pPr>
    </w:p>
    <w:p w14:paraId="5788A265" w14:textId="2ED06888" w:rsidR="00610144" w:rsidRDefault="00610144" w:rsidP="00610144">
      <w:pPr>
        <w:pStyle w:val="a6"/>
      </w:pPr>
      <w:r>
        <w:lastRenderedPageBreak/>
        <w:t>Выше рассмотренные различия подтолкнули к анализу влияния данных трех факторов на кредитный риск в отдельных подвыборках, выделенных по отраслям. Для этого были построены три регрессионных модели</w:t>
      </w:r>
      <w:r w:rsidR="00346BE8">
        <w:t xml:space="preserve"> (Приложения 7, 8, 9)</w:t>
      </w:r>
      <w:r>
        <w:t>. Результаты различий влияния и значимости данных переменных по отраслям приведены в таблице 10.</w:t>
      </w:r>
    </w:p>
    <w:p w14:paraId="2FCAE644" w14:textId="77777777" w:rsidR="00610144" w:rsidRDefault="00610144" w:rsidP="00610144">
      <w:pPr>
        <w:pStyle w:val="a0"/>
      </w:pPr>
      <w:r>
        <w:t>Результаты регрессионного анализа по отраслям</w:t>
      </w:r>
    </w:p>
    <w:tbl>
      <w:tblPr>
        <w:tblStyle w:val="afd"/>
        <w:tblW w:w="0" w:type="auto"/>
        <w:tblLook w:val="04A0" w:firstRow="1" w:lastRow="0" w:firstColumn="1" w:lastColumn="0" w:noHBand="0" w:noVBand="1"/>
      </w:tblPr>
      <w:tblGrid>
        <w:gridCol w:w="2243"/>
        <w:gridCol w:w="2551"/>
        <w:gridCol w:w="2552"/>
        <w:gridCol w:w="2225"/>
      </w:tblGrid>
      <w:tr w:rsidR="00610144" w14:paraId="4E035343" w14:textId="77777777" w:rsidTr="00610144">
        <w:trPr>
          <w:trHeight w:val="449"/>
        </w:trPr>
        <w:tc>
          <w:tcPr>
            <w:tcW w:w="2243" w:type="dxa"/>
          </w:tcPr>
          <w:p w14:paraId="15F095EC" w14:textId="77777777" w:rsidR="00610144" w:rsidRPr="00CC6286" w:rsidRDefault="00610144" w:rsidP="00610144">
            <w:pPr>
              <w:pStyle w:val="aff8"/>
            </w:pPr>
            <w:r>
              <w:t>Переменная</w:t>
            </w:r>
          </w:p>
        </w:tc>
        <w:tc>
          <w:tcPr>
            <w:tcW w:w="2551" w:type="dxa"/>
          </w:tcPr>
          <w:p w14:paraId="49B442B2" w14:textId="77777777" w:rsidR="00610144" w:rsidRDefault="00610144" w:rsidP="00610144">
            <w:pPr>
              <w:pStyle w:val="aff8"/>
              <w:rPr>
                <w:color w:val="000000" w:themeColor="text1"/>
              </w:rPr>
            </w:pPr>
            <w:r>
              <w:rPr>
                <w:color w:val="000000" w:themeColor="text1"/>
              </w:rPr>
              <w:t xml:space="preserve">Высокие технологии </w:t>
            </w:r>
          </w:p>
        </w:tc>
        <w:tc>
          <w:tcPr>
            <w:tcW w:w="2552" w:type="dxa"/>
          </w:tcPr>
          <w:p w14:paraId="236F76D7" w14:textId="307227E7" w:rsidR="00610144" w:rsidRPr="008E517E" w:rsidRDefault="00126532" w:rsidP="00610144">
            <w:pPr>
              <w:pStyle w:val="aff8"/>
              <w:rPr>
                <w:color w:val="000000" w:themeColor="text1"/>
                <w:lang w:val="en-US"/>
              </w:rPr>
            </w:pPr>
            <w:r>
              <w:rPr>
                <w:color w:val="000000" w:themeColor="text1"/>
              </w:rPr>
              <w:t>Капиталоемкие отрасли</w:t>
            </w:r>
          </w:p>
        </w:tc>
        <w:tc>
          <w:tcPr>
            <w:tcW w:w="2225" w:type="dxa"/>
          </w:tcPr>
          <w:p w14:paraId="062ED739" w14:textId="77777777" w:rsidR="00610144" w:rsidRDefault="00610144" w:rsidP="00610144">
            <w:pPr>
              <w:pStyle w:val="aff8"/>
              <w:rPr>
                <w:color w:val="000000" w:themeColor="text1"/>
              </w:rPr>
            </w:pPr>
            <w:r>
              <w:rPr>
                <w:color w:val="000000" w:themeColor="text1"/>
              </w:rPr>
              <w:t>Ритейл</w:t>
            </w:r>
          </w:p>
        </w:tc>
      </w:tr>
      <w:tr w:rsidR="00610144" w14:paraId="1DE71790" w14:textId="77777777" w:rsidTr="00610144">
        <w:trPr>
          <w:trHeight w:val="322"/>
        </w:trPr>
        <w:tc>
          <w:tcPr>
            <w:tcW w:w="2243" w:type="dxa"/>
            <w:vAlign w:val="center"/>
          </w:tcPr>
          <w:p w14:paraId="709E1BF6" w14:textId="77777777" w:rsidR="00610144" w:rsidRDefault="00610144" w:rsidP="00610144">
            <w:pPr>
              <w:pStyle w:val="aff8"/>
              <w:rPr>
                <w:color w:val="000000" w:themeColor="text1"/>
              </w:rPr>
            </w:pPr>
            <w:r w:rsidRPr="007A05D6">
              <w:rPr>
                <w:color w:val="000000"/>
              </w:rPr>
              <w:t>YLD</w:t>
            </w:r>
          </w:p>
        </w:tc>
        <w:tc>
          <w:tcPr>
            <w:tcW w:w="2551" w:type="dxa"/>
          </w:tcPr>
          <w:p w14:paraId="7CA39869" w14:textId="77777777" w:rsidR="00610144" w:rsidRPr="0067341D" w:rsidRDefault="00610144" w:rsidP="00610144">
            <w:pPr>
              <w:pStyle w:val="aff9"/>
              <w:rPr>
                <w:lang w:val="en-US"/>
              </w:rPr>
            </w:pPr>
            <w:r>
              <w:t>-0,504*</w:t>
            </w:r>
            <w:r>
              <w:rPr>
                <w:lang w:val="en-US"/>
              </w:rPr>
              <w:t>*</w:t>
            </w:r>
          </w:p>
        </w:tc>
        <w:tc>
          <w:tcPr>
            <w:tcW w:w="2552" w:type="dxa"/>
          </w:tcPr>
          <w:p w14:paraId="2B1AF1A7" w14:textId="77777777" w:rsidR="00610144" w:rsidRDefault="00610144" w:rsidP="00610144">
            <w:pPr>
              <w:pStyle w:val="aff9"/>
            </w:pPr>
            <w:r>
              <w:t>-1,056</w:t>
            </w:r>
            <w:r>
              <w:rPr>
                <w:lang w:val="en-US"/>
              </w:rPr>
              <w:t>**</w:t>
            </w:r>
          </w:p>
        </w:tc>
        <w:tc>
          <w:tcPr>
            <w:tcW w:w="2225" w:type="dxa"/>
          </w:tcPr>
          <w:p w14:paraId="43B550BC" w14:textId="77777777" w:rsidR="00610144" w:rsidRPr="009E0A4B" w:rsidRDefault="00610144" w:rsidP="00610144">
            <w:pPr>
              <w:pStyle w:val="aff9"/>
              <w:rPr>
                <w:lang w:val="en-US"/>
              </w:rPr>
            </w:pPr>
            <w:r>
              <w:rPr>
                <w:lang w:val="en-US"/>
              </w:rPr>
              <w:t>-0,015</w:t>
            </w:r>
          </w:p>
        </w:tc>
      </w:tr>
      <w:tr w:rsidR="00610144" w14:paraId="0EEE1EA2" w14:textId="77777777" w:rsidTr="00610144">
        <w:trPr>
          <w:trHeight w:val="322"/>
        </w:trPr>
        <w:tc>
          <w:tcPr>
            <w:tcW w:w="2243" w:type="dxa"/>
            <w:vAlign w:val="center"/>
          </w:tcPr>
          <w:p w14:paraId="457FABEE" w14:textId="77777777" w:rsidR="00610144" w:rsidRDefault="00610144" w:rsidP="00610144">
            <w:pPr>
              <w:pStyle w:val="aff8"/>
              <w:rPr>
                <w:color w:val="000000" w:themeColor="text1"/>
              </w:rPr>
            </w:pPr>
            <w:r w:rsidRPr="007A05D6">
              <w:rPr>
                <w:color w:val="000000"/>
              </w:rPr>
              <w:t>NUM</w:t>
            </w:r>
          </w:p>
        </w:tc>
        <w:tc>
          <w:tcPr>
            <w:tcW w:w="2551" w:type="dxa"/>
          </w:tcPr>
          <w:p w14:paraId="4DF3A147" w14:textId="77777777" w:rsidR="00610144" w:rsidRPr="00D21A58" w:rsidRDefault="00610144" w:rsidP="00610144">
            <w:pPr>
              <w:pStyle w:val="aff9"/>
              <w:rPr>
                <w:lang w:val="en-US"/>
              </w:rPr>
            </w:pPr>
            <w:r>
              <w:t>1,374</w:t>
            </w:r>
            <w:r>
              <w:rPr>
                <w:lang w:val="en-US"/>
              </w:rPr>
              <w:t>**</w:t>
            </w:r>
          </w:p>
        </w:tc>
        <w:tc>
          <w:tcPr>
            <w:tcW w:w="2552" w:type="dxa"/>
          </w:tcPr>
          <w:p w14:paraId="167EF624" w14:textId="77777777" w:rsidR="00610144" w:rsidRDefault="00610144" w:rsidP="00610144">
            <w:pPr>
              <w:pStyle w:val="aff9"/>
            </w:pPr>
            <w:r>
              <w:t>0,619</w:t>
            </w:r>
          </w:p>
        </w:tc>
        <w:tc>
          <w:tcPr>
            <w:tcW w:w="2225" w:type="dxa"/>
          </w:tcPr>
          <w:p w14:paraId="1FB57249" w14:textId="77777777" w:rsidR="00610144" w:rsidRPr="0067341D" w:rsidRDefault="00610144" w:rsidP="00610144">
            <w:pPr>
              <w:pStyle w:val="aff9"/>
            </w:pPr>
            <w:r>
              <w:t>1,291**</w:t>
            </w:r>
          </w:p>
        </w:tc>
      </w:tr>
      <w:tr w:rsidR="00610144" w14:paraId="0D063363" w14:textId="77777777" w:rsidTr="00610144">
        <w:trPr>
          <w:trHeight w:val="312"/>
        </w:trPr>
        <w:tc>
          <w:tcPr>
            <w:tcW w:w="2243" w:type="dxa"/>
            <w:vAlign w:val="center"/>
          </w:tcPr>
          <w:p w14:paraId="6019E499" w14:textId="77777777" w:rsidR="00610144" w:rsidRPr="004730C3" w:rsidRDefault="00610144" w:rsidP="00610144">
            <w:pPr>
              <w:pStyle w:val="aff8"/>
              <w:rPr>
                <w:lang w:val="en-US"/>
              </w:rPr>
            </w:pPr>
            <w:r w:rsidRPr="007A05D6">
              <w:rPr>
                <w:color w:val="000000"/>
              </w:rPr>
              <w:t>AMT</w:t>
            </w:r>
          </w:p>
        </w:tc>
        <w:tc>
          <w:tcPr>
            <w:tcW w:w="2551" w:type="dxa"/>
          </w:tcPr>
          <w:p w14:paraId="5C63A0D1" w14:textId="77777777" w:rsidR="00610144" w:rsidRDefault="00610144" w:rsidP="00610144">
            <w:pPr>
              <w:pStyle w:val="aff9"/>
            </w:pPr>
            <w:r>
              <w:t>-1,041</w:t>
            </w:r>
          </w:p>
        </w:tc>
        <w:tc>
          <w:tcPr>
            <w:tcW w:w="2552" w:type="dxa"/>
          </w:tcPr>
          <w:p w14:paraId="751D4698" w14:textId="77777777" w:rsidR="00610144" w:rsidRDefault="00610144" w:rsidP="00610144">
            <w:pPr>
              <w:pStyle w:val="aff9"/>
            </w:pPr>
            <w:r>
              <w:t>-0,019</w:t>
            </w:r>
          </w:p>
        </w:tc>
        <w:tc>
          <w:tcPr>
            <w:tcW w:w="2225" w:type="dxa"/>
          </w:tcPr>
          <w:p w14:paraId="7F2A18CC" w14:textId="77777777" w:rsidR="00610144" w:rsidRDefault="00610144" w:rsidP="00610144">
            <w:pPr>
              <w:pStyle w:val="aff9"/>
            </w:pPr>
            <w:r>
              <w:t>-2,256**</w:t>
            </w:r>
          </w:p>
        </w:tc>
      </w:tr>
      <w:tr w:rsidR="00610144" w14:paraId="59865F37" w14:textId="77777777" w:rsidTr="00610144">
        <w:trPr>
          <w:trHeight w:val="322"/>
        </w:trPr>
        <w:tc>
          <w:tcPr>
            <w:tcW w:w="2243" w:type="dxa"/>
          </w:tcPr>
          <w:p w14:paraId="41EE1862" w14:textId="77777777" w:rsidR="00610144" w:rsidRDefault="00610144" w:rsidP="00610144">
            <w:pPr>
              <w:pStyle w:val="aff8"/>
              <w:rPr>
                <w:color w:val="000000" w:themeColor="text1"/>
              </w:rPr>
            </w:pPr>
            <w:r w:rsidRPr="00921C91">
              <w:t>R</w:t>
            </w:r>
            <w:r w:rsidRPr="00921C91">
              <w:rPr>
                <w:vertAlign w:val="superscript"/>
              </w:rPr>
              <w:t>2</w:t>
            </w:r>
          </w:p>
        </w:tc>
        <w:tc>
          <w:tcPr>
            <w:tcW w:w="2551" w:type="dxa"/>
          </w:tcPr>
          <w:p w14:paraId="662A4303" w14:textId="77777777" w:rsidR="00610144" w:rsidRDefault="00610144" w:rsidP="00610144">
            <w:pPr>
              <w:pStyle w:val="aff9"/>
            </w:pPr>
            <w:r>
              <w:t>0,6070</w:t>
            </w:r>
          </w:p>
        </w:tc>
        <w:tc>
          <w:tcPr>
            <w:tcW w:w="2552" w:type="dxa"/>
          </w:tcPr>
          <w:p w14:paraId="7E59BB01" w14:textId="77777777" w:rsidR="00610144" w:rsidRDefault="00610144" w:rsidP="00610144">
            <w:pPr>
              <w:pStyle w:val="aff9"/>
            </w:pPr>
            <w:r>
              <w:t>0,4327</w:t>
            </w:r>
          </w:p>
        </w:tc>
        <w:tc>
          <w:tcPr>
            <w:tcW w:w="2225" w:type="dxa"/>
          </w:tcPr>
          <w:p w14:paraId="53680B4D" w14:textId="77777777" w:rsidR="00610144" w:rsidRPr="00E825CF" w:rsidRDefault="00610144" w:rsidP="00610144">
            <w:pPr>
              <w:pStyle w:val="aff9"/>
            </w:pPr>
            <w:r>
              <w:t>0,6425</w:t>
            </w:r>
          </w:p>
        </w:tc>
      </w:tr>
      <w:tr w:rsidR="00610144" w14:paraId="5589A40F" w14:textId="77777777" w:rsidTr="00610144">
        <w:trPr>
          <w:trHeight w:val="322"/>
        </w:trPr>
        <w:tc>
          <w:tcPr>
            <w:tcW w:w="2243" w:type="dxa"/>
          </w:tcPr>
          <w:p w14:paraId="12FF9D72" w14:textId="77777777" w:rsidR="00610144" w:rsidRDefault="00610144" w:rsidP="00610144">
            <w:pPr>
              <w:pStyle w:val="aff8"/>
            </w:pPr>
            <w:r>
              <w:t>p-value</w:t>
            </w:r>
          </w:p>
        </w:tc>
        <w:tc>
          <w:tcPr>
            <w:tcW w:w="2551" w:type="dxa"/>
          </w:tcPr>
          <w:p w14:paraId="7347D76F" w14:textId="77777777" w:rsidR="00610144" w:rsidRDefault="00610144" w:rsidP="00610144">
            <w:pPr>
              <w:pStyle w:val="aff9"/>
            </w:pPr>
            <w:r>
              <w:t>0,</w:t>
            </w:r>
            <w:r w:rsidRPr="004730C3">
              <w:t>0000</w:t>
            </w:r>
          </w:p>
        </w:tc>
        <w:tc>
          <w:tcPr>
            <w:tcW w:w="2552" w:type="dxa"/>
          </w:tcPr>
          <w:p w14:paraId="26209FEF" w14:textId="77777777" w:rsidR="00610144" w:rsidRDefault="00610144" w:rsidP="00610144">
            <w:pPr>
              <w:pStyle w:val="aff9"/>
            </w:pPr>
            <w:r>
              <w:t>0,</w:t>
            </w:r>
            <w:r w:rsidRPr="004730C3">
              <w:t>000</w:t>
            </w:r>
            <w:r>
              <w:t>3</w:t>
            </w:r>
          </w:p>
        </w:tc>
        <w:tc>
          <w:tcPr>
            <w:tcW w:w="2225" w:type="dxa"/>
          </w:tcPr>
          <w:p w14:paraId="4CA448CC" w14:textId="77777777" w:rsidR="00610144" w:rsidRDefault="00610144" w:rsidP="00610144">
            <w:pPr>
              <w:pStyle w:val="aff9"/>
            </w:pPr>
            <w:r>
              <w:t>0,</w:t>
            </w:r>
            <w:r w:rsidRPr="004730C3">
              <w:t>000</w:t>
            </w:r>
            <w:r>
              <w:t>0</w:t>
            </w:r>
          </w:p>
        </w:tc>
      </w:tr>
      <w:tr w:rsidR="00610144" w14:paraId="266C91DB" w14:textId="77777777" w:rsidTr="00610144">
        <w:trPr>
          <w:trHeight w:val="286"/>
        </w:trPr>
        <w:tc>
          <w:tcPr>
            <w:tcW w:w="2243" w:type="dxa"/>
          </w:tcPr>
          <w:p w14:paraId="1C67A726" w14:textId="77777777" w:rsidR="00610144" w:rsidRDefault="00610144" w:rsidP="00610144">
            <w:pPr>
              <w:pStyle w:val="aff8"/>
            </w:pPr>
            <w:r>
              <w:t>N</w:t>
            </w:r>
          </w:p>
        </w:tc>
        <w:tc>
          <w:tcPr>
            <w:tcW w:w="2551" w:type="dxa"/>
          </w:tcPr>
          <w:p w14:paraId="4F840C29" w14:textId="77777777" w:rsidR="00610144" w:rsidRPr="004730C3" w:rsidRDefault="00610144" w:rsidP="00610144">
            <w:pPr>
              <w:pStyle w:val="aff9"/>
            </w:pPr>
            <w:r>
              <w:t>48</w:t>
            </w:r>
          </w:p>
        </w:tc>
        <w:tc>
          <w:tcPr>
            <w:tcW w:w="2552" w:type="dxa"/>
          </w:tcPr>
          <w:p w14:paraId="17D352F2" w14:textId="77777777" w:rsidR="00610144" w:rsidRDefault="00610144" w:rsidP="00610144">
            <w:pPr>
              <w:pStyle w:val="aff9"/>
            </w:pPr>
            <w:r>
              <w:t>57</w:t>
            </w:r>
          </w:p>
        </w:tc>
        <w:tc>
          <w:tcPr>
            <w:tcW w:w="2225" w:type="dxa"/>
          </w:tcPr>
          <w:p w14:paraId="2121BD6C" w14:textId="77777777" w:rsidR="00610144" w:rsidRPr="0035700F" w:rsidRDefault="00610144" w:rsidP="00610144">
            <w:pPr>
              <w:pStyle w:val="aff9"/>
            </w:pPr>
            <w:r>
              <w:t>51</w:t>
            </w:r>
          </w:p>
        </w:tc>
      </w:tr>
    </w:tbl>
    <w:p w14:paraId="2E244C30" w14:textId="77777777" w:rsidR="00610144" w:rsidRPr="0078255F" w:rsidRDefault="00610144" w:rsidP="00610144">
      <w:pPr>
        <w:pStyle w:val="a6"/>
      </w:pPr>
      <w:r w:rsidRPr="0078255F">
        <w:t>Примечание: Знак</w:t>
      </w:r>
      <w:r>
        <w:t xml:space="preserve">ом </w:t>
      </w:r>
      <w:r w:rsidRPr="0078255F">
        <w:t>** отмечены значимые переменные на 5% у</w:t>
      </w:r>
      <w:r>
        <w:t>ровне значимости.</w:t>
      </w:r>
    </w:p>
    <w:p w14:paraId="418B87CF" w14:textId="77777777" w:rsidR="00610144" w:rsidRDefault="00610144" w:rsidP="00610144">
      <w:pPr>
        <w:pStyle w:val="a6"/>
        <w:ind w:firstLine="0"/>
      </w:pPr>
    </w:p>
    <w:p w14:paraId="20E5D6C9" w14:textId="77777777" w:rsidR="00610144" w:rsidRDefault="00610144" w:rsidP="00610144">
      <w:pPr>
        <w:pStyle w:val="a6"/>
      </w:pPr>
      <w:r>
        <w:t xml:space="preserve">Результаты исследования показали, что для капиталоемких отраслей и высоких технологий, как, впрочем, и в основной регрессионной модели, переменная, отражающая долю суммы выпуска в чистых активах, оказалась незначима. Однако в отрасли розничной торговли данный фактор является значимым на 5% уровне значимости. В то же время в секторе ритейла фактор, характеризующий максимальную доходность по облигациям оказался незначимым, в отличие от других отраслей. В компаниях капиталоемких отраслей, кроме того, не наблюдается значимости переменной, характеризующей количество облигационных выпусков. Таким образом, мы можем принять гипотезу 4 об отрицательной взаимосвязи между долей суммы выпуска в чистых активах и кредитным рейтингом компании для отрасли розничной торговли. </w:t>
      </w:r>
    </w:p>
    <w:p w14:paraId="69D65551" w14:textId="77777777" w:rsidR="005E3D04" w:rsidRPr="00425FDA" w:rsidRDefault="005E3D04" w:rsidP="00DA35F4">
      <w:pPr>
        <w:pStyle w:val="a6"/>
      </w:pPr>
    </w:p>
    <w:p w14:paraId="0DA2F896" w14:textId="0F13F441" w:rsidR="009206FB" w:rsidRDefault="00610144" w:rsidP="00F459D1">
      <w:pPr>
        <w:pStyle w:val="21"/>
      </w:pPr>
      <w:bookmarkStart w:id="26" w:name="_Toc514593088"/>
      <w:r>
        <w:t>3.3</w:t>
      </w:r>
      <w:r w:rsidR="00F459D1">
        <w:t xml:space="preserve"> Анализ полученных результатов и выводы</w:t>
      </w:r>
      <w:bookmarkEnd w:id="26"/>
    </w:p>
    <w:p w14:paraId="5176688A" w14:textId="77777777" w:rsidR="00C43DDC" w:rsidRDefault="00C43DDC" w:rsidP="00C43DDC">
      <w:pPr>
        <w:pStyle w:val="a6"/>
      </w:pPr>
      <w:r>
        <w:t xml:space="preserve">В ходе эконометрического исследования удалось выявить существенные отличия в уровне кредитного риска компаний, эмитирующих облигации, и компаний, не прибегающих к финансированию на рынке облигаций. Таким образом подтвердилась основная гипотеза исследовательской работы. Компании-эмитенты несут в себе меньший риск дефолта. Это может объясняться главными характеристиками облигационных займов как инструмента привлечения финансирования и требованиями к их выпуску. Во-первых, это высокие требования к раскрытию информации и дальнейшее поддержание прозрачности отчетности, что особо ценится инвесторами. Во-вторых, компании, </w:t>
      </w:r>
      <w:r>
        <w:lastRenderedPageBreak/>
        <w:t>выходящие на публичный рынок, уделяют больше внимания своему финансовому профилю, а именно, получают рейтинги и консультируются с банками, сопровождающими выпуски, как улучшить свои показатели. В-третьих, на рынке облигаций легко проследить финансовое состояние компании и ее рыночную оценку по ликвидности и интенсивности оборота ее ценных бумаг.</w:t>
      </w:r>
    </w:p>
    <w:p w14:paraId="46955537" w14:textId="4B35D760" w:rsidR="00C43DDC" w:rsidRDefault="00C43DDC" w:rsidP="00C43DDC">
      <w:pPr>
        <w:pStyle w:val="a6"/>
      </w:pPr>
      <w:r>
        <w:t xml:space="preserve">Далее была построена линейная регрессионная модель, основанная на пятифакторной дискриминантной модели Альтмана, а также же на </w:t>
      </w:r>
      <w:r w:rsidR="001B11A4">
        <w:t xml:space="preserve">дополнительных </w:t>
      </w:r>
      <w:r>
        <w:t>факторах, обусловленных наличием облигационных выпусков, при этом результирующей переменной был выбран рейтинг компании, что отражает ее кредитный риск. С ее помощью удалось выявить существенную взаимосвязь между кредитным риском компании и характеристиками ее облигаций. Так, регрессионный анализ показал наличие отрицательной взаимосвязи между максимальной доходностью к погашению по облигациям, выпущенным компанией, и ее кредитным рейтингом. Это доказывает вторую гипотезу данной работы и говорит о том, что компании, чьи облигации обладают большей доходностью</w:t>
      </w:r>
      <w:r w:rsidR="001D3E1E">
        <w:t xml:space="preserve"> к погашению</w:t>
      </w:r>
      <w:r>
        <w:t>, имеют более низкий рейтинг</w:t>
      </w:r>
      <w:r w:rsidR="001B11A4">
        <w:t>, то есть более высокий кредитный риск</w:t>
      </w:r>
      <w:r>
        <w:t>. Данная закономерность является вполне логичной, поскольку инвестиции в более рискованные компании требуют большей доходности со стороны инвесторов. Также значимой оказалась положительная взаимосвязь между кредитным рейтингом и количеством облигационных выпусков, осуществленных компанией. Данный результат подтверждает третью гипотезу, выдвинутую ранее. Чем больше раз компания произвела выпуск облигаций, соответственно, чем она опытнее на финансовом рынке и более зарекомендована на нем, имея позитивную кредитную историю, тем выше оцени</w:t>
      </w:r>
      <w:r w:rsidR="001B11A4">
        <w:t xml:space="preserve">вается ее кредитный рейтинг, тем </w:t>
      </w:r>
      <w:r>
        <w:t xml:space="preserve">ниже кредитный риск. Однако регрессионный анализ не позволил установить взаимосвязь между кредитным рейтингом и отношением суммы выпусков к величине чистых активов, поэтому четвертая гипотеза была отвергнута. Изначальное предположение о том, что чем на большую сумму компания производит выпуск, тем больше рисков она на себя принимает, соответственно, тем более низкую оценку получает со стороны рейтинговых агентств, не подкрепилось результатами статистического исследования. Оказалось, что для выборки, состоящей из компаний нескольких отраслей, доля размера выпусков к чистым активам компании не имеет взаимосвязи с оценкой ее кредитоспособности. Таким образом, для присвоения рейтингов не имеет значение объем привлекаемых компанией средств, он ориентируется в основном на доходность ее облигаций, опытом осуществления эмиссий и отраслью ведения бизнес-операций. Доказательством пятой гипотезы и почвой для дальнейшего исследования была </w:t>
      </w:r>
      <w:r>
        <w:lastRenderedPageBreak/>
        <w:t xml:space="preserve">обнаруженная взаимосвязь между кредитным рейтингом и отраслью, в которой компания-эмитент ведет свой бизнес. </w:t>
      </w:r>
    </w:p>
    <w:p w14:paraId="69F30C13" w14:textId="77777777" w:rsidR="00C43DDC" w:rsidRDefault="00C43DDC" w:rsidP="00C43DDC">
      <w:pPr>
        <w:pStyle w:val="a6"/>
      </w:pPr>
      <w:r>
        <w:t xml:space="preserve">В капиталоемких отраслях наблюдалась наибольшая доля суммы выпуска в чистых активах и одновременно с этим меньшее среднее количество выпусков. Обратная ситуация наблюдалась в отраслях телекоммуникаций, </w:t>
      </w:r>
      <w:r>
        <w:rPr>
          <w:lang w:val="en-US"/>
        </w:rPr>
        <w:t>IT</w:t>
      </w:r>
      <w:r>
        <w:t xml:space="preserve"> и программного обеспечения. </w:t>
      </w:r>
    </w:p>
    <w:p w14:paraId="2C2320BA" w14:textId="62700190" w:rsidR="00C43DDC" w:rsidRDefault="00C43DDC" w:rsidP="00C43DDC">
      <w:pPr>
        <w:pStyle w:val="a6"/>
      </w:pPr>
      <w:r>
        <w:t>Отрасль высоких технологий показала такие же результаты, как и вся выборка эмитентов в целом, то есть значимыми оказались доходность</w:t>
      </w:r>
      <w:r w:rsidR="00BA7920">
        <w:t xml:space="preserve"> к погашению</w:t>
      </w:r>
      <w:r>
        <w:t xml:space="preserve"> облигаций и количество выпусков. Таким образом, можно сделать вывод, что при оценке кредитоспособности компаний данной отрасли большую роль играют ожидаемая доходность, связанная с инвестициями в компанию данной отрасли и опыт компании на финансовом рынке, а не относительная величина привлекаемых инвестиций. По результатам регрессии по выборке компаний капиталоемких отраслей выяснилось, что ни доля суммы выпусков в чистых активах, ни число выпусков не являются значимыми факторами и не имеют взаимосвязи с оценкой кредитного </w:t>
      </w:r>
      <w:r w:rsidR="009D4737">
        <w:t>риска</w:t>
      </w:r>
      <w:r>
        <w:t>. Только доходность</w:t>
      </w:r>
      <w:r w:rsidR="009D4737">
        <w:t xml:space="preserve"> к погашению</w:t>
      </w:r>
      <w:r>
        <w:t xml:space="preserve"> связана с кредитным рейтингом в данных отраслях. Причиной этому может быть тот факт, что основная часть проектов, под которые привлекают средства компании данных отраслей на рынке облигаций, являются капиталоемкими и сравнительно нечастыми, поэтому рейтинги варьируются благодаря различию в доходностях облигаций. Что касается ритейловых компаний, то их кредитный </w:t>
      </w:r>
      <w:r w:rsidR="009D4737">
        <w:t>риск</w:t>
      </w:r>
      <w:r>
        <w:t xml:space="preserve"> взаимосвязан с относительной величиной суммы заимствования и с количеством выпусков. Таким образом, здесь особенно важно, насколько чистые активы покрывают величину облигационного займа, поскольку в отрасли большую роль играет высокая ликвидность и оборачиваемость, а также насколько опытна компания в выпуске облигаций. </w:t>
      </w:r>
    </w:p>
    <w:p w14:paraId="5AAB41A8" w14:textId="4FDB2831" w:rsidR="00C43DDC" w:rsidRPr="00764FC5" w:rsidRDefault="00C43DDC" w:rsidP="00C43DDC">
      <w:pPr>
        <w:pStyle w:val="a6"/>
      </w:pPr>
      <w:r>
        <w:t>В связи с полученными в ходе исследования результатами, хотелось бы сформулировать следующие практические выводы для банков и частных инвесторов. Как было упомянуто ранее, Центральный Банк активно стимулирует компании прибегать к облигационным займам, как к инструменту финансирования, упрощая процедуру выхода на рынок облигаций и сокращая время данного процесса. Это неизбежно приводит к увеличению количества компаний-эмитентов на российском рынке</w:t>
      </w:r>
      <w:r w:rsidR="000338F0">
        <w:t>, соответственно, увеличивая число компаний, раскрывающих информацию о своей деятельности, улучшающих финансовые показатели</w:t>
      </w:r>
      <w:r>
        <w:t xml:space="preserve">. На данном этапе встает вопрос, как учесть информацию о наличии у компании облигаций при оценке ее </w:t>
      </w:r>
      <w:r w:rsidR="000338F0">
        <w:t>кредитного риска</w:t>
      </w:r>
      <w:r>
        <w:t>. Таким образом, данное иссл</w:t>
      </w:r>
      <w:r w:rsidR="000338F0">
        <w:t xml:space="preserve">едование показало, что </w:t>
      </w:r>
      <w:r>
        <w:t>компании, эмитирующие облигации обладают меньшим риском дефолта, а факторы доходности</w:t>
      </w:r>
      <w:r w:rsidR="000338F0">
        <w:t xml:space="preserve"> к погашению по облигациям</w:t>
      </w:r>
      <w:r>
        <w:t xml:space="preserve">, количества выпусков и доли суммы выпуска в чистых активах могут быть учтены при </w:t>
      </w:r>
      <w:r>
        <w:lastRenderedPageBreak/>
        <w:t xml:space="preserve">рассмотрении компании в качестве потенциального заемщика в банке. </w:t>
      </w:r>
      <w:r w:rsidR="000338F0">
        <w:t xml:space="preserve">Данное исследование показывает потенциал включения переменных, характеризующих облигационные выпуски, в скоринговые модели для учета большего количества характеристик компании при оценке кредитного риска банком. </w:t>
      </w:r>
      <w:r>
        <w:t xml:space="preserve">Кроме того, результаты данной работы окажутся полезными при оценки частными инвесторами компаний-эмитентов, не имеющих рейтинги, а также при решении таких проблем рейтинговой оценки, как периодичность переоценки рейтинга. </w:t>
      </w:r>
    </w:p>
    <w:p w14:paraId="3C8625FA" w14:textId="77777777" w:rsidR="00C43DDC" w:rsidRDefault="00C43DDC" w:rsidP="00F459D1">
      <w:pPr>
        <w:pStyle w:val="12"/>
        <w:sectPr w:rsidR="00C43DDC" w:rsidSect="00723DD5">
          <w:pgSz w:w="11906" w:h="16838"/>
          <w:pgMar w:top="1134" w:right="850" w:bottom="1134" w:left="1701" w:header="708" w:footer="708" w:gutter="0"/>
          <w:pgNumType w:chapStyle="1"/>
          <w:cols w:space="708"/>
          <w:titlePg/>
          <w:docGrid w:linePitch="360"/>
        </w:sectPr>
      </w:pPr>
    </w:p>
    <w:p w14:paraId="774348B5" w14:textId="7702ABCF" w:rsidR="00F459D1" w:rsidRDefault="00F459D1" w:rsidP="00F459D1">
      <w:pPr>
        <w:pStyle w:val="12"/>
      </w:pPr>
      <w:bookmarkStart w:id="27" w:name="_Toc514593089"/>
      <w:r>
        <w:lastRenderedPageBreak/>
        <w:t>Заключение</w:t>
      </w:r>
      <w:bookmarkEnd w:id="27"/>
      <w:r>
        <w:t xml:space="preserve"> </w:t>
      </w:r>
    </w:p>
    <w:p w14:paraId="2041BC61" w14:textId="268C97B5" w:rsidR="00610144" w:rsidRDefault="00610144" w:rsidP="00610144">
      <w:pPr>
        <w:pStyle w:val="a6"/>
      </w:pPr>
      <w:r>
        <w:t xml:space="preserve">Данная работа была посвящена исследованию наличия взаимосвязи привлечения средств за счет облигационных займов и </w:t>
      </w:r>
      <w:r w:rsidR="00BA22F0">
        <w:t>кредитного риска</w:t>
      </w:r>
      <w:r>
        <w:t xml:space="preserve"> компании. </w:t>
      </w:r>
    </w:p>
    <w:p w14:paraId="14E4A45E" w14:textId="77777777" w:rsidR="00610144" w:rsidRDefault="00610144" w:rsidP="00610144">
      <w:pPr>
        <w:pStyle w:val="a6"/>
      </w:pPr>
      <w:r>
        <w:t xml:space="preserve">Целью работы являлось выявление взаимосвязи наличия облигаций у компании и ее кредитного риска. </w:t>
      </w:r>
    </w:p>
    <w:p w14:paraId="2282566F" w14:textId="77777777" w:rsidR="00610144" w:rsidRDefault="00610144" w:rsidP="00610144">
      <w:pPr>
        <w:pStyle w:val="a6"/>
      </w:pPr>
      <w:r>
        <w:t>Первая глава посвящена рассмотрению облигационных займов как источника финансирования для компаний. В первой главе были рассмотрены понятие и основные характеристики облигаций, их возможности и ограничения в использовании, классификация облигаций по разным признакам, их отличия от банковских кредитов и стадии выпуска облигаций. Кроме того, был проведен анализ рынка облигаций России и США, а также были приведены основания для выбора американского рынка облигаций в качестве рынка для проведения исследования в данной работе.</w:t>
      </w:r>
    </w:p>
    <w:p w14:paraId="7D3AA135" w14:textId="77777777" w:rsidR="00610144" w:rsidRDefault="00610144" w:rsidP="00610144">
      <w:pPr>
        <w:pStyle w:val="a6"/>
      </w:pPr>
      <w:r>
        <w:t>Вторая глава посвящена анализу кредитного риска в коммерческом банке. В данной главе приводятся понятие и природа возникновения кредитного риска в банке, анализируются модели оценки вероятности дефолта компании и делается обоснованный выбор в пользу одной из рассмотренных моделей. В ходе сравнительного анализа в качестве базовой модели была выбрана модель Альтмана, на основе которой строилось дальнейшее эмпирическое исследование.</w:t>
      </w:r>
    </w:p>
    <w:p w14:paraId="4D4779FF" w14:textId="43EB9B9C" w:rsidR="00610144" w:rsidRDefault="00610144" w:rsidP="00610144">
      <w:pPr>
        <w:pStyle w:val="a6"/>
      </w:pPr>
      <w:r>
        <w:t>Третья глава посвящена эмпирическому исследованию взаимосвязи наличия облигаций и кредитного риска компании. Данная глава содержит информацию о выдвинутых гипотезах и способе формирования выборки на всех этапах исследования. Здесь приведены результаты анализа взаимосвязи кредитного рейтинга</w:t>
      </w:r>
      <w:r w:rsidR="0083366D">
        <w:t>, как показателя кредитного риска</w:t>
      </w:r>
      <w:r>
        <w:t xml:space="preserve"> и доходностью облигаций, количеством произведенных компанией выпусков, долей суммы выпусков в чистых активах и отраслей, в которых рассматриваемые компании-эмитенты ведут свою деятельность. Отдельно были рассмотрены приведенные выше взаимосвязи в разных отраслях экономики США. Регрессионный анализ проводился с использованием программы «</w:t>
      </w:r>
      <w:r>
        <w:rPr>
          <w:lang w:val="en-US"/>
        </w:rPr>
        <w:t>Stata</w:t>
      </w:r>
      <w:r>
        <w:t>» и был основан на данных финансовой отчетности по результатам 2017 года, официальных сайтов компаний и базы данных Thomson&amp;Reuters.</w:t>
      </w:r>
    </w:p>
    <w:p w14:paraId="636B832D" w14:textId="6282405F" w:rsidR="006D69B5" w:rsidRDefault="00610144" w:rsidP="00610144">
      <w:pPr>
        <w:pStyle w:val="a6"/>
      </w:pPr>
      <w:r>
        <w:t>Главным выводом работы является то, что наличие у компании облигаций свидетельствует о более низких кредитных рисках, связанных с ней. Более того, важным результатом является выявленная статистически значимая взаимосвязь между кредитным рейтингом и доходностью</w:t>
      </w:r>
      <w:r w:rsidR="001D3E1E">
        <w:t xml:space="preserve"> к погашению</w:t>
      </w:r>
      <w:r>
        <w:t xml:space="preserve"> по облигациям, числом облигационных выпусков и принадлежностью компании к определенной индустрии. Данные выводы будут полезны при оценке кредитоспособности компании банком и частными инвесторами. Кроме того, </w:t>
      </w:r>
      <w:r>
        <w:lastRenderedPageBreak/>
        <w:t xml:space="preserve">результаты данной работы подтверждают тот факт, что модели оценки </w:t>
      </w:r>
      <w:r w:rsidR="0083366D">
        <w:t>кредитного риска</w:t>
      </w:r>
      <w:r>
        <w:t xml:space="preserve"> компании должны быть адаптированы к отр</w:t>
      </w:r>
      <w:r w:rsidR="0083366D">
        <w:t>асли потенциального заемщика. В</w:t>
      </w:r>
      <w:r>
        <w:t xml:space="preserve">опросами для дальнейшего исследования </w:t>
      </w:r>
      <w:r w:rsidR="0083366D">
        <w:t>может быть</w:t>
      </w:r>
      <w:r>
        <w:t xml:space="preserve"> рассмотрение данной модели</w:t>
      </w:r>
      <w:r w:rsidRPr="003838F2">
        <w:t xml:space="preserve"> </w:t>
      </w:r>
      <w:r>
        <w:t xml:space="preserve">и выявления взаимосвязей на российском рынке, а также в рамках отраслей, не рассмотренных в данной работе. </w:t>
      </w:r>
      <w:r>
        <w:br w:type="page"/>
      </w:r>
    </w:p>
    <w:p w14:paraId="1FE9D2A7" w14:textId="29B1A104" w:rsidR="00AB2B7E" w:rsidRDefault="00F459D1" w:rsidP="00AB2B7E">
      <w:pPr>
        <w:pStyle w:val="12"/>
      </w:pPr>
      <w:bookmarkStart w:id="28" w:name="_Toc514593090"/>
      <w:r>
        <w:lastRenderedPageBreak/>
        <w:t>Список литературы</w:t>
      </w:r>
      <w:bookmarkEnd w:id="28"/>
    </w:p>
    <w:p w14:paraId="68430C89" w14:textId="77777777" w:rsidR="00AB2B7E" w:rsidRDefault="00AB2B7E" w:rsidP="00AB2B7E">
      <w:pPr>
        <w:pStyle w:val="a6"/>
        <w:numPr>
          <w:ilvl w:val="0"/>
          <w:numId w:val="21"/>
        </w:numPr>
      </w:pPr>
      <w:r>
        <w:t>Анализ облигаций /</w:t>
      </w:r>
      <w:r w:rsidRPr="00110382">
        <w:t xml:space="preserve">/ </w:t>
      </w:r>
      <w:r>
        <w:t>Информационное агентство Финмаркет</w:t>
      </w:r>
      <w:r w:rsidRPr="00157BE3">
        <w:t xml:space="preserve"> </w:t>
      </w:r>
      <w:r w:rsidRPr="007A5BCC">
        <w:t>[Электронный ресурс]. – Режим доступа:</w:t>
      </w:r>
      <w:r>
        <w:t xml:space="preserve"> </w:t>
      </w:r>
      <w:r w:rsidRPr="00110382">
        <w:t>http://www.rusbonds.ru/cmncorp.asp</w:t>
      </w:r>
      <w:r>
        <w:t xml:space="preserve"> - Загл. с экрана – 2004 – 2018.</w:t>
      </w:r>
    </w:p>
    <w:p w14:paraId="6F44C2A0" w14:textId="77777777" w:rsidR="00AB2B7E" w:rsidRDefault="00AB2B7E" w:rsidP="00AB2B7E">
      <w:pPr>
        <w:pStyle w:val="a6"/>
        <w:numPr>
          <w:ilvl w:val="0"/>
          <w:numId w:val="21"/>
        </w:numPr>
      </w:pPr>
      <w:r w:rsidRPr="00A31CE1">
        <w:t>Андреева А. К. Сравнение привлекательности корпоративных облигаций и банковских кредитов для заемщиков / А. К. Андреева // Инновационная наука. — 2015. — № 6 (6). — С. 18-19.</w:t>
      </w:r>
    </w:p>
    <w:p w14:paraId="3BEB72AE" w14:textId="77777777" w:rsidR="00AB2B7E" w:rsidRDefault="00AB2B7E" w:rsidP="00AB2B7E">
      <w:pPr>
        <w:pStyle w:val="a6"/>
        <w:numPr>
          <w:ilvl w:val="0"/>
          <w:numId w:val="21"/>
        </w:numPr>
      </w:pPr>
      <w:r>
        <w:t>Бадилина Л. П. Активизация инвестиционных процессов в Российской Федерации с использованием рынка ценных бумаг / Л. П. Бадилина, Н. А. Звягинцева // Известия Иркутской государственной экономической академии. — 2016. — Т. 26, № 1. — С. 5-14.</w:t>
      </w:r>
    </w:p>
    <w:p w14:paraId="529B4F1B" w14:textId="77777777" w:rsidR="00AB2B7E" w:rsidRDefault="00AB2B7E" w:rsidP="00AB2B7E">
      <w:pPr>
        <w:pStyle w:val="a6"/>
        <w:numPr>
          <w:ilvl w:val="0"/>
          <w:numId w:val="21"/>
        </w:numPr>
        <w:rPr>
          <w:szCs w:val="20"/>
        </w:rPr>
      </w:pPr>
      <w:r w:rsidRPr="000C248E">
        <w:rPr>
          <w:szCs w:val="20"/>
        </w:rPr>
        <w:t>Бородин А. И., Стрельцова Е. Оценивание инвестиционной привлекательности инновационных проектов на основе нечеткой логики</w:t>
      </w:r>
      <w:r>
        <w:rPr>
          <w:szCs w:val="20"/>
        </w:rPr>
        <w:t xml:space="preserve"> // </w:t>
      </w:r>
      <w:r w:rsidRPr="000C248E">
        <w:rPr>
          <w:szCs w:val="20"/>
        </w:rPr>
        <w:t>Прикладная информатика. 2013. № 4(46). С. 19-28.</w:t>
      </w:r>
    </w:p>
    <w:p w14:paraId="7894A3AF" w14:textId="0A819639" w:rsidR="00BA69F4" w:rsidRPr="00BA69F4" w:rsidRDefault="00BA69F4" w:rsidP="00BA69F4">
      <w:pPr>
        <w:pStyle w:val="a6"/>
        <w:numPr>
          <w:ilvl w:val="0"/>
          <w:numId w:val="21"/>
        </w:numPr>
        <w:rPr>
          <w:szCs w:val="20"/>
        </w:rPr>
      </w:pPr>
      <w:r w:rsidRPr="00BA69F4">
        <w:rPr>
          <w:szCs w:val="20"/>
        </w:rPr>
        <w:t xml:space="preserve">Брейли Р., Майерс С. Принципы корпоративных финансов. </w:t>
      </w:r>
      <w:r>
        <w:rPr>
          <w:szCs w:val="20"/>
        </w:rPr>
        <w:t>– М.: Олимп-бизнес, 1997. Гл. 1</w:t>
      </w:r>
      <w:r w:rsidRPr="00BA69F4">
        <w:rPr>
          <w:szCs w:val="20"/>
        </w:rPr>
        <w:t>.</w:t>
      </w:r>
    </w:p>
    <w:p w14:paraId="4D55E15C" w14:textId="7C60CCFA" w:rsidR="00AB2B7E" w:rsidRPr="006C229B" w:rsidRDefault="00AB2B7E" w:rsidP="00BA69F4">
      <w:pPr>
        <w:pStyle w:val="a6"/>
        <w:numPr>
          <w:ilvl w:val="0"/>
          <w:numId w:val="21"/>
        </w:numPr>
      </w:pPr>
      <w:r w:rsidRPr="00A8480E">
        <w:t xml:space="preserve">Бюджетный кодекс </w:t>
      </w:r>
      <w:r w:rsidRPr="00D67DB8">
        <w:t>Росс</w:t>
      </w:r>
      <w:r w:rsidR="00E96FC4">
        <w:t>ийской Федерации,</w:t>
      </w:r>
      <w:r>
        <w:t xml:space="preserve"> ст.</w:t>
      </w:r>
      <w:r w:rsidRPr="00A8480E">
        <w:t xml:space="preserve"> 98</w:t>
      </w:r>
      <w:r w:rsidR="00E96FC4">
        <w:t>, ст. 115</w:t>
      </w:r>
      <w:r>
        <w:t xml:space="preserve"> от 31.07.1998 N 145-ФЗ (ред. от 28.12.2017) </w:t>
      </w:r>
      <w:r w:rsidRPr="007A5BCC">
        <w:t>[Электронный ресурс]. – Режим доступа:</w:t>
      </w:r>
      <w:r>
        <w:t xml:space="preserve"> </w:t>
      </w:r>
      <w:r w:rsidRPr="00765C2C">
        <w:t>http://www.consultant.ru/document/cons_doc_LAW_19702/</w:t>
      </w:r>
      <w:r>
        <w:t xml:space="preserve"> - Загл. с экрана – 1997 – 2018.</w:t>
      </w:r>
    </w:p>
    <w:p w14:paraId="72B36E58" w14:textId="77777777" w:rsidR="00AB2B7E" w:rsidRPr="00DD178D" w:rsidRDefault="00AB2B7E" w:rsidP="00AB2B7E">
      <w:pPr>
        <w:pStyle w:val="a6"/>
        <w:numPr>
          <w:ilvl w:val="0"/>
          <w:numId w:val="21"/>
        </w:numPr>
      </w:pPr>
      <w:r>
        <w:t>Гаврилова А.В. Р</w:t>
      </w:r>
      <w:r w:rsidRPr="00DD178D">
        <w:t xml:space="preserve">ынок облигаций: </w:t>
      </w:r>
      <w:r w:rsidRPr="00BB2096">
        <w:t xml:space="preserve">современное состояние и перспективы </w:t>
      </w:r>
      <w:r>
        <w:t xml:space="preserve">// Международный студенческий научный вестник </w:t>
      </w:r>
      <w:r w:rsidRPr="007A5BCC">
        <w:t>[Электронный ресурс]. – Режим доступа:</w:t>
      </w:r>
      <w:r>
        <w:t xml:space="preserve"> </w:t>
      </w:r>
      <w:r w:rsidRPr="00BB2096">
        <w:t>https://www.scienceforum.ru/2015/pdf/14249.pdf</w:t>
      </w:r>
    </w:p>
    <w:p w14:paraId="689D23B2" w14:textId="77777777" w:rsidR="00AB2B7E" w:rsidRDefault="00AB2B7E" w:rsidP="00AB2B7E">
      <w:pPr>
        <w:pStyle w:val="a6"/>
        <w:numPr>
          <w:ilvl w:val="0"/>
          <w:numId w:val="21"/>
        </w:numPr>
      </w:pPr>
      <w:r>
        <w:t>Гальперин, Ф. Практика применения VaR-методологии для оценки и управления кредитным риском в «Альфа-Банке» / Ф.</w:t>
      </w:r>
      <w:r w:rsidRPr="00E30B92">
        <w:t xml:space="preserve"> </w:t>
      </w:r>
      <w:r>
        <w:t>Гальперин, А. А. Бобышев, Я. В. Мищенко // Управление финансовыми рисками. — 2005. — No 2. — С. 2–10.</w:t>
      </w:r>
    </w:p>
    <w:p w14:paraId="6F6F5C12" w14:textId="5EC1A4EF" w:rsidR="00AB2B7E" w:rsidRPr="00D67DB8" w:rsidRDefault="00AB2B7E" w:rsidP="00AB2B7E">
      <w:pPr>
        <w:pStyle w:val="a6"/>
        <w:numPr>
          <w:ilvl w:val="0"/>
          <w:numId w:val="21"/>
        </w:numPr>
      </w:pPr>
      <w:r w:rsidRPr="00A8480E">
        <w:rPr>
          <w:shd w:val="clear" w:color="auto" w:fill="FFFFFF"/>
        </w:rPr>
        <w:t>Гражданский кодекс Росс</w:t>
      </w:r>
      <w:r>
        <w:rPr>
          <w:shd w:val="clear" w:color="auto" w:fill="FFFFFF"/>
        </w:rPr>
        <w:t>ийской Федерации</w:t>
      </w:r>
      <w:r w:rsidR="00E96FC4">
        <w:rPr>
          <w:shd w:val="clear" w:color="auto" w:fill="FFFFFF"/>
        </w:rPr>
        <w:t xml:space="preserve">, </w:t>
      </w:r>
      <w:r w:rsidR="00E96FC4">
        <w:t xml:space="preserve">ст. 144, </w:t>
      </w:r>
      <w:r>
        <w:rPr>
          <w:shd w:val="clear" w:color="auto" w:fill="FFFFFF"/>
        </w:rPr>
        <w:t>ст. 816</w:t>
      </w:r>
      <w:r w:rsidR="00E96FC4">
        <w:rPr>
          <w:shd w:val="clear" w:color="auto" w:fill="FFFFFF"/>
        </w:rPr>
        <w:t>,</w:t>
      </w:r>
      <w:r w:rsidR="00E96FC4" w:rsidRPr="00E96FC4">
        <w:rPr>
          <w:shd w:val="clear" w:color="auto" w:fill="FFFFFF"/>
        </w:rPr>
        <w:t xml:space="preserve"> </w:t>
      </w:r>
      <w:r w:rsidR="00E96FC4">
        <w:rPr>
          <w:shd w:val="clear" w:color="auto" w:fill="FFFFFF"/>
        </w:rPr>
        <w:t>ст. 929</w:t>
      </w:r>
      <w:r w:rsidRPr="00A8480E">
        <w:rPr>
          <w:shd w:val="clear" w:color="auto" w:fill="FFFFFF"/>
        </w:rPr>
        <w:t xml:space="preserve"> от 26.01.1996 N 14-ФЗ (ред. от 05.12.2017) </w:t>
      </w:r>
      <w:r w:rsidRPr="007A5BCC">
        <w:t>[Электронный ресурс]. – Режим доступа:</w:t>
      </w:r>
      <w:r>
        <w:t xml:space="preserve"> </w:t>
      </w:r>
      <w:r w:rsidRPr="00D67DB8">
        <w:rPr>
          <w:shd w:val="clear" w:color="auto" w:fill="FFFFFF"/>
        </w:rPr>
        <w:t>http://www.consultant.ru/document/cons_doc_LAW_9027</w:t>
      </w:r>
      <w:r w:rsidRPr="00830A0A">
        <w:rPr>
          <w:shd w:val="clear" w:color="auto" w:fill="FFFFFF"/>
        </w:rPr>
        <w:t>/</w:t>
      </w:r>
      <w:r>
        <w:rPr>
          <w:shd w:val="clear" w:color="auto" w:fill="FFFFFF"/>
        </w:rPr>
        <w:t xml:space="preserve"> </w:t>
      </w:r>
      <w:r>
        <w:t>- Загл. с экрана – 1997 – 2018.</w:t>
      </w:r>
    </w:p>
    <w:p w14:paraId="6A5EC996" w14:textId="77777777" w:rsidR="00AB2B7E" w:rsidRDefault="00AB2B7E" w:rsidP="00AB2B7E">
      <w:pPr>
        <w:pStyle w:val="a6"/>
        <w:numPr>
          <w:ilvl w:val="0"/>
          <w:numId w:val="21"/>
        </w:numPr>
      </w:pPr>
      <w:r w:rsidRPr="00EA5958">
        <w:t>Дудкина Д. Российский рынок облигаций в 2014 году: тенденци</w:t>
      </w:r>
      <w:r>
        <w:t>и, риски и прогнозы. // Журнал «Рынок ценных бумаг»</w:t>
      </w:r>
      <w:r w:rsidRPr="00EA5958">
        <w:t xml:space="preserve"> </w:t>
      </w:r>
      <w:r w:rsidRPr="007A5BCC">
        <w:t>[Элект</w:t>
      </w:r>
      <w:r>
        <w:t>ронный ресурс]. – Режим доступа</w:t>
      </w:r>
      <w:r w:rsidRPr="00EA5958">
        <w:t>: http://www.rcb.ru/rcb/2014-01/252520/</w:t>
      </w:r>
    </w:p>
    <w:p w14:paraId="51687E58" w14:textId="77777777" w:rsidR="00AB2B7E" w:rsidRDefault="00AB2B7E" w:rsidP="00AB2B7E">
      <w:pPr>
        <w:pStyle w:val="a6"/>
        <w:numPr>
          <w:ilvl w:val="0"/>
          <w:numId w:val="21"/>
        </w:numPr>
      </w:pPr>
      <w:r>
        <w:t>Запевалова Е. С. Выбор показателя ликвидности для российского рынка корпоративных облигаций / Е. С. Запевалова // Управленческий учет и финансы. — 2016. — № 1. — С. 31.</w:t>
      </w:r>
    </w:p>
    <w:p w14:paraId="30C3E3AA" w14:textId="77777777" w:rsidR="00AB2B7E" w:rsidRDefault="00AB2B7E" w:rsidP="00AB2B7E">
      <w:pPr>
        <w:pStyle w:val="a6"/>
        <w:numPr>
          <w:ilvl w:val="0"/>
          <w:numId w:val="21"/>
        </w:numPr>
      </w:pPr>
      <w:r>
        <w:t xml:space="preserve">Как выпустить облигации: советы не только для богатых </w:t>
      </w:r>
      <w:r w:rsidRPr="00201526">
        <w:t>//</w:t>
      </w:r>
      <w:r>
        <w:t xml:space="preserve"> Практический журнал по управлению финансами компании. </w:t>
      </w:r>
      <w:r w:rsidRPr="007A5BCC">
        <w:t>[Электронный ресурс]. – Режим доступа:</w:t>
      </w:r>
      <w:r>
        <w:t xml:space="preserve"> </w:t>
      </w:r>
      <w:r w:rsidRPr="00201526">
        <w:lastRenderedPageBreak/>
        <w:t>https://fd.ru/articles/1315-kak-vypustit-obligatsii-sovety-ne-tolko-dlya-bogatyh</w:t>
      </w:r>
      <w:r>
        <w:t xml:space="preserve"> - Загл. с экрана – 2017.</w:t>
      </w:r>
    </w:p>
    <w:p w14:paraId="6601C799" w14:textId="77777777" w:rsidR="00AB2B7E" w:rsidRPr="00440DB1" w:rsidRDefault="00AB2B7E" w:rsidP="00AB2B7E">
      <w:pPr>
        <w:pStyle w:val="a6"/>
        <w:numPr>
          <w:ilvl w:val="0"/>
          <w:numId w:val="21"/>
        </w:numPr>
        <w:rPr>
          <w:lang w:val="en-US"/>
        </w:rPr>
      </w:pPr>
      <w:r w:rsidRPr="0018591E">
        <w:t>Карминскии</w:t>
      </w:r>
      <w:r w:rsidRPr="00610144">
        <w:t xml:space="preserve">̆ </w:t>
      </w:r>
      <w:r w:rsidRPr="0018591E">
        <w:t>А</w:t>
      </w:r>
      <w:r w:rsidRPr="00610144">
        <w:t>.</w:t>
      </w:r>
      <w:r w:rsidRPr="0018591E">
        <w:t>М</w:t>
      </w:r>
      <w:r w:rsidRPr="00610144">
        <w:t xml:space="preserve">., </w:t>
      </w:r>
      <w:r w:rsidRPr="0018591E">
        <w:t>Пересецкий А.А., Петров А.Е. Рейтинги в экономике: методология и практика: Монография / Под ред. А</w:t>
      </w:r>
      <w:r w:rsidRPr="006868AA">
        <w:rPr>
          <w:lang w:val="en-US"/>
        </w:rPr>
        <w:t>.</w:t>
      </w:r>
      <w:r w:rsidRPr="0018591E">
        <w:t>М</w:t>
      </w:r>
      <w:r w:rsidRPr="006868AA">
        <w:rPr>
          <w:lang w:val="en-US"/>
        </w:rPr>
        <w:t xml:space="preserve">. </w:t>
      </w:r>
      <w:r w:rsidRPr="0018591E">
        <w:t>Карминского</w:t>
      </w:r>
      <w:r w:rsidRPr="006868AA">
        <w:rPr>
          <w:lang w:val="en-US"/>
        </w:rPr>
        <w:t xml:space="preserve">. — </w:t>
      </w:r>
      <w:r w:rsidRPr="0018591E">
        <w:t>М</w:t>
      </w:r>
      <w:r w:rsidRPr="006868AA">
        <w:rPr>
          <w:lang w:val="en-US"/>
        </w:rPr>
        <w:t xml:space="preserve">.: </w:t>
      </w:r>
      <w:r w:rsidRPr="0018591E">
        <w:t>Финансы</w:t>
      </w:r>
      <w:r w:rsidRPr="006868AA">
        <w:rPr>
          <w:lang w:val="en-US"/>
        </w:rPr>
        <w:t xml:space="preserve"> </w:t>
      </w:r>
      <w:r w:rsidRPr="0018591E">
        <w:t>и</w:t>
      </w:r>
      <w:r w:rsidRPr="006868AA">
        <w:rPr>
          <w:lang w:val="en-US"/>
        </w:rPr>
        <w:t xml:space="preserve"> </w:t>
      </w:r>
      <w:r w:rsidRPr="0018591E">
        <w:t>статистика</w:t>
      </w:r>
      <w:r w:rsidRPr="006868AA">
        <w:rPr>
          <w:lang w:val="en-US"/>
        </w:rPr>
        <w:t xml:space="preserve">, 2005. </w:t>
      </w:r>
    </w:p>
    <w:p w14:paraId="6D53266D" w14:textId="77777777" w:rsidR="00AB2B7E" w:rsidRDefault="00AB2B7E" w:rsidP="00AB2B7E">
      <w:pPr>
        <w:pStyle w:val="a6"/>
        <w:numPr>
          <w:ilvl w:val="0"/>
          <w:numId w:val="21"/>
        </w:numPr>
      </w:pPr>
      <w:r>
        <w:t>Малышенко</w:t>
      </w:r>
      <w:r w:rsidRPr="004A3540">
        <w:t xml:space="preserve"> </w:t>
      </w:r>
      <w:r>
        <w:t>К. А., Малышенко</w:t>
      </w:r>
      <w:r w:rsidRPr="004A3540">
        <w:t xml:space="preserve"> </w:t>
      </w:r>
      <w:r>
        <w:t>В. А., Гребенник</w:t>
      </w:r>
      <w:r w:rsidRPr="004A3540">
        <w:t xml:space="preserve"> </w:t>
      </w:r>
      <w:r>
        <w:t>О. Ю., Головлева</w:t>
      </w:r>
      <w:r w:rsidRPr="004A3540">
        <w:t xml:space="preserve"> </w:t>
      </w:r>
      <w:r>
        <w:t>Е. В. Анализ современного состояния рынка акций России // Современные тенденции развития науки и технологий: по материалам 16-й Междунар. науч.-практ. конф., Белгород, 30 июля 2016 г. — Белгород: Агентство перспектив. науч. исслед., 2016. — Вып. 11-10. — С. 94.</w:t>
      </w:r>
    </w:p>
    <w:p w14:paraId="29F60861" w14:textId="77777777" w:rsidR="00AB2B7E" w:rsidRPr="00A8480E" w:rsidRDefault="00AB2B7E" w:rsidP="00AB2B7E">
      <w:pPr>
        <w:pStyle w:val="a6"/>
        <w:numPr>
          <w:ilvl w:val="0"/>
          <w:numId w:val="21"/>
        </w:numPr>
      </w:pPr>
      <w:r w:rsidRPr="00A8480E">
        <w:t>О рынке ценных бумаг</w:t>
      </w:r>
      <w:r>
        <w:t>:</w:t>
      </w:r>
      <w:r w:rsidRPr="00A8480E">
        <w:t xml:space="preserve"> </w:t>
      </w:r>
      <w:r>
        <w:t>ф</w:t>
      </w:r>
      <w:r w:rsidRPr="00A8480E">
        <w:t>едеральный закон от 22.04.199</w:t>
      </w:r>
      <w:r>
        <w:t>6 N 39-ФЗ (ред. от 31.12.2017) ст.</w:t>
      </w:r>
      <w:r w:rsidRPr="00A8480E">
        <w:t xml:space="preserve"> 2. </w:t>
      </w:r>
      <w:r w:rsidRPr="00830A0A">
        <w:t>[Электронный ресурс]. – Режим доступа:</w:t>
      </w:r>
      <w:r>
        <w:t xml:space="preserve"> </w:t>
      </w:r>
      <w:r w:rsidRPr="00830A0A">
        <w:t>http://www.consultant.ru/document/cons_doc_LAW_10148/</w:t>
      </w:r>
      <w:r>
        <w:t>- Загл. с экрана – 1997 – 2018.</w:t>
      </w:r>
    </w:p>
    <w:p w14:paraId="0ECF7DB9" w14:textId="48FB05D9" w:rsidR="00AB2B7E" w:rsidRDefault="00AB2B7E" w:rsidP="00AB2B7E">
      <w:pPr>
        <w:pStyle w:val="a6"/>
        <w:numPr>
          <w:ilvl w:val="0"/>
          <w:numId w:val="21"/>
        </w:numPr>
      </w:pPr>
      <w:r w:rsidRPr="00A8480E">
        <w:t>Об акционерных обществах</w:t>
      </w:r>
      <w:r>
        <w:t>:</w:t>
      </w:r>
      <w:r w:rsidRPr="00A8480E">
        <w:t xml:space="preserve"> </w:t>
      </w:r>
      <w:r>
        <w:t>ф</w:t>
      </w:r>
      <w:r w:rsidRPr="00A8480E">
        <w:t>едеральный закон от 26.12.1995</w:t>
      </w:r>
      <w:r>
        <w:t xml:space="preserve"> N 208-ФЗ (ред. от 29.07.2017) </w:t>
      </w:r>
      <w:r>
        <w:rPr>
          <w:shd w:val="clear" w:color="auto" w:fill="FFFFFF"/>
        </w:rPr>
        <w:t>ст.</w:t>
      </w:r>
      <w:r w:rsidRPr="00A8480E">
        <w:rPr>
          <w:shd w:val="clear" w:color="auto" w:fill="FFFFFF"/>
        </w:rPr>
        <w:t xml:space="preserve"> 33</w:t>
      </w:r>
      <w:r w:rsidR="00E96FC4">
        <w:rPr>
          <w:shd w:val="clear" w:color="auto" w:fill="FFFFFF"/>
        </w:rPr>
        <w:t>, ст. 35</w:t>
      </w:r>
      <w:r w:rsidRPr="00A8480E">
        <w:rPr>
          <w:shd w:val="clear" w:color="auto" w:fill="FFFFFF"/>
        </w:rPr>
        <w:t xml:space="preserve">. </w:t>
      </w:r>
      <w:r w:rsidRPr="00830A0A">
        <w:t>[Электронный ресурс]. – Режим доступа:</w:t>
      </w:r>
      <w:r>
        <w:t xml:space="preserve"> </w:t>
      </w:r>
      <w:r w:rsidRPr="00830A0A">
        <w:rPr>
          <w:shd w:val="clear" w:color="auto" w:fill="FFFFFF"/>
        </w:rPr>
        <w:t>http://www.consultant.ru/document/cons_doc_LAW_8743/</w:t>
      </w:r>
      <w:r>
        <w:rPr>
          <w:shd w:val="clear" w:color="auto" w:fill="FFFFFF"/>
        </w:rPr>
        <w:t xml:space="preserve"> </w:t>
      </w:r>
      <w:r>
        <w:t>- Загл. с экрана – 1997 – 2018.</w:t>
      </w:r>
    </w:p>
    <w:p w14:paraId="0C276B37" w14:textId="77777777" w:rsidR="00AB2B7E" w:rsidRDefault="00AB2B7E" w:rsidP="00AB2B7E">
      <w:pPr>
        <w:pStyle w:val="a6"/>
        <w:numPr>
          <w:ilvl w:val="0"/>
          <w:numId w:val="21"/>
        </w:numPr>
      </w:pPr>
      <w:r w:rsidRPr="005274FD">
        <w:rPr>
          <w:bCs/>
        </w:rPr>
        <w:t>Об обществах с ограниченной ответственностью</w:t>
      </w:r>
      <w:r>
        <w:rPr>
          <w:bCs/>
        </w:rPr>
        <w:t>:</w:t>
      </w:r>
      <w:r w:rsidRPr="005274FD">
        <w:rPr>
          <w:bCs/>
        </w:rPr>
        <w:t xml:space="preserve"> </w:t>
      </w:r>
      <w:r>
        <w:rPr>
          <w:bCs/>
        </w:rPr>
        <w:t>ф</w:t>
      </w:r>
      <w:r w:rsidRPr="005274FD">
        <w:rPr>
          <w:bCs/>
        </w:rPr>
        <w:t>едеральный закон от 08.02.199</w:t>
      </w:r>
      <w:r>
        <w:rPr>
          <w:bCs/>
        </w:rPr>
        <w:t>8 N 14-ФЗ (ред. от 31.12.2017)</w:t>
      </w:r>
      <w:r w:rsidRPr="005274FD">
        <w:rPr>
          <w:bCs/>
        </w:rPr>
        <w:t xml:space="preserve"> (с изм. и доп., вступ. в силу с 01.02.2018)</w:t>
      </w:r>
      <w:r>
        <w:rPr>
          <w:rStyle w:val="hl"/>
          <w:color w:val="000000" w:themeColor="text1"/>
        </w:rPr>
        <w:t xml:space="preserve"> ст.</w:t>
      </w:r>
      <w:r w:rsidRPr="006C229B">
        <w:rPr>
          <w:rStyle w:val="hl"/>
          <w:color w:val="000000" w:themeColor="text1"/>
        </w:rPr>
        <w:t xml:space="preserve"> 30. </w:t>
      </w:r>
      <w:r w:rsidRPr="00830A0A">
        <w:t>[Электронный ресурс]. – Режим доступа:</w:t>
      </w:r>
      <w:r>
        <w:t xml:space="preserve"> </w:t>
      </w:r>
      <w:r w:rsidRPr="005274FD">
        <w:t>http://www.consultant.ru/document/cons_doc_LAW_17819/</w:t>
      </w:r>
      <w:r>
        <w:t xml:space="preserve"> - Загл. с экрана – 1997 – 2018.</w:t>
      </w:r>
    </w:p>
    <w:p w14:paraId="28A49A84" w14:textId="690A6A6D" w:rsidR="00BA69F4" w:rsidRDefault="00BA69F4" w:rsidP="00BA69F4">
      <w:pPr>
        <w:pStyle w:val="a6"/>
        <w:numPr>
          <w:ilvl w:val="0"/>
          <w:numId w:val="21"/>
        </w:numPr>
      </w:pPr>
      <w:r w:rsidRPr="006C229B">
        <w:t>Российская экономика в 2016 году: тенденции и перспективы / под ред. С. Г. Синельников</w:t>
      </w:r>
      <w:r>
        <w:t>а-Мурылева, А. Д. Радыгина. — М.</w:t>
      </w:r>
      <w:r w:rsidRPr="006C229B">
        <w:t xml:space="preserve">: Изд-во Ин-та Гайдара, 2017. — </w:t>
      </w:r>
      <w:r>
        <w:t xml:space="preserve">с. </w:t>
      </w:r>
      <w:r w:rsidRPr="006C229B">
        <w:t>10</w:t>
      </w:r>
      <w:r>
        <w:t>8-109</w:t>
      </w:r>
      <w:r w:rsidR="00D45420">
        <w:t>.</w:t>
      </w:r>
    </w:p>
    <w:p w14:paraId="5AACB15A" w14:textId="03660D0C" w:rsidR="00DE11EF" w:rsidRDefault="00DE11EF" w:rsidP="000072C9">
      <w:pPr>
        <w:pStyle w:val="a6"/>
        <w:numPr>
          <w:ilvl w:val="0"/>
          <w:numId w:val="21"/>
        </w:numPr>
      </w:pPr>
      <w:r w:rsidRPr="00DE11EF">
        <w:t>Синки Дж. Финансовый менеджмент в коммерческом банке и в индустрии финансовых услуг</w:t>
      </w:r>
      <w:r>
        <w:t xml:space="preserve"> </w:t>
      </w:r>
      <w:r w:rsidRPr="00DE11EF">
        <w:t>/</w:t>
      </w:r>
      <w:r>
        <w:t xml:space="preserve"> </w:t>
      </w:r>
      <w:r w:rsidRPr="00DE11EF">
        <w:t xml:space="preserve">Джозеф Синки – мл. Пер. с англ. М.: Альпина </w:t>
      </w:r>
      <w:r>
        <w:t>Паблишер</w:t>
      </w:r>
      <w:r w:rsidRPr="00DE11EF">
        <w:t>, 20</w:t>
      </w:r>
      <w:r>
        <w:t xml:space="preserve">17 – </w:t>
      </w:r>
      <w:r w:rsidR="000072C9">
        <w:t xml:space="preserve">с. </w:t>
      </w:r>
      <w:r>
        <w:t>472</w:t>
      </w:r>
      <w:r w:rsidRPr="00DE11EF">
        <w:t>.</w:t>
      </w:r>
      <w:r>
        <w:t xml:space="preserve"> </w:t>
      </w:r>
    </w:p>
    <w:p w14:paraId="51ACEA74" w14:textId="35C33071" w:rsidR="00B61FF8" w:rsidRPr="00A8480E" w:rsidRDefault="00B61FF8" w:rsidP="00B61FF8">
      <w:pPr>
        <w:pStyle w:val="a6"/>
        <w:numPr>
          <w:ilvl w:val="0"/>
          <w:numId w:val="21"/>
        </w:numPr>
      </w:pPr>
      <w:r w:rsidRPr="00A0544F">
        <w:t>Тотьмянина</w:t>
      </w:r>
      <w:r>
        <w:t xml:space="preserve"> К. М.</w:t>
      </w:r>
      <w:r w:rsidRPr="00A0544F">
        <w:t xml:space="preserve"> </w:t>
      </w:r>
      <w:r>
        <w:t xml:space="preserve">Обзор моделей </w:t>
      </w:r>
      <w:r w:rsidRPr="00A0544F">
        <w:t>вероятности дефолта</w:t>
      </w:r>
      <w:r>
        <w:t>, Управление финансовыми рисками // Журнал Высшей школы экономики, 2011 – с. 12-24.</w:t>
      </w:r>
    </w:p>
    <w:p w14:paraId="5F48D566" w14:textId="75E5920E" w:rsidR="00AB2B7E" w:rsidRPr="00727D65" w:rsidRDefault="00AB2B7E" w:rsidP="00AB2B7E">
      <w:pPr>
        <w:pStyle w:val="a6"/>
        <w:numPr>
          <w:ilvl w:val="0"/>
          <w:numId w:val="21"/>
        </w:numPr>
      </w:pPr>
      <w:r>
        <w:t>Хасанов</w:t>
      </w:r>
      <w:r w:rsidRPr="00C5577F">
        <w:t xml:space="preserve"> </w:t>
      </w:r>
      <w:r>
        <w:t>Р., Каштанов</w:t>
      </w:r>
      <w:r w:rsidRPr="00C5577F">
        <w:t xml:space="preserve"> </w:t>
      </w:r>
      <w:r>
        <w:t>Н., Маргарян</w:t>
      </w:r>
      <w:r w:rsidRPr="00C5577F">
        <w:t xml:space="preserve"> Л.</w:t>
      </w:r>
      <w:r>
        <w:t xml:space="preserve">, 2013, </w:t>
      </w:r>
      <w:r w:rsidRPr="00727D65">
        <w:t>Модель Оценки Вероятности Банкротства Э. Альтмана: Приме</w:t>
      </w:r>
      <w:r>
        <w:t>нимость в Российской Федерации и использование при рейтинговой оценке к</w:t>
      </w:r>
      <w:r w:rsidRPr="00727D65">
        <w:t>редитоспособности</w:t>
      </w:r>
      <w:r>
        <w:t xml:space="preserve"> // Вестник Финансового Университета </w:t>
      </w:r>
      <w:r w:rsidRPr="00C5577F">
        <w:rPr>
          <w:rFonts w:eastAsiaTheme="minorHAnsi"/>
          <w:lang w:eastAsia="en-US"/>
        </w:rPr>
        <w:t>[</w:t>
      </w:r>
      <w:r>
        <w:rPr>
          <w:rFonts w:eastAsiaTheme="minorHAnsi"/>
          <w:lang w:eastAsia="en-US"/>
        </w:rPr>
        <w:t>Электронный ресурс</w:t>
      </w:r>
      <w:r w:rsidRPr="00C5577F">
        <w:rPr>
          <w:rFonts w:eastAsiaTheme="minorHAnsi"/>
          <w:lang w:eastAsia="en-US"/>
        </w:rPr>
        <w:t>]</w:t>
      </w:r>
      <w:r>
        <w:rPr>
          <w:rFonts w:eastAsiaTheme="minorHAnsi"/>
          <w:lang w:eastAsia="en-US"/>
        </w:rPr>
        <w:t xml:space="preserve"> – Режим доступа:</w:t>
      </w:r>
      <w:r>
        <w:t xml:space="preserve"> </w:t>
      </w:r>
      <w:r w:rsidRPr="001D4F15">
        <w:t>https://cyberleninka.ru/article/v/model-otsenki-veroyatnosti-bankrotstva-e-altmana-primenimost-v-rossiyskoy-federatsii-i-ispolzovanie-pri-reytingovoy-otsenke</w:t>
      </w:r>
      <w:r w:rsidR="00346C8C">
        <w:t>.</w:t>
      </w:r>
    </w:p>
    <w:p w14:paraId="082FA1A5" w14:textId="77777777" w:rsidR="00AB2B7E" w:rsidRDefault="00AB2B7E" w:rsidP="00AB2B7E">
      <w:pPr>
        <w:pStyle w:val="a6"/>
        <w:numPr>
          <w:ilvl w:val="0"/>
          <w:numId w:val="21"/>
        </w:numPr>
      </w:pPr>
      <w:r>
        <w:lastRenderedPageBreak/>
        <w:t xml:space="preserve">Центральный банк Российской Федерации. Облигации как способ привлечения финансирования. </w:t>
      </w:r>
      <w:r w:rsidRPr="007A5BCC">
        <w:t>[Электронный ресурс]. – Режим доступа:</w:t>
      </w:r>
      <w:r>
        <w:t xml:space="preserve"> </w:t>
      </w:r>
      <w:r w:rsidRPr="00221DD9">
        <w:t>https://www.cbr.ru/StaticHtml/File/14531/DRFR.pdf</w:t>
      </w:r>
      <w:r>
        <w:t xml:space="preserve"> - Загл. с экрана – 2017.</w:t>
      </w:r>
    </w:p>
    <w:p w14:paraId="2658E686" w14:textId="77777777" w:rsidR="00AB2B7E" w:rsidRDefault="00AB2B7E" w:rsidP="00AB2B7E">
      <w:pPr>
        <w:pStyle w:val="a6"/>
        <w:numPr>
          <w:ilvl w:val="0"/>
          <w:numId w:val="21"/>
        </w:numPr>
      </w:pPr>
      <w:r>
        <w:t xml:space="preserve">Центральный банк Российской Федерации. Статистика. [Электронный ресурс] </w:t>
      </w:r>
      <w:r w:rsidRPr="007A5BCC">
        <w:t>– Режим доступа:</w:t>
      </w:r>
      <w:r>
        <w:t xml:space="preserve"> </w:t>
      </w:r>
      <w:r w:rsidRPr="00703F37">
        <w:rPr>
          <w:lang w:val="en-US"/>
        </w:rPr>
        <w:t>http</w:t>
      </w:r>
      <w:r w:rsidRPr="00703F37">
        <w:t>://</w:t>
      </w:r>
      <w:r w:rsidRPr="00703F37">
        <w:rPr>
          <w:lang w:val="en-US"/>
        </w:rPr>
        <w:t>cbr</w:t>
      </w:r>
      <w:r w:rsidRPr="00703F37">
        <w:t>.</w:t>
      </w:r>
      <w:r w:rsidRPr="00703F37">
        <w:rPr>
          <w:lang w:val="en-US"/>
        </w:rPr>
        <w:t>ru</w:t>
      </w:r>
      <w:r w:rsidRPr="00703F37">
        <w:t>/</w:t>
      </w:r>
      <w:r w:rsidRPr="00703F37">
        <w:rPr>
          <w:lang w:val="en-US"/>
        </w:rPr>
        <w:t>statistics</w:t>
      </w:r>
      <w:r w:rsidRPr="00703F37">
        <w:t>/?</w:t>
      </w:r>
      <w:r w:rsidRPr="00703F37">
        <w:rPr>
          <w:lang w:val="en-US"/>
        </w:rPr>
        <w:t>Prtld</w:t>
      </w:r>
      <w:r w:rsidRPr="00703F37">
        <w:t>=</w:t>
      </w:r>
      <w:r w:rsidRPr="00703F37">
        <w:rPr>
          <w:lang w:val="en-US"/>
        </w:rPr>
        <w:t>sors</w:t>
      </w:r>
      <w:r>
        <w:t xml:space="preserve"> - Загл. с экрана – 2017.</w:t>
      </w:r>
    </w:p>
    <w:p w14:paraId="3B906345" w14:textId="77777777" w:rsidR="00AB2B7E" w:rsidRDefault="00AB2B7E" w:rsidP="00AB2B7E">
      <w:pPr>
        <w:pStyle w:val="a6"/>
        <w:numPr>
          <w:ilvl w:val="0"/>
          <w:numId w:val="21"/>
        </w:numPr>
      </w:pPr>
      <w:r>
        <w:t xml:space="preserve">Чайковская Е. Красный апельсин, или Успеть за 24 часа / Е. Чайковская // Cbonds Review. — 2015. — № 4. — С. 52-55 [Электронный ресурс]. — Режим доступа: </w:t>
      </w:r>
      <w:r w:rsidRPr="00BD72D5">
        <w:t>http://review.cbonds.info/article/magazines/4273</w:t>
      </w:r>
      <w:r>
        <w:t>- Загл. с экрана - 2012.</w:t>
      </w:r>
    </w:p>
    <w:p w14:paraId="2D3D1793" w14:textId="77777777" w:rsidR="00AB2B7E" w:rsidRPr="00DC365A" w:rsidRDefault="00AB2B7E" w:rsidP="00AB2B7E">
      <w:pPr>
        <w:pStyle w:val="a6"/>
        <w:numPr>
          <w:ilvl w:val="0"/>
          <w:numId w:val="21"/>
        </w:numPr>
      </w:pPr>
      <w:r w:rsidRPr="006C229B">
        <w:t>Чему учит история банкротства Enron?</w:t>
      </w:r>
      <w:r>
        <w:t xml:space="preserve"> // </w:t>
      </w:r>
      <w:r>
        <w:rPr>
          <w:lang w:val="en-US"/>
        </w:rPr>
        <w:t>slon</w:t>
      </w:r>
      <w:r>
        <w:t>, Календарь делового человека</w:t>
      </w:r>
      <w:r w:rsidRPr="006C229B">
        <w:t xml:space="preserve"> </w:t>
      </w:r>
      <w:r w:rsidRPr="00DC365A">
        <w:rPr>
          <w:rStyle w:val="nlmsubtitle"/>
        </w:rPr>
        <w:t>[</w:t>
      </w:r>
      <w:r>
        <w:rPr>
          <w:rStyle w:val="nlmsubtitle"/>
        </w:rPr>
        <w:t>Электронный</w:t>
      </w:r>
      <w:r w:rsidRPr="00DC365A">
        <w:rPr>
          <w:rStyle w:val="nlmsubtitle"/>
        </w:rPr>
        <w:t xml:space="preserve"> </w:t>
      </w:r>
      <w:r>
        <w:rPr>
          <w:rStyle w:val="nlmsubtitle"/>
        </w:rPr>
        <w:t>ресурс</w:t>
      </w:r>
      <w:r w:rsidRPr="00DC365A">
        <w:rPr>
          <w:rStyle w:val="nlmsubtitle"/>
        </w:rPr>
        <w:t xml:space="preserve">] – Режим доступа: </w:t>
      </w:r>
      <w:r w:rsidRPr="00DC365A">
        <w:t>https://republic.ru/calendar/event/875884/</w:t>
      </w:r>
      <w:r>
        <w:t xml:space="preserve"> </w:t>
      </w:r>
      <w:r w:rsidRPr="00DC365A">
        <w:t xml:space="preserve">- </w:t>
      </w:r>
      <w:r w:rsidRPr="00F653AB">
        <w:t>Загл</w:t>
      </w:r>
      <w:r w:rsidRPr="00DC365A">
        <w:t xml:space="preserve">. </w:t>
      </w:r>
      <w:r w:rsidRPr="00F653AB">
        <w:t>с</w:t>
      </w:r>
      <w:r w:rsidRPr="00DC365A">
        <w:t xml:space="preserve"> </w:t>
      </w:r>
      <w:r w:rsidRPr="00F653AB">
        <w:t>экрана</w:t>
      </w:r>
      <w:r w:rsidRPr="00DC365A">
        <w:t xml:space="preserve"> – </w:t>
      </w:r>
      <w:r>
        <w:t xml:space="preserve">2009 – </w:t>
      </w:r>
      <w:r w:rsidRPr="00DC365A">
        <w:t>2018.</w:t>
      </w:r>
    </w:p>
    <w:p w14:paraId="1BBE1D26" w14:textId="03212265" w:rsidR="00AB2B7E" w:rsidRPr="00DF3224" w:rsidRDefault="00AB2B7E" w:rsidP="00AB2B7E">
      <w:pPr>
        <w:pStyle w:val="a6"/>
        <w:numPr>
          <w:ilvl w:val="0"/>
          <w:numId w:val="21"/>
        </w:numPr>
      </w:pPr>
      <w:r w:rsidRPr="00DF3224">
        <w:t>Швецов С. А. Российский финансовый рынок: вызовы, проблемы и перспективы [Электронный ресурс]: докл. на 17-й Междунар. науч. конф. по проблемам развития экономики и общества / С. А. Швецов, Н. И. Берзон. — Режим доступа: htt</w:t>
      </w:r>
      <w:r>
        <w:t>ps://www.hse.ru/science/reports</w:t>
      </w:r>
      <w:r w:rsidR="00346C8C">
        <w:t>.</w:t>
      </w:r>
    </w:p>
    <w:p w14:paraId="6770FDDD" w14:textId="77777777" w:rsidR="00AB2B7E" w:rsidRPr="006C229B" w:rsidRDefault="00AB2B7E" w:rsidP="00AB2B7E">
      <w:pPr>
        <w:pStyle w:val="a6"/>
        <w:numPr>
          <w:ilvl w:val="0"/>
          <w:numId w:val="21"/>
        </w:numPr>
      </w:pPr>
      <w:r w:rsidRPr="006C229B">
        <w:t>Эмиссия облигаций: важные моменты</w:t>
      </w:r>
      <w:r>
        <w:t xml:space="preserve"> </w:t>
      </w:r>
      <w:r w:rsidRPr="00997711">
        <w:t>//</w:t>
      </w:r>
      <w:r>
        <w:t xml:space="preserve"> Аврора Консалтинг.</w:t>
      </w:r>
      <w:r w:rsidRPr="006C229B">
        <w:t xml:space="preserve"> </w:t>
      </w:r>
      <w:r w:rsidRPr="007A5BCC">
        <w:t>[Электронный ресурс]. – Режим доступа:</w:t>
      </w:r>
      <w:r>
        <w:t xml:space="preserve"> </w:t>
      </w:r>
      <w:r w:rsidRPr="00997711">
        <w:t>http://www.aurora-consult.ru/services/issuer/info/bonds-issue.html</w:t>
      </w:r>
      <w:r>
        <w:t xml:space="preserve"> - Загл. с экрана – 2005 – 2014.</w:t>
      </w:r>
    </w:p>
    <w:p w14:paraId="74C7F6ED" w14:textId="77777777" w:rsidR="00AB2B7E" w:rsidRPr="00314AF8" w:rsidRDefault="00AB2B7E" w:rsidP="00AB2B7E">
      <w:pPr>
        <w:pStyle w:val="a6"/>
        <w:numPr>
          <w:ilvl w:val="0"/>
          <w:numId w:val="21"/>
        </w:numPr>
        <w:rPr>
          <w:lang w:val="en-US"/>
        </w:rPr>
      </w:pPr>
      <w:r w:rsidRPr="00314AF8">
        <w:rPr>
          <w:lang w:val="en-US"/>
        </w:rPr>
        <w:t xml:space="preserve">Altman E.I., 1968. Financial ratios. Discriminant analysis, and the prediction of corporate bankruptcy. Journal of Finance, September No. 4. </w:t>
      </w:r>
      <w:r>
        <w:rPr>
          <w:lang w:val="en-US"/>
        </w:rPr>
        <w:t>p</w:t>
      </w:r>
      <w:r w:rsidRPr="00314AF8">
        <w:rPr>
          <w:lang w:val="en-US"/>
        </w:rPr>
        <w:t>p</w:t>
      </w:r>
      <w:r>
        <w:rPr>
          <w:lang w:val="en-US"/>
        </w:rPr>
        <w:t>.</w:t>
      </w:r>
      <w:r w:rsidRPr="00314AF8">
        <w:rPr>
          <w:lang w:val="en-US"/>
        </w:rPr>
        <w:t xml:space="preserve"> </w:t>
      </w:r>
      <w:r>
        <w:rPr>
          <w:lang w:val="en-US"/>
        </w:rPr>
        <w:t>589–609.</w:t>
      </w:r>
    </w:p>
    <w:p w14:paraId="3658D4AA" w14:textId="2931212F" w:rsidR="00AB2B7E" w:rsidRPr="00986C74" w:rsidRDefault="00AB2B7E" w:rsidP="00AB2B7E">
      <w:pPr>
        <w:pStyle w:val="a6"/>
        <w:numPr>
          <w:ilvl w:val="0"/>
          <w:numId w:val="21"/>
        </w:numPr>
        <w:rPr>
          <w:lang w:val="en-US"/>
        </w:rPr>
      </w:pPr>
      <w:r w:rsidRPr="00986C74">
        <w:rPr>
          <w:lang w:val="en-US"/>
        </w:rPr>
        <w:t>Altman E.I.</w:t>
      </w:r>
      <w:r>
        <w:rPr>
          <w:lang w:val="en-US"/>
        </w:rPr>
        <w:t xml:space="preserve">, Marco G., Varetto F., 1994. </w:t>
      </w:r>
      <w:r w:rsidRPr="00986C74">
        <w:rPr>
          <w:lang w:val="en-US"/>
        </w:rPr>
        <w:t xml:space="preserve">Corporate distress </w:t>
      </w:r>
      <w:r w:rsidRPr="004575E2">
        <w:rPr>
          <w:lang w:val="en-US"/>
        </w:rPr>
        <w:t>diagnosis: comparisons using linear discriminant analysis and neural networks (the Italian experience). Journal of Banking and Finance, Vol. 18, No. 3</w:t>
      </w:r>
      <w:r w:rsidR="00346C8C">
        <w:rPr>
          <w:lang w:val="en-US"/>
        </w:rPr>
        <w:t>.</w:t>
      </w:r>
    </w:p>
    <w:p w14:paraId="08E34D43" w14:textId="77777777" w:rsidR="00AB2B7E" w:rsidRPr="00BA099F" w:rsidRDefault="00AB2B7E" w:rsidP="00AB2B7E">
      <w:pPr>
        <w:pStyle w:val="a6"/>
        <w:numPr>
          <w:ilvl w:val="0"/>
          <w:numId w:val="21"/>
        </w:numPr>
        <w:rPr>
          <w:lang w:val="en-US"/>
        </w:rPr>
      </w:pPr>
      <w:r w:rsidRPr="008120C4">
        <w:rPr>
          <w:lang w:val="en-US"/>
        </w:rPr>
        <w:t xml:space="preserve">Bank for International Settlements, Credit Risk Modeling: Current Practices and Applications. — www.bis.org/publ/bcbs49.htm. </w:t>
      </w:r>
    </w:p>
    <w:p w14:paraId="1317AC1B" w14:textId="77777777" w:rsidR="00AB2B7E" w:rsidRPr="004575E2" w:rsidRDefault="00AB2B7E" w:rsidP="00AB2B7E">
      <w:pPr>
        <w:pStyle w:val="a6"/>
        <w:numPr>
          <w:ilvl w:val="0"/>
          <w:numId w:val="21"/>
        </w:numPr>
        <w:rPr>
          <w:lang w:val="en-US"/>
        </w:rPr>
      </w:pPr>
      <w:r>
        <w:rPr>
          <w:lang w:val="en-US"/>
        </w:rPr>
        <w:t>Bigus J.P., 1996</w:t>
      </w:r>
      <w:r w:rsidRPr="008120C4">
        <w:rPr>
          <w:lang w:val="en-US"/>
        </w:rPr>
        <w:t xml:space="preserve">. Data mining With Neural Networks: Solving Business Problems from Application Development to Decision Support. </w:t>
      </w:r>
      <w:r w:rsidRPr="004575E2">
        <w:rPr>
          <w:lang w:val="en-US"/>
        </w:rPr>
        <w:t xml:space="preserve">McGraw-Hill, Inc., Hightstown, NJ. </w:t>
      </w:r>
    </w:p>
    <w:p w14:paraId="0E323418" w14:textId="77777777" w:rsidR="00AB2B7E" w:rsidRDefault="00AB2B7E" w:rsidP="00AB2B7E">
      <w:pPr>
        <w:pStyle w:val="a6"/>
        <w:numPr>
          <w:ilvl w:val="0"/>
          <w:numId w:val="21"/>
        </w:numPr>
        <w:rPr>
          <w:lang w:val="en-US"/>
        </w:rPr>
      </w:pPr>
      <w:r>
        <w:rPr>
          <w:lang w:val="en-US"/>
        </w:rPr>
        <w:t xml:space="preserve">Black F., Scholes M., 1973. </w:t>
      </w:r>
      <w:r w:rsidRPr="004A299C">
        <w:rPr>
          <w:lang w:val="en-US"/>
        </w:rPr>
        <w:t>The pricing of op</w:t>
      </w:r>
      <w:r>
        <w:rPr>
          <w:lang w:val="en-US"/>
        </w:rPr>
        <w:t>tions and corporate liabilities.</w:t>
      </w:r>
      <w:r w:rsidRPr="004A299C">
        <w:rPr>
          <w:lang w:val="en-US"/>
        </w:rPr>
        <w:t xml:space="preserve"> The Journal of Political Economy, Vol. 81, No. 3 (May — Jun.), pp. 637–654. </w:t>
      </w:r>
    </w:p>
    <w:p w14:paraId="386458E3" w14:textId="5CD2CD29" w:rsidR="00E200BC" w:rsidRDefault="00E200BC" w:rsidP="00AB2B7E">
      <w:pPr>
        <w:pStyle w:val="a6"/>
        <w:numPr>
          <w:ilvl w:val="0"/>
          <w:numId w:val="21"/>
        </w:numPr>
        <w:rPr>
          <w:lang w:val="en-US"/>
        </w:rPr>
      </w:pPr>
      <w:r>
        <w:rPr>
          <w:lang w:val="en-US"/>
        </w:rPr>
        <w:t>Brand L.</w:t>
      </w:r>
      <w:r w:rsidRPr="00E200BC">
        <w:rPr>
          <w:lang w:val="en-US"/>
        </w:rPr>
        <w:t xml:space="preserve"> </w:t>
      </w:r>
      <w:r>
        <w:rPr>
          <w:lang w:val="en-US"/>
        </w:rPr>
        <w:t>and</w:t>
      </w:r>
      <w:r w:rsidRPr="00E200BC">
        <w:rPr>
          <w:lang w:val="en-US"/>
        </w:rPr>
        <w:t xml:space="preserve"> </w:t>
      </w:r>
      <w:r>
        <w:rPr>
          <w:lang w:val="en-US"/>
        </w:rPr>
        <w:t>Reza B.</w:t>
      </w:r>
      <w:r w:rsidRPr="00E200BC">
        <w:rPr>
          <w:lang w:val="en-US"/>
        </w:rPr>
        <w:t>, 1999</w:t>
      </w:r>
      <w:r>
        <w:rPr>
          <w:lang w:val="en-US"/>
        </w:rPr>
        <w:t>. Rating Performance 1998. Standard &amp; Poor’s Corporation</w:t>
      </w:r>
      <w:r w:rsidR="00346C8C">
        <w:rPr>
          <w:lang w:val="en-US"/>
        </w:rPr>
        <w:t>.</w:t>
      </w:r>
    </w:p>
    <w:p w14:paraId="32DB6504" w14:textId="1D1872BB" w:rsidR="00390782" w:rsidRPr="00390782" w:rsidRDefault="00390782" w:rsidP="00390782">
      <w:pPr>
        <w:pStyle w:val="a6"/>
        <w:numPr>
          <w:ilvl w:val="0"/>
          <w:numId w:val="21"/>
        </w:numPr>
        <w:rPr>
          <w:rFonts w:eastAsiaTheme="minorHAnsi"/>
        </w:rPr>
      </w:pPr>
      <w:r w:rsidRPr="00390782">
        <w:rPr>
          <w:rFonts w:eastAsiaTheme="minorHAnsi"/>
          <w:lang w:val="en-US"/>
        </w:rPr>
        <w:t>Carleton, Willard T., Eugene Lerner</w:t>
      </w:r>
      <w:r>
        <w:rPr>
          <w:rFonts w:eastAsiaTheme="minorHAnsi"/>
          <w:lang w:val="en-US"/>
        </w:rPr>
        <w:t>, 1969</w:t>
      </w:r>
      <w:r w:rsidRPr="00390782">
        <w:rPr>
          <w:rFonts w:eastAsiaTheme="minorHAnsi"/>
          <w:lang w:val="en-US"/>
        </w:rPr>
        <w:t xml:space="preserve">. "Statistical Credit Scoring of Municipal Bonds." </w:t>
      </w:r>
      <w:r w:rsidRPr="00390782">
        <w:rPr>
          <w:rFonts w:eastAsiaTheme="minorHAnsi"/>
        </w:rPr>
        <w:t xml:space="preserve">Journal of Money, Credit, and Banking 1 (November 1969), </w:t>
      </w:r>
      <w:r>
        <w:rPr>
          <w:rFonts w:eastAsiaTheme="minorHAnsi"/>
        </w:rPr>
        <w:t xml:space="preserve">pp. </w:t>
      </w:r>
      <w:r w:rsidRPr="00390782">
        <w:rPr>
          <w:rFonts w:eastAsiaTheme="minorHAnsi"/>
        </w:rPr>
        <w:t>750-</w:t>
      </w:r>
      <w:r>
        <w:rPr>
          <w:rFonts w:eastAsiaTheme="minorHAnsi"/>
        </w:rPr>
        <w:t>7</w:t>
      </w:r>
      <w:r w:rsidRPr="00390782">
        <w:rPr>
          <w:rFonts w:eastAsiaTheme="minorHAnsi"/>
        </w:rPr>
        <w:t xml:space="preserve">64. </w:t>
      </w:r>
    </w:p>
    <w:p w14:paraId="37053D9C" w14:textId="1E157A82" w:rsidR="00AB2B7E" w:rsidRPr="00776DCC" w:rsidRDefault="00AB2B7E" w:rsidP="00AB2B7E">
      <w:pPr>
        <w:pStyle w:val="a6"/>
        <w:numPr>
          <w:ilvl w:val="0"/>
          <w:numId w:val="21"/>
        </w:numPr>
        <w:rPr>
          <w:lang w:val="en-US"/>
        </w:rPr>
      </w:pPr>
      <w:r>
        <w:rPr>
          <w:lang w:val="en-US"/>
        </w:rPr>
        <w:t xml:space="preserve">Chan-Lau J.A., 2006. </w:t>
      </w:r>
      <w:r w:rsidRPr="00776DCC">
        <w:rPr>
          <w:lang w:val="en-US"/>
        </w:rPr>
        <w:t xml:space="preserve">Fundamentals-based estimation of </w:t>
      </w:r>
      <w:r>
        <w:rPr>
          <w:lang w:val="en-US"/>
        </w:rPr>
        <w:t>default probabilities: a survey</w:t>
      </w:r>
      <w:r w:rsidRPr="00776DCC">
        <w:rPr>
          <w:lang w:val="en-US"/>
        </w:rPr>
        <w:t xml:space="preserve"> </w:t>
      </w:r>
      <w:r>
        <w:rPr>
          <w:lang w:val="en-US"/>
        </w:rPr>
        <w:t xml:space="preserve">/ </w:t>
      </w:r>
      <w:r w:rsidRPr="00365848">
        <w:rPr>
          <w:rStyle w:val="nlmsubtitle"/>
          <w:lang w:val="en-US"/>
        </w:rPr>
        <w:t>[</w:t>
      </w:r>
      <w:r>
        <w:rPr>
          <w:rStyle w:val="nlmsubtitle"/>
        </w:rPr>
        <w:t>Электронный</w:t>
      </w:r>
      <w:r w:rsidRPr="00365848">
        <w:rPr>
          <w:rStyle w:val="nlmsubtitle"/>
          <w:lang w:val="en-US"/>
        </w:rPr>
        <w:t xml:space="preserve"> </w:t>
      </w:r>
      <w:r>
        <w:rPr>
          <w:rStyle w:val="nlmsubtitle"/>
        </w:rPr>
        <w:t>ресурс</w:t>
      </w:r>
      <w:r w:rsidRPr="00365848">
        <w:rPr>
          <w:rStyle w:val="nlmsubtitle"/>
          <w:lang w:val="en-US"/>
        </w:rPr>
        <w:t xml:space="preserve">] – </w:t>
      </w:r>
      <w:r w:rsidRPr="00DC365A">
        <w:rPr>
          <w:rStyle w:val="nlmsubtitle"/>
        </w:rPr>
        <w:t>Режим</w:t>
      </w:r>
      <w:r w:rsidRPr="00365848">
        <w:rPr>
          <w:rStyle w:val="nlmsubtitle"/>
          <w:lang w:val="en-US"/>
        </w:rPr>
        <w:t xml:space="preserve"> </w:t>
      </w:r>
      <w:r w:rsidRPr="00DC365A">
        <w:rPr>
          <w:rStyle w:val="nlmsubtitle"/>
        </w:rPr>
        <w:t>доступа</w:t>
      </w:r>
      <w:r w:rsidRPr="00365848">
        <w:rPr>
          <w:rStyle w:val="nlmsubtitle"/>
          <w:lang w:val="en-US"/>
        </w:rPr>
        <w:t>:</w:t>
      </w:r>
      <w:r w:rsidRPr="00776DCC">
        <w:rPr>
          <w:lang w:val="en-US"/>
        </w:rPr>
        <w:t xml:space="preserve"> http://ideas.repec</w:t>
      </w:r>
      <w:r>
        <w:rPr>
          <w:lang w:val="en-US"/>
        </w:rPr>
        <w:t>.org</w:t>
      </w:r>
      <w:r w:rsidR="00346C8C">
        <w:rPr>
          <w:lang w:val="en-US"/>
        </w:rPr>
        <w:t>.</w:t>
      </w:r>
      <w:r w:rsidRPr="00776DCC">
        <w:rPr>
          <w:lang w:val="en-US"/>
        </w:rPr>
        <w:t xml:space="preserve"> </w:t>
      </w:r>
    </w:p>
    <w:p w14:paraId="5F1948AF" w14:textId="77777777" w:rsidR="00AB2B7E" w:rsidRDefault="00AB2B7E" w:rsidP="00AB2B7E">
      <w:pPr>
        <w:pStyle w:val="a6"/>
        <w:numPr>
          <w:ilvl w:val="0"/>
          <w:numId w:val="21"/>
        </w:numPr>
        <w:rPr>
          <w:lang w:val="en-US"/>
        </w:rPr>
      </w:pPr>
      <w:r>
        <w:rPr>
          <w:lang w:val="en-US"/>
        </w:rPr>
        <w:lastRenderedPageBreak/>
        <w:t>Chesser D., 1974. Predicting loan noncompliance</w:t>
      </w:r>
      <w:r w:rsidRPr="00EE2DCF">
        <w:rPr>
          <w:lang w:val="en-US"/>
        </w:rPr>
        <w:t xml:space="preserve">. </w:t>
      </w:r>
      <w:r w:rsidRPr="004575E2">
        <w:rPr>
          <w:lang w:val="en-US"/>
        </w:rPr>
        <w:t>The Journal of Commercial Bank Lending, August</w:t>
      </w:r>
      <w:r w:rsidRPr="00EE2DCF">
        <w:rPr>
          <w:lang w:val="en-US"/>
        </w:rPr>
        <w:t xml:space="preserve">, pp. 28–38. </w:t>
      </w:r>
    </w:p>
    <w:p w14:paraId="6F86754D" w14:textId="4686D8F1" w:rsidR="00590143" w:rsidRPr="00590143" w:rsidRDefault="00590143" w:rsidP="00590143">
      <w:pPr>
        <w:pStyle w:val="a6"/>
        <w:numPr>
          <w:ilvl w:val="0"/>
          <w:numId w:val="21"/>
        </w:numPr>
        <w:rPr>
          <w:rFonts w:eastAsiaTheme="minorHAnsi"/>
          <w:lang w:val="en-US"/>
        </w:rPr>
      </w:pPr>
      <w:r w:rsidRPr="00590143">
        <w:rPr>
          <w:rFonts w:eastAsiaTheme="minorHAnsi"/>
          <w:lang w:val="en-US"/>
        </w:rPr>
        <w:t>Copeland</w:t>
      </w:r>
      <w:r>
        <w:rPr>
          <w:rFonts w:eastAsiaTheme="minorHAnsi"/>
          <w:lang w:val="en-US"/>
        </w:rPr>
        <w:t xml:space="preserve"> R., </w:t>
      </w:r>
      <w:r w:rsidRPr="00590143">
        <w:rPr>
          <w:rFonts w:eastAsiaTheme="minorHAnsi"/>
          <w:lang w:val="en-US"/>
        </w:rPr>
        <w:t>Ingram</w:t>
      </w:r>
      <w:r>
        <w:rPr>
          <w:rFonts w:eastAsiaTheme="minorHAnsi"/>
          <w:lang w:val="en-US"/>
        </w:rPr>
        <w:t xml:space="preserve"> R</w:t>
      </w:r>
      <w:r w:rsidRPr="00590143">
        <w:rPr>
          <w:rFonts w:eastAsiaTheme="minorHAnsi"/>
          <w:lang w:val="en-US"/>
        </w:rPr>
        <w:t>.</w:t>
      </w:r>
      <w:r>
        <w:rPr>
          <w:rFonts w:eastAsiaTheme="minorHAnsi"/>
          <w:lang w:val="en-US"/>
        </w:rPr>
        <w:t>, 1982.</w:t>
      </w:r>
      <w:r w:rsidRPr="00590143">
        <w:rPr>
          <w:rFonts w:eastAsiaTheme="minorHAnsi"/>
          <w:lang w:val="en-US"/>
        </w:rPr>
        <w:t xml:space="preserve"> The Association between Municipal Accounting Information and Bond Rating Changes. Journal of Accounting Research 20 (Autumn 1982), pp.275 - 289</w:t>
      </w:r>
      <w:r w:rsidRPr="00590143">
        <w:rPr>
          <w:rFonts w:eastAsiaTheme="minorHAnsi"/>
          <w:sz w:val="12"/>
          <w:szCs w:val="12"/>
          <w:lang w:val="en-US"/>
        </w:rPr>
        <w:t xml:space="preserve"> </w:t>
      </w:r>
    </w:p>
    <w:p w14:paraId="6806588F" w14:textId="77777777" w:rsidR="00AB2B7E" w:rsidRPr="004E660F" w:rsidRDefault="00AB2B7E" w:rsidP="00AB2B7E">
      <w:pPr>
        <w:pStyle w:val="a6"/>
        <w:numPr>
          <w:ilvl w:val="0"/>
          <w:numId w:val="21"/>
        </w:numPr>
        <w:rPr>
          <w:lang w:val="en-US"/>
        </w:rPr>
      </w:pPr>
      <w:r w:rsidRPr="009F57E2">
        <w:rPr>
          <w:lang w:val="en-US"/>
        </w:rPr>
        <w:t xml:space="preserve">Corporate Bond Liquidity Reports </w:t>
      </w:r>
      <w:r>
        <w:rPr>
          <w:lang w:val="en-US"/>
        </w:rPr>
        <w:t xml:space="preserve">// The </w:t>
      </w:r>
      <w:r w:rsidRPr="004E660F">
        <w:rPr>
          <w:lang w:val="en-US"/>
        </w:rPr>
        <w:t xml:space="preserve">Federal Reserve </w:t>
      </w:r>
      <w:r>
        <w:rPr>
          <w:lang w:val="en-US"/>
        </w:rPr>
        <w:t xml:space="preserve">System official site </w:t>
      </w:r>
      <w:r w:rsidRPr="009F57E2">
        <w:rPr>
          <w:lang w:val="en-US"/>
        </w:rPr>
        <w:t>[</w:t>
      </w:r>
      <w:r w:rsidRPr="007A5BCC">
        <w:t>Электронный</w:t>
      </w:r>
      <w:r w:rsidRPr="009F57E2">
        <w:rPr>
          <w:lang w:val="en-US"/>
        </w:rPr>
        <w:t xml:space="preserve"> </w:t>
      </w:r>
      <w:r w:rsidRPr="007A5BCC">
        <w:t>ресурс</w:t>
      </w:r>
      <w:r>
        <w:rPr>
          <w:lang w:val="en-US"/>
        </w:rPr>
        <w:t>]</w:t>
      </w:r>
      <w:r w:rsidRPr="009F57E2">
        <w:rPr>
          <w:lang w:val="en-US"/>
        </w:rPr>
        <w:t xml:space="preserve"> – </w:t>
      </w:r>
      <w:r w:rsidRPr="007A5BCC">
        <w:t>Режим</w:t>
      </w:r>
      <w:r w:rsidRPr="009F57E2">
        <w:rPr>
          <w:lang w:val="en-US"/>
        </w:rPr>
        <w:t xml:space="preserve"> </w:t>
      </w:r>
      <w:r w:rsidRPr="007A5BCC">
        <w:t>доступа</w:t>
      </w:r>
      <w:r w:rsidRPr="009F57E2">
        <w:rPr>
          <w:lang w:val="en-US"/>
        </w:rPr>
        <w:t>: https://www.federalreserve.gov</w:t>
      </w:r>
      <w:r>
        <w:rPr>
          <w:lang w:val="en-US"/>
        </w:rPr>
        <w:t xml:space="preserve"> </w:t>
      </w:r>
      <w:r w:rsidRPr="009F57E2">
        <w:rPr>
          <w:lang w:val="en-US"/>
        </w:rPr>
        <w:t xml:space="preserve">- </w:t>
      </w:r>
      <w:r>
        <w:t>Загл</w:t>
      </w:r>
      <w:r w:rsidRPr="009F57E2">
        <w:rPr>
          <w:lang w:val="en-US"/>
        </w:rPr>
        <w:t xml:space="preserve">. </w:t>
      </w:r>
      <w:r>
        <w:t>с</w:t>
      </w:r>
      <w:r w:rsidRPr="009F57E2">
        <w:rPr>
          <w:lang w:val="en-US"/>
        </w:rPr>
        <w:t xml:space="preserve"> </w:t>
      </w:r>
      <w:r>
        <w:t>экрана</w:t>
      </w:r>
      <w:r w:rsidRPr="009F57E2">
        <w:rPr>
          <w:lang w:val="en-US"/>
        </w:rPr>
        <w:t xml:space="preserve"> – 2017.</w:t>
      </w:r>
    </w:p>
    <w:p w14:paraId="568050DF" w14:textId="3909942F" w:rsidR="00AB2B7E" w:rsidRPr="003B2DA2" w:rsidRDefault="00AB2B7E" w:rsidP="00AB2B7E">
      <w:pPr>
        <w:pStyle w:val="a6"/>
        <w:numPr>
          <w:ilvl w:val="0"/>
          <w:numId w:val="21"/>
        </w:numPr>
        <w:rPr>
          <w:lang w:val="en-US"/>
        </w:rPr>
      </w:pPr>
      <w:r w:rsidRPr="006C229B">
        <w:rPr>
          <w:iCs/>
          <w:lang w:val="en-US"/>
        </w:rPr>
        <w:t>Credit</w:t>
      </w:r>
      <w:r>
        <w:rPr>
          <w:iCs/>
          <w:lang w:val="en-US"/>
        </w:rPr>
        <w:t xml:space="preserve"> </w:t>
      </w:r>
      <w:r w:rsidRPr="006C229B">
        <w:rPr>
          <w:iCs/>
          <w:lang w:val="en-US"/>
        </w:rPr>
        <w:t>Monitor</w:t>
      </w:r>
      <w:r>
        <w:rPr>
          <w:iCs/>
          <w:lang w:val="en-US"/>
        </w:rPr>
        <w:t xml:space="preserve"> </w:t>
      </w:r>
      <w:r w:rsidRPr="006C229B">
        <w:rPr>
          <w:iCs/>
          <w:lang w:val="en-US"/>
        </w:rPr>
        <w:t>TM Specifications</w:t>
      </w:r>
      <w:r>
        <w:rPr>
          <w:lang w:val="en-US"/>
        </w:rPr>
        <w:t xml:space="preserve">, 1999 / </w:t>
      </w:r>
      <w:r w:rsidRPr="00365848">
        <w:rPr>
          <w:rStyle w:val="nlmsubtitle"/>
          <w:lang w:val="en-US"/>
        </w:rPr>
        <w:t>[</w:t>
      </w:r>
      <w:r>
        <w:rPr>
          <w:rStyle w:val="nlmsubtitle"/>
        </w:rPr>
        <w:t>Электронный</w:t>
      </w:r>
      <w:r w:rsidRPr="00365848">
        <w:rPr>
          <w:rStyle w:val="nlmsubtitle"/>
          <w:lang w:val="en-US"/>
        </w:rPr>
        <w:t xml:space="preserve"> </w:t>
      </w:r>
      <w:r>
        <w:rPr>
          <w:rStyle w:val="nlmsubtitle"/>
        </w:rPr>
        <w:t>ресурс</w:t>
      </w:r>
      <w:r w:rsidRPr="00365848">
        <w:rPr>
          <w:rStyle w:val="nlmsubtitle"/>
          <w:lang w:val="en-US"/>
        </w:rPr>
        <w:t xml:space="preserve">] – </w:t>
      </w:r>
      <w:r w:rsidRPr="00DC365A">
        <w:rPr>
          <w:rStyle w:val="nlmsubtitle"/>
        </w:rPr>
        <w:t>Режим</w:t>
      </w:r>
      <w:r w:rsidRPr="00365848">
        <w:rPr>
          <w:rStyle w:val="nlmsubtitle"/>
          <w:lang w:val="en-US"/>
        </w:rPr>
        <w:t xml:space="preserve"> </w:t>
      </w:r>
      <w:r w:rsidRPr="00DC365A">
        <w:rPr>
          <w:rStyle w:val="nlmsubtitle"/>
        </w:rPr>
        <w:t>доступа</w:t>
      </w:r>
      <w:r w:rsidRPr="00365848">
        <w:rPr>
          <w:rStyle w:val="nlmsubtitle"/>
          <w:lang w:val="en-US"/>
        </w:rPr>
        <w:t xml:space="preserve">: </w:t>
      </w:r>
      <w:r w:rsidR="00E200BC">
        <w:rPr>
          <w:lang w:val="en-US"/>
        </w:rPr>
        <w:t>http://www.kmv.com</w:t>
      </w:r>
      <w:r w:rsidR="00346C8C">
        <w:rPr>
          <w:lang w:val="en-US"/>
        </w:rPr>
        <w:t xml:space="preserve">. </w:t>
      </w:r>
    </w:p>
    <w:p w14:paraId="13AB5C92" w14:textId="77777777" w:rsidR="00AB2B7E" w:rsidRPr="00F16799" w:rsidRDefault="00AB2B7E" w:rsidP="00AB2B7E">
      <w:pPr>
        <w:pStyle w:val="a6"/>
        <w:numPr>
          <w:ilvl w:val="0"/>
          <w:numId w:val="21"/>
        </w:numPr>
        <w:rPr>
          <w:lang w:val="en-US"/>
        </w:rPr>
      </w:pPr>
      <w:r>
        <w:rPr>
          <w:lang w:val="en-US"/>
        </w:rPr>
        <w:t xml:space="preserve">Gurný P., </w:t>
      </w:r>
      <w:r w:rsidRPr="006E021F">
        <w:rPr>
          <w:lang w:val="en-US"/>
        </w:rPr>
        <w:t>Gurný</w:t>
      </w:r>
      <w:r>
        <w:rPr>
          <w:lang w:val="en-US"/>
        </w:rPr>
        <w:t xml:space="preserve"> M., 2013. Comparison of Credit Scoring Models on Probability of Default Estimation f</w:t>
      </w:r>
      <w:r w:rsidRPr="006E021F">
        <w:rPr>
          <w:lang w:val="en-US"/>
        </w:rPr>
        <w:t>or U</w:t>
      </w:r>
      <w:r>
        <w:rPr>
          <w:lang w:val="en-US"/>
        </w:rPr>
        <w:t xml:space="preserve">S </w:t>
      </w:r>
      <w:r w:rsidRPr="006E021F">
        <w:rPr>
          <w:lang w:val="en-US"/>
        </w:rPr>
        <w:t xml:space="preserve">Banks. </w:t>
      </w:r>
      <w:r w:rsidRPr="00314AF8">
        <w:rPr>
          <w:lang w:val="en-US"/>
        </w:rPr>
        <w:t>Prague Economic Papers</w:t>
      </w:r>
      <w:r>
        <w:rPr>
          <w:lang w:val="en-US"/>
        </w:rPr>
        <w:t xml:space="preserve">, 2, </w:t>
      </w:r>
      <w:r w:rsidRPr="00AB2B7E">
        <w:rPr>
          <w:lang w:val="en-US"/>
        </w:rPr>
        <w:t>pp. 163–175.</w:t>
      </w:r>
    </w:p>
    <w:p w14:paraId="300B138C" w14:textId="6D0FD632" w:rsidR="00AB2B7E" w:rsidRPr="000F7160" w:rsidRDefault="00AB2B7E" w:rsidP="00AB2B7E">
      <w:pPr>
        <w:pStyle w:val="a6"/>
        <w:numPr>
          <w:ilvl w:val="0"/>
          <w:numId w:val="21"/>
        </w:numPr>
        <w:rPr>
          <w:lang w:val="en-US"/>
        </w:rPr>
      </w:pPr>
      <w:r w:rsidRPr="000F7160">
        <w:rPr>
          <w:lang w:val="en-US"/>
        </w:rPr>
        <w:t>International Convergence of Capital Measurement and Capital Standards, Comprehensive Version</w:t>
      </w:r>
      <w:r>
        <w:rPr>
          <w:lang w:val="en-US"/>
        </w:rPr>
        <w:t>.</w:t>
      </w:r>
      <w:r w:rsidRPr="000F7160">
        <w:rPr>
          <w:lang w:val="en-US"/>
        </w:rPr>
        <w:t xml:space="preserve"> Basel C</w:t>
      </w:r>
      <w:r>
        <w:rPr>
          <w:lang w:val="en-US"/>
        </w:rPr>
        <w:t xml:space="preserve">ommittee on Banking Supervision / </w:t>
      </w:r>
      <w:r w:rsidRPr="00365848">
        <w:rPr>
          <w:rStyle w:val="nlmsubtitle"/>
          <w:lang w:val="en-US"/>
        </w:rPr>
        <w:t>[</w:t>
      </w:r>
      <w:r>
        <w:rPr>
          <w:rStyle w:val="nlmsubtitle"/>
        </w:rPr>
        <w:t>Электронный</w:t>
      </w:r>
      <w:r w:rsidRPr="00365848">
        <w:rPr>
          <w:rStyle w:val="nlmsubtitle"/>
          <w:lang w:val="en-US"/>
        </w:rPr>
        <w:t xml:space="preserve"> </w:t>
      </w:r>
      <w:r>
        <w:rPr>
          <w:rStyle w:val="nlmsubtitle"/>
        </w:rPr>
        <w:t>ресурс</w:t>
      </w:r>
      <w:r w:rsidRPr="00365848">
        <w:rPr>
          <w:rStyle w:val="nlmsubtitle"/>
          <w:lang w:val="en-US"/>
        </w:rPr>
        <w:t xml:space="preserve">] – </w:t>
      </w:r>
      <w:r w:rsidRPr="00DC365A">
        <w:rPr>
          <w:rStyle w:val="nlmsubtitle"/>
        </w:rPr>
        <w:t>Режим</w:t>
      </w:r>
      <w:r w:rsidRPr="00365848">
        <w:rPr>
          <w:rStyle w:val="nlmsubtitle"/>
          <w:lang w:val="en-US"/>
        </w:rPr>
        <w:t xml:space="preserve"> </w:t>
      </w:r>
      <w:r w:rsidRPr="00DC365A">
        <w:rPr>
          <w:rStyle w:val="nlmsubtitle"/>
        </w:rPr>
        <w:t>доступа</w:t>
      </w:r>
      <w:r w:rsidRPr="00365848">
        <w:rPr>
          <w:rStyle w:val="nlmsubtitle"/>
          <w:lang w:val="en-US"/>
        </w:rPr>
        <w:t>:</w:t>
      </w:r>
      <w:r w:rsidRPr="000F7160">
        <w:rPr>
          <w:lang w:val="en-US"/>
        </w:rPr>
        <w:t xml:space="preserve"> http:/</w:t>
      </w:r>
      <w:r>
        <w:rPr>
          <w:lang w:val="en-US"/>
        </w:rPr>
        <w:t>/www.bis.org/publ/bcbsc111.htm</w:t>
      </w:r>
      <w:r w:rsidR="00346C8C">
        <w:rPr>
          <w:lang w:val="en-US"/>
        </w:rPr>
        <w:t>.</w:t>
      </w:r>
    </w:p>
    <w:p w14:paraId="33F9B8C7" w14:textId="13991ACD" w:rsidR="00AB2B7E" w:rsidRDefault="00AB2B7E" w:rsidP="00AB2B7E">
      <w:pPr>
        <w:pStyle w:val="a6"/>
        <w:numPr>
          <w:ilvl w:val="0"/>
          <w:numId w:val="21"/>
        </w:numPr>
        <w:rPr>
          <w:lang w:val="en-US"/>
        </w:rPr>
      </w:pPr>
      <w:r w:rsidRPr="004A299C">
        <w:rPr>
          <w:lang w:val="en-US"/>
        </w:rPr>
        <w:t>Ja</w:t>
      </w:r>
      <w:r>
        <w:rPr>
          <w:lang w:val="en-US"/>
        </w:rPr>
        <w:t xml:space="preserve">rrow R.A., Turnbull S., 1995. </w:t>
      </w:r>
      <w:r w:rsidRPr="004A299C">
        <w:rPr>
          <w:lang w:val="en-US"/>
        </w:rPr>
        <w:t>Pricing derivatives on financial se</w:t>
      </w:r>
      <w:r>
        <w:rPr>
          <w:lang w:val="en-US"/>
        </w:rPr>
        <w:t>curities subject to credit risk</w:t>
      </w:r>
      <w:r w:rsidRPr="004A299C">
        <w:rPr>
          <w:lang w:val="en-US"/>
        </w:rPr>
        <w:t>. Journal of Finance, Vol. 50 (March), pp. 53–85</w:t>
      </w:r>
      <w:r w:rsidR="00346C8C">
        <w:rPr>
          <w:lang w:val="en-US"/>
        </w:rPr>
        <w:t>.</w:t>
      </w:r>
      <w:r w:rsidRPr="004A299C">
        <w:rPr>
          <w:lang w:val="en-US"/>
        </w:rPr>
        <w:t xml:space="preserve"> </w:t>
      </w:r>
    </w:p>
    <w:p w14:paraId="73D54CF6" w14:textId="73A5EDD5" w:rsidR="00E200BC" w:rsidRDefault="00E200BC" w:rsidP="003A12F3">
      <w:pPr>
        <w:pStyle w:val="a6"/>
        <w:numPr>
          <w:ilvl w:val="0"/>
          <w:numId w:val="21"/>
        </w:numPr>
        <w:rPr>
          <w:lang w:val="en-US"/>
        </w:rPr>
      </w:pPr>
      <w:r>
        <w:rPr>
          <w:lang w:val="en-US"/>
        </w:rPr>
        <w:t>Keenan S., 1999. Special Comment: Historical Default Rates of Corporate Bond Issuers, 1920-1998. Moody’s Investors</w:t>
      </w:r>
      <w:r w:rsidR="00346C8C">
        <w:rPr>
          <w:lang w:val="en-US"/>
        </w:rPr>
        <w:t>.</w:t>
      </w:r>
    </w:p>
    <w:p w14:paraId="7E2EEB6F" w14:textId="52493E88" w:rsidR="003A12F3" w:rsidRPr="003A12F3" w:rsidRDefault="003A12F3" w:rsidP="00590143">
      <w:pPr>
        <w:pStyle w:val="afa"/>
        <w:numPr>
          <w:ilvl w:val="0"/>
          <w:numId w:val="21"/>
        </w:numPr>
        <w:spacing w:line="360" w:lineRule="auto"/>
        <w:rPr>
          <w:rFonts w:eastAsiaTheme="minorHAnsi"/>
          <w:lang w:val="en-US"/>
        </w:rPr>
      </w:pPr>
      <w:r>
        <w:rPr>
          <w:rFonts w:ascii="Code2000" w:eastAsiaTheme="minorHAnsi" w:hAnsi="Code2000"/>
          <w:lang w:val="en-US"/>
        </w:rPr>
        <w:t xml:space="preserve">Liu P., Thakor A., 1984. </w:t>
      </w:r>
      <w:r w:rsidRPr="003A12F3">
        <w:rPr>
          <w:rFonts w:ascii="Code2000" w:eastAsiaTheme="minorHAnsi" w:hAnsi="Code2000"/>
          <w:lang w:val="en-US"/>
        </w:rPr>
        <w:t>Interest Yields, Credit Ratings, and Economic Characteristics of State Bonds: An Empirical Analysis</w:t>
      </w:r>
      <w:r>
        <w:rPr>
          <w:rFonts w:ascii="Code2000" w:eastAsiaTheme="minorHAnsi" w:hAnsi="Code2000"/>
          <w:lang w:val="en-US"/>
        </w:rPr>
        <w:t>.</w:t>
      </w:r>
      <w:r w:rsidRPr="003A12F3">
        <w:rPr>
          <w:rFonts w:eastAsiaTheme="minorHAnsi"/>
          <w:lang w:val="en-US"/>
        </w:rPr>
        <w:t xml:space="preserve"> </w:t>
      </w:r>
      <w:r w:rsidRPr="003A12F3">
        <w:rPr>
          <w:rFonts w:ascii="Code2000" w:eastAsiaTheme="minorHAnsi" w:hAnsi="Code2000"/>
          <w:lang w:val="en-US"/>
        </w:rPr>
        <w:t xml:space="preserve">Journal of Money, Credit and Banking, Vol. 16, No. 3 (Aug., 1984), pp. 344-351 </w:t>
      </w:r>
    </w:p>
    <w:p w14:paraId="0E3278BF" w14:textId="77777777" w:rsidR="00AB2B7E" w:rsidRPr="004A299C" w:rsidRDefault="00AB2B7E" w:rsidP="003A12F3">
      <w:pPr>
        <w:pStyle w:val="a6"/>
        <w:numPr>
          <w:ilvl w:val="0"/>
          <w:numId w:val="21"/>
        </w:numPr>
        <w:rPr>
          <w:lang w:val="en-US"/>
        </w:rPr>
      </w:pPr>
      <w:r>
        <w:rPr>
          <w:lang w:val="en-US"/>
        </w:rPr>
        <w:t xml:space="preserve">Merton R.C., 1974. </w:t>
      </w:r>
      <w:r w:rsidRPr="004A299C">
        <w:rPr>
          <w:lang w:val="en-US"/>
        </w:rPr>
        <w:t xml:space="preserve">On the pricing of corporate debt: the risk structure </w:t>
      </w:r>
      <w:r>
        <w:rPr>
          <w:lang w:val="en-US"/>
        </w:rPr>
        <w:t xml:space="preserve">of interest rates. </w:t>
      </w:r>
      <w:r w:rsidRPr="004A299C">
        <w:rPr>
          <w:lang w:val="en-US"/>
        </w:rPr>
        <w:t xml:space="preserve">Journal of Finance, Vol. 29, No. 2, (May), pp. 449–470. </w:t>
      </w:r>
    </w:p>
    <w:p w14:paraId="414EF1AE" w14:textId="4188E8A3" w:rsidR="00AB2B7E" w:rsidRPr="00727D65" w:rsidRDefault="00AB2B7E" w:rsidP="00AB2B7E">
      <w:pPr>
        <w:pStyle w:val="a6"/>
        <w:numPr>
          <w:ilvl w:val="0"/>
          <w:numId w:val="21"/>
        </w:numPr>
        <w:rPr>
          <w:lang w:val="en-US"/>
        </w:rPr>
      </w:pPr>
      <w:r>
        <w:rPr>
          <w:lang w:val="en-US"/>
        </w:rPr>
        <w:t>Nilanjana Kumari, 2013.</w:t>
      </w:r>
      <w:r w:rsidRPr="00A63397">
        <w:rPr>
          <w:lang w:val="en-US"/>
        </w:rPr>
        <w:t xml:space="preserve"> Ev</w:t>
      </w:r>
      <w:r>
        <w:rPr>
          <w:lang w:val="en-US"/>
        </w:rPr>
        <w:t>aluation of Financial Health o</w:t>
      </w:r>
      <w:r w:rsidRPr="00A63397">
        <w:rPr>
          <w:lang w:val="en-US"/>
        </w:rPr>
        <w:t>f</w:t>
      </w:r>
      <w:r>
        <w:rPr>
          <w:lang w:val="en-US"/>
        </w:rPr>
        <w:t xml:space="preserve"> MMTC of India: A Z Score Model //</w:t>
      </w:r>
      <w:r w:rsidRPr="00A63397">
        <w:rPr>
          <w:lang w:val="en-US"/>
        </w:rPr>
        <w:t xml:space="preserve"> European Journal of Accounting Auditing and Finance Research Vol.1 No. 1, March 2013, pp.</w:t>
      </w:r>
      <w:r w:rsidR="00346C8C">
        <w:rPr>
          <w:lang w:val="en-US"/>
        </w:rPr>
        <w:t xml:space="preserve"> </w:t>
      </w:r>
      <w:r w:rsidRPr="00A63397">
        <w:rPr>
          <w:lang w:val="en-US"/>
        </w:rPr>
        <w:t>36-43</w:t>
      </w:r>
      <w:r w:rsidR="00346C8C">
        <w:rPr>
          <w:lang w:val="en-US"/>
        </w:rPr>
        <w:t>.</w:t>
      </w:r>
      <w:r w:rsidRPr="00A63397">
        <w:rPr>
          <w:lang w:val="en-US"/>
        </w:rPr>
        <w:t xml:space="preserve"> </w:t>
      </w:r>
    </w:p>
    <w:p w14:paraId="0C9A8631" w14:textId="77777777" w:rsidR="00AB2B7E" w:rsidRPr="00F20E94" w:rsidRDefault="00AB2B7E" w:rsidP="00AB2B7E">
      <w:pPr>
        <w:pStyle w:val="a6"/>
        <w:numPr>
          <w:ilvl w:val="0"/>
          <w:numId w:val="21"/>
        </w:numPr>
        <w:rPr>
          <w:lang w:val="en-US"/>
        </w:rPr>
      </w:pPr>
      <w:r>
        <w:rPr>
          <w:lang w:val="en-US"/>
        </w:rPr>
        <w:t xml:space="preserve">Ohlson J.A., 1980. </w:t>
      </w:r>
      <w:r w:rsidRPr="00F20E94">
        <w:rPr>
          <w:lang w:val="en-US"/>
        </w:rPr>
        <w:t>Financial ratios and the probabi</w:t>
      </w:r>
      <w:r>
        <w:rPr>
          <w:lang w:val="en-US"/>
        </w:rPr>
        <w:t>listic prediction of bankruptcy</w:t>
      </w:r>
      <w:r w:rsidRPr="00F20E94">
        <w:rPr>
          <w:lang w:val="en-US"/>
        </w:rPr>
        <w:t xml:space="preserve">. </w:t>
      </w:r>
      <w:r w:rsidRPr="00CF23A6">
        <w:rPr>
          <w:lang w:val="en-US"/>
        </w:rPr>
        <w:t>Journal of Accounting Research, Vol.</w:t>
      </w:r>
      <w:r w:rsidRPr="00F20E94">
        <w:rPr>
          <w:lang w:val="en-US"/>
        </w:rPr>
        <w:t xml:space="preserve"> 18, No. 1, pp. 109–131. </w:t>
      </w:r>
    </w:p>
    <w:p w14:paraId="1F1AC172" w14:textId="77777777" w:rsidR="00AB2B7E" w:rsidRDefault="00AB2B7E" w:rsidP="00AB2B7E">
      <w:pPr>
        <w:pStyle w:val="a6"/>
        <w:numPr>
          <w:ilvl w:val="0"/>
          <w:numId w:val="21"/>
        </w:numPr>
        <w:rPr>
          <w:lang w:val="en-US"/>
        </w:rPr>
      </w:pPr>
      <w:r w:rsidRPr="00F653AB">
        <w:rPr>
          <w:lang w:val="en-US"/>
        </w:rPr>
        <w:t>Principles for the Management of Credit Risk [</w:t>
      </w:r>
      <w:r>
        <w:rPr>
          <w:lang w:val="en-US"/>
        </w:rPr>
        <w:t>Электронный ресурс</w:t>
      </w:r>
      <w:r w:rsidRPr="00F653AB">
        <w:rPr>
          <w:lang w:val="en-US"/>
        </w:rPr>
        <w:t>] / Basel Committee of Banking Supervision Basel // Ba</w:t>
      </w:r>
      <w:r>
        <w:rPr>
          <w:lang w:val="en-US"/>
        </w:rPr>
        <w:t xml:space="preserve">nk of International Settlement </w:t>
      </w:r>
      <w:r w:rsidRPr="00F653AB">
        <w:rPr>
          <w:lang w:val="en-US"/>
        </w:rPr>
        <w:t xml:space="preserve">— Basle, 2000. — 30 p. — </w:t>
      </w:r>
      <w:r w:rsidRPr="00F653AB">
        <w:t>Режим</w:t>
      </w:r>
      <w:r w:rsidRPr="00F653AB">
        <w:rPr>
          <w:lang w:val="en-US"/>
        </w:rPr>
        <w:t xml:space="preserve"> </w:t>
      </w:r>
      <w:r w:rsidRPr="00F653AB">
        <w:t>доступа</w:t>
      </w:r>
      <w:r w:rsidRPr="00F653AB">
        <w:rPr>
          <w:lang w:val="en-US"/>
        </w:rPr>
        <w:t>: http</w:t>
      </w:r>
      <w:r>
        <w:rPr>
          <w:lang w:val="en-US"/>
        </w:rPr>
        <w:t>://www.bis.org/publ/bcbs75.pdf -</w:t>
      </w:r>
      <w:r w:rsidRPr="00F653AB">
        <w:rPr>
          <w:lang w:val="en-US"/>
        </w:rPr>
        <w:t xml:space="preserve"> </w:t>
      </w:r>
      <w:r w:rsidRPr="00F653AB">
        <w:t>Загл</w:t>
      </w:r>
      <w:r w:rsidRPr="00F653AB">
        <w:rPr>
          <w:lang w:val="en-US"/>
        </w:rPr>
        <w:t xml:space="preserve">. </w:t>
      </w:r>
      <w:r w:rsidRPr="00F653AB">
        <w:t>с</w:t>
      </w:r>
      <w:r w:rsidRPr="00F653AB">
        <w:rPr>
          <w:lang w:val="en-US"/>
        </w:rPr>
        <w:t xml:space="preserve"> </w:t>
      </w:r>
      <w:r w:rsidRPr="00F653AB">
        <w:t>экрана</w:t>
      </w:r>
      <w:r w:rsidRPr="00F653AB">
        <w:rPr>
          <w:lang w:val="en-US"/>
        </w:rPr>
        <w:t xml:space="preserve">. </w:t>
      </w:r>
    </w:p>
    <w:p w14:paraId="5D7DC975" w14:textId="3C519413" w:rsidR="00AD6B1C" w:rsidRPr="00AD6B1C" w:rsidRDefault="00AD6B1C" w:rsidP="00AD6B1C">
      <w:pPr>
        <w:pStyle w:val="a6"/>
        <w:numPr>
          <w:ilvl w:val="0"/>
          <w:numId w:val="21"/>
        </w:numPr>
        <w:rPr>
          <w:lang w:val="en-US"/>
        </w:rPr>
      </w:pPr>
      <w:r w:rsidRPr="00AD6B1C">
        <w:rPr>
          <w:lang w:val="en-US"/>
        </w:rPr>
        <w:t>Rating Methodology // Moody's Investors Service, 2016 Jan. – p. 110 – [</w:t>
      </w:r>
      <w:r>
        <w:t>Электронный</w:t>
      </w:r>
      <w:r w:rsidRPr="00AD6B1C">
        <w:rPr>
          <w:lang w:val="en-US"/>
        </w:rPr>
        <w:t xml:space="preserve"> </w:t>
      </w:r>
      <w:r>
        <w:t>ресурс</w:t>
      </w:r>
      <w:r w:rsidRPr="00AD6B1C">
        <w:rPr>
          <w:lang w:val="en-US"/>
        </w:rPr>
        <w:t xml:space="preserve">] – </w:t>
      </w:r>
      <w:r>
        <w:t>Режим</w:t>
      </w:r>
      <w:r w:rsidRPr="00AD6B1C">
        <w:rPr>
          <w:lang w:val="en-US"/>
        </w:rPr>
        <w:t xml:space="preserve"> </w:t>
      </w:r>
      <w:r>
        <w:t>доступа</w:t>
      </w:r>
      <w:r w:rsidRPr="00AD6B1C">
        <w:rPr>
          <w:lang w:val="en-US"/>
        </w:rPr>
        <w:t>: https://www.moodys.com/researchdocumentcontentpage.aspx?docid=PBC_186998</w:t>
      </w:r>
      <w:r w:rsidR="00346C8C">
        <w:rPr>
          <w:lang w:val="en-US"/>
        </w:rPr>
        <w:t>.</w:t>
      </w:r>
    </w:p>
    <w:p w14:paraId="607BFC5E" w14:textId="5136E9BB" w:rsidR="00AB2B7E" w:rsidRPr="00610144" w:rsidRDefault="00AB2B7E" w:rsidP="00AB2B7E">
      <w:pPr>
        <w:pStyle w:val="a6"/>
        <w:numPr>
          <w:ilvl w:val="0"/>
          <w:numId w:val="21"/>
        </w:numPr>
        <w:rPr>
          <w:rFonts w:eastAsiaTheme="minorHAnsi"/>
          <w:lang w:val="en-US" w:eastAsia="en-US"/>
        </w:rPr>
      </w:pPr>
      <w:r w:rsidRPr="008C6BBA">
        <w:rPr>
          <w:rFonts w:ascii="Times" w:eastAsiaTheme="minorHAnsi" w:hAnsi="Times" w:cs="Times"/>
          <w:lang w:val="en-US" w:eastAsia="en-US"/>
        </w:rPr>
        <w:t>S</w:t>
      </w:r>
      <w:r>
        <w:rPr>
          <w:rFonts w:ascii="Times" w:eastAsiaTheme="minorHAnsi" w:hAnsi="Times" w:cs="Times"/>
          <w:lang w:val="en-US" w:eastAsia="en-US"/>
        </w:rPr>
        <w:t>anesh C</w:t>
      </w:r>
      <w:r w:rsidRPr="008C6BBA">
        <w:rPr>
          <w:rFonts w:ascii="Times" w:eastAsiaTheme="minorHAnsi" w:hAnsi="Times" w:cs="Times"/>
          <w:lang w:val="en-US" w:eastAsia="en-US"/>
        </w:rPr>
        <w:t>.</w:t>
      </w:r>
      <w:r>
        <w:rPr>
          <w:rFonts w:ascii="Times" w:eastAsiaTheme="minorHAnsi" w:hAnsi="Times" w:cs="Times"/>
          <w:lang w:val="en-US" w:eastAsia="en-US"/>
        </w:rPr>
        <w:t xml:space="preserve">, </w:t>
      </w:r>
      <w:r>
        <w:rPr>
          <w:rFonts w:eastAsiaTheme="minorHAnsi"/>
          <w:lang w:val="en-US" w:eastAsia="en-US"/>
        </w:rPr>
        <w:t>2016</w:t>
      </w:r>
      <w:r w:rsidRPr="008C6BBA">
        <w:rPr>
          <w:rFonts w:eastAsiaTheme="minorHAnsi"/>
          <w:lang w:val="en-US" w:eastAsia="en-US"/>
        </w:rPr>
        <w:t xml:space="preserve">. The analytical study of Altman Z score on NIFTY 50 Companies. </w:t>
      </w:r>
      <w:r w:rsidRPr="008C6BBA">
        <w:rPr>
          <w:rFonts w:ascii="Times" w:eastAsiaTheme="minorHAnsi" w:hAnsi="Times" w:cs="Times"/>
          <w:lang w:val="en-US" w:eastAsia="en-US"/>
        </w:rPr>
        <w:t>IRA- International Journal of Management &amp; Social Sciences</w:t>
      </w:r>
      <w:r w:rsidRPr="008C6BBA">
        <w:rPr>
          <w:rFonts w:eastAsiaTheme="minorHAnsi"/>
          <w:lang w:val="en-US" w:eastAsia="en-US"/>
        </w:rPr>
        <w:t xml:space="preserve">, </w:t>
      </w:r>
      <w:r>
        <w:rPr>
          <w:rFonts w:eastAsiaTheme="minorHAnsi"/>
          <w:lang w:val="en-US" w:eastAsia="en-US"/>
        </w:rPr>
        <w:t xml:space="preserve">Vol. </w:t>
      </w:r>
      <w:r w:rsidRPr="008C6BBA">
        <w:rPr>
          <w:rFonts w:eastAsiaTheme="minorHAnsi"/>
          <w:lang w:val="en-US" w:eastAsia="en-US"/>
        </w:rPr>
        <w:t>3</w:t>
      </w:r>
      <w:r>
        <w:rPr>
          <w:rFonts w:eastAsiaTheme="minorHAnsi"/>
          <w:lang w:val="en-US" w:eastAsia="en-US"/>
        </w:rPr>
        <w:t xml:space="preserve"> No 3</w:t>
      </w:r>
      <w:r w:rsidRPr="008C6BBA">
        <w:rPr>
          <w:rFonts w:eastAsiaTheme="minorHAnsi"/>
          <w:lang w:val="en-US" w:eastAsia="en-US"/>
        </w:rPr>
        <w:t>.</w:t>
      </w:r>
      <w:r>
        <w:rPr>
          <w:rFonts w:eastAsiaTheme="minorHAnsi"/>
          <w:lang w:val="en-US" w:eastAsia="en-US"/>
        </w:rPr>
        <w:t xml:space="preserve"> </w:t>
      </w:r>
      <w:r w:rsidRPr="00610144">
        <w:rPr>
          <w:rFonts w:eastAsiaTheme="minorHAnsi"/>
          <w:lang w:val="en-US" w:eastAsia="en-US"/>
        </w:rPr>
        <w:t>(2016) [</w:t>
      </w:r>
      <w:r>
        <w:rPr>
          <w:rFonts w:eastAsiaTheme="minorHAnsi"/>
          <w:lang w:eastAsia="en-US"/>
        </w:rPr>
        <w:t>Электронный</w:t>
      </w:r>
      <w:r w:rsidRPr="00610144">
        <w:rPr>
          <w:rFonts w:eastAsiaTheme="minorHAnsi"/>
          <w:lang w:val="en-US" w:eastAsia="en-US"/>
        </w:rPr>
        <w:t xml:space="preserve"> </w:t>
      </w:r>
      <w:r>
        <w:rPr>
          <w:rFonts w:eastAsiaTheme="minorHAnsi"/>
          <w:lang w:eastAsia="en-US"/>
        </w:rPr>
        <w:lastRenderedPageBreak/>
        <w:t>ресурс</w:t>
      </w:r>
      <w:r w:rsidRPr="00610144">
        <w:rPr>
          <w:rFonts w:eastAsiaTheme="minorHAnsi"/>
          <w:lang w:val="en-US" w:eastAsia="en-US"/>
        </w:rPr>
        <w:t xml:space="preserve">] – </w:t>
      </w:r>
      <w:r>
        <w:rPr>
          <w:rFonts w:eastAsiaTheme="minorHAnsi"/>
          <w:lang w:eastAsia="en-US"/>
        </w:rPr>
        <w:t>Режим</w:t>
      </w:r>
      <w:r w:rsidRPr="00610144">
        <w:rPr>
          <w:rFonts w:eastAsiaTheme="minorHAnsi"/>
          <w:lang w:val="en-US" w:eastAsia="en-US"/>
        </w:rPr>
        <w:t xml:space="preserve"> </w:t>
      </w:r>
      <w:r>
        <w:rPr>
          <w:rFonts w:eastAsiaTheme="minorHAnsi"/>
          <w:lang w:eastAsia="en-US"/>
        </w:rPr>
        <w:t>доступа</w:t>
      </w:r>
      <w:r w:rsidRPr="00610144">
        <w:rPr>
          <w:rFonts w:eastAsiaTheme="minorHAnsi"/>
          <w:lang w:val="en-US" w:eastAsia="en-US"/>
        </w:rPr>
        <w:t xml:space="preserve">: </w:t>
      </w:r>
      <w:r w:rsidRPr="00C5577F">
        <w:rPr>
          <w:rFonts w:eastAsiaTheme="minorHAnsi"/>
          <w:lang w:val="en-US" w:eastAsia="en-US"/>
        </w:rPr>
        <w:t>https</w:t>
      </w:r>
      <w:r w:rsidRPr="00610144">
        <w:rPr>
          <w:rFonts w:eastAsiaTheme="minorHAnsi"/>
          <w:lang w:val="en-US" w:eastAsia="en-US"/>
        </w:rPr>
        <w:t>://</w:t>
      </w:r>
      <w:r w:rsidRPr="00C5577F">
        <w:rPr>
          <w:rFonts w:eastAsiaTheme="minorHAnsi"/>
          <w:lang w:val="en-US" w:eastAsia="en-US"/>
        </w:rPr>
        <w:t>research</w:t>
      </w:r>
      <w:r w:rsidRPr="00610144">
        <w:rPr>
          <w:rFonts w:eastAsiaTheme="minorHAnsi"/>
          <w:lang w:val="en-US" w:eastAsia="en-US"/>
        </w:rPr>
        <w:t>-</w:t>
      </w:r>
      <w:r w:rsidRPr="00C5577F">
        <w:rPr>
          <w:rFonts w:eastAsiaTheme="minorHAnsi"/>
          <w:lang w:val="en-US" w:eastAsia="en-US"/>
        </w:rPr>
        <w:t>advances</w:t>
      </w:r>
      <w:r w:rsidRPr="00610144">
        <w:rPr>
          <w:rFonts w:eastAsiaTheme="minorHAnsi"/>
          <w:lang w:val="en-US" w:eastAsia="en-US"/>
        </w:rPr>
        <w:t>.</w:t>
      </w:r>
      <w:r w:rsidRPr="00C5577F">
        <w:rPr>
          <w:rFonts w:eastAsiaTheme="minorHAnsi"/>
          <w:lang w:val="en-US" w:eastAsia="en-US"/>
        </w:rPr>
        <w:t>org</w:t>
      </w:r>
      <w:r w:rsidRPr="00610144">
        <w:rPr>
          <w:rFonts w:eastAsiaTheme="minorHAnsi"/>
          <w:lang w:val="en-US" w:eastAsia="en-US"/>
        </w:rPr>
        <w:t>/</w:t>
      </w:r>
      <w:r w:rsidRPr="00C5577F">
        <w:rPr>
          <w:rFonts w:eastAsiaTheme="minorHAnsi"/>
          <w:lang w:val="en-US" w:eastAsia="en-US"/>
        </w:rPr>
        <w:t>index</w:t>
      </w:r>
      <w:r w:rsidRPr="00610144">
        <w:rPr>
          <w:rFonts w:eastAsiaTheme="minorHAnsi"/>
          <w:lang w:val="en-US" w:eastAsia="en-US"/>
        </w:rPr>
        <w:t>.</w:t>
      </w:r>
      <w:r w:rsidRPr="00C5577F">
        <w:rPr>
          <w:rFonts w:eastAsiaTheme="minorHAnsi"/>
          <w:lang w:val="en-US" w:eastAsia="en-US"/>
        </w:rPr>
        <w:t>php</w:t>
      </w:r>
      <w:r w:rsidRPr="00610144">
        <w:rPr>
          <w:rFonts w:eastAsiaTheme="minorHAnsi"/>
          <w:lang w:val="en-US" w:eastAsia="en-US"/>
        </w:rPr>
        <w:t>/</w:t>
      </w:r>
      <w:r w:rsidRPr="00C5577F">
        <w:rPr>
          <w:rFonts w:eastAsiaTheme="minorHAnsi"/>
          <w:lang w:val="en-US" w:eastAsia="en-US"/>
        </w:rPr>
        <w:t>RAJMSS</w:t>
      </w:r>
      <w:r w:rsidRPr="00610144">
        <w:rPr>
          <w:rFonts w:eastAsiaTheme="minorHAnsi"/>
          <w:lang w:val="en-US" w:eastAsia="en-US"/>
        </w:rPr>
        <w:t>/</w:t>
      </w:r>
      <w:r w:rsidRPr="00C5577F">
        <w:rPr>
          <w:rFonts w:eastAsiaTheme="minorHAnsi"/>
          <w:lang w:val="en-US" w:eastAsia="en-US"/>
        </w:rPr>
        <w:t>article</w:t>
      </w:r>
      <w:r w:rsidRPr="00610144">
        <w:rPr>
          <w:rFonts w:eastAsiaTheme="minorHAnsi"/>
          <w:lang w:val="en-US" w:eastAsia="en-US"/>
        </w:rPr>
        <w:t>/</w:t>
      </w:r>
      <w:r w:rsidRPr="00C5577F">
        <w:rPr>
          <w:rFonts w:eastAsiaTheme="minorHAnsi"/>
          <w:lang w:val="en-US" w:eastAsia="en-US"/>
        </w:rPr>
        <w:t>view</w:t>
      </w:r>
      <w:r w:rsidRPr="00610144">
        <w:rPr>
          <w:rFonts w:eastAsiaTheme="minorHAnsi"/>
          <w:lang w:val="en-US" w:eastAsia="en-US"/>
        </w:rPr>
        <w:t>/195</w:t>
      </w:r>
      <w:r w:rsidR="00346C8C" w:rsidRPr="00610144">
        <w:rPr>
          <w:rFonts w:eastAsiaTheme="minorHAnsi"/>
          <w:lang w:val="en-US" w:eastAsia="en-US"/>
        </w:rPr>
        <w:t>.</w:t>
      </w:r>
    </w:p>
    <w:p w14:paraId="0F8D86B5" w14:textId="77777777" w:rsidR="00AB2B7E" w:rsidRPr="00581A6A" w:rsidRDefault="00AB2B7E" w:rsidP="00AB2B7E">
      <w:pPr>
        <w:pStyle w:val="a6"/>
        <w:numPr>
          <w:ilvl w:val="0"/>
          <w:numId w:val="21"/>
        </w:numPr>
      </w:pPr>
      <w:r w:rsidRPr="004A299C">
        <w:rPr>
          <w:rStyle w:val="nlmsubtitle"/>
          <w:lang w:val="en-US"/>
        </w:rPr>
        <w:t xml:space="preserve">Sinclair </w:t>
      </w:r>
      <w:r>
        <w:rPr>
          <w:rStyle w:val="nlmsubtitle"/>
          <w:lang w:val="en-US"/>
        </w:rPr>
        <w:t xml:space="preserve">T., 2005. </w:t>
      </w:r>
      <w:r w:rsidRPr="004A299C">
        <w:rPr>
          <w:rStyle w:val="nlmarticle-title"/>
          <w:lang w:val="en-US"/>
        </w:rPr>
        <w:t>The new masters of capital: American bond rating agencies and the politics of creditworthiness</w:t>
      </w:r>
      <w:r>
        <w:rPr>
          <w:lang w:val="en-US"/>
        </w:rPr>
        <w:t xml:space="preserve"> // </w:t>
      </w:r>
      <w:r>
        <w:rPr>
          <w:rStyle w:val="nlmsubtitle"/>
          <w:lang w:val="en-US"/>
        </w:rPr>
        <w:t xml:space="preserve">Cornell University Press. </w:t>
      </w:r>
      <w:r w:rsidRPr="00581A6A">
        <w:rPr>
          <w:rStyle w:val="nlmsubtitle"/>
        </w:rPr>
        <w:t>[</w:t>
      </w:r>
      <w:r>
        <w:rPr>
          <w:rStyle w:val="nlmsubtitle"/>
        </w:rPr>
        <w:t>Электронный</w:t>
      </w:r>
      <w:r w:rsidRPr="00581A6A">
        <w:rPr>
          <w:rStyle w:val="nlmsubtitle"/>
        </w:rPr>
        <w:t xml:space="preserve"> </w:t>
      </w:r>
      <w:r>
        <w:rPr>
          <w:rStyle w:val="nlmsubtitle"/>
        </w:rPr>
        <w:t>ресурс</w:t>
      </w:r>
      <w:r w:rsidRPr="00581A6A">
        <w:rPr>
          <w:rStyle w:val="nlmsubtitle"/>
        </w:rPr>
        <w:t xml:space="preserve">] – Режим доступа: </w:t>
      </w:r>
      <w:r w:rsidRPr="0024419B">
        <w:rPr>
          <w:lang w:val="en-US"/>
        </w:rPr>
        <w:t>https</w:t>
      </w:r>
      <w:r w:rsidRPr="00581A6A">
        <w:t>://</w:t>
      </w:r>
      <w:r w:rsidRPr="0024419B">
        <w:rPr>
          <w:lang w:val="en-US"/>
        </w:rPr>
        <w:t>proxy</w:t>
      </w:r>
      <w:r w:rsidRPr="00581A6A">
        <w:t>.</w:t>
      </w:r>
      <w:r w:rsidRPr="0024419B">
        <w:rPr>
          <w:lang w:val="en-US"/>
        </w:rPr>
        <w:t>library</w:t>
      </w:r>
      <w:r w:rsidRPr="00581A6A">
        <w:t>.</w:t>
      </w:r>
      <w:r w:rsidRPr="0024419B">
        <w:rPr>
          <w:lang w:val="en-US"/>
        </w:rPr>
        <w:t>spbu</w:t>
      </w:r>
      <w:r w:rsidRPr="00581A6A">
        <w:t>.</w:t>
      </w:r>
      <w:r w:rsidRPr="0024419B">
        <w:rPr>
          <w:lang w:val="en-US"/>
        </w:rPr>
        <w:t>ru</w:t>
      </w:r>
      <w:r w:rsidRPr="00581A6A">
        <w:t>:2355/</w:t>
      </w:r>
      <w:r w:rsidRPr="0024419B">
        <w:rPr>
          <w:lang w:val="en-US"/>
        </w:rPr>
        <w:t>doi</w:t>
      </w:r>
      <w:r w:rsidRPr="00581A6A">
        <w:t>/</w:t>
      </w:r>
      <w:r w:rsidRPr="0024419B">
        <w:rPr>
          <w:lang w:val="en-US"/>
        </w:rPr>
        <w:t>full</w:t>
      </w:r>
      <w:r w:rsidRPr="00581A6A">
        <w:t>/10.1080/13563460500204340?</w:t>
      </w:r>
      <w:r w:rsidRPr="0024419B">
        <w:rPr>
          <w:lang w:val="en-US"/>
        </w:rPr>
        <w:t>scroll</w:t>
      </w:r>
      <w:r w:rsidRPr="00581A6A">
        <w:t>=</w:t>
      </w:r>
      <w:r w:rsidRPr="0024419B">
        <w:rPr>
          <w:lang w:val="en-US"/>
        </w:rPr>
        <w:t>top</w:t>
      </w:r>
      <w:r w:rsidRPr="00581A6A">
        <w:t>&amp;</w:t>
      </w:r>
      <w:r w:rsidRPr="0024419B">
        <w:rPr>
          <w:lang w:val="en-US"/>
        </w:rPr>
        <w:t>needAccess</w:t>
      </w:r>
      <w:r w:rsidRPr="00581A6A">
        <w:t>=</w:t>
      </w:r>
      <w:r w:rsidRPr="0024419B">
        <w:rPr>
          <w:lang w:val="en-US"/>
        </w:rPr>
        <w:t>true</w:t>
      </w:r>
      <w:r w:rsidRPr="00581A6A">
        <w:t xml:space="preserve"> - </w:t>
      </w:r>
      <w:r w:rsidRPr="00F653AB">
        <w:t>Загл</w:t>
      </w:r>
      <w:r w:rsidRPr="00581A6A">
        <w:t xml:space="preserve">. </w:t>
      </w:r>
      <w:r w:rsidRPr="00F653AB">
        <w:t>с</w:t>
      </w:r>
      <w:r w:rsidRPr="00581A6A">
        <w:t xml:space="preserve"> </w:t>
      </w:r>
      <w:r w:rsidRPr="00F653AB">
        <w:t>экрана</w:t>
      </w:r>
      <w:r w:rsidRPr="00581A6A">
        <w:t xml:space="preserve"> – 2018.</w:t>
      </w:r>
    </w:p>
    <w:p w14:paraId="43757817" w14:textId="77777777" w:rsidR="00AB2B7E" w:rsidRPr="00056F53" w:rsidRDefault="00AB2B7E" w:rsidP="00AB2B7E">
      <w:pPr>
        <w:pStyle w:val="a6"/>
        <w:numPr>
          <w:ilvl w:val="0"/>
          <w:numId w:val="21"/>
        </w:numPr>
        <w:rPr>
          <w:lang w:val="en-US"/>
        </w:rPr>
      </w:pPr>
      <w:r w:rsidRPr="004575E2">
        <w:rPr>
          <w:lang w:val="en-US"/>
        </w:rPr>
        <w:t>Tamari M., 1966. Financial ratios as a means of forecasting bankruptcy. Management International Review, No. 4, pp. 15–21.</w:t>
      </w:r>
      <w:r w:rsidRPr="00056F53">
        <w:rPr>
          <w:lang w:val="en-US"/>
        </w:rPr>
        <w:t xml:space="preserve"> </w:t>
      </w:r>
    </w:p>
    <w:p w14:paraId="4D173F82" w14:textId="77777777" w:rsidR="00AB2B7E" w:rsidRDefault="00AB2B7E" w:rsidP="00AB2B7E">
      <w:pPr>
        <w:pStyle w:val="a6"/>
        <w:numPr>
          <w:ilvl w:val="0"/>
          <w:numId w:val="21"/>
        </w:numPr>
        <w:rPr>
          <w:lang w:val="en-US"/>
        </w:rPr>
      </w:pPr>
      <w:r w:rsidRPr="006E087F">
        <w:rPr>
          <w:lang w:val="en-US"/>
        </w:rPr>
        <w:t>U.S. Capital Markets Deck</w:t>
      </w:r>
      <w:r>
        <w:rPr>
          <w:lang w:val="en-US"/>
        </w:rPr>
        <w:t xml:space="preserve"> // </w:t>
      </w:r>
      <w:r w:rsidRPr="006E087F">
        <w:rPr>
          <w:lang w:val="en-US"/>
        </w:rPr>
        <w:t>Securities Industry and Financial Markets Association [</w:t>
      </w:r>
      <w:r w:rsidRPr="007A5BCC">
        <w:t>Электронный</w:t>
      </w:r>
      <w:r w:rsidRPr="006E087F">
        <w:rPr>
          <w:lang w:val="en-US"/>
        </w:rPr>
        <w:t xml:space="preserve"> </w:t>
      </w:r>
      <w:r w:rsidRPr="007A5BCC">
        <w:t>ресурс</w:t>
      </w:r>
      <w:r w:rsidRPr="006E087F">
        <w:rPr>
          <w:lang w:val="en-US"/>
        </w:rPr>
        <w:t xml:space="preserve">] – </w:t>
      </w:r>
      <w:r w:rsidRPr="007A5BCC">
        <w:t>Режим</w:t>
      </w:r>
      <w:r w:rsidRPr="006E087F">
        <w:rPr>
          <w:lang w:val="en-US"/>
        </w:rPr>
        <w:t xml:space="preserve"> </w:t>
      </w:r>
      <w:r w:rsidRPr="007A5BCC">
        <w:t>доступа</w:t>
      </w:r>
      <w:r w:rsidRPr="006E087F">
        <w:rPr>
          <w:lang w:val="en-US"/>
        </w:rPr>
        <w:t xml:space="preserve">: https://www.sifma.org/wp-content/uploads/2016/10/US-Capital-Markets-Deck-2017-09-11-SIFMA.pdf - </w:t>
      </w:r>
      <w:r>
        <w:t>Загл</w:t>
      </w:r>
      <w:r w:rsidRPr="006E087F">
        <w:rPr>
          <w:lang w:val="en-US"/>
        </w:rPr>
        <w:t xml:space="preserve">. </w:t>
      </w:r>
      <w:r>
        <w:t>с</w:t>
      </w:r>
      <w:r w:rsidRPr="006E087F">
        <w:rPr>
          <w:lang w:val="en-US"/>
        </w:rPr>
        <w:t xml:space="preserve"> </w:t>
      </w:r>
      <w:r>
        <w:t>экрана</w:t>
      </w:r>
      <w:r w:rsidRPr="006E087F">
        <w:rPr>
          <w:lang w:val="en-US"/>
        </w:rPr>
        <w:t xml:space="preserve"> – 2018.</w:t>
      </w:r>
    </w:p>
    <w:p w14:paraId="77ED7F70" w14:textId="5ECDBB09" w:rsidR="00AB2B7E" w:rsidRPr="00AB2B7E" w:rsidRDefault="00AB2B7E" w:rsidP="00AB2B7E">
      <w:pPr>
        <w:pStyle w:val="a6"/>
        <w:numPr>
          <w:ilvl w:val="0"/>
          <w:numId w:val="21"/>
        </w:numPr>
        <w:rPr>
          <w:lang w:val="en-US"/>
        </w:rPr>
      </w:pPr>
      <w:r w:rsidRPr="00AB2B7E">
        <w:rPr>
          <w:lang w:val="en-US"/>
        </w:rPr>
        <w:t>Wilson T., 1997. Portfolio Credit Risk: part II. Risk Magazine, October, pp. 56–61.</w:t>
      </w:r>
    </w:p>
    <w:p w14:paraId="3150598D" w14:textId="77777777" w:rsidR="00AD6B1C" w:rsidRDefault="00AD6B1C" w:rsidP="003441A1">
      <w:pPr>
        <w:pStyle w:val="12"/>
      </w:pPr>
      <w:r>
        <w:br w:type="page"/>
      </w:r>
    </w:p>
    <w:p w14:paraId="24FFDA04" w14:textId="593DC235" w:rsidR="00F459D1" w:rsidRDefault="00F459D1" w:rsidP="003441A1">
      <w:pPr>
        <w:pStyle w:val="12"/>
      </w:pPr>
      <w:bookmarkStart w:id="29" w:name="_Toc514593091"/>
      <w:r>
        <w:lastRenderedPageBreak/>
        <w:t>Приложения</w:t>
      </w:r>
      <w:bookmarkEnd w:id="29"/>
    </w:p>
    <w:p w14:paraId="3363A9A7" w14:textId="1BFC5F58" w:rsidR="005E3D04" w:rsidRDefault="002C67BC" w:rsidP="002C67BC">
      <w:pPr>
        <w:pStyle w:val="a1"/>
      </w:pPr>
      <w:r>
        <w:t xml:space="preserve">Двухвыборочный </w:t>
      </w:r>
      <w:r>
        <w:rPr>
          <w:lang w:val="en-US"/>
        </w:rPr>
        <w:t>t</w:t>
      </w:r>
      <w:r w:rsidRPr="002C67BC">
        <w:t>-тест с различными дисперсиями</w:t>
      </w:r>
    </w:p>
    <w:p w14:paraId="47FD5A5E" w14:textId="77777777" w:rsidR="005279D5" w:rsidRPr="005279D5" w:rsidRDefault="005279D5" w:rsidP="005279D5">
      <w:pPr>
        <w:pStyle w:val="a6"/>
      </w:pPr>
    </w:p>
    <w:p w14:paraId="0220BF9B" w14:textId="1FEC25FC" w:rsidR="00F459D1" w:rsidRDefault="00D42FE4" w:rsidP="007A01F1">
      <w:pPr>
        <w:pStyle w:val="a6"/>
        <w:ind w:firstLine="0"/>
        <w:jc w:val="center"/>
      </w:pPr>
      <w:r>
        <w:rPr>
          <w:noProof/>
        </w:rPr>
        <w:drawing>
          <wp:inline distT="0" distB="0" distL="0" distR="0" wp14:anchorId="495C4617" wp14:editId="4179FC8E">
            <wp:extent cx="5303520" cy="2495550"/>
            <wp:effectExtent l="0" t="0" r="5080" b="0"/>
            <wp:docPr id="20" name="Рисунок 20" descr="снимки%20st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ки%20stat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3520" cy="2495550"/>
                    </a:xfrm>
                    <a:prstGeom prst="rect">
                      <a:avLst/>
                    </a:prstGeom>
                    <a:noFill/>
                    <a:ln>
                      <a:noFill/>
                    </a:ln>
                  </pic:spPr>
                </pic:pic>
              </a:graphicData>
            </a:graphic>
          </wp:inline>
        </w:drawing>
      </w:r>
    </w:p>
    <w:p w14:paraId="783A9B70" w14:textId="77777777" w:rsidR="005537CA" w:rsidRDefault="005537CA" w:rsidP="005E3D04">
      <w:pPr>
        <w:pStyle w:val="a6"/>
        <w:ind w:firstLine="0"/>
      </w:pPr>
    </w:p>
    <w:p w14:paraId="7B6A20E1" w14:textId="317C480F" w:rsidR="005537CA" w:rsidRDefault="005537CA" w:rsidP="005537CA">
      <w:pPr>
        <w:pStyle w:val="a1"/>
      </w:pPr>
      <w:r>
        <w:t>Корреляционная матрица</w:t>
      </w:r>
    </w:p>
    <w:p w14:paraId="25A1B72F" w14:textId="77777777" w:rsidR="005279D5" w:rsidRPr="005279D5" w:rsidRDefault="005279D5" w:rsidP="005279D5">
      <w:pPr>
        <w:pStyle w:val="a6"/>
      </w:pPr>
    </w:p>
    <w:p w14:paraId="2A7C690A" w14:textId="01D66AFF" w:rsidR="00346BE8" w:rsidRDefault="00346BE8" w:rsidP="00346BE8">
      <w:pPr>
        <w:pStyle w:val="a6"/>
        <w:ind w:firstLine="0"/>
        <w:jc w:val="center"/>
      </w:pPr>
      <w:r>
        <w:rPr>
          <w:noProof/>
        </w:rPr>
        <w:drawing>
          <wp:inline distT="0" distB="0" distL="0" distR="0" wp14:anchorId="172FA948" wp14:editId="273875BB">
            <wp:extent cx="5932805" cy="2562225"/>
            <wp:effectExtent l="0" t="0" r="10795" b="3175"/>
            <wp:docPr id="6" name="Рисунок 6" descr="снимки%20stata/Снимок%20экрана%202018-04-15%20в%2015.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ки%20stata/Снимок%20экрана%202018-04-15%20в%2015.10.0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2562225"/>
                    </a:xfrm>
                    <a:prstGeom prst="rect">
                      <a:avLst/>
                    </a:prstGeom>
                    <a:noFill/>
                    <a:ln>
                      <a:noFill/>
                    </a:ln>
                  </pic:spPr>
                </pic:pic>
              </a:graphicData>
            </a:graphic>
          </wp:inline>
        </w:drawing>
      </w:r>
    </w:p>
    <w:p w14:paraId="62A5CFB0" w14:textId="77777777" w:rsidR="00243242" w:rsidRDefault="00243242" w:rsidP="00346BE8">
      <w:pPr>
        <w:pStyle w:val="a6"/>
        <w:ind w:firstLine="0"/>
        <w:jc w:val="center"/>
      </w:pPr>
    </w:p>
    <w:p w14:paraId="0E1D7C37" w14:textId="77777777" w:rsidR="00243242" w:rsidRDefault="00243242" w:rsidP="00346BE8">
      <w:pPr>
        <w:pStyle w:val="a6"/>
        <w:ind w:firstLine="0"/>
        <w:jc w:val="center"/>
      </w:pPr>
    </w:p>
    <w:p w14:paraId="1C330554" w14:textId="77777777" w:rsidR="00243242" w:rsidRDefault="00243242" w:rsidP="00346BE8">
      <w:pPr>
        <w:pStyle w:val="a6"/>
        <w:ind w:firstLine="0"/>
        <w:jc w:val="center"/>
      </w:pPr>
    </w:p>
    <w:p w14:paraId="6C601598" w14:textId="77777777" w:rsidR="00243242" w:rsidRDefault="00243242" w:rsidP="00346BE8">
      <w:pPr>
        <w:pStyle w:val="a6"/>
        <w:ind w:firstLine="0"/>
        <w:jc w:val="center"/>
      </w:pPr>
    </w:p>
    <w:p w14:paraId="3D295D42" w14:textId="77777777" w:rsidR="00243242" w:rsidRDefault="00243242" w:rsidP="00346BE8">
      <w:pPr>
        <w:pStyle w:val="a6"/>
        <w:ind w:firstLine="0"/>
        <w:jc w:val="center"/>
      </w:pPr>
    </w:p>
    <w:p w14:paraId="76EB7C53" w14:textId="77777777" w:rsidR="00243242" w:rsidRDefault="00243242" w:rsidP="00346BE8">
      <w:pPr>
        <w:pStyle w:val="a6"/>
        <w:ind w:firstLine="0"/>
        <w:jc w:val="center"/>
      </w:pPr>
    </w:p>
    <w:p w14:paraId="430D63B4" w14:textId="77777777" w:rsidR="00243242" w:rsidRDefault="00243242" w:rsidP="00346BE8">
      <w:pPr>
        <w:pStyle w:val="a6"/>
        <w:ind w:firstLine="0"/>
        <w:jc w:val="center"/>
      </w:pPr>
    </w:p>
    <w:p w14:paraId="73B6CB6D" w14:textId="77777777" w:rsidR="00243242" w:rsidRDefault="00243242" w:rsidP="00346BE8">
      <w:pPr>
        <w:pStyle w:val="a6"/>
        <w:ind w:firstLine="0"/>
        <w:jc w:val="center"/>
      </w:pPr>
    </w:p>
    <w:p w14:paraId="46A70909" w14:textId="77777777" w:rsidR="00243242" w:rsidRDefault="00243242" w:rsidP="00346BE8">
      <w:pPr>
        <w:pStyle w:val="a6"/>
        <w:ind w:firstLine="0"/>
        <w:jc w:val="center"/>
      </w:pPr>
    </w:p>
    <w:p w14:paraId="1112829A" w14:textId="77777777" w:rsidR="00243242" w:rsidRDefault="00243242" w:rsidP="00346BE8">
      <w:pPr>
        <w:pStyle w:val="a6"/>
        <w:ind w:firstLine="0"/>
        <w:jc w:val="center"/>
      </w:pPr>
    </w:p>
    <w:p w14:paraId="0E2909BE" w14:textId="77777777" w:rsidR="00243242" w:rsidRDefault="00243242" w:rsidP="00346BE8">
      <w:pPr>
        <w:pStyle w:val="a6"/>
        <w:ind w:firstLine="0"/>
        <w:jc w:val="center"/>
      </w:pPr>
    </w:p>
    <w:p w14:paraId="793994E5" w14:textId="19D35B42" w:rsidR="00346BE8" w:rsidRDefault="00346BE8" w:rsidP="00346BE8">
      <w:pPr>
        <w:pStyle w:val="a1"/>
      </w:pPr>
      <w:r>
        <w:t>Базовая модель</w:t>
      </w:r>
    </w:p>
    <w:p w14:paraId="2EC0C0BA" w14:textId="77777777" w:rsidR="004B27E7" w:rsidRPr="004B27E7" w:rsidRDefault="004B27E7" w:rsidP="004B27E7">
      <w:pPr>
        <w:pStyle w:val="a6"/>
      </w:pPr>
    </w:p>
    <w:p w14:paraId="4BB6A97E" w14:textId="04BD9CEB" w:rsidR="00346BE8" w:rsidRPr="00346BE8" w:rsidRDefault="00346BE8" w:rsidP="00346BE8">
      <w:pPr>
        <w:pStyle w:val="a6"/>
        <w:jc w:val="center"/>
      </w:pPr>
      <w:r>
        <w:rPr>
          <w:noProof/>
        </w:rPr>
        <w:drawing>
          <wp:inline distT="0" distB="0" distL="0" distR="0" wp14:anchorId="57D587F5" wp14:editId="19005327">
            <wp:extent cx="4823067" cy="3246295"/>
            <wp:effectExtent l="0" t="0" r="3175" b="5080"/>
            <wp:docPr id="11" name="Рисунок 11" descr="снимки%20stata/Базов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ки%20stata/Базовая.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1803" cy="3279098"/>
                    </a:xfrm>
                    <a:prstGeom prst="rect">
                      <a:avLst/>
                    </a:prstGeom>
                    <a:noFill/>
                    <a:ln>
                      <a:noFill/>
                    </a:ln>
                  </pic:spPr>
                </pic:pic>
              </a:graphicData>
            </a:graphic>
          </wp:inline>
        </w:drawing>
      </w:r>
    </w:p>
    <w:p w14:paraId="116112B2" w14:textId="5B41B1C3" w:rsidR="00346BE8" w:rsidRDefault="00243242" w:rsidP="007A01F1">
      <w:pPr>
        <w:pStyle w:val="a1"/>
      </w:pPr>
      <w:r>
        <w:t>Модель линейной регрессии</w:t>
      </w:r>
    </w:p>
    <w:p w14:paraId="6555FC66" w14:textId="77777777" w:rsidR="004B27E7" w:rsidRPr="004B27E7" w:rsidRDefault="004B27E7" w:rsidP="004B27E7">
      <w:pPr>
        <w:pStyle w:val="a6"/>
      </w:pPr>
    </w:p>
    <w:p w14:paraId="12A90463" w14:textId="39EC7539" w:rsidR="00243242" w:rsidRDefault="00346BE8" w:rsidP="0083366D">
      <w:pPr>
        <w:pStyle w:val="a6"/>
        <w:jc w:val="center"/>
      </w:pPr>
      <w:r>
        <w:rPr>
          <w:noProof/>
        </w:rPr>
        <w:drawing>
          <wp:inline distT="0" distB="0" distL="0" distR="0" wp14:anchorId="58D6AD3E" wp14:editId="60E914D7">
            <wp:extent cx="4872484" cy="3763682"/>
            <wp:effectExtent l="0" t="0" r="4445" b="0"/>
            <wp:docPr id="12" name="Рисунок 12" descr="снимки%20stata/Линей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ки%20stata/Линейная.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2448" cy="3794552"/>
                    </a:xfrm>
                    <a:prstGeom prst="rect">
                      <a:avLst/>
                    </a:prstGeom>
                    <a:noFill/>
                    <a:ln>
                      <a:noFill/>
                    </a:ln>
                  </pic:spPr>
                </pic:pic>
              </a:graphicData>
            </a:graphic>
          </wp:inline>
        </w:drawing>
      </w:r>
    </w:p>
    <w:p w14:paraId="3F59EE17" w14:textId="77777777" w:rsidR="0083366D" w:rsidRDefault="0083366D" w:rsidP="0083366D">
      <w:pPr>
        <w:pStyle w:val="a6"/>
        <w:jc w:val="center"/>
      </w:pPr>
    </w:p>
    <w:p w14:paraId="1F1EF435" w14:textId="77777777" w:rsidR="00346BE8" w:rsidRPr="00346BE8" w:rsidRDefault="00346BE8" w:rsidP="00346BE8">
      <w:pPr>
        <w:pStyle w:val="a6"/>
      </w:pPr>
    </w:p>
    <w:p w14:paraId="039AF22C" w14:textId="72CC93F0" w:rsidR="007A01F1" w:rsidRDefault="007A01F1" w:rsidP="007A01F1">
      <w:pPr>
        <w:pStyle w:val="a1"/>
      </w:pPr>
      <w:r>
        <w:lastRenderedPageBreak/>
        <w:t xml:space="preserve">Тест </w:t>
      </w:r>
      <w:r>
        <w:rPr>
          <w:lang w:val="en-US"/>
        </w:rPr>
        <w:t xml:space="preserve">VIF </w:t>
      </w:r>
      <w:r>
        <w:t>на мультиколлинеарность</w:t>
      </w:r>
    </w:p>
    <w:p w14:paraId="04A0BDE5" w14:textId="77777777" w:rsidR="005279D5" w:rsidRPr="005279D5" w:rsidRDefault="005279D5" w:rsidP="005279D5">
      <w:pPr>
        <w:pStyle w:val="a6"/>
      </w:pPr>
    </w:p>
    <w:p w14:paraId="3B8F381F" w14:textId="77777777" w:rsidR="007A01F1" w:rsidRPr="007A01F1" w:rsidRDefault="007A01F1" w:rsidP="007A01F1"/>
    <w:p w14:paraId="4FB221E5" w14:textId="6C98CBD4" w:rsidR="007A01F1" w:rsidRDefault="007A01F1" w:rsidP="007A01F1">
      <w:pPr>
        <w:jc w:val="center"/>
      </w:pPr>
      <w:r w:rsidRPr="007A01F1">
        <w:rPr>
          <w:noProof/>
        </w:rPr>
        <w:drawing>
          <wp:inline distT="0" distB="0" distL="0" distR="0" wp14:anchorId="3CD0789B" wp14:editId="287394FF">
            <wp:extent cx="2340087" cy="249831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4580" cy="2513787"/>
                    </a:xfrm>
                    <a:prstGeom prst="rect">
                      <a:avLst/>
                    </a:prstGeom>
                  </pic:spPr>
                </pic:pic>
              </a:graphicData>
            </a:graphic>
          </wp:inline>
        </w:drawing>
      </w:r>
    </w:p>
    <w:p w14:paraId="7919F233" w14:textId="77777777" w:rsidR="00243242" w:rsidRPr="007A01F1" w:rsidRDefault="00243242" w:rsidP="007A01F1">
      <w:pPr>
        <w:jc w:val="center"/>
      </w:pPr>
    </w:p>
    <w:p w14:paraId="12F869D2" w14:textId="215C19C9" w:rsidR="00026FDE" w:rsidRDefault="00026FDE" w:rsidP="004B27E7">
      <w:pPr>
        <w:pStyle w:val="a1"/>
      </w:pPr>
      <w:r>
        <w:t>Тест Бреуша-Пагана на гетероскедастичность</w:t>
      </w:r>
    </w:p>
    <w:p w14:paraId="477F95C0" w14:textId="77777777" w:rsidR="005279D5" w:rsidRPr="005279D5" w:rsidRDefault="005279D5" w:rsidP="005279D5">
      <w:pPr>
        <w:pStyle w:val="a6"/>
      </w:pPr>
    </w:p>
    <w:p w14:paraId="19DA6C36" w14:textId="54FE3FC2" w:rsidR="004B27E7" w:rsidRDefault="007A01F1" w:rsidP="004B27E7">
      <w:pPr>
        <w:pStyle w:val="a6"/>
        <w:ind w:firstLine="0"/>
        <w:jc w:val="center"/>
      </w:pPr>
      <w:r w:rsidRPr="007A01F1">
        <w:rPr>
          <w:noProof/>
        </w:rPr>
        <w:drawing>
          <wp:inline distT="0" distB="0" distL="0" distR="0" wp14:anchorId="5068A4D8" wp14:editId="6C495993">
            <wp:extent cx="4388111" cy="1734594"/>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26502" cy="1749770"/>
                    </a:xfrm>
                    <a:prstGeom prst="rect">
                      <a:avLst/>
                    </a:prstGeom>
                  </pic:spPr>
                </pic:pic>
              </a:graphicData>
            </a:graphic>
          </wp:inline>
        </w:drawing>
      </w:r>
    </w:p>
    <w:p w14:paraId="39B90D8C" w14:textId="77777777" w:rsidR="007B2066" w:rsidRDefault="007B2066" w:rsidP="004B27E7">
      <w:pPr>
        <w:pStyle w:val="a6"/>
        <w:ind w:firstLine="0"/>
        <w:jc w:val="center"/>
      </w:pPr>
    </w:p>
    <w:p w14:paraId="0B499438" w14:textId="77777777" w:rsidR="007B2066" w:rsidRDefault="007B2066" w:rsidP="004B27E7">
      <w:pPr>
        <w:pStyle w:val="a6"/>
        <w:ind w:firstLine="0"/>
        <w:jc w:val="center"/>
      </w:pPr>
    </w:p>
    <w:p w14:paraId="20C7F273" w14:textId="77777777" w:rsidR="007B2066" w:rsidRDefault="007B2066" w:rsidP="004B27E7">
      <w:pPr>
        <w:pStyle w:val="a6"/>
        <w:ind w:firstLine="0"/>
        <w:jc w:val="center"/>
      </w:pPr>
    </w:p>
    <w:p w14:paraId="31ACF1E8" w14:textId="77777777" w:rsidR="007B2066" w:rsidRDefault="007B2066" w:rsidP="004B27E7">
      <w:pPr>
        <w:pStyle w:val="a6"/>
        <w:ind w:firstLine="0"/>
        <w:jc w:val="center"/>
      </w:pPr>
    </w:p>
    <w:p w14:paraId="52C919BC" w14:textId="77777777" w:rsidR="007B2066" w:rsidRDefault="007B2066" w:rsidP="004B27E7">
      <w:pPr>
        <w:pStyle w:val="a6"/>
        <w:ind w:firstLine="0"/>
        <w:jc w:val="center"/>
      </w:pPr>
    </w:p>
    <w:p w14:paraId="07ED33F1" w14:textId="77777777" w:rsidR="007B2066" w:rsidRDefault="007B2066" w:rsidP="004B27E7">
      <w:pPr>
        <w:pStyle w:val="a6"/>
        <w:ind w:firstLine="0"/>
        <w:jc w:val="center"/>
      </w:pPr>
    </w:p>
    <w:p w14:paraId="31EE5495" w14:textId="77777777" w:rsidR="007B2066" w:rsidRDefault="007B2066" w:rsidP="004B27E7">
      <w:pPr>
        <w:pStyle w:val="a6"/>
        <w:ind w:firstLine="0"/>
        <w:jc w:val="center"/>
      </w:pPr>
    </w:p>
    <w:p w14:paraId="780FAEC9" w14:textId="77777777" w:rsidR="0083366D" w:rsidRDefault="0083366D" w:rsidP="004B27E7">
      <w:pPr>
        <w:pStyle w:val="a6"/>
        <w:ind w:firstLine="0"/>
        <w:jc w:val="center"/>
      </w:pPr>
    </w:p>
    <w:p w14:paraId="0CB14B56" w14:textId="77777777" w:rsidR="0083366D" w:rsidRDefault="0083366D" w:rsidP="004B27E7">
      <w:pPr>
        <w:pStyle w:val="a6"/>
        <w:ind w:firstLine="0"/>
        <w:jc w:val="center"/>
      </w:pPr>
    </w:p>
    <w:p w14:paraId="08A3CE87" w14:textId="77777777" w:rsidR="0083366D" w:rsidRDefault="0083366D" w:rsidP="004B27E7">
      <w:pPr>
        <w:pStyle w:val="a6"/>
        <w:ind w:firstLine="0"/>
        <w:jc w:val="center"/>
      </w:pPr>
    </w:p>
    <w:p w14:paraId="0F36D1EF" w14:textId="77777777" w:rsidR="0083366D" w:rsidRDefault="0083366D" w:rsidP="004B27E7">
      <w:pPr>
        <w:pStyle w:val="a6"/>
        <w:ind w:firstLine="0"/>
        <w:jc w:val="center"/>
      </w:pPr>
    </w:p>
    <w:p w14:paraId="390A9D41" w14:textId="77777777" w:rsidR="007B2066" w:rsidRDefault="007B2066" w:rsidP="004B27E7">
      <w:pPr>
        <w:pStyle w:val="a6"/>
        <w:ind w:firstLine="0"/>
        <w:jc w:val="center"/>
      </w:pPr>
    </w:p>
    <w:p w14:paraId="12CD2C7B" w14:textId="77777777" w:rsidR="004B27E7" w:rsidRDefault="004B27E7" w:rsidP="004B27E7">
      <w:pPr>
        <w:pStyle w:val="a6"/>
        <w:ind w:firstLine="0"/>
        <w:jc w:val="center"/>
      </w:pPr>
    </w:p>
    <w:p w14:paraId="0AC0E509" w14:textId="64930894" w:rsidR="00F2246D" w:rsidRDefault="00F2246D" w:rsidP="004B27E7">
      <w:pPr>
        <w:pStyle w:val="a1"/>
      </w:pPr>
      <w:r>
        <w:lastRenderedPageBreak/>
        <w:t>Регрессия для отраслей</w:t>
      </w:r>
      <w:r w:rsidR="004B27E7">
        <w:t xml:space="preserve"> высоких технологий</w:t>
      </w:r>
    </w:p>
    <w:p w14:paraId="430C73D6" w14:textId="77777777" w:rsidR="005279D5" w:rsidRPr="005279D5" w:rsidRDefault="005279D5" w:rsidP="005279D5">
      <w:pPr>
        <w:pStyle w:val="a6"/>
      </w:pPr>
    </w:p>
    <w:p w14:paraId="30452211" w14:textId="7A086E91" w:rsidR="00F2246D" w:rsidRDefault="004B27E7" w:rsidP="00026FDE">
      <w:pPr>
        <w:pStyle w:val="a6"/>
        <w:ind w:firstLine="0"/>
        <w:jc w:val="center"/>
      </w:pPr>
      <w:r>
        <w:rPr>
          <w:noProof/>
        </w:rPr>
        <w:drawing>
          <wp:inline distT="0" distB="0" distL="0" distR="0" wp14:anchorId="262CBFE3" wp14:editId="3DADB87A">
            <wp:extent cx="4690670" cy="3449789"/>
            <wp:effectExtent l="0" t="0" r="8890" b="5080"/>
            <wp:docPr id="14" name="Рисунок 14" descr="снимки%20stata/Высокие%20технолог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ки%20stata/Высокие%20технологии.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0337" cy="3486317"/>
                    </a:xfrm>
                    <a:prstGeom prst="rect">
                      <a:avLst/>
                    </a:prstGeom>
                    <a:noFill/>
                    <a:ln>
                      <a:noFill/>
                    </a:ln>
                  </pic:spPr>
                </pic:pic>
              </a:graphicData>
            </a:graphic>
          </wp:inline>
        </w:drawing>
      </w:r>
    </w:p>
    <w:p w14:paraId="6738B18D" w14:textId="05006417" w:rsidR="00F2246D" w:rsidRDefault="00F2246D" w:rsidP="00F2246D">
      <w:pPr>
        <w:pStyle w:val="a1"/>
      </w:pPr>
      <w:r>
        <w:t>Регрессия для капиталоемких отраслей</w:t>
      </w:r>
    </w:p>
    <w:p w14:paraId="4FC4AF22" w14:textId="77777777" w:rsidR="005279D5" w:rsidRPr="005279D5" w:rsidRDefault="005279D5" w:rsidP="005279D5">
      <w:pPr>
        <w:pStyle w:val="a6"/>
      </w:pPr>
    </w:p>
    <w:p w14:paraId="0E0A06DC" w14:textId="7527CC15" w:rsidR="004B27E7" w:rsidRDefault="00F2246D" w:rsidP="004B27E7">
      <w:pPr>
        <w:pStyle w:val="a6"/>
        <w:jc w:val="center"/>
      </w:pPr>
      <w:r>
        <w:rPr>
          <w:noProof/>
        </w:rPr>
        <w:drawing>
          <wp:inline distT="0" distB="0" distL="0" distR="0" wp14:anchorId="4ABCB295" wp14:editId="3155AB7A">
            <wp:extent cx="5013400" cy="3714483"/>
            <wp:effectExtent l="0" t="0" r="0" b="0"/>
            <wp:docPr id="13" name="Рисунок 13" descr="снимки%20stata/Капит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ки%20stata/Капитал.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3400" cy="3714483"/>
                    </a:xfrm>
                    <a:prstGeom prst="rect">
                      <a:avLst/>
                    </a:prstGeom>
                    <a:noFill/>
                    <a:ln>
                      <a:noFill/>
                    </a:ln>
                  </pic:spPr>
                </pic:pic>
              </a:graphicData>
            </a:graphic>
          </wp:inline>
        </w:drawing>
      </w:r>
    </w:p>
    <w:p w14:paraId="31B5DE45" w14:textId="77777777" w:rsidR="004B27E7" w:rsidRDefault="004B27E7" w:rsidP="00F2246D">
      <w:pPr>
        <w:pStyle w:val="a6"/>
        <w:jc w:val="center"/>
      </w:pPr>
    </w:p>
    <w:p w14:paraId="04423A0D" w14:textId="77777777" w:rsidR="007B2066" w:rsidRDefault="007B2066" w:rsidP="00F2246D">
      <w:pPr>
        <w:pStyle w:val="a6"/>
        <w:jc w:val="center"/>
      </w:pPr>
    </w:p>
    <w:p w14:paraId="10A23432" w14:textId="77777777" w:rsidR="007B2066" w:rsidRDefault="007B2066" w:rsidP="00F2246D">
      <w:pPr>
        <w:pStyle w:val="a6"/>
        <w:jc w:val="center"/>
      </w:pPr>
    </w:p>
    <w:p w14:paraId="6B7610C2" w14:textId="2B6DC4B6" w:rsidR="004B27E7" w:rsidRDefault="004B27E7" w:rsidP="004B27E7">
      <w:pPr>
        <w:pStyle w:val="a1"/>
      </w:pPr>
      <w:r>
        <w:lastRenderedPageBreak/>
        <w:t>Регрессия для отраслей розничной торговли</w:t>
      </w:r>
    </w:p>
    <w:p w14:paraId="5D80AF40" w14:textId="77777777" w:rsidR="005279D5" w:rsidRPr="005279D5" w:rsidRDefault="005279D5" w:rsidP="005279D5">
      <w:pPr>
        <w:pStyle w:val="a6"/>
      </w:pPr>
    </w:p>
    <w:p w14:paraId="7F51AE13" w14:textId="7EAFA46E" w:rsidR="004B27E7" w:rsidRDefault="004B27E7" w:rsidP="00BB014F">
      <w:pPr>
        <w:pStyle w:val="a6"/>
        <w:jc w:val="center"/>
      </w:pPr>
      <w:r>
        <w:rPr>
          <w:noProof/>
        </w:rPr>
        <w:drawing>
          <wp:inline distT="0" distB="0" distL="0" distR="0" wp14:anchorId="62B138C2" wp14:editId="08AA0C89">
            <wp:extent cx="5938520" cy="4152265"/>
            <wp:effectExtent l="0" t="0" r="5080" b="0"/>
            <wp:docPr id="19" name="Рисунок 19" descr="снимки%20stata/Торгов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ки%20stata/Торговля.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8520" cy="4152265"/>
                    </a:xfrm>
                    <a:prstGeom prst="rect">
                      <a:avLst/>
                    </a:prstGeom>
                    <a:noFill/>
                    <a:ln>
                      <a:noFill/>
                    </a:ln>
                  </pic:spPr>
                </pic:pic>
              </a:graphicData>
            </a:graphic>
          </wp:inline>
        </w:drawing>
      </w:r>
    </w:p>
    <w:p w14:paraId="2CD001B1" w14:textId="77777777" w:rsidR="005279D5" w:rsidRDefault="005279D5" w:rsidP="00BB014F">
      <w:pPr>
        <w:pStyle w:val="a6"/>
        <w:jc w:val="center"/>
      </w:pPr>
    </w:p>
    <w:p w14:paraId="42DDBC2A" w14:textId="77777777" w:rsidR="005279D5" w:rsidRDefault="005279D5" w:rsidP="00BB014F">
      <w:pPr>
        <w:pStyle w:val="a6"/>
        <w:jc w:val="center"/>
      </w:pPr>
    </w:p>
    <w:p w14:paraId="4F88816E" w14:textId="77777777" w:rsidR="005279D5" w:rsidRDefault="005279D5" w:rsidP="00BB014F">
      <w:pPr>
        <w:pStyle w:val="a6"/>
        <w:jc w:val="center"/>
      </w:pPr>
    </w:p>
    <w:p w14:paraId="42DA4190" w14:textId="77777777" w:rsidR="005279D5" w:rsidRDefault="005279D5" w:rsidP="00BB014F">
      <w:pPr>
        <w:pStyle w:val="a6"/>
        <w:jc w:val="center"/>
      </w:pPr>
    </w:p>
    <w:p w14:paraId="4A11FAAB" w14:textId="77777777" w:rsidR="005279D5" w:rsidRDefault="005279D5" w:rsidP="00BB014F">
      <w:pPr>
        <w:pStyle w:val="a6"/>
        <w:jc w:val="center"/>
      </w:pPr>
    </w:p>
    <w:p w14:paraId="2ECA454B" w14:textId="77777777" w:rsidR="005279D5" w:rsidRDefault="005279D5" w:rsidP="00BB014F">
      <w:pPr>
        <w:pStyle w:val="a6"/>
        <w:jc w:val="center"/>
      </w:pPr>
    </w:p>
    <w:p w14:paraId="20D1198D" w14:textId="77777777" w:rsidR="005279D5" w:rsidRDefault="005279D5" w:rsidP="00BB014F">
      <w:pPr>
        <w:pStyle w:val="a6"/>
        <w:jc w:val="center"/>
      </w:pPr>
    </w:p>
    <w:p w14:paraId="10CDFEC2" w14:textId="77777777" w:rsidR="005279D5" w:rsidRDefault="005279D5" w:rsidP="00BB014F">
      <w:pPr>
        <w:pStyle w:val="a6"/>
        <w:jc w:val="center"/>
      </w:pPr>
    </w:p>
    <w:p w14:paraId="49B3055C" w14:textId="77777777" w:rsidR="005279D5" w:rsidRDefault="005279D5" w:rsidP="00BB014F">
      <w:pPr>
        <w:pStyle w:val="a6"/>
        <w:jc w:val="center"/>
      </w:pPr>
    </w:p>
    <w:p w14:paraId="73E16CB1" w14:textId="77777777" w:rsidR="005279D5" w:rsidRDefault="005279D5" w:rsidP="00BB014F">
      <w:pPr>
        <w:pStyle w:val="a6"/>
        <w:jc w:val="center"/>
      </w:pPr>
    </w:p>
    <w:p w14:paraId="2A13AD13" w14:textId="77777777" w:rsidR="005279D5" w:rsidRDefault="005279D5" w:rsidP="00BB014F">
      <w:pPr>
        <w:pStyle w:val="a6"/>
        <w:jc w:val="center"/>
      </w:pPr>
    </w:p>
    <w:p w14:paraId="4FE38599" w14:textId="77777777" w:rsidR="005279D5" w:rsidRDefault="005279D5" w:rsidP="00BB014F">
      <w:pPr>
        <w:pStyle w:val="a6"/>
        <w:jc w:val="center"/>
      </w:pPr>
    </w:p>
    <w:p w14:paraId="6689144C" w14:textId="77777777" w:rsidR="005279D5" w:rsidRDefault="005279D5" w:rsidP="00BB014F">
      <w:pPr>
        <w:pStyle w:val="a6"/>
        <w:jc w:val="center"/>
      </w:pPr>
    </w:p>
    <w:p w14:paraId="33DCA005" w14:textId="77777777" w:rsidR="005279D5" w:rsidRDefault="005279D5" w:rsidP="00BB014F">
      <w:pPr>
        <w:pStyle w:val="a6"/>
        <w:jc w:val="center"/>
      </w:pPr>
    </w:p>
    <w:p w14:paraId="31F3B5AF" w14:textId="77777777" w:rsidR="005279D5" w:rsidRDefault="005279D5" w:rsidP="00BB014F">
      <w:pPr>
        <w:pStyle w:val="a6"/>
        <w:jc w:val="center"/>
      </w:pPr>
    </w:p>
    <w:p w14:paraId="6D8DDA8E" w14:textId="77777777" w:rsidR="005279D5" w:rsidRDefault="005279D5" w:rsidP="00BB014F">
      <w:pPr>
        <w:pStyle w:val="a6"/>
        <w:jc w:val="center"/>
      </w:pPr>
    </w:p>
    <w:p w14:paraId="76066D92" w14:textId="77777777" w:rsidR="005279D5" w:rsidRDefault="005279D5" w:rsidP="00BB014F">
      <w:pPr>
        <w:pStyle w:val="a6"/>
        <w:jc w:val="center"/>
      </w:pPr>
    </w:p>
    <w:p w14:paraId="570AD1DB" w14:textId="5F179B1B" w:rsidR="00BB014F" w:rsidRDefault="007B2066" w:rsidP="005279D5">
      <w:pPr>
        <w:pStyle w:val="a1"/>
      </w:pPr>
      <w:r>
        <w:lastRenderedPageBreak/>
        <w:t>Список компаний для формирования выборки</w:t>
      </w:r>
    </w:p>
    <w:tbl>
      <w:tblPr>
        <w:tblStyle w:val="afd"/>
        <w:tblW w:w="10220" w:type="dxa"/>
        <w:tblInd w:w="-324" w:type="dxa"/>
        <w:tblLayout w:type="fixed"/>
        <w:tblLook w:val="04A0" w:firstRow="1" w:lastRow="0" w:firstColumn="1" w:lastColumn="0" w:noHBand="0" w:noVBand="1"/>
      </w:tblPr>
      <w:tblGrid>
        <w:gridCol w:w="416"/>
        <w:gridCol w:w="3000"/>
        <w:gridCol w:w="425"/>
        <w:gridCol w:w="3119"/>
        <w:gridCol w:w="567"/>
        <w:gridCol w:w="2693"/>
      </w:tblGrid>
      <w:tr w:rsidR="00DF5C29" w:rsidRPr="007B2066" w14:paraId="27A8046D" w14:textId="77777777" w:rsidTr="0083366D">
        <w:trPr>
          <w:trHeight w:val="254"/>
        </w:trPr>
        <w:tc>
          <w:tcPr>
            <w:tcW w:w="416" w:type="dxa"/>
            <w:noWrap/>
            <w:hideMark/>
          </w:tcPr>
          <w:p w14:paraId="1F03F824" w14:textId="77777777" w:rsidR="00223E6B" w:rsidRPr="007B2066" w:rsidRDefault="00223E6B" w:rsidP="007B2066">
            <w:pPr>
              <w:rPr>
                <w:sz w:val="20"/>
                <w:szCs w:val="20"/>
              </w:rPr>
            </w:pPr>
            <w:r w:rsidRPr="007B2066">
              <w:rPr>
                <w:sz w:val="20"/>
                <w:szCs w:val="20"/>
              </w:rPr>
              <w:t>1</w:t>
            </w:r>
          </w:p>
        </w:tc>
        <w:tc>
          <w:tcPr>
            <w:tcW w:w="3000" w:type="dxa"/>
            <w:noWrap/>
            <w:hideMark/>
          </w:tcPr>
          <w:p w14:paraId="76533978" w14:textId="77777777" w:rsidR="00223E6B" w:rsidRPr="007B2066" w:rsidRDefault="00223E6B" w:rsidP="007B2066">
            <w:pPr>
              <w:rPr>
                <w:sz w:val="20"/>
                <w:szCs w:val="20"/>
              </w:rPr>
            </w:pPr>
            <w:r w:rsidRPr="007B2066">
              <w:rPr>
                <w:sz w:val="20"/>
                <w:szCs w:val="20"/>
              </w:rPr>
              <w:t>Intuit Inc</w:t>
            </w:r>
          </w:p>
        </w:tc>
        <w:tc>
          <w:tcPr>
            <w:tcW w:w="425" w:type="dxa"/>
            <w:noWrap/>
            <w:hideMark/>
          </w:tcPr>
          <w:p w14:paraId="71D099DE" w14:textId="77777777" w:rsidR="00223E6B" w:rsidRPr="007B2066" w:rsidRDefault="00223E6B" w:rsidP="007B2066">
            <w:pPr>
              <w:rPr>
                <w:sz w:val="20"/>
                <w:szCs w:val="20"/>
              </w:rPr>
            </w:pPr>
            <w:r w:rsidRPr="007B2066">
              <w:rPr>
                <w:sz w:val="20"/>
                <w:szCs w:val="20"/>
              </w:rPr>
              <w:t>45</w:t>
            </w:r>
          </w:p>
        </w:tc>
        <w:tc>
          <w:tcPr>
            <w:tcW w:w="3119" w:type="dxa"/>
            <w:noWrap/>
            <w:hideMark/>
          </w:tcPr>
          <w:p w14:paraId="6AABBB6D" w14:textId="77777777" w:rsidR="00223E6B" w:rsidRPr="007B2066" w:rsidRDefault="00223E6B" w:rsidP="007B2066">
            <w:pPr>
              <w:rPr>
                <w:sz w:val="20"/>
                <w:szCs w:val="20"/>
              </w:rPr>
            </w:pPr>
            <w:r w:rsidRPr="007B2066">
              <w:rPr>
                <w:sz w:val="20"/>
                <w:szCs w:val="20"/>
              </w:rPr>
              <w:t>Ecolab Inc</w:t>
            </w:r>
          </w:p>
        </w:tc>
        <w:tc>
          <w:tcPr>
            <w:tcW w:w="567" w:type="dxa"/>
            <w:noWrap/>
            <w:hideMark/>
          </w:tcPr>
          <w:p w14:paraId="59424672" w14:textId="77777777" w:rsidR="00223E6B" w:rsidRPr="007B2066" w:rsidRDefault="00223E6B" w:rsidP="007B2066">
            <w:pPr>
              <w:rPr>
                <w:sz w:val="20"/>
                <w:szCs w:val="20"/>
              </w:rPr>
            </w:pPr>
            <w:r w:rsidRPr="007B2066">
              <w:rPr>
                <w:sz w:val="20"/>
                <w:szCs w:val="20"/>
              </w:rPr>
              <w:t>89</w:t>
            </w:r>
          </w:p>
        </w:tc>
        <w:tc>
          <w:tcPr>
            <w:tcW w:w="2693" w:type="dxa"/>
            <w:noWrap/>
            <w:hideMark/>
          </w:tcPr>
          <w:p w14:paraId="5E957B4C" w14:textId="77777777" w:rsidR="00223E6B" w:rsidRPr="007B2066" w:rsidRDefault="00223E6B" w:rsidP="007B2066">
            <w:pPr>
              <w:rPr>
                <w:sz w:val="20"/>
                <w:szCs w:val="20"/>
              </w:rPr>
            </w:pPr>
            <w:r w:rsidRPr="007B2066">
              <w:rPr>
                <w:sz w:val="20"/>
                <w:szCs w:val="20"/>
              </w:rPr>
              <w:t>Advance Auto Parts Inc</w:t>
            </w:r>
          </w:p>
        </w:tc>
      </w:tr>
      <w:tr w:rsidR="00DF5C29" w:rsidRPr="007B2066" w14:paraId="6EB35ECD" w14:textId="77777777" w:rsidTr="0083366D">
        <w:trPr>
          <w:trHeight w:val="255"/>
        </w:trPr>
        <w:tc>
          <w:tcPr>
            <w:tcW w:w="416" w:type="dxa"/>
            <w:noWrap/>
            <w:hideMark/>
          </w:tcPr>
          <w:p w14:paraId="73BEA010" w14:textId="77777777" w:rsidR="00223E6B" w:rsidRPr="007B2066" w:rsidRDefault="00223E6B" w:rsidP="007B2066">
            <w:pPr>
              <w:rPr>
                <w:sz w:val="20"/>
                <w:szCs w:val="20"/>
              </w:rPr>
            </w:pPr>
            <w:r w:rsidRPr="007B2066">
              <w:rPr>
                <w:sz w:val="20"/>
                <w:szCs w:val="20"/>
              </w:rPr>
              <w:t>2</w:t>
            </w:r>
          </w:p>
        </w:tc>
        <w:tc>
          <w:tcPr>
            <w:tcW w:w="3000" w:type="dxa"/>
            <w:noWrap/>
            <w:hideMark/>
          </w:tcPr>
          <w:p w14:paraId="730F772D" w14:textId="77777777" w:rsidR="00223E6B" w:rsidRPr="007B2066" w:rsidRDefault="00223E6B" w:rsidP="007B2066">
            <w:pPr>
              <w:rPr>
                <w:sz w:val="20"/>
                <w:szCs w:val="20"/>
              </w:rPr>
            </w:pPr>
            <w:r w:rsidRPr="007B2066">
              <w:rPr>
                <w:sz w:val="20"/>
                <w:szCs w:val="20"/>
              </w:rPr>
              <w:t>Fair Isaac Corp</w:t>
            </w:r>
          </w:p>
        </w:tc>
        <w:tc>
          <w:tcPr>
            <w:tcW w:w="425" w:type="dxa"/>
            <w:noWrap/>
            <w:hideMark/>
          </w:tcPr>
          <w:p w14:paraId="335BF2CF" w14:textId="77777777" w:rsidR="00223E6B" w:rsidRPr="007B2066" w:rsidRDefault="00223E6B" w:rsidP="007B2066">
            <w:pPr>
              <w:rPr>
                <w:sz w:val="20"/>
                <w:szCs w:val="20"/>
              </w:rPr>
            </w:pPr>
            <w:r w:rsidRPr="007B2066">
              <w:rPr>
                <w:sz w:val="20"/>
                <w:szCs w:val="20"/>
              </w:rPr>
              <w:t>46</w:t>
            </w:r>
          </w:p>
        </w:tc>
        <w:tc>
          <w:tcPr>
            <w:tcW w:w="3119" w:type="dxa"/>
            <w:noWrap/>
            <w:hideMark/>
          </w:tcPr>
          <w:p w14:paraId="697EB39B" w14:textId="77777777" w:rsidR="00223E6B" w:rsidRPr="007B2066" w:rsidRDefault="00223E6B" w:rsidP="007B2066">
            <w:pPr>
              <w:rPr>
                <w:sz w:val="20"/>
                <w:szCs w:val="20"/>
              </w:rPr>
            </w:pPr>
            <w:r w:rsidRPr="007B2066">
              <w:rPr>
                <w:sz w:val="20"/>
                <w:szCs w:val="20"/>
              </w:rPr>
              <w:t>NewMarket Corp</w:t>
            </w:r>
          </w:p>
        </w:tc>
        <w:tc>
          <w:tcPr>
            <w:tcW w:w="567" w:type="dxa"/>
            <w:noWrap/>
            <w:hideMark/>
          </w:tcPr>
          <w:p w14:paraId="3CBD3B4B" w14:textId="77777777" w:rsidR="00223E6B" w:rsidRPr="007B2066" w:rsidRDefault="00223E6B" w:rsidP="007B2066">
            <w:pPr>
              <w:rPr>
                <w:sz w:val="20"/>
                <w:szCs w:val="20"/>
              </w:rPr>
            </w:pPr>
            <w:r w:rsidRPr="007B2066">
              <w:rPr>
                <w:sz w:val="20"/>
                <w:szCs w:val="20"/>
              </w:rPr>
              <w:t>90</w:t>
            </w:r>
          </w:p>
        </w:tc>
        <w:tc>
          <w:tcPr>
            <w:tcW w:w="2693" w:type="dxa"/>
            <w:noWrap/>
            <w:hideMark/>
          </w:tcPr>
          <w:p w14:paraId="42987AFF" w14:textId="77777777" w:rsidR="00223E6B" w:rsidRPr="007B2066" w:rsidRDefault="00223E6B" w:rsidP="007B2066">
            <w:pPr>
              <w:rPr>
                <w:sz w:val="20"/>
                <w:szCs w:val="20"/>
              </w:rPr>
            </w:pPr>
            <w:r w:rsidRPr="007B2066">
              <w:rPr>
                <w:sz w:val="20"/>
                <w:szCs w:val="20"/>
              </w:rPr>
              <w:t>Asbury Automotive Group Inc</w:t>
            </w:r>
          </w:p>
        </w:tc>
      </w:tr>
      <w:tr w:rsidR="00DF5C29" w:rsidRPr="007B2066" w14:paraId="055E38AA" w14:textId="77777777" w:rsidTr="00DF5C29">
        <w:trPr>
          <w:trHeight w:val="300"/>
        </w:trPr>
        <w:tc>
          <w:tcPr>
            <w:tcW w:w="416" w:type="dxa"/>
            <w:noWrap/>
            <w:hideMark/>
          </w:tcPr>
          <w:p w14:paraId="7248DA54" w14:textId="77777777" w:rsidR="00223E6B" w:rsidRPr="007B2066" w:rsidRDefault="00223E6B" w:rsidP="007B2066">
            <w:pPr>
              <w:rPr>
                <w:sz w:val="20"/>
                <w:szCs w:val="20"/>
              </w:rPr>
            </w:pPr>
            <w:r w:rsidRPr="007B2066">
              <w:rPr>
                <w:sz w:val="20"/>
                <w:szCs w:val="20"/>
              </w:rPr>
              <w:t>3</w:t>
            </w:r>
          </w:p>
        </w:tc>
        <w:tc>
          <w:tcPr>
            <w:tcW w:w="3000" w:type="dxa"/>
            <w:noWrap/>
            <w:hideMark/>
          </w:tcPr>
          <w:p w14:paraId="6FECAC18" w14:textId="77777777" w:rsidR="00223E6B" w:rsidRPr="007B2066" w:rsidRDefault="00223E6B" w:rsidP="007B2066">
            <w:pPr>
              <w:rPr>
                <w:sz w:val="20"/>
                <w:szCs w:val="20"/>
              </w:rPr>
            </w:pPr>
            <w:r w:rsidRPr="007B2066">
              <w:rPr>
                <w:sz w:val="20"/>
                <w:szCs w:val="20"/>
              </w:rPr>
              <w:t>Ebix Inc</w:t>
            </w:r>
          </w:p>
        </w:tc>
        <w:tc>
          <w:tcPr>
            <w:tcW w:w="425" w:type="dxa"/>
            <w:noWrap/>
            <w:hideMark/>
          </w:tcPr>
          <w:p w14:paraId="6592FDFE" w14:textId="77777777" w:rsidR="00223E6B" w:rsidRPr="007B2066" w:rsidRDefault="00223E6B" w:rsidP="007B2066">
            <w:pPr>
              <w:rPr>
                <w:sz w:val="20"/>
                <w:szCs w:val="20"/>
              </w:rPr>
            </w:pPr>
            <w:r w:rsidRPr="007B2066">
              <w:rPr>
                <w:sz w:val="20"/>
                <w:szCs w:val="20"/>
              </w:rPr>
              <w:t>47</w:t>
            </w:r>
          </w:p>
        </w:tc>
        <w:tc>
          <w:tcPr>
            <w:tcW w:w="3119" w:type="dxa"/>
            <w:noWrap/>
            <w:hideMark/>
          </w:tcPr>
          <w:p w14:paraId="5326DB0E" w14:textId="77777777" w:rsidR="00223E6B" w:rsidRPr="007B2066" w:rsidRDefault="00223E6B" w:rsidP="007B2066">
            <w:pPr>
              <w:rPr>
                <w:sz w:val="20"/>
                <w:szCs w:val="20"/>
              </w:rPr>
            </w:pPr>
            <w:r w:rsidRPr="007B2066">
              <w:rPr>
                <w:sz w:val="20"/>
                <w:szCs w:val="20"/>
              </w:rPr>
              <w:t>FMC Corp</w:t>
            </w:r>
          </w:p>
        </w:tc>
        <w:tc>
          <w:tcPr>
            <w:tcW w:w="567" w:type="dxa"/>
            <w:noWrap/>
            <w:hideMark/>
          </w:tcPr>
          <w:p w14:paraId="14AE8380" w14:textId="77777777" w:rsidR="00223E6B" w:rsidRPr="007B2066" w:rsidRDefault="00223E6B" w:rsidP="007B2066">
            <w:pPr>
              <w:rPr>
                <w:sz w:val="20"/>
                <w:szCs w:val="20"/>
              </w:rPr>
            </w:pPr>
            <w:r w:rsidRPr="007B2066">
              <w:rPr>
                <w:sz w:val="20"/>
                <w:szCs w:val="20"/>
              </w:rPr>
              <w:t>91</w:t>
            </w:r>
          </w:p>
        </w:tc>
        <w:tc>
          <w:tcPr>
            <w:tcW w:w="2693" w:type="dxa"/>
            <w:noWrap/>
            <w:hideMark/>
          </w:tcPr>
          <w:p w14:paraId="05F7900F" w14:textId="77777777" w:rsidR="00223E6B" w:rsidRPr="007B2066" w:rsidRDefault="00223E6B" w:rsidP="007B2066">
            <w:pPr>
              <w:rPr>
                <w:sz w:val="20"/>
                <w:szCs w:val="20"/>
              </w:rPr>
            </w:pPr>
            <w:r w:rsidRPr="007B2066">
              <w:rPr>
                <w:sz w:val="20"/>
                <w:szCs w:val="20"/>
              </w:rPr>
              <w:t>Amazon.com Inc</w:t>
            </w:r>
          </w:p>
        </w:tc>
      </w:tr>
      <w:tr w:rsidR="00DF5C29" w:rsidRPr="007B2066" w14:paraId="21722354" w14:textId="77777777" w:rsidTr="00DF5C29">
        <w:trPr>
          <w:trHeight w:val="300"/>
        </w:trPr>
        <w:tc>
          <w:tcPr>
            <w:tcW w:w="416" w:type="dxa"/>
            <w:noWrap/>
            <w:hideMark/>
          </w:tcPr>
          <w:p w14:paraId="0AB0817E" w14:textId="77777777" w:rsidR="00223E6B" w:rsidRPr="007B2066" w:rsidRDefault="00223E6B" w:rsidP="007B2066">
            <w:pPr>
              <w:rPr>
                <w:sz w:val="20"/>
                <w:szCs w:val="20"/>
              </w:rPr>
            </w:pPr>
            <w:r w:rsidRPr="007B2066">
              <w:rPr>
                <w:sz w:val="20"/>
                <w:szCs w:val="20"/>
              </w:rPr>
              <w:t>4</w:t>
            </w:r>
          </w:p>
        </w:tc>
        <w:tc>
          <w:tcPr>
            <w:tcW w:w="3000" w:type="dxa"/>
            <w:noWrap/>
            <w:hideMark/>
          </w:tcPr>
          <w:p w14:paraId="306466F0" w14:textId="77777777" w:rsidR="00223E6B" w:rsidRPr="007B2066" w:rsidRDefault="00223E6B" w:rsidP="007B2066">
            <w:pPr>
              <w:rPr>
                <w:sz w:val="20"/>
                <w:szCs w:val="20"/>
              </w:rPr>
            </w:pPr>
            <w:r w:rsidRPr="007B2066">
              <w:rPr>
                <w:sz w:val="20"/>
                <w:szCs w:val="20"/>
              </w:rPr>
              <w:t>Progress Software Corp</w:t>
            </w:r>
          </w:p>
        </w:tc>
        <w:tc>
          <w:tcPr>
            <w:tcW w:w="425" w:type="dxa"/>
            <w:noWrap/>
            <w:hideMark/>
          </w:tcPr>
          <w:p w14:paraId="16CDC674" w14:textId="77777777" w:rsidR="00223E6B" w:rsidRPr="007B2066" w:rsidRDefault="00223E6B" w:rsidP="007B2066">
            <w:pPr>
              <w:rPr>
                <w:sz w:val="20"/>
                <w:szCs w:val="20"/>
              </w:rPr>
            </w:pPr>
            <w:r w:rsidRPr="007B2066">
              <w:rPr>
                <w:sz w:val="20"/>
                <w:szCs w:val="20"/>
              </w:rPr>
              <w:t>48</w:t>
            </w:r>
          </w:p>
        </w:tc>
        <w:tc>
          <w:tcPr>
            <w:tcW w:w="3119" w:type="dxa"/>
            <w:noWrap/>
            <w:hideMark/>
          </w:tcPr>
          <w:p w14:paraId="6F430BA2" w14:textId="77777777" w:rsidR="00223E6B" w:rsidRPr="007B2066" w:rsidRDefault="00223E6B" w:rsidP="007B2066">
            <w:pPr>
              <w:rPr>
                <w:sz w:val="20"/>
                <w:szCs w:val="20"/>
              </w:rPr>
            </w:pPr>
            <w:r w:rsidRPr="007B2066">
              <w:rPr>
                <w:sz w:val="20"/>
                <w:szCs w:val="20"/>
              </w:rPr>
              <w:t>HB Fuller Co</w:t>
            </w:r>
          </w:p>
        </w:tc>
        <w:tc>
          <w:tcPr>
            <w:tcW w:w="567" w:type="dxa"/>
            <w:noWrap/>
            <w:hideMark/>
          </w:tcPr>
          <w:p w14:paraId="7A22283B" w14:textId="77777777" w:rsidR="00223E6B" w:rsidRPr="007B2066" w:rsidRDefault="00223E6B" w:rsidP="007B2066">
            <w:pPr>
              <w:rPr>
                <w:sz w:val="20"/>
                <w:szCs w:val="20"/>
              </w:rPr>
            </w:pPr>
            <w:r w:rsidRPr="007B2066">
              <w:rPr>
                <w:sz w:val="20"/>
                <w:szCs w:val="20"/>
              </w:rPr>
              <w:t>92</w:t>
            </w:r>
          </w:p>
        </w:tc>
        <w:tc>
          <w:tcPr>
            <w:tcW w:w="2693" w:type="dxa"/>
            <w:noWrap/>
            <w:hideMark/>
          </w:tcPr>
          <w:p w14:paraId="0B6E4C4F" w14:textId="77777777" w:rsidR="00223E6B" w:rsidRPr="007B2066" w:rsidRDefault="00223E6B" w:rsidP="007B2066">
            <w:pPr>
              <w:rPr>
                <w:sz w:val="20"/>
                <w:szCs w:val="20"/>
              </w:rPr>
            </w:pPr>
            <w:r w:rsidRPr="007B2066">
              <w:rPr>
                <w:sz w:val="20"/>
                <w:szCs w:val="20"/>
              </w:rPr>
              <w:t>AutoNation Inc</w:t>
            </w:r>
          </w:p>
        </w:tc>
      </w:tr>
      <w:tr w:rsidR="00DF5C29" w:rsidRPr="007B2066" w14:paraId="79418704" w14:textId="77777777" w:rsidTr="00DF5C29">
        <w:trPr>
          <w:trHeight w:val="300"/>
        </w:trPr>
        <w:tc>
          <w:tcPr>
            <w:tcW w:w="416" w:type="dxa"/>
            <w:noWrap/>
            <w:hideMark/>
          </w:tcPr>
          <w:p w14:paraId="32C222EF" w14:textId="77777777" w:rsidR="00223E6B" w:rsidRPr="007B2066" w:rsidRDefault="00223E6B" w:rsidP="007B2066">
            <w:pPr>
              <w:rPr>
                <w:sz w:val="20"/>
                <w:szCs w:val="20"/>
              </w:rPr>
            </w:pPr>
            <w:r w:rsidRPr="007B2066">
              <w:rPr>
                <w:sz w:val="20"/>
                <w:szCs w:val="20"/>
              </w:rPr>
              <w:t>5</w:t>
            </w:r>
          </w:p>
        </w:tc>
        <w:tc>
          <w:tcPr>
            <w:tcW w:w="3000" w:type="dxa"/>
            <w:noWrap/>
            <w:hideMark/>
          </w:tcPr>
          <w:p w14:paraId="5CC3075C" w14:textId="77777777" w:rsidR="00223E6B" w:rsidRPr="007B2066" w:rsidRDefault="00223E6B" w:rsidP="007B2066">
            <w:pPr>
              <w:rPr>
                <w:sz w:val="20"/>
                <w:szCs w:val="20"/>
              </w:rPr>
            </w:pPr>
            <w:r w:rsidRPr="007B2066">
              <w:rPr>
                <w:sz w:val="20"/>
                <w:szCs w:val="20"/>
              </w:rPr>
              <w:t>DST Systems Inc</w:t>
            </w:r>
          </w:p>
        </w:tc>
        <w:tc>
          <w:tcPr>
            <w:tcW w:w="425" w:type="dxa"/>
            <w:noWrap/>
            <w:hideMark/>
          </w:tcPr>
          <w:p w14:paraId="40FE3AC6" w14:textId="77777777" w:rsidR="00223E6B" w:rsidRPr="007B2066" w:rsidRDefault="00223E6B" w:rsidP="007B2066">
            <w:pPr>
              <w:rPr>
                <w:sz w:val="20"/>
                <w:szCs w:val="20"/>
              </w:rPr>
            </w:pPr>
            <w:r w:rsidRPr="007B2066">
              <w:rPr>
                <w:sz w:val="20"/>
                <w:szCs w:val="20"/>
              </w:rPr>
              <w:t>49</w:t>
            </w:r>
          </w:p>
        </w:tc>
        <w:tc>
          <w:tcPr>
            <w:tcW w:w="3119" w:type="dxa"/>
            <w:noWrap/>
            <w:hideMark/>
          </w:tcPr>
          <w:p w14:paraId="74219C69" w14:textId="77777777" w:rsidR="00223E6B" w:rsidRPr="007B2066" w:rsidRDefault="00223E6B" w:rsidP="007B2066">
            <w:pPr>
              <w:rPr>
                <w:sz w:val="20"/>
                <w:szCs w:val="20"/>
                <w:lang w:val="en-US"/>
              </w:rPr>
            </w:pPr>
            <w:r w:rsidRPr="007B2066">
              <w:rPr>
                <w:sz w:val="20"/>
                <w:szCs w:val="20"/>
                <w:lang w:val="en-US"/>
              </w:rPr>
              <w:t>Air Products and Chemicals Inc</w:t>
            </w:r>
          </w:p>
        </w:tc>
        <w:tc>
          <w:tcPr>
            <w:tcW w:w="567" w:type="dxa"/>
            <w:noWrap/>
            <w:hideMark/>
          </w:tcPr>
          <w:p w14:paraId="487A6A38" w14:textId="77777777" w:rsidR="00223E6B" w:rsidRPr="007B2066" w:rsidRDefault="00223E6B" w:rsidP="007B2066">
            <w:pPr>
              <w:rPr>
                <w:sz w:val="20"/>
                <w:szCs w:val="20"/>
              </w:rPr>
            </w:pPr>
            <w:r w:rsidRPr="007B2066">
              <w:rPr>
                <w:sz w:val="20"/>
                <w:szCs w:val="20"/>
              </w:rPr>
              <w:t>93</w:t>
            </w:r>
          </w:p>
        </w:tc>
        <w:tc>
          <w:tcPr>
            <w:tcW w:w="2693" w:type="dxa"/>
            <w:noWrap/>
            <w:hideMark/>
          </w:tcPr>
          <w:p w14:paraId="1B49CCC6" w14:textId="77777777" w:rsidR="00223E6B" w:rsidRPr="007B2066" w:rsidRDefault="00223E6B" w:rsidP="007B2066">
            <w:pPr>
              <w:rPr>
                <w:sz w:val="20"/>
                <w:szCs w:val="20"/>
              </w:rPr>
            </w:pPr>
            <w:r w:rsidRPr="007B2066">
              <w:rPr>
                <w:sz w:val="20"/>
                <w:szCs w:val="20"/>
              </w:rPr>
              <w:t>Ascena Retail Group Inc</w:t>
            </w:r>
          </w:p>
        </w:tc>
      </w:tr>
      <w:tr w:rsidR="00DF5C29" w:rsidRPr="007B2066" w14:paraId="068EC4D2" w14:textId="77777777" w:rsidTr="00DF5C29">
        <w:trPr>
          <w:trHeight w:val="300"/>
        </w:trPr>
        <w:tc>
          <w:tcPr>
            <w:tcW w:w="416" w:type="dxa"/>
            <w:noWrap/>
            <w:hideMark/>
          </w:tcPr>
          <w:p w14:paraId="61E5A268" w14:textId="77777777" w:rsidR="00223E6B" w:rsidRPr="007B2066" w:rsidRDefault="00223E6B" w:rsidP="007B2066">
            <w:pPr>
              <w:rPr>
                <w:sz w:val="20"/>
                <w:szCs w:val="20"/>
              </w:rPr>
            </w:pPr>
            <w:r w:rsidRPr="007B2066">
              <w:rPr>
                <w:sz w:val="20"/>
                <w:szCs w:val="20"/>
              </w:rPr>
              <w:t>6</w:t>
            </w:r>
          </w:p>
        </w:tc>
        <w:tc>
          <w:tcPr>
            <w:tcW w:w="3000" w:type="dxa"/>
            <w:noWrap/>
            <w:hideMark/>
          </w:tcPr>
          <w:p w14:paraId="419456A8" w14:textId="77777777" w:rsidR="00223E6B" w:rsidRPr="007B2066" w:rsidRDefault="00223E6B" w:rsidP="007B2066">
            <w:pPr>
              <w:rPr>
                <w:sz w:val="20"/>
                <w:szCs w:val="20"/>
              </w:rPr>
            </w:pPr>
            <w:r w:rsidRPr="007B2066">
              <w:rPr>
                <w:sz w:val="20"/>
                <w:szCs w:val="20"/>
              </w:rPr>
              <w:t>Blackbaud Inc</w:t>
            </w:r>
          </w:p>
        </w:tc>
        <w:tc>
          <w:tcPr>
            <w:tcW w:w="425" w:type="dxa"/>
            <w:noWrap/>
            <w:hideMark/>
          </w:tcPr>
          <w:p w14:paraId="72CD53EE" w14:textId="77777777" w:rsidR="00223E6B" w:rsidRPr="007B2066" w:rsidRDefault="00223E6B" w:rsidP="007B2066">
            <w:pPr>
              <w:rPr>
                <w:sz w:val="20"/>
                <w:szCs w:val="20"/>
              </w:rPr>
            </w:pPr>
            <w:r w:rsidRPr="007B2066">
              <w:rPr>
                <w:sz w:val="20"/>
                <w:szCs w:val="20"/>
              </w:rPr>
              <w:t>50</w:t>
            </w:r>
          </w:p>
        </w:tc>
        <w:tc>
          <w:tcPr>
            <w:tcW w:w="3119" w:type="dxa"/>
            <w:noWrap/>
            <w:hideMark/>
          </w:tcPr>
          <w:p w14:paraId="4A19B6B0" w14:textId="77777777" w:rsidR="00223E6B" w:rsidRPr="007B2066" w:rsidRDefault="00223E6B" w:rsidP="007B2066">
            <w:pPr>
              <w:rPr>
                <w:sz w:val="20"/>
                <w:szCs w:val="20"/>
              </w:rPr>
            </w:pPr>
            <w:r w:rsidRPr="007B2066">
              <w:rPr>
                <w:sz w:val="20"/>
                <w:szCs w:val="20"/>
              </w:rPr>
              <w:t>Ampal American Israel Corp</w:t>
            </w:r>
          </w:p>
        </w:tc>
        <w:tc>
          <w:tcPr>
            <w:tcW w:w="567" w:type="dxa"/>
            <w:noWrap/>
            <w:hideMark/>
          </w:tcPr>
          <w:p w14:paraId="57826710" w14:textId="77777777" w:rsidR="00223E6B" w:rsidRPr="007B2066" w:rsidRDefault="00223E6B" w:rsidP="007B2066">
            <w:pPr>
              <w:rPr>
                <w:sz w:val="20"/>
                <w:szCs w:val="20"/>
              </w:rPr>
            </w:pPr>
            <w:r w:rsidRPr="007B2066">
              <w:rPr>
                <w:sz w:val="20"/>
                <w:szCs w:val="20"/>
              </w:rPr>
              <w:t>94</w:t>
            </w:r>
          </w:p>
        </w:tc>
        <w:tc>
          <w:tcPr>
            <w:tcW w:w="2693" w:type="dxa"/>
            <w:noWrap/>
            <w:hideMark/>
          </w:tcPr>
          <w:p w14:paraId="40B8A495" w14:textId="77777777" w:rsidR="00223E6B" w:rsidRPr="007B2066" w:rsidRDefault="00223E6B" w:rsidP="007B2066">
            <w:pPr>
              <w:rPr>
                <w:sz w:val="20"/>
                <w:szCs w:val="20"/>
              </w:rPr>
            </w:pPr>
            <w:r w:rsidRPr="007B2066">
              <w:rPr>
                <w:sz w:val="20"/>
                <w:szCs w:val="20"/>
              </w:rPr>
              <w:t>Autozone Inc</w:t>
            </w:r>
          </w:p>
        </w:tc>
      </w:tr>
      <w:tr w:rsidR="00DF5C29" w:rsidRPr="007B2066" w14:paraId="381BB3B8" w14:textId="77777777" w:rsidTr="00DF5C29">
        <w:trPr>
          <w:trHeight w:val="300"/>
        </w:trPr>
        <w:tc>
          <w:tcPr>
            <w:tcW w:w="416" w:type="dxa"/>
            <w:noWrap/>
            <w:hideMark/>
          </w:tcPr>
          <w:p w14:paraId="2E2153DA" w14:textId="77777777" w:rsidR="00223E6B" w:rsidRPr="007B2066" w:rsidRDefault="00223E6B" w:rsidP="007B2066">
            <w:pPr>
              <w:rPr>
                <w:sz w:val="20"/>
                <w:szCs w:val="20"/>
              </w:rPr>
            </w:pPr>
            <w:r w:rsidRPr="007B2066">
              <w:rPr>
                <w:sz w:val="20"/>
                <w:szCs w:val="20"/>
              </w:rPr>
              <w:t>7</w:t>
            </w:r>
          </w:p>
        </w:tc>
        <w:tc>
          <w:tcPr>
            <w:tcW w:w="3000" w:type="dxa"/>
            <w:noWrap/>
            <w:hideMark/>
          </w:tcPr>
          <w:p w14:paraId="4F9AA870" w14:textId="77777777" w:rsidR="00223E6B" w:rsidRPr="007B2066" w:rsidRDefault="00223E6B" w:rsidP="007B2066">
            <w:pPr>
              <w:rPr>
                <w:sz w:val="20"/>
                <w:szCs w:val="20"/>
              </w:rPr>
            </w:pPr>
            <w:r w:rsidRPr="007B2066">
              <w:rPr>
                <w:sz w:val="20"/>
                <w:szCs w:val="20"/>
              </w:rPr>
              <w:t>Teradata Corp</w:t>
            </w:r>
          </w:p>
        </w:tc>
        <w:tc>
          <w:tcPr>
            <w:tcW w:w="425" w:type="dxa"/>
            <w:noWrap/>
            <w:hideMark/>
          </w:tcPr>
          <w:p w14:paraId="7B3CAD25" w14:textId="77777777" w:rsidR="00223E6B" w:rsidRPr="007B2066" w:rsidRDefault="00223E6B" w:rsidP="007B2066">
            <w:pPr>
              <w:rPr>
                <w:sz w:val="20"/>
                <w:szCs w:val="20"/>
              </w:rPr>
            </w:pPr>
            <w:r w:rsidRPr="007B2066">
              <w:rPr>
                <w:sz w:val="20"/>
                <w:szCs w:val="20"/>
              </w:rPr>
              <w:t>51</w:t>
            </w:r>
          </w:p>
        </w:tc>
        <w:tc>
          <w:tcPr>
            <w:tcW w:w="3119" w:type="dxa"/>
            <w:noWrap/>
            <w:hideMark/>
          </w:tcPr>
          <w:p w14:paraId="61CB6A30" w14:textId="77777777" w:rsidR="00223E6B" w:rsidRPr="007B2066" w:rsidRDefault="00223E6B" w:rsidP="007B2066">
            <w:pPr>
              <w:rPr>
                <w:sz w:val="20"/>
                <w:szCs w:val="20"/>
              </w:rPr>
            </w:pPr>
            <w:r w:rsidRPr="007B2066">
              <w:rPr>
                <w:sz w:val="20"/>
                <w:szCs w:val="20"/>
              </w:rPr>
              <w:t>Ashland Global Holdings Inc</w:t>
            </w:r>
          </w:p>
        </w:tc>
        <w:tc>
          <w:tcPr>
            <w:tcW w:w="567" w:type="dxa"/>
            <w:noWrap/>
            <w:hideMark/>
          </w:tcPr>
          <w:p w14:paraId="53B5961E" w14:textId="77777777" w:rsidR="00223E6B" w:rsidRPr="007B2066" w:rsidRDefault="00223E6B" w:rsidP="007B2066">
            <w:pPr>
              <w:rPr>
                <w:sz w:val="20"/>
                <w:szCs w:val="20"/>
              </w:rPr>
            </w:pPr>
            <w:r w:rsidRPr="007B2066">
              <w:rPr>
                <w:sz w:val="20"/>
                <w:szCs w:val="20"/>
              </w:rPr>
              <w:t>95</w:t>
            </w:r>
          </w:p>
        </w:tc>
        <w:tc>
          <w:tcPr>
            <w:tcW w:w="2693" w:type="dxa"/>
            <w:noWrap/>
            <w:hideMark/>
          </w:tcPr>
          <w:p w14:paraId="784CDF34" w14:textId="77777777" w:rsidR="00223E6B" w:rsidRPr="007B2066" w:rsidRDefault="00223E6B" w:rsidP="007B2066">
            <w:pPr>
              <w:rPr>
                <w:sz w:val="20"/>
                <w:szCs w:val="20"/>
              </w:rPr>
            </w:pPr>
            <w:r w:rsidRPr="007B2066">
              <w:rPr>
                <w:sz w:val="20"/>
                <w:szCs w:val="20"/>
              </w:rPr>
              <w:t>Bed Bath &amp; Beyond Inc</w:t>
            </w:r>
          </w:p>
        </w:tc>
      </w:tr>
      <w:tr w:rsidR="00DF5C29" w:rsidRPr="007B2066" w14:paraId="32587899" w14:textId="77777777" w:rsidTr="00DF5C29">
        <w:trPr>
          <w:trHeight w:val="300"/>
        </w:trPr>
        <w:tc>
          <w:tcPr>
            <w:tcW w:w="416" w:type="dxa"/>
            <w:noWrap/>
            <w:hideMark/>
          </w:tcPr>
          <w:p w14:paraId="19CA6DFE" w14:textId="77777777" w:rsidR="00223E6B" w:rsidRPr="007B2066" w:rsidRDefault="00223E6B" w:rsidP="007B2066">
            <w:pPr>
              <w:rPr>
                <w:sz w:val="20"/>
                <w:szCs w:val="20"/>
              </w:rPr>
            </w:pPr>
            <w:r w:rsidRPr="007B2066">
              <w:rPr>
                <w:sz w:val="20"/>
                <w:szCs w:val="20"/>
              </w:rPr>
              <w:t>8</w:t>
            </w:r>
          </w:p>
        </w:tc>
        <w:tc>
          <w:tcPr>
            <w:tcW w:w="3000" w:type="dxa"/>
            <w:noWrap/>
            <w:hideMark/>
          </w:tcPr>
          <w:p w14:paraId="05EA5C14" w14:textId="77777777" w:rsidR="00223E6B" w:rsidRPr="007B2066" w:rsidRDefault="00223E6B" w:rsidP="007B2066">
            <w:pPr>
              <w:rPr>
                <w:sz w:val="20"/>
                <w:szCs w:val="20"/>
              </w:rPr>
            </w:pPr>
            <w:r w:rsidRPr="007B2066">
              <w:rPr>
                <w:sz w:val="20"/>
                <w:szCs w:val="20"/>
              </w:rPr>
              <w:t>TTEC Holdings Inc</w:t>
            </w:r>
          </w:p>
        </w:tc>
        <w:tc>
          <w:tcPr>
            <w:tcW w:w="425" w:type="dxa"/>
            <w:noWrap/>
            <w:hideMark/>
          </w:tcPr>
          <w:p w14:paraId="0ADB2497" w14:textId="77777777" w:rsidR="00223E6B" w:rsidRPr="007B2066" w:rsidRDefault="00223E6B" w:rsidP="007B2066">
            <w:pPr>
              <w:rPr>
                <w:sz w:val="20"/>
                <w:szCs w:val="20"/>
              </w:rPr>
            </w:pPr>
            <w:r w:rsidRPr="007B2066">
              <w:rPr>
                <w:sz w:val="20"/>
                <w:szCs w:val="20"/>
              </w:rPr>
              <w:t>52</w:t>
            </w:r>
          </w:p>
        </w:tc>
        <w:tc>
          <w:tcPr>
            <w:tcW w:w="3119" w:type="dxa"/>
            <w:noWrap/>
            <w:hideMark/>
          </w:tcPr>
          <w:p w14:paraId="1417669C" w14:textId="77777777" w:rsidR="00223E6B" w:rsidRPr="007B2066" w:rsidRDefault="00223E6B" w:rsidP="007B2066">
            <w:pPr>
              <w:rPr>
                <w:sz w:val="20"/>
                <w:szCs w:val="20"/>
              </w:rPr>
            </w:pPr>
            <w:r w:rsidRPr="007B2066">
              <w:rPr>
                <w:sz w:val="20"/>
                <w:szCs w:val="20"/>
              </w:rPr>
              <w:t>LSB Industries Inc</w:t>
            </w:r>
          </w:p>
        </w:tc>
        <w:tc>
          <w:tcPr>
            <w:tcW w:w="567" w:type="dxa"/>
            <w:noWrap/>
            <w:hideMark/>
          </w:tcPr>
          <w:p w14:paraId="60C83986" w14:textId="77777777" w:rsidR="00223E6B" w:rsidRPr="007B2066" w:rsidRDefault="00223E6B" w:rsidP="007B2066">
            <w:pPr>
              <w:rPr>
                <w:sz w:val="20"/>
                <w:szCs w:val="20"/>
              </w:rPr>
            </w:pPr>
            <w:r w:rsidRPr="007B2066">
              <w:rPr>
                <w:sz w:val="20"/>
                <w:szCs w:val="20"/>
              </w:rPr>
              <w:t>96</w:t>
            </w:r>
          </w:p>
        </w:tc>
        <w:tc>
          <w:tcPr>
            <w:tcW w:w="2693" w:type="dxa"/>
            <w:noWrap/>
            <w:hideMark/>
          </w:tcPr>
          <w:p w14:paraId="7C53B520" w14:textId="77777777" w:rsidR="00223E6B" w:rsidRPr="007B2066" w:rsidRDefault="00223E6B" w:rsidP="007B2066">
            <w:pPr>
              <w:rPr>
                <w:sz w:val="20"/>
                <w:szCs w:val="20"/>
              </w:rPr>
            </w:pPr>
            <w:r w:rsidRPr="007B2066">
              <w:rPr>
                <w:sz w:val="20"/>
                <w:szCs w:val="20"/>
              </w:rPr>
              <w:t>Best Buy Co Inc</w:t>
            </w:r>
          </w:p>
        </w:tc>
      </w:tr>
      <w:tr w:rsidR="00DF5C29" w:rsidRPr="007B2066" w14:paraId="59C2597E" w14:textId="77777777" w:rsidTr="00DF5C29">
        <w:trPr>
          <w:trHeight w:val="300"/>
        </w:trPr>
        <w:tc>
          <w:tcPr>
            <w:tcW w:w="416" w:type="dxa"/>
            <w:noWrap/>
            <w:hideMark/>
          </w:tcPr>
          <w:p w14:paraId="071755AF" w14:textId="77777777" w:rsidR="00223E6B" w:rsidRPr="007B2066" w:rsidRDefault="00223E6B" w:rsidP="007B2066">
            <w:pPr>
              <w:rPr>
                <w:sz w:val="20"/>
                <w:szCs w:val="20"/>
              </w:rPr>
            </w:pPr>
            <w:r w:rsidRPr="007B2066">
              <w:rPr>
                <w:sz w:val="20"/>
                <w:szCs w:val="20"/>
              </w:rPr>
              <w:t>9</w:t>
            </w:r>
          </w:p>
        </w:tc>
        <w:tc>
          <w:tcPr>
            <w:tcW w:w="3000" w:type="dxa"/>
            <w:noWrap/>
            <w:hideMark/>
          </w:tcPr>
          <w:p w14:paraId="253ED4B8" w14:textId="77777777" w:rsidR="00223E6B" w:rsidRPr="007B2066" w:rsidRDefault="00223E6B" w:rsidP="007B2066">
            <w:pPr>
              <w:rPr>
                <w:sz w:val="20"/>
                <w:szCs w:val="20"/>
              </w:rPr>
            </w:pPr>
            <w:r w:rsidRPr="007B2066">
              <w:rPr>
                <w:sz w:val="20"/>
                <w:szCs w:val="20"/>
              </w:rPr>
              <w:t>Akamai Technologies Inc</w:t>
            </w:r>
          </w:p>
        </w:tc>
        <w:tc>
          <w:tcPr>
            <w:tcW w:w="425" w:type="dxa"/>
            <w:noWrap/>
            <w:hideMark/>
          </w:tcPr>
          <w:p w14:paraId="76736EE2" w14:textId="77777777" w:rsidR="00223E6B" w:rsidRPr="007B2066" w:rsidRDefault="00223E6B" w:rsidP="007B2066">
            <w:pPr>
              <w:rPr>
                <w:sz w:val="20"/>
                <w:szCs w:val="20"/>
              </w:rPr>
            </w:pPr>
            <w:r w:rsidRPr="007B2066">
              <w:rPr>
                <w:sz w:val="20"/>
                <w:szCs w:val="20"/>
              </w:rPr>
              <w:t>53</w:t>
            </w:r>
          </w:p>
        </w:tc>
        <w:tc>
          <w:tcPr>
            <w:tcW w:w="3119" w:type="dxa"/>
            <w:noWrap/>
            <w:hideMark/>
          </w:tcPr>
          <w:p w14:paraId="4571BE5A" w14:textId="77777777" w:rsidR="00223E6B" w:rsidRPr="007B2066" w:rsidRDefault="00223E6B" w:rsidP="007B2066">
            <w:pPr>
              <w:rPr>
                <w:sz w:val="20"/>
                <w:szCs w:val="20"/>
              </w:rPr>
            </w:pPr>
            <w:r w:rsidRPr="007B2066">
              <w:rPr>
                <w:sz w:val="20"/>
                <w:szCs w:val="20"/>
              </w:rPr>
              <w:t>Cabot Corp</w:t>
            </w:r>
          </w:p>
        </w:tc>
        <w:tc>
          <w:tcPr>
            <w:tcW w:w="567" w:type="dxa"/>
            <w:noWrap/>
            <w:hideMark/>
          </w:tcPr>
          <w:p w14:paraId="37A04C0D" w14:textId="77777777" w:rsidR="00223E6B" w:rsidRPr="007B2066" w:rsidRDefault="00223E6B" w:rsidP="007B2066">
            <w:pPr>
              <w:rPr>
                <w:sz w:val="20"/>
                <w:szCs w:val="20"/>
              </w:rPr>
            </w:pPr>
            <w:r w:rsidRPr="007B2066">
              <w:rPr>
                <w:sz w:val="20"/>
                <w:szCs w:val="20"/>
              </w:rPr>
              <w:t>97</w:t>
            </w:r>
          </w:p>
        </w:tc>
        <w:tc>
          <w:tcPr>
            <w:tcW w:w="2693" w:type="dxa"/>
            <w:noWrap/>
            <w:hideMark/>
          </w:tcPr>
          <w:p w14:paraId="1B9261E5" w14:textId="77777777" w:rsidR="00223E6B" w:rsidRPr="007B2066" w:rsidRDefault="00223E6B" w:rsidP="007B2066">
            <w:pPr>
              <w:rPr>
                <w:sz w:val="20"/>
                <w:szCs w:val="20"/>
              </w:rPr>
            </w:pPr>
            <w:r w:rsidRPr="007B2066">
              <w:rPr>
                <w:sz w:val="20"/>
                <w:szCs w:val="20"/>
              </w:rPr>
              <w:t>Sotheby's</w:t>
            </w:r>
          </w:p>
        </w:tc>
      </w:tr>
      <w:tr w:rsidR="00DF5C29" w:rsidRPr="007B2066" w14:paraId="1F1C22FB" w14:textId="77777777" w:rsidTr="00DF5C29">
        <w:trPr>
          <w:trHeight w:val="300"/>
        </w:trPr>
        <w:tc>
          <w:tcPr>
            <w:tcW w:w="416" w:type="dxa"/>
            <w:noWrap/>
            <w:hideMark/>
          </w:tcPr>
          <w:p w14:paraId="0FF025AC" w14:textId="77777777" w:rsidR="00223E6B" w:rsidRPr="007B2066" w:rsidRDefault="00223E6B" w:rsidP="007B2066">
            <w:pPr>
              <w:rPr>
                <w:sz w:val="20"/>
                <w:szCs w:val="20"/>
              </w:rPr>
            </w:pPr>
            <w:r w:rsidRPr="007B2066">
              <w:rPr>
                <w:sz w:val="20"/>
                <w:szCs w:val="20"/>
              </w:rPr>
              <w:t>10</w:t>
            </w:r>
          </w:p>
        </w:tc>
        <w:tc>
          <w:tcPr>
            <w:tcW w:w="3000" w:type="dxa"/>
            <w:noWrap/>
            <w:hideMark/>
          </w:tcPr>
          <w:p w14:paraId="0AE1E45F" w14:textId="77777777" w:rsidR="00223E6B" w:rsidRPr="007B2066" w:rsidRDefault="00223E6B" w:rsidP="007B2066">
            <w:pPr>
              <w:rPr>
                <w:sz w:val="20"/>
                <w:szCs w:val="20"/>
              </w:rPr>
            </w:pPr>
            <w:r w:rsidRPr="007B2066">
              <w:rPr>
                <w:sz w:val="20"/>
                <w:szCs w:val="20"/>
              </w:rPr>
              <w:t>Red Hat Inc</w:t>
            </w:r>
          </w:p>
        </w:tc>
        <w:tc>
          <w:tcPr>
            <w:tcW w:w="425" w:type="dxa"/>
            <w:noWrap/>
            <w:hideMark/>
          </w:tcPr>
          <w:p w14:paraId="1702BC6C" w14:textId="77777777" w:rsidR="00223E6B" w:rsidRPr="007B2066" w:rsidRDefault="00223E6B" w:rsidP="007B2066">
            <w:pPr>
              <w:rPr>
                <w:sz w:val="20"/>
                <w:szCs w:val="20"/>
              </w:rPr>
            </w:pPr>
            <w:r w:rsidRPr="007B2066">
              <w:rPr>
                <w:sz w:val="20"/>
                <w:szCs w:val="20"/>
              </w:rPr>
              <w:t>54</w:t>
            </w:r>
          </w:p>
        </w:tc>
        <w:tc>
          <w:tcPr>
            <w:tcW w:w="3119" w:type="dxa"/>
            <w:noWrap/>
            <w:hideMark/>
          </w:tcPr>
          <w:p w14:paraId="5F033FA4" w14:textId="77777777" w:rsidR="00223E6B" w:rsidRPr="007B2066" w:rsidRDefault="00223E6B" w:rsidP="007B2066">
            <w:pPr>
              <w:rPr>
                <w:sz w:val="20"/>
                <w:szCs w:val="20"/>
              </w:rPr>
            </w:pPr>
            <w:r w:rsidRPr="007B2066">
              <w:rPr>
                <w:sz w:val="20"/>
                <w:szCs w:val="20"/>
              </w:rPr>
              <w:t>Olin Corp</w:t>
            </w:r>
          </w:p>
        </w:tc>
        <w:tc>
          <w:tcPr>
            <w:tcW w:w="567" w:type="dxa"/>
            <w:noWrap/>
            <w:hideMark/>
          </w:tcPr>
          <w:p w14:paraId="1AAD7090" w14:textId="77777777" w:rsidR="00223E6B" w:rsidRPr="007B2066" w:rsidRDefault="00223E6B" w:rsidP="007B2066">
            <w:pPr>
              <w:rPr>
                <w:sz w:val="20"/>
                <w:szCs w:val="20"/>
              </w:rPr>
            </w:pPr>
            <w:r w:rsidRPr="007B2066">
              <w:rPr>
                <w:sz w:val="20"/>
                <w:szCs w:val="20"/>
              </w:rPr>
              <w:t>98</w:t>
            </w:r>
          </w:p>
        </w:tc>
        <w:tc>
          <w:tcPr>
            <w:tcW w:w="2693" w:type="dxa"/>
            <w:noWrap/>
            <w:hideMark/>
          </w:tcPr>
          <w:p w14:paraId="0AC41311" w14:textId="77777777" w:rsidR="00223E6B" w:rsidRPr="007B2066" w:rsidRDefault="00223E6B" w:rsidP="007B2066">
            <w:pPr>
              <w:rPr>
                <w:sz w:val="20"/>
                <w:szCs w:val="20"/>
              </w:rPr>
            </w:pPr>
            <w:r w:rsidRPr="007B2066">
              <w:rPr>
                <w:sz w:val="20"/>
                <w:szCs w:val="20"/>
              </w:rPr>
              <w:t>BB Liquidating Inc</w:t>
            </w:r>
          </w:p>
        </w:tc>
      </w:tr>
      <w:tr w:rsidR="00DF5C29" w:rsidRPr="007B2066" w14:paraId="28399CA8" w14:textId="77777777" w:rsidTr="00DF5C29">
        <w:trPr>
          <w:trHeight w:val="300"/>
        </w:trPr>
        <w:tc>
          <w:tcPr>
            <w:tcW w:w="416" w:type="dxa"/>
            <w:noWrap/>
            <w:hideMark/>
          </w:tcPr>
          <w:p w14:paraId="1576CCAE" w14:textId="77777777" w:rsidR="00223E6B" w:rsidRPr="007B2066" w:rsidRDefault="00223E6B" w:rsidP="007B2066">
            <w:pPr>
              <w:rPr>
                <w:sz w:val="20"/>
                <w:szCs w:val="20"/>
              </w:rPr>
            </w:pPr>
            <w:r w:rsidRPr="007B2066">
              <w:rPr>
                <w:sz w:val="20"/>
                <w:szCs w:val="20"/>
              </w:rPr>
              <w:t>11</w:t>
            </w:r>
          </w:p>
        </w:tc>
        <w:tc>
          <w:tcPr>
            <w:tcW w:w="3000" w:type="dxa"/>
            <w:noWrap/>
            <w:hideMark/>
          </w:tcPr>
          <w:p w14:paraId="0996EC5B" w14:textId="77777777" w:rsidR="00223E6B" w:rsidRPr="007B2066" w:rsidRDefault="00223E6B" w:rsidP="007B2066">
            <w:pPr>
              <w:rPr>
                <w:sz w:val="20"/>
                <w:szCs w:val="20"/>
              </w:rPr>
            </w:pPr>
            <w:r w:rsidRPr="007B2066">
              <w:rPr>
                <w:sz w:val="20"/>
                <w:szCs w:val="20"/>
              </w:rPr>
              <w:t>Acxiom Corp</w:t>
            </w:r>
          </w:p>
        </w:tc>
        <w:tc>
          <w:tcPr>
            <w:tcW w:w="425" w:type="dxa"/>
            <w:noWrap/>
            <w:hideMark/>
          </w:tcPr>
          <w:p w14:paraId="7DF61AEC" w14:textId="77777777" w:rsidR="00223E6B" w:rsidRPr="007B2066" w:rsidRDefault="00223E6B" w:rsidP="007B2066">
            <w:pPr>
              <w:rPr>
                <w:sz w:val="20"/>
                <w:szCs w:val="20"/>
              </w:rPr>
            </w:pPr>
            <w:r w:rsidRPr="007B2066">
              <w:rPr>
                <w:sz w:val="20"/>
                <w:szCs w:val="20"/>
              </w:rPr>
              <w:t>55</w:t>
            </w:r>
          </w:p>
        </w:tc>
        <w:tc>
          <w:tcPr>
            <w:tcW w:w="3119" w:type="dxa"/>
            <w:noWrap/>
            <w:hideMark/>
          </w:tcPr>
          <w:p w14:paraId="6573D4F4" w14:textId="77777777" w:rsidR="00223E6B" w:rsidRPr="007B2066" w:rsidRDefault="00223E6B" w:rsidP="007B2066">
            <w:pPr>
              <w:rPr>
                <w:sz w:val="20"/>
                <w:szCs w:val="20"/>
              </w:rPr>
            </w:pPr>
            <w:r w:rsidRPr="007B2066">
              <w:rPr>
                <w:sz w:val="20"/>
                <w:szCs w:val="20"/>
              </w:rPr>
              <w:t>PPG Industries Inc</w:t>
            </w:r>
          </w:p>
        </w:tc>
        <w:tc>
          <w:tcPr>
            <w:tcW w:w="567" w:type="dxa"/>
            <w:noWrap/>
            <w:hideMark/>
          </w:tcPr>
          <w:p w14:paraId="27BD9359" w14:textId="77777777" w:rsidR="00223E6B" w:rsidRPr="007B2066" w:rsidRDefault="00223E6B" w:rsidP="007B2066">
            <w:pPr>
              <w:rPr>
                <w:sz w:val="20"/>
                <w:szCs w:val="20"/>
              </w:rPr>
            </w:pPr>
            <w:r w:rsidRPr="007B2066">
              <w:rPr>
                <w:sz w:val="20"/>
                <w:szCs w:val="20"/>
              </w:rPr>
              <w:t>99</w:t>
            </w:r>
          </w:p>
        </w:tc>
        <w:tc>
          <w:tcPr>
            <w:tcW w:w="2693" w:type="dxa"/>
            <w:noWrap/>
            <w:hideMark/>
          </w:tcPr>
          <w:p w14:paraId="2ECA76BA" w14:textId="77777777" w:rsidR="00223E6B" w:rsidRPr="007B2066" w:rsidRDefault="00223E6B" w:rsidP="007B2066">
            <w:pPr>
              <w:rPr>
                <w:sz w:val="20"/>
                <w:szCs w:val="20"/>
              </w:rPr>
            </w:pPr>
            <w:r w:rsidRPr="007B2066">
              <w:rPr>
                <w:sz w:val="20"/>
                <w:szCs w:val="20"/>
              </w:rPr>
              <w:t>Burlington Stores Inc</w:t>
            </w:r>
          </w:p>
        </w:tc>
      </w:tr>
      <w:tr w:rsidR="00DF5C29" w:rsidRPr="007B2066" w14:paraId="782C48A2" w14:textId="77777777" w:rsidTr="00DF5C29">
        <w:trPr>
          <w:trHeight w:val="300"/>
        </w:trPr>
        <w:tc>
          <w:tcPr>
            <w:tcW w:w="416" w:type="dxa"/>
            <w:noWrap/>
            <w:hideMark/>
          </w:tcPr>
          <w:p w14:paraId="453B9FC3" w14:textId="77777777" w:rsidR="00223E6B" w:rsidRPr="007B2066" w:rsidRDefault="00223E6B" w:rsidP="007B2066">
            <w:pPr>
              <w:rPr>
                <w:sz w:val="20"/>
                <w:szCs w:val="20"/>
              </w:rPr>
            </w:pPr>
            <w:r w:rsidRPr="007B2066">
              <w:rPr>
                <w:sz w:val="20"/>
                <w:szCs w:val="20"/>
              </w:rPr>
              <w:t>12</w:t>
            </w:r>
          </w:p>
        </w:tc>
        <w:tc>
          <w:tcPr>
            <w:tcW w:w="3000" w:type="dxa"/>
            <w:noWrap/>
            <w:hideMark/>
          </w:tcPr>
          <w:p w14:paraId="1B6CE7AA" w14:textId="77777777" w:rsidR="00223E6B" w:rsidRPr="007B2066" w:rsidRDefault="00223E6B" w:rsidP="007B2066">
            <w:pPr>
              <w:rPr>
                <w:sz w:val="20"/>
                <w:szCs w:val="20"/>
              </w:rPr>
            </w:pPr>
            <w:r w:rsidRPr="007B2066">
              <w:rPr>
                <w:sz w:val="20"/>
                <w:szCs w:val="20"/>
              </w:rPr>
              <w:t>Netscout Systems Inc</w:t>
            </w:r>
          </w:p>
        </w:tc>
        <w:tc>
          <w:tcPr>
            <w:tcW w:w="425" w:type="dxa"/>
            <w:noWrap/>
            <w:hideMark/>
          </w:tcPr>
          <w:p w14:paraId="3C0026D8" w14:textId="77777777" w:rsidR="00223E6B" w:rsidRPr="007B2066" w:rsidRDefault="00223E6B" w:rsidP="007B2066">
            <w:pPr>
              <w:rPr>
                <w:sz w:val="20"/>
                <w:szCs w:val="20"/>
              </w:rPr>
            </w:pPr>
            <w:r w:rsidRPr="007B2066">
              <w:rPr>
                <w:sz w:val="20"/>
                <w:szCs w:val="20"/>
              </w:rPr>
              <w:t>56</w:t>
            </w:r>
          </w:p>
        </w:tc>
        <w:tc>
          <w:tcPr>
            <w:tcW w:w="3119" w:type="dxa"/>
            <w:noWrap/>
            <w:hideMark/>
          </w:tcPr>
          <w:p w14:paraId="6CDF0E3F" w14:textId="77777777" w:rsidR="00223E6B" w:rsidRPr="007B2066" w:rsidRDefault="00223E6B" w:rsidP="007B2066">
            <w:pPr>
              <w:rPr>
                <w:sz w:val="20"/>
                <w:szCs w:val="20"/>
              </w:rPr>
            </w:pPr>
            <w:r w:rsidRPr="007B2066">
              <w:rPr>
                <w:sz w:val="20"/>
                <w:szCs w:val="20"/>
              </w:rPr>
              <w:t>RPM International Inc</w:t>
            </w:r>
          </w:p>
        </w:tc>
        <w:tc>
          <w:tcPr>
            <w:tcW w:w="567" w:type="dxa"/>
            <w:noWrap/>
            <w:hideMark/>
          </w:tcPr>
          <w:p w14:paraId="443288AA" w14:textId="77777777" w:rsidR="00223E6B" w:rsidRPr="007B2066" w:rsidRDefault="00223E6B" w:rsidP="007B2066">
            <w:pPr>
              <w:rPr>
                <w:sz w:val="20"/>
                <w:szCs w:val="20"/>
              </w:rPr>
            </w:pPr>
            <w:r w:rsidRPr="007B2066">
              <w:rPr>
                <w:sz w:val="20"/>
                <w:szCs w:val="20"/>
              </w:rPr>
              <w:t>100</w:t>
            </w:r>
          </w:p>
        </w:tc>
        <w:tc>
          <w:tcPr>
            <w:tcW w:w="2693" w:type="dxa"/>
            <w:noWrap/>
            <w:hideMark/>
          </w:tcPr>
          <w:p w14:paraId="61B1AC4F" w14:textId="77777777" w:rsidR="00223E6B" w:rsidRPr="007B2066" w:rsidRDefault="00223E6B" w:rsidP="007B2066">
            <w:pPr>
              <w:rPr>
                <w:sz w:val="20"/>
                <w:szCs w:val="20"/>
              </w:rPr>
            </w:pPr>
            <w:r w:rsidRPr="007B2066">
              <w:rPr>
                <w:sz w:val="20"/>
                <w:szCs w:val="20"/>
              </w:rPr>
              <w:t>Conn's Inc</w:t>
            </w:r>
          </w:p>
        </w:tc>
      </w:tr>
      <w:tr w:rsidR="00DF5C29" w:rsidRPr="007B2066" w14:paraId="72B0BB9C" w14:textId="77777777" w:rsidTr="00DF5C29">
        <w:trPr>
          <w:trHeight w:val="300"/>
        </w:trPr>
        <w:tc>
          <w:tcPr>
            <w:tcW w:w="416" w:type="dxa"/>
            <w:noWrap/>
            <w:hideMark/>
          </w:tcPr>
          <w:p w14:paraId="55EB6B4E" w14:textId="77777777" w:rsidR="00223E6B" w:rsidRPr="007B2066" w:rsidRDefault="00223E6B" w:rsidP="007B2066">
            <w:pPr>
              <w:rPr>
                <w:sz w:val="20"/>
                <w:szCs w:val="20"/>
              </w:rPr>
            </w:pPr>
            <w:r w:rsidRPr="007B2066">
              <w:rPr>
                <w:sz w:val="20"/>
                <w:szCs w:val="20"/>
              </w:rPr>
              <w:t>13</w:t>
            </w:r>
          </w:p>
        </w:tc>
        <w:tc>
          <w:tcPr>
            <w:tcW w:w="3000" w:type="dxa"/>
            <w:noWrap/>
            <w:hideMark/>
          </w:tcPr>
          <w:p w14:paraId="4380844D" w14:textId="77777777" w:rsidR="00223E6B" w:rsidRPr="007B2066" w:rsidRDefault="00223E6B" w:rsidP="007B2066">
            <w:pPr>
              <w:rPr>
                <w:sz w:val="20"/>
                <w:szCs w:val="20"/>
              </w:rPr>
            </w:pPr>
            <w:r w:rsidRPr="007B2066">
              <w:rPr>
                <w:sz w:val="20"/>
                <w:szCs w:val="20"/>
              </w:rPr>
              <w:t>Web.com Group Inc</w:t>
            </w:r>
          </w:p>
        </w:tc>
        <w:tc>
          <w:tcPr>
            <w:tcW w:w="425" w:type="dxa"/>
            <w:noWrap/>
            <w:hideMark/>
          </w:tcPr>
          <w:p w14:paraId="34604634" w14:textId="77777777" w:rsidR="00223E6B" w:rsidRPr="007B2066" w:rsidRDefault="00223E6B" w:rsidP="007B2066">
            <w:pPr>
              <w:rPr>
                <w:sz w:val="20"/>
                <w:szCs w:val="20"/>
              </w:rPr>
            </w:pPr>
            <w:r w:rsidRPr="007B2066">
              <w:rPr>
                <w:sz w:val="20"/>
                <w:szCs w:val="20"/>
              </w:rPr>
              <w:t>57</w:t>
            </w:r>
          </w:p>
        </w:tc>
        <w:tc>
          <w:tcPr>
            <w:tcW w:w="3119" w:type="dxa"/>
            <w:noWrap/>
            <w:hideMark/>
          </w:tcPr>
          <w:p w14:paraId="6C7216A0" w14:textId="77777777" w:rsidR="00223E6B" w:rsidRPr="007B2066" w:rsidRDefault="00223E6B" w:rsidP="007B2066">
            <w:pPr>
              <w:rPr>
                <w:sz w:val="20"/>
                <w:szCs w:val="20"/>
              </w:rPr>
            </w:pPr>
            <w:r w:rsidRPr="007B2066">
              <w:rPr>
                <w:sz w:val="20"/>
                <w:szCs w:val="20"/>
              </w:rPr>
              <w:t>A Schulman Inc</w:t>
            </w:r>
          </w:p>
        </w:tc>
        <w:tc>
          <w:tcPr>
            <w:tcW w:w="567" w:type="dxa"/>
            <w:noWrap/>
            <w:hideMark/>
          </w:tcPr>
          <w:p w14:paraId="6FDADAE1" w14:textId="77777777" w:rsidR="00223E6B" w:rsidRPr="007B2066" w:rsidRDefault="00223E6B" w:rsidP="007B2066">
            <w:pPr>
              <w:rPr>
                <w:sz w:val="20"/>
                <w:szCs w:val="20"/>
              </w:rPr>
            </w:pPr>
            <w:r w:rsidRPr="007B2066">
              <w:rPr>
                <w:sz w:val="20"/>
                <w:szCs w:val="20"/>
              </w:rPr>
              <w:t>101</w:t>
            </w:r>
          </w:p>
        </w:tc>
        <w:tc>
          <w:tcPr>
            <w:tcW w:w="2693" w:type="dxa"/>
            <w:noWrap/>
            <w:hideMark/>
          </w:tcPr>
          <w:p w14:paraId="3A0BD32A" w14:textId="77777777" w:rsidR="00223E6B" w:rsidRPr="007B2066" w:rsidRDefault="00223E6B" w:rsidP="007B2066">
            <w:pPr>
              <w:rPr>
                <w:sz w:val="20"/>
                <w:szCs w:val="20"/>
              </w:rPr>
            </w:pPr>
            <w:r w:rsidRPr="007B2066">
              <w:rPr>
                <w:sz w:val="20"/>
                <w:szCs w:val="20"/>
              </w:rPr>
              <w:t>Costco Wholesale Corp</w:t>
            </w:r>
          </w:p>
        </w:tc>
      </w:tr>
      <w:tr w:rsidR="00DF5C29" w:rsidRPr="007B2066" w14:paraId="66DF5C14" w14:textId="77777777" w:rsidTr="00DF5C29">
        <w:trPr>
          <w:trHeight w:val="300"/>
        </w:trPr>
        <w:tc>
          <w:tcPr>
            <w:tcW w:w="416" w:type="dxa"/>
            <w:noWrap/>
            <w:hideMark/>
          </w:tcPr>
          <w:p w14:paraId="011A4936" w14:textId="77777777" w:rsidR="00223E6B" w:rsidRPr="007B2066" w:rsidRDefault="00223E6B" w:rsidP="007B2066">
            <w:pPr>
              <w:rPr>
                <w:sz w:val="20"/>
                <w:szCs w:val="20"/>
              </w:rPr>
            </w:pPr>
            <w:r w:rsidRPr="007B2066">
              <w:rPr>
                <w:sz w:val="20"/>
                <w:szCs w:val="20"/>
              </w:rPr>
              <w:t>14</w:t>
            </w:r>
          </w:p>
        </w:tc>
        <w:tc>
          <w:tcPr>
            <w:tcW w:w="3000" w:type="dxa"/>
            <w:noWrap/>
            <w:hideMark/>
          </w:tcPr>
          <w:p w14:paraId="687741B4" w14:textId="77777777" w:rsidR="00223E6B" w:rsidRPr="007B2066" w:rsidRDefault="00223E6B" w:rsidP="007B2066">
            <w:pPr>
              <w:rPr>
                <w:sz w:val="20"/>
                <w:szCs w:val="20"/>
              </w:rPr>
            </w:pPr>
            <w:r w:rsidRPr="007B2066">
              <w:rPr>
                <w:sz w:val="20"/>
                <w:szCs w:val="20"/>
              </w:rPr>
              <w:t>Medidata Solutions Inc</w:t>
            </w:r>
          </w:p>
        </w:tc>
        <w:tc>
          <w:tcPr>
            <w:tcW w:w="425" w:type="dxa"/>
            <w:noWrap/>
            <w:hideMark/>
          </w:tcPr>
          <w:p w14:paraId="42209339" w14:textId="77777777" w:rsidR="00223E6B" w:rsidRPr="007B2066" w:rsidRDefault="00223E6B" w:rsidP="007B2066">
            <w:pPr>
              <w:rPr>
                <w:sz w:val="20"/>
                <w:szCs w:val="20"/>
              </w:rPr>
            </w:pPr>
            <w:r w:rsidRPr="007B2066">
              <w:rPr>
                <w:sz w:val="20"/>
                <w:szCs w:val="20"/>
              </w:rPr>
              <w:t>58</w:t>
            </w:r>
          </w:p>
        </w:tc>
        <w:tc>
          <w:tcPr>
            <w:tcW w:w="3119" w:type="dxa"/>
            <w:noWrap/>
            <w:hideMark/>
          </w:tcPr>
          <w:p w14:paraId="76BCC82C" w14:textId="77777777" w:rsidR="00223E6B" w:rsidRPr="007B2066" w:rsidRDefault="00223E6B" w:rsidP="007B2066">
            <w:pPr>
              <w:rPr>
                <w:sz w:val="20"/>
                <w:szCs w:val="20"/>
              </w:rPr>
            </w:pPr>
            <w:r w:rsidRPr="007B2066">
              <w:rPr>
                <w:sz w:val="20"/>
                <w:szCs w:val="20"/>
              </w:rPr>
              <w:t>Sherwin-Williams Co</w:t>
            </w:r>
          </w:p>
        </w:tc>
        <w:tc>
          <w:tcPr>
            <w:tcW w:w="567" w:type="dxa"/>
            <w:noWrap/>
            <w:hideMark/>
          </w:tcPr>
          <w:p w14:paraId="4358315A" w14:textId="77777777" w:rsidR="00223E6B" w:rsidRPr="007B2066" w:rsidRDefault="00223E6B" w:rsidP="007B2066">
            <w:pPr>
              <w:rPr>
                <w:sz w:val="20"/>
                <w:szCs w:val="20"/>
              </w:rPr>
            </w:pPr>
            <w:r w:rsidRPr="007B2066">
              <w:rPr>
                <w:sz w:val="20"/>
                <w:szCs w:val="20"/>
              </w:rPr>
              <w:t>102</w:t>
            </w:r>
          </w:p>
        </w:tc>
        <w:tc>
          <w:tcPr>
            <w:tcW w:w="2693" w:type="dxa"/>
            <w:noWrap/>
            <w:hideMark/>
          </w:tcPr>
          <w:p w14:paraId="296A1CCB" w14:textId="77777777" w:rsidR="00223E6B" w:rsidRPr="007B2066" w:rsidRDefault="00223E6B" w:rsidP="007B2066">
            <w:pPr>
              <w:rPr>
                <w:sz w:val="20"/>
                <w:szCs w:val="20"/>
              </w:rPr>
            </w:pPr>
            <w:r w:rsidRPr="007B2066">
              <w:rPr>
                <w:sz w:val="20"/>
                <w:szCs w:val="20"/>
              </w:rPr>
              <w:t>Carter's Inc</w:t>
            </w:r>
          </w:p>
        </w:tc>
      </w:tr>
      <w:tr w:rsidR="00DF5C29" w:rsidRPr="007B2066" w14:paraId="68BEEBC7" w14:textId="77777777" w:rsidTr="00DF5C29">
        <w:trPr>
          <w:trHeight w:val="300"/>
        </w:trPr>
        <w:tc>
          <w:tcPr>
            <w:tcW w:w="416" w:type="dxa"/>
            <w:noWrap/>
            <w:hideMark/>
          </w:tcPr>
          <w:p w14:paraId="21DC5E48" w14:textId="77777777" w:rsidR="00223E6B" w:rsidRPr="007B2066" w:rsidRDefault="00223E6B" w:rsidP="007B2066">
            <w:pPr>
              <w:rPr>
                <w:sz w:val="20"/>
                <w:szCs w:val="20"/>
              </w:rPr>
            </w:pPr>
            <w:r w:rsidRPr="007B2066">
              <w:rPr>
                <w:sz w:val="20"/>
                <w:szCs w:val="20"/>
              </w:rPr>
              <w:t>15</w:t>
            </w:r>
          </w:p>
        </w:tc>
        <w:tc>
          <w:tcPr>
            <w:tcW w:w="3000" w:type="dxa"/>
            <w:noWrap/>
            <w:hideMark/>
          </w:tcPr>
          <w:p w14:paraId="1E19C308" w14:textId="77777777" w:rsidR="00223E6B" w:rsidRPr="007B2066" w:rsidRDefault="00223E6B" w:rsidP="007B2066">
            <w:pPr>
              <w:rPr>
                <w:sz w:val="20"/>
                <w:szCs w:val="20"/>
              </w:rPr>
            </w:pPr>
            <w:r w:rsidRPr="007B2066">
              <w:rPr>
                <w:sz w:val="20"/>
                <w:szCs w:val="20"/>
              </w:rPr>
              <w:t>Sabre Corp</w:t>
            </w:r>
          </w:p>
        </w:tc>
        <w:tc>
          <w:tcPr>
            <w:tcW w:w="425" w:type="dxa"/>
            <w:noWrap/>
            <w:hideMark/>
          </w:tcPr>
          <w:p w14:paraId="5D5BB956" w14:textId="77777777" w:rsidR="00223E6B" w:rsidRPr="007B2066" w:rsidRDefault="00223E6B" w:rsidP="007B2066">
            <w:pPr>
              <w:rPr>
                <w:sz w:val="20"/>
                <w:szCs w:val="20"/>
              </w:rPr>
            </w:pPr>
            <w:r w:rsidRPr="007B2066">
              <w:rPr>
                <w:sz w:val="20"/>
                <w:szCs w:val="20"/>
              </w:rPr>
              <w:t>59</w:t>
            </w:r>
          </w:p>
        </w:tc>
        <w:tc>
          <w:tcPr>
            <w:tcW w:w="3119" w:type="dxa"/>
            <w:noWrap/>
            <w:hideMark/>
          </w:tcPr>
          <w:p w14:paraId="22E1F142" w14:textId="77777777" w:rsidR="00223E6B" w:rsidRPr="007B2066" w:rsidRDefault="00223E6B" w:rsidP="007B2066">
            <w:pPr>
              <w:rPr>
                <w:sz w:val="20"/>
                <w:szCs w:val="20"/>
              </w:rPr>
            </w:pPr>
            <w:r w:rsidRPr="007B2066">
              <w:rPr>
                <w:sz w:val="20"/>
                <w:szCs w:val="20"/>
              </w:rPr>
              <w:t>Albemarle Corp</w:t>
            </w:r>
          </w:p>
        </w:tc>
        <w:tc>
          <w:tcPr>
            <w:tcW w:w="567" w:type="dxa"/>
            <w:noWrap/>
            <w:hideMark/>
          </w:tcPr>
          <w:p w14:paraId="50F142B9" w14:textId="77777777" w:rsidR="00223E6B" w:rsidRPr="007B2066" w:rsidRDefault="00223E6B" w:rsidP="007B2066">
            <w:pPr>
              <w:rPr>
                <w:sz w:val="20"/>
                <w:szCs w:val="20"/>
              </w:rPr>
            </w:pPr>
            <w:r w:rsidRPr="007B2066">
              <w:rPr>
                <w:sz w:val="20"/>
                <w:szCs w:val="20"/>
              </w:rPr>
              <w:t>103</w:t>
            </w:r>
          </w:p>
        </w:tc>
        <w:tc>
          <w:tcPr>
            <w:tcW w:w="2693" w:type="dxa"/>
            <w:noWrap/>
            <w:hideMark/>
          </w:tcPr>
          <w:p w14:paraId="52999390" w14:textId="77777777" w:rsidR="00223E6B" w:rsidRPr="007B2066" w:rsidRDefault="00223E6B" w:rsidP="007B2066">
            <w:pPr>
              <w:rPr>
                <w:sz w:val="20"/>
                <w:szCs w:val="20"/>
              </w:rPr>
            </w:pPr>
            <w:r w:rsidRPr="007B2066">
              <w:rPr>
                <w:sz w:val="20"/>
                <w:szCs w:val="20"/>
              </w:rPr>
              <w:t>Dillard's Inc</w:t>
            </w:r>
          </w:p>
        </w:tc>
      </w:tr>
      <w:tr w:rsidR="00DF5C29" w:rsidRPr="007B2066" w14:paraId="3AFD88C0" w14:textId="77777777" w:rsidTr="00DF5C29">
        <w:trPr>
          <w:trHeight w:val="300"/>
        </w:trPr>
        <w:tc>
          <w:tcPr>
            <w:tcW w:w="416" w:type="dxa"/>
            <w:noWrap/>
            <w:hideMark/>
          </w:tcPr>
          <w:p w14:paraId="7F6823C8" w14:textId="77777777" w:rsidR="00223E6B" w:rsidRPr="007B2066" w:rsidRDefault="00223E6B" w:rsidP="007B2066">
            <w:pPr>
              <w:rPr>
                <w:sz w:val="20"/>
                <w:szCs w:val="20"/>
              </w:rPr>
            </w:pPr>
            <w:r w:rsidRPr="007B2066">
              <w:rPr>
                <w:sz w:val="20"/>
                <w:szCs w:val="20"/>
              </w:rPr>
              <w:t>16</w:t>
            </w:r>
          </w:p>
        </w:tc>
        <w:tc>
          <w:tcPr>
            <w:tcW w:w="3000" w:type="dxa"/>
            <w:noWrap/>
            <w:hideMark/>
          </w:tcPr>
          <w:p w14:paraId="59319E79" w14:textId="77777777" w:rsidR="00223E6B" w:rsidRPr="007B2066" w:rsidRDefault="00223E6B" w:rsidP="007B2066">
            <w:pPr>
              <w:rPr>
                <w:sz w:val="20"/>
                <w:szCs w:val="20"/>
              </w:rPr>
            </w:pPr>
            <w:r w:rsidRPr="007B2066">
              <w:rPr>
                <w:sz w:val="20"/>
                <w:szCs w:val="20"/>
              </w:rPr>
              <w:t>Verifone Systems Inc</w:t>
            </w:r>
          </w:p>
        </w:tc>
        <w:tc>
          <w:tcPr>
            <w:tcW w:w="425" w:type="dxa"/>
            <w:noWrap/>
            <w:hideMark/>
          </w:tcPr>
          <w:p w14:paraId="5F997AAC" w14:textId="77777777" w:rsidR="00223E6B" w:rsidRPr="007B2066" w:rsidRDefault="00223E6B" w:rsidP="007B2066">
            <w:pPr>
              <w:rPr>
                <w:sz w:val="20"/>
                <w:szCs w:val="20"/>
              </w:rPr>
            </w:pPr>
            <w:r w:rsidRPr="007B2066">
              <w:rPr>
                <w:sz w:val="20"/>
                <w:szCs w:val="20"/>
              </w:rPr>
              <w:t>60</w:t>
            </w:r>
          </w:p>
        </w:tc>
        <w:tc>
          <w:tcPr>
            <w:tcW w:w="3119" w:type="dxa"/>
            <w:noWrap/>
            <w:hideMark/>
          </w:tcPr>
          <w:p w14:paraId="1E03F5D9" w14:textId="77777777" w:rsidR="00223E6B" w:rsidRPr="007B2066" w:rsidRDefault="00223E6B" w:rsidP="007B2066">
            <w:pPr>
              <w:rPr>
                <w:sz w:val="20"/>
                <w:szCs w:val="20"/>
              </w:rPr>
            </w:pPr>
            <w:r w:rsidRPr="007B2066">
              <w:rPr>
                <w:sz w:val="20"/>
                <w:szCs w:val="20"/>
              </w:rPr>
              <w:t>Valhi Inc</w:t>
            </w:r>
          </w:p>
        </w:tc>
        <w:tc>
          <w:tcPr>
            <w:tcW w:w="567" w:type="dxa"/>
            <w:noWrap/>
            <w:hideMark/>
          </w:tcPr>
          <w:p w14:paraId="18FB45C0" w14:textId="77777777" w:rsidR="00223E6B" w:rsidRPr="007B2066" w:rsidRDefault="00223E6B" w:rsidP="007B2066">
            <w:pPr>
              <w:rPr>
                <w:sz w:val="20"/>
                <w:szCs w:val="20"/>
              </w:rPr>
            </w:pPr>
            <w:r w:rsidRPr="007B2066">
              <w:rPr>
                <w:sz w:val="20"/>
                <w:szCs w:val="20"/>
              </w:rPr>
              <w:t>104</w:t>
            </w:r>
          </w:p>
        </w:tc>
        <w:tc>
          <w:tcPr>
            <w:tcW w:w="2693" w:type="dxa"/>
            <w:noWrap/>
            <w:hideMark/>
          </w:tcPr>
          <w:p w14:paraId="7AAF87E6" w14:textId="77777777" w:rsidR="00223E6B" w:rsidRPr="007B2066" w:rsidRDefault="00223E6B" w:rsidP="007B2066">
            <w:pPr>
              <w:rPr>
                <w:sz w:val="20"/>
                <w:szCs w:val="20"/>
              </w:rPr>
            </w:pPr>
            <w:r w:rsidRPr="007B2066">
              <w:rPr>
                <w:sz w:val="20"/>
                <w:szCs w:val="20"/>
              </w:rPr>
              <w:t>Dollar General Corp</w:t>
            </w:r>
          </w:p>
        </w:tc>
      </w:tr>
      <w:tr w:rsidR="00DF5C29" w:rsidRPr="007B2066" w14:paraId="4F108F79" w14:textId="77777777" w:rsidTr="00DF5C29">
        <w:trPr>
          <w:trHeight w:val="300"/>
        </w:trPr>
        <w:tc>
          <w:tcPr>
            <w:tcW w:w="416" w:type="dxa"/>
            <w:noWrap/>
            <w:hideMark/>
          </w:tcPr>
          <w:p w14:paraId="2B7413E1" w14:textId="77777777" w:rsidR="00223E6B" w:rsidRPr="007B2066" w:rsidRDefault="00223E6B" w:rsidP="007B2066">
            <w:pPr>
              <w:rPr>
                <w:sz w:val="20"/>
                <w:szCs w:val="20"/>
              </w:rPr>
            </w:pPr>
            <w:r w:rsidRPr="007B2066">
              <w:rPr>
                <w:sz w:val="20"/>
                <w:szCs w:val="20"/>
              </w:rPr>
              <w:t>17</w:t>
            </w:r>
          </w:p>
        </w:tc>
        <w:tc>
          <w:tcPr>
            <w:tcW w:w="3000" w:type="dxa"/>
            <w:noWrap/>
            <w:hideMark/>
          </w:tcPr>
          <w:p w14:paraId="1F2B6852" w14:textId="77777777" w:rsidR="00223E6B" w:rsidRPr="007B2066" w:rsidRDefault="00223E6B" w:rsidP="007B2066">
            <w:pPr>
              <w:rPr>
                <w:sz w:val="20"/>
                <w:szCs w:val="20"/>
              </w:rPr>
            </w:pPr>
            <w:r w:rsidRPr="007B2066">
              <w:rPr>
                <w:sz w:val="20"/>
                <w:szCs w:val="20"/>
              </w:rPr>
              <w:t>Palo Alto Networks Inc</w:t>
            </w:r>
          </w:p>
        </w:tc>
        <w:tc>
          <w:tcPr>
            <w:tcW w:w="425" w:type="dxa"/>
            <w:noWrap/>
            <w:hideMark/>
          </w:tcPr>
          <w:p w14:paraId="5F4DD380" w14:textId="77777777" w:rsidR="00223E6B" w:rsidRPr="007B2066" w:rsidRDefault="00223E6B" w:rsidP="007B2066">
            <w:pPr>
              <w:rPr>
                <w:sz w:val="20"/>
                <w:szCs w:val="20"/>
              </w:rPr>
            </w:pPr>
            <w:r w:rsidRPr="007B2066">
              <w:rPr>
                <w:sz w:val="20"/>
                <w:szCs w:val="20"/>
              </w:rPr>
              <w:t>61</w:t>
            </w:r>
          </w:p>
        </w:tc>
        <w:tc>
          <w:tcPr>
            <w:tcW w:w="3119" w:type="dxa"/>
            <w:noWrap/>
            <w:hideMark/>
          </w:tcPr>
          <w:p w14:paraId="47B7BACE" w14:textId="77777777" w:rsidR="00223E6B" w:rsidRPr="007B2066" w:rsidRDefault="00223E6B" w:rsidP="007B2066">
            <w:pPr>
              <w:rPr>
                <w:sz w:val="20"/>
                <w:szCs w:val="20"/>
              </w:rPr>
            </w:pPr>
            <w:r w:rsidRPr="007B2066">
              <w:rPr>
                <w:sz w:val="20"/>
                <w:szCs w:val="20"/>
              </w:rPr>
              <w:t>Scotts Miracle-Gro Co</w:t>
            </w:r>
          </w:p>
        </w:tc>
        <w:tc>
          <w:tcPr>
            <w:tcW w:w="567" w:type="dxa"/>
            <w:noWrap/>
            <w:hideMark/>
          </w:tcPr>
          <w:p w14:paraId="6E863A7D" w14:textId="77777777" w:rsidR="00223E6B" w:rsidRPr="007B2066" w:rsidRDefault="00223E6B" w:rsidP="007B2066">
            <w:pPr>
              <w:rPr>
                <w:sz w:val="20"/>
                <w:szCs w:val="20"/>
              </w:rPr>
            </w:pPr>
            <w:r w:rsidRPr="007B2066">
              <w:rPr>
                <w:sz w:val="20"/>
                <w:szCs w:val="20"/>
              </w:rPr>
              <w:t>105</w:t>
            </w:r>
          </w:p>
        </w:tc>
        <w:tc>
          <w:tcPr>
            <w:tcW w:w="2693" w:type="dxa"/>
            <w:noWrap/>
            <w:hideMark/>
          </w:tcPr>
          <w:p w14:paraId="2E7EBC75" w14:textId="77777777" w:rsidR="00223E6B" w:rsidRPr="007B2066" w:rsidRDefault="00223E6B" w:rsidP="007B2066">
            <w:pPr>
              <w:rPr>
                <w:sz w:val="20"/>
                <w:szCs w:val="20"/>
              </w:rPr>
            </w:pPr>
            <w:r w:rsidRPr="007B2066">
              <w:rPr>
                <w:sz w:val="20"/>
                <w:szCs w:val="20"/>
              </w:rPr>
              <w:t>Dollar Tree Inc</w:t>
            </w:r>
          </w:p>
        </w:tc>
      </w:tr>
      <w:tr w:rsidR="00DF5C29" w:rsidRPr="007B2066" w14:paraId="612AA011" w14:textId="77777777" w:rsidTr="00DF5C29">
        <w:trPr>
          <w:trHeight w:val="300"/>
        </w:trPr>
        <w:tc>
          <w:tcPr>
            <w:tcW w:w="416" w:type="dxa"/>
            <w:noWrap/>
            <w:hideMark/>
          </w:tcPr>
          <w:p w14:paraId="495CECEC" w14:textId="77777777" w:rsidR="00223E6B" w:rsidRPr="007B2066" w:rsidRDefault="00223E6B" w:rsidP="007B2066">
            <w:pPr>
              <w:rPr>
                <w:sz w:val="20"/>
                <w:szCs w:val="20"/>
              </w:rPr>
            </w:pPr>
            <w:r w:rsidRPr="007B2066">
              <w:rPr>
                <w:sz w:val="20"/>
                <w:szCs w:val="20"/>
              </w:rPr>
              <w:t>18</w:t>
            </w:r>
          </w:p>
        </w:tc>
        <w:tc>
          <w:tcPr>
            <w:tcW w:w="3000" w:type="dxa"/>
            <w:noWrap/>
            <w:hideMark/>
          </w:tcPr>
          <w:p w14:paraId="0CF9FD05" w14:textId="77777777" w:rsidR="00223E6B" w:rsidRPr="007B2066" w:rsidRDefault="00223E6B" w:rsidP="007B2066">
            <w:pPr>
              <w:rPr>
                <w:sz w:val="20"/>
                <w:szCs w:val="20"/>
              </w:rPr>
            </w:pPr>
            <w:r w:rsidRPr="007B2066">
              <w:rPr>
                <w:sz w:val="20"/>
                <w:szCs w:val="20"/>
              </w:rPr>
              <w:t>Internap Corp</w:t>
            </w:r>
          </w:p>
        </w:tc>
        <w:tc>
          <w:tcPr>
            <w:tcW w:w="425" w:type="dxa"/>
            <w:noWrap/>
            <w:hideMark/>
          </w:tcPr>
          <w:p w14:paraId="6D6C4FC7" w14:textId="77777777" w:rsidR="00223E6B" w:rsidRPr="007B2066" w:rsidRDefault="00223E6B" w:rsidP="007B2066">
            <w:pPr>
              <w:rPr>
                <w:sz w:val="20"/>
                <w:szCs w:val="20"/>
              </w:rPr>
            </w:pPr>
            <w:r w:rsidRPr="007B2066">
              <w:rPr>
                <w:sz w:val="20"/>
                <w:szCs w:val="20"/>
              </w:rPr>
              <w:t>62</w:t>
            </w:r>
          </w:p>
        </w:tc>
        <w:tc>
          <w:tcPr>
            <w:tcW w:w="3119" w:type="dxa"/>
            <w:noWrap/>
            <w:hideMark/>
          </w:tcPr>
          <w:p w14:paraId="6F3D7083" w14:textId="77777777" w:rsidR="00223E6B" w:rsidRPr="007B2066" w:rsidRDefault="00223E6B" w:rsidP="007B2066">
            <w:pPr>
              <w:rPr>
                <w:sz w:val="20"/>
                <w:szCs w:val="20"/>
              </w:rPr>
            </w:pPr>
            <w:r w:rsidRPr="007B2066">
              <w:rPr>
                <w:sz w:val="20"/>
                <w:szCs w:val="20"/>
              </w:rPr>
              <w:t>Praxair Inc</w:t>
            </w:r>
          </w:p>
        </w:tc>
        <w:tc>
          <w:tcPr>
            <w:tcW w:w="567" w:type="dxa"/>
            <w:noWrap/>
            <w:hideMark/>
          </w:tcPr>
          <w:p w14:paraId="23124F19" w14:textId="77777777" w:rsidR="00223E6B" w:rsidRPr="007B2066" w:rsidRDefault="00223E6B" w:rsidP="007B2066">
            <w:pPr>
              <w:rPr>
                <w:sz w:val="20"/>
                <w:szCs w:val="20"/>
              </w:rPr>
            </w:pPr>
            <w:r w:rsidRPr="007B2066">
              <w:rPr>
                <w:sz w:val="20"/>
                <w:szCs w:val="20"/>
              </w:rPr>
              <w:t>106</w:t>
            </w:r>
          </w:p>
        </w:tc>
        <w:tc>
          <w:tcPr>
            <w:tcW w:w="2693" w:type="dxa"/>
            <w:noWrap/>
            <w:hideMark/>
          </w:tcPr>
          <w:p w14:paraId="10712F27" w14:textId="77777777" w:rsidR="00223E6B" w:rsidRPr="007B2066" w:rsidRDefault="00223E6B" w:rsidP="007B2066">
            <w:pPr>
              <w:rPr>
                <w:sz w:val="20"/>
                <w:szCs w:val="20"/>
              </w:rPr>
            </w:pPr>
            <w:r w:rsidRPr="007B2066">
              <w:rPr>
                <w:sz w:val="20"/>
                <w:szCs w:val="20"/>
              </w:rPr>
              <w:t>Destination XL Group Inc</w:t>
            </w:r>
          </w:p>
        </w:tc>
      </w:tr>
      <w:tr w:rsidR="00DF5C29" w:rsidRPr="007B2066" w14:paraId="4B0DF17B" w14:textId="77777777" w:rsidTr="00DF5C29">
        <w:trPr>
          <w:trHeight w:val="300"/>
        </w:trPr>
        <w:tc>
          <w:tcPr>
            <w:tcW w:w="416" w:type="dxa"/>
            <w:noWrap/>
            <w:hideMark/>
          </w:tcPr>
          <w:p w14:paraId="3B4B8F28" w14:textId="77777777" w:rsidR="00223E6B" w:rsidRPr="007B2066" w:rsidRDefault="00223E6B" w:rsidP="007B2066">
            <w:pPr>
              <w:rPr>
                <w:sz w:val="20"/>
                <w:szCs w:val="20"/>
              </w:rPr>
            </w:pPr>
            <w:r w:rsidRPr="007B2066">
              <w:rPr>
                <w:sz w:val="20"/>
                <w:szCs w:val="20"/>
              </w:rPr>
              <w:t>19</w:t>
            </w:r>
          </w:p>
        </w:tc>
        <w:tc>
          <w:tcPr>
            <w:tcW w:w="3000" w:type="dxa"/>
            <w:noWrap/>
            <w:hideMark/>
          </w:tcPr>
          <w:p w14:paraId="5CBFC959" w14:textId="77777777" w:rsidR="00223E6B" w:rsidRPr="007B2066" w:rsidRDefault="00223E6B" w:rsidP="007B2066">
            <w:pPr>
              <w:rPr>
                <w:sz w:val="20"/>
                <w:szCs w:val="20"/>
              </w:rPr>
            </w:pPr>
            <w:r w:rsidRPr="007B2066">
              <w:rPr>
                <w:sz w:val="20"/>
                <w:szCs w:val="20"/>
              </w:rPr>
              <w:t>ServiceNow Inc</w:t>
            </w:r>
          </w:p>
        </w:tc>
        <w:tc>
          <w:tcPr>
            <w:tcW w:w="425" w:type="dxa"/>
            <w:noWrap/>
            <w:hideMark/>
          </w:tcPr>
          <w:p w14:paraId="449C30AD" w14:textId="77777777" w:rsidR="00223E6B" w:rsidRPr="007B2066" w:rsidRDefault="00223E6B" w:rsidP="007B2066">
            <w:pPr>
              <w:rPr>
                <w:sz w:val="20"/>
                <w:szCs w:val="20"/>
              </w:rPr>
            </w:pPr>
            <w:r w:rsidRPr="007B2066">
              <w:rPr>
                <w:sz w:val="20"/>
                <w:szCs w:val="20"/>
              </w:rPr>
              <w:t>63</w:t>
            </w:r>
          </w:p>
        </w:tc>
        <w:tc>
          <w:tcPr>
            <w:tcW w:w="3119" w:type="dxa"/>
            <w:noWrap/>
            <w:hideMark/>
          </w:tcPr>
          <w:p w14:paraId="3704326B" w14:textId="77777777" w:rsidR="00223E6B" w:rsidRPr="007B2066" w:rsidRDefault="00223E6B" w:rsidP="007B2066">
            <w:pPr>
              <w:rPr>
                <w:sz w:val="20"/>
                <w:szCs w:val="20"/>
              </w:rPr>
            </w:pPr>
            <w:r w:rsidRPr="007B2066">
              <w:rPr>
                <w:sz w:val="20"/>
                <w:szCs w:val="20"/>
              </w:rPr>
              <w:t>Eastman Chemical Co</w:t>
            </w:r>
          </w:p>
        </w:tc>
        <w:tc>
          <w:tcPr>
            <w:tcW w:w="567" w:type="dxa"/>
            <w:noWrap/>
            <w:hideMark/>
          </w:tcPr>
          <w:p w14:paraId="370EF6FB" w14:textId="77777777" w:rsidR="00223E6B" w:rsidRPr="007B2066" w:rsidRDefault="00223E6B" w:rsidP="007B2066">
            <w:pPr>
              <w:rPr>
                <w:sz w:val="20"/>
                <w:szCs w:val="20"/>
              </w:rPr>
            </w:pPr>
            <w:r w:rsidRPr="007B2066">
              <w:rPr>
                <w:sz w:val="20"/>
                <w:szCs w:val="20"/>
              </w:rPr>
              <w:t>107</w:t>
            </w:r>
          </w:p>
        </w:tc>
        <w:tc>
          <w:tcPr>
            <w:tcW w:w="2693" w:type="dxa"/>
            <w:noWrap/>
            <w:hideMark/>
          </w:tcPr>
          <w:p w14:paraId="5425D94B" w14:textId="77777777" w:rsidR="00223E6B" w:rsidRPr="007B2066" w:rsidRDefault="00223E6B" w:rsidP="007B2066">
            <w:pPr>
              <w:rPr>
                <w:sz w:val="20"/>
                <w:szCs w:val="20"/>
              </w:rPr>
            </w:pPr>
            <w:r w:rsidRPr="007B2066">
              <w:rPr>
                <w:sz w:val="20"/>
                <w:szCs w:val="20"/>
              </w:rPr>
              <w:t>Etsy Inc</w:t>
            </w:r>
          </w:p>
        </w:tc>
      </w:tr>
      <w:tr w:rsidR="00DF5C29" w:rsidRPr="007B2066" w14:paraId="01FBAEEB" w14:textId="77777777" w:rsidTr="00DF5C29">
        <w:trPr>
          <w:trHeight w:val="300"/>
        </w:trPr>
        <w:tc>
          <w:tcPr>
            <w:tcW w:w="416" w:type="dxa"/>
            <w:noWrap/>
            <w:hideMark/>
          </w:tcPr>
          <w:p w14:paraId="70F5D05A" w14:textId="77777777" w:rsidR="00223E6B" w:rsidRPr="007B2066" w:rsidRDefault="00223E6B" w:rsidP="007B2066">
            <w:pPr>
              <w:rPr>
                <w:sz w:val="20"/>
                <w:szCs w:val="20"/>
              </w:rPr>
            </w:pPr>
            <w:r w:rsidRPr="007B2066">
              <w:rPr>
                <w:sz w:val="20"/>
                <w:szCs w:val="20"/>
              </w:rPr>
              <w:t>20</w:t>
            </w:r>
          </w:p>
        </w:tc>
        <w:tc>
          <w:tcPr>
            <w:tcW w:w="3000" w:type="dxa"/>
            <w:noWrap/>
            <w:hideMark/>
          </w:tcPr>
          <w:p w14:paraId="2146F047" w14:textId="77777777" w:rsidR="00223E6B" w:rsidRPr="007B2066" w:rsidRDefault="00223E6B" w:rsidP="007B2066">
            <w:pPr>
              <w:rPr>
                <w:sz w:val="20"/>
                <w:szCs w:val="20"/>
              </w:rPr>
            </w:pPr>
            <w:r w:rsidRPr="007B2066">
              <w:rPr>
                <w:sz w:val="20"/>
                <w:szCs w:val="20"/>
              </w:rPr>
              <w:t>Asg Technologies Group Inc</w:t>
            </w:r>
          </w:p>
        </w:tc>
        <w:tc>
          <w:tcPr>
            <w:tcW w:w="425" w:type="dxa"/>
            <w:noWrap/>
            <w:hideMark/>
          </w:tcPr>
          <w:p w14:paraId="397C96B4" w14:textId="77777777" w:rsidR="00223E6B" w:rsidRPr="007B2066" w:rsidRDefault="00223E6B" w:rsidP="007B2066">
            <w:pPr>
              <w:rPr>
                <w:sz w:val="20"/>
                <w:szCs w:val="20"/>
              </w:rPr>
            </w:pPr>
            <w:r w:rsidRPr="007B2066">
              <w:rPr>
                <w:sz w:val="20"/>
                <w:szCs w:val="20"/>
              </w:rPr>
              <w:t>64</w:t>
            </w:r>
          </w:p>
        </w:tc>
        <w:tc>
          <w:tcPr>
            <w:tcW w:w="3119" w:type="dxa"/>
            <w:noWrap/>
            <w:hideMark/>
          </w:tcPr>
          <w:p w14:paraId="7BAE5918" w14:textId="77777777" w:rsidR="00223E6B" w:rsidRPr="007B2066" w:rsidRDefault="00223E6B" w:rsidP="007B2066">
            <w:pPr>
              <w:rPr>
                <w:sz w:val="20"/>
                <w:szCs w:val="20"/>
              </w:rPr>
            </w:pPr>
            <w:r w:rsidRPr="007B2066">
              <w:rPr>
                <w:sz w:val="20"/>
                <w:szCs w:val="20"/>
              </w:rPr>
              <w:t>Terra Nitrogen Company LP</w:t>
            </w:r>
          </w:p>
        </w:tc>
        <w:tc>
          <w:tcPr>
            <w:tcW w:w="567" w:type="dxa"/>
            <w:noWrap/>
            <w:hideMark/>
          </w:tcPr>
          <w:p w14:paraId="6A9CE886" w14:textId="77777777" w:rsidR="00223E6B" w:rsidRPr="007B2066" w:rsidRDefault="00223E6B" w:rsidP="007B2066">
            <w:pPr>
              <w:rPr>
                <w:sz w:val="20"/>
                <w:szCs w:val="20"/>
              </w:rPr>
            </w:pPr>
            <w:r w:rsidRPr="007B2066">
              <w:rPr>
                <w:sz w:val="20"/>
                <w:szCs w:val="20"/>
              </w:rPr>
              <w:t>108</w:t>
            </w:r>
          </w:p>
        </w:tc>
        <w:tc>
          <w:tcPr>
            <w:tcW w:w="2693" w:type="dxa"/>
            <w:noWrap/>
            <w:hideMark/>
          </w:tcPr>
          <w:p w14:paraId="209151CB" w14:textId="77777777" w:rsidR="00223E6B" w:rsidRPr="007B2066" w:rsidRDefault="00223E6B" w:rsidP="007B2066">
            <w:pPr>
              <w:rPr>
                <w:sz w:val="20"/>
                <w:szCs w:val="20"/>
              </w:rPr>
            </w:pPr>
            <w:r w:rsidRPr="007B2066">
              <w:rPr>
                <w:sz w:val="20"/>
                <w:szCs w:val="20"/>
              </w:rPr>
              <w:t>Foot Locker Inc</w:t>
            </w:r>
          </w:p>
        </w:tc>
      </w:tr>
      <w:tr w:rsidR="00DF5C29" w:rsidRPr="007B2066" w14:paraId="15944AC3" w14:textId="77777777" w:rsidTr="00DF5C29">
        <w:trPr>
          <w:trHeight w:val="300"/>
        </w:trPr>
        <w:tc>
          <w:tcPr>
            <w:tcW w:w="416" w:type="dxa"/>
            <w:noWrap/>
            <w:hideMark/>
          </w:tcPr>
          <w:p w14:paraId="2F721C81" w14:textId="77777777" w:rsidR="00223E6B" w:rsidRPr="007B2066" w:rsidRDefault="00223E6B" w:rsidP="007B2066">
            <w:pPr>
              <w:rPr>
                <w:sz w:val="20"/>
                <w:szCs w:val="20"/>
              </w:rPr>
            </w:pPr>
            <w:r w:rsidRPr="007B2066">
              <w:rPr>
                <w:sz w:val="20"/>
                <w:szCs w:val="20"/>
              </w:rPr>
              <w:t>21</w:t>
            </w:r>
          </w:p>
        </w:tc>
        <w:tc>
          <w:tcPr>
            <w:tcW w:w="3000" w:type="dxa"/>
            <w:noWrap/>
            <w:hideMark/>
          </w:tcPr>
          <w:p w14:paraId="47BC3E02" w14:textId="77777777" w:rsidR="00223E6B" w:rsidRPr="007B2066" w:rsidRDefault="00223E6B" w:rsidP="007B2066">
            <w:pPr>
              <w:rPr>
                <w:sz w:val="20"/>
                <w:szCs w:val="20"/>
              </w:rPr>
            </w:pPr>
            <w:r w:rsidRPr="007B2066">
              <w:rPr>
                <w:sz w:val="20"/>
                <w:szCs w:val="20"/>
              </w:rPr>
              <w:t>Blucora Inc</w:t>
            </w:r>
          </w:p>
        </w:tc>
        <w:tc>
          <w:tcPr>
            <w:tcW w:w="425" w:type="dxa"/>
            <w:noWrap/>
            <w:hideMark/>
          </w:tcPr>
          <w:p w14:paraId="1BA3A59A" w14:textId="77777777" w:rsidR="00223E6B" w:rsidRPr="007B2066" w:rsidRDefault="00223E6B" w:rsidP="007B2066">
            <w:pPr>
              <w:rPr>
                <w:sz w:val="20"/>
                <w:szCs w:val="20"/>
              </w:rPr>
            </w:pPr>
            <w:r w:rsidRPr="007B2066">
              <w:rPr>
                <w:sz w:val="20"/>
                <w:szCs w:val="20"/>
              </w:rPr>
              <w:t>65</w:t>
            </w:r>
          </w:p>
        </w:tc>
        <w:tc>
          <w:tcPr>
            <w:tcW w:w="3119" w:type="dxa"/>
            <w:noWrap/>
            <w:hideMark/>
          </w:tcPr>
          <w:p w14:paraId="7014B45F" w14:textId="77777777" w:rsidR="00223E6B" w:rsidRPr="007B2066" w:rsidRDefault="00223E6B" w:rsidP="007B2066">
            <w:pPr>
              <w:rPr>
                <w:sz w:val="20"/>
                <w:szCs w:val="20"/>
              </w:rPr>
            </w:pPr>
            <w:r w:rsidRPr="007B2066">
              <w:rPr>
                <w:sz w:val="20"/>
                <w:szCs w:val="20"/>
              </w:rPr>
              <w:t>W. R. Grace &amp; Co</w:t>
            </w:r>
          </w:p>
        </w:tc>
        <w:tc>
          <w:tcPr>
            <w:tcW w:w="567" w:type="dxa"/>
            <w:noWrap/>
            <w:hideMark/>
          </w:tcPr>
          <w:p w14:paraId="65589FE3" w14:textId="77777777" w:rsidR="00223E6B" w:rsidRPr="007B2066" w:rsidRDefault="00223E6B" w:rsidP="007B2066">
            <w:pPr>
              <w:rPr>
                <w:sz w:val="20"/>
                <w:szCs w:val="20"/>
              </w:rPr>
            </w:pPr>
            <w:r w:rsidRPr="007B2066">
              <w:rPr>
                <w:sz w:val="20"/>
                <w:szCs w:val="20"/>
              </w:rPr>
              <w:t>109</w:t>
            </w:r>
          </w:p>
        </w:tc>
        <w:tc>
          <w:tcPr>
            <w:tcW w:w="2693" w:type="dxa"/>
            <w:noWrap/>
            <w:hideMark/>
          </w:tcPr>
          <w:p w14:paraId="13FABF94" w14:textId="77777777" w:rsidR="00223E6B" w:rsidRPr="007B2066" w:rsidRDefault="00223E6B" w:rsidP="007B2066">
            <w:pPr>
              <w:rPr>
                <w:sz w:val="20"/>
                <w:szCs w:val="20"/>
              </w:rPr>
            </w:pPr>
            <w:r w:rsidRPr="007B2066">
              <w:rPr>
                <w:sz w:val="20"/>
                <w:szCs w:val="20"/>
              </w:rPr>
              <w:t>1-800-Flowers.Com Inc</w:t>
            </w:r>
          </w:p>
        </w:tc>
      </w:tr>
      <w:tr w:rsidR="00DF5C29" w:rsidRPr="007B2066" w14:paraId="6F7CACCD" w14:textId="77777777" w:rsidTr="00DF5C29">
        <w:trPr>
          <w:trHeight w:val="300"/>
        </w:trPr>
        <w:tc>
          <w:tcPr>
            <w:tcW w:w="416" w:type="dxa"/>
            <w:noWrap/>
            <w:hideMark/>
          </w:tcPr>
          <w:p w14:paraId="7504E4F1" w14:textId="77777777" w:rsidR="00223E6B" w:rsidRPr="007B2066" w:rsidRDefault="00223E6B" w:rsidP="007B2066">
            <w:pPr>
              <w:rPr>
                <w:sz w:val="20"/>
                <w:szCs w:val="20"/>
              </w:rPr>
            </w:pPr>
            <w:r w:rsidRPr="007B2066">
              <w:rPr>
                <w:sz w:val="20"/>
                <w:szCs w:val="20"/>
              </w:rPr>
              <w:t>22</w:t>
            </w:r>
          </w:p>
        </w:tc>
        <w:tc>
          <w:tcPr>
            <w:tcW w:w="3000" w:type="dxa"/>
            <w:noWrap/>
            <w:hideMark/>
          </w:tcPr>
          <w:p w14:paraId="57CFE40A" w14:textId="77777777" w:rsidR="00223E6B" w:rsidRPr="007B2066" w:rsidRDefault="00223E6B" w:rsidP="007B2066">
            <w:pPr>
              <w:rPr>
                <w:sz w:val="20"/>
                <w:szCs w:val="20"/>
              </w:rPr>
            </w:pPr>
            <w:r w:rsidRPr="007B2066">
              <w:rPr>
                <w:sz w:val="20"/>
                <w:szCs w:val="20"/>
              </w:rPr>
              <w:t>CDW Corp</w:t>
            </w:r>
          </w:p>
        </w:tc>
        <w:tc>
          <w:tcPr>
            <w:tcW w:w="425" w:type="dxa"/>
            <w:noWrap/>
            <w:hideMark/>
          </w:tcPr>
          <w:p w14:paraId="5D6C4273" w14:textId="77777777" w:rsidR="00223E6B" w:rsidRPr="007B2066" w:rsidRDefault="00223E6B" w:rsidP="007B2066">
            <w:pPr>
              <w:rPr>
                <w:sz w:val="20"/>
                <w:szCs w:val="20"/>
              </w:rPr>
            </w:pPr>
            <w:r w:rsidRPr="007B2066">
              <w:rPr>
                <w:sz w:val="20"/>
                <w:szCs w:val="20"/>
              </w:rPr>
              <w:t>66</w:t>
            </w:r>
          </w:p>
        </w:tc>
        <w:tc>
          <w:tcPr>
            <w:tcW w:w="3119" w:type="dxa"/>
            <w:noWrap/>
            <w:hideMark/>
          </w:tcPr>
          <w:p w14:paraId="1D3E286C" w14:textId="77777777" w:rsidR="00223E6B" w:rsidRPr="007B2066" w:rsidRDefault="00223E6B" w:rsidP="007B2066">
            <w:pPr>
              <w:rPr>
                <w:sz w:val="20"/>
                <w:szCs w:val="20"/>
              </w:rPr>
            </w:pPr>
            <w:r w:rsidRPr="007B2066">
              <w:rPr>
                <w:sz w:val="20"/>
                <w:szCs w:val="20"/>
              </w:rPr>
              <w:t>PolyOne Corp</w:t>
            </w:r>
          </w:p>
        </w:tc>
        <w:tc>
          <w:tcPr>
            <w:tcW w:w="567" w:type="dxa"/>
            <w:noWrap/>
            <w:hideMark/>
          </w:tcPr>
          <w:p w14:paraId="74A16743" w14:textId="77777777" w:rsidR="00223E6B" w:rsidRPr="007B2066" w:rsidRDefault="00223E6B" w:rsidP="007B2066">
            <w:pPr>
              <w:rPr>
                <w:sz w:val="20"/>
                <w:szCs w:val="20"/>
              </w:rPr>
            </w:pPr>
            <w:r w:rsidRPr="007B2066">
              <w:rPr>
                <w:sz w:val="20"/>
                <w:szCs w:val="20"/>
              </w:rPr>
              <w:t>110</w:t>
            </w:r>
          </w:p>
        </w:tc>
        <w:tc>
          <w:tcPr>
            <w:tcW w:w="2693" w:type="dxa"/>
            <w:noWrap/>
            <w:hideMark/>
          </w:tcPr>
          <w:p w14:paraId="6F035FBC" w14:textId="77777777" w:rsidR="00223E6B" w:rsidRPr="007B2066" w:rsidRDefault="00223E6B" w:rsidP="007B2066">
            <w:pPr>
              <w:rPr>
                <w:sz w:val="20"/>
                <w:szCs w:val="20"/>
              </w:rPr>
            </w:pPr>
            <w:r w:rsidRPr="007B2066">
              <w:rPr>
                <w:sz w:val="20"/>
                <w:szCs w:val="20"/>
              </w:rPr>
              <w:t>GameStop Corp</w:t>
            </w:r>
          </w:p>
        </w:tc>
      </w:tr>
      <w:tr w:rsidR="00DF5C29" w:rsidRPr="007B2066" w14:paraId="6E99DBBC" w14:textId="77777777" w:rsidTr="00DF5C29">
        <w:trPr>
          <w:trHeight w:val="300"/>
        </w:trPr>
        <w:tc>
          <w:tcPr>
            <w:tcW w:w="416" w:type="dxa"/>
            <w:noWrap/>
            <w:hideMark/>
          </w:tcPr>
          <w:p w14:paraId="1CFE17E8" w14:textId="77777777" w:rsidR="00223E6B" w:rsidRPr="007B2066" w:rsidRDefault="00223E6B" w:rsidP="007B2066">
            <w:pPr>
              <w:rPr>
                <w:sz w:val="20"/>
                <w:szCs w:val="20"/>
              </w:rPr>
            </w:pPr>
            <w:r w:rsidRPr="007B2066">
              <w:rPr>
                <w:sz w:val="20"/>
                <w:szCs w:val="20"/>
              </w:rPr>
              <w:t>23</w:t>
            </w:r>
          </w:p>
        </w:tc>
        <w:tc>
          <w:tcPr>
            <w:tcW w:w="3000" w:type="dxa"/>
            <w:noWrap/>
            <w:hideMark/>
          </w:tcPr>
          <w:p w14:paraId="5AE7D441" w14:textId="77777777" w:rsidR="00223E6B" w:rsidRPr="007B2066" w:rsidRDefault="00223E6B" w:rsidP="007B2066">
            <w:pPr>
              <w:rPr>
                <w:sz w:val="20"/>
                <w:szCs w:val="20"/>
              </w:rPr>
            </w:pPr>
            <w:r w:rsidRPr="007B2066">
              <w:rPr>
                <w:sz w:val="20"/>
                <w:szCs w:val="20"/>
              </w:rPr>
              <w:t>Science Applications International Corp</w:t>
            </w:r>
          </w:p>
        </w:tc>
        <w:tc>
          <w:tcPr>
            <w:tcW w:w="425" w:type="dxa"/>
            <w:noWrap/>
            <w:hideMark/>
          </w:tcPr>
          <w:p w14:paraId="0AC6AB91" w14:textId="77777777" w:rsidR="00223E6B" w:rsidRPr="007B2066" w:rsidRDefault="00223E6B" w:rsidP="007B2066">
            <w:pPr>
              <w:rPr>
                <w:sz w:val="20"/>
                <w:szCs w:val="20"/>
              </w:rPr>
            </w:pPr>
            <w:r w:rsidRPr="007B2066">
              <w:rPr>
                <w:sz w:val="20"/>
                <w:szCs w:val="20"/>
              </w:rPr>
              <w:t>67</w:t>
            </w:r>
          </w:p>
        </w:tc>
        <w:tc>
          <w:tcPr>
            <w:tcW w:w="3119" w:type="dxa"/>
            <w:noWrap/>
            <w:hideMark/>
          </w:tcPr>
          <w:p w14:paraId="02B08703" w14:textId="77777777" w:rsidR="00223E6B" w:rsidRPr="007B2066" w:rsidRDefault="00223E6B" w:rsidP="007B2066">
            <w:pPr>
              <w:rPr>
                <w:sz w:val="20"/>
                <w:szCs w:val="20"/>
              </w:rPr>
            </w:pPr>
            <w:r w:rsidRPr="007B2066">
              <w:rPr>
                <w:sz w:val="20"/>
                <w:szCs w:val="20"/>
              </w:rPr>
              <w:t>Monsanto Co</w:t>
            </w:r>
          </w:p>
        </w:tc>
        <w:tc>
          <w:tcPr>
            <w:tcW w:w="567" w:type="dxa"/>
            <w:noWrap/>
            <w:hideMark/>
          </w:tcPr>
          <w:p w14:paraId="49382D72" w14:textId="77777777" w:rsidR="00223E6B" w:rsidRPr="007B2066" w:rsidRDefault="00223E6B" w:rsidP="007B2066">
            <w:pPr>
              <w:rPr>
                <w:sz w:val="20"/>
                <w:szCs w:val="20"/>
              </w:rPr>
            </w:pPr>
            <w:r w:rsidRPr="007B2066">
              <w:rPr>
                <w:sz w:val="20"/>
                <w:szCs w:val="20"/>
              </w:rPr>
              <w:t>111</w:t>
            </w:r>
          </w:p>
        </w:tc>
        <w:tc>
          <w:tcPr>
            <w:tcW w:w="2693" w:type="dxa"/>
            <w:noWrap/>
            <w:hideMark/>
          </w:tcPr>
          <w:p w14:paraId="0B344077" w14:textId="77777777" w:rsidR="00223E6B" w:rsidRPr="007B2066" w:rsidRDefault="00223E6B" w:rsidP="007B2066">
            <w:pPr>
              <w:rPr>
                <w:sz w:val="20"/>
                <w:szCs w:val="20"/>
              </w:rPr>
            </w:pPr>
            <w:r w:rsidRPr="007B2066">
              <w:rPr>
                <w:sz w:val="20"/>
                <w:szCs w:val="20"/>
              </w:rPr>
              <w:t>Group 1 Automotive Inc</w:t>
            </w:r>
          </w:p>
        </w:tc>
      </w:tr>
      <w:tr w:rsidR="00DF5C29" w:rsidRPr="007B2066" w14:paraId="328B11B9" w14:textId="77777777" w:rsidTr="00DF5C29">
        <w:trPr>
          <w:trHeight w:val="300"/>
        </w:trPr>
        <w:tc>
          <w:tcPr>
            <w:tcW w:w="416" w:type="dxa"/>
            <w:noWrap/>
            <w:hideMark/>
          </w:tcPr>
          <w:p w14:paraId="1F8FB894" w14:textId="77777777" w:rsidR="00223E6B" w:rsidRPr="007B2066" w:rsidRDefault="00223E6B" w:rsidP="007B2066">
            <w:pPr>
              <w:rPr>
                <w:sz w:val="20"/>
                <w:szCs w:val="20"/>
              </w:rPr>
            </w:pPr>
            <w:r w:rsidRPr="007B2066">
              <w:rPr>
                <w:sz w:val="20"/>
                <w:szCs w:val="20"/>
              </w:rPr>
              <w:t>24</w:t>
            </w:r>
          </w:p>
        </w:tc>
        <w:tc>
          <w:tcPr>
            <w:tcW w:w="3000" w:type="dxa"/>
            <w:noWrap/>
            <w:hideMark/>
          </w:tcPr>
          <w:p w14:paraId="67A8D437" w14:textId="77777777" w:rsidR="00223E6B" w:rsidRPr="007B2066" w:rsidRDefault="00223E6B" w:rsidP="007B2066">
            <w:pPr>
              <w:rPr>
                <w:sz w:val="20"/>
                <w:szCs w:val="20"/>
              </w:rPr>
            </w:pPr>
            <w:r w:rsidRPr="007B2066">
              <w:rPr>
                <w:sz w:val="20"/>
                <w:szCs w:val="20"/>
              </w:rPr>
              <w:t>CSRA Inc</w:t>
            </w:r>
          </w:p>
        </w:tc>
        <w:tc>
          <w:tcPr>
            <w:tcW w:w="425" w:type="dxa"/>
            <w:noWrap/>
            <w:hideMark/>
          </w:tcPr>
          <w:p w14:paraId="52E222A3" w14:textId="77777777" w:rsidR="00223E6B" w:rsidRPr="007B2066" w:rsidRDefault="00223E6B" w:rsidP="007B2066">
            <w:pPr>
              <w:rPr>
                <w:sz w:val="20"/>
                <w:szCs w:val="20"/>
              </w:rPr>
            </w:pPr>
            <w:r w:rsidRPr="007B2066">
              <w:rPr>
                <w:sz w:val="20"/>
                <w:szCs w:val="20"/>
              </w:rPr>
              <w:t>68</w:t>
            </w:r>
          </w:p>
        </w:tc>
        <w:tc>
          <w:tcPr>
            <w:tcW w:w="3119" w:type="dxa"/>
            <w:noWrap/>
            <w:hideMark/>
          </w:tcPr>
          <w:p w14:paraId="4857AD31" w14:textId="77777777" w:rsidR="00223E6B" w:rsidRPr="007B2066" w:rsidRDefault="00223E6B" w:rsidP="007B2066">
            <w:pPr>
              <w:rPr>
                <w:sz w:val="20"/>
                <w:szCs w:val="20"/>
              </w:rPr>
            </w:pPr>
            <w:r w:rsidRPr="007B2066">
              <w:rPr>
                <w:sz w:val="20"/>
                <w:szCs w:val="20"/>
              </w:rPr>
              <w:t>Kronos Worldwide Inc</w:t>
            </w:r>
          </w:p>
        </w:tc>
        <w:tc>
          <w:tcPr>
            <w:tcW w:w="567" w:type="dxa"/>
            <w:noWrap/>
            <w:hideMark/>
          </w:tcPr>
          <w:p w14:paraId="669C12CE" w14:textId="77777777" w:rsidR="00223E6B" w:rsidRPr="007B2066" w:rsidRDefault="00223E6B" w:rsidP="007B2066">
            <w:pPr>
              <w:rPr>
                <w:sz w:val="20"/>
                <w:szCs w:val="20"/>
              </w:rPr>
            </w:pPr>
            <w:r w:rsidRPr="007B2066">
              <w:rPr>
                <w:sz w:val="20"/>
                <w:szCs w:val="20"/>
              </w:rPr>
              <w:t>112</w:t>
            </w:r>
          </w:p>
        </w:tc>
        <w:tc>
          <w:tcPr>
            <w:tcW w:w="2693" w:type="dxa"/>
            <w:noWrap/>
            <w:hideMark/>
          </w:tcPr>
          <w:p w14:paraId="0C8A5928" w14:textId="77777777" w:rsidR="00223E6B" w:rsidRPr="007B2066" w:rsidRDefault="00223E6B" w:rsidP="007B2066">
            <w:pPr>
              <w:rPr>
                <w:sz w:val="20"/>
                <w:szCs w:val="20"/>
              </w:rPr>
            </w:pPr>
            <w:r w:rsidRPr="007B2066">
              <w:rPr>
                <w:sz w:val="20"/>
                <w:szCs w:val="20"/>
              </w:rPr>
              <w:t>Gap Inc</w:t>
            </w:r>
          </w:p>
        </w:tc>
      </w:tr>
      <w:tr w:rsidR="00DF5C29" w:rsidRPr="007B2066" w14:paraId="2742F693" w14:textId="77777777" w:rsidTr="00DF5C29">
        <w:trPr>
          <w:trHeight w:val="300"/>
        </w:trPr>
        <w:tc>
          <w:tcPr>
            <w:tcW w:w="416" w:type="dxa"/>
            <w:noWrap/>
            <w:hideMark/>
          </w:tcPr>
          <w:p w14:paraId="1C33B6E8" w14:textId="77777777" w:rsidR="00223E6B" w:rsidRPr="007B2066" w:rsidRDefault="00223E6B" w:rsidP="007B2066">
            <w:pPr>
              <w:rPr>
                <w:sz w:val="20"/>
                <w:szCs w:val="20"/>
              </w:rPr>
            </w:pPr>
            <w:r w:rsidRPr="007B2066">
              <w:rPr>
                <w:sz w:val="20"/>
                <w:szCs w:val="20"/>
              </w:rPr>
              <w:t>25</w:t>
            </w:r>
          </w:p>
        </w:tc>
        <w:tc>
          <w:tcPr>
            <w:tcW w:w="3000" w:type="dxa"/>
            <w:noWrap/>
            <w:hideMark/>
          </w:tcPr>
          <w:p w14:paraId="06FCADD0" w14:textId="77777777" w:rsidR="00223E6B" w:rsidRPr="007B2066" w:rsidRDefault="00223E6B" w:rsidP="007B2066">
            <w:pPr>
              <w:rPr>
                <w:sz w:val="20"/>
                <w:szCs w:val="20"/>
                <w:lang w:val="en-US"/>
              </w:rPr>
            </w:pPr>
            <w:r w:rsidRPr="007B2066">
              <w:rPr>
                <w:sz w:val="20"/>
                <w:szCs w:val="20"/>
                <w:lang w:val="en-US"/>
              </w:rPr>
              <w:t>SS&amp;C Technologies Holdings Inc</w:t>
            </w:r>
          </w:p>
        </w:tc>
        <w:tc>
          <w:tcPr>
            <w:tcW w:w="425" w:type="dxa"/>
            <w:noWrap/>
            <w:hideMark/>
          </w:tcPr>
          <w:p w14:paraId="26A4BBA3" w14:textId="77777777" w:rsidR="00223E6B" w:rsidRPr="007B2066" w:rsidRDefault="00223E6B" w:rsidP="007B2066">
            <w:pPr>
              <w:rPr>
                <w:sz w:val="20"/>
                <w:szCs w:val="20"/>
              </w:rPr>
            </w:pPr>
            <w:r w:rsidRPr="007B2066">
              <w:rPr>
                <w:sz w:val="20"/>
                <w:szCs w:val="20"/>
              </w:rPr>
              <w:t>69</w:t>
            </w:r>
          </w:p>
        </w:tc>
        <w:tc>
          <w:tcPr>
            <w:tcW w:w="3119" w:type="dxa"/>
            <w:noWrap/>
            <w:hideMark/>
          </w:tcPr>
          <w:p w14:paraId="18BF231A" w14:textId="77777777" w:rsidR="00223E6B" w:rsidRPr="007B2066" w:rsidRDefault="00223E6B" w:rsidP="007B2066">
            <w:pPr>
              <w:rPr>
                <w:sz w:val="20"/>
                <w:szCs w:val="20"/>
              </w:rPr>
            </w:pPr>
            <w:r w:rsidRPr="007B2066">
              <w:rPr>
                <w:sz w:val="20"/>
                <w:szCs w:val="20"/>
              </w:rPr>
              <w:t>Compass Minerals International Inc</w:t>
            </w:r>
          </w:p>
        </w:tc>
        <w:tc>
          <w:tcPr>
            <w:tcW w:w="567" w:type="dxa"/>
            <w:noWrap/>
            <w:hideMark/>
          </w:tcPr>
          <w:p w14:paraId="77B24979" w14:textId="77777777" w:rsidR="00223E6B" w:rsidRPr="007B2066" w:rsidRDefault="00223E6B" w:rsidP="007B2066">
            <w:pPr>
              <w:rPr>
                <w:sz w:val="20"/>
                <w:szCs w:val="20"/>
              </w:rPr>
            </w:pPr>
            <w:r w:rsidRPr="007B2066">
              <w:rPr>
                <w:sz w:val="20"/>
                <w:szCs w:val="20"/>
              </w:rPr>
              <w:t>113</w:t>
            </w:r>
          </w:p>
        </w:tc>
        <w:tc>
          <w:tcPr>
            <w:tcW w:w="2693" w:type="dxa"/>
            <w:noWrap/>
            <w:hideMark/>
          </w:tcPr>
          <w:p w14:paraId="0DB9AD88" w14:textId="77777777" w:rsidR="00223E6B" w:rsidRPr="007B2066" w:rsidRDefault="00223E6B" w:rsidP="007B2066">
            <w:pPr>
              <w:rPr>
                <w:sz w:val="20"/>
                <w:szCs w:val="20"/>
              </w:rPr>
            </w:pPr>
            <w:r w:rsidRPr="007B2066">
              <w:rPr>
                <w:sz w:val="20"/>
                <w:szCs w:val="20"/>
              </w:rPr>
              <w:t>Groupon Inc</w:t>
            </w:r>
          </w:p>
        </w:tc>
      </w:tr>
      <w:tr w:rsidR="00DF5C29" w:rsidRPr="007B2066" w14:paraId="5FF689C4" w14:textId="77777777" w:rsidTr="00DF5C29">
        <w:trPr>
          <w:trHeight w:val="300"/>
        </w:trPr>
        <w:tc>
          <w:tcPr>
            <w:tcW w:w="416" w:type="dxa"/>
            <w:noWrap/>
            <w:hideMark/>
          </w:tcPr>
          <w:p w14:paraId="4EFA39C5" w14:textId="77777777" w:rsidR="00223E6B" w:rsidRPr="007B2066" w:rsidRDefault="00223E6B" w:rsidP="007B2066">
            <w:pPr>
              <w:rPr>
                <w:sz w:val="20"/>
                <w:szCs w:val="20"/>
              </w:rPr>
            </w:pPr>
            <w:r w:rsidRPr="007B2066">
              <w:rPr>
                <w:sz w:val="20"/>
                <w:szCs w:val="20"/>
              </w:rPr>
              <w:t>26</w:t>
            </w:r>
          </w:p>
        </w:tc>
        <w:tc>
          <w:tcPr>
            <w:tcW w:w="3000" w:type="dxa"/>
            <w:noWrap/>
            <w:hideMark/>
          </w:tcPr>
          <w:p w14:paraId="708728A2" w14:textId="77777777" w:rsidR="00223E6B" w:rsidRPr="007B2066" w:rsidRDefault="00223E6B" w:rsidP="007B2066">
            <w:pPr>
              <w:rPr>
                <w:sz w:val="20"/>
                <w:szCs w:val="20"/>
              </w:rPr>
            </w:pPr>
            <w:r w:rsidRPr="007B2066">
              <w:rPr>
                <w:sz w:val="20"/>
                <w:szCs w:val="20"/>
              </w:rPr>
              <w:t>Salesforce.com Inc</w:t>
            </w:r>
          </w:p>
        </w:tc>
        <w:tc>
          <w:tcPr>
            <w:tcW w:w="425" w:type="dxa"/>
            <w:noWrap/>
            <w:hideMark/>
          </w:tcPr>
          <w:p w14:paraId="0C2EC88A" w14:textId="77777777" w:rsidR="00223E6B" w:rsidRPr="007B2066" w:rsidRDefault="00223E6B" w:rsidP="007B2066">
            <w:pPr>
              <w:rPr>
                <w:sz w:val="20"/>
                <w:szCs w:val="20"/>
              </w:rPr>
            </w:pPr>
            <w:r w:rsidRPr="007B2066">
              <w:rPr>
                <w:sz w:val="20"/>
                <w:szCs w:val="20"/>
              </w:rPr>
              <w:t>70</w:t>
            </w:r>
          </w:p>
        </w:tc>
        <w:tc>
          <w:tcPr>
            <w:tcW w:w="3119" w:type="dxa"/>
            <w:noWrap/>
            <w:hideMark/>
          </w:tcPr>
          <w:p w14:paraId="79D00902" w14:textId="77777777" w:rsidR="00223E6B" w:rsidRPr="007B2066" w:rsidRDefault="00223E6B" w:rsidP="007B2066">
            <w:pPr>
              <w:rPr>
                <w:sz w:val="20"/>
                <w:szCs w:val="20"/>
              </w:rPr>
            </w:pPr>
            <w:r w:rsidRPr="007B2066">
              <w:rPr>
                <w:sz w:val="20"/>
                <w:szCs w:val="20"/>
              </w:rPr>
              <w:t>Westlake Chemical Corp</w:t>
            </w:r>
          </w:p>
        </w:tc>
        <w:tc>
          <w:tcPr>
            <w:tcW w:w="567" w:type="dxa"/>
            <w:noWrap/>
            <w:hideMark/>
          </w:tcPr>
          <w:p w14:paraId="3CF67861" w14:textId="77777777" w:rsidR="00223E6B" w:rsidRPr="007B2066" w:rsidRDefault="00223E6B" w:rsidP="007B2066">
            <w:pPr>
              <w:rPr>
                <w:sz w:val="20"/>
                <w:szCs w:val="20"/>
              </w:rPr>
            </w:pPr>
            <w:r w:rsidRPr="007B2066">
              <w:rPr>
                <w:sz w:val="20"/>
                <w:szCs w:val="20"/>
              </w:rPr>
              <w:t>114</w:t>
            </w:r>
          </w:p>
        </w:tc>
        <w:tc>
          <w:tcPr>
            <w:tcW w:w="2693" w:type="dxa"/>
            <w:noWrap/>
            <w:hideMark/>
          </w:tcPr>
          <w:p w14:paraId="5674F562" w14:textId="77777777" w:rsidR="00223E6B" w:rsidRPr="007B2066" w:rsidRDefault="00223E6B" w:rsidP="007B2066">
            <w:pPr>
              <w:rPr>
                <w:sz w:val="20"/>
                <w:szCs w:val="20"/>
              </w:rPr>
            </w:pPr>
            <w:r w:rsidRPr="007B2066">
              <w:rPr>
                <w:sz w:val="20"/>
                <w:szCs w:val="20"/>
              </w:rPr>
              <w:t>Home Depot Inc</w:t>
            </w:r>
          </w:p>
        </w:tc>
      </w:tr>
      <w:tr w:rsidR="00DF5C29" w:rsidRPr="00E357DC" w14:paraId="7BD5535E" w14:textId="77777777" w:rsidTr="00DF5C29">
        <w:trPr>
          <w:trHeight w:val="300"/>
        </w:trPr>
        <w:tc>
          <w:tcPr>
            <w:tcW w:w="416" w:type="dxa"/>
            <w:noWrap/>
            <w:hideMark/>
          </w:tcPr>
          <w:p w14:paraId="101003E4" w14:textId="77777777" w:rsidR="00223E6B" w:rsidRPr="007B2066" w:rsidRDefault="00223E6B" w:rsidP="007B2066">
            <w:pPr>
              <w:rPr>
                <w:sz w:val="20"/>
                <w:szCs w:val="20"/>
              </w:rPr>
            </w:pPr>
            <w:r w:rsidRPr="007B2066">
              <w:rPr>
                <w:sz w:val="20"/>
                <w:szCs w:val="20"/>
              </w:rPr>
              <w:t>27</w:t>
            </w:r>
          </w:p>
        </w:tc>
        <w:tc>
          <w:tcPr>
            <w:tcW w:w="3000" w:type="dxa"/>
            <w:noWrap/>
            <w:hideMark/>
          </w:tcPr>
          <w:p w14:paraId="5171F394" w14:textId="77777777" w:rsidR="00223E6B" w:rsidRPr="007B2066" w:rsidRDefault="00223E6B" w:rsidP="007B2066">
            <w:pPr>
              <w:rPr>
                <w:sz w:val="20"/>
                <w:szCs w:val="20"/>
              </w:rPr>
            </w:pPr>
            <w:r w:rsidRPr="007B2066">
              <w:rPr>
                <w:sz w:val="20"/>
                <w:szCs w:val="20"/>
              </w:rPr>
              <w:t>PayPal Holdings Inc</w:t>
            </w:r>
          </w:p>
        </w:tc>
        <w:tc>
          <w:tcPr>
            <w:tcW w:w="425" w:type="dxa"/>
            <w:noWrap/>
            <w:hideMark/>
          </w:tcPr>
          <w:p w14:paraId="1B9A65FC" w14:textId="77777777" w:rsidR="00223E6B" w:rsidRPr="007B2066" w:rsidRDefault="00223E6B" w:rsidP="007B2066">
            <w:pPr>
              <w:rPr>
                <w:sz w:val="20"/>
                <w:szCs w:val="20"/>
              </w:rPr>
            </w:pPr>
            <w:r w:rsidRPr="007B2066">
              <w:rPr>
                <w:sz w:val="20"/>
                <w:szCs w:val="20"/>
              </w:rPr>
              <w:t>71</w:t>
            </w:r>
          </w:p>
        </w:tc>
        <w:tc>
          <w:tcPr>
            <w:tcW w:w="3119" w:type="dxa"/>
            <w:noWrap/>
            <w:hideMark/>
          </w:tcPr>
          <w:p w14:paraId="0D4739A2" w14:textId="77777777" w:rsidR="00223E6B" w:rsidRPr="007B2066" w:rsidRDefault="00223E6B" w:rsidP="007B2066">
            <w:pPr>
              <w:rPr>
                <w:sz w:val="20"/>
                <w:szCs w:val="20"/>
              </w:rPr>
            </w:pPr>
            <w:r w:rsidRPr="007B2066">
              <w:rPr>
                <w:sz w:val="20"/>
                <w:szCs w:val="20"/>
              </w:rPr>
              <w:t>Mosaic Co</w:t>
            </w:r>
          </w:p>
        </w:tc>
        <w:tc>
          <w:tcPr>
            <w:tcW w:w="567" w:type="dxa"/>
            <w:noWrap/>
            <w:hideMark/>
          </w:tcPr>
          <w:p w14:paraId="007AC177" w14:textId="77777777" w:rsidR="00223E6B" w:rsidRPr="007B2066" w:rsidRDefault="00223E6B" w:rsidP="007B2066">
            <w:pPr>
              <w:rPr>
                <w:sz w:val="20"/>
                <w:szCs w:val="20"/>
              </w:rPr>
            </w:pPr>
            <w:r w:rsidRPr="007B2066">
              <w:rPr>
                <w:sz w:val="20"/>
                <w:szCs w:val="20"/>
              </w:rPr>
              <w:t>115</w:t>
            </w:r>
          </w:p>
        </w:tc>
        <w:tc>
          <w:tcPr>
            <w:tcW w:w="2693" w:type="dxa"/>
            <w:noWrap/>
            <w:hideMark/>
          </w:tcPr>
          <w:p w14:paraId="005C9BE5" w14:textId="77777777" w:rsidR="00223E6B" w:rsidRPr="007B2066" w:rsidRDefault="00223E6B" w:rsidP="007B2066">
            <w:pPr>
              <w:rPr>
                <w:sz w:val="20"/>
                <w:szCs w:val="20"/>
                <w:lang w:val="en-US"/>
              </w:rPr>
            </w:pPr>
            <w:r w:rsidRPr="007B2066">
              <w:rPr>
                <w:sz w:val="20"/>
                <w:szCs w:val="20"/>
                <w:lang w:val="en-US"/>
              </w:rPr>
              <w:t>J C Penney Company Inc</w:t>
            </w:r>
          </w:p>
        </w:tc>
      </w:tr>
      <w:tr w:rsidR="00DF5C29" w:rsidRPr="007B2066" w14:paraId="77DFD3DD" w14:textId="77777777" w:rsidTr="00DF5C29">
        <w:trPr>
          <w:trHeight w:val="300"/>
        </w:trPr>
        <w:tc>
          <w:tcPr>
            <w:tcW w:w="416" w:type="dxa"/>
            <w:noWrap/>
            <w:hideMark/>
          </w:tcPr>
          <w:p w14:paraId="41EC24CF" w14:textId="77777777" w:rsidR="00223E6B" w:rsidRPr="007B2066" w:rsidRDefault="00223E6B" w:rsidP="007B2066">
            <w:pPr>
              <w:rPr>
                <w:sz w:val="20"/>
                <w:szCs w:val="20"/>
              </w:rPr>
            </w:pPr>
            <w:r w:rsidRPr="007B2066">
              <w:rPr>
                <w:sz w:val="20"/>
                <w:szCs w:val="20"/>
              </w:rPr>
              <w:t>28</w:t>
            </w:r>
          </w:p>
        </w:tc>
        <w:tc>
          <w:tcPr>
            <w:tcW w:w="3000" w:type="dxa"/>
            <w:noWrap/>
            <w:hideMark/>
          </w:tcPr>
          <w:p w14:paraId="1B4CFDAE" w14:textId="77777777" w:rsidR="00223E6B" w:rsidRPr="007B2066" w:rsidRDefault="00223E6B" w:rsidP="007B2066">
            <w:pPr>
              <w:rPr>
                <w:sz w:val="20"/>
                <w:szCs w:val="20"/>
              </w:rPr>
            </w:pPr>
            <w:r w:rsidRPr="007B2066">
              <w:rPr>
                <w:sz w:val="20"/>
                <w:szCs w:val="20"/>
              </w:rPr>
              <w:t>CACI International Inc</w:t>
            </w:r>
          </w:p>
        </w:tc>
        <w:tc>
          <w:tcPr>
            <w:tcW w:w="425" w:type="dxa"/>
            <w:noWrap/>
            <w:hideMark/>
          </w:tcPr>
          <w:p w14:paraId="73ACC5F0" w14:textId="77777777" w:rsidR="00223E6B" w:rsidRPr="007B2066" w:rsidRDefault="00223E6B" w:rsidP="007B2066">
            <w:pPr>
              <w:rPr>
                <w:sz w:val="20"/>
                <w:szCs w:val="20"/>
              </w:rPr>
            </w:pPr>
            <w:r w:rsidRPr="007B2066">
              <w:rPr>
                <w:sz w:val="20"/>
                <w:szCs w:val="20"/>
              </w:rPr>
              <w:t>72</w:t>
            </w:r>
          </w:p>
        </w:tc>
        <w:tc>
          <w:tcPr>
            <w:tcW w:w="3119" w:type="dxa"/>
            <w:noWrap/>
            <w:hideMark/>
          </w:tcPr>
          <w:p w14:paraId="46327E33" w14:textId="77777777" w:rsidR="00223E6B" w:rsidRPr="007B2066" w:rsidRDefault="00223E6B" w:rsidP="007B2066">
            <w:pPr>
              <w:rPr>
                <w:sz w:val="20"/>
                <w:szCs w:val="20"/>
              </w:rPr>
            </w:pPr>
            <w:r w:rsidRPr="007B2066">
              <w:rPr>
                <w:sz w:val="20"/>
                <w:szCs w:val="20"/>
              </w:rPr>
              <w:t>Celanese Corp</w:t>
            </w:r>
          </w:p>
        </w:tc>
        <w:tc>
          <w:tcPr>
            <w:tcW w:w="567" w:type="dxa"/>
            <w:noWrap/>
            <w:hideMark/>
          </w:tcPr>
          <w:p w14:paraId="1A2047AA" w14:textId="77777777" w:rsidR="00223E6B" w:rsidRPr="007B2066" w:rsidRDefault="00223E6B" w:rsidP="007B2066">
            <w:pPr>
              <w:rPr>
                <w:sz w:val="20"/>
                <w:szCs w:val="20"/>
              </w:rPr>
            </w:pPr>
            <w:r w:rsidRPr="007B2066">
              <w:rPr>
                <w:sz w:val="20"/>
                <w:szCs w:val="20"/>
              </w:rPr>
              <w:t>116</w:t>
            </w:r>
          </w:p>
        </w:tc>
        <w:tc>
          <w:tcPr>
            <w:tcW w:w="2693" w:type="dxa"/>
            <w:noWrap/>
            <w:hideMark/>
          </w:tcPr>
          <w:p w14:paraId="636A1621" w14:textId="77777777" w:rsidR="00223E6B" w:rsidRPr="007B2066" w:rsidRDefault="00223E6B" w:rsidP="007B2066">
            <w:pPr>
              <w:rPr>
                <w:sz w:val="20"/>
                <w:szCs w:val="20"/>
              </w:rPr>
            </w:pPr>
            <w:r w:rsidRPr="007B2066">
              <w:rPr>
                <w:sz w:val="20"/>
                <w:szCs w:val="20"/>
              </w:rPr>
              <w:t>Nordstrom Inc</w:t>
            </w:r>
          </w:p>
        </w:tc>
      </w:tr>
      <w:tr w:rsidR="00DF5C29" w:rsidRPr="007B2066" w14:paraId="66C8AB7E" w14:textId="77777777" w:rsidTr="00DF5C29">
        <w:trPr>
          <w:trHeight w:val="300"/>
        </w:trPr>
        <w:tc>
          <w:tcPr>
            <w:tcW w:w="416" w:type="dxa"/>
            <w:noWrap/>
            <w:hideMark/>
          </w:tcPr>
          <w:p w14:paraId="60CFCA5B" w14:textId="77777777" w:rsidR="00223E6B" w:rsidRPr="007B2066" w:rsidRDefault="00223E6B" w:rsidP="007B2066">
            <w:pPr>
              <w:rPr>
                <w:sz w:val="20"/>
                <w:szCs w:val="20"/>
              </w:rPr>
            </w:pPr>
            <w:r w:rsidRPr="007B2066">
              <w:rPr>
                <w:sz w:val="20"/>
                <w:szCs w:val="20"/>
              </w:rPr>
              <w:t>29</w:t>
            </w:r>
          </w:p>
        </w:tc>
        <w:tc>
          <w:tcPr>
            <w:tcW w:w="3000" w:type="dxa"/>
            <w:noWrap/>
            <w:hideMark/>
          </w:tcPr>
          <w:p w14:paraId="1E92F5AE" w14:textId="77777777" w:rsidR="00223E6B" w:rsidRPr="007B2066" w:rsidRDefault="00223E6B" w:rsidP="007B2066">
            <w:pPr>
              <w:rPr>
                <w:sz w:val="20"/>
                <w:szCs w:val="20"/>
              </w:rPr>
            </w:pPr>
            <w:r w:rsidRPr="007B2066">
              <w:rPr>
                <w:sz w:val="20"/>
                <w:szCs w:val="20"/>
              </w:rPr>
              <w:t>Bottomline Technologies (DE) Inc</w:t>
            </w:r>
          </w:p>
        </w:tc>
        <w:tc>
          <w:tcPr>
            <w:tcW w:w="425" w:type="dxa"/>
            <w:noWrap/>
            <w:hideMark/>
          </w:tcPr>
          <w:p w14:paraId="06E7C7EA" w14:textId="77777777" w:rsidR="00223E6B" w:rsidRPr="007B2066" w:rsidRDefault="00223E6B" w:rsidP="007B2066">
            <w:pPr>
              <w:rPr>
                <w:sz w:val="20"/>
                <w:szCs w:val="20"/>
              </w:rPr>
            </w:pPr>
            <w:r w:rsidRPr="007B2066">
              <w:rPr>
                <w:sz w:val="20"/>
                <w:szCs w:val="20"/>
              </w:rPr>
              <w:t>73</w:t>
            </w:r>
          </w:p>
        </w:tc>
        <w:tc>
          <w:tcPr>
            <w:tcW w:w="3119" w:type="dxa"/>
            <w:noWrap/>
            <w:hideMark/>
          </w:tcPr>
          <w:p w14:paraId="04ED1C3A" w14:textId="77777777" w:rsidR="00223E6B" w:rsidRPr="007B2066" w:rsidRDefault="00223E6B" w:rsidP="007B2066">
            <w:pPr>
              <w:rPr>
                <w:sz w:val="20"/>
                <w:szCs w:val="20"/>
              </w:rPr>
            </w:pPr>
            <w:r w:rsidRPr="007B2066">
              <w:rPr>
                <w:sz w:val="20"/>
                <w:szCs w:val="20"/>
              </w:rPr>
              <w:t>Huntsman Corp</w:t>
            </w:r>
          </w:p>
        </w:tc>
        <w:tc>
          <w:tcPr>
            <w:tcW w:w="567" w:type="dxa"/>
            <w:noWrap/>
            <w:hideMark/>
          </w:tcPr>
          <w:p w14:paraId="176083BC" w14:textId="77777777" w:rsidR="00223E6B" w:rsidRPr="007B2066" w:rsidRDefault="00223E6B" w:rsidP="007B2066">
            <w:pPr>
              <w:rPr>
                <w:sz w:val="20"/>
                <w:szCs w:val="20"/>
              </w:rPr>
            </w:pPr>
            <w:r w:rsidRPr="007B2066">
              <w:rPr>
                <w:sz w:val="20"/>
                <w:szCs w:val="20"/>
              </w:rPr>
              <w:t>117</w:t>
            </w:r>
          </w:p>
        </w:tc>
        <w:tc>
          <w:tcPr>
            <w:tcW w:w="2693" w:type="dxa"/>
            <w:noWrap/>
            <w:hideMark/>
          </w:tcPr>
          <w:p w14:paraId="6CAA92A5" w14:textId="77777777" w:rsidR="00223E6B" w:rsidRPr="007B2066" w:rsidRDefault="00223E6B" w:rsidP="007B2066">
            <w:pPr>
              <w:rPr>
                <w:sz w:val="20"/>
                <w:szCs w:val="20"/>
              </w:rPr>
            </w:pPr>
            <w:r w:rsidRPr="007B2066">
              <w:rPr>
                <w:sz w:val="20"/>
                <w:szCs w:val="20"/>
              </w:rPr>
              <w:t>KAR Auction Services Inc</w:t>
            </w:r>
          </w:p>
        </w:tc>
      </w:tr>
      <w:tr w:rsidR="00DF5C29" w:rsidRPr="007B2066" w14:paraId="3B73F40D" w14:textId="77777777" w:rsidTr="00DF5C29">
        <w:trPr>
          <w:trHeight w:val="300"/>
        </w:trPr>
        <w:tc>
          <w:tcPr>
            <w:tcW w:w="416" w:type="dxa"/>
            <w:noWrap/>
            <w:hideMark/>
          </w:tcPr>
          <w:p w14:paraId="3B67DBD0" w14:textId="77777777" w:rsidR="00223E6B" w:rsidRPr="007B2066" w:rsidRDefault="00223E6B" w:rsidP="007B2066">
            <w:pPr>
              <w:rPr>
                <w:sz w:val="20"/>
                <w:szCs w:val="20"/>
              </w:rPr>
            </w:pPr>
            <w:r w:rsidRPr="007B2066">
              <w:rPr>
                <w:sz w:val="20"/>
                <w:szCs w:val="20"/>
              </w:rPr>
              <w:t>30</w:t>
            </w:r>
          </w:p>
        </w:tc>
        <w:tc>
          <w:tcPr>
            <w:tcW w:w="3000" w:type="dxa"/>
            <w:noWrap/>
            <w:hideMark/>
          </w:tcPr>
          <w:p w14:paraId="1A6888A4" w14:textId="77777777" w:rsidR="00223E6B" w:rsidRPr="007B2066" w:rsidRDefault="00223E6B" w:rsidP="007B2066">
            <w:pPr>
              <w:rPr>
                <w:sz w:val="20"/>
                <w:szCs w:val="20"/>
              </w:rPr>
            </w:pPr>
            <w:r w:rsidRPr="007B2066">
              <w:rPr>
                <w:sz w:val="20"/>
                <w:szCs w:val="20"/>
              </w:rPr>
              <w:t>Pros Holdings Inc</w:t>
            </w:r>
          </w:p>
        </w:tc>
        <w:tc>
          <w:tcPr>
            <w:tcW w:w="425" w:type="dxa"/>
            <w:noWrap/>
            <w:hideMark/>
          </w:tcPr>
          <w:p w14:paraId="374EB965" w14:textId="77777777" w:rsidR="00223E6B" w:rsidRPr="007B2066" w:rsidRDefault="00223E6B" w:rsidP="007B2066">
            <w:pPr>
              <w:rPr>
                <w:sz w:val="20"/>
                <w:szCs w:val="20"/>
              </w:rPr>
            </w:pPr>
            <w:r w:rsidRPr="007B2066">
              <w:rPr>
                <w:sz w:val="20"/>
                <w:szCs w:val="20"/>
              </w:rPr>
              <w:t>74</w:t>
            </w:r>
          </w:p>
        </w:tc>
        <w:tc>
          <w:tcPr>
            <w:tcW w:w="3119" w:type="dxa"/>
            <w:noWrap/>
            <w:hideMark/>
          </w:tcPr>
          <w:p w14:paraId="622B2BE9" w14:textId="77777777" w:rsidR="00223E6B" w:rsidRPr="007B2066" w:rsidRDefault="00223E6B" w:rsidP="007B2066">
            <w:pPr>
              <w:rPr>
                <w:sz w:val="20"/>
                <w:szCs w:val="20"/>
              </w:rPr>
            </w:pPr>
            <w:r w:rsidRPr="007B2066">
              <w:rPr>
                <w:sz w:val="20"/>
                <w:szCs w:val="20"/>
              </w:rPr>
              <w:t>CF Industries Holdings Inc</w:t>
            </w:r>
          </w:p>
        </w:tc>
        <w:tc>
          <w:tcPr>
            <w:tcW w:w="567" w:type="dxa"/>
            <w:noWrap/>
            <w:hideMark/>
          </w:tcPr>
          <w:p w14:paraId="2D4069C7" w14:textId="77777777" w:rsidR="00223E6B" w:rsidRPr="007B2066" w:rsidRDefault="00223E6B" w:rsidP="007B2066">
            <w:pPr>
              <w:rPr>
                <w:sz w:val="20"/>
                <w:szCs w:val="20"/>
              </w:rPr>
            </w:pPr>
            <w:r w:rsidRPr="007B2066">
              <w:rPr>
                <w:sz w:val="20"/>
                <w:szCs w:val="20"/>
              </w:rPr>
              <w:t>118</w:t>
            </w:r>
          </w:p>
        </w:tc>
        <w:tc>
          <w:tcPr>
            <w:tcW w:w="2693" w:type="dxa"/>
            <w:noWrap/>
            <w:hideMark/>
          </w:tcPr>
          <w:p w14:paraId="1B26D2DC" w14:textId="77777777" w:rsidR="00223E6B" w:rsidRPr="007B2066" w:rsidRDefault="00223E6B" w:rsidP="007B2066">
            <w:pPr>
              <w:rPr>
                <w:sz w:val="20"/>
                <w:szCs w:val="20"/>
              </w:rPr>
            </w:pPr>
            <w:r w:rsidRPr="007B2066">
              <w:rPr>
                <w:sz w:val="20"/>
                <w:szCs w:val="20"/>
              </w:rPr>
              <w:t>Kohls Corp</w:t>
            </w:r>
          </w:p>
        </w:tc>
      </w:tr>
      <w:tr w:rsidR="00DF5C29" w:rsidRPr="007B2066" w14:paraId="4BAC4090" w14:textId="77777777" w:rsidTr="00DF5C29">
        <w:trPr>
          <w:trHeight w:val="300"/>
        </w:trPr>
        <w:tc>
          <w:tcPr>
            <w:tcW w:w="416" w:type="dxa"/>
            <w:noWrap/>
            <w:hideMark/>
          </w:tcPr>
          <w:p w14:paraId="6A665E0D" w14:textId="77777777" w:rsidR="00223E6B" w:rsidRPr="007B2066" w:rsidRDefault="00223E6B" w:rsidP="007B2066">
            <w:pPr>
              <w:rPr>
                <w:sz w:val="20"/>
                <w:szCs w:val="20"/>
              </w:rPr>
            </w:pPr>
            <w:r w:rsidRPr="007B2066">
              <w:rPr>
                <w:sz w:val="20"/>
                <w:szCs w:val="20"/>
              </w:rPr>
              <w:t>31</w:t>
            </w:r>
          </w:p>
        </w:tc>
        <w:tc>
          <w:tcPr>
            <w:tcW w:w="3000" w:type="dxa"/>
            <w:noWrap/>
            <w:hideMark/>
          </w:tcPr>
          <w:p w14:paraId="743315ED" w14:textId="77777777" w:rsidR="00223E6B" w:rsidRPr="007B2066" w:rsidRDefault="00223E6B" w:rsidP="007B2066">
            <w:pPr>
              <w:rPr>
                <w:sz w:val="20"/>
                <w:szCs w:val="20"/>
                <w:lang w:val="en-US"/>
              </w:rPr>
            </w:pPr>
            <w:r w:rsidRPr="007B2066">
              <w:rPr>
                <w:sz w:val="20"/>
                <w:szCs w:val="20"/>
                <w:lang w:val="en-US"/>
              </w:rPr>
              <w:t>Endurance International Group Holdings Inc</w:t>
            </w:r>
          </w:p>
        </w:tc>
        <w:tc>
          <w:tcPr>
            <w:tcW w:w="425" w:type="dxa"/>
            <w:noWrap/>
            <w:hideMark/>
          </w:tcPr>
          <w:p w14:paraId="66DD12F1" w14:textId="77777777" w:rsidR="00223E6B" w:rsidRPr="007B2066" w:rsidRDefault="00223E6B" w:rsidP="007B2066">
            <w:pPr>
              <w:rPr>
                <w:sz w:val="20"/>
                <w:szCs w:val="20"/>
              </w:rPr>
            </w:pPr>
            <w:r w:rsidRPr="007B2066">
              <w:rPr>
                <w:sz w:val="20"/>
                <w:szCs w:val="20"/>
              </w:rPr>
              <w:t>75</w:t>
            </w:r>
          </w:p>
        </w:tc>
        <w:tc>
          <w:tcPr>
            <w:tcW w:w="3119" w:type="dxa"/>
            <w:noWrap/>
            <w:hideMark/>
          </w:tcPr>
          <w:p w14:paraId="4A2C8C7B" w14:textId="77777777" w:rsidR="00223E6B" w:rsidRPr="007B2066" w:rsidRDefault="00223E6B" w:rsidP="007B2066">
            <w:pPr>
              <w:rPr>
                <w:sz w:val="20"/>
                <w:szCs w:val="20"/>
              </w:rPr>
            </w:pPr>
            <w:r w:rsidRPr="007B2066">
              <w:rPr>
                <w:sz w:val="20"/>
                <w:szCs w:val="20"/>
              </w:rPr>
              <w:t>Koppers Holdings Inc</w:t>
            </w:r>
          </w:p>
        </w:tc>
        <w:tc>
          <w:tcPr>
            <w:tcW w:w="567" w:type="dxa"/>
            <w:noWrap/>
            <w:hideMark/>
          </w:tcPr>
          <w:p w14:paraId="2A1617DD" w14:textId="77777777" w:rsidR="00223E6B" w:rsidRPr="007B2066" w:rsidRDefault="00223E6B" w:rsidP="007B2066">
            <w:pPr>
              <w:rPr>
                <w:sz w:val="20"/>
                <w:szCs w:val="20"/>
              </w:rPr>
            </w:pPr>
            <w:r w:rsidRPr="007B2066">
              <w:rPr>
                <w:sz w:val="20"/>
                <w:szCs w:val="20"/>
              </w:rPr>
              <w:t>119</w:t>
            </w:r>
          </w:p>
        </w:tc>
        <w:tc>
          <w:tcPr>
            <w:tcW w:w="2693" w:type="dxa"/>
            <w:noWrap/>
            <w:hideMark/>
          </w:tcPr>
          <w:p w14:paraId="2C9E3036" w14:textId="77777777" w:rsidR="00223E6B" w:rsidRPr="007B2066" w:rsidRDefault="00223E6B" w:rsidP="007B2066">
            <w:pPr>
              <w:rPr>
                <w:sz w:val="20"/>
                <w:szCs w:val="20"/>
              </w:rPr>
            </w:pPr>
            <w:r w:rsidRPr="007B2066">
              <w:rPr>
                <w:sz w:val="20"/>
                <w:szCs w:val="20"/>
              </w:rPr>
              <w:t>Lithia Motors Inc</w:t>
            </w:r>
          </w:p>
        </w:tc>
      </w:tr>
      <w:tr w:rsidR="00DF5C29" w:rsidRPr="007B2066" w14:paraId="00C5BDC4" w14:textId="77777777" w:rsidTr="00DF5C29">
        <w:trPr>
          <w:trHeight w:val="300"/>
        </w:trPr>
        <w:tc>
          <w:tcPr>
            <w:tcW w:w="416" w:type="dxa"/>
            <w:noWrap/>
            <w:hideMark/>
          </w:tcPr>
          <w:p w14:paraId="2A35AFF4" w14:textId="77777777" w:rsidR="00223E6B" w:rsidRPr="007B2066" w:rsidRDefault="00223E6B" w:rsidP="007B2066">
            <w:pPr>
              <w:rPr>
                <w:sz w:val="20"/>
                <w:szCs w:val="20"/>
              </w:rPr>
            </w:pPr>
            <w:r w:rsidRPr="007B2066">
              <w:rPr>
                <w:sz w:val="20"/>
                <w:szCs w:val="20"/>
              </w:rPr>
              <w:t>32</w:t>
            </w:r>
          </w:p>
        </w:tc>
        <w:tc>
          <w:tcPr>
            <w:tcW w:w="3000" w:type="dxa"/>
            <w:noWrap/>
            <w:hideMark/>
          </w:tcPr>
          <w:p w14:paraId="68ABDCBC" w14:textId="77777777" w:rsidR="00223E6B" w:rsidRPr="007B2066" w:rsidRDefault="00223E6B" w:rsidP="007B2066">
            <w:pPr>
              <w:rPr>
                <w:sz w:val="20"/>
                <w:szCs w:val="20"/>
              </w:rPr>
            </w:pPr>
            <w:r w:rsidRPr="007B2066">
              <w:rPr>
                <w:sz w:val="20"/>
                <w:szCs w:val="20"/>
              </w:rPr>
              <w:t>Cornerstone OnDemand Inc</w:t>
            </w:r>
          </w:p>
        </w:tc>
        <w:tc>
          <w:tcPr>
            <w:tcW w:w="425" w:type="dxa"/>
            <w:noWrap/>
            <w:hideMark/>
          </w:tcPr>
          <w:p w14:paraId="244001DF" w14:textId="77777777" w:rsidR="00223E6B" w:rsidRPr="007B2066" w:rsidRDefault="00223E6B" w:rsidP="007B2066">
            <w:pPr>
              <w:rPr>
                <w:sz w:val="20"/>
                <w:szCs w:val="20"/>
              </w:rPr>
            </w:pPr>
            <w:r w:rsidRPr="007B2066">
              <w:rPr>
                <w:sz w:val="20"/>
                <w:szCs w:val="20"/>
              </w:rPr>
              <w:t>76</w:t>
            </w:r>
          </w:p>
        </w:tc>
        <w:tc>
          <w:tcPr>
            <w:tcW w:w="3119" w:type="dxa"/>
            <w:noWrap/>
            <w:hideMark/>
          </w:tcPr>
          <w:p w14:paraId="46949F3A" w14:textId="77777777" w:rsidR="00223E6B" w:rsidRPr="007B2066" w:rsidRDefault="00223E6B" w:rsidP="007B2066">
            <w:pPr>
              <w:rPr>
                <w:sz w:val="20"/>
                <w:szCs w:val="20"/>
              </w:rPr>
            </w:pPr>
            <w:r w:rsidRPr="007B2066">
              <w:rPr>
                <w:sz w:val="20"/>
                <w:szCs w:val="20"/>
              </w:rPr>
              <w:t>CVR Partners LP</w:t>
            </w:r>
          </w:p>
        </w:tc>
        <w:tc>
          <w:tcPr>
            <w:tcW w:w="567" w:type="dxa"/>
            <w:noWrap/>
            <w:hideMark/>
          </w:tcPr>
          <w:p w14:paraId="4EAD5E65" w14:textId="77777777" w:rsidR="00223E6B" w:rsidRPr="007B2066" w:rsidRDefault="00223E6B" w:rsidP="007B2066">
            <w:pPr>
              <w:rPr>
                <w:sz w:val="20"/>
                <w:szCs w:val="20"/>
              </w:rPr>
            </w:pPr>
            <w:r w:rsidRPr="007B2066">
              <w:rPr>
                <w:sz w:val="20"/>
                <w:szCs w:val="20"/>
              </w:rPr>
              <w:t>120</w:t>
            </w:r>
          </w:p>
        </w:tc>
        <w:tc>
          <w:tcPr>
            <w:tcW w:w="2693" w:type="dxa"/>
            <w:noWrap/>
            <w:hideMark/>
          </w:tcPr>
          <w:p w14:paraId="6C0B18DD" w14:textId="77777777" w:rsidR="00223E6B" w:rsidRPr="007B2066" w:rsidRDefault="00223E6B" w:rsidP="007B2066">
            <w:pPr>
              <w:rPr>
                <w:sz w:val="20"/>
                <w:szCs w:val="20"/>
              </w:rPr>
            </w:pPr>
            <w:r w:rsidRPr="007B2066">
              <w:rPr>
                <w:sz w:val="20"/>
                <w:szCs w:val="20"/>
              </w:rPr>
              <w:t>L Brands Inc</w:t>
            </w:r>
          </w:p>
        </w:tc>
      </w:tr>
      <w:tr w:rsidR="00DF5C29" w:rsidRPr="007B2066" w14:paraId="69DBE7B8" w14:textId="77777777" w:rsidTr="00DF5C29">
        <w:trPr>
          <w:trHeight w:val="300"/>
        </w:trPr>
        <w:tc>
          <w:tcPr>
            <w:tcW w:w="416" w:type="dxa"/>
            <w:noWrap/>
            <w:hideMark/>
          </w:tcPr>
          <w:p w14:paraId="3D0DB5D6" w14:textId="77777777" w:rsidR="00223E6B" w:rsidRPr="007B2066" w:rsidRDefault="00223E6B" w:rsidP="007B2066">
            <w:pPr>
              <w:rPr>
                <w:sz w:val="20"/>
                <w:szCs w:val="20"/>
              </w:rPr>
            </w:pPr>
            <w:r w:rsidRPr="007B2066">
              <w:rPr>
                <w:sz w:val="20"/>
                <w:szCs w:val="20"/>
              </w:rPr>
              <w:t>33</w:t>
            </w:r>
          </w:p>
        </w:tc>
        <w:tc>
          <w:tcPr>
            <w:tcW w:w="3000" w:type="dxa"/>
            <w:noWrap/>
            <w:hideMark/>
          </w:tcPr>
          <w:p w14:paraId="52059DF8" w14:textId="77777777" w:rsidR="00223E6B" w:rsidRPr="007B2066" w:rsidRDefault="00223E6B" w:rsidP="007B2066">
            <w:pPr>
              <w:rPr>
                <w:sz w:val="20"/>
                <w:szCs w:val="20"/>
              </w:rPr>
            </w:pPr>
            <w:r w:rsidRPr="007B2066">
              <w:rPr>
                <w:sz w:val="20"/>
                <w:szCs w:val="20"/>
              </w:rPr>
              <w:t>Proofpoint Inc</w:t>
            </w:r>
          </w:p>
        </w:tc>
        <w:tc>
          <w:tcPr>
            <w:tcW w:w="425" w:type="dxa"/>
            <w:noWrap/>
            <w:hideMark/>
          </w:tcPr>
          <w:p w14:paraId="3C8A267C" w14:textId="77777777" w:rsidR="00223E6B" w:rsidRPr="007B2066" w:rsidRDefault="00223E6B" w:rsidP="007B2066">
            <w:pPr>
              <w:rPr>
                <w:sz w:val="20"/>
                <w:szCs w:val="20"/>
              </w:rPr>
            </w:pPr>
            <w:r w:rsidRPr="007B2066">
              <w:rPr>
                <w:sz w:val="20"/>
                <w:szCs w:val="20"/>
              </w:rPr>
              <w:t>77</w:t>
            </w:r>
          </w:p>
        </w:tc>
        <w:tc>
          <w:tcPr>
            <w:tcW w:w="3119" w:type="dxa"/>
            <w:noWrap/>
            <w:hideMark/>
          </w:tcPr>
          <w:p w14:paraId="1AF33266" w14:textId="77777777" w:rsidR="00223E6B" w:rsidRPr="007B2066" w:rsidRDefault="00223E6B" w:rsidP="007B2066">
            <w:pPr>
              <w:rPr>
                <w:sz w:val="20"/>
                <w:szCs w:val="20"/>
              </w:rPr>
            </w:pPr>
            <w:r w:rsidRPr="007B2066">
              <w:rPr>
                <w:sz w:val="20"/>
                <w:szCs w:val="20"/>
              </w:rPr>
              <w:t>Kraton Corp</w:t>
            </w:r>
          </w:p>
        </w:tc>
        <w:tc>
          <w:tcPr>
            <w:tcW w:w="567" w:type="dxa"/>
            <w:noWrap/>
            <w:hideMark/>
          </w:tcPr>
          <w:p w14:paraId="7EE1343D" w14:textId="77777777" w:rsidR="00223E6B" w:rsidRPr="007B2066" w:rsidRDefault="00223E6B" w:rsidP="007B2066">
            <w:pPr>
              <w:rPr>
                <w:sz w:val="20"/>
                <w:szCs w:val="20"/>
              </w:rPr>
            </w:pPr>
            <w:r w:rsidRPr="007B2066">
              <w:rPr>
                <w:sz w:val="20"/>
                <w:szCs w:val="20"/>
              </w:rPr>
              <w:t>121</w:t>
            </w:r>
          </w:p>
        </w:tc>
        <w:tc>
          <w:tcPr>
            <w:tcW w:w="2693" w:type="dxa"/>
            <w:noWrap/>
            <w:hideMark/>
          </w:tcPr>
          <w:p w14:paraId="209E096A" w14:textId="77777777" w:rsidR="00223E6B" w:rsidRPr="007B2066" w:rsidRDefault="00223E6B" w:rsidP="007B2066">
            <w:pPr>
              <w:rPr>
                <w:sz w:val="20"/>
                <w:szCs w:val="20"/>
              </w:rPr>
            </w:pPr>
            <w:r w:rsidRPr="007B2066">
              <w:rPr>
                <w:sz w:val="20"/>
                <w:szCs w:val="20"/>
              </w:rPr>
              <w:t>Lowe's Companies Inc</w:t>
            </w:r>
          </w:p>
        </w:tc>
      </w:tr>
      <w:tr w:rsidR="00DF5C29" w:rsidRPr="007B2066" w14:paraId="13F5BD02" w14:textId="77777777" w:rsidTr="00DF5C29">
        <w:trPr>
          <w:trHeight w:val="300"/>
        </w:trPr>
        <w:tc>
          <w:tcPr>
            <w:tcW w:w="416" w:type="dxa"/>
            <w:noWrap/>
            <w:hideMark/>
          </w:tcPr>
          <w:p w14:paraId="3455713C" w14:textId="77777777" w:rsidR="00223E6B" w:rsidRPr="007B2066" w:rsidRDefault="00223E6B" w:rsidP="007B2066">
            <w:pPr>
              <w:rPr>
                <w:sz w:val="20"/>
                <w:szCs w:val="20"/>
              </w:rPr>
            </w:pPr>
            <w:r w:rsidRPr="007B2066">
              <w:rPr>
                <w:sz w:val="20"/>
                <w:szCs w:val="20"/>
              </w:rPr>
              <w:t>34</w:t>
            </w:r>
          </w:p>
        </w:tc>
        <w:tc>
          <w:tcPr>
            <w:tcW w:w="3000" w:type="dxa"/>
            <w:noWrap/>
            <w:hideMark/>
          </w:tcPr>
          <w:p w14:paraId="4CE5DA25" w14:textId="77777777" w:rsidR="00223E6B" w:rsidRPr="007B2066" w:rsidRDefault="00223E6B" w:rsidP="007B2066">
            <w:pPr>
              <w:rPr>
                <w:sz w:val="20"/>
                <w:szCs w:val="20"/>
              </w:rPr>
            </w:pPr>
            <w:r w:rsidRPr="007B2066">
              <w:rPr>
                <w:sz w:val="20"/>
                <w:szCs w:val="20"/>
              </w:rPr>
              <w:t>Versum Materials Inc</w:t>
            </w:r>
          </w:p>
        </w:tc>
        <w:tc>
          <w:tcPr>
            <w:tcW w:w="425" w:type="dxa"/>
            <w:noWrap/>
            <w:hideMark/>
          </w:tcPr>
          <w:p w14:paraId="28EEA4FE" w14:textId="77777777" w:rsidR="00223E6B" w:rsidRPr="007B2066" w:rsidRDefault="00223E6B" w:rsidP="007B2066">
            <w:pPr>
              <w:rPr>
                <w:sz w:val="20"/>
                <w:szCs w:val="20"/>
              </w:rPr>
            </w:pPr>
            <w:r w:rsidRPr="007B2066">
              <w:rPr>
                <w:sz w:val="20"/>
                <w:szCs w:val="20"/>
              </w:rPr>
              <w:t>78</w:t>
            </w:r>
          </w:p>
        </w:tc>
        <w:tc>
          <w:tcPr>
            <w:tcW w:w="3119" w:type="dxa"/>
            <w:noWrap/>
            <w:hideMark/>
          </w:tcPr>
          <w:p w14:paraId="663C7F29" w14:textId="77777777" w:rsidR="00223E6B" w:rsidRPr="007B2066" w:rsidRDefault="00223E6B" w:rsidP="007B2066">
            <w:pPr>
              <w:rPr>
                <w:sz w:val="20"/>
                <w:szCs w:val="20"/>
              </w:rPr>
            </w:pPr>
            <w:r w:rsidRPr="007B2066">
              <w:rPr>
                <w:sz w:val="20"/>
                <w:szCs w:val="20"/>
              </w:rPr>
              <w:t>LyondellBasell Industries NV</w:t>
            </w:r>
          </w:p>
        </w:tc>
        <w:tc>
          <w:tcPr>
            <w:tcW w:w="567" w:type="dxa"/>
            <w:noWrap/>
            <w:hideMark/>
          </w:tcPr>
          <w:p w14:paraId="39E72E66" w14:textId="77777777" w:rsidR="00223E6B" w:rsidRPr="007B2066" w:rsidRDefault="00223E6B" w:rsidP="007B2066">
            <w:pPr>
              <w:rPr>
                <w:sz w:val="20"/>
                <w:szCs w:val="20"/>
              </w:rPr>
            </w:pPr>
            <w:r w:rsidRPr="007B2066">
              <w:rPr>
                <w:sz w:val="20"/>
                <w:szCs w:val="20"/>
              </w:rPr>
              <w:t>122</w:t>
            </w:r>
          </w:p>
        </w:tc>
        <w:tc>
          <w:tcPr>
            <w:tcW w:w="2693" w:type="dxa"/>
            <w:noWrap/>
            <w:hideMark/>
          </w:tcPr>
          <w:p w14:paraId="74EBC51C" w14:textId="77777777" w:rsidR="00223E6B" w:rsidRPr="007B2066" w:rsidRDefault="00223E6B" w:rsidP="007B2066">
            <w:pPr>
              <w:rPr>
                <w:sz w:val="20"/>
                <w:szCs w:val="20"/>
              </w:rPr>
            </w:pPr>
            <w:r w:rsidRPr="007B2066">
              <w:rPr>
                <w:sz w:val="20"/>
                <w:szCs w:val="20"/>
              </w:rPr>
              <w:t>Macy's Inc</w:t>
            </w:r>
          </w:p>
        </w:tc>
      </w:tr>
      <w:tr w:rsidR="00DF5C29" w:rsidRPr="007B2066" w14:paraId="71A53A54" w14:textId="77777777" w:rsidTr="00DF5C29">
        <w:trPr>
          <w:trHeight w:val="300"/>
        </w:trPr>
        <w:tc>
          <w:tcPr>
            <w:tcW w:w="416" w:type="dxa"/>
            <w:noWrap/>
            <w:hideMark/>
          </w:tcPr>
          <w:p w14:paraId="5560B6B0" w14:textId="77777777" w:rsidR="00223E6B" w:rsidRPr="007B2066" w:rsidRDefault="00223E6B" w:rsidP="007B2066">
            <w:pPr>
              <w:rPr>
                <w:sz w:val="20"/>
                <w:szCs w:val="20"/>
              </w:rPr>
            </w:pPr>
            <w:r w:rsidRPr="007B2066">
              <w:rPr>
                <w:sz w:val="20"/>
                <w:szCs w:val="20"/>
              </w:rPr>
              <w:t>35</w:t>
            </w:r>
          </w:p>
        </w:tc>
        <w:tc>
          <w:tcPr>
            <w:tcW w:w="3000" w:type="dxa"/>
            <w:noWrap/>
            <w:hideMark/>
          </w:tcPr>
          <w:p w14:paraId="7A4D6A48" w14:textId="77777777" w:rsidR="00223E6B" w:rsidRPr="007B2066" w:rsidRDefault="00223E6B" w:rsidP="007B2066">
            <w:pPr>
              <w:rPr>
                <w:sz w:val="20"/>
                <w:szCs w:val="20"/>
              </w:rPr>
            </w:pPr>
            <w:r w:rsidRPr="007B2066">
              <w:rPr>
                <w:sz w:val="20"/>
                <w:szCs w:val="20"/>
              </w:rPr>
              <w:t>Ingevity Corp</w:t>
            </w:r>
          </w:p>
        </w:tc>
        <w:tc>
          <w:tcPr>
            <w:tcW w:w="425" w:type="dxa"/>
            <w:noWrap/>
            <w:hideMark/>
          </w:tcPr>
          <w:p w14:paraId="06F33F06" w14:textId="77777777" w:rsidR="00223E6B" w:rsidRPr="007B2066" w:rsidRDefault="00223E6B" w:rsidP="007B2066">
            <w:pPr>
              <w:rPr>
                <w:sz w:val="20"/>
                <w:szCs w:val="20"/>
              </w:rPr>
            </w:pPr>
            <w:r w:rsidRPr="007B2066">
              <w:rPr>
                <w:sz w:val="20"/>
                <w:szCs w:val="20"/>
              </w:rPr>
              <w:t>79</w:t>
            </w:r>
          </w:p>
        </w:tc>
        <w:tc>
          <w:tcPr>
            <w:tcW w:w="3119" w:type="dxa"/>
            <w:noWrap/>
            <w:hideMark/>
          </w:tcPr>
          <w:p w14:paraId="3CC58E30" w14:textId="77777777" w:rsidR="00223E6B" w:rsidRPr="007B2066" w:rsidRDefault="00223E6B" w:rsidP="007B2066">
            <w:pPr>
              <w:rPr>
                <w:sz w:val="20"/>
                <w:szCs w:val="20"/>
              </w:rPr>
            </w:pPr>
            <w:r w:rsidRPr="007B2066">
              <w:rPr>
                <w:sz w:val="20"/>
                <w:szCs w:val="20"/>
              </w:rPr>
              <w:t>Amyris Inc</w:t>
            </w:r>
          </w:p>
        </w:tc>
        <w:tc>
          <w:tcPr>
            <w:tcW w:w="567" w:type="dxa"/>
            <w:noWrap/>
            <w:hideMark/>
          </w:tcPr>
          <w:p w14:paraId="01ECAC72" w14:textId="77777777" w:rsidR="00223E6B" w:rsidRPr="007B2066" w:rsidRDefault="00223E6B" w:rsidP="007B2066">
            <w:pPr>
              <w:rPr>
                <w:sz w:val="20"/>
                <w:szCs w:val="20"/>
              </w:rPr>
            </w:pPr>
            <w:r w:rsidRPr="007B2066">
              <w:rPr>
                <w:sz w:val="20"/>
                <w:szCs w:val="20"/>
              </w:rPr>
              <w:t>123</w:t>
            </w:r>
          </w:p>
        </w:tc>
        <w:tc>
          <w:tcPr>
            <w:tcW w:w="2693" w:type="dxa"/>
            <w:noWrap/>
            <w:hideMark/>
          </w:tcPr>
          <w:p w14:paraId="6FA03F31" w14:textId="77777777" w:rsidR="00223E6B" w:rsidRPr="007B2066" w:rsidRDefault="00223E6B" w:rsidP="007B2066">
            <w:pPr>
              <w:rPr>
                <w:sz w:val="20"/>
                <w:szCs w:val="20"/>
              </w:rPr>
            </w:pPr>
            <w:r w:rsidRPr="007B2066">
              <w:rPr>
                <w:sz w:val="20"/>
                <w:szCs w:val="20"/>
              </w:rPr>
              <w:t>Michaels Companies Inc</w:t>
            </w:r>
          </w:p>
        </w:tc>
      </w:tr>
      <w:tr w:rsidR="00DF5C29" w:rsidRPr="007B2066" w14:paraId="0D03B1AA" w14:textId="77777777" w:rsidTr="00DF5C29">
        <w:trPr>
          <w:trHeight w:val="300"/>
        </w:trPr>
        <w:tc>
          <w:tcPr>
            <w:tcW w:w="416" w:type="dxa"/>
            <w:noWrap/>
            <w:hideMark/>
          </w:tcPr>
          <w:p w14:paraId="6ABB9F46" w14:textId="77777777" w:rsidR="00223E6B" w:rsidRPr="007B2066" w:rsidRDefault="00223E6B" w:rsidP="007B2066">
            <w:pPr>
              <w:rPr>
                <w:sz w:val="20"/>
                <w:szCs w:val="20"/>
              </w:rPr>
            </w:pPr>
            <w:r w:rsidRPr="007B2066">
              <w:rPr>
                <w:sz w:val="20"/>
                <w:szCs w:val="20"/>
              </w:rPr>
              <w:t>36</w:t>
            </w:r>
          </w:p>
        </w:tc>
        <w:tc>
          <w:tcPr>
            <w:tcW w:w="3000" w:type="dxa"/>
            <w:noWrap/>
            <w:hideMark/>
          </w:tcPr>
          <w:p w14:paraId="3ADA3CE3" w14:textId="77777777" w:rsidR="00223E6B" w:rsidRPr="007B2066" w:rsidRDefault="00223E6B" w:rsidP="007B2066">
            <w:pPr>
              <w:rPr>
                <w:sz w:val="20"/>
                <w:szCs w:val="20"/>
              </w:rPr>
            </w:pPr>
            <w:r w:rsidRPr="007B2066">
              <w:rPr>
                <w:sz w:val="20"/>
                <w:szCs w:val="20"/>
              </w:rPr>
              <w:t>Valvoline Inc</w:t>
            </w:r>
          </w:p>
        </w:tc>
        <w:tc>
          <w:tcPr>
            <w:tcW w:w="425" w:type="dxa"/>
            <w:noWrap/>
            <w:hideMark/>
          </w:tcPr>
          <w:p w14:paraId="615E9EFD" w14:textId="77777777" w:rsidR="00223E6B" w:rsidRPr="007B2066" w:rsidRDefault="00223E6B" w:rsidP="007B2066">
            <w:pPr>
              <w:rPr>
                <w:sz w:val="20"/>
                <w:szCs w:val="20"/>
              </w:rPr>
            </w:pPr>
            <w:r w:rsidRPr="007B2066">
              <w:rPr>
                <w:sz w:val="20"/>
                <w:szCs w:val="20"/>
              </w:rPr>
              <w:t>80</w:t>
            </w:r>
          </w:p>
        </w:tc>
        <w:tc>
          <w:tcPr>
            <w:tcW w:w="3119" w:type="dxa"/>
            <w:noWrap/>
            <w:hideMark/>
          </w:tcPr>
          <w:p w14:paraId="0606378A" w14:textId="77777777" w:rsidR="00223E6B" w:rsidRPr="007B2066" w:rsidRDefault="00223E6B" w:rsidP="007B2066">
            <w:pPr>
              <w:rPr>
                <w:sz w:val="20"/>
                <w:szCs w:val="20"/>
              </w:rPr>
            </w:pPr>
            <w:r w:rsidRPr="007B2066">
              <w:rPr>
                <w:sz w:val="20"/>
                <w:szCs w:val="20"/>
              </w:rPr>
              <w:t>Univar Inc</w:t>
            </w:r>
          </w:p>
        </w:tc>
        <w:tc>
          <w:tcPr>
            <w:tcW w:w="567" w:type="dxa"/>
            <w:noWrap/>
            <w:hideMark/>
          </w:tcPr>
          <w:p w14:paraId="378D64A0" w14:textId="77777777" w:rsidR="00223E6B" w:rsidRPr="007B2066" w:rsidRDefault="00223E6B" w:rsidP="007B2066">
            <w:pPr>
              <w:rPr>
                <w:sz w:val="20"/>
                <w:szCs w:val="20"/>
              </w:rPr>
            </w:pPr>
            <w:r w:rsidRPr="007B2066">
              <w:rPr>
                <w:sz w:val="20"/>
                <w:szCs w:val="20"/>
              </w:rPr>
              <w:t>124</w:t>
            </w:r>
          </w:p>
        </w:tc>
        <w:tc>
          <w:tcPr>
            <w:tcW w:w="2693" w:type="dxa"/>
            <w:noWrap/>
            <w:hideMark/>
          </w:tcPr>
          <w:p w14:paraId="465A3081" w14:textId="77777777" w:rsidR="00223E6B" w:rsidRPr="007B2066" w:rsidRDefault="00223E6B" w:rsidP="007B2066">
            <w:pPr>
              <w:rPr>
                <w:sz w:val="20"/>
                <w:szCs w:val="20"/>
              </w:rPr>
            </w:pPr>
            <w:r w:rsidRPr="007B2066">
              <w:rPr>
                <w:sz w:val="20"/>
                <w:szCs w:val="20"/>
              </w:rPr>
              <w:t>Office Depot Inc</w:t>
            </w:r>
          </w:p>
        </w:tc>
      </w:tr>
      <w:tr w:rsidR="00DF5C29" w:rsidRPr="007B2066" w14:paraId="65B3A3B7" w14:textId="77777777" w:rsidTr="00DF5C29">
        <w:trPr>
          <w:trHeight w:val="300"/>
        </w:trPr>
        <w:tc>
          <w:tcPr>
            <w:tcW w:w="416" w:type="dxa"/>
            <w:noWrap/>
            <w:hideMark/>
          </w:tcPr>
          <w:p w14:paraId="61C37057" w14:textId="77777777" w:rsidR="00223E6B" w:rsidRPr="007B2066" w:rsidRDefault="00223E6B" w:rsidP="007B2066">
            <w:pPr>
              <w:rPr>
                <w:sz w:val="20"/>
                <w:szCs w:val="20"/>
              </w:rPr>
            </w:pPr>
            <w:r w:rsidRPr="007B2066">
              <w:rPr>
                <w:sz w:val="20"/>
                <w:szCs w:val="20"/>
              </w:rPr>
              <w:t>37</w:t>
            </w:r>
          </w:p>
        </w:tc>
        <w:tc>
          <w:tcPr>
            <w:tcW w:w="3000" w:type="dxa"/>
            <w:noWrap/>
            <w:hideMark/>
          </w:tcPr>
          <w:p w14:paraId="21B9B28B" w14:textId="77777777" w:rsidR="00223E6B" w:rsidRPr="007B2066" w:rsidRDefault="00223E6B" w:rsidP="007B2066">
            <w:pPr>
              <w:rPr>
                <w:sz w:val="20"/>
                <w:szCs w:val="20"/>
              </w:rPr>
            </w:pPr>
            <w:r w:rsidRPr="007B2066">
              <w:rPr>
                <w:sz w:val="20"/>
                <w:szCs w:val="20"/>
              </w:rPr>
              <w:t>PQ Group Holdings Inc</w:t>
            </w:r>
          </w:p>
        </w:tc>
        <w:tc>
          <w:tcPr>
            <w:tcW w:w="425" w:type="dxa"/>
            <w:noWrap/>
            <w:hideMark/>
          </w:tcPr>
          <w:p w14:paraId="6C03386A" w14:textId="77777777" w:rsidR="00223E6B" w:rsidRPr="007B2066" w:rsidRDefault="00223E6B" w:rsidP="007B2066">
            <w:pPr>
              <w:rPr>
                <w:sz w:val="20"/>
                <w:szCs w:val="20"/>
              </w:rPr>
            </w:pPr>
            <w:r w:rsidRPr="007B2066">
              <w:rPr>
                <w:sz w:val="20"/>
                <w:szCs w:val="20"/>
              </w:rPr>
              <w:t>81</w:t>
            </w:r>
          </w:p>
        </w:tc>
        <w:tc>
          <w:tcPr>
            <w:tcW w:w="3119" w:type="dxa"/>
            <w:noWrap/>
            <w:hideMark/>
          </w:tcPr>
          <w:p w14:paraId="52982402" w14:textId="77777777" w:rsidR="00223E6B" w:rsidRPr="007B2066" w:rsidRDefault="00223E6B" w:rsidP="007B2066">
            <w:pPr>
              <w:rPr>
                <w:sz w:val="20"/>
                <w:szCs w:val="20"/>
              </w:rPr>
            </w:pPr>
            <w:r w:rsidRPr="007B2066">
              <w:rPr>
                <w:sz w:val="20"/>
                <w:szCs w:val="20"/>
              </w:rPr>
              <w:t>Trinseo SA</w:t>
            </w:r>
          </w:p>
        </w:tc>
        <w:tc>
          <w:tcPr>
            <w:tcW w:w="567" w:type="dxa"/>
            <w:noWrap/>
            <w:hideMark/>
          </w:tcPr>
          <w:p w14:paraId="31AA30FA" w14:textId="77777777" w:rsidR="00223E6B" w:rsidRPr="007B2066" w:rsidRDefault="00223E6B" w:rsidP="007B2066">
            <w:pPr>
              <w:rPr>
                <w:sz w:val="20"/>
                <w:szCs w:val="20"/>
              </w:rPr>
            </w:pPr>
            <w:r w:rsidRPr="007B2066">
              <w:rPr>
                <w:sz w:val="20"/>
                <w:szCs w:val="20"/>
              </w:rPr>
              <w:t>125</w:t>
            </w:r>
          </w:p>
        </w:tc>
        <w:tc>
          <w:tcPr>
            <w:tcW w:w="2693" w:type="dxa"/>
            <w:noWrap/>
            <w:hideMark/>
          </w:tcPr>
          <w:p w14:paraId="6925AEE6" w14:textId="77777777" w:rsidR="00223E6B" w:rsidRPr="007B2066" w:rsidRDefault="00223E6B" w:rsidP="007B2066">
            <w:pPr>
              <w:rPr>
                <w:sz w:val="20"/>
                <w:szCs w:val="20"/>
              </w:rPr>
            </w:pPr>
            <w:r w:rsidRPr="007B2066">
              <w:rPr>
                <w:sz w:val="20"/>
                <w:szCs w:val="20"/>
              </w:rPr>
              <w:t>O'Reilly Automotive Inc</w:t>
            </w:r>
          </w:p>
        </w:tc>
      </w:tr>
      <w:tr w:rsidR="00DF5C29" w:rsidRPr="007B2066" w14:paraId="4D17C8B3" w14:textId="77777777" w:rsidTr="00DF5C29">
        <w:trPr>
          <w:trHeight w:val="300"/>
        </w:trPr>
        <w:tc>
          <w:tcPr>
            <w:tcW w:w="416" w:type="dxa"/>
            <w:noWrap/>
            <w:hideMark/>
          </w:tcPr>
          <w:p w14:paraId="379C8E7B" w14:textId="77777777" w:rsidR="00223E6B" w:rsidRPr="007B2066" w:rsidRDefault="00223E6B" w:rsidP="007B2066">
            <w:pPr>
              <w:rPr>
                <w:sz w:val="20"/>
                <w:szCs w:val="20"/>
              </w:rPr>
            </w:pPr>
            <w:r w:rsidRPr="007B2066">
              <w:rPr>
                <w:sz w:val="20"/>
                <w:szCs w:val="20"/>
              </w:rPr>
              <w:t>38</w:t>
            </w:r>
          </w:p>
        </w:tc>
        <w:tc>
          <w:tcPr>
            <w:tcW w:w="3000" w:type="dxa"/>
            <w:noWrap/>
            <w:hideMark/>
          </w:tcPr>
          <w:p w14:paraId="0C12C6D9" w14:textId="77777777" w:rsidR="00223E6B" w:rsidRPr="007B2066" w:rsidRDefault="00223E6B" w:rsidP="007B2066">
            <w:pPr>
              <w:rPr>
                <w:sz w:val="20"/>
                <w:szCs w:val="20"/>
              </w:rPr>
            </w:pPr>
            <w:r w:rsidRPr="007B2066">
              <w:rPr>
                <w:sz w:val="20"/>
                <w:szCs w:val="20"/>
              </w:rPr>
              <w:t>DowDuPont Inc</w:t>
            </w:r>
          </w:p>
        </w:tc>
        <w:tc>
          <w:tcPr>
            <w:tcW w:w="425" w:type="dxa"/>
            <w:noWrap/>
            <w:hideMark/>
          </w:tcPr>
          <w:p w14:paraId="47633538" w14:textId="77777777" w:rsidR="00223E6B" w:rsidRPr="007B2066" w:rsidRDefault="00223E6B" w:rsidP="007B2066">
            <w:pPr>
              <w:rPr>
                <w:sz w:val="20"/>
                <w:szCs w:val="20"/>
              </w:rPr>
            </w:pPr>
            <w:r w:rsidRPr="007B2066">
              <w:rPr>
                <w:sz w:val="20"/>
                <w:szCs w:val="20"/>
              </w:rPr>
              <w:t>82</w:t>
            </w:r>
          </w:p>
        </w:tc>
        <w:tc>
          <w:tcPr>
            <w:tcW w:w="3119" w:type="dxa"/>
            <w:noWrap/>
            <w:hideMark/>
          </w:tcPr>
          <w:p w14:paraId="43FD7CA3" w14:textId="77777777" w:rsidR="00223E6B" w:rsidRPr="007B2066" w:rsidRDefault="00223E6B" w:rsidP="007B2066">
            <w:pPr>
              <w:rPr>
                <w:sz w:val="20"/>
                <w:szCs w:val="20"/>
              </w:rPr>
            </w:pPr>
            <w:r w:rsidRPr="007B2066">
              <w:rPr>
                <w:sz w:val="20"/>
                <w:szCs w:val="20"/>
              </w:rPr>
              <w:t>Platform Specialty Products Corp</w:t>
            </w:r>
          </w:p>
        </w:tc>
        <w:tc>
          <w:tcPr>
            <w:tcW w:w="567" w:type="dxa"/>
            <w:noWrap/>
            <w:hideMark/>
          </w:tcPr>
          <w:p w14:paraId="6EA34424" w14:textId="77777777" w:rsidR="00223E6B" w:rsidRPr="007B2066" w:rsidRDefault="00223E6B" w:rsidP="007B2066">
            <w:pPr>
              <w:rPr>
                <w:sz w:val="20"/>
                <w:szCs w:val="20"/>
              </w:rPr>
            </w:pPr>
            <w:r w:rsidRPr="007B2066">
              <w:rPr>
                <w:sz w:val="20"/>
                <w:szCs w:val="20"/>
              </w:rPr>
              <w:t>126</w:t>
            </w:r>
          </w:p>
        </w:tc>
        <w:tc>
          <w:tcPr>
            <w:tcW w:w="2693" w:type="dxa"/>
            <w:noWrap/>
            <w:hideMark/>
          </w:tcPr>
          <w:p w14:paraId="087A0B7F" w14:textId="77777777" w:rsidR="00223E6B" w:rsidRPr="007B2066" w:rsidRDefault="00223E6B" w:rsidP="007B2066">
            <w:pPr>
              <w:rPr>
                <w:sz w:val="20"/>
                <w:szCs w:val="20"/>
              </w:rPr>
            </w:pPr>
            <w:r w:rsidRPr="007B2066">
              <w:rPr>
                <w:sz w:val="20"/>
                <w:szCs w:val="20"/>
              </w:rPr>
              <w:t>Penske Automotive Group Inc</w:t>
            </w:r>
          </w:p>
        </w:tc>
      </w:tr>
      <w:tr w:rsidR="00DF5C29" w:rsidRPr="007B2066" w14:paraId="00C256B9" w14:textId="77777777" w:rsidTr="00DF5C29">
        <w:trPr>
          <w:trHeight w:val="300"/>
        </w:trPr>
        <w:tc>
          <w:tcPr>
            <w:tcW w:w="416" w:type="dxa"/>
            <w:noWrap/>
            <w:hideMark/>
          </w:tcPr>
          <w:p w14:paraId="247B5265" w14:textId="77777777" w:rsidR="00223E6B" w:rsidRPr="007B2066" w:rsidRDefault="00223E6B" w:rsidP="007B2066">
            <w:pPr>
              <w:rPr>
                <w:sz w:val="20"/>
                <w:szCs w:val="20"/>
              </w:rPr>
            </w:pPr>
            <w:r w:rsidRPr="007B2066">
              <w:rPr>
                <w:sz w:val="20"/>
                <w:szCs w:val="20"/>
              </w:rPr>
              <w:t>39</w:t>
            </w:r>
          </w:p>
        </w:tc>
        <w:tc>
          <w:tcPr>
            <w:tcW w:w="3000" w:type="dxa"/>
            <w:noWrap/>
            <w:hideMark/>
          </w:tcPr>
          <w:p w14:paraId="2A14BE97" w14:textId="77777777" w:rsidR="00223E6B" w:rsidRPr="007B2066" w:rsidRDefault="00223E6B" w:rsidP="007B2066">
            <w:pPr>
              <w:rPr>
                <w:sz w:val="20"/>
                <w:szCs w:val="20"/>
              </w:rPr>
            </w:pPr>
            <w:r w:rsidRPr="007B2066">
              <w:rPr>
                <w:sz w:val="20"/>
                <w:szCs w:val="20"/>
              </w:rPr>
              <w:t>OCI Partners LP</w:t>
            </w:r>
          </w:p>
        </w:tc>
        <w:tc>
          <w:tcPr>
            <w:tcW w:w="425" w:type="dxa"/>
            <w:noWrap/>
            <w:hideMark/>
          </w:tcPr>
          <w:p w14:paraId="78E06EC9" w14:textId="77777777" w:rsidR="00223E6B" w:rsidRPr="007B2066" w:rsidRDefault="00223E6B" w:rsidP="007B2066">
            <w:pPr>
              <w:rPr>
                <w:sz w:val="20"/>
                <w:szCs w:val="20"/>
              </w:rPr>
            </w:pPr>
            <w:r w:rsidRPr="007B2066">
              <w:rPr>
                <w:sz w:val="20"/>
                <w:szCs w:val="20"/>
              </w:rPr>
              <w:t>83</w:t>
            </w:r>
          </w:p>
        </w:tc>
        <w:tc>
          <w:tcPr>
            <w:tcW w:w="3119" w:type="dxa"/>
            <w:noWrap/>
            <w:hideMark/>
          </w:tcPr>
          <w:p w14:paraId="5506FD3E" w14:textId="77777777" w:rsidR="00223E6B" w:rsidRPr="007B2066" w:rsidRDefault="00223E6B" w:rsidP="007B2066">
            <w:pPr>
              <w:rPr>
                <w:sz w:val="20"/>
                <w:szCs w:val="20"/>
              </w:rPr>
            </w:pPr>
            <w:r w:rsidRPr="007B2066">
              <w:rPr>
                <w:sz w:val="20"/>
                <w:szCs w:val="20"/>
              </w:rPr>
              <w:t>Tech Data Corp</w:t>
            </w:r>
          </w:p>
        </w:tc>
        <w:tc>
          <w:tcPr>
            <w:tcW w:w="567" w:type="dxa"/>
            <w:noWrap/>
            <w:hideMark/>
          </w:tcPr>
          <w:p w14:paraId="082E26D8" w14:textId="77777777" w:rsidR="00223E6B" w:rsidRPr="007B2066" w:rsidRDefault="00223E6B" w:rsidP="007B2066">
            <w:pPr>
              <w:rPr>
                <w:sz w:val="20"/>
                <w:szCs w:val="20"/>
              </w:rPr>
            </w:pPr>
            <w:r w:rsidRPr="007B2066">
              <w:rPr>
                <w:sz w:val="20"/>
                <w:szCs w:val="20"/>
              </w:rPr>
              <w:t>127</w:t>
            </w:r>
          </w:p>
        </w:tc>
        <w:tc>
          <w:tcPr>
            <w:tcW w:w="2693" w:type="dxa"/>
            <w:noWrap/>
            <w:hideMark/>
          </w:tcPr>
          <w:p w14:paraId="6D94CE7C" w14:textId="77777777" w:rsidR="00223E6B" w:rsidRPr="007B2066" w:rsidRDefault="00223E6B" w:rsidP="007B2066">
            <w:pPr>
              <w:rPr>
                <w:sz w:val="20"/>
                <w:szCs w:val="20"/>
              </w:rPr>
            </w:pPr>
            <w:r w:rsidRPr="007B2066">
              <w:rPr>
                <w:sz w:val="20"/>
                <w:szCs w:val="20"/>
              </w:rPr>
              <w:t>Party City Holdco Inc</w:t>
            </w:r>
          </w:p>
        </w:tc>
      </w:tr>
      <w:tr w:rsidR="00DF5C29" w:rsidRPr="007B2066" w14:paraId="636FDC27" w14:textId="77777777" w:rsidTr="00DF5C29">
        <w:trPr>
          <w:trHeight w:val="300"/>
        </w:trPr>
        <w:tc>
          <w:tcPr>
            <w:tcW w:w="416" w:type="dxa"/>
            <w:noWrap/>
            <w:hideMark/>
          </w:tcPr>
          <w:p w14:paraId="3A85AB6F" w14:textId="77777777" w:rsidR="00223E6B" w:rsidRPr="007B2066" w:rsidRDefault="00223E6B" w:rsidP="007B2066">
            <w:pPr>
              <w:rPr>
                <w:sz w:val="20"/>
                <w:szCs w:val="20"/>
              </w:rPr>
            </w:pPr>
            <w:r w:rsidRPr="007B2066">
              <w:rPr>
                <w:sz w:val="20"/>
                <w:szCs w:val="20"/>
              </w:rPr>
              <w:t>40</w:t>
            </w:r>
          </w:p>
        </w:tc>
        <w:tc>
          <w:tcPr>
            <w:tcW w:w="3000" w:type="dxa"/>
            <w:noWrap/>
            <w:hideMark/>
          </w:tcPr>
          <w:p w14:paraId="350E8BF4" w14:textId="77777777" w:rsidR="00223E6B" w:rsidRPr="007B2066" w:rsidRDefault="00223E6B" w:rsidP="007B2066">
            <w:pPr>
              <w:rPr>
                <w:sz w:val="20"/>
                <w:szCs w:val="20"/>
              </w:rPr>
            </w:pPr>
            <w:r w:rsidRPr="007B2066">
              <w:rPr>
                <w:sz w:val="20"/>
                <w:szCs w:val="20"/>
              </w:rPr>
              <w:t>Westlake Chemical Partners LP</w:t>
            </w:r>
          </w:p>
        </w:tc>
        <w:tc>
          <w:tcPr>
            <w:tcW w:w="425" w:type="dxa"/>
            <w:noWrap/>
            <w:hideMark/>
          </w:tcPr>
          <w:p w14:paraId="0A1BF1A7" w14:textId="77777777" w:rsidR="00223E6B" w:rsidRPr="007B2066" w:rsidRDefault="00223E6B" w:rsidP="007B2066">
            <w:pPr>
              <w:rPr>
                <w:sz w:val="20"/>
                <w:szCs w:val="20"/>
              </w:rPr>
            </w:pPr>
            <w:r w:rsidRPr="007B2066">
              <w:rPr>
                <w:sz w:val="20"/>
                <w:szCs w:val="20"/>
              </w:rPr>
              <w:t>84</w:t>
            </w:r>
          </w:p>
        </w:tc>
        <w:tc>
          <w:tcPr>
            <w:tcW w:w="3119" w:type="dxa"/>
            <w:noWrap/>
            <w:hideMark/>
          </w:tcPr>
          <w:p w14:paraId="6D123742" w14:textId="77777777" w:rsidR="00223E6B" w:rsidRPr="007B2066" w:rsidRDefault="00223E6B" w:rsidP="007B2066">
            <w:pPr>
              <w:rPr>
                <w:sz w:val="20"/>
                <w:szCs w:val="20"/>
              </w:rPr>
            </w:pPr>
            <w:r w:rsidRPr="007B2066">
              <w:rPr>
                <w:sz w:val="20"/>
                <w:szCs w:val="20"/>
              </w:rPr>
              <w:t>Target Corp</w:t>
            </w:r>
          </w:p>
        </w:tc>
        <w:tc>
          <w:tcPr>
            <w:tcW w:w="567" w:type="dxa"/>
            <w:noWrap/>
            <w:hideMark/>
          </w:tcPr>
          <w:p w14:paraId="6EDEC387" w14:textId="77777777" w:rsidR="00223E6B" w:rsidRPr="007B2066" w:rsidRDefault="00223E6B" w:rsidP="007B2066">
            <w:pPr>
              <w:rPr>
                <w:sz w:val="20"/>
                <w:szCs w:val="20"/>
              </w:rPr>
            </w:pPr>
            <w:r w:rsidRPr="007B2066">
              <w:rPr>
                <w:sz w:val="20"/>
                <w:szCs w:val="20"/>
              </w:rPr>
              <w:t>128</w:t>
            </w:r>
          </w:p>
        </w:tc>
        <w:tc>
          <w:tcPr>
            <w:tcW w:w="2693" w:type="dxa"/>
            <w:noWrap/>
            <w:hideMark/>
          </w:tcPr>
          <w:p w14:paraId="73000940" w14:textId="77777777" w:rsidR="00223E6B" w:rsidRPr="007B2066" w:rsidRDefault="00223E6B" w:rsidP="007B2066">
            <w:pPr>
              <w:rPr>
                <w:sz w:val="20"/>
                <w:szCs w:val="20"/>
              </w:rPr>
            </w:pPr>
            <w:r w:rsidRPr="007B2066">
              <w:rPr>
                <w:sz w:val="20"/>
                <w:szCs w:val="20"/>
              </w:rPr>
              <w:t>Liberty Interactive Corp</w:t>
            </w:r>
          </w:p>
        </w:tc>
      </w:tr>
      <w:tr w:rsidR="00DF5C29" w:rsidRPr="007B2066" w14:paraId="23FB1B63" w14:textId="77777777" w:rsidTr="00DF5C29">
        <w:trPr>
          <w:trHeight w:val="300"/>
        </w:trPr>
        <w:tc>
          <w:tcPr>
            <w:tcW w:w="416" w:type="dxa"/>
            <w:noWrap/>
            <w:hideMark/>
          </w:tcPr>
          <w:p w14:paraId="555DA067" w14:textId="77777777" w:rsidR="00223E6B" w:rsidRPr="007B2066" w:rsidRDefault="00223E6B" w:rsidP="007B2066">
            <w:pPr>
              <w:rPr>
                <w:sz w:val="20"/>
                <w:szCs w:val="20"/>
              </w:rPr>
            </w:pPr>
            <w:r w:rsidRPr="007B2066">
              <w:rPr>
                <w:sz w:val="20"/>
                <w:szCs w:val="20"/>
              </w:rPr>
              <w:t>41</w:t>
            </w:r>
          </w:p>
        </w:tc>
        <w:tc>
          <w:tcPr>
            <w:tcW w:w="3000" w:type="dxa"/>
            <w:noWrap/>
            <w:hideMark/>
          </w:tcPr>
          <w:p w14:paraId="03DF8044" w14:textId="77777777" w:rsidR="00223E6B" w:rsidRPr="007B2066" w:rsidRDefault="00223E6B" w:rsidP="007B2066">
            <w:pPr>
              <w:rPr>
                <w:sz w:val="20"/>
                <w:szCs w:val="20"/>
              </w:rPr>
            </w:pPr>
            <w:r w:rsidRPr="007B2066">
              <w:rPr>
                <w:sz w:val="20"/>
                <w:szCs w:val="20"/>
              </w:rPr>
              <w:t>Rayonier Advanced Materials Inc</w:t>
            </w:r>
          </w:p>
        </w:tc>
        <w:tc>
          <w:tcPr>
            <w:tcW w:w="425" w:type="dxa"/>
            <w:noWrap/>
            <w:hideMark/>
          </w:tcPr>
          <w:p w14:paraId="304852F2" w14:textId="77777777" w:rsidR="00223E6B" w:rsidRPr="007B2066" w:rsidRDefault="00223E6B" w:rsidP="007B2066">
            <w:pPr>
              <w:rPr>
                <w:sz w:val="20"/>
                <w:szCs w:val="20"/>
              </w:rPr>
            </w:pPr>
            <w:r w:rsidRPr="007B2066">
              <w:rPr>
                <w:sz w:val="20"/>
                <w:szCs w:val="20"/>
              </w:rPr>
              <w:t>85</w:t>
            </w:r>
          </w:p>
        </w:tc>
        <w:tc>
          <w:tcPr>
            <w:tcW w:w="3119" w:type="dxa"/>
            <w:noWrap/>
            <w:hideMark/>
          </w:tcPr>
          <w:p w14:paraId="61A2E820" w14:textId="77777777" w:rsidR="00223E6B" w:rsidRPr="007B2066" w:rsidRDefault="00223E6B" w:rsidP="007B2066">
            <w:pPr>
              <w:rPr>
                <w:sz w:val="20"/>
                <w:szCs w:val="20"/>
              </w:rPr>
            </w:pPr>
            <w:r w:rsidRPr="007B2066">
              <w:rPr>
                <w:sz w:val="20"/>
                <w:szCs w:val="20"/>
              </w:rPr>
              <w:t>Tiffany &amp; Co</w:t>
            </w:r>
          </w:p>
        </w:tc>
        <w:tc>
          <w:tcPr>
            <w:tcW w:w="567" w:type="dxa"/>
            <w:noWrap/>
            <w:hideMark/>
          </w:tcPr>
          <w:p w14:paraId="41B00824" w14:textId="77777777" w:rsidR="00223E6B" w:rsidRPr="007B2066" w:rsidRDefault="00223E6B" w:rsidP="007B2066">
            <w:pPr>
              <w:rPr>
                <w:sz w:val="20"/>
                <w:szCs w:val="20"/>
              </w:rPr>
            </w:pPr>
            <w:r w:rsidRPr="007B2066">
              <w:rPr>
                <w:sz w:val="20"/>
                <w:szCs w:val="20"/>
              </w:rPr>
              <w:t>129</w:t>
            </w:r>
          </w:p>
        </w:tc>
        <w:tc>
          <w:tcPr>
            <w:tcW w:w="2693" w:type="dxa"/>
            <w:noWrap/>
            <w:hideMark/>
          </w:tcPr>
          <w:p w14:paraId="193511DD" w14:textId="77777777" w:rsidR="00223E6B" w:rsidRPr="007B2066" w:rsidRDefault="00223E6B" w:rsidP="007B2066">
            <w:pPr>
              <w:rPr>
                <w:sz w:val="20"/>
                <w:szCs w:val="20"/>
              </w:rPr>
            </w:pPr>
            <w:r w:rsidRPr="007B2066">
              <w:rPr>
                <w:sz w:val="20"/>
                <w:szCs w:val="20"/>
              </w:rPr>
              <w:t>Rent-A-Center Inc</w:t>
            </w:r>
          </w:p>
        </w:tc>
      </w:tr>
      <w:tr w:rsidR="00DF5C29" w:rsidRPr="007B2066" w14:paraId="66AA2065" w14:textId="77777777" w:rsidTr="00DF5C29">
        <w:trPr>
          <w:trHeight w:val="300"/>
        </w:trPr>
        <w:tc>
          <w:tcPr>
            <w:tcW w:w="416" w:type="dxa"/>
            <w:noWrap/>
            <w:hideMark/>
          </w:tcPr>
          <w:p w14:paraId="73565F1B" w14:textId="77777777" w:rsidR="00223E6B" w:rsidRPr="007B2066" w:rsidRDefault="00223E6B" w:rsidP="007B2066">
            <w:pPr>
              <w:rPr>
                <w:sz w:val="20"/>
                <w:szCs w:val="20"/>
              </w:rPr>
            </w:pPr>
            <w:r w:rsidRPr="007B2066">
              <w:rPr>
                <w:sz w:val="20"/>
                <w:szCs w:val="20"/>
              </w:rPr>
              <w:t>42</w:t>
            </w:r>
          </w:p>
        </w:tc>
        <w:tc>
          <w:tcPr>
            <w:tcW w:w="3000" w:type="dxa"/>
            <w:noWrap/>
            <w:hideMark/>
          </w:tcPr>
          <w:p w14:paraId="538B8D36" w14:textId="77777777" w:rsidR="00223E6B" w:rsidRPr="007B2066" w:rsidRDefault="00223E6B" w:rsidP="007B2066">
            <w:pPr>
              <w:rPr>
                <w:sz w:val="20"/>
                <w:szCs w:val="20"/>
              </w:rPr>
            </w:pPr>
            <w:r w:rsidRPr="007B2066">
              <w:rPr>
                <w:sz w:val="20"/>
                <w:szCs w:val="20"/>
              </w:rPr>
              <w:t>Axalta Coating Systems Ltd</w:t>
            </w:r>
          </w:p>
        </w:tc>
        <w:tc>
          <w:tcPr>
            <w:tcW w:w="425" w:type="dxa"/>
            <w:noWrap/>
            <w:hideMark/>
          </w:tcPr>
          <w:p w14:paraId="2BB53AF1" w14:textId="77777777" w:rsidR="00223E6B" w:rsidRPr="007B2066" w:rsidRDefault="00223E6B" w:rsidP="007B2066">
            <w:pPr>
              <w:rPr>
                <w:sz w:val="20"/>
                <w:szCs w:val="20"/>
              </w:rPr>
            </w:pPr>
            <w:r w:rsidRPr="007B2066">
              <w:rPr>
                <w:sz w:val="20"/>
                <w:szCs w:val="20"/>
              </w:rPr>
              <w:t>86</w:t>
            </w:r>
          </w:p>
        </w:tc>
        <w:tc>
          <w:tcPr>
            <w:tcW w:w="3119" w:type="dxa"/>
            <w:noWrap/>
            <w:hideMark/>
          </w:tcPr>
          <w:p w14:paraId="62A2FFB9" w14:textId="77777777" w:rsidR="00223E6B" w:rsidRPr="007B2066" w:rsidRDefault="00223E6B" w:rsidP="007B2066">
            <w:pPr>
              <w:rPr>
                <w:sz w:val="20"/>
                <w:szCs w:val="20"/>
              </w:rPr>
            </w:pPr>
            <w:r w:rsidRPr="007B2066">
              <w:rPr>
                <w:sz w:val="20"/>
                <w:szCs w:val="20"/>
              </w:rPr>
              <w:t>TJX Companies Inc</w:t>
            </w:r>
          </w:p>
        </w:tc>
        <w:tc>
          <w:tcPr>
            <w:tcW w:w="567" w:type="dxa"/>
            <w:noWrap/>
            <w:hideMark/>
          </w:tcPr>
          <w:p w14:paraId="223943AF" w14:textId="77777777" w:rsidR="00223E6B" w:rsidRPr="007B2066" w:rsidRDefault="00223E6B" w:rsidP="007B2066">
            <w:pPr>
              <w:rPr>
                <w:sz w:val="20"/>
                <w:szCs w:val="20"/>
              </w:rPr>
            </w:pPr>
            <w:r w:rsidRPr="007B2066">
              <w:rPr>
                <w:sz w:val="20"/>
                <w:szCs w:val="20"/>
              </w:rPr>
              <w:t>130</w:t>
            </w:r>
          </w:p>
        </w:tc>
        <w:tc>
          <w:tcPr>
            <w:tcW w:w="2693" w:type="dxa"/>
            <w:noWrap/>
            <w:hideMark/>
          </w:tcPr>
          <w:p w14:paraId="09E6647F" w14:textId="77777777" w:rsidR="00223E6B" w:rsidRPr="007B2066" w:rsidRDefault="00223E6B" w:rsidP="007B2066">
            <w:pPr>
              <w:rPr>
                <w:sz w:val="20"/>
                <w:szCs w:val="20"/>
              </w:rPr>
            </w:pPr>
            <w:r w:rsidRPr="007B2066">
              <w:rPr>
                <w:sz w:val="20"/>
                <w:szCs w:val="20"/>
              </w:rPr>
              <w:t>RH</w:t>
            </w:r>
          </w:p>
        </w:tc>
      </w:tr>
      <w:tr w:rsidR="00DF5C29" w:rsidRPr="007B2066" w14:paraId="61EC370F" w14:textId="77777777" w:rsidTr="00DF5C29">
        <w:trPr>
          <w:trHeight w:val="300"/>
        </w:trPr>
        <w:tc>
          <w:tcPr>
            <w:tcW w:w="416" w:type="dxa"/>
            <w:noWrap/>
            <w:hideMark/>
          </w:tcPr>
          <w:p w14:paraId="27A9AEBD" w14:textId="77777777" w:rsidR="00223E6B" w:rsidRPr="007B2066" w:rsidRDefault="00223E6B" w:rsidP="007B2066">
            <w:pPr>
              <w:rPr>
                <w:sz w:val="20"/>
                <w:szCs w:val="20"/>
              </w:rPr>
            </w:pPr>
            <w:r w:rsidRPr="007B2066">
              <w:rPr>
                <w:sz w:val="20"/>
                <w:szCs w:val="20"/>
              </w:rPr>
              <w:t>43</w:t>
            </w:r>
          </w:p>
        </w:tc>
        <w:tc>
          <w:tcPr>
            <w:tcW w:w="3000" w:type="dxa"/>
            <w:noWrap/>
            <w:hideMark/>
          </w:tcPr>
          <w:p w14:paraId="33A15FA7" w14:textId="77777777" w:rsidR="00223E6B" w:rsidRPr="007B2066" w:rsidRDefault="00223E6B" w:rsidP="007B2066">
            <w:pPr>
              <w:rPr>
                <w:sz w:val="20"/>
                <w:szCs w:val="20"/>
              </w:rPr>
            </w:pPr>
            <w:r w:rsidRPr="007B2066">
              <w:rPr>
                <w:sz w:val="20"/>
                <w:szCs w:val="20"/>
              </w:rPr>
              <w:t>Chemours Co</w:t>
            </w:r>
          </w:p>
        </w:tc>
        <w:tc>
          <w:tcPr>
            <w:tcW w:w="425" w:type="dxa"/>
            <w:noWrap/>
            <w:hideMark/>
          </w:tcPr>
          <w:p w14:paraId="50DF5F16" w14:textId="77777777" w:rsidR="00223E6B" w:rsidRPr="007B2066" w:rsidRDefault="00223E6B" w:rsidP="007B2066">
            <w:pPr>
              <w:rPr>
                <w:sz w:val="20"/>
                <w:szCs w:val="20"/>
              </w:rPr>
            </w:pPr>
            <w:r w:rsidRPr="007B2066">
              <w:rPr>
                <w:sz w:val="20"/>
                <w:szCs w:val="20"/>
              </w:rPr>
              <w:t>87</w:t>
            </w:r>
          </w:p>
        </w:tc>
        <w:tc>
          <w:tcPr>
            <w:tcW w:w="3119" w:type="dxa"/>
            <w:noWrap/>
            <w:hideMark/>
          </w:tcPr>
          <w:p w14:paraId="244FAB88" w14:textId="77777777" w:rsidR="00223E6B" w:rsidRPr="007B2066" w:rsidRDefault="00223E6B" w:rsidP="007B2066">
            <w:pPr>
              <w:rPr>
                <w:sz w:val="20"/>
                <w:szCs w:val="20"/>
              </w:rPr>
            </w:pPr>
            <w:r w:rsidRPr="007B2066">
              <w:rPr>
                <w:sz w:val="20"/>
                <w:szCs w:val="20"/>
              </w:rPr>
              <w:t>Tailored Brands Inc</w:t>
            </w:r>
          </w:p>
        </w:tc>
        <w:tc>
          <w:tcPr>
            <w:tcW w:w="567" w:type="dxa"/>
            <w:noWrap/>
            <w:hideMark/>
          </w:tcPr>
          <w:p w14:paraId="1F744066" w14:textId="77777777" w:rsidR="00223E6B" w:rsidRPr="007B2066" w:rsidRDefault="00223E6B" w:rsidP="007B2066">
            <w:pPr>
              <w:rPr>
                <w:sz w:val="20"/>
                <w:szCs w:val="20"/>
              </w:rPr>
            </w:pPr>
            <w:r w:rsidRPr="007B2066">
              <w:rPr>
                <w:sz w:val="20"/>
                <w:szCs w:val="20"/>
              </w:rPr>
              <w:t>131</w:t>
            </w:r>
          </w:p>
        </w:tc>
        <w:tc>
          <w:tcPr>
            <w:tcW w:w="2693" w:type="dxa"/>
            <w:noWrap/>
            <w:hideMark/>
          </w:tcPr>
          <w:p w14:paraId="49D7412D" w14:textId="77777777" w:rsidR="00223E6B" w:rsidRPr="007B2066" w:rsidRDefault="00223E6B" w:rsidP="007B2066">
            <w:pPr>
              <w:rPr>
                <w:sz w:val="20"/>
                <w:szCs w:val="20"/>
              </w:rPr>
            </w:pPr>
            <w:r w:rsidRPr="007B2066">
              <w:rPr>
                <w:sz w:val="20"/>
                <w:szCs w:val="20"/>
              </w:rPr>
              <w:t>Ross Stores Inc</w:t>
            </w:r>
          </w:p>
        </w:tc>
      </w:tr>
      <w:tr w:rsidR="00DF5C29" w:rsidRPr="007B2066" w14:paraId="668E8D9F" w14:textId="77777777" w:rsidTr="00DF5C29">
        <w:trPr>
          <w:trHeight w:val="300"/>
        </w:trPr>
        <w:tc>
          <w:tcPr>
            <w:tcW w:w="416" w:type="dxa"/>
            <w:noWrap/>
            <w:hideMark/>
          </w:tcPr>
          <w:p w14:paraId="3E0920E0" w14:textId="77777777" w:rsidR="00223E6B" w:rsidRPr="007B2066" w:rsidRDefault="00223E6B" w:rsidP="007B2066">
            <w:pPr>
              <w:rPr>
                <w:sz w:val="20"/>
                <w:szCs w:val="20"/>
              </w:rPr>
            </w:pPr>
            <w:r w:rsidRPr="007B2066">
              <w:rPr>
                <w:sz w:val="20"/>
                <w:szCs w:val="20"/>
              </w:rPr>
              <w:t>44</w:t>
            </w:r>
          </w:p>
        </w:tc>
        <w:tc>
          <w:tcPr>
            <w:tcW w:w="3000" w:type="dxa"/>
            <w:noWrap/>
            <w:hideMark/>
          </w:tcPr>
          <w:p w14:paraId="7F3F16D3" w14:textId="77777777" w:rsidR="00223E6B" w:rsidRPr="007B2066" w:rsidRDefault="00223E6B" w:rsidP="007B2066">
            <w:pPr>
              <w:rPr>
                <w:sz w:val="20"/>
                <w:szCs w:val="20"/>
              </w:rPr>
            </w:pPr>
            <w:r w:rsidRPr="007B2066">
              <w:rPr>
                <w:sz w:val="20"/>
                <w:szCs w:val="20"/>
              </w:rPr>
              <w:t>Sears Holdings Corp</w:t>
            </w:r>
          </w:p>
        </w:tc>
        <w:tc>
          <w:tcPr>
            <w:tcW w:w="425" w:type="dxa"/>
            <w:noWrap/>
            <w:hideMark/>
          </w:tcPr>
          <w:p w14:paraId="325B9A9C" w14:textId="77777777" w:rsidR="00223E6B" w:rsidRPr="007B2066" w:rsidRDefault="00223E6B" w:rsidP="007B2066">
            <w:pPr>
              <w:rPr>
                <w:sz w:val="20"/>
                <w:szCs w:val="20"/>
              </w:rPr>
            </w:pPr>
            <w:r w:rsidRPr="007B2066">
              <w:rPr>
                <w:sz w:val="20"/>
                <w:szCs w:val="20"/>
              </w:rPr>
              <w:t>88</w:t>
            </w:r>
          </w:p>
        </w:tc>
        <w:tc>
          <w:tcPr>
            <w:tcW w:w="3119" w:type="dxa"/>
            <w:noWrap/>
            <w:hideMark/>
          </w:tcPr>
          <w:p w14:paraId="7F47132E" w14:textId="77777777" w:rsidR="00223E6B" w:rsidRPr="007B2066" w:rsidRDefault="00223E6B" w:rsidP="007B2066">
            <w:pPr>
              <w:rPr>
                <w:sz w:val="20"/>
                <w:szCs w:val="20"/>
              </w:rPr>
            </w:pPr>
            <w:r w:rsidRPr="007B2066">
              <w:rPr>
                <w:sz w:val="20"/>
                <w:szCs w:val="20"/>
              </w:rPr>
              <w:t>Tapestry Inc</w:t>
            </w:r>
          </w:p>
        </w:tc>
        <w:tc>
          <w:tcPr>
            <w:tcW w:w="567" w:type="dxa"/>
            <w:noWrap/>
            <w:hideMark/>
          </w:tcPr>
          <w:p w14:paraId="64B7DAF9" w14:textId="77777777" w:rsidR="00223E6B" w:rsidRPr="007B2066" w:rsidRDefault="00223E6B" w:rsidP="007B2066">
            <w:pPr>
              <w:rPr>
                <w:sz w:val="20"/>
                <w:szCs w:val="20"/>
              </w:rPr>
            </w:pPr>
            <w:r w:rsidRPr="007B2066">
              <w:rPr>
                <w:sz w:val="20"/>
                <w:szCs w:val="20"/>
              </w:rPr>
              <w:t>132</w:t>
            </w:r>
          </w:p>
        </w:tc>
        <w:tc>
          <w:tcPr>
            <w:tcW w:w="2693" w:type="dxa"/>
            <w:noWrap/>
            <w:hideMark/>
          </w:tcPr>
          <w:p w14:paraId="7C5867AF" w14:textId="77777777" w:rsidR="00223E6B" w:rsidRPr="007B2066" w:rsidRDefault="00223E6B" w:rsidP="007B2066">
            <w:pPr>
              <w:rPr>
                <w:sz w:val="20"/>
                <w:szCs w:val="20"/>
              </w:rPr>
            </w:pPr>
            <w:r w:rsidRPr="007B2066">
              <w:rPr>
                <w:sz w:val="20"/>
                <w:szCs w:val="20"/>
              </w:rPr>
              <w:t>Sonic Automotive Inc</w:t>
            </w:r>
          </w:p>
        </w:tc>
      </w:tr>
    </w:tbl>
    <w:p w14:paraId="5521A2D0" w14:textId="5A6754C5" w:rsidR="00BB014F" w:rsidRPr="004B27E7" w:rsidRDefault="00BB014F" w:rsidP="005279D5">
      <w:pPr>
        <w:pStyle w:val="a6"/>
        <w:ind w:firstLine="0"/>
      </w:pPr>
    </w:p>
    <w:sectPr w:rsidR="00BB014F" w:rsidRPr="004B27E7" w:rsidSect="00723DD5">
      <w:pgSz w:w="11906" w:h="16838"/>
      <w:pgMar w:top="1134" w:right="850" w:bottom="1134" w:left="1701" w:header="708" w:footer="708" w:gutter="0"/>
      <w:pgNumType w:chapStyle="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A3511B" w14:textId="77777777" w:rsidR="007457BE" w:rsidRDefault="007457BE" w:rsidP="00CD0F76">
      <w:r>
        <w:separator/>
      </w:r>
    </w:p>
  </w:endnote>
  <w:endnote w:type="continuationSeparator" w:id="0">
    <w:p w14:paraId="67DB55A3" w14:textId="77777777" w:rsidR="007457BE" w:rsidRDefault="007457BE" w:rsidP="00CD0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panose1 w:val="020B0604020202020204"/>
    <w:charset w:val="CC"/>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ode2000">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6"/>
      </w:rPr>
      <w:id w:val="-1836440052"/>
      <w:docPartObj>
        <w:docPartGallery w:val="Page Numbers (Bottom of Page)"/>
        <w:docPartUnique/>
      </w:docPartObj>
    </w:sdtPr>
    <w:sdtEndPr>
      <w:rPr>
        <w:rStyle w:val="af6"/>
      </w:rPr>
    </w:sdtEndPr>
    <w:sdtContent>
      <w:p w14:paraId="47CCEBB2" w14:textId="5330E9A4" w:rsidR="00E357DC" w:rsidRDefault="00E357DC" w:rsidP="00341603">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end"/>
        </w:r>
      </w:p>
    </w:sdtContent>
  </w:sdt>
  <w:p w14:paraId="707807B7" w14:textId="77777777" w:rsidR="00E357DC" w:rsidRDefault="00E357DC" w:rsidP="00B315D9">
    <w:pPr>
      <w:pStyle w:val="af4"/>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698C9" w14:textId="77777777" w:rsidR="00E357DC" w:rsidRDefault="00E357DC" w:rsidP="00341603">
    <w:pPr>
      <w:pStyle w:val="af4"/>
      <w:framePr w:wrap="none"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DB6E9E">
      <w:rPr>
        <w:rStyle w:val="af6"/>
        <w:noProof/>
      </w:rPr>
      <w:t>2</w:t>
    </w:r>
    <w:r>
      <w:rPr>
        <w:rStyle w:val="af6"/>
      </w:rPr>
      <w:fldChar w:fldCharType="end"/>
    </w:r>
  </w:p>
  <w:p w14:paraId="356E9288" w14:textId="77777777" w:rsidR="00E357DC" w:rsidRDefault="00E357DC" w:rsidP="00B315D9">
    <w:pPr>
      <w:pStyle w:val="af4"/>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4933D" w14:textId="77777777" w:rsidR="00E357DC" w:rsidRDefault="00E357DC" w:rsidP="00DA1759">
    <w:pPr>
      <w:pStyle w:val="af4"/>
      <w:framePr w:wrap="none"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DB6E9E">
      <w:rPr>
        <w:rStyle w:val="af6"/>
        <w:noProof/>
      </w:rPr>
      <w:t>7</w:t>
    </w:r>
    <w:r>
      <w:rPr>
        <w:rStyle w:val="af6"/>
      </w:rPr>
      <w:fldChar w:fldCharType="end"/>
    </w:r>
  </w:p>
  <w:p w14:paraId="0CB12B0C" w14:textId="77777777" w:rsidR="00E357DC" w:rsidRDefault="00E357DC" w:rsidP="002D47FD">
    <w:pPr>
      <w:pStyle w:val="af4"/>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6"/>
      </w:rPr>
      <w:id w:val="553504897"/>
      <w:docPartObj>
        <w:docPartGallery w:val="Page Numbers (Bottom of Page)"/>
        <w:docPartUnique/>
      </w:docPartObj>
    </w:sdtPr>
    <w:sdtEndPr>
      <w:rPr>
        <w:rStyle w:val="af6"/>
      </w:rPr>
    </w:sdtEndPr>
    <w:sdtContent>
      <w:p w14:paraId="35064E89" w14:textId="77777777" w:rsidR="00E357DC" w:rsidRDefault="00E357DC" w:rsidP="00723DD5">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end"/>
        </w:r>
      </w:p>
    </w:sdtContent>
  </w:sdt>
  <w:p w14:paraId="4DFFBB81" w14:textId="77777777" w:rsidR="00E357DC" w:rsidRDefault="00E357DC" w:rsidP="00B315D9">
    <w:pPr>
      <w:pStyle w:val="af4"/>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4E491" w14:textId="77777777" w:rsidR="00E357DC" w:rsidRDefault="00E357DC" w:rsidP="00523062">
    <w:pPr>
      <w:pStyle w:val="af4"/>
      <w:framePr w:wrap="none"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DB6E9E">
      <w:rPr>
        <w:rStyle w:val="af6"/>
        <w:noProof/>
      </w:rPr>
      <w:t>8</w:t>
    </w:r>
    <w:r>
      <w:rPr>
        <w:rStyle w:val="af6"/>
      </w:rPr>
      <w:fldChar w:fldCharType="end"/>
    </w:r>
  </w:p>
  <w:p w14:paraId="74B1FC30" w14:textId="77777777" w:rsidR="00E357DC" w:rsidRDefault="00E357DC" w:rsidP="00B315D9">
    <w:pPr>
      <w:pStyle w:val="af4"/>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3F33AA" w14:textId="77777777" w:rsidR="007457BE" w:rsidRDefault="007457BE" w:rsidP="00CD0F76">
      <w:r>
        <w:separator/>
      </w:r>
    </w:p>
  </w:footnote>
  <w:footnote w:type="continuationSeparator" w:id="0">
    <w:p w14:paraId="72C9ED2B" w14:textId="77777777" w:rsidR="007457BE" w:rsidRDefault="007457BE" w:rsidP="00CD0F76">
      <w:r>
        <w:continuationSeparator/>
      </w:r>
    </w:p>
  </w:footnote>
  <w:footnote w:id="1">
    <w:p w14:paraId="25D88C29" w14:textId="6FFAFA0C" w:rsidR="00E357DC" w:rsidRDefault="00E357DC" w:rsidP="007A5BCC">
      <w:pPr>
        <w:pStyle w:val="aff5"/>
      </w:pPr>
      <w:r>
        <w:rPr>
          <w:rStyle w:val="a9"/>
        </w:rPr>
        <w:footnoteRef/>
      </w:r>
      <w:r>
        <w:t xml:space="preserve"> Чайковская Е. Красный апельсин, или Успеть за 24 часа / Е. Чайковская // Cbonds Review. — 2015. — № 4. — С. 52-55 [Электронный ресурс]. — Режим доступа: </w:t>
      </w:r>
      <w:r w:rsidRPr="00BD72D5">
        <w:t>http://review.cbonds.info/article/magazines/4273</w:t>
      </w:r>
      <w:r>
        <w:t>- Загл. с экрана - 2012.</w:t>
      </w:r>
    </w:p>
  </w:footnote>
  <w:footnote w:id="2">
    <w:p w14:paraId="1FD05B88" w14:textId="77777777" w:rsidR="00E357DC" w:rsidRPr="00A8480E" w:rsidRDefault="00E357DC" w:rsidP="00777C69">
      <w:pPr>
        <w:pStyle w:val="aff5"/>
      </w:pPr>
      <w:r w:rsidRPr="00A8480E">
        <w:rPr>
          <w:rStyle w:val="a9"/>
          <w:color w:val="000000" w:themeColor="text1"/>
        </w:rPr>
        <w:footnoteRef/>
      </w:r>
      <w:r w:rsidRPr="00A8480E">
        <w:t xml:space="preserve"> О рынке ценных бумаг</w:t>
      </w:r>
      <w:r>
        <w:t>:</w:t>
      </w:r>
      <w:r w:rsidRPr="00A8480E">
        <w:t xml:space="preserve"> </w:t>
      </w:r>
      <w:r>
        <w:t>ф</w:t>
      </w:r>
      <w:r w:rsidRPr="00A8480E">
        <w:t>едеральный закон от 22.04.199</w:t>
      </w:r>
      <w:r>
        <w:t>6 N 39-ФЗ (ред. от 31.12.2017) ст.</w:t>
      </w:r>
      <w:r w:rsidRPr="00A8480E">
        <w:t xml:space="preserve"> 2. </w:t>
      </w:r>
      <w:r w:rsidRPr="00830A0A">
        <w:t>[Электронный ресурс]. – Режим доступа:</w:t>
      </w:r>
      <w:r>
        <w:t xml:space="preserve"> </w:t>
      </w:r>
      <w:r w:rsidRPr="00830A0A">
        <w:t>http://www.consultant.ru/document/cons_doc_LAW_10148/</w:t>
      </w:r>
      <w:r>
        <w:t>- Загл. с экрана – 1997 – 2018.</w:t>
      </w:r>
    </w:p>
  </w:footnote>
  <w:footnote w:id="3">
    <w:p w14:paraId="690F2B24" w14:textId="038AE282" w:rsidR="00E357DC" w:rsidRDefault="00E357DC">
      <w:pPr>
        <w:pStyle w:val="a7"/>
      </w:pPr>
      <w:r>
        <w:rPr>
          <w:rStyle w:val="a9"/>
        </w:rPr>
        <w:footnoteRef/>
      </w:r>
      <w:r>
        <w:t xml:space="preserve"> </w:t>
      </w:r>
      <w:r w:rsidRPr="00167A67">
        <w:t xml:space="preserve">Брейли Р., Майерс С. Принципы корпоративных финансов. </w:t>
      </w:r>
      <w:r>
        <w:t>– М.: Олимп-бизнес, 1997. Гл. 1</w:t>
      </w:r>
      <w:r w:rsidRPr="00167A67">
        <w:t>.</w:t>
      </w:r>
      <w:r>
        <w:t xml:space="preserve"> С. 11</w:t>
      </w:r>
    </w:p>
  </w:footnote>
  <w:footnote w:id="4">
    <w:p w14:paraId="2313A19E" w14:textId="5E1B9B22" w:rsidR="00E357DC" w:rsidRDefault="00E357DC" w:rsidP="00D67DB8">
      <w:pPr>
        <w:pStyle w:val="aff5"/>
      </w:pPr>
      <w:r>
        <w:rPr>
          <w:vertAlign w:val="superscript"/>
        </w:rPr>
        <w:t xml:space="preserve">3 </w:t>
      </w:r>
      <w:r w:rsidRPr="00D67DB8">
        <w:t>Гражданский кодекс Росс</w:t>
      </w:r>
      <w:r>
        <w:t>ийской Федерации (часть первая), ст. 144</w:t>
      </w:r>
      <w:r w:rsidRPr="00D67DB8">
        <w:t xml:space="preserve"> от 30.11.1994 N 51-ФЗ (ред. от 29.12.2017)</w:t>
      </w:r>
      <w:r>
        <w:t xml:space="preserve"> </w:t>
      </w:r>
      <w:r w:rsidRPr="007A5BCC">
        <w:t>[Электронный ресурс]. – Режим доступа:</w:t>
      </w:r>
      <w:r>
        <w:t xml:space="preserve"> </w:t>
      </w:r>
      <w:r w:rsidRPr="00D67DB8">
        <w:t>http://www.consultant.ru/document/cons_doc_LAW_5142/</w:t>
      </w:r>
      <w:r>
        <w:t xml:space="preserve"> - Загл. с экрана – 1997 – 2018.</w:t>
      </w:r>
    </w:p>
    <w:p w14:paraId="6FB691C0" w14:textId="581E0DB3" w:rsidR="00E357DC" w:rsidRDefault="00E357DC" w:rsidP="00D67DB8">
      <w:pPr>
        <w:pStyle w:val="aff5"/>
      </w:pPr>
    </w:p>
  </w:footnote>
  <w:footnote w:id="5">
    <w:p w14:paraId="30D694EE" w14:textId="34D9134E" w:rsidR="00E357DC" w:rsidRPr="00A8480E" w:rsidRDefault="00E357DC" w:rsidP="00830A0A">
      <w:pPr>
        <w:pStyle w:val="aff5"/>
      </w:pPr>
      <w:r w:rsidRPr="00A8480E">
        <w:rPr>
          <w:rStyle w:val="a9"/>
          <w:color w:val="000000" w:themeColor="text1"/>
        </w:rPr>
        <w:footnoteRef/>
      </w:r>
      <w:r w:rsidRPr="00A8480E">
        <w:t xml:space="preserve"> О рынке ценных бумаг</w:t>
      </w:r>
      <w:bookmarkStart w:id="6" w:name="dst100012"/>
      <w:bookmarkEnd w:id="6"/>
      <w:r>
        <w:t>:</w:t>
      </w:r>
      <w:r w:rsidRPr="00A8480E">
        <w:t xml:space="preserve"> </w:t>
      </w:r>
      <w:r>
        <w:t>ф</w:t>
      </w:r>
      <w:r w:rsidRPr="00A8480E">
        <w:t>едеральный закон от 22.04.199</w:t>
      </w:r>
      <w:r>
        <w:t>6 N 39-ФЗ (ред. от 31.12.2017) ст.</w:t>
      </w:r>
      <w:r w:rsidRPr="00A8480E">
        <w:t xml:space="preserve"> 2. </w:t>
      </w:r>
      <w:r w:rsidRPr="00830A0A">
        <w:t>[Электронный ресурс]. – Режим доступа:</w:t>
      </w:r>
      <w:r>
        <w:t xml:space="preserve"> </w:t>
      </w:r>
      <w:r w:rsidRPr="00830A0A">
        <w:t>http://www.consultant.ru/document/cons_doc_LAW_10148/</w:t>
      </w:r>
      <w:r>
        <w:t>- Загл. с экрана – 1997 – 2018.</w:t>
      </w:r>
    </w:p>
    <w:p w14:paraId="331C41A2" w14:textId="77777777" w:rsidR="00E357DC" w:rsidRPr="00A8480E" w:rsidRDefault="00E357DC" w:rsidP="00D67DB8">
      <w:pPr>
        <w:pStyle w:val="aff5"/>
      </w:pPr>
    </w:p>
  </w:footnote>
  <w:footnote w:id="6">
    <w:p w14:paraId="318090B9" w14:textId="32082406" w:rsidR="00E357DC" w:rsidRPr="00A8480E" w:rsidRDefault="00E357DC" w:rsidP="0091309B">
      <w:pPr>
        <w:pStyle w:val="aff5"/>
      </w:pPr>
      <w:r w:rsidRPr="00A8480E">
        <w:rPr>
          <w:rStyle w:val="a9"/>
          <w:color w:val="000000" w:themeColor="text1"/>
        </w:rPr>
        <w:footnoteRef/>
      </w:r>
      <w:r w:rsidRPr="00A8480E">
        <w:t xml:space="preserve"> Бюджетный кодекс </w:t>
      </w:r>
      <w:r w:rsidRPr="00D67DB8">
        <w:t>Росс</w:t>
      </w:r>
      <w:r>
        <w:t xml:space="preserve">ийской Федерации, </w:t>
      </w:r>
      <w:r w:rsidRPr="00A8480E">
        <w:t>глава 14</w:t>
      </w:r>
      <w:r>
        <w:t>, ст.</w:t>
      </w:r>
      <w:r w:rsidRPr="00A8480E">
        <w:t xml:space="preserve"> 98</w:t>
      </w:r>
      <w:r>
        <w:t xml:space="preserve"> от 31.07.1998 N 145-ФЗ (ред. от 28.12.2017) </w:t>
      </w:r>
      <w:r w:rsidRPr="007A5BCC">
        <w:t>[Электронный ресурс]. – Режим доступа:</w:t>
      </w:r>
      <w:r>
        <w:t xml:space="preserve"> </w:t>
      </w:r>
      <w:r w:rsidRPr="00765C2C">
        <w:t>http://www.consultant.ru/document/cons_doc_LAW_19702/</w:t>
      </w:r>
      <w:r>
        <w:t xml:space="preserve"> - Загл. с экрана – 1997 – 2018.</w:t>
      </w:r>
    </w:p>
  </w:footnote>
  <w:footnote w:id="7">
    <w:p w14:paraId="2C3CE2F9" w14:textId="61F76BCF" w:rsidR="00E357DC" w:rsidRPr="006C229B" w:rsidRDefault="00E357DC" w:rsidP="006C229B">
      <w:pPr>
        <w:pStyle w:val="aff5"/>
      </w:pPr>
      <w:r w:rsidRPr="006C229B">
        <w:rPr>
          <w:rStyle w:val="a9"/>
          <w:color w:val="000000" w:themeColor="text1"/>
        </w:rPr>
        <w:footnoteRef/>
      </w:r>
      <w:r w:rsidRPr="006C229B">
        <w:t xml:space="preserve"> </w:t>
      </w:r>
      <w:r w:rsidRPr="00A8480E">
        <w:t>Об акционерных обществах</w:t>
      </w:r>
      <w:r>
        <w:t>:</w:t>
      </w:r>
      <w:r w:rsidRPr="00A8480E">
        <w:t xml:space="preserve"> </w:t>
      </w:r>
      <w:r>
        <w:t>ф</w:t>
      </w:r>
      <w:r w:rsidRPr="00A8480E">
        <w:t>едеральный закон от 26.12.1995</w:t>
      </w:r>
      <w:r>
        <w:t xml:space="preserve"> N 208-ФЗ (ред. от 29.07.2017) </w:t>
      </w:r>
      <w:r>
        <w:rPr>
          <w:shd w:val="clear" w:color="auto" w:fill="FFFFFF"/>
        </w:rPr>
        <w:t>ст. 35</w:t>
      </w:r>
      <w:r w:rsidRPr="00A8480E">
        <w:rPr>
          <w:shd w:val="clear" w:color="auto" w:fill="FFFFFF"/>
        </w:rPr>
        <w:t xml:space="preserve">. </w:t>
      </w:r>
      <w:r w:rsidRPr="00830A0A">
        <w:t>[Электронный ресурс]. – Режим доступа:</w:t>
      </w:r>
      <w:r>
        <w:t xml:space="preserve"> </w:t>
      </w:r>
      <w:r w:rsidRPr="00830A0A">
        <w:rPr>
          <w:shd w:val="clear" w:color="auto" w:fill="FFFFFF"/>
        </w:rPr>
        <w:t>http://www.consultant.ru/document/cons_doc_LAW_8743/</w:t>
      </w:r>
      <w:r>
        <w:rPr>
          <w:shd w:val="clear" w:color="auto" w:fill="FFFFFF"/>
        </w:rPr>
        <w:t xml:space="preserve"> </w:t>
      </w:r>
      <w:r>
        <w:t>- Загл. с экрана – 1997 – 2018.</w:t>
      </w:r>
    </w:p>
  </w:footnote>
  <w:footnote w:id="8">
    <w:p w14:paraId="7456BAA1" w14:textId="4007436C" w:rsidR="00E357DC" w:rsidRPr="00A8480E" w:rsidRDefault="00E357DC" w:rsidP="005274FD">
      <w:pPr>
        <w:pStyle w:val="aff5"/>
      </w:pPr>
      <w:r w:rsidRPr="006C229B">
        <w:rPr>
          <w:rStyle w:val="a9"/>
        </w:rPr>
        <w:footnoteRef/>
      </w:r>
      <w:r w:rsidRPr="006C229B">
        <w:t xml:space="preserve"> </w:t>
      </w:r>
      <w:bookmarkStart w:id="8" w:name="dst298"/>
      <w:bookmarkEnd w:id="8"/>
      <w:r w:rsidRPr="005274FD">
        <w:rPr>
          <w:bCs/>
        </w:rPr>
        <w:t>Об обществах с ограниченной ответственностью</w:t>
      </w:r>
      <w:r>
        <w:rPr>
          <w:bCs/>
        </w:rPr>
        <w:t>:</w:t>
      </w:r>
      <w:r w:rsidRPr="005274FD">
        <w:rPr>
          <w:bCs/>
        </w:rPr>
        <w:t xml:space="preserve"> </w:t>
      </w:r>
      <w:r>
        <w:rPr>
          <w:bCs/>
        </w:rPr>
        <w:t>ф</w:t>
      </w:r>
      <w:r w:rsidRPr="005274FD">
        <w:rPr>
          <w:bCs/>
        </w:rPr>
        <w:t>едеральный закон от 08.02.199</w:t>
      </w:r>
      <w:r>
        <w:rPr>
          <w:bCs/>
        </w:rPr>
        <w:t>8 N 14-ФЗ (ред. от 31.12.2017)</w:t>
      </w:r>
      <w:r w:rsidRPr="005274FD">
        <w:rPr>
          <w:bCs/>
        </w:rPr>
        <w:t xml:space="preserve"> (с изм. и доп., вступ. в силу с 01.02.2018)</w:t>
      </w:r>
      <w:r>
        <w:rPr>
          <w:rStyle w:val="hl"/>
          <w:color w:val="000000" w:themeColor="text1"/>
        </w:rPr>
        <w:t xml:space="preserve"> ст.</w:t>
      </w:r>
      <w:r w:rsidRPr="006C229B">
        <w:rPr>
          <w:rStyle w:val="hl"/>
          <w:color w:val="000000" w:themeColor="text1"/>
        </w:rPr>
        <w:t xml:space="preserve"> 30. </w:t>
      </w:r>
      <w:r w:rsidRPr="00830A0A">
        <w:t>[Электронный ресурс]. – Режим доступа:</w:t>
      </w:r>
      <w:r>
        <w:t xml:space="preserve"> </w:t>
      </w:r>
      <w:r w:rsidRPr="005274FD">
        <w:t>http://www.consultant.ru/document/cons_doc_LAW_17819/</w:t>
      </w:r>
      <w:r>
        <w:t xml:space="preserve"> - Загл. с экрана – 1997 – 2018.</w:t>
      </w:r>
    </w:p>
  </w:footnote>
  <w:footnote w:id="9">
    <w:p w14:paraId="3E42A820" w14:textId="1A3BBFE0" w:rsidR="00E357DC" w:rsidRPr="00A8480E" w:rsidRDefault="00E357DC" w:rsidP="006C229B">
      <w:pPr>
        <w:pStyle w:val="aff5"/>
      </w:pPr>
      <w:r w:rsidRPr="00A8480E">
        <w:rPr>
          <w:rStyle w:val="a9"/>
        </w:rPr>
        <w:footnoteRef/>
      </w:r>
      <w:r>
        <w:t xml:space="preserve"> </w:t>
      </w:r>
      <w:r w:rsidRPr="00A8480E">
        <w:rPr>
          <w:shd w:val="clear" w:color="auto" w:fill="FFFFFF"/>
        </w:rPr>
        <w:t>Гражданский кодекс Росс</w:t>
      </w:r>
      <w:r>
        <w:rPr>
          <w:shd w:val="clear" w:color="auto" w:fill="FFFFFF"/>
        </w:rPr>
        <w:t>ийской Федерации (часть вторая), ст. 929</w:t>
      </w:r>
      <w:r w:rsidRPr="00A8480E">
        <w:rPr>
          <w:shd w:val="clear" w:color="auto" w:fill="FFFFFF"/>
        </w:rPr>
        <w:t xml:space="preserve"> от 26.01.1996 N 14-ФЗ (ред. от 05.12.2017) </w:t>
      </w:r>
      <w:r w:rsidRPr="007A5BCC">
        <w:t>[Электронный ресурс]. – Режим доступа:</w:t>
      </w:r>
      <w:r>
        <w:t xml:space="preserve"> </w:t>
      </w:r>
      <w:r w:rsidRPr="00D67DB8">
        <w:rPr>
          <w:shd w:val="clear" w:color="auto" w:fill="FFFFFF"/>
        </w:rPr>
        <w:t>http://www.consultant.ru/document/cons_doc_LAW_9027</w:t>
      </w:r>
      <w:r w:rsidRPr="00830A0A">
        <w:rPr>
          <w:shd w:val="clear" w:color="auto" w:fill="FFFFFF"/>
        </w:rPr>
        <w:t>/</w:t>
      </w:r>
      <w:r>
        <w:rPr>
          <w:shd w:val="clear" w:color="auto" w:fill="FFFFFF"/>
        </w:rPr>
        <w:t xml:space="preserve"> </w:t>
      </w:r>
      <w:r>
        <w:t>- Загл. с экрана – 1997 – 2018.</w:t>
      </w:r>
    </w:p>
  </w:footnote>
  <w:footnote w:id="10">
    <w:p w14:paraId="006BF402" w14:textId="258E8461" w:rsidR="00E357DC" w:rsidRPr="00A8480E" w:rsidRDefault="00E357DC" w:rsidP="00202A4B">
      <w:pPr>
        <w:pStyle w:val="aff5"/>
      </w:pPr>
      <w:r w:rsidRPr="00A8480E">
        <w:rPr>
          <w:rStyle w:val="a9"/>
        </w:rPr>
        <w:footnoteRef/>
      </w:r>
      <w:r w:rsidRPr="00A8480E">
        <w:t xml:space="preserve"> Бюджетный кодекс </w:t>
      </w:r>
      <w:r w:rsidRPr="00D67DB8">
        <w:t>Росс</w:t>
      </w:r>
      <w:r>
        <w:t xml:space="preserve">ийской Федерации, ст. 115 от 31.07.1998 N 145-ФЗ (ред. от 28.12.2017) </w:t>
      </w:r>
      <w:r w:rsidRPr="007A5BCC">
        <w:t>[Электронный ресурс]. – Режим доступа:</w:t>
      </w:r>
      <w:r>
        <w:t xml:space="preserve"> </w:t>
      </w:r>
      <w:r w:rsidRPr="00765C2C">
        <w:t>http://www.consultant.ru/document/cons_doc_LAW_19702/</w:t>
      </w:r>
      <w:r>
        <w:t xml:space="preserve"> - Загл. с экрана – 1997 – 2018.</w:t>
      </w:r>
    </w:p>
  </w:footnote>
  <w:footnote w:id="11">
    <w:p w14:paraId="585160F2" w14:textId="7CA7019C" w:rsidR="00E357DC" w:rsidRDefault="00E357DC" w:rsidP="00201526">
      <w:pPr>
        <w:pStyle w:val="a7"/>
      </w:pPr>
      <w:r>
        <w:rPr>
          <w:rStyle w:val="a9"/>
        </w:rPr>
        <w:footnoteRef/>
      </w:r>
      <w:r>
        <w:t xml:space="preserve"> Как выпустить облигации: советы не только для богатых </w:t>
      </w:r>
      <w:r w:rsidRPr="00201526">
        <w:t>//</w:t>
      </w:r>
      <w:r>
        <w:t xml:space="preserve"> Практический журнал по управлению финансами компании. </w:t>
      </w:r>
      <w:r w:rsidRPr="007A5BCC">
        <w:t>[Электронный ресурс]. – Режим доступа:</w:t>
      </w:r>
      <w:r>
        <w:t xml:space="preserve"> </w:t>
      </w:r>
      <w:r w:rsidRPr="00201526">
        <w:t>https://fd.ru/articles/1315-kak-vypustit-obligatsii-sovety-ne-tolko-dlya-bogatyh</w:t>
      </w:r>
      <w:r>
        <w:t xml:space="preserve"> - Загл. с экрана – 2017.</w:t>
      </w:r>
    </w:p>
    <w:p w14:paraId="0516A4AB" w14:textId="3361CBCD" w:rsidR="00E357DC" w:rsidRDefault="00E357DC">
      <w:pPr>
        <w:pStyle w:val="a7"/>
      </w:pPr>
    </w:p>
  </w:footnote>
  <w:footnote w:id="12">
    <w:p w14:paraId="21A5C003" w14:textId="554B2289" w:rsidR="00E357DC" w:rsidRPr="006C229B" w:rsidRDefault="00E357DC" w:rsidP="006C229B">
      <w:pPr>
        <w:pStyle w:val="aff5"/>
      </w:pPr>
      <w:r w:rsidRPr="006C229B">
        <w:rPr>
          <w:rStyle w:val="a9"/>
        </w:rPr>
        <w:footnoteRef/>
      </w:r>
      <w:r>
        <w:t xml:space="preserve"> </w:t>
      </w:r>
      <w:r w:rsidRPr="006C229B">
        <w:t>Эмиссия облигаций: важные моменты</w:t>
      </w:r>
      <w:r>
        <w:t xml:space="preserve"> </w:t>
      </w:r>
      <w:r w:rsidRPr="00997711">
        <w:t>//</w:t>
      </w:r>
      <w:r>
        <w:t xml:space="preserve"> Аврора Консалтинг.</w:t>
      </w:r>
      <w:r w:rsidRPr="006C229B">
        <w:t xml:space="preserve"> </w:t>
      </w:r>
      <w:r w:rsidRPr="007A5BCC">
        <w:t>[Электронный ресурс]. – Режим доступа:</w:t>
      </w:r>
      <w:r>
        <w:t xml:space="preserve"> </w:t>
      </w:r>
      <w:r w:rsidRPr="00997711">
        <w:t>http://www.aurora-consult.ru/services/issuer/info/bonds-issue.html</w:t>
      </w:r>
      <w:r>
        <w:t xml:space="preserve"> - Загл. с экрана – 2005 – 2014.</w:t>
      </w:r>
    </w:p>
  </w:footnote>
  <w:footnote w:id="13">
    <w:p w14:paraId="54FB29D0" w14:textId="57CF0559" w:rsidR="00E357DC" w:rsidRDefault="00E357DC" w:rsidP="00F72BDA">
      <w:pPr>
        <w:pStyle w:val="aff5"/>
      </w:pPr>
      <w:r>
        <w:rPr>
          <w:rStyle w:val="a9"/>
        </w:rPr>
        <w:footnoteRef/>
      </w:r>
      <w:r>
        <w:t xml:space="preserve"> Чайковская Е. Красный апельсин, или Успеть за 24 часа / Е. Чайковская // Cbonds Review. — 2015. — № 4. — С. 52-55 [Электронный ресурс]. — Режим доступа: </w:t>
      </w:r>
      <w:r w:rsidRPr="00BD72D5">
        <w:t>http://review.cbonds.info/article/magazines/4273</w:t>
      </w:r>
      <w:r>
        <w:t>- Загл. с экрана - 2012.</w:t>
      </w:r>
    </w:p>
  </w:footnote>
  <w:footnote w:id="14">
    <w:p w14:paraId="089964C3" w14:textId="4C0F6511" w:rsidR="00E357DC" w:rsidRDefault="00E357DC" w:rsidP="006C229B">
      <w:pPr>
        <w:pStyle w:val="aff5"/>
      </w:pPr>
      <w:r>
        <w:rPr>
          <w:rStyle w:val="a9"/>
        </w:rPr>
        <w:footnoteRef/>
      </w:r>
      <w:r>
        <w:t xml:space="preserve"> Анализ облигаций /</w:t>
      </w:r>
      <w:r w:rsidRPr="00110382">
        <w:t xml:space="preserve">/ </w:t>
      </w:r>
      <w:r>
        <w:t>Информационное агентство Финмаркет</w:t>
      </w:r>
      <w:r w:rsidRPr="00157BE3">
        <w:t xml:space="preserve"> </w:t>
      </w:r>
      <w:r w:rsidRPr="007A5BCC">
        <w:t>[Электронный ресурс]. – Режим доступа:</w:t>
      </w:r>
      <w:r>
        <w:t xml:space="preserve"> </w:t>
      </w:r>
      <w:r w:rsidRPr="00110382">
        <w:t>http://www.rusbonds.ru/cmncorp.asp</w:t>
      </w:r>
      <w:r>
        <w:t xml:space="preserve"> - Загл. с экрана – 2004 – 2018.</w:t>
      </w:r>
    </w:p>
  </w:footnote>
  <w:footnote w:id="15">
    <w:p w14:paraId="578D4983" w14:textId="0E5F5499" w:rsidR="00E357DC" w:rsidRDefault="00E357DC" w:rsidP="00BB2096">
      <w:pPr>
        <w:pStyle w:val="aff5"/>
      </w:pPr>
      <w:r w:rsidRPr="00EA5958">
        <w:rPr>
          <w:rStyle w:val="a9"/>
        </w:rPr>
        <w:footnoteRef/>
      </w:r>
      <w:r w:rsidRPr="00EA5958">
        <w:t xml:space="preserve"> Дудкина Д. Российский рынок облигаций в 2014 году: тенденци</w:t>
      </w:r>
      <w:r>
        <w:t>и, риски и прогнозы. // Журнал «Рынок ценных бумаг»</w:t>
      </w:r>
      <w:r w:rsidRPr="00EA5958">
        <w:t xml:space="preserve"> </w:t>
      </w:r>
      <w:r w:rsidRPr="007A5BCC">
        <w:t>[Элект</w:t>
      </w:r>
      <w:r>
        <w:t>ронный ресурс]. – Режим доступа</w:t>
      </w:r>
      <w:r w:rsidRPr="00EA5958">
        <w:t>: http://www.rcb.ru/rcb/2014-01/252520/</w:t>
      </w:r>
    </w:p>
  </w:footnote>
  <w:footnote w:id="16">
    <w:p w14:paraId="3D2B74FD" w14:textId="1E991C43" w:rsidR="00E357DC" w:rsidRDefault="00E357DC">
      <w:pPr>
        <w:pStyle w:val="a7"/>
      </w:pPr>
      <w:r>
        <w:rPr>
          <w:rStyle w:val="a9"/>
        </w:rPr>
        <w:footnoteRef/>
      </w:r>
      <w:r>
        <w:t xml:space="preserve"> Анализ облигаций /</w:t>
      </w:r>
      <w:r w:rsidRPr="00110382">
        <w:t xml:space="preserve">/ </w:t>
      </w:r>
      <w:r>
        <w:t>Информационное агентство Финмаркет</w:t>
      </w:r>
      <w:r w:rsidRPr="00157BE3">
        <w:t xml:space="preserve"> </w:t>
      </w:r>
      <w:r w:rsidRPr="007A5BCC">
        <w:t>[Электронный ресурс]. – Режим доступа:</w:t>
      </w:r>
      <w:r>
        <w:t xml:space="preserve"> </w:t>
      </w:r>
      <w:r w:rsidRPr="00110382">
        <w:t>http://www.rusbonds.ru/cmncorp.asp</w:t>
      </w:r>
      <w:r>
        <w:t xml:space="preserve"> - Загл. с экрана – 2004 – 2018.</w:t>
      </w:r>
    </w:p>
  </w:footnote>
  <w:footnote w:id="17">
    <w:p w14:paraId="7915876F" w14:textId="036EFEA7" w:rsidR="00E357DC" w:rsidRPr="00DD178D" w:rsidRDefault="00E357DC" w:rsidP="000C1732">
      <w:pPr>
        <w:pStyle w:val="aff5"/>
      </w:pPr>
      <w:r>
        <w:rPr>
          <w:rStyle w:val="a9"/>
        </w:rPr>
        <w:footnoteRef/>
      </w:r>
      <w:r>
        <w:t xml:space="preserve"> Гаврилова А.В. Р</w:t>
      </w:r>
      <w:r w:rsidRPr="00DD178D">
        <w:t xml:space="preserve">ынок облигаций: </w:t>
      </w:r>
      <w:r w:rsidRPr="00BB2096">
        <w:t xml:space="preserve">современное состояние и перспективы </w:t>
      </w:r>
      <w:r>
        <w:t>// Международный студенческий научный вестник [Электронный ресурс]</w:t>
      </w:r>
      <w:r w:rsidRPr="007A5BCC">
        <w:t xml:space="preserve"> – Режим доступа:</w:t>
      </w:r>
      <w:r>
        <w:t xml:space="preserve"> </w:t>
      </w:r>
      <w:r w:rsidRPr="00BB2096">
        <w:t>https://www.scienceforum.ru/2015/pdf/14249.pdf</w:t>
      </w:r>
    </w:p>
  </w:footnote>
  <w:footnote w:id="18">
    <w:p w14:paraId="240E30A6" w14:textId="26F7906C" w:rsidR="00E357DC" w:rsidRDefault="00E357DC" w:rsidP="006C229B">
      <w:pPr>
        <w:pStyle w:val="aff5"/>
      </w:pPr>
      <w:r>
        <w:rPr>
          <w:rStyle w:val="a9"/>
        </w:rPr>
        <w:footnoteRef/>
      </w:r>
      <w:r>
        <w:t xml:space="preserve"> </w:t>
      </w:r>
      <w:r w:rsidRPr="001658D6">
        <w:t>В. Мау</w:t>
      </w:r>
      <w:r>
        <w:t xml:space="preserve"> </w:t>
      </w:r>
      <w:r w:rsidRPr="006C229B">
        <w:t>Российская экономика в 2016 году: тенденции и перспективы / под ред. С. Г. Синельников</w:t>
      </w:r>
      <w:r>
        <w:t>а-Мурылева, А. Д. Радыгина. — Москва</w:t>
      </w:r>
      <w:r w:rsidRPr="006C229B">
        <w:t>: Изд-во Ин-та Гайдара, 2017. —</w:t>
      </w:r>
      <w:r>
        <w:t xml:space="preserve"> </w:t>
      </w:r>
      <w:r w:rsidRPr="00316CFD">
        <w:t>108 с.</w:t>
      </w:r>
    </w:p>
  </w:footnote>
  <w:footnote w:id="19">
    <w:p w14:paraId="27A679C2" w14:textId="5653349E" w:rsidR="00E357DC" w:rsidRPr="00DF3224" w:rsidRDefault="00E357DC" w:rsidP="006C229B">
      <w:pPr>
        <w:pStyle w:val="aff5"/>
      </w:pPr>
      <w:r>
        <w:rPr>
          <w:rStyle w:val="a9"/>
        </w:rPr>
        <w:footnoteRef/>
      </w:r>
      <w:r>
        <w:t xml:space="preserve"> </w:t>
      </w:r>
      <w:r w:rsidRPr="00DF3224">
        <w:t>Швецов С. А. Российский финансовый рынок: вызовы, проблемы и перспективы [Электронный ресурс]: докл. на 17-й Междунар. науч. конф. по проблемам развития экономики и общества / С. А. Швецов, Н. И. Берзон. — Режим доступа: htt</w:t>
      </w:r>
      <w:r>
        <w:t>ps://www.hse.ru/science/reports</w:t>
      </w:r>
    </w:p>
  </w:footnote>
  <w:footnote w:id="20">
    <w:p w14:paraId="3899BF73" w14:textId="06FDAB98" w:rsidR="00E357DC" w:rsidRDefault="00E357DC" w:rsidP="006C229B">
      <w:pPr>
        <w:pStyle w:val="aff5"/>
      </w:pPr>
      <w:r>
        <w:rPr>
          <w:rStyle w:val="a9"/>
        </w:rPr>
        <w:footnoteRef/>
      </w:r>
      <w:r>
        <w:t xml:space="preserve"> Малышенко</w:t>
      </w:r>
      <w:r w:rsidRPr="004A3540">
        <w:t xml:space="preserve"> </w:t>
      </w:r>
      <w:r>
        <w:t>К. А., Малышенко</w:t>
      </w:r>
      <w:r w:rsidRPr="004A3540">
        <w:t xml:space="preserve"> </w:t>
      </w:r>
      <w:r>
        <w:t>В. А., Гребенник</w:t>
      </w:r>
      <w:r w:rsidRPr="004A3540">
        <w:t xml:space="preserve"> </w:t>
      </w:r>
      <w:r>
        <w:t>О. Ю., Головлева</w:t>
      </w:r>
      <w:r w:rsidRPr="004A3540">
        <w:t xml:space="preserve"> </w:t>
      </w:r>
      <w:r>
        <w:t>Е. В. Анализ современного состояния рынка акций России // Современные тенденции развития науки и технологий: по материалам 16-й Междунар. науч.-практ. конф., Белгород, 30 июля 2016 г. — Белгород: Агентство перспектив. науч. исслед., 2016. — Вып. 11-10. — С. 94.</w:t>
      </w:r>
    </w:p>
  </w:footnote>
  <w:footnote w:id="21">
    <w:p w14:paraId="5E1B4BE4" w14:textId="5909DC58" w:rsidR="00E357DC" w:rsidRDefault="00E357DC" w:rsidP="006C229B">
      <w:pPr>
        <w:pStyle w:val="aff5"/>
      </w:pPr>
      <w:r>
        <w:rPr>
          <w:rStyle w:val="a9"/>
        </w:rPr>
        <w:footnoteRef/>
      </w:r>
      <w:r>
        <w:t xml:space="preserve"> Запевалова Е. С. Выбор показателя ликвидности для российского рынка корпоративных облигаций / Е. С. Запевалова // Управленческий учет и финансы. — 2016. — № 1. — С. 31.</w:t>
      </w:r>
    </w:p>
  </w:footnote>
  <w:footnote w:id="22">
    <w:p w14:paraId="6312BAFA" w14:textId="77777777" w:rsidR="00E357DC" w:rsidRPr="0089141F" w:rsidRDefault="00E357DC" w:rsidP="00E90156">
      <w:pPr>
        <w:pStyle w:val="aff5"/>
      </w:pPr>
      <w:r>
        <w:rPr>
          <w:rStyle w:val="a9"/>
        </w:rPr>
        <w:footnoteRef/>
      </w:r>
      <w:r>
        <w:t xml:space="preserve"> Центральный банк Российской Федерации. Статистика. [Электронный ресурс] </w:t>
      </w:r>
      <w:r w:rsidRPr="007A5BCC">
        <w:t>– Режим доступа:</w:t>
      </w:r>
      <w:r>
        <w:t xml:space="preserve"> </w:t>
      </w:r>
      <w:r w:rsidRPr="00703F37">
        <w:rPr>
          <w:lang w:val="en-US"/>
        </w:rPr>
        <w:t>http</w:t>
      </w:r>
      <w:r w:rsidRPr="00703F37">
        <w:t>://</w:t>
      </w:r>
      <w:r w:rsidRPr="00703F37">
        <w:rPr>
          <w:lang w:val="en-US"/>
        </w:rPr>
        <w:t>cbr</w:t>
      </w:r>
      <w:r w:rsidRPr="00703F37">
        <w:t>.</w:t>
      </w:r>
      <w:r w:rsidRPr="00703F37">
        <w:rPr>
          <w:lang w:val="en-US"/>
        </w:rPr>
        <w:t>ru</w:t>
      </w:r>
      <w:r w:rsidRPr="00703F37">
        <w:t>/</w:t>
      </w:r>
      <w:r w:rsidRPr="00703F37">
        <w:rPr>
          <w:lang w:val="en-US"/>
        </w:rPr>
        <w:t>statistics</w:t>
      </w:r>
      <w:r w:rsidRPr="00703F37">
        <w:t>/?</w:t>
      </w:r>
      <w:r w:rsidRPr="00703F37">
        <w:rPr>
          <w:lang w:val="en-US"/>
        </w:rPr>
        <w:t>Prtld</w:t>
      </w:r>
      <w:r w:rsidRPr="00703F37">
        <w:t>=</w:t>
      </w:r>
      <w:r w:rsidRPr="00703F37">
        <w:rPr>
          <w:lang w:val="en-US"/>
        </w:rPr>
        <w:t>sors</w:t>
      </w:r>
      <w:r>
        <w:t xml:space="preserve"> - Загл. с экрана – 2017.</w:t>
      </w:r>
    </w:p>
  </w:footnote>
  <w:footnote w:id="23">
    <w:p w14:paraId="07A9E39F" w14:textId="3DEB61E1" w:rsidR="00E357DC" w:rsidRDefault="00E357DC" w:rsidP="006C229B">
      <w:pPr>
        <w:pStyle w:val="aff5"/>
      </w:pPr>
      <w:r>
        <w:rPr>
          <w:rStyle w:val="a9"/>
        </w:rPr>
        <w:footnoteRef/>
      </w:r>
      <w:r>
        <w:t xml:space="preserve"> Бадилина Л. П. Активизация инвестиционных процессов в Российской Федерации с использованием рынка ценных бумаг / Л. П. Бадилина, Н. А. Звягинцева // Известия Иркутской государственной экономической академии. — 2016. — Т. 26, № 1. — С. 5-14.</w:t>
      </w:r>
    </w:p>
  </w:footnote>
  <w:footnote w:id="24">
    <w:p w14:paraId="1B8E0E0D" w14:textId="77777777" w:rsidR="00E357DC" w:rsidRDefault="00E357DC" w:rsidP="006C229B">
      <w:pPr>
        <w:pStyle w:val="aff5"/>
      </w:pPr>
      <w:r>
        <w:rPr>
          <w:rStyle w:val="a9"/>
        </w:rPr>
        <w:footnoteRef/>
      </w:r>
      <w:r>
        <w:t xml:space="preserve"> </w:t>
      </w:r>
      <w:r w:rsidRPr="00A31CE1">
        <w:t>Андреева А. К. Сравнение привлекательности корпоративных облигаций и банковских кредитов для заемщиков / А. К. Андреева // Инновационная наука. — 2015. — № 6 (6). — С. 18-19.</w:t>
      </w:r>
    </w:p>
  </w:footnote>
  <w:footnote w:id="25">
    <w:p w14:paraId="33BDC08C" w14:textId="77777777" w:rsidR="00E357DC" w:rsidRPr="00A31CE1" w:rsidRDefault="00E357DC" w:rsidP="006C229B">
      <w:pPr>
        <w:pStyle w:val="aff5"/>
        <w:rPr>
          <w:rFonts w:ascii="Arial" w:hAnsi="Arial" w:cs="Arial"/>
          <w:color w:val="000000"/>
          <w:sz w:val="23"/>
          <w:szCs w:val="23"/>
        </w:rPr>
      </w:pPr>
      <w:r>
        <w:rPr>
          <w:rStyle w:val="a9"/>
        </w:rPr>
        <w:footnoteRef/>
      </w:r>
      <w:r>
        <w:t xml:space="preserve"> </w:t>
      </w:r>
      <w:r w:rsidRPr="00A31CE1">
        <w:t>Чайковская Е. Красный апельсин, или Успеть за 24 часа [Электронный ресурс] / Е. Чайковская // Cbonds Review. — 2015. — № 4. — С. 52-55. — Режим доступа: http://review.cbonds.info/article/magazines/4273.</w:t>
      </w:r>
    </w:p>
  </w:footnote>
  <w:footnote w:id="26">
    <w:p w14:paraId="3A49291E" w14:textId="23329FD0" w:rsidR="00E357DC" w:rsidRPr="004E660F" w:rsidRDefault="00E357DC" w:rsidP="009F57E2">
      <w:pPr>
        <w:pStyle w:val="aff5"/>
        <w:rPr>
          <w:lang w:val="en-US"/>
        </w:rPr>
      </w:pPr>
      <w:r>
        <w:rPr>
          <w:rStyle w:val="a9"/>
        </w:rPr>
        <w:footnoteRef/>
      </w:r>
      <w:r w:rsidRPr="004E660F">
        <w:rPr>
          <w:lang w:val="en-US"/>
        </w:rPr>
        <w:t xml:space="preserve"> </w:t>
      </w:r>
      <w:r w:rsidRPr="009F57E2">
        <w:rPr>
          <w:lang w:val="en-US"/>
        </w:rPr>
        <w:t xml:space="preserve">Corporate Bond Liquidity Reports </w:t>
      </w:r>
      <w:r>
        <w:rPr>
          <w:lang w:val="en-US"/>
        </w:rPr>
        <w:t xml:space="preserve">// The </w:t>
      </w:r>
      <w:r w:rsidRPr="004E660F">
        <w:rPr>
          <w:lang w:val="en-US"/>
        </w:rPr>
        <w:t xml:space="preserve">Federal Reserve </w:t>
      </w:r>
      <w:r>
        <w:rPr>
          <w:lang w:val="en-US"/>
        </w:rPr>
        <w:t xml:space="preserve">System official site </w:t>
      </w:r>
      <w:r w:rsidRPr="009F57E2">
        <w:rPr>
          <w:lang w:val="en-US"/>
        </w:rPr>
        <w:t>[</w:t>
      </w:r>
      <w:r w:rsidRPr="007A5BCC">
        <w:t>Электронный</w:t>
      </w:r>
      <w:r w:rsidRPr="009F57E2">
        <w:rPr>
          <w:lang w:val="en-US"/>
        </w:rPr>
        <w:t xml:space="preserve"> </w:t>
      </w:r>
      <w:r w:rsidRPr="007A5BCC">
        <w:t>ресурс</w:t>
      </w:r>
      <w:r>
        <w:rPr>
          <w:lang w:val="en-US"/>
        </w:rPr>
        <w:t>]</w:t>
      </w:r>
      <w:r w:rsidRPr="009F57E2">
        <w:rPr>
          <w:lang w:val="en-US"/>
        </w:rPr>
        <w:t xml:space="preserve"> – </w:t>
      </w:r>
      <w:r w:rsidRPr="007A5BCC">
        <w:t>Режим</w:t>
      </w:r>
      <w:r w:rsidRPr="009F57E2">
        <w:rPr>
          <w:lang w:val="en-US"/>
        </w:rPr>
        <w:t xml:space="preserve"> </w:t>
      </w:r>
      <w:r w:rsidRPr="007A5BCC">
        <w:t>доступа</w:t>
      </w:r>
      <w:r w:rsidRPr="009F57E2">
        <w:rPr>
          <w:lang w:val="en-US"/>
        </w:rPr>
        <w:t>: https://www.federalreserve.gov</w:t>
      </w:r>
      <w:r>
        <w:rPr>
          <w:lang w:val="en-US"/>
        </w:rPr>
        <w:t xml:space="preserve"> </w:t>
      </w:r>
      <w:r w:rsidRPr="009F57E2">
        <w:rPr>
          <w:lang w:val="en-US"/>
        </w:rPr>
        <w:t xml:space="preserve">- </w:t>
      </w:r>
      <w:r>
        <w:t>Загл</w:t>
      </w:r>
      <w:r w:rsidRPr="009F57E2">
        <w:rPr>
          <w:lang w:val="en-US"/>
        </w:rPr>
        <w:t xml:space="preserve">. </w:t>
      </w:r>
      <w:r>
        <w:t>с</w:t>
      </w:r>
      <w:r w:rsidRPr="009F57E2">
        <w:rPr>
          <w:lang w:val="en-US"/>
        </w:rPr>
        <w:t xml:space="preserve"> </w:t>
      </w:r>
      <w:r>
        <w:t>экрана</w:t>
      </w:r>
      <w:r w:rsidRPr="009F57E2">
        <w:rPr>
          <w:lang w:val="en-US"/>
        </w:rPr>
        <w:t xml:space="preserve"> – 2017.</w:t>
      </w:r>
    </w:p>
  </w:footnote>
  <w:footnote w:id="27">
    <w:p w14:paraId="5190FE1E" w14:textId="77777777" w:rsidR="00E357DC" w:rsidRPr="006E087F" w:rsidRDefault="00E357DC" w:rsidP="00C91F56">
      <w:pPr>
        <w:pStyle w:val="aff5"/>
        <w:rPr>
          <w:lang w:val="en-US"/>
        </w:rPr>
      </w:pPr>
      <w:r>
        <w:rPr>
          <w:rStyle w:val="a9"/>
        </w:rPr>
        <w:footnoteRef/>
      </w:r>
      <w:r w:rsidRPr="006E087F">
        <w:rPr>
          <w:lang w:val="en-US"/>
        </w:rPr>
        <w:t xml:space="preserve"> U.S. Capital Markets Deck</w:t>
      </w:r>
      <w:r>
        <w:rPr>
          <w:lang w:val="en-US"/>
        </w:rPr>
        <w:t xml:space="preserve"> // </w:t>
      </w:r>
      <w:r w:rsidRPr="006E087F">
        <w:rPr>
          <w:lang w:val="en-US"/>
        </w:rPr>
        <w:t>Securities Industry and Financial Markets Association [</w:t>
      </w:r>
      <w:r w:rsidRPr="007A5BCC">
        <w:t>Электронный</w:t>
      </w:r>
      <w:r w:rsidRPr="006E087F">
        <w:rPr>
          <w:lang w:val="en-US"/>
        </w:rPr>
        <w:t xml:space="preserve"> </w:t>
      </w:r>
      <w:r w:rsidRPr="007A5BCC">
        <w:t>ресурс</w:t>
      </w:r>
      <w:r w:rsidRPr="006E087F">
        <w:rPr>
          <w:lang w:val="en-US"/>
        </w:rPr>
        <w:t xml:space="preserve">] – </w:t>
      </w:r>
      <w:r w:rsidRPr="007A5BCC">
        <w:t>Режим</w:t>
      </w:r>
      <w:r w:rsidRPr="006E087F">
        <w:rPr>
          <w:lang w:val="en-US"/>
        </w:rPr>
        <w:t xml:space="preserve"> </w:t>
      </w:r>
      <w:r w:rsidRPr="007A5BCC">
        <w:t>доступа</w:t>
      </w:r>
      <w:r w:rsidRPr="006E087F">
        <w:rPr>
          <w:lang w:val="en-US"/>
        </w:rPr>
        <w:t xml:space="preserve">: https://www.sifma.org/wp-content/uploads/2016/10/US-Capital-Markets-Deck-2017-09-11-SIFMA.pdf - </w:t>
      </w:r>
      <w:r>
        <w:t>Загл</w:t>
      </w:r>
      <w:r w:rsidRPr="006E087F">
        <w:rPr>
          <w:lang w:val="en-US"/>
        </w:rPr>
        <w:t xml:space="preserve">. </w:t>
      </w:r>
      <w:r>
        <w:t>с</w:t>
      </w:r>
      <w:r w:rsidRPr="006E087F">
        <w:rPr>
          <w:lang w:val="en-US"/>
        </w:rPr>
        <w:t xml:space="preserve"> </w:t>
      </w:r>
      <w:r>
        <w:t>экрана</w:t>
      </w:r>
      <w:r w:rsidRPr="006E087F">
        <w:rPr>
          <w:lang w:val="en-US"/>
        </w:rPr>
        <w:t xml:space="preserve"> – 2018.</w:t>
      </w:r>
    </w:p>
  </w:footnote>
  <w:footnote w:id="28">
    <w:p w14:paraId="6AE74E00" w14:textId="77777777" w:rsidR="00E357DC" w:rsidRPr="00F653AB" w:rsidRDefault="00E357DC" w:rsidP="0091309B">
      <w:pPr>
        <w:pStyle w:val="aff5"/>
        <w:rPr>
          <w:lang w:val="en-US"/>
        </w:rPr>
      </w:pPr>
      <w:r>
        <w:rPr>
          <w:rStyle w:val="a9"/>
        </w:rPr>
        <w:footnoteRef/>
      </w:r>
      <w:r w:rsidRPr="0033358E">
        <w:rPr>
          <w:lang w:val="en-US"/>
        </w:rPr>
        <w:t xml:space="preserve"> </w:t>
      </w:r>
      <w:r w:rsidRPr="00F653AB">
        <w:rPr>
          <w:lang w:val="en-US"/>
        </w:rPr>
        <w:t>Principles for the Management of Credit Risk [</w:t>
      </w:r>
      <w:r>
        <w:rPr>
          <w:lang w:val="en-US"/>
        </w:rPr>
        <w:t>Электронный ресурс</w:t>
      </w:r>
      <w:r w:rsidRPr="00F653AB">
        <w:rPr>
          <w:lang w:val="en-US"/>
        </w:rPr>
        <w:t>] / Basel Committee of Banking Supervision Basel // Ba</w:t>
      </w:r>
      <w:r>
        <w:rPr>
          <w:lang w:val="en-US"/>
        </w:rPr>
        <w:t xml:space="preserve">nk of International Settlement </w:t>
      </w:r>
      <w:r w:rsidRPr="00F653AB">
        <w:rPr>
          <w:lang w:val="en-US"/>
        </w:rPr>
        <w:t xml:space="preserve">— Basle, 2000. — 30 p. — </w:t>
      </w:r>
      <w:r w:rsidRPr="00F653AB">
        <w:t>Режим</w:t>
      </w:r>
      <w:r w:rsidRPr="00F653AB">
        <w:rPr>
          <w:lang w:val="en-US"/>
        </w:rPr>
        <w:t xml:space="preserve"> </w:t>
      </w:r>
      <w:r w:rsidRPr="00F653AB">
        <w:t>доступа</w:t>
      </w:r>
      <w:r w:rsidRPr="00F653AB">
        <w:rPr>
          <w:lang w:val="en-US"/>
        </w:rPr>
        <w:t>: http</w:t>
      </w:r>
      <w:r>
        <w:rPr>
          <w:lang w:val="en-US"/>
        </w:rPr>
        <w:t>://www.bis.org/publ/bcbs75.pdf -</w:t>
      </w:r>
      <w:r w:rsidRPr="00F653AB">
        <w:rPr>
          <w:lang w:val="en-US"/>
        </w:rPr>
        <w:t xml:space="preserve"> </w:t>
      </w:r>
      <w:r w:rsidRPr="00F653AB">
        <w:t>Загл</w:t>
      </w:r>
      <w:r w:rsidRPr="00F653AB">
        <w:rPr>
          <w:lang w:val="en-US"/>
        </w:rPr>
        <w:t xml:space="preserve">. </w:t>
      </w:r>
      <w:r w:rsidRPr="00F653AB">
        <w:t>с</w:t>
      </w:r>
      <w:r w:rsidRPr="00F653AB">
        <w:rPr>
          <w:lang w:val="en-US"/>
        </w:rPr>
        <w:t xml:space="preserve"> </w:t>
      </w:r>
      <w:r w:rsidRPr="00F653AB">
        <w:t>экрана</w:t>
      </w:r>
      <w:r w:rsidRPr="00F653AB">
        <w:rPr>
          <w:lang w:val="en-US"/>
        </w:rPr>
        <w:t xml:space="preserve">. </w:t>
      </w:r>
    </w:p>
    <w:p w14:paraId="46A855AD" w14:textId="77777777" w:rsidR="00E357DC" w:rsidRPr="0033358E" w:rsidRDefault="00E357DC" w:rsidP="0091309B">
      <w:pPr>
        <w:pStyle w:val="a7"/>
        <w:rPr>
          <w:lang w:val="en-US"/>
        </w:rPr>
      </w:pPr>
    </w:p>
  </w:footnote>
  <w:footnote w:id="29">
    <w:p w14:paraId="42EBBB78" w14:textId="77777777" w:rsidR="00E357DC" w:rsidRDefault="00E357DC" w:rsidP="0091309B">
      <w:pPr>
        <w:pStyle w:val="aff5"/>
      </w:pPr>
      <w:r>
        <w:rPr>
          <w:rStyle w:val="a9"/>
        </w:rPr>
        <w:footnoteRef/>
      </w:r>
      <w:r>
        <w:t xml:space="preserve"> </w:t>
      </w:r>
      <w:r w:rsidRPr="00DE11EF">
        <w:t>Синки Дж. Финансовый менеджмент в коммерческом банке и в индустрии финансовых услуг</w:t>
      </w:r>
      <w:r>
        <w:t xml:space="preserve"> </w:t>
      </w:r>
      <w:r w:rsidRPr="00DE11EF">
        <w:t>/</w:t>
      </w:r>
      <w:r>
        <w:t xml:space="preserve"> </w:t>
      </w:r>
      <w:r w:rsidRPr="00DE11EF">
        <w:t xml:space="preserve">Джозеф Синки – мл. Пер. с англ. М.: Альпина </w:t>
      </w:r>
      <w:r>
        <w:t>Паблишер</w:t>
      </w:r>
      <w:r w:rsidRPr="00DE11EF">
        <w:t>, 20</w:t>
      </w:r>
      <w:r>
        <w:t>17 – 472</w:t>
      </w:r>
      <w:r w:rsidRPr="00DE11EF">
        <w:t xml:space="preserve"> с.</w:t>
      </w:r>
      <w:r>
        <w:t xml:space="preserve"> </w:t>
      </w:r>
    </w:p>
  </w:footnote>
  <w:footnote w:id="30">
    <w:p w14:paraId="54596BC6" w14:textId="77777777" w:rsidR="00E357DC" w:rsidRPr="004A299C" w:rsidRDefault="00E357DC" w:rsidP="00FA1168">
      <w:pPr>
        <w:pStyle w:val="aff5"/>
        <w:rPr>
          <w:lang w:val="en-US"/>
        </w:rPr>
      </w:pPr>
      <w:r w:rsidRPr="006C229B">
        <w:rPr>
          <w:rStyle w:val="a9"/>
        </w:rPr>
        <w:footnoteRef/>
      </w:r>
      <w:r w:rsidRPr="00A17700">
        <w:rPr>
          <w:vertAlign w:val="superscript"/>
        </w:rPr>
        <w:t xml:space="preserve"> </w:t>
      </w:r>
      <w:r>
        <w:rPr>
          <w:lang w:val="en-US"/>
        </w:rPr>
        <w:t>Black</w:t>
      </w:r>
      <w:r w:rsidRPr="00A17700">
        <w:t xml:space="preserve"> </w:t>
      </w:r>
      <w:r>
        <w:rPr>
          <w:lang w:val="en-US"/>
        </w:rPr>
        <w:t>F</w:t>
      </w:r>
      <w:r w:rsidRPr="00A17700">
        <w:t xml:space="preserve">., </w:t>
      </w:r>
      <w:r>
        <w:rPr>
          <w:lang w:val="en-US"/>
        </w:rPr>
        <w:t>Scholes</w:t>
      </w:r>
      <w:r w:rsidRPr="00A17700">
        <w:t xml:space="preserve"> </w:t>
      </w:r>
      <w:r>
        <w:rPr>
          <w:lang w:val="en-US"/>
        </w:rPr>
        <w:t>M</w:t>
      </w:r>
      <w:r w:rsidRPr="00A17700">
        <w:t xml:space="preserve">., 1973. </w:t>
      </w:r>
      <w:r w:rsidRPr="004A299C">
        <w:rPr>
          <w:lang w:val="en-US"/>
        </w:rPr>
        <w:t>The pricing of op</w:t>
      </w:r>
      <w:r>
        <w:rPr>
          <w:lang w:val="en-US"/>
        </w:rPr>
        <w:t>tions and corporate liabilities.</w:t>
      </w:r>
      <w:r w:rsidRPr="004A299C">
        <w:rPr>
          <w:lang w:val="en-US"/>
        </w:rPr>
        <w:t xml:space="preserve"> The Journal of Political Economy, Vol. 81, No. 3 (May — Jun.), pp. 637–654. </w:t>
      </w:r>
    </w:p>
  </w:footnote>
  <w:footnote w:id="31">
    <w:p w14:paraId="0588636D" w14:textId="77777777" w:rsidR="00E357DC" w:rsidRPr="004A299C" w:rsidRDefault="00E357DC" w:rsidP="00FA1168">
      <w:pPr>
        <w:pStyle w:val="aff5"/>
        <w:rPr>
          <w:lang w:val="en-US"/>
        </w:rPr>
      </w:pPr>
      <w:r w:rsidRPr="006C229B">
        <w:rPr>
          <w:rStyle w:val="a9"/>
        </w:rPr>
        <w:footnoteRef/>
      </w:r>
      <w:r w:rsidRPr="004A299C">
        <w:rPr>
          <w:vertAlign w:val="superscript"/>
          <w:lang w:val="en-US"/>
        </w:rPr>
        <w:t xml:space="preserve"> </w:t>
      </w:r>
      <w:r>
        <w:rPr>
          <w:lang w:val="en-US"/>
        </w:rPr>
        <w:t xml:space="preserve">Merton R.C., 1974. </w:t>
      </w:r>
      <w:r w:rsidRPr="004A299C">
        <w:rPr>
          <w:lang w:val="en-US"/>
        </w:rPr>
        <w:t xml:space="preserve">On the pricing of corporate debt: the risk structure </w:t>
      </w:r>
      <w:r>
        <w:rPr>
          <w:lang w:val="en-US"/>
        </w:rPr>
        <w:t xml:space="preserve">of interest rates. </w:t>
      </w:r>
      <w:r w:rsidRPr="004A299C">
        <w:rPr>
          <w:lang w:val="en-US"/>
        </w:rPr>
        <w:t xml:space="preserve">Journal of Finance, Vol. 29, No. 2, (May), pp. 449–470. </w:t>
      </w:r>
    </w:p>
  </w:footnote>
  <w:footnote w:id="32">
    <w:p w14:paraId="5C5AED91" w14:textId="77777777" w:rsidR="00E357DC" w:rsidRPr="004A299C" w:rsidRDefault="00E357DC" w:rsidP="00FA1168">
      <w:pPr>
        <w:pStyle w:val="aff5"/>
        <w:rPr>
          <w:lang w:val="en-US"/>
        </w:rPr>
      </w:pPr>
      <w:r w:rsidRPr="006C229B">
        <w:rPr>
          <w:rStyle w:val="a9"/>
        </w:rPr>
        <w:footnoteRef/>
      </w:r>
      <w:r w:rsidRPr="004A299C">
        <w:rPr>
          <w:lang w:val="en-US"/>
        </w:rPr>
        <w:t xml:space="preserve"> Ja</w:t>
      </w:r>
      <w:r>
        <w:rPr>
          <w:lang w:val="en-US"/>
        </w:rPr>
        <w:t xml:space="preserve">rrow R.A., Turnbull S., 1995. </w:t>
      </w:r>
      <w:r w:rsidRPr="004A299C">
        <w:rPr>
          <w:lang w:val="en-US"/>
        </w:rPr>
        <w:t>Pricing derivatives on financial se</w:t>
      </w:r>
      <w:r>
        <w:rPr>
          <w:lang w:val="en-US"/>
        </w:rPr>
        <w:t>curities subject to credit risk</w:t>
      </w:r>
      <w:r w:rsidRPr="004A299C">
        <w:rPr>
          <w:lang w:val="en-US"/>
        </w:rPr>
        <w:t xml:space="preserve">. Journal of Finance, Vol. 50 (March), pp. 53–85 </w:t>
      </w:r>
    </w:p>
    <w:p w14:paraId="2758AA85" w14:textId="77777777" w:rsidR="00E357DC" w:rsidRPr="00A842A4" w:rsidRDefault="00E357DC" w:rsidP="00FA1168">
      <w:pPr>
        <w:pStyle w:val="a7"/>
        <w:rPr>
          <w:lang w:val="en-US"/>
        </w:rPr>
      </w:pPr>
    </w:p>
  </w:footnote>
  <w:footnote w:id="33">
    <w:p w14:paraId="0F9277CD" w14:textId="77777777" w:rsidR="00E357DC" w:rsidRPr="003B2DA2" w:rsidRDefault="00E357DC" w:rsidP="00FA1168">
      <w:pPr>
        <w:pStyle w:val="aff5"/>
        <w:rPr>
          <w:lang w:val="en-US"/>
        </w:rPr>
      </w:pPr>
      <w:r w:rsidRPr="006C229B">
        <w:rPr>
          <w:rStyle w:val="a9"/>
        </w:rPr>
        <w:footnoteRef/>
      </w:r>
      <w:r w:rsidRPr="006C229B">
        <w:rPr>
          <w:lang w:val="en-US"/>
        </w:rPr>
        <w:t xml:space="preserve"> </w:t>
      </w:r>
      <w:r w:rsidRPr="006C229B">
        <w:rPr>
          <w:iCs/>
          <w:lang w:val="en-US"/>
        </w:rPr>
        <w:t>Credit</w:t>
      </w:r>
      <w:r>
        <w:rPr>
          <w:iCs/>
          <w:lang w:val="en-US"/>
        </w:rPr>
        <w:t xml:space="preserve"> </w:t>
      </w:r>
      <w:r w:rsidRPr="006C229B">
        <w:rPr>
          <w:iCs/>
          <w:lang w:val="en-US"/>
        </w:rPr>
        <w:t>Monitor</w:t>
      </w:r>
      <w:r>
        <w:rPr>
          <w:iCs/>
          <w:lang w:val="en-US"/>
        </w:rPr>
        <w:t xml:space="preserve"> </w:t>
      </w:r>
      <w:r w:rsidRPr="006C229B">
        <w:rPr>
          <w:iCs/>
          <w:lang w:val="en-US"/>
        </w:rPr>
        <w:t>TM Specifications</w:t>
      </w:r>
      <w:r>
        <w:rPr>
          <w:lang w:val="en-US"/>
        </w:rPr>
        <w:t xml:space="preserve">, 1999 / </w:t>
      </w:r>
      <w:r w:rsidRPr="00365848">
        <w:rPr>
          <w:rStyle w:val="nlmsubtitle"/>
          <w:lang w:val="en-US"/>
        </w:rPr>
        <w:t>[</w:t>
      </w:r>
      <w:r>
        <w:rPr>
          <w:rStyle w:val="nlmsubtitle"/>
        </w:rPr>
        <w:t>Электронный</w:t>
      </w:r>
      <w:r w:rsidRPr="00365848">
        <w:rPr>
          <w:rStyle w:val="nlmsubtitle"/>
          <w:lang w:val="en-US"/>
        </w:rPr>
        <w:t xml:space="preserve"> </w:t>
      </w:r>
      <w:r>
        <w:rPr>
          <w:rStyle w:val="nlmsubtitle"/>
        </w:rPr>
        <w:t>ресурс</w:t>
      </w:r>
      <w:r w:rsidRPr="00365848">
        <w:rPr>
          <w:rStyle w:val="nlmsubtitle"/>
          <w:lang w:val="en-US"/>
        </w:rPr>
        <w:t xml:space="preserve">] – </w:t>
      </w:r>
      <w:r w:rsidRPr="00DC365A">
        <w:rPr>
          <w:rStyle w:val="nlmsubtitle"/>
        </w:rPr>
        <w:t>Режим</w:t>
      </w:r>
      <w:r w:rsidRPr="00365848">
        <w:rPr>
          <w:rStyle w:val="nlmsubtitle"/>
          <w:lang w:val="en-US"/>
        </w:rPr>
        <w:t xml:space="preserve"> </w:t>
      </w:r>
      <w:r w:rsidRPr="00DC365A">
        <w:rPr>
          <w:rStyle w:val="nlmsubtitle"/>
        </w:rPr>
        <w:t>доступа</w:t>
      </w:r>
      <w:r w:rsidRPr="00365848">
        <w:rPr>
          <w:rStyle w:val="nlmsubtitle"/>
          <w:lang w:val="en-US"/>
        </w:rPr>
        <w:t xml:space="preserve">: </w:t>
      </w:r>
      <w:r w:rsidRPr="006C229B">
        <w:rPr>
          <w:lang w:val="en-US"/>
        </w:rPr>
        <w:t xml:space="preserve">http://www.kmv.com/ </w:t>
      </w:r>
    </w:p>
  </w:footnote>
  <w:footnote w:id="34">
    <w:p w14:paraId="52C2C397" w14:textId="77777777" w:rsidR="00E357DC" w:rsidRPr="000F7160" w:rsidRDefault="00E357DC" w:rsidP="00FA1168">
      <w:pPr>
        <w:pStyle w:val="aff5"/>
        <w:rPr>
          <w:lang w:val="en-US"/>
        </w:rPr>
      </w:pPr>
      <w:r>
        <w:rPr>
          <w:rStyle w:val="a9"/>
        </w:rPr>
        <w:footnoteRef/>
      </w:r>
      <w:r w:rsidRPr="000F7160">
        <w:rPr>
          <w:lang w:val="en-US"/>
        </w:rPr>
        <w:t xml:space="preserve"> International Convergence of Capital Measurement and Capital Standards, Comprehensive Version</w:t>
      </w:r>
      <w:r>
        <w:rPr>
          <w:lang w:val="en-US"/>
        </w:rPr>
        <w:t>.</w:t>
      </w:r>
      <w:r w:rsidRPr="000F7160">
        <w:rPr>
          <w:lang w:val="en-US"/>
        </w:rPr>
        <w:t xml:space="preserve"> Basel C</w:t>
      </w:r>
      <w:r>
        <w:rPr>
          <w:lang w:val="en-US"/>
        </w:rPr>
        <w:t xml:space="preserve">ommittee on Banking Supervision / </w:t>
      </w:r>
      <w:r w:rsidRPr="00365848">
        <w:rPr>
          <w:rStyle w:val="nlmsubtitle"/>
          <w:lang w:val="en-US"/>
        </w:rPr>
        <w:t>[</w:t>
      </w:r>
      <w:r>
        <w:rPr>
          <w:rStyle w:val="nlmsubtitle"/>
        </w:rPr>
        <w:t>Электронный</w:t>
      </w:r>
      <w:r w:rsidRPr="00365848">
        <w:rPr>
          <w:rStyle w:val="nlmsubtitle"/>
          <w:lang w:val="en-US"/>
        </w:rPr>
        <w:t xml:space="preserve"> </w:t>
      </w:r>
      <w:r>
        <w:rPr>
          <w:rStyle w:val="nlmsubtitle"/>
        </w:rPr>
        <w:t>ресурс</w:t>
      </w:r>
      <w:r w:rsidRPr="00365848">
        <w:rPr>
          <w:rStyle w:val="nlmsubtitle"/>
          <w:lang w:val="en-US"/>
        </w:rPr>
        <w:t xml:space="preserve">] – </w:t>
      </w:r>
      <w:r w:rsidRPr="00DC365A">
        <w:rPr>
          <w:rStyle w:val="nlmsubtitle"/>
        </w:rPr>
        <w:t>Режим</w:t>
      </w:r>
      <w:r w:rsidRPr="00365848">
        <w:rPr>
          <w:rStyle w:val="nlmsubtitle"/>
          <w:lang w:val="en-US"/>
        </w:rPr>
        <w:t xml:space="preserve"> </w:t>
      </w:r>
      <w:r w:rsidRPr="00DC365A">
        <w:rPr>
          <w:rStyle w:val="nlmsubtitle"/>
        </w:rPr>
        <w:t>доступа</w:t>
      </w:r>
      <w:r w:rsidRPr="00365848">
        <w:rPr>
          <w:rStyle w:val="nlmsubtitle"/>
          <w:lang w:val="en-US"/>
        </w:rPr>
        <w:t>:</w:t>
      </w:r>
      <w:r w:rsidRPr="000F7160">
        <w:rPr>
          <w:lang w:val="en-US"/>
        </w:rPr>
        <w:t xml:space="preserve"> http:/</w:t>
      </w:r>
      <w:r>
        <w:rPr>
          <w:lang w:val="en-US"/>
        </w:rPr>
        <w:t>/www.bis.org/publ/bcbsc111.htm</w:t>
      </w:r>
    </w:p>
  </w:footnote>
  <w:footnote w:id="35">
    <w:p w14:paraId="14D66388" w14:textId="77777777" w:rsidR="00E357DC" w:rsidRPr="00C51FC1" w:rsidRDefault="00E357DC" w:rsidP="00FA1168">
      <w:pPr>
        <w:pStyle w:val="aff5"/>
        <w:rPr>
          <w:lang w:val="en-US"/>
        </w:rPr>
      </w:pPr>
      <w:r>
        <w:rPr>
          <w:rStyle w:val="a9"/>
        </w:rPr>
        <w:footnoteRef/>
      </w:r>
      <w:r>
        <w:rPr>
          <w:lang w:val="en-US"/>
        </w:rPr>
        <w:t xml:space="preserve"> </w:t>
      </w:r>
      <w:r w:rsidRPr="00C51FC1">
        <w:rPr>
          <w:lang w:val="en-US"/>
        </w:rPr>
        <w:t xml:space="preserve">Wilson T., 1997. </w:t>
      </w:r>
      <w:r w:rsidRPr="003F35AA">
        <w:rPr>
          <w:lang w:val="en-US"/>
        </w:rPr>
        <w:t xml:space="preserve">Portfolio Credit Risk: part II. </w:t>
      </w:r>
      <w:r w:rsidRPr="00C51FC1">
        <w:rPr>
          <w:lang w:val="en-US"/>
        </w:rPr>
        <w:t xml:space="preserve">Risk Magazine, October, pp. 56–61. </w:t>
      </w:r>
    </w:p>
  </w:footnote>
  <w:footnote w:id="36">
    <w:p w14:paraId="7FB50C8E" w14:textId="77777777" w:rsidR="00E357DC" w:rsidRPr="00776DCC" w:rsidRDefault="00E357DC" w:rsidP="00FA1168">
      <w:pPr>
        <w:pStyle w:val="aff5"/>
        <w:rPr>
          <w:lang w:val="en-US"/>
        </w:rPr>
      </w:pPr>
      <w:r>
        <w:rPr>
          <w:rStyle w:val="a9"/>
        </w:rPr>
        <w:footnoteRef/>
      </w:r>
      <w:r>
        <w:rPr>
          <w:lang w:val="en-US"/>
        </w:rPr>
        <w:t xml:space="preserve"> Chan-Lau J.A., 2006. </w:t>
      </w:r>
      <w:r w:rsidRPr="00776DCC">
        <w:rPr>
          <w:lang w:val="en-US"/>
        </w:rPr>
        <w:t xml:space="preserve">Fundamentals-based estimation of </w:t>
      </w:r>
      <w:r>
        <w:rPr>
          <w:lang w:val="en-US"/>
        </w:rPr>
        <w:t>default probabilities: a survey</w:t>
      </w:r>
      <w:r w:rsidRPr="00776DCC">
        <w:rPr>
          <w:lang w:val="en-US"/>
        </w:rPr>
        <w:t xml:space="preserve"> </w:t>
      </w:r>
      <w:r>
        <w:rPr>
          <w:lang w:val="en-US"/>
        </w:rPr>
        <w:t xml:space="preserve">/ </w:t>
      </w:r>
      <w:r w:rsidRPr="00365848">
        <w:rPr>
          <w:rStyle w:val="nlmsubtitle"/>
          <w:lang w:val="en-US"/>
        </w:rPr>
        <w:t>[</w:t>
      </w:r>
      <w:r>
        <w:rPr>
          <w:rStyle w:val="nlmsubtitle"/>
        </w:rPr>
        <w:t>Электронный</w:t>
      </w:r>
      <w:r w:rsidRPr="00365848">
        <w:rPr>
          <w:rStyle w:val="nlmsubtitle"/>
          <w:lang w:val="en-US"/>
        </w:rPr>
        <w:t xml:space="preserve"> </w:t>
      </w:r>
      <w:r>
        <w:rPr>
          <w:rStyle w:val="nlmsubtitle"/>
        </w:rPr>
        <w:t>ресурс</w:t>
      </w:r>
      <w:r w:rsidRPr="00365848">
        <w:rPr>
          <w:rStyle w:val="nlmsubtitle"/>
          <w:lang w:val="en-US"/>
        </w:rPr>
        <w:t xml:space="preserve">] – </w:t>
      </w:r>
      <w:r w:rsidRPr="00DC365A">
        <w:rPr>
          <w:rStyle w:val="nlmsubtitle"/>
        </w:rPr>
        <w:t>Режим</w:t>
      </w:r>
      <w:r w:rsidRPr="00365848">
        <w:rPr>
          <w:rStyle w:val="nlmsubtitle"/>
          <w:lang w:val="en-US"/>
        </w:rPr>
        <w:t xml:space="preserve"> </w:t>
      </w:r>
      <w:r w:rsidRPr="00DC365A">
        <w:rPr>
          <w:rStyle w:val="nlmsubtitle"/>
        </w:rPr>
        <w:t>доступа</w:t>
      </w:r>
      <w:r w:rsidRPr="00365848">
        <w:rPr>
          <w:rStyle w:val="nlmsubtitle"/>
          <w:lang w:val="en-US"/>
        </w:rPr>
        <w:t>:</w:t>
      </w:r>
      <w:r w:rsidRPr="00776DCC">
        <w:rPr>
          <w:lang w:val="en-US"/>
        </w:rPr>
        <w:t xml:space="preserve"> http://ideas.repec</w:t>
      </w:r>
      <w:r>
        <w:rPr>
          <w:lang w:val="en-US"/>
        </w:rPr>
        <w:t>.org</w:t>
      </w:r>
      <w:r w:rsidRPr="00776DCC">
        <w:rPr>
          <w:lang w:val="en-US"/>
        </w:rPr>
        <w:t xml:space="preserve"> </w:t>
      </w:r>
    </w:p>
    <w:p w14:paraId="5FAF8D9C" w14:textId="77777777" w:rsidR="00E357DC" w:rsidRPr="00776DCC" w:rsidRDefault="00E357DC" w:rsidP="00FA1168">
      <w:pPr>
        <w:pStyle w:val="a7"/>
        <w:rPr>
          <w:lang w:val="en-US"/>
        </w:rPr>
      </w:pPr>
    </w:p>
  </w:footnote>
  <w:footnote w:id="37">
    <w:p w14:paraId="6CD87468" w14:textId="77777777" w:rsidR="00E357DC" w:rsidRPr="00056F53" w:rsidRDefault="00E357DC" w:rsidP="00FA1168">
      <w:pPr>
        <w:pStyle w:val="aff5"/>
        <w:rPr>
          <w:lang w:val="en-US"/>
        </w:rPr>
      </w:pPr>
      <w:r>
        <w:rPr>
          <w:rStyle w:val="a9"/>
        </w:rPr>
        <w:footnoteRef/>
      </w:r>
      <w:r>
        <w:rPr>
          <w:lang w:val="en-US"/>
        </w:rPr>
        <w:t xml:space="preserve"> </w:t>
      </w:r>
      <w:r w:rsidRPr="00C51FC1">
        <w:rPr>
          <w:lang w:val="en-US"/>
        </w:rPr>
        <w:t>Tamari M., 1966. Financial ratios as a means of forecasting bankruptcy. Management International Review, No. 4, pp. 15–21.</w:t>
      </w:r>
      <w:r w:rsidRPr="00056F53">
        <w:rPr>
          <w:lang w:val="en-US"/>
        </w:rPr>
        <w:t xml:space="preserve"> </w:t>
      </w:r>
    </w:p>
  </w:footnote>
  <w:footnote w:id="38">
    <w:p w14:paraId="46F6B8B6" w14:textId="77777777" w:rsidR="00E357DC" w:rsidRPr="00F16799" w:rsidRDefault="00E357DC" w:rsidP="00FA1168">
      <w:pPr>
        <w:pStyle w:val="aff5"/>
        <w:rPr>
          <w:lang w:val="en-US"/>
        </w:rPr>
      </w:pPr>
      <w:r>
        <w:rPr>
          <w:rStyle w:val="a9"/>
        </w:rPr>
        <w:footnoteRef/>
      </w:r>
      <w:r w:rsidRPr="006E021F">
        <w:rPr>
          <w:lang w:val="en-US"/>
        </w:rPr>
        <w:t xml:space="preserve"> </w:t>
      </w:r>
      <w:r>
        <w:rPr>
          <w:lang w:val="en-US"/>
        </w:rPr>
        <w:t xml:space="preserve">Gurný P., </w:t>
      </w:r>
      <w:r w:rsidRPr="006E021F">
        <w:rPr>
          <w:lang w:val="en-US"/>
        </w:rPr>
        <w:t>Gurný</w:t>
      </w:r>
      <w:r>
        <w:rPr>
          <w:lang w:val="en-US"/>
        </w:rPr>
        <w:t xml:space="preserve"> M., 2013. Comparison of Credit Scoring Models on Probability of Default Estimation f</w:t>
      </w:r>
      <w:r w:rsidRPr="006E021F">
        <w:rPr>
          <w:lang w:val="en-US"/>
        </w:rPr>
        <w:t>or U</w:t>
      </w:r>
      <w:r>
        <w:rPr>
          <w:lang w:val="en-US"/>
        </w:rPr>
        <w:t xml:space="preserve">S </w:t>
      </w:r>
      <w:r w:rsidRPr="006E021F">
        <w:rPr>
          <w:lang w:val="en-US"/>
        </w:rPr>
        <w:t xml:space="preserve">Banks. </w:t>
      </w:r>
      <w:r w:rsidRPr="00314AF8">
        <w:rPr>
          <w:lang w:val="en-US"/>
        </w:rPr>
        <w:t>Prague Economic Papers</w:t>
      </w:r>
      <w:r>
        <w:rPr>
          <w:lang w:val="en-US"/>
        </w:rPr>
        <w:t xml:space="preserve">, 2, </w:t>
      </w:r>
      <w:r w:rsidRPr="00C51FC1">
        <w:rPr>
          <w:lang w:val="en-US"/>
        </w:rPr>
        <w:t>pp. 163–175.</w:t>
      </w:r>
    </w:p>
  </w:footnote>
  <w:footnote w:id="39">
    <w:p w14:paraId="0218EC92" w14:textId="77777777" w:rsidR="00E357DC" w:rsidRPr="00314AF8" w:rsidRDefault="00E357DC" w:rsidP="00FA1168">
      <w:pPr>
        <w:pStyle w:val="aff5"/>
        <w:rPr>
          <w:lang w:val="en-US"/>
        </w:rPr>
      </w:pPr>
      <w:r>
        <w:rPr>
          <w:rStyle w:val="a9"/>
        </w:rPr>
        <w:footnoteRef/>
      </w:r>
      <w:r w:rsidRPr="006E021F">
        <w:rPr>
          <w:lang w:val="en-US"/>
        </w:rPr>
        <w:t xml:space="preserve"> </w:t>
      </w:r>
      <w:r w:rsidRPr="00314AF8">
        <w:rPr>
          <w:lang w:val="en-US"/>
        </w:rPr>
        <w:t xml:space="preserve">Altman E.I., 1968. Financial ratios. Discriminant analysis, and the prediction of corporate bankruptcy. Journal of Finance, September No. 4. </w:t>
      </w:r>
      <w:r>
        <w:rPr>
          <w:lang w:val="en-US"/>
        </w:rPr>
        <w:t>p</w:t>
      </w:r>
      <w:r w:rsidRPr="00314AF8">
        <w:rPr>
          <w:lang w:val="en-US"/>
        </w:rPr>
        <w:t>p</w:t>
      </w:r>
      <w:r>
        <w:rPr>
          <w:lang w:val="en-US"/>
        </w:rPr>
        <w:t>.</w:t>
      </w:r>
      <w:r w:rsidRPr="00314AF8">
        <w:rPr>
          <w:lang w:val="en-US"/>
        </w:rPr>
        <w:t xml:space="preserve"> </w:t>
      </w:r>
      <w:r>
        <w:rPr>
          <w:lang w:val="en-US"/>
        </w:rPr>
        <w:t>589–609.</w:t>
      </w:r>
    </w:p>
    <w:p w14:paraId="11385756" w14:textId="77777777" w:rsidR="00E357DC" w:rsidRPr="006E021F" w:rsidRDefault="00E357DC" w:rsidP="00FA1168">
      <w:pPr>
        <w:pStyle w:val="a7"/>
        <w:rPr>
          <w:lang w:val="en-US"/>
        </w:rPr>
      </w:pPr>
    </w:p>
  </w:footnote>
  <w:footnote w:id="40">
    <w:p w14:paraId="397B3DDC" w14:textId="77777777" w:rsidR="00E357DC" w:rsidRPr="000300E5" w:rsidRDefault="00E357DC" w:rsidP="00FA1168">
      <w:pPr>
        <w:pStyle w:val="aff5"/>
        <w:rPr>
          <w:lang w:val="en-US"/>
        </w:rPr>
      </w:pPr>
      <w:r>
        <w:rPr>
          <w:rStyle w:val="a9"/>
        </w:rPr>
        <w:footnoteRef/>
      </w:r>
      <w:r w:rsidRPr="00EE2DCF">
        <w:rPr>
          <w:lang w:val="en-US"/>
        </w:rPr>
        <w:t xml:space="preserve"> </w:t>
      </w:r>
      <w:r>
        <w:rPr>
          <w:lang w:val="en-US"/>
        </w:rPr>
        <w:t>Chesser D., 1974. Predicting loan noncompliance</w:t>
      </w:r>
      <w:r w:rsidRPr="00EE2DCF">
        <w:rPr>
          <w:lang w:val="en-US"/>
        </w:rPr>
        <w:t xml:space="preserve">. </w:t>
      </w:r>
      <w:r w:rsidRPr="00C51FC1">
        <w:rPr>
          <w:lang w:val="en-US"/>
        </w:rPr>
        <w:t>The Journal of Commercial Bank Lending, August</w:t>
      </w:r>
      <w:r w:rsidRPr="00EE2DCF">
        <w:rPr>
          <w:lang w:val="en-US"/>
        </w:rPr>
        <w:t xml:space="preserve">, pp. 28–38. </w:t>
      </w:r>
    </w:p>
  </w:footnote>
  <w:footnote w:id="41">
    <w:p w14:paraId="4800F391" w14:textId="77777777" w:rsidR="00E357DC" w:rsidRPr="00CE03BB" w:rsidRDefault="00E357DC" w:rsidP="00FA1168">
      <w:pPr>
        <w:pStyle w:val="aff5"/>
      </w:pPr>
      <w:r>
        <w:rPr>
          <w:rStyle w:val="a9"/>
        </w:rPr>
        <w:footnoteRef/>
      </w:r>
      <w:r w:rsidRPr="00CE03BB">
        <w:t xml:space="preserve"> </w:t>
      </w:r>
      <w:r w:rsidRPr="0018591E">
        <w:t>Карминскии</w:t>
      </w:r>
      <w:r w:rsidRPr="00CE03BB">
        <w:t xml:space="preserve">̆ </w:t>
      </w:r>
      <w:r w:rsidRPr="0018591E">
        <w:t>А</w:t>
      </w:r>
      <w:r w:rsidRPr="00CE03BB">
        <w:t>.</w:t>
      </w:r>
      <w:r w:rsidRPr="0018591E">
        <w:t>М</w:t>
      </w:r>
      <w:r w:rsidRPr="00CE03BB">
        <w:t xml:space="preserve">., </w:t>
      </w:r>
      <w:r w:rsidRPr="0018591E">
        <w:t>Пересецкий А.А., Петров А.Е. Рейтинги в экономике: методология и практика: Монография / Под ред. А</w:t>
      </w:r>
      <w:r w:rsidRPr="00CE03BB">
        <w:t>.</w:t>
      </w:r>
      <w:r w:rsidRPr="0018591E">
        <w:t>М</w:t>
      </w:r>
      <w:r w:rsidRPr="00CE03BB">
        <w:t xml:space="preserve">. </w:t>
      </w:r>
      <w:r w:rsidRPr="0018591E">
        <w:t>Карминского</w:t>
      </w:r>
      <w:r w:rsidRPr="00CE03BB">
        <w:t xml:space="preserve">. — </w:t>
      </w:r>
      <w:r w:rsidRPr="0018591E">
        <w:t>М</w:t>
      </w:r>
      <w:r w:rsidRPr="00CE03BB">
        <w:t xml:space="preserve">.: </w:t>
      </w:r>
      <w:r w:rsidRPr="0018591E">
        <w:t>Финансы</w:t>
      </w:r>
      <w:r w:rsidRPr="00CE03BB">
        <w:t xml:space="preserve"> </w:t>
      </w:r>
      <w:r w:rsidRPr="0018591E">
        <w:t>и</w:t>
      </w:r>
      <w:r w:rsidRPr="00CE03BB">
        <w:t xml:space="preserve"> </w:t>
      </w:r>
      <w:r w:rsidRPr="0018591E">
        <w:t>статистика</w:t>
      </w:r>
      <w:r w:rsidRPr="00CE03BB">
        <w:t xml:space="preserve">, 2005. </w:t>
      </w:r>
    </w:p>
  </w:footnote>
  <w:footnote w:id="42">
    <w:p w14:paraId="678CE8ED" w14:textId="77777777" w:rsidR="00E357DC" w:rsidRPr="00F20E94" w:rsidRDefault="00E357DC" w:rsidP="00FA1168">
      <w:pPr>
        <w:pStyle w:val="aff5"/>
        <w:rPr>
          <w:lang w:val="en-US"/>
        </w:rPr>
      </w:pPr>
      <w:r>
        <w:rPr>
          <w:rStyle w:val="a9"/>
        </w:rPr>
        <w:footnoteRef/>
      </w:r>
      <w:r w:rsidRPr="00CE03BB">
        <w:t xml:space="preserve"> </w:t>
      </w:r>
      <w:r>
        <w:rPr>
          <w:lang w:val="en-US"/>
        </w:rPr>
        <w:t>Ohlson</w:t>
      </w:r>
      <w:r w:rsidRPr="00CE03BB">
        <w:t xml:space="preserve"> </w:t>
      </w:r>
      <w:r>
        <w:rPr>
          <w:lang w:val="en-US"/>
        </w:rPr>
        <w:t>J</w:t>
      </w:r>
      <w:r w:rsidRPr="00CE03BB">
        <w:t>.</w:t>
      </w:r>
      <w:r>
        <w:rPr>
          <w:lang w:val="en-US"/>
        </w:rPr>
        <w:t>A</w:t>
      </w:r>
      <w:r w:rsidRPr="00CE03BB">
        <w:t xml:space="preserve">., 1980. </w:t>
      </w:r>
      <w:r w:rsidRPr="00F20E94">
        <w:rPr>
          <w:lang w:val="en-US"/>
        </w:rPr>
        <w:t>Financial ratios and the probabi</w:t>
      </w:r>
      <w:r>
        <w:rPr>
          <w:lang w:val="en-US"/>
        </w:rPr>
        <w:t>listic prediction of bankruptcy</w:t>
      </w:r>
      <w:r w:rsidRPr="00F20E94">
        <w:rPr>
          <w:lang w:val="en-US"/>
        </w:rPr>
        <w:t xml:space="preserve">. </w:t>
      </w:r>
      <w:r w:rsidRPr="00CE03BB">
        <w:rPr>
          <w:lang w:val="en-US"/>
        </w:rPr>
        <w:t>Journal of Accounting</w:t>
      </w:r>
      <w:r w:rsidRPr="00F20E94">
        <w:rPr>
          <w:i/>
          <w:iCs/>
          <w:lang w:val="en-US"/>
        </w:rPr>
        <w:t xml:space="preserve"> </w:t>
      </w:r>
      <w:r w:rsidRPr="00CE03BB">
        <w:rPr>
          <w:lang w:val="en-US"/>
        </w:rPr>
        <w:t>Research, Vol.</w:t>
      </w:r>
      <w:r w:rsidRPr="00F20E94">
        <w:rPr>
          <w:lang w:val="en-US"/>
        </w:rPr>
        <w:t xml:space="preserve"> 18, No. 1, pp. 109–131. </w:t>
      </w:r>
    </w:p>
  </w:footnote>
  <w:footnote w:id="43">
    <w:p w14:paraId="0BC2F1BA" w14:textId="77777777" w:rsidR="00E357DC" w:rsidRPr="00BA099F" w:rsidRDefault="00E357DC" w:rsidP="00FA1168">
      <w:pPr>
        <w:pStyle w:val="aff5"/>
        <w:rPr>
          <w:lang w:val="en-US"/>
        </w:rPr>
      </w:pPr>
      <w:r>
        <w:rPr>
          <w:rStyle w:val="a9"/>
        </w:rPr>
        <w:footnoteRef/>
      </w:r>
      <w:r w:rsidRPr="008120C4">
        <w:rPr>
          <w:lang w:val="en-US"/>
        </w:rPr>
        <w:t xml:space="preserve"> Bank for International Settlements, Credit Risk Modeling: Current Practices and Applications. — www.bis.org/publ/bcbs49.htm. </w:t>
      </w:r>
    </w:p>
  </w:footnote>
  <w:footnote w:id="44">
    <w:p w14:paraId="50C02F41" w14:textId="77777777" w:rsidR="00E357DC" w:rsidRDefault="00E357DC" w:rsidP="00FA1168">
      <w:pPr>
        <w:pStyle w:val="aff5"/>
      </w:pPr>
      <w:r>
        <w:rPr>
          <w:rStyle w:val="a9"/>
        </w:rPr>
        <w:footnoteRef/>
      </w:r>
      <w:r>
        <w:rPr>
          <w:lang w:val="en-US"/>
        </w:rPr>
        <w:t xml:space="preserve"> Bigus J.P., 1996</w:t>
      </w:r>
      <w:r w:rsidRPr="008120C4">
        <w:rPr>
          <w:lang w:val="en-US"/>
        </w:rPr>
        <w:t xml:space="preserve">. Data mining With Neural Networks: Solving Business Problems from Application Development to Decision Support. </w:t>
      </w:r>
      <w:r w:rsidRPr="008120C4">
        <w:t xml:space="preserve">McGraw-Hill, Inc., Hightstown, NJ. </w:t>
      </w:r>
    </w:p>
  </w:footnote>
  <w:footnote w:id="45">
    <w:p w14:paraId="77E1C3C6" w14:textId="77777777" w:rsidR="00E357DC" w:rsidRDefault="00E357DC" w:rsidP="00FA1168">
      <w:pPr>
        <w:pStyle w:val="aff5"/>
      </w:pPr>
      <w:r>
        <w:rPr>
          <w:rStyle w:val="a9"/>
        </w:rPr>
        <w:footnoteRef/>
      </w:r>
      <w:r>
        <w:t xml:space="preserve"> Гальперин, Ф. Практика применения VaR-методологии для оценки и управления кредитным риском в «Альфа-Банке» / Ф.</w:t>
      </w:r>
      <w:r w:rsidRPr="00E30B92">
        <w:t xml:space="preserve"> </w:t>
      </w:r>
      <w:r>
        <w:t>Гальперин, А. А. Бобышев, Я. В. Мищенко // Управление финансовыми рисками. — 2005. — No 2. — С. 2–10.</w:t>
      </w:r>
    </w:p>
  </w:footnote>
  <w:footnote w:id="46">
    <w:p w14:paraId="2B208A1A" w14:textId="77777777" w:rsidR="00E357DC" w:rsidRPr="00C51FC1" w:rsidRDefault="00E357DC" w:rsidP="00FA1168">
      <w:pPr>
        <w:pStyle w:val="aff5"/>
        <w:rPr>
          <w:szCs w:val="20"/>
          <w:lang w:val="en-US"/>
        </w:rPr>
      </w:pPr>
      <w:r>
        <w:rPr>
          <w:rStyle w:val="a9"/>
        </w:rPr>
        <w:footnoteRef/>
      </w:r>
      <w:r>
        <w:t xml:space="preserve"> </w:t>
      </w:r>
      <w:r w:rsidRPr="000C248E">
        <w:rPr>
          <w:szCs w:val="20"/>
        </w:rPr>
        <w:t>Бородин А. И., Стрельцова Е. Оценивание инвестиционной привлекательности инновационных проектов на основе нечеткой логики</w:t>
      </w:r>
      <w:r>
        <w:rPr>
          <w:szCs w:val="20"/>
        </w:rPr>
        <w:t xml:space="preserve"> // </w:t>
      </w:r>
      <w:r w:rsidRPr="000C248E">
        <w:rPr>
          <w:szCs w:val="20"/>
        </w:rPr>
        <w:t xml:space="preserve">Прикладная информатика. </w:t>
      </w:r>
      <w:r w:rsidRPr="00AA64C1">
        <w:rPr>
          <w:szCs w:val="20"/>
          <w:lang w:val="en-US"/>
        </w:rPr>
        <w:t xml:space="preserve">2013. № 4(46). </w:t>
      </w:r>
      <w:r w:rsidRPr="000C248E">
        <w:rPr>
          <w:szCs w:val="20"/>
        </w:rPr>
        <w:t>С</w:t>
      </w:r>
      <w:r w:rsidRPr="00C51FC1">
        <w:rPr>
          <w:szCs w:val="20"/>
          <w:lang w:val="en-US"/>
        </w:rPr>
        <w:t>. 19-28.</w:t>
      </w:r>
    </w:p>
  </w:footnote>
  <w:footnote w:id="47">
    <w:p w14:paraId="1A5ED500" w14:textId="77777777" w:rsidR="00E357DC" w:rsidRPr="00986C74" w:rsidRDefault="00E357DC" w:rsidP="00FA1168">
      <w:pPr>
        <w:pStyle w:val="aff5"/>
        <w:rPr>
          <w:lang w:val="en-US"/>
        </w:rPr>
      </w:pPr>
      <w:r>
        <w:rPr>
          <w:rStyle w:val="a9"/>
        </w:rPr>
        <w:footnoteRef/>
      </w:r>
      <w:r w:rsidRPr="00986C74">
        <w:rPr>
          <w:lang w:val="en-US"/>
        </w:rPr>
        <w:t xml:space="preserve"> Altman E.I.</w:t>
      </w:r>
      <w:r>
        <w:rPr>
          <w:lang w:val="en-US"/>
        </w:rPr>
        <w:t xml:space="preserve">, Marco G., Varetto F., 1994. </w:t>
      </w:r>
      <w:r w:rsidRPr="00986C74">
        <w:rPr>
          <w:lang w:val="en-US"/>
        </w:rPr>
        <w:t xml:space="preserve">Corporate distress </w:t>
      </w:r>
      <w:r w:rsidRPr="00C51FC1">
        <w:rPr>
          <w:lang w:val="en-US"/>
        </w:rPr>
        <w:t>diagnosis: comparisons using linear discriminant analysis and neural networks (the Italian experience). Journal of Banking and Finance, Vol. 18, No. 3</w:t>
      </w:r>
    </w:p>
  </w:footnote>
  <w:footnote w:id="48">
    <w:p w14:paraId="120AA038" w14:textId="77777777" w:rsidR="00E357DC" w:rsidRPr="00B61FF8" w:rsidRDefault="00E357DC" w:rsidP="00FA1168">
      <w:pPr>
        <w:pStyle w:val="aff5"/>
        <w:rPr>
          <w:rFonts w:eastAsiaTheme="minorHAnsi"/>
          <w:lang w:val="en-US" w:eastAsia="en-US"/>
        </w:rPr>
      </w:pPr>
      <w:r>
        <w:rPr>
          <w:rStyle w:val="a9"/>
        </w:rPr>
        <w:footnoteRef/>
      </w:r>
      <w:r w:rsidRPr="008C6BBA">
        <w:rPr>
          <w:lang w:val="en-US"/>
        </w:rPr>
        <w:t xml:space="preserve"> </w:t>
      </w:r>
      <w:r w:rsidRPr="008C6BBA">
        <w:rPr>
          <w:rFonts w:ascii="Times" w:eastAsiaTheme="minorHAnsi" w:hAnsi="Times" w:cs="Times"/>
          <w:lang w:val="en-US" w:eastAsia="en-US"/>
        </w:rPr>
        <w:t>S</w:t>
      </w:r>
      <w:r>
        <w:rPr>
          <w:rFonts w:ascii="Times" w:eastAsiaTheme="minorHAnsi" w:hAnsi="Times" w:cs="Times"/>
          <w:lang w:val="en-US" w:eastAsia="en-US"/>
        </w:rPr>
        <w:t>anesh, C</w:t>
      </w:r>
      <w:r w:rsidRPr="008C6BBA">
        <w:rPr>
          <w:rFonts w:ascii="Times" w:eastAsiaTheme="minorHAnsi" w:hAnsi="Times" w:cs="Times"/>
          <w:lang w:val="en-US" w:eastAsia="en-US"/>
        </w:rPr>
        <w:t>.</w:t>
      </w:r>
      <w:r>
        <w:rPr>
          <w:rFonts w:ascii="Times" w:eastAsiaTheme="minorHAnsi" w:hAnsi="Times" w:cs="Times"/>
          <w:lang w:val="en-US" w:eastAsia="en-US"/>
        </w:rPr>
        <w:t xml:space="preserve">, </w:t>
      </w:r>
      <w:r>
        <w:rPr>
          <w:rFonts w:eastAsiaTheme="minorHAnsi"/>
          <w:lang w:val="en-US" w:eastAsia="en-US"/>
        </w:rPr>
        <w:t>2016</w:t>
      </w:r>
      <w:r w:rsidRPr="008C6BBA">
        <w:rPr>
          <w:rFonts w:eastAsiaTheme="minorHAnsi"/>
          <w:lang w:val="en-US" w:eastAsia="en-US"/>
        </w:rPr>
        <w:t xml:space="preserve">. The analytical study of Altman Z score on NIFTY 50 Companies. </w:t>
      </w:r>
      <w:r w:rsidRPr="008C6BBA">
        <w:rPr>
          <w:rFonts w:ascii="Times" w:eastAsiaTheme="minorHAnsi" w:hAnsi="Times" w:cs="Times"/>
          <w:lang w:val="en-US" w:eastAsia="en-US"/>
        </w:rPr>
        <w:t>IRA- International Journal of Management &amp; Social Sciences</w:t>
      </w:r>
      <w:r w:rsidRPr="008C6BBA">
        <w:rPr>
          <w:rFonts w:eastAsiaTheme="minorHAnsi"/>
          <w:lang w:val="en-US" w:eastAsia="en-US"/>
        </w:rPr>
        <w:t xml:space="preserve">, </w:t>
      </w:r>
      <w:r>
        <w:rPr>
          <w:rFonts w:eastAsiaTheme="minorHAnsi"/>
          <w:lang w:val="en-US" w:eastAsia="en-US"/>
        </w:rPr>
        <w:t xml:space="preserve">Vol. </w:t>
      </w:r>
      <w:r w:rsidRPr="008C6BBA">
        <w:rPr>
          <w:rFonts w:eastAsiaTheme="minorHAnsi"/>
          <w:lang w:val="en-US" w:eastAsia="en-US"/>
        </w:rPr>
        <w:t>3</w:t>
      </w:r>
      <w:r>
        <w:rPr>
          <w:rFonts w:eastAsiaTheme="minorHAnsi"/>
          <w:lang w:val="en-US" w:eastAsia="en-US"/>
        </w:rPr>
        <w:t xml:space="preserve"> No 3</w:t>
      </w:r>
      <w:r w:rsidRPr="008C6BBA">
        <w:rPr>
          <w:rFonts w:eastAsiaTheme="minorHAnsi"/>
          <w:lang w:val="en-US" w:eastAsia="en-US"/>
        </w:rPr>
        <w:t>.</w:t>
      </w:r>
      <w:r>
        <w:rPr>
          <w:rFonts w:eastAsiaTheme="minorHAnsi"/>
          <w:lang w:val="en-US" w:eastAsia="en-US"/>
        </w:rPr>
        <w:t>, 2016 –</w:t>
      </w:r>
      <w:r w:rsidRPr="00B61FF8">
        <w:rPr>
          <w:rFonts w:eastAsiaTheme="minorHAnsi"/>
          <w:lang w:val="en-US" w:eastAsia="en-US"/>
        </w:rPr>
        <w:t xml:space="preserve"> [</w:t>
      </w:r>
      <w:r>
        <w:rPr>
          <w:rFonts w:eastAsiaTheme="minorHAnsi"/>
          <w:lang w:eastAsia="en-US"/>
        </w:rPr>
        <w:t>Электронный</w:t>
      </w:r>
      <w:r w:rsidRPr="00B61FF8">
        <w:rPr>
          <w:rFonts w:eastAsiaTheme="minorHAnsi"/>
          <w:lang w:val="en-US" w:eastAsia="en-US"/>
        </w:rPr>
        <w:t xml:space="preserve"> </w:t>
      </w:r>
      <w:r>
        <w:rPr>
          <w:rFonts w:eastAsiaTheme="minorHAnsi"/>
          <w:lang w:eastAsia="en-US"/>
        </w:rPr>
        <w:t>ресурс</w:t>
      </w:r>
      <w:r w:rsidRPr="00B61FF8">
        <w:rPr>
          <w:rFonts w:eastAsiaTheme="minorHAnsi"/>
          <w:lang w:val="en-US" w:eastAsia="en-US"/>
        </w:rPr>
        <w:t xml:space="preserve">] – </w:t>
      </w:r>
      <w:r>
        <w:rPr>
          <w:rFonts w:eastAsiaTheme="minorHAnsi"/>
          <w:lang w:eastAsia="en-US"/>
        </w:rPr>
        <w:t>Режим</w:t>
      </w:r>
      <w:r w:rsidRPr="00B61FF8">
        <w:rPr>
          <w:rFonts w:eastAsiaTheme="minorHAnsi"/>
          <w:lang w:val="en-US" w:eastAsia="en-US"/>
        </w:rPr>
        <w:t xml:space="preserve"> </w:t>
      </w:r>
      <w:r>
        <w:rPr>
          <w:rFonts w:eastAsiaTheme="minorHAnsi"/>
          <w:lang w:eastAsia="en-US"/>
        </w:rPr>
        <w:t>доступа</w:t>
      </w:r>
      <w:r w:rsidRPr="00B61FF8">
        <w:rPr>
          <w:rFonts w:eastAsiaTheme="minorHAnsi"/>
          <w:lang w:val="en-US" w:eastAsia="en-US"/>
        </w:rPr>
        <w:t xml:space="preserve">: </w:t>
      </w:r>
      <w:r w:rsidRPr="00C5577F">
        <w:rPr>
          <w:rFonts w:eastAsiaTheme="minorHAnsi"/>
          <w:lang w:val="en-US" w:eastAsia="en-US"/>
        </w:rPr>
        <w:t>https</w:t>
      </w:r>
      <w:r w:rsidRPr="00B61FF8">
        <w:rPr>
          <w:rFonts w:eastAsiaTheme="minorHAnsi"/>
          <w:lang w:val="en-US" w:eastAsia="en-US"/>
        </w:rPr>
        <w:t>://</w:t>
      </w:r>
      <w:r w:rsidRPr="00C5577F">
        <w:rPr>
          <w:rFonts w:eastAsiaTheme="minorHAnsi"/>
          <w:lang w:val="en-US" w:eastAsia="en-US"/>
        </w:rPr>
        <w:t>research</w:t>
      </w:r>
      <w:r w:rsidRPr="00B61FF8">
        <w:rPr>
          <w:rFonts w:eastAsiaTheme="minorHAnsi"/>
          <w:lang w:val="en-US" w:eastAsia="en-US"/>
        </w:rPr>
        <w:t>-</w:t>
      </w:r>
      <w:r w:rsidRPr="00C5577F">
        <w:rPr>
          <w:rFonts w:eastAsiaTheme="minorHAnsi"/>
          <w:lang w:val="en-US" w:eastAsia="en-US"/>
        </w:rPr>
        <w:t>advances</w:t>
      </w:r>
      <w:r w:rsidRPr="00B61FF8">
        <w:rPr>
          <w:rFonts w:eastAsiaTheme="minorHAnsi"/>
          <w:lang w:val="en-US" w:eastAsia="en-US"/>
        </w:rPr>
        <w:t>.</w:t>
      </w:r>
      <w:r w:rsidRPr="00C5577F">
        <w:rPr>
          <w:rFonts w:eastAsiaTheme="minorHAnsi"/>
          <w:lang w:val="en-US" w:eastAsia="en-US"/>
        </w:rPr>
        <w:t>org</w:t>
      </w:r>
      <w:r w:rsidRPr="00B61FF8">
        <w:rPr>
          <w:rFonts w:eastAsiaTheme="minorHAnsi"/>
          <w:lang w:val="en-US" w:eastAsia="en-US"/>
        </w:rPr>
        <w:t>/</w:t>
      </w:r>
      <w:r w:rsidRPr="00C5577F">
        <w:rPr>
          <w:rFonts w:eastAsiaTheme="minorHAnsi"/>
          <w:lang w:val="en-US" w:eastAsia="en-US"/>
        </w:rPr>
        <w:t>index</w:t>
      </w:r>
      <w:r w:rsidRPr="00B61FF8">
        <w:rPr>
          <w:rFonts w:eastAsiaTheme="minorHAnsi"/>
          <w:lang w:val="en-US" w:eastAsia="en-US"/>
        </w:rPr>
        <w:t>.</w:t>
      </w:r>
      <w:r w:rsidRPr="00C5577F">
        <w:rPr>
          <w:rFonts w:eastAsiaTheme="minorHAnsi"/>
          <w:lang w:val="en-US" w:eastAsia="en-US"/>
        </w:rPr>
        <w:t>php</w:t>
      </w:r>
      <w:r w:rsidRPr="00B61FF8">
        <w:rPr>
          <w:rFonts w:eastAsiaTheme="minorHAnsi"/>
          <w:lang w:val="en-US" w:eastAsia="en-US"/>
        </w:rPr>
        <w:t>/</w:t>
      </w:r>
      <w:r w:rsidRPr="00C5577F">
        <w:rPr>
          <w:rFonts w:eastAsiaTheme="minorHAnsi"/>
          <w:lang w:val="en-US" w:eastAsia="en-US"/>
        </w:rPr>
        <w:t>RAJMSS</w:t>
      </w:r>
      <w:r w:rsidRPr="00B61FF8">
        <w:rPr>
          <w:rFonts w:eastAsiaTheme="minorHAnsi"/>
          <w:lang w:val="en-US" w:eastAsia="en-US"/>
        </w:rPr>
        <w:t>/</w:t>
      </w:r>
      <w:r w:rsidRPr="00C5577F">
        <w:rPr>
          <w:rFonts w:eastAsiaTheme="minorHAnsi"/>
          <w:lang w:val="en-US" w:eastAsia="en-US"/>
        </w:rPr>
        <w:t>article</w:t>
      </w:r>
      <w:r w:rsidRPr="00B61FF8">
        <w:rPr>
          <w:rFonts w:eastAsiaTheme="minorHAnsi"/>
          <w:lang w:val="en-US" w:eastAsia="en-US"/>
        </w:rPr>
        <w:t>/</w:t>
      </w:r>
      <w:r w:rsidRPr="00C5577F">
        <w:rPr>
          <w:rFonts w:eastAsiaTheme="minorHAnsi"/>
          <w:lang w:val="en-US" w:eastAsia="en-US"/>
        </w:rPr>
        <w:t>view</w:t>
      </w:r>
      <w:r w:rsidRPr="00B61FF8">
        <w:rPr>
          <w:rFonts w:eastAsiaTheme="minorHAnsi"/>
          <w:lang w:val="en-US" w:eastAsia="en-US"/>
        </w:rPr>
        <w:t>/195</w:t>
      </w:r>
    </w:p>
  </w:footnote>
  <w:footnote w:id="49">
    <w:p w14:paraId="3CB1465B" w14:textId="77777777" w:rsidR="00E357DC" w:rsidRPr="00727D65" w:rsidRDefault="00E357DC" w:rsidP="00FA1168">
      <w:pPr>
        <w:pStyle w:val="aff5"/>
        <w:rPr>
          <w:lang w:val="en-US"/>
        </w:rPr>
      </w:pPr>
      <w:r>
        <w:rPr>
          <w:rStyle w:val="a9"/>
        </w:rPr>
        <w:footnoteRef/>
      </w:r>
      <w:r w:rsidRPr="00A63397">
        <w:rPr>
          <w:lang w:val="en-US"/>
        </w:rPr>
        <w:t xml:space="preserve"> </w:t>
      </w:r>
      <w:r>
        <w:rPr>
          <w:lang w:val="en-US"/>
        </w:rPr>
        <w:t>Nilanjana Kumari, 2013.</w:t>
      </w:r>
      <w:r w:rsidRPr="00A63397">
        <w:rPr>
          <w:lang w:val="en-US"/>
        </w:rPr>
        <w:t xml:space="preserve"> Ev</w:t>
      </w:r>
      <w:r>
        <w:rPr>
          <w:lang w:val="en-US"/>
        </w:rPr>
        <w:t>aluation of Financial Health o</w:t>
      </w:r>
      <w:r w:rsidRPr="00A63397">
        <w:rPr>
          <w:lang w:val="en-US"/>
        </w:rPr>
        <w:t>f</w:t>
      </w:r>
      <w:r>
        <w:rPr>
          <w:lang w:val="en-US"/>
        </w:rPr>
        <w:t xml:space="preserve"> MMTC of India: A Z Score Model //</w:t>
      </w:r>
      <w:r w:rsidRPr="00A63397">
        <w:rPr>
          <w:lang w:val="en-US"/>
        </w:rPr>
        <w:t xml:space="preserve"> European Journal of Accounting Auditing and Finance Research Vol.1 No. 1, March 2013, pp.36-43 </w:t>
      </w:r>
    </w:p>
  </w:footnote>
  <w:footnote w:id="50">
    <w:p w14:paraId="77E4EBDE" w14:textId="77777777" w:rsidR="00E357DC" w:rsidRPr="00727D65" w:rsidRDefault="00E357DC" w:rsidP="00FA1168">
      <w:pPr>
        <w:pStyle w:val="aff5"/>
      </w:pPr>
      <w:r>
        <w:rPr>
          <w:rStyle w:val="a9"/>
        </w:rPr>
        <w:footnoteRef/>
      </w:r>
      <w:r>
        <w:t xml:space="preserve"> Хасанов</w:t>
      </w:r>
      <w:r w:rsidRPr="00C5577F">
        <w:t xml:space="preserve"> </w:t>
      </w:r>
      <w:r>
        <w:t>Р., Каштанов</w:t>
      </w:r>
      <w:r w:rsidRPr="00C5577F">
        <w:t xml:space="preserve"> </w:t>
      </w:r>
      <w:r>
        <w:t>Н., Маргарян</w:t>
      </w:r>
      <w:r w:rsidRPr="00C5577F">
        <w:t xml:space="preserve"> Л.</w:t>
      </w:r>
      <w:r>
        <w:t xml:space="preserve">, 2013, </w:t>
      </w:r>
      <w:r w:rsidRPr="00727D65">
        <w:t>Модель Оценки Вероятности Банкротства Э. Альтмана: Приме</w:t>
      </w:r>
      <w:r>
        <w:t>нимость в Российской Федерации и использование при рейтинговой оценке к</w:t>
      </w:r>
      <w:r w:rsidRPr="00727D65">
        <w:t>редитоспособности</w:t>
      </w:r>
      <w:r>
        <w:t xml:space="preserve"> // Вестник Финансового Университета </w:t>
      </w:r>
      <w:r w:rsidRPr="00C5577F">
        <w:rPr>
          <w:rFonts w:eastAsiaTheme="minorHAnsi"/>
          <w:lang w:eastAsia="en-US"/>
        </w:rPr>
        <w:t>[</w:t>
      </w:r>
      <w:r>
        <w:rPr>
          <w:rFonts w:eastAsiaTheme="minorHAnsi"/>
          <w:lang w:eastAsia="en-US"/>
        </w:rPr>
        <w:t>Электронный ресурс</w:t>
      </w:r>
      <w:r w:rsidRPr="00C5577F">
        <w:rPr>
          <w:rFonts w:eastAsiaTheme="minorHAnsi"/>
          <w:lang w:eastAsia="en-US"/>
        </w:rPr>
        <w:t>]</w:t>
      </w:r>
      <w:r>
        <w:rPr>
          <w:rFonts w:eastAsiaTheme="minorHAnsi"/>
          <w:lang w:eastAsia="en-US"/>
        </w:rPr>
        <w:t xml:space="preserve"> – Режим доступа:</w:t>
      </w:r>
      <w:r>
        <w:t xml:space="preserve"> </w:t>
      </w:r>
      <w:r w:rsidRPr="001D4F15">
        <w:t>https://cyberleninka.ru/article/v/model-otsenki-veroyatnosti-bankrotstva-e-altmana-primenimost-v-rossiyskoy-federatsii-i-ispolzovanie-pri-reytingovoy-otsenke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C8A7570"/>
    <w:lvl w:ilvl="0">
      <w:start w:val="1"/>
      <w:numFmt w:val="bullet"/>
      <w:lvlText w:val=""/>
      <w:lvlJc w:val="left"/>
      <w:pPr>
        <w:tabs>
          <w:tab w:val="num" w:pos="-786"/>
        </w:tabs>
        <w:ind w:left="-786" w:firstLine="0"/>
      </w:pPr>
      <w:rPr>
        <w:rFonts w:ascii="Symbol" w:hAnsi="Symbol" w:hint="default"/>
      </w:rPr>
    </w:lvl>
    <w:lvl w:ilvl="1">
      <w:start w:val="1"/>
      <w:numFmt w:val="bullet"/>
      <w:lvlText w:val=""/>
      <w:lvlJc w:val="left"/>
      <w:pPr>
        <w:tabs>
          <w:tab w:val="num" w:pos="-66"/>
        </w:tabs>
        <w:ind w:left="294" w:hanging="360"/>
      </w:pPr>
      <w:rPr>
        <w:rFonts w:ascii="Symbol" w:hAnsi="Symbol" w:hint="default"/>
      </w:rPr>
    </w:lvl>
    <w:lvl w:ilvl="2">
      <w:start w:val="1"/>
      <w:numFmt w:val="bullet"/>
      <w:lvlText w:val="o"/>
      <w:lvlJc w:val="left"/>
      <w:pPr>
        <w:tabs>
          <w:tab w:val="num" w:pos="654"/>
        </w:tabs>
        <w:ind w:left="1014" w:hanging="360"/>
      </w:pPr>
      <w:rPr>
        <w:rFonts w:ascii="Courier New" w:hAnsi="Courier New" w:cs="Courier New" w:hint="default"/>
      </w:rPr>
    </w:lvl>
    <w:lvl w:ilvl="3">
      <w:start w:val="1"/>
      <w:numFmt w:val="bullet"/>
      <w:lvlText w:val=""/>
      <w:lvlJc w:val="left"/>
      <w:pPr>
        <w:tabs>
          <w:tab w:val="num" w:pos="1374"/>
        </w:tabs>
        <w:ind w:left="1734" w:hanging="360"/>
      </w:pPr>
      <w:rPr>
        <w:rFonts w:ascii="Wingdings" w:hAnsi="Wingdings" w:hint="default"/>
      </w:rPr>
    </w:lvl>
    <w:lvl w:ilvl="4">
      <w:start w:val="1"/>
      <w:numFmt w:val="bullet"/>
      <w:lvlText w:val=""/>
      <w:lvlJc w:val="left"/>
      <w:pPr>
        <w:tabs>
          <w:tab w:val="num" w:pos="2094"/>
        </w:tabs>
        <w:ind w:left="2454" w:hanging="360"/>
      </w:pPr>
      <w:rPr>
        <w:rFonts w:ascii="Wingdings" w:hAnsi="Wingdings" w:hint="default"/>
      </w:rPr>
    </w:lvl>
    <w:lvl w:ilvl="5">
      <w:start w:val="1"/>
      <w:numFmt w:val="bullet"/>
      <w:lvlText w:val=""/>
      <w:lvlJc w:val="left"/>
      <w:pPr>
        <w:tabs>
          <w:tab w:val="num" w:pos="2814"/>
        </w:tabs>
        <w:ind w:left="3174" w:hanging="360"/>
      </w:pPr>
      <w:rPr>
        <w:rFonts w:ascii="Symbol" w:hAnsi="Symbol" w:hint="default"/>
      </w:rPr>
    </w:lvl>
    <w:lvl w:ilvl="6">
      <w:start w:val="1"/>
      <w:numFmt w:val="bullet"/>
      <w:lvlText w:val="o"/>
      <w:lvlJc w:val="left"/>
      <w:pPr>
        <w:tabs>
          <w:tab w:val="num" w:pos="3534"/>
        </w:tabs>
        <w:ind w:left="3894" w:hanging="360"/>
      </w:pPr>
      <w:rPr>
        <w:rFonts w:ascii="Courier New" w:hAnsi="Courier New" w:cs="Courier New" w:hint="default"/>
      </w:rPr>
    </w:lvl>
    <w:lvl w:ilvl="7">
      <w:start w:val="1"/>
      <w:numFmt w:val="bullet"/>
      <w:lvlText w:val=""/>
      <w:lvlJc w:val="left"/>
      <w:pPr>
        <w:tabs>
          <w:tab w:val="num" w:pos="4254"/>
        </w:tabs>
        <w:ind w:left="4614" w:hanging="360"/>
      </w:pPr>
      <w:rPr>
        <w:rFonts w:ascii="Wingdings" w:hAnsi="Wingdings" w:hint="default"/>
      </w:rPr>
    </w:lvl>
    <w:lvl w:ilvl="8">
      <w:start w:val="1"/>
      <w:numFmt w:val="bullet"/>
      <w:lvlText w:val=""/>
      <w:lvlJc w:val="left"/>
      <w:pPr>
        <w:tabs>
          <w:tab w:val="num" w:pos="4974"/>
        </w:tabs>
        <w:ind w:left="5334" w:hanging="360"/>
      </w:pPr>
      <w:rPr>
        <w:rFonts w:ascii="Wingdings" w:hAnsi="Wingdings" w:hint="default"/>
      </w:rPr>
    </w:lvl>
  </w:abstractNum>
  <w:abstractNum w:abstractNumId="1">
    <w:nsid w:val="0433361C"/>
    <w:multiLevelType w:val="hybridMultilevel"/>
    <w:tmpl w:val="6234BB22"/>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
    <w:nsid w:val="07282701"/>
    <w:multiLevelType w:val="hybridMultilevel"/>
    <w:tmpl w:val="26445B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403AD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27C60BE"/>
    <w:multiLevelType w:val="hybridMultilevel"/>
    <w:tmpl w:val="22C420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F024431"/>
    <w:multiLevelType w:val="hybridMultilevel"/>
    <w:tmpl w:val="9CB08172"/>
    <w:lvl w:ilvl="0" w:tplc="880EEA72">
      <w:start w:val="1"/>
      <w:numFmt w:val="decimal"/>
      <w:pStyle w:val="a"/>
      <w:lvlText w:val="Рис. %1."/>
      <w:lvlJc w:val="right"/>
      <w:pPr>
        <w:tabs>
          <w:tab w:val="num" w:pos="0"/>
        </w:tabs>
        <w:ind w:left="1069" w:hanging="360"/>
      </w:pPr>
      <w:rPr>
        <w:rFonts w:hint="default"/>
        <w:b/>
        <w:i/>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CC4831"/>
    <w:multiLevelType w:val="hybridMultilevel"/>
    <w:tmpl w:val="2F66DE4C"/>
    <w:lvl w:ilvl="0" w:tplc="424266E6">
      <w:start w:val="1"/>
      <w:numFmt w:val="decimal"/>
      <w:pStyle w:val="a0"/>
      <w:lvlText w:val="Таблица %1."/>
      <w:lvlJc w:val="right"/>
      <w:pPr>
        <w:ind w:left="-32767" w:firstLine="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C317DD"/>
    <w:multiLevelType w:val="hybridMultilevel"/>
    <w:tmpl w:val="07A47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6B0495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9D12D5F"/>
    <w:multiLevelType w:val="hybridMultilevel"/>
    <w:tmpl w:val="AF0C104A"/>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nsid w:val="4EDF0EF2"/>
    <w:multiLevelType w:val="multilevel"/>
    <w:tmpl w:val="09B6CA32"/>
    <w:lvl w:ilvl="0">
      <w:start w:val="1"/>
      <w:numFmt w:val="decimal"/>
      <w:lvlText w:val="Рис. %1."/>
      <w:lvlJc w:val="right"/>
      <w:pPr>
        <w:ind w:left="1069" w:hanging="360"/>
      </w:pPr>
      <w:rPr>
        <w:rFonts w:hint="default"/>
        <w:b/>
        <w:i/>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1E86D27"/>
    <w:multiLevelType w:val="hybridMultilevel"/>
    <w:tmpl w:val="F828C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A063F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4456D03"/>
    <w:multiLevelType w:val="multilevel"/>
    <w:tmpl w:val="7F4E5CA2"/>
    <w:lvl w:ilvl="0">
      <w:start w:val="1"/>
      <w:numFmt w:val="decimal"/>
      <w:lvlText w:val="Рис. %1."/>
      <w:lvlJc w:val="right"/>
      <w:pPr>
        <w:ind w:left="1069" w:hanging="1069"/>
      </w:pPr>
      <w:rPr>
        <w:rFonts w:hint="default"/>
        <w:b/>
        <w:i/>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79746EC"/>
    <w:multiLevelType w:val="multilevel"/>
    <w:tmpl w:val="0E44CB6C"/>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6A5F128C"/>
    <w:multiLevelType w:val="multilevel"/>
    <w:tmpl w:val="7F100F8C"/>
    <w:lvl w:ilvl="0">
      <w:start w:val="1"/>
      <w:numFmt w:val="decimal"/>
      <w:lvlText w:val="Рис. %1."/>
      <w:lvlJc w:val="right"/>
      <w:pPr>
        <w:tabs>
          <w:tab w:val="num" w:pos="0"/>
        </w:tabs>
        <w:ind w:left="1069" w:hanging="360"/>
      </w:pPr>
      <w:rPr>
        <w:rFonts w:hint="default"/>
        <w:b/>
        <w:i/>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F416B32"/>
    <w:multiLevelType w:val="hybridMultilevel"/>
    <w:tmpl w:val="6234BB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70F77712"/>
    <w:multiLevelType w:val="hybridMultilevel"/>
    <w:tmpl w:val="918C5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1906D8E"/>
    <w:multiLevelType w:val="multilevel"/>
    <w:tmpl w:val="A64E875A"/>
    <w:lvl w:ilvl="0">
      <w:start w:val="1"/>
      <w:numFmt w:val="decimal"/>
      <w:lvlText w:val="Рис. %1."/>
      <w:lvlJc w:val="right"/>
      <w:pPr>
        <w:ind w:left="1429" w:hanging="360"/>
      </w:pPr>
      <w:rPr>
        <w:rFonts w:hint="default"/>
        <w:b/>
        <w:i/>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6281E65"/>
    <w:multiLevelType w:val="hybridMultilevel"/>
    <w:tmpl w:val="9780B8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8DC5845"/>
    <w:multiLevelType w:val="hybridMultilevel"/>
    <w:tmpl w:val="15E657D4"/>
    <w:lvl w:ilvl="0" w:tplc="557E3F76">
      <w:start w:val="1"/>
      <w:numFmt w:val="decimal"/>
      <w:pStyle w:val="a1"/>
      <w:lvlText w:val="Приложение %1."/>
      <w:lvlJc w:val="right"/>
      <w:pPr>
        <w:tabs>
          <w:tab w:val="num" w:pos="0"/>
        </w:tabs>
        <w:ind w:left="1069" w:hanging="360"/>
      </w:pPr>
      <w:rPr>
        <w:rFonts w:hint="default"/>
        <w:b w:val="0"/>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770FA0"/>
    <w:multiLevelType w:val="hybridMultilevel"/>
    <w:tmpl w:val="9796BD9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747A56"/>
    <w:multiLevelType w:val="hybridMultilevel"/>
    <w:tmpl w:val="221CEE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7"/>
  </w:num>
  <w:num w:numId="3">
    <w:abstractNumId w:val="2"/>
  </w:num>
  <w:num w:numId="4">
    <w:abstractNumId w:val="17"/>
  </w:num>
  <w:num w:numId="5">
    <w:abstractNumId w:val="22"/>
  </w:num>
  <w:num w:numId="6">
    <w:abstractNumId w:val="9"/>
  </w:num>
  <w:num w:numId="7">
    <w:abstractNumId w:val="6"/>
  </w:num>
  <w:num w:numId="8">
    <w:abstractNumId w:val="12"/>
  </w:num>
  <w:num w:numId="9">
    <w:abstractNumId w:val="8"/>
  </w:num>
  <w:num w:numId="10">
    <w:abstractNumId w:val="5"/>
  </w:num>
  <w:num w:numId="11">
    <w:abstractNumId w:val="3"/>
  </w:num>
  <w:num w:numId="12">
    <w:abstractNumId w:val="18"/>
  </w:num>
  <w:num w:numId="13">
    <w:abstractNumId w:val="10"/>
  </w:num>
  <w:num w:numId="14">
    <w:abstractNumId w:val="13"/>
  </w:num>
  <w:num w:numId="15">
    <w:abstractNumId w:val="15"/>
  </w:num>
  <w:num w:numId="16">
    <w:abstractNumId w:val="19"/>
  </w:num>
  <w:num w:numId="17">
    <w:abstractNumId w:val="11"/>
  </w:num>
  <w:num w:numId="18">
    <w:abstractNumId w:val="1"/>
  </w:num>
  <w:num w:numId="19">
    <w:abstractNumId w:val="16"/>
  </w:num>
  <w:num w:numId="20">
    <w:abstractNumId w:val="4"/>
  </w:num>
  <w:num w:numId="21">
    <w:abstractNumId w:val="21"/>
  </w:num>
  <w:num w:numId="22">
    <w:abstractNumId w:val="20"/>
  </w:num>
  <w:num w:numId="23">
    <w:abstractNumId w:val="6"/>
    <w:lvlOverride w:ilvl="0">
      <w:startOverride w:val="1"/>
    </w:lvlOverride>
  </w:num>
  <w:num w:numId="24">
    <w:abstractNumId w:val="0"/>
  </w:num>
  <w:num w:numId="25">
    <w:abstractNumId w:val="6"/>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AC9"/>
    <w:rsid w:val="0000364D"/>
    <w:rsid w:val="000047D2"/>
    <w:rsid w:val="000072C9"/>
    <w:rsid w:val="00007A21"/>
    <w:rsid w:val="00014016"/>
    <w:rsid w:val="00021794"/>
    <w:rsid w:val="00023FB5"/>
    <w:rsid w:val="00025928"/>
    <w:rsid w:val="00026FDE"/>
    <w:rsid w:val="00027218"/>
    <w:rsid w:val="00030055"/>
    <w:rsid w:val="000300E5"/>
    <w:rsid w:val="000308CE"/>
    <w:rsid w:val="00031227"/>
    <w:rsid w:val="00032234"/>
    <w:rsid w:val="000338F0"/>
    <w:rsid w:val="00037ACA"/>
    <w:rsid w:val="000425AE"/>
    <w:rsid w:val="00044E1B"/>
    <w:rsid w:val="00045B64"/>
    <w:rsid w:val="0005285A"/>
    <w:rsid w:val="00056F53"/>
    <w:rsid w:val="000578D7"/>
    <w:rsid w:val="00066942"/>
    <w:rsid w:val="0006790B"/>
    <w:rsid w:val="0007105D"/>
    <w:rsid w:val="00077B77"/>
    <w:rsid w:val="0009109B"/>
    <w:rsid w:val="00091185"/>
    <w:rsid w:val="000A07C4"/>
    <w:rsid w:val="000A1736"/>
    <w:rsid w:val="000A4477"/>
    <w:rsid w:val="000A6780"/>
    <w:rsid w:val="000B12B8"/>
    <w:rsid w:val="000C0C1E"/>
    <w:rsid w:val="000C1732"/>
    <w:rsid w:val="000C248E"/>
    <w:rsid w:val="000C3398"/>
    <w:rsid w:val="000C4696"/>
    <w:rsid w:val="000C5C49"/>
    <w:rsid w:val="000D2DFC"/>
    <w:rsid w:val="000D41EC"/>
    <w:rsid w:val="000D6407"/>
    <w:rsid w:val="000E5F34"/>
    <w:rsid w:val="000F7160"/>
    <w:rsid w:val="00100012"/>
    <w:rsid w:val="001032F6"/>
    <w:rsid w:val="001048A2"/>
    <w:rsid w:val="00105536"/>
    <w:rsid w:val="0010564B"/>
    <w:rsid w:val="00110382"/>
    <w:rsid w:val="00113063"/>
    <w:rsid w:val="001144A6"/>
    <w:rsid w:val="001208A1"/>
    <w:rsid w:val="00122BB5"/>
    <w:rsid w:val="00124B36"/>
    <w:rsid w:val="0012512B"/>
    <w:rsid w:val="00126532"/>
    <w:rsid w:val="001272BD"/>
    <w:rsid w:val="00130B9A"/>
    <w:rsid w:val="00131570"/>
    <w:rsid w:val="00132C44"/>
    <w:rsid w:val="001354F9"/>
    <w:rsid w:val="00135DA9"/>
    <w:rsid w:val="00136321"/>
    <w:rsid w:val="001364E3"/>
    <w:rsid w:val="00136F0A"/>
    <w:rsid w:val="00141A9C"/>
    <w:rsid w:val="001430A8"/>
    <w:rsid w:val="00147A5B"/>
    <w:rsid w:val="001526D0"/>
    <w:rsid w:val="00152764"/>
    <w:rsid w:val="00154CC2"/>
    <w:rsid w:val="0015587D"/>
    <w:rsid w:val="00161798"/>
    <w:rsid w:val="00161F1A"/>
    <w:rsid w:val="00162994"/>
    <w:rsid w:val="001643C6"/>
    <w:rsid w:val="001658D6"/>
    <w:rsid w:val="001678B4"/>
    <w:rsid w:val="00167A67"/>
    <w:rsid w:val="00167DAC"/>
    <w:rsid w:val="00170E24"/>
    <w:rsid w:val="0017134F"/>
    <w:rsid w:val="00182EAE"/>
    <w:rsid w:val="001841AF"/>
    <w:rsid w:val="0018476A"/>
    <w:rsid w:val="00184857"/>
    <w:rsid w:val="0018591E"/>
    <w:rsid w:val="001958CF"/>
    <w:rsid w:val="00195E41"/>
    <w:rsid w:val="00196503"/>
    <w:rsid w:val="001A13DE"/>
    <w:rsid w:val="001B011E"/>
    <w:rsid w:val="001B11A4"/>
    <w:rsid w:val="001B62B6"/>
    <w:rsid w:val="001B7828"/>
    <w:rsid w:val="001C17A2"/>
    <w:rsid w:val="001C4E62"/>
    <w:rsid w:val="001D3E1E"/>
    <w:rsid w:val="001D4F15"/>
    <w:rsid w:val="001E048F"/>
    <w:rsid w:val="001F043C"/>
    <w:rsid w:val="001F14BE"/>
    <w:rsid w:val="001F174C"/>
    <w:rsid w:val="001F45C2"/>
    <w:rsid w:val="001F59EF"/>
    <w:rsid w:val="001F6D24"/>
    <w:rsid w:val="00201526"/>
    <w:rsid w:val="00202613"/>
    <w:rsid w:val="00202A4B"/>
    <w:rsid w:val="00204484"/>
    <w:rsid w:val="00204EA2"/>
    <w:rsid w:val="00213F17"/>
    <w:rsid w:val="00217C7C"/>
    <w:rsid w:val="00221B34"/>
    <w:rsid w:val="00221DD9"/>
    <w:rsid w:val="002223E5"/>
    <w:rsid w:val="00223E6B"/>
    <w:rsid w:val="00224119"/>
    <w:rsid w:val="00224A21"/>
    <w:rsid w:val="00227781"/>
    <w:rsid w:val="00232BD6"/>
    <w:rsid w:val="00232C2A"/>
    <w:rsid w:val="002344F5"/>
    <w:rsid w:val="002346D3"/>
    <w:rsid w:val="00240527"/>
    <w:rsid w:val="00243242"/>
    <w:rsid w:val="00243EAD"/>
    <w:rsid w:val="0024419B"/>
    <w:rsid w:val="0024671C"/>
    <w:rsid w:val="00247070"/>
    <w:rsid w:val="00247455"/>
    <w:rsid w:val="00252D37"/>
    <w:rsid w:val="002548EA"/>
    <w:rsid w:val="00254FF1"/>
    <w:rsid w:val="002613ED"/>
    <w:rsid w:val="00262824"/>
    <w:rsid w:val="00263A14"/>
    <w:rsid w:val="00273D42"/>
    <w:rsid w:val="0027542B"/>
    <w:rsid w:val="002801AD"/>
    <w:rsid w:val="002814AD"/>
    <w:rsid w:val="00281CFF"/>
    <w:rsid w:val="00282911"/>
    <w:rsid w:val="002911AE"/>
    <w:rsid w:val="00293144"/>
    <w:rsid w:val="002951C1"/>
    <w:rsid w:val="00295C52"/>
    <w:rsid w:val="002A09C6"/>
    <w:rsid w:val="002B05B6"/>
    <w:rsid w:val="002B0811"/>
    <w:rsid w:val="002C0885"/>
    <w:rsid w:val="002C1253"/>
    <w:rsid w:val="002C4FE9"/>
    <w:rsid w:val="002C67BC"/>
    <w:rsid w:val="002D0F67"/>
    <w:rsid w:val="002D3994"/>
    <w:rsid w:val="002D47FD"/>
    <w:rsid w:val="002D7D31"/>
    <w:rsid w:val="002E210E"/>
    <w:rsid w:val="002E58AE"/>
    <w:rsid w:val="0030164B"/>
    <w:rsid w:val="00302B40"/>
    <w:rsid w:val="0030413A"/>
    <w:rsid w:val="00310C4A"/>
    <w:rsid w:val="00312AB6"/>
    <w:rsid w:val="00314AF8"/>
    <w:rsid w:val="00315063"/>
    <w:rsid w:val="00315F14"/>
    <w:rsid w:val="00323A26"/>
    <w:rsid w:val="003300FA"/>
    <w:rsid w:val="0033358E"/>
    <w:rsid w:val="00334F55"/>
    <w:rsid w:val="003352A0"/>
    <w:rsid w:val="00335BC4"/>
    <w:rsid w:val="00341535"/>
    <w:rsid w:val="00341603"/>
    <w:rsid w:val="003441A1"/>
    <w:rsid w:val="00346BE8"/>
    <w:rsid w:val="00346C8C"/>
    <w:rsid w:val="00356FFD"/>
    <w:rsid w:val="0035700F"/>
    <w:rsid w:val="00360492"/>
    <w:rsid w:val="00365848"/>
    <w:rsid w:val="00367FB4"/>
    <w:rsid w:val="00371C50"/>
    <w:rsid w:val="00373879"/>
    <w:rsid w:val="00382F11"/>
    <w:rsid w:val="003838F2"/>
    <w:rsid w:val="003845B1"/>
    <w:rsid w:val="0038642F"/>
    <w:rsid w:val="00390782"/>
    <w:rsid w:val="00393627"/>
    <w:rsid w:val="003948BE"/>
    <w:rsid w:val="00396AF7"/>
    <w:rsid w:val="003974CD"/>
    <w:rsid w:val="003A12F3"/>
    <w:rsid w:val="003A1FB0"/>
    <w:rsid w:val="003A47DB"/>
    <w:rsid w:val="003A52F7"/>
    <w:rsid w:val="003B651B"/>
    <w:rsid w:val="003C6A65"/>
    <w:rsid w:val="003D1B4A"/>
    <w:rsid w:val="003E3592"/>
    <w:rsid w:val="003E53EC"/>
    <w:rsid w:val="003F30F3"/>
    <w:rsid w:val="003F35AA"/>
    <w:rsid w:val="00404891"/>
    <w:rsid w:val="00407693"/>
    <w:rsid w:val="00407AE0"/>
    <w:rsid w:val="00407D82"/>
    <w:rsid w:val="004113A3"/>
    <w:rsid w:val="00411524"/>
    <w:rsid w:val="00414C3B"/>
    <w:rsid w:val="00420E16"/>
    <w:rsid w:val="00425FDA"/>
    <w:rsid w:val="0043505B"/>
    <w:rsid w:val="00436DD2"/>
    <w:rsid w:val="00440960"/>
    <w:rsid w:val="00440B76"/>
    <w:rsid w:val="00440DB1"/>
    <w:rsid w:val="00441B7F"/>
    <w:rsid w:val="0044459A"/>
    <w:rsid w:val="00445587"/>
    <w:rsid w:val="00445A66"/>
    <w:rsid w:val="004462B4"/>
    <w:rsid w:val="00447DA0"/>
    <w:rsid w:val="00451225"/>
    <w:rsid w:val="0045370C"/>
    <w:rsid w:val="00453CC5"/>
    <w:rsid w:val="004575E2"/>
    <w:rsid w:val="00462E00"/>
    <w:rsid w:val="00463F93"/>
    <w:rsid w:val="0046585A"/>
    <w:rsid w:val="00477F35"/>
    <w:rsid w:val="00481DD8"/>
    <w:rsid w:val="00486061"/>
    <w:rsid w:val="00486722"/>
    <w:rsid w:val="0048793F"/>
    <w:rsid w:val="00492BB9"/>
    <w:rsid w:val="00494916"/>
    <w:rsid w:val="00494B80"/>
    <w:rsid w:val="004A299C"/>
    <w:rsid w:val="004A3540"/>
    <w:rsid w:val="004A4D10"/>
    <w:rsid w:val="004B1483"/>
    <w:rsid w:val="004B27E7"/>
    <w:rsid w:val="004B2A5E"/>
    <w:rsid w:val="004B692C"/>
    <w:rsid w:val="004B6F52"/>
    <w:rsid w:val="004B7A16"/>
    <w:rsid w:val="004C0B10"/>
    <w:rsid w:val="004C0E24"/>
    <w:rsid w:val="004C4BE0"/>
    <w:rsid w:val="004C792E"/>
    <w:rsid w:val="004D3122"/>
    <w:rsid w:val="004D7A02"/>
    <w:rsid w:val="004E192D"/>
    <w:rsid w:val="004E216D"/>
    <w:rsid w:val="004E5A86"/>
    <w:rsid w:val="004E660F"/>
    <w:rsid w:val="004E6AEA"/>
    <w:rsid w:val="004F02B8"/>
    <w:rsid w:val="004F04C2"/>
    <w:rsid w:val="004F353C"/>
    <w:rsid w:val="004F66C6"/>
    <w:rsid w:val="004F68B5"/>
    <w:rsid w:val="005041E3"/>
    <w:rsid w:val="00504B86"/>
    <w:rsid w:val="00510392"/>
    <w:rsid w:val="00513EE0"/>
    <w:rsid w:val="00515358"/>
    <w:rsid w:val="00516F8E"/>
    <w:rsid w:val="00517FD5"/>
    <w:rsid w:val="00523062"/>
    <w:rsid w:val="00525B1B"/>
    <w:rsid w:val="005274FD"/>
    <w:rsid w:val="005279D5"/>
    <w:rsid w:val="00530396"/>
    <w:rsid w:val="00531AD8"/>
    <w:rsid w:val="00534172"/>
    <w:rsid w:val="0053742F"/>
    <w:rsid w:val="00541F28"/>
    <w:rsid w:val="005537CA"/>
    <w:rsid w:val="0055478A"/>
    <w:rsid w:val="00561310"/>
    <w:rsid w:val="005616C1"/>
    <w:rsid w:val="0056238F"/>
    <w:rsid w:val="00562EAB"/>
    <w:rsid w:val="00563544"/>
    <w:rsid w:val="00565E83"/>
    <w:rsid w:val="00575012"/>
    <w:rsid w:val="00575216"/>
    <w:rsid w:val="0057631B"/>
    <w:rsid w:val="00581A6A"/>
    <w:rsid w:val="00590143"/>
    <w:rsid w:val="00590CE3"/>
    <w:rsid w:val="00592F0F"/>
    <w:rsid w:val="00595A5F"/>
    <w:rsid w:val="00595EC2"/>
    <w:rsid w:val="0059704A"/>
    <w:rsid w:val="005A18C2"/>
    <w:rsid w:val="005A3276"/>
    <w:rsid w:val="005A44A9"/>
    <w:rsid w:val="005B2297"/>
    <w:rsid w:val="005B4D19"/>
    <w:rsid w:val="005B7FCF"/>
    <w:rsid w:val="005C1584"/>
    <w:rsid w:val="005C2377"/>
    <w:rsid w:val="005C351C"/>
    <w:rsid w:val="005D1087"/>
    <w:rsid w:val="005D423F"/>
    <w:rsid w:val="005D4490"/>
    <w:rsid w:val="005D4D91"/>
    <w:rsid w:val="005E3D04"/>
    <w:rsid w:val="005E5F31"/>
    <w:rsid w:val="005E63B3"/>
    <w:rsid w:val="005F2771"/>
    <w:rsid w:val="005F323A"/>
    <w:rsid w:val="005F7D35"/>
    <w:rsid w:val="00601969"/>
    <w:rsid w:val="00604CB1"/>
    <w:rsid w:val="00610144"/>
    <w:rsid w:val="00611007"/>
    <w:rsid w:val="00612C51"/>
    <w:rsid w:val="00614B14"/>
    <w:rsid w:val="0062274B"/>
    <w:rsid w:val="00623D6D"/>
    <w:rsid w:val="00625EF1"/>
    <w:rsid w:val="00626555"/>
    <w:rsid w:val="00627593"/>
    <w:rsid w:val="0063285C"/>
    <w:rsid w:val="006328F8"/>
    <w:rsid w:val="00641B90"/>
    <w:rsid w:val="006514F5"/>
    <w:rsid w:val="0065152F"/>
    <w:rsid w:val="006613DB"/>
    <w:rsid w:val="0066325E"/>
    <w:rsid w:val="00664CF0"/>
    <w:rsid w:val="0066573C"/>
    <w:rsid w:val="0067341D"/>
    <w:rsid w:val="0067465A"/>
    <w:rsid w:val="00680918"/>
    <w:rsid w:val="006829E0"/>
    <w:rsid w:val="00684B10"/>
    <w:rsid w:val="0068642D"/>
    <w:rsid w:val="00686576"/>
    <w:rsid w:val="006868AA"/>
    <w:rsid w:val="00686CCA"/>
    <w:rsid w:val="00687060"/>
    <w:rsid w:val="00691955"/>
    <w:rsid w:val="006923A8"/>
    <w:rsid w:val="006935C5"/>
    <w:rsid w:val="00693F7E"/>
    <w:rsid w:val="006960EC"/>
    <w:rsid w:val="006A663D"/>
    <w:rsid w:val="006B4290"/>
    <w:rsid w:val="006B7856"/>
    <w:rsid w:val="006C187D"/>
    <w:rsid w:val="006C1A13"/>
    <w:rsid w:val="006C229B"/>
    <w:rsid w:val="006C23A7"/>
    <w:rsid w:val="006C2E9D"/>
    <w:rsid w:val="006D472A"/>
    <w:rsid w:val="006D69B5"/>
    <w:rsid w:val="006E021F"/>
    <w:rsid w:val="006E087F"/>
    <w:rsid w:val="006E7555"/>
    <w:rsid w:val="006E78E7"/>
    <w:rsid w:val="006F0B0D"/>
    <w:rsid w:val="006F25CB"/>
    <w:rsid w:val="006F7C92"/>
    <w:rsid w:val="00702667"/>
    <w:rsid w:val="00703F37"/>
    <w:rsid w:val="007101FF"/>
    <w:rsid w:val="00710E39"/>
    <w:rsid w:val="00715871"/>
    <w:rsid w:val="00716C21"/>
    <w:rsid w:val="007217FA"/>
    <w:rsid w:val="00722083"/>
    <w:rsid w:val="007227AB"/>
    <w:rsid w:val="00723DD5"/>
    <w:rsid w:val="00727D65"/>
    <w:rsid w:val="00736B55"/>
    <w:rsid w:val="007415DF"/>
    <w:rsid w:val="00742678"/>
    <w:rsid w:val="00743ADB"/>
    <w:rsid w:val="00743DD1"/>
    <w:rsid w:val="007457BE"/>
    <w:rsid w:val="0074729A"/>
    <w:rsid w:val="00751E48"/>
    <w:rsid w:val="00757DEB"/>
    <w:rsid w:val="00762032"/>
    <w:rsid w:val="00764689"/>
    <w:rsid w:val="00764FC5"/>
    <w:rsid w:val="0076574A"/>
    <w:rsid w:val="00765C2C"/>
    <w:rsid w:val="00766446"/>
    <w:rsid w:val="007677F1"/>
    <w:rsid w:val="00767914"/>
    <w:rsid w:val="00774919"/>
    <w:rsid w:val="00776DCC"/>
    <w:rsid w:val="00777C69"/>
    <w:rsid w:val="007805DF"/>
    <w:rsid w:val="00780A6F"/>
    <w:rsid w:val="00780FA0"/>
    <w:rsid w:val="007820E1"/>
    <w:rsid w:val="007823B1"/>
    <w:rsid w:val="0078255F"/>
    <w:rsid w:val="007837DD"/>
    <w:rsid w:val="00784FB5"/>
    <w:rsid w:val="00785C03"/>
    <w:rsid w:val="00786254"/>
    <w:rsid w:val="00792B18"/>
    <w:rsid w:val="00793E4B"/>
    <w:rsid w:val="00795340"/>
    <w:rsid w:val="00796CCE"/>
    <w:rsid w:val="007A01F1"/>
    <w:rsid w:val="007A05D6"/>
    <w:rsid w:val="007A4C57"/>
    <w:rsid w:val="007A5BCC"/>
    <w:rsid w:val="007A6207"/>
    <w:rsid w:val="007A7CEE"/>
    <w:rsid w:val="007B2066"/>
    <w:rsid w:val="007B591D"/>
    <w:rsid w:val="007B7803"/>
    <w:rsid w:val="007B7F65"/>
    <w:rsid w:val="007C0373"/>
    <w:rsid w:val="007C41DB"/>
    <w:rsid w:val="007C7009"/>
    <w:rsid w:val="007C7A26"/>
    <w:rsid w:val="007D1A0F"/>
    <w:rsid w:val="007D35D3"/>
    <w:rsid w:val="007D3B5C"/>
    <w:rsid w:val="007E628D"/>
    <w:rsid w:val="007F591C"/>
    <w:rsid w:val="00800E10"/>
    <w:rsid w:val="00804738"/>
    <w:rsid w:val="008070CE"/>
    <w:rsid w:val="00807305"/>
    <w:rsid w:val="00817771"/>
    <w:rsid w:val="008268BD"/>
    <w:rsid w:val="00830A0A"/>
    <w:rsid w:val="0083202D"/>
    <w:rsid w:val="0083366D"/>
    <w:rsid w:val="00833F3A"/>
    <w:rsid w:val="0083722A"/>
    <w:rsid w:val="00840221"/>
    <w:rsid w:val="00840AD8"/>
    <w:rsid w:val="00845B2A"/>
    <w:rsid w:val="00852839"/>
    <w:rsid w:val="0085299C"/>
    <w:rsid w:val="00854B51"/>
    <w:rsid w:val="00856E09"/>
    <w:rsid w:val="0086190A"/>
    <w:rsid w:val="008715D6"/>
    <w:rsid w:val="008917B4"/>
    <w:rsid w:val="00894652"/>
    <w:rsid w:val="00895CDC"/>
    <w:rsid w:val="00896CB6"/>
    <w:rsid w:val="008A6721"/>
    <w:rsid w:val="008B0134"/>
    <w:rsid w:val="008B34CE"/>
    <w:rsid w:val="008B50C9"/>
    <w:rsid w:val="008B63FB"/>
    <w:rsid w:val="008C6BBA"/>
    <w:rsid w:val="008D4BE5"/>
    <w:rsid w:val="008D644F"/>
    <w:rsid w:val="008D777C"/>
    <w:rsid w:val="008E000E"/>
    <w:rsid w:val="008E0E2A"/>
    <w:rsid w:val="008E5E27"/>
    <w:rsid w:val="008F1323"/>
    <w:rsid w:val="008F3ADF"/>
    <w:rsid w:val="008F4621"/>
    <w:rsid w:val="009015C9"/>
    <w:rsid w:val="00905B88"/>
    <w:rsid w:val="00906892"/>
    <w:rsid w:val="00907992"/>
    <w:rsid w:val="0091309B"/>
    <w:rsid w:val="009163E7"/>
    <w:rsid w:val="009172EB"/>
    <w:rsid w:val="009206FB"/>
    <w:rsid w:val="00922E3E"/>
    <w:rsid w:val="00931B8A"/>
    <w:rsid w:val="00933BB0"/>
    <w:rsid w:val="00934325"/>
    <w:rsid w:val="00937F40"/>
    <w:rsid w:val="00943836"/>
    <w:rsid w:val="00944F98"/>
    <w:rsid w:val="00952796"/>
    <w:rsid w:val="00956C84"/>
    <w:rsid w:val="00957929"/>
    <w:rsid w:val="009617AD"/>
    <w:rsid w:val="00965EB4"/>
    <w:rsid w:val="00966BB3"/>
    <w:rsid w:val="00967A8E"/>
    <w:rsid w:val="00970834"/>
    <w:rsid w:val="00972C37"/>
    <w:rsid w:val="00975FD4"/>
    <w:rsid w:val="00981350"/>
    <w:rsid w:val="00987986"/>
    <w:rsid w:val="00987FFC"/>
    <w:rsid w:val="0099482B"/>
    <w:rsid w:val="00997711"/>
    <w:rsid w:val="009A3EF2"/>
    <w:rsid w:val="009A51AD"/>
    <w:rsid w:val="009A5402"/>
    <w:rsid w:val="009A6EA4"/>
    <w:rsid w:val="009B3B14"/>
    <w:rsid w:val="009B6723"/>
    <w:rsid w:val="009C0484"/>
    <w:rsid w:val="009C1AE6"/>
    <w:rsid w:val="009C5BCD"/>
    <w:rsid w:val="009D021C"/>
    <w:rsid w:val="009D0853"/>
    <w:rsid w:val="009D3BE3"/>
    <w:rsid w:val="009D4737"/>
    <w:rsid w:val="009D62A1"/>
    <w:rsid w:val="009D7867"/>
    <w:rsid w:val="009E0A4B"/>
    <w:rsid w:val="009E3717"/>
    <w:rsid w:val="009E37D0"/>
    <w:rsid w:val="009E58B3"/>
    <w:rsid w:val="009F43DD"/>
    <w:rsid w:val="009F57E2"/>
    <w:rsid w:val="009F7825"/>
    <w:rsid w:val="00A0544F"/>
    <w:rsid w:val="00A16BE5"/>
    <w:rsid w:val="00A17700"/>
    <w:rsid w:val="00A17A86"/>
    <w:rsid w:val="00A22DFB"/>
    <w:rsid w:val="00A244A9"/>
    <w:rsid w:val="00A247AC"/>
    <w:rsid w:val="00A3257F"/>
    <w:rsid w:val="00A3489C"/>
    <w:rsid w:val="00A37945"/>
    <w:rsid w:val="00A452C0"/>
    <w:rsid w:val="00A5148A"/>
    <w:rsid w:val="00A54C7B"/>
    <w:rsid w:val="00A57F72"/>
    <w:rsid w:val="00A63397"/>
    <w:rsid w:val="00A638DE"/>
    <w:rsid w:val="00A64710"/>
    <w:rsid w:val="00A66EB9"/>
    <w:rsid w:val="00A71FA4"/>
    <w:rsid w:val="00A87E96"/>
    <w:rsid w:val="00A928B1"/>
    <w:rsid w:val="00A92967"/>
    <w:rsid w:val="00A93C50"/>
    <w:rsid w:val="00A9656F"/>
    <w:rsid w:val="00AA04A9"/>
    <w:rsid w:val="00AA488F"/>
    <w:rsid w:val="00AA4AD7"/>
    <w:rsid w:val="00AA5FE4"/>
    <w:rsid w:val="00AA63BA"/>
    <w:rsid w:val="00AA7696"/>
    <w:rsid w:val="00AB038D"/>
    <w:rsid w:val="00AB09BD"/>
    <w:rsid w:val="00AB157A"/>
    <w:rsid w:val="00AB25FC"/>
    <w:rsid w:val="00AB2B7E"/>
    <w:rsid w:val="00AB324E"/>
    <w:rsid w:val="00AB77A4"/>
    <w:rsid w:val="00AC3090"/>
    <w:rsid w:val="00AC39C0"/>
    <w:rsid w:val="00AD2D94"/>
    <w:rsid w:val="00AD6B1C"/>
    <w:rsid w:val="00AD748F"/>
    <w:rsid w:val="00AE15B0"/>
    <w:rsid w:val="00AE2DBF"/>
    <w:rsid w:val="00AE319A"/>
    <w:rsid w:val="00AF27AE"/>
    <w:rsid w:val="00AF3A83"/>
    <w:rsid w:val="00AF76FE"/>
    <w:rsid w:val="00B02C19"/>
    <w:rsid w:val="00B059CF"/>
    <w:rsid w:val="00B05D15"/>
    <w:rsid w:val="00B07D4A"/>
    <w:rsid w:val="00B12F6C"/>
    <w:rsid w:val="00B13A57"/>
    <w:rsid w:val="00B14424"/>
    <w:rsid w:val="00B146A6"/>
    <w:rsid w:val="00B158AA"/>
    <w:rsid w:val="00B17ABF"/>
    <w:rsid w:val="00B21243"/>
    <w:rsid w:val="00B278B0"/>
    <w:rsid w:val="00B315D9"/>
    <w:rsid w:val="00B318B7"/>
    <w:rsid w:val="00B31B58"/>
    <w:rsid w:val="00B31CC1"/>
    <w:rsid w:val="00B32C23"/>
    <w:rsid w:val="00B3362E"/>
    <w:rsid w:val="00B36517"/>
    <w:rsid w:val="00B36C3F"/>
    <w:rsid w:val="00B42787"/>
    <w:rsid w:val="00B44359"/>
    <w:rsid w:val="00B54DE7"/>
    <w:rsid w:val="00B61FF8"/>
    <w:rsid w:val="00B734F1"/>
    <w:rsid w:val="00B748A3"/>
    <w:rsid w:val="00B75C5B"/>
    <w:rsid w:val="00B774A6"/>
    <w:rsid w:val="00B77CF0"/>
    <w:rsid w:val="00B81BE6"/>
    <w:rsid w:val="00B8372B"/>
    <w:rsid w:val="00B87132"/>
    <w:rsid w:val="00B926AF"/>
    <w:rsid w:val="00B930A3"/>
    <w:rsid w:val="00B96712"/>
    <w:rsid w:val="00BA22F0"/>
    <w:rsid w:val="00BA4F11"/>
    <w:rsid w:val="00BA69F4"/>
    <w:rsid w:val="00BA7920"/>
    <w:rsid w:val="00BB014F"/>
    <w:rsid w:val="00BB1644"/>
    <w:rsid w:val="00BB2096"/>
    <w:rsid w:val="00BB216F"/>
    <w:rsid w:val="00BB3BC0"/>
    <w:rsid w:val="00BB6D53"/>
    <w:rsid w:val="00BB74D9"/>
    <w:rsid w:val="00BB7879"/>
    <w:rsid w:val="00BC0326"/>
    <w:rsid w:val="00BC10F4"/>
    <w:rsid w:val="00BC1DC9"/>
    <w:rsid w:val="00BC3473"/>
    <w:rsid w:val="00BC365F"/>
    <w:rsid w:val="00BD00E0"/>
    <w:rsid w:val="00BD1CF0"/>
    <w:rsid w:val="00BD1F9A"/>
    <w:rsid w:val="00BD72D5"/>
    <w:rsid w:val="00BD738B"/>
    <w:rsid w:val="00BE191D"/>
    <w:rsid w:val="00BE3438"/>
    <w:rsid w:val="00BF30C6"/>
    <w:rsid w:val="00BF466E"/>
    <w:rsid w:val="00BF70CA"/>
    <w:rsid w:val="00C05DAB"/>
    <w:rsid w:val="00C121DC"/>
    <w:rsid w:val="00C123D6"/>
    <w:rsid w:val="00C12B12"/>
    <w:rsid w:val="00C14911"/>
    <w:rsid w:val="00C1638C"/>
    <w:rsid w:val="00C16DDF"/>
    <w:rsid w:val="00C17306"/>
    <w:rsid w:val="00C22168"/>
    <w:rsid w:val="00C24D68"/>
    <w:rsid w:val="00C3256D"/>
    <w:rsid w:val="00C34936"/>
    <w:rsid w:val="00C35DE1"/>
    <w:rsid w:val="00C41E82"/>
    <w:rsid w:val="00C43DDC"/>
    <w:rsid w:val="00C51FC1"/>
    <w:rsid w:val="00C527A8"/>
    <w:rsid w:val="00C53481"/>
    <w:rsid w:val="00C5577F"/>
    <w:rsid w:val="00C56B43"/>
    <w:rsid w:val="00C572D6"/>
    <w:rsid w:val="00C644D0"/>
    <w:rsid w:val="00C667E7"/>
    <w:rsid w:val="00C67B22"/>
    <w:rsid w:val="00C72D8A"/>
    <w:rsid w:val="00C73AE8"/>
    <w:rsid w:val="00C807C4"/>
    <w:rsid w:val="00C807DB"/>
    <w:rsid w:val="00C83C94"/>
    <w:rsid w:val="00C84F23"/>
    <w:rsid w:val="00C85AF3"/>
    <w:rsid w:val="00C869A7"/>
    <w:rsid w:val="00C91F56"/>
    <w:rsid w:val="00C9575F"/>
    <w:rsid w:val="00C958B7"/>
    <w:rsid w:val="00C9771F"/>
    <w:rsid w:val="00CA0277"/>
    <w:rsid w:val="00CA22FA"/>
    <w:rsid w:val="00CA4490"/>
    <w:rsid w:val="00CB170B"/>
    <w:rsid w:val="00CB40E6"/>
    <w:rsid w:val="00CB603A"/>
    <w:rsid w:val="00CB70CC"/>
    <w:rsid w:val="00CC2A8F"/>
    <w:rsid w:val="00CC6B6D"/>
    <w:rsid w:val="00CC701D"/>
    <w:rsid w:val="00CD0F76"/>
    <w:rsid w:val="00CD4535"/>
    <w:rsid w:val="00CD564E"/>
    <w:rsid w:val="00CD7795"/>
    <w:rsid w:val="00CE250B"/>
    <w:rsid w:val="00CE58C6"/>
    <w:rsid w:val="00CE7238"/>
    <w:rsid w:val="00CF2374"/>
    <w:rsid w:val="00CF23A6"/>
    <w:rsid w:val="00CF4BAC"/>
    <w:rsid w:val="00CF5323"/>
    <w:rsid w:val="00CF53AB"/>
    <w:rsid w:val="00CF787C"/>
    <w:rsid w:val="00CF789E"/>
    <w:rsid w:val="00D0176C"/>
    <w:rsid w:val="00D01DD0"/>
    <w:rsid w:val="00D01EF8"/>
    <w:rsid w:val="00D036E9"/>
    <w:rsid w:val="00D10F68"/>
    <w:rsid w:val="00D13878"/>
    <w:rsid w:val="00D15AA2"/>
    <w:rsid w:val="00D16569"/>
    <w:rsid w:val="00D21A58"/>
    <w:rsid w:val="00D228B4"/>
    <w:rsid w:val="00D239AD"/>
    <w:rsid w:val="00D24533"/>
    <w:rsid w:val="00D26F52"/>
    <w:rsid w:val="00D34FEE"/>
    <w:rsid w:val="00D350AF"/>
    <w:rsid w:val="00D429FC"/>
    <w:rsid w:val="00D42FE4"/>
    <w:rsid w:val="00D45420"/>
    <w:rsid w:val="00D46819"/>
    <w:rsid w:val="00D53CEA"/>
    <w:rsid w:val="00D554D3"/>
    <w:rsid w:val="00D55A96"/>
    <w:rsid w:val="00D563A9"/>
    <w:rsid w:val="00D604D1"/>
    <w:rsid w:val="00D6593F"/>
    <w:rsid w:val="00D65A95"/>
    <w:rsid w:val="00D67DB8"/>
    <w:rsid w:val="00D745D9"/>
    <w:rsid w:val="00D77A05"/>
    <w:rsid w:val="00D830E2"/>
    <w:rsid w:val="00D83476"/>
    <w:rsid w:val="00D86638"/>
    <w:rsid w:val="00D939DF"/>
    <w:rsid w:val="00DA1759"/>
    <w:rsid w:val="00DA1B81"/>
    <w:rsid w:val="00DA35F4"/>
    <w:rsid w:val="00DA3C94"/>
    <w:rsid w:val="00DA420C"/>
    <w:rsid w:val="00DA52AC"/>
    <w:rsid w:val="00DB1049"/>
    <w:rsid w:val="00DB2D1B"/>
    <w:rsid w:val="00DB62DD"/>
    <w:rsid w:val="00DB6E9E"/>
    <w:rsid w:val="00DB72F0"/>
    <w:rsid w:val="00DC365A"/>
    <w:rsid w:val="00DC3870"/>
    <w:rsid w:val="00DC5783"/>
    <w:rsid w:val="00DD2043"/>
    <w:rsid w:val="00DD24FE"/>
    <w:rsid w:val="00DE11EF"/>
    <w:rsid w:val="00DE2113"/>
    <w:rsid w:val="00DE2CDB"/>
    <w:rsid w:val="00DE39FE"/>
    <w:rsid w:val="00DF3224"/>
    <w:rsid w:val="00DF5C29"/>
    <w:rsid w:val="00E07DEC"/>
    <w:rsid w:val="00E200BC"/>
    <w:rsid w:val="00E20101"/>
    <w:rsid w:val="00E24FEF"/>
    <w:rsid w:val="00E259A4"/>
    <w:rsid w:val="00E30B92"/>
    <w:rsid w:val="00E357DC"/>
    <w:rsid w:val="00E3641D"/>
    <w:rsid w:val="00E438DB"/>
    <w:rsid w:val="00E45F98"/>
    <w:rsid w:val="00E5002C"/>
    <w:rsid w:val="00E513F7"/>
    <w:rsid w:val="00E524A8"/>
    <w:rsid w:val="00E53718"/>
    <w:rsid w:val="00E60C68"/>
    <w:rsid w:val="00E62EF6"/>
    <w:rsid w:val="00E64067"/>
    <w:rsid w:val="00E71E9F"/>
    <w:rsid w:val="00E8461A"/>
    <w:rsid w:val="00E848ED"/>
    <w:rsid w:val="00E90156"/>
    <w:rsid w:val="00E90C2E"/>
    <w:rsid w:val="00E91DA8"/>
    <w:rsid w:val="00E96FC4"/>
    <w:rsid w:val="00EA162F"/>
    <w:rsid w:val="00EA2D2B"/>
    <w:rsid w:val="00EA4509"/>
    <w:rsid w:val="00EA5645"/>
    <w:rsid w:val="00EA5958"/>
    <w:rsid w:val="00EA686C"/>
    <w:rsid w:val="00EA6BE8"/>
    <w:rsid w:val="00EA7E58"/>
    <w:rsid w:val="00EB2B18"/>
    <w:rsid w:val="00EB43BF"/>
    <w:rsid w:val="00EB4A03"/>
    <w:rsid w:val="00ED0EE4"/>
    <w:rsid w:val="00ED2880"/>
    <w:rsid w:val="00ED34A5"/>
    <w:rsid w:val="00ED56F8"/>
    <w:rsid w:val="00ED79EB"/>
    <w:rsid w:val="00EE1AF3"/>
    <w:rsid w:val="00EE1D6E"/>
    <w:rsid w:val="00EE2DCF"/>
    <w:rsid w:val="00EE4433"/>
    <w:rsid w:val="00EF01DA"/>
    <w:rsid w:val="00EF147D"/>
    <w:rsid w:val="00EF20CD"/>
    <w:rsid w:val="00EF26AD"/>
    <w:rsid w:val="00EF37D2"/>
    <w:rsid w:val="00EF575C"/>
    <w:rsid w:val="00F110D8"/>
    <w:rsid w:val="00F133D1"/>
    <w:rsid w:val="00F136F4"/>
    <w:rsid w:val="00F1548F"/>
    <w:rsid w:val="00F16799"/>
    <w:rsid w:val="00F20E94"/>
    <w:rsid w:val="00F21136"/>
    <w:rsid w:val="00F2246D"/>
    <w:rsid w:val="00F252EE"/>
    <w:rsid w:val="00F26F44"/>
    <w:rsid w:val="00F3735E"/>
    <w:rsid w:val="00F37FA6"/>
    <w:rsid w:val="00F410A6"/>
    <w:rsid w:val="00F4305C"/>
    <w:rsid w:val="00F459D1"/>
    <w:rsid w:val="00F518E4"/>
    <w:rsid w:val="00F53306"/>
    <w:rsid w:val="00F60D32"/>
    <w:rsid w:val="00F632DF"/>
    <w:rsid w:val="00F63C40"/>
    <w:rsid w:val="00F675CC"/>
    <w:rsid w:val="00F71D1D"/>
    <w:rsid w:val="00F72BDA"/>
    <w:rsid w:val="00F77BCA"/>
    <w:rsid w:val="00F91034"/>
    <w:rsid w:val="00F92131"/>
    <w:rsid w:val="00F924A1"/>
    <w:rsid w:val="00F974E0"/>
    <w:rsid w:val="00F97FAC"/>
    <w:rsid w:val="00FA1168"/>
    <w:rsid w:val="00FA41BF"/>
    <w:rsid w:val="00FB0063"/>
    <w:rsid w:val="00FB4803"/>
    <w:rsid w:val="00FB756C"/>
    <w:rsid w:val="00FC13C5"/>
    <w:rsid w:val="00FC2026"/>
    <w:rsid w:val="00FC442D"/>
    <w:rsid w:val="00FC6D5D"/>
    <w:rsid w:val="00FC7A37"/>
    <w:rsid w:val="00FD1E02"/>
    <w:rsid w:val="00FD1EFE"/>
    <w:rsid w:val="00FD45CD"/>
    <w:rsid w:val="00FD5A7E"/>
    <w:rsid w:val="00FD5D10"/>
    <w:rsid w:val="00FE2F10"/>
    <w:rsid w:val="00FE7AC9"/>
    <w:rsid w:val="00FF3A12"/>
    <w:rsid w:val="00FF3F6A"/>
    <w:rsid w:val="00FF52E5"/>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7F79B"/>
  <w14:defaultImageDpi w14:val="32767"/>
  <w15:docId w15:val="{F511F20C-4C33-0844-898E-1F153A655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2">
    <w:name w:val="Normal"/>
    <w:qFormat/>
    <w:rsid w:val="009A6EA4"/>
    <w:rPr>
      <w:rFonts w:ascii="Times New Roman" w:eastAsia="Times New Roman" w:hAnsi="Times New Roman" w:cs="Times New Roman"/>
      <w:lang w:eastAsia="ru-RU"/>
    </w:rPr>
  </w:style>
  <w:style w:type="paragraph" w:styleId="1">
    <w:name w:val="heading 1"/>
    <w:basedOn w:val="a2"/>
    <w:next w:val="a2"/>
    <w:link w:val="10"/>
    <w:uiPriority w:val="9"/>
    <w:qFormat/>
    <w:rsid w:val="002E21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2"/>
    <w:next w:val="a2"/>
    <w:link w:val="20"/>
    <w:uiPriority w:val="9"/>
    <w:unhideWhenUsed/>
    <w:qFormat/>
    <w:rsid w:val="002E210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uiPriority w:val="9"/>
    <w:unhideWhenUsed/>
    <w:qFormat/>
    <w:rsid w:val="002E210E"/>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2"/>
    <w:next w:val="a2"/>
    <w:link w:val="40"/>
    <w:uiPriority w:val="9"/>
    <w:unhideWhenUsed/>
    <w:qFormat/>
    <w:rsid w:val="00445587"/>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2"/>
    <w:next w:val="a2"/>
    <w:link w:val="50"/>
    <w:uiPriority w:val="9"/>
    <w:unhideWhenUsed/>
    <w:qFormat/>
    <w:rsid w:val="002E210E"/>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
    <w:unhideWhenUsed/>
    <w:qFormat/>
    <w:rsid w:val="00AE2DBF"/>
    <w:pPr>
      <w:keepNext/>
      <w:keepLines/>
      <w:spacing w:before="40"/>
      <w:outlineLvl w:val="5"/>
    </w:pPr>
    <w:rPr>
      <w:rFonts w:asciiTheme="majorHAnsi" w:eastAsiaTheme="majorEastAsia" w:hAnsiTheme="majorHAnsi" w:cstheme="majorBidi"/>
      <w:color w:val="1F3763"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Основной стиль"/>
    <w:basedOn w:val="a2"/>
    <w:qFormat/>
    <w:rsid w:val="00612C51"/>
    <w:pPr>
      <w:spacing w:line="360" w:lineRule="auto"/>
      <w:ind w:firstLine="709"/>
      <w:jc w:val="both"/>
    </w:pPr>
  </w:style>
  <w:style w:type="paragraph" w:styleId="a7">
    <w:name w:val="footnote text"/>
    <w:basedOn w:val="a2"/>
    <w:link w:val="a8"/>
    <w:uiPriority w:val="99"/>
    <w:unhideWhenUsed/>
    <w:rsid w:val="00CD0F76"/>
    <w:rPr>
      <w:sz w:val="20"/>
      <w:szCs w:val="20"/>
    </w:rPr>
  </w:style>
  <w:style w:type="character" w:customStyle="1" w:styleId="a8">
    <w:name w:val="Текст сноски Знак"/>
    <w:basedOn w:val="a3"/>
    <w:link w:val="a7"/>
    <w:uiPriority w:val="99"/>
    <w:rsid w:val="00CD0F76"/>
    <w:rPr>
      <w:sz w:val="20"/>
      <w:szCs w:val="20"/>
    </w:rPr>
  </w:style>
  <w:style w:type="character" w:styleId="a9">
    <w:name w:val="footnote reference"/>
    <w:basedOn w:val="a3"/>
    <w:uiPriority w:val="99"/>
    <w:unhideWhenUsed/>
    <w:rsid w:val="00CD0F76"/>
    <w:rPr>
      <w:vertAlign w:val="superscript"/>
    </w:rPr>
  </w:style>
  <w:style w:type="paragraph" w:styleId="aa">
    <w:name w:val="Balloon Text"/>
    <w:basedOn w:val="a2"/>
    <w:link w:val="ab"/>
    <w:uiPriority w:val="99"/>
    <w:semiHidden/>
    <w:unhideWhenUsed/>
    <w:rsid w:val="007805DF"/>
    <w:rPr>
      <w:rFonts w:ascii="Segoe UI" w:hAnsi="Segoe UI" w:cs="Segoe UI"/>
      <w:sz w:val="18"/>
      <w:szCs w:val="18"/>
    </w:rPr>
  </w:style>
  <w:style w:type="character" w:customStyle="1" w:styleId="ab">
    <w:name w:val="Текст выноски Знак"/>
    <w:basedOn w:val="a3"/>
    <w:link w:val="aa"/>
    <w:uiPriority w:val="99"/>
    <w:semiHidden/>
    <w:rsid w:val="007805DF"/>
    <w:rPr>
      <w:rFonts w:ascii="Segoe UI" w:hAnsi="Segoe UI" w:cs="Segoe UI"/>
      <w:sz w:val="18"/>
      <w:szCs w:val="18"/>
    </w:rPr>
  </w:style>
  <w:style w:type="character" w:styleId="ac">
    <w:name w:val="annotation reference"/>
    <w:basedOn w:val="a3"/>
    <w:uiPriority w:val="99"/>
    <w:semiHidden/>
    <w:unhideWhenUsed/>
    <w:rsid w:val="007805DF"/>
    <w:rPr>
      <w:sz w:val="16"/>
      <w:szCs w:val="16"/>
    </w:rPr>
  </w:style>
  <w:style w:type="paragraph" w:styleId="ad">
    <w:name w:val="annotation text"/>
    <w:basedOn w:val="a2"/>
    <w:link w:val="ae"/>
    <w:uiPriority w:val="99"/>
    <w:semiHidden/>
    <w:unhideWhenUsed/>
    <w:rsid w:val="007805DF"/>
    <w:rPr>
      <w:sz w:val="20"/>
      <w:szCs w:val="20"/>
    </w:rPr>
  </w:style>
  <w:style w:type="character" w:customStyle="1" w:styleId="ae">
    <w:name w:val="Текст примечания Знак"/>
    <w:basedOn w:val="a3"/>
    <w:link w:val="ad"/>
    <w:uiPriority w:val="99"/>
    <w:semiHidden/>
    <w:rsid w:val="007805DF"/>
    <w:rPr>
      <w:sz w:val="20"/>
      <w:szCs w:val="20"/>
    </w:rPr>
  </w:style>
  <w:style w:type="paragraph" w:styleId="af">
    <w:name w:val="annotation subject"/>
    <w:basedOn w:val="ad"/>
    <w:next w:val="ad"/>
    <w:link w:val="af0"/>
    <w:uiPriority w:val="99"/>
    <w:semiHidden/>
    <w:unhideWhenUsed/>
    <w:rsid w:val="007805DF"/>
    <w:rPr>
      <w:b/>
      <w:bCs/>
    </w:rPr>
  </w:style>
  <w:style w:type="character" w:customStyle="1" w:styleId="af0">
    <w:name w:val="Тема примечания Знак"/>
    <w:basedOn w:val="ae"/>
    <w:link w:val="af"/>
    <w:uiPriority w:val="99"/>
    <w:semiHidden/>
    <w:rsid w:val="007805DF"/>
    <w:rPr>
      <w:b/>
      <w:bCs/>
      <w:sz w:val="20"/>
      <w:szCs w:val="20"/>
    </w:rPr>
  </w:style>
  <w:style w:type="character" w:styleId="af1">
    <w:name w:val="Hyperlink"/>
    <w:basedOn w:val="a3"/>
    <w:uiPriority w:val="99"/>
    <w:unhideWhenUsed/>
    <w:rsid w:val="00D83476"/>
    <w:rPr>
      <w:color w:val="0563C1" w:themeColor="hyperlink"/>
      <w:u w:val="single"/>
    </w:rPr>
  </w:style>
  <w:style w:type="character" w:customStyle="1" w:styleId="11">
    <w:name w:val="Неразрешенное упоминание1"/>
    <w:basedOn w:val="a3"/>
    <w:uiPriority w:val="99"/>
    <w:semiHidden/>
    <w:unhideWhenUsed/>
    <w:rsid w:val="00D83476"/>
    <w:rPr>
      <w:color w:val="808080"/>
      <w:shd w:val="clear" w:color="auto" w:fill="E6E6E6"/>
    </w:rPr>
  </w:style>
  <w:style w:type="character" w:styleId="af2">
    <w:name w:val="FollowedHyperlink"/>
    <w:basedOn w:val="a3"/>
    <w:uiPriority w:val="99"/>
    <w:semiHidden/>
    <w:unhideWhenUsed/>
    <w:rsid w:val="00D83476"/>
    <w:rPr>
      <w:color w:val="954F72" w:themeColor="followedHyperlink"/>
      <w:u w:val="single"/>
    </w:rPr>
  </w:style>
  <w:style w:type="paragraph" w:customStyle="1" w:styleId="12">
    <w:name w:val="Глава 1"/>
    <w:basedOn w:val="1"/>
    <w:next w:val="a6"/>
    <w:qFormat/>
    <w:rsid w:val="00680918"/>
    <w:pPr>
      <w:spacing w:before="0" w:line="360" w:lineRule="auto"/>
      <w:ind w:left="709"/>
      <w:jc w:val="both"/>
    </w:pPr>
    <w:rPr>
      <w:rFonts w:ascii="Times New Roman" w:hAnsi="Times New Roman"/>
      <w:b/>
      <w:color w:val="auto"/>
      <w:sz w:val="26"/>
    </w:rPr>
  </w:style>
  <w:style w:type="paragraph" w:customStyle="1" w:styleId="21">
    <w:name w:val="Глава 2"/>
    <w:basedOn w:val="2"/>
    <w:next w:val="a6"/>
    <w:qFormat/>
    <w:rsid w:val="00680918"/>
    <w:pPr>
      <w:spacing w:before="0" w:line="360" w:lineRule="auto"/>
      <w:ind w:left="709"/>
      <w:jc w:val="both"/>
    </w:pPr>
    <w:rPr>
      <w:rFonts w:ascii="Times New Roman" w:hAnsi="Times New Roman"/>
      <w:b/>
      <w:color w:val="auto"/>
      <w:sz w:val="24"/>
    </w:rPr>
  </w:style>
  <w:style w:type="character" w:customStyle="1" w:styleId="10">
    <w:name w:val="Заголовок 1 Знак"/>
    <w:basedOn w:val="a3"/>
    <w:link w:val="1"/>
    <w:uiPriority w:val="9"/>
    <w:rsid w:val="002E210E"/>
    <w:rPr>
      <w:rFonts w:asciiTheme="majorHAnsi" w:eastAsiaTheme="majorEastAsia" w:hAnsiTheme="majorHAnsi" w:cstheme="majorBidi"/>
      <w:color w:val="2F5496" w:themeColor="accent1" w:themeShade="BF"/>
      <w:sz w:val="32"/>
      <w:szCs w:val="32"/>
    </w:rPr>
  </w:style>
  <w:style w:type="paragraph" w:customStyle="1" w:styleId="31">
    <w:name w:val="Глава 3"/>
    <w:basedOn w:val="3"/>
    <w:qFormat/>
    <w:rsid w:val="00680918"/>
    <w:pPr>
      <w:spacing w:before="0" w:line="360" w:lineRule="auto"/>
      <w:ind w:left="709"/>
      <w:jc w:val="both"/>
    </w:pPr>
    <w:rPr>
      <w:rFonts w:ascii="Times New Roman" w:hAnsi="Times New Roman"/>
      <w:b/>
      <w:color w:val="auto"/>
    </w:rPr>
  </w:style>
  <w:style w:type="character" w:customStyle="1" w:styleId="20">
    <w:name w:val="Заголовок 2 Знак"/>
    <w:basedOn w:val="a3"/>
    <w:link w:val="2"/>
    <w:uiPriority w:val="9"/>
    <w:rsid w:val="002E210E"/>
    <w:rPr>
      <w:rFonts w:asciiTheme="majorHAnsi" w:eastAsiaTheme="majorEastAsia" w:hAnsiTheme="majorHAnsi" w:cstheme="majorBidi"/>
      <w:color w:val="2F5496" w:themeColor="accent1" w:themeShade="BF"/>
      <w:sz w:val="26"/>
      <w:szCs w:val="26"/>
    </w:rPr>
  </w:style>
  <w:style w:type="character" w:customStyle="1" w:styleId="50">
    <w:name w:val="Заголовок 5 Знак"/>
    <w:basedOn w:val="a3"/>
    <w:link w:val="5"/>
    <w:uiPriority w:val="9"/>
    <w:rsid w:val="002E210E"/>
    <w:rPr>
      <w:rFonts w:asciiTheme="majorHAnsi" w:eastAsiaTheme="majorEastAsia" w:hAnsiTheme="majorHAnsi" w:cstheme="majorBidi"/>
      <w:color w:val="2F5496" w:themeColor="accent1" w:themeShade="BF"/>
      <w:sz w:val="22"/>
      <w:szCs w:val="22"/>
    </w:rPr>
  </w:style>
  <w:style w:type="character" w:customStyle="1" w:styleId="30">
    <w:name w:val="Заголовок 3 Знак"/>
    <w:basedOn w:val="a3"/>
    <w:link w:val="3"/>
    <w:uiPriority w:val="9"/>
    <w:rsid w:val="002E210E"/>
    <w:rPr>
      <w:rFonts w:asciiTheme="majorHAnsi" w:eastAsiaTheme="majorEastAsia" w:hAnsiTheme="majorHAnsi" w:cstheme="majorBidi"/>
      <w:color w:val="1F3763" w:themeColor="accent1" w:themeShade="7F"/>
    </w:rPr>
  </w:style>
  <w:style w:type="paragraph" w:styleId="13">
    <w:name w:val="toc 1"/>
    <w:basedOn w:val="a2"/>
    <w:next w:val="a2"/>
    <w:autoRedefine/>
    <w:uiPriority w:val="39"/>
    <w:unhideWhenUsed/>
    <w:rsid w:val="00EA162F"/>
    <w:pPr>
      <w:tabs>
        <w:tab w:val="right" w:leader="dot" w:pos="9345"/>
      </w:tabs>
      <w:spacing w:before="120" w:after="120" w:line="360" w:lineRule="auto"/>
      <w:jc w:val="both"/>
    </w:pPr>
    <w:rPr>
      <w:b/>
      <w:noProof/>
    </w:rPr>
  </w:style>
  <w:style w:type="paragraph" w:styleId="22">
    <w:name w:val="toc 2"/>
    <w:basedOn w:val="a2"/>
    <w:next w:val="a2"/>
    <w:autoRedefine/>
    <w:uiPriority w:val="39"/>
    <w:unhideWhenUsed/>
    <w:rsid w:val="00445587"/>
    <w:pPr>
      <w:spacing w:before="120" w:after="120" w:line="360" w:lineRule="auto"/>
      <w:ind w:left="220"/>
      <w:jc w:val="both"/>
    </w:pPr>
  </w:style>
  <w:style w:type="paragraph" w:styleId="af3">
    <w:name w:val="TOC Heading"/>
    <w:basedOn w:val="1"/>
    <w:next w:val="a2"/>
    <w:uiPriority w:val="39"/>
    <w:unhideWhenUsed/>
    <w:qFormat/>
    <w:rsid w:val="002E210E"/>
    <w:pPr>
      <w:spacing w:before="480" w:line="276" w:lineRule="auto"/>
      <w:outlineLvl w:val="9"/>
    </w:pPr>
    <w:rPr>
      <w:b/>
      <w:bCs/>
      <w:sz w:val="28"/>
      <w:szCs w:val="28"/>
    </w:rPr>
  </w:style>
  <w:style w:type="paragraph" w:styleId="32">
    <w:name w:val="toc 3"/>
    <w:basedOn w:val="a2"/>
    <w:next w:val="a2"/>
    <w:autoRedefine/>
    <w:uiPriority w:val="39"/>
    <w:unhideWhenUsed/>
    <w:rsid w:val="00445587"/>
    <w:pPr>
      <w:spacing w:before="120" w:after="120" w:line="360" w:lineRule="auto"/>
      <w:ind w:left="440"/>
      <w:jc w:val="both"/>
    </w:pPr>
  </w:style>
  <w:style w:type="paragraph" w:styleId="af4">
    <w:name w:val="footer"/>
    <w:basedOn w:val="a2"/>
    <w:link w:val="af5"/>
    <w:uiPriority w:val="99"/>
    <w:unhideWhenUsed/>
    <w:rsid w:val="00B315D9"/>
    <w:pPr>
      <w:tabs>
        <w:tab w:val="center" w:pos="4677"/>
        <w:tab w:val="right" w:pos="9355"/>
      </w:tabs>
    </w:pPr>
  </w:style>
  <w:style w:type="character" w:customStyle="1" w:styleId="af5">
    <w:name w:val="Нижний колонтитул Знак"/>
    <w:basedOn w:val="a3"/>
    <w:link w:val="af4"/>
    <w:uiPriority w:val="99"/>
    <w:rsid w:val="00B315D9"/>
    <w:rPr>
      <w:sz w:val="22"/>
      <w:szCs w:val="22"/>
    </w:rPr>
  </w:style>
  <w:style w:type="character" w:styleId="af6">
    <w:name w:val="page number"/>
    <w:basedOn w:val="a3"/>
    <w:uiPriority w:val="99"/>
    <w:semiHidden/>
    <w:unhideWhenUsed/>
    <w:rsid w:val="00B315D9"/>
  </w:style>
  <w:style w:type="paragraph" w:styleId="af7">
    <w:name w:val="header"/>
    <w:basedOn w:val="a2"/>
    <w:link w:val="af8"/>
    <w:uiPriority w:val="99"/>
    <w:unhideWhenUsed/>
    <w:rsid w:val="00B315D9"/>
    <w:pPr>
      <w:tabs>
        <w:tab w:val="center" w:pos="4677"/>
        <w:tab w:val="right" w:pos="9355"/>
      </w:tabs>
    </w:pPr>
  </w:style>
  <w:style w:type="character" w:customStyle="1" w:styleId="af8">
    <w:name w:val="Верхний колонтитул Знак"/>
    <w:basedOn w:val="a3"/>
    <w:link w:val="af7"/>
    <w:uiPriority w:val="99"/>
    <w:rsid w:val="00B315D9"/>
    <w:rPr>
      <w:sz w:val="22"/>
      <w:szCs w:val="22"/>
    </w:rPr>
  </w:style>
  <w:style w:type="character" w:customStyle="1" w:styleId="40">
    <w:name w:val="Заголовок 4 Знак"/>
    <w:basedOn w:val="a3"/>
    <w:link w:val="4"/>
    <w:uiPriority w:val="9"/>
    <w:rsid w:val="00445587"/>
    <w:rPr>
      <w:rFonts w:asciiTheme="majorHAnsi" w:eastAsiaTheme="majorEastAsia" w:hAnsiTheme="majorHAnsi" w:cstheme="majorBidi"/>
      <w:i/>
      <w:iCs/>
      <w:color w:val="2F5496" w:themeColor="accent1" w:themeShade="BF"/>
      <w:sz w:val="22"/>
      <w:szCs w:val="22"/>
    </w:rPr>
  </w:style>
  <w:style w:type="paragraph" w:styleId="af9">
    <w:name w:val="List Paragraph"/>
    <w:basedOn w:val="a2"/>
    <w:uiPriority w:val="34"/>
    <w:qFormat/>
    <w:rsid w:val="00FD1E02"/>
    <w:pPr>
      <w:ind w:left="720"/>
      <w:contextualSpacing/>
    </w:pPr>
    <w:rPr>
      <w:rFonts w:eastAsiaTheme="minorEastAsia"/>
    </w:rPr>
  </w:style>
  <w:style w:type="paragraph" w:styleId="afa">
    <w:name w:val="Normal (Web)"/>
    <w:basedOn w:val="a2"/>
    <w:uiPriority w:val="99"/>
    <w:unhideWhenUsed/>
    <w:rsid w:val="00D24533"/>
    <w:pPr>
      <w:spacing w:before="100" w:beforeAutospacing="1" w:after="100" w:afterAutospacing="1"/>
    </w:pPr>
  </w:style>
  <w:style w:type="character" w:customStyle="1" w:styleId="blk">
    <w:name w:val="blk"/>
    <w:basedOn w:val="a3"/>
    <w:rsid w:val="00D24533"/>
  </w:style>
  <w:style w:type="character" w:customStyle="1" w:styleId="hl">
    <w:name w:val="hl"/>
    <w:basedOn w:val="a3"/>
    <w:rsid w:val="00D24533"/>
  </w:style>
  <w:style w:type="character" w:customStyle="1" w:styleId="apple-converted-space">
    <w:name w:val="apple-converted-space"/>
    <w:basedOn w:val="a3"/>
    <w:rsid w:val="00D24533"/>
  </w:style>
  <w:style w:type="character" w:customStyle="1" w:styleId="23">
    <w:name w:val="Неразрешенное упоминание2"/>
    <w:basedOn w:val="a3"/>
    <w:uiPriority w:val="99"/>
    <w:rsid w:val="00D24533"/>
    <w:rPr>
      <w:color w:val="808080"/>
      <w:shd w:val="clear" w:color="auto" w:fill="E6E6E6"/>
    </w:rPr>
  </w:style>
  <w:style w:type="character" w:styleId="afb">
    <w:name w:val="Emphasis"/>
    <w:basedOn w:val="a3"/>
    <w:uiPriority w:val="20"/>
    <w:qFormat/>
    <w:rsid w:val="00D24533"/>
    <w:rPr>
      <w:i/>
      <w:iCs/>
    </w:rPr>
  </w:style>
  <w:style w:type="character" w:styleId="afc">
    <w:name w:val="Strong"/>
    <w:basedOn w:val="a3"/>
    <w:uiPriority w:val="22"/>
    <w:qFormat/>
    <w:rsid w:val="00D24533"/>
    <w:rPr>
      <w:b/>
      <w:bCs/>
    </w:rPr>
  </w:style>
  <w:style w:type="table" w:styleId="afd">
    <w:name w:val="Table Grid"/>
    <w:basedOn w:val="a4"/>
    <w:uiPriority w:val="39"/>
    <w:rsid w:val="00D24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itle"/>
    <w:basedOn w:val="a2"/>
    <w:next w:val="a2"/>
    <w:link w:val="aff"/>
    <w:uiPriority w:val="10"/>
    <w:qFormat/>
    <w:rsid w:val="00D24533"/>
    <w:pPr>
      <w:ind w:firstLine="709"/>
      <w:contextualSpacing/>
    </w:pPr>
    <w:rPr>
      <w:rFonts w:asciiTheme="majorHAnsi" w:eastAsiaTheme="majorEastAsia" w:hAnsiTheme="majorHAnsi" w:cstheme="majorBidi"/>
      <w:spacing w:val="-10"/>
      <w:kern w:val="28"/>
      <w:sz w:val="56"/>
      <w:szCs w:val="56"/>
    </w:rPr>
  </w:style>
  <w:style w:type="character" w:customStyle="1" w:styleId="aff">
    <w:name w:val="Название Знак"/>
    <w:basedOn w:val="a3"/>
    <w:link w:val="afe"/>
    <w:uiPriority w:val="10"/>
    <w:rsid w:val="00D24533"/>
    <w:rPr>
      <w:rFonts w:asciiTheme="majorHAnsi" w:eastAsiaTheme="majorEastAsia" w:hAnsiTheme="majorHAnsi" w:cstheme="majorBidi"/>
      <w:spacing w:val="-10"/>
      <w:kern w:val="28"/>
      <w:sz w:val="56"/>
      <w:szCs w:val="56"/>
      <w:lang w:eastAsia="ru-RU"/>
    </w:rPr>
  </w:style>
  <w:style w:type="paragraph" w:styleId="aff0">
    <w:name w:val="Subtitle"/>
    <w:basedOn w:val="a2"/>
    <w:next w:val="a2"/>
    <w:link w:val="aff1"/>
    <w:uiPriority w:val="11"/>
    <w:qFormat/>
    <w:rsid w:val="00D24533"/>
    <w:pPr>
      <w:numPr>
        <w:ilvl w:val="1"/>
      </w:numPr>
      <w:spacing w:line="360" w:lineRule="auto"/>
      <w:ind w:firstLine="709"/>
    </w:pPr>
    <w:rPr>
      <w:rFonts w:eastAsiaTheme="minorEastAsia"/>
      <w:color w:val="5A5A5A" w:themeColor="text1" w:themeTint="A5"/>
      <w:spacing w:val="15"/>
    </w:rPr>
  </w:style>
  <w:style w:type="character" w:customStyle="1" w:styleId="aff1">
    <w:name w:val="Подзаголовок Знак"/>
    <w:basedOn w:val="a3"/>
    <w:link w:val="aff0"/>
    <w:uiPriority w:val="11"/>
    <w:rsid w:val="00D24533"/>
    <w:rPr>
      <w:rFonts w:eastAsiaTheme="minorEastAsia" w:cs="Times New Roman"/>
      <w:color w:val="5A5A5A" w:themeColor="text1" w:themeTint="A5"/>
      <w:spacing w:val="15"/>
      <w:sz w:val="22"/>
      <w:szCs w:val="22"/>
      <w:lang w:eastAsia="ru-RU"/>
    </w:rPr>
  </w:style>
  <w:style w:type="character" w:customStyle="1" w:styleId="nlmarticle-title">
    <w:name w:val="nlm_article-title"/>
    <w:basedOn w:val="a3"/>
    <w:rsid w:val="00D24533"/>
  </w:style>
  <w:style w:type="character" w:customStyle="1" w:styleId="nlmsubtitle">
    <w:name w:val="nlm_subtitle"/>
    <w:basedOn w:val="a3"/>
    <w:rsid w:val="00D24533"/>
  </w:style>
  <w:style w:type="paragraph" w:styleId="aff2">
    <w:name w:val="No Spacing"/>
    <w:uiPriority w:val="1"/>
    <w:qFormat/>
    <w:rsid w:val="00AE2DBF"/>
    <w:rPr>
      <w:sz w:val="22"/>
      <w:szCs w:val="22"/>
    </w:rPr>
  </w:style>
  <w:style w:type="character" w:customStyle="1" w:styleId="60">
    <w:name w:val="Заголовок 6 Знак"/>
    <w:basedOn w:val="a3"/>
    <w:link w:val="6"/>
    <w:uiPriority w:val="9"/>
    <w:rsid w:val="00AE2DBF"/>
    <w:rPr>
      <w:rFonts w:asciiTheme="majorHAnsi" w:eastAsiaTheme="majorEastAsia" w:hAnsiTheme="majorHAnsi" w:cstheme="majorBidi"/>
      <w:color w:val="1F3763" w:themeColor="accent1" w:themeShade="7F"/>
      <w:sz w:val="22"/>
      <w:szCs w:val="22"/>
    </w:rPr>
  </w:style>
  <w:style w:type="character" w:styleId="aff3">
    <w:name w:val="Intense Emphasis"/>
    <w:basedOn w:val="a3"/>
    <w:uiPriority w:val="21"/>
    <w:qFormat/>
    <w:rsid w:val="00AE2DBF"/>
    <w:rPr>
      <w:i/>
      <w:iCs/>
      <w:color w:val="4472C4" w:themeColor="accent1"/>
    </w:rPr>
  </w:style>
  <w:style w:type="character" w:styleId="aff4">
    <w:name w:val="Subtle Emphasis"/>
    <w:basedOn w:val="a3"/>
    <w:uiPriority w:val="19"/>
    <w:qFormat/>
    <w:rsid w:val="00AE2DBF"/>
    <w:rPr>
      <w:i/>
      <w:iCs/>
      <w:color w:val="404040" w:themeColor="text1" w:themeTint="BF"/>
    </w:rPr>
  </w:style>
  <w:style w:type="paragraph" w:customStyle="1" w:styleId="14">
    <w:name w:val="Стиль1"/>
    <w:basedOn w:val="a6"/>
    <w:qFormat/>
    <w:rsid w:val="00DA1B81"/>
    <w:pPr>
      <w:ind w:firstLine="0"/>
    </w:pPr>
  </w:style>
  <w:style w:type="paragraph" w:customStyle="1" w:styleId="aff5">
    <w:name w:val="Сноски"/>
    <w:basedOn w:val="a6"/>
    <w:qFormat/>
    <w:rsid w:val="007A5BCC"/>
    <w:pPr>
      <w:spacing w:line="240" w:lineRule="auto"/>
      <w:ind w:firstLine="0"/>
      <w:jc w:val="left"/>
    </w:pPr>
    <w:rPr>
      <w:sz w:val="20"/>
    </w:rPr>
  </w:style>
  <w:style w:type="character" w:styleId="aff6">
    <w:name w:val="Placeholder Text"/>
    <w:basedOn w:val="a3"/>
    <w:uiPriority w:val="99"/>
    <w:semiHidden/>
    <w:rsid w:val="00957929"/>
    <w:rPr>
      <w:color w:val="808080"/>
    </w:rPr>
  </w:style>
  <w:style w:type="paragraph" w:customStyle="1" w:styleId="aff7">
    <w:name w:val="Стиль ОТ"/>
    <w:basedOn w:val="a2"/>
    <w:uiPriority w:val="99"/>
    <w:rsid w:val="000300E5"/>
    <w:pPr>
      <w:suppressAutoHyphens/>
      <w:spacing w:line="360" w:lineRule="auto"/>
      <w:ind w:firstLine="567"/>
      <w:jc w:val="both"/>
    </w:pPr>
    <w:rPr>
      <w:color w:val="00000A"/>
      <w:lang w:eastAsia="zh-CN"/>
    </w:rPr>
  </w:style>
  <w:style w:type="paragraph" w:customStyle="1" w:styleId="a0">
    <w:name w:val="Таблица"/>
    <w:basedOn w:val="a6"/>
    <w:next w:val="a6"/>
    <w:qFormat/>
    <w:rsid w:val="00EA4509"/>
    <w:pPr>
      <w:numPr>
        <w:numId w:val="7"/>
      </w:numPr>
      <w:jc w:val="right"/>
    </w:pPr>
  </w:style>
  <w:style w:type="paragraph" w:customStyle="1" w:styleId="aff8">
    <w:name w:val="КВВ Заголовок таблицы"/>
    <w:basedOn w:val="a2"/>
    <w:next w:val="a2"/>
    <w:qFormat/>
    <w:rsid w:val="006D472A"/>
    <w:pPr>
      <w:spacing w:line="360" w:lineRule="auto"/>
      <w:jc w:val="center"/>
    </w:pPr>
    <w:rPr>
      <w:rFonts w:eastAsiaTheme="minorHAnsi" w:cstheme="minorBidi"/>
      <w:b/>
      <w:szCs w:val="22"/>
      <w:lang w:eastAsia="en-US"/>
    </w:rPr>
  </w:style>
  <w:style w:type="paragraph" w:customStyle="1" w:styleId="aff9">
    <w:name w:val="КВВ Содержимое таблицы"/>
    <w:basedOn w:val="a2"/>
    <w:next w:val="a2"/>
    <w:qFormat/>
    <w:rsid w:val="006D472A"/>
    <w:pPr>
      <w:spacing w:line="360" w:lineRule="auto"/>
    </w:pPr>
    <w:rPr>
      <w:rFonts w:eastAsiaTheme="minorHAnsi" w:cstheme="minorBidi"/>
      <w:sz w:val="20"/>
      <w:szCs w:val="22"/>
      <w:lang w:eastAsia="en-US"/>
    </w:rPr>
  </w:style>
  <w:style w:type="paragraph" w:customStyle="1" w:styleId="a">
    <w:name w:val="Рисунок"/>
    <w:basedOn w:val="a6"/>
    <w:next w:val="a6"/>
    <w:qFormat/>
    <w:rsid w:val="00C17306"/>
    <w:pPr>
      <w:numPr>
        <w:numId w:val="10"/>
      </w:numPr>
      <w:ind w:left="822" w:hanging="113"/>
      <w:jc w:val="center"/>
    </w:pPr>
    <w:rPr>
      <w:i/>
    </w:rPr>
  </w:style>
  <w:style w:type="paragraph" w:customStyle="1" w:styleId="a1">
    <w:name w:val="Приложения"/>
    <w:basedOn w:val="a6"/>
    <w:next w:val="a6"/>
    <w:qFormat/>
    <w:rsid w:val="00A16BE5"/>
    <w:pPr>
      <w:numPr>
        <w:numId w:val="22"/>
      </w:numPr>
      <w:ind w:left="822" w:hanging="113"/>
      <w:jc w:val="right"/>
    </w:pPr>
  </w:style>
  <w:style w:type="paragraph" w:styleId="affa">
    <w:name w:val="Revision"/>
    <w:hidden/>
    <w:uiPriority w:val="99"/>
    <w:semiHidden/>
    <w:rsid w:val="001364E3"/>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53800">
      <w:bodyDiv w:val="1"/>
      <w:marLeft w:val="0"/>
      <w:marRight w:val="0"/>
      <w:marTop w:val="0"/>
      <w:marBottom w:val="0"/>
      <w:divBdr>
        <w:top w:val="none" w:sz="0" w:space="0" w:color="auto"/>
        <w:left w:val="none" w:sz="0" w:space="0" w:color="auto"/>
        <w:bottom w:val="none" w:sz="0" w:space="0" w:color="auto"/>
        <w:right w:val="none" w:sz="0" w:space="0" w:color="auto"/>
      </w:divBdr>
    </w:div>
    <w:div w:id="47652263">
      <w:bodyDiv w:val="1"/>
      <w:marLeft w:val="0"/>
      <w:marRight w:val="0"/>
      <w:marTop w:val="0"/>
      <w:marBottom w:val="0"/>
      <w:divBdr>
        <w:top w:val="none" w:sz="0" w:space="0" w:color="auto"/>
        <w:left w:val="none" w:sz="0" w:space="0" w:color="auto"/>
        <w:bottom w:val="none" w:sz="0" w:space="0" w:color="auto"/>
        <w:right w:val="none" w:sz="0" w:space="0" w:color="auto"/>
      </w:divBdr>
      <w:divsChild>
        <w:div w:id="930360543">
          <w:marLeft w:val="0"/>
          <w:marRight w:val="0"/>
          <w:marTop w:val="0"/>
          <w:marBottom w:val="0"/>
          <w:divBdr>
            <w:top w:val="none" w:sz="0" w:space="0" w:color="auto"/>
            <w:left w:val="none" w:sz="0" w:space="0" w:color="auto"/>
            <w:bottom w:val="none" w:sz="0" w:space="0" w:color="auto"/>
            <w:right w:val="none" w:sz="0" w:space="0" w:color="auto"/>
          </w:divBdr>
          <w:divsChild>
            <w:div w:id="1624267780">
              <w:marLeft w:val="0"/>
              <w:marRight w:val="0"/>
              <w:marTop w:val="0"/>
              <w:marBottom w:val="0"/>
              <w:divBdr>
                <w:top w:val="none" w:sz="0" w:space="0" w:color="auto"/>
                <w:left w:val="none" w:sz="0" w:space="0" w:color="auto"/>
                <w:bottom w:val="none" w:sz="0" w:space="0" w:color="auto"/>
                <w:right w:val="none" w:sz="0" w:space="0" w:color="auto"/>
              </w:divBdr>
              <w:divsChild>
                <w:div w:id="8621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0506">
      <w:bodyDiv w:val="1"/>
      <w:marLeft w:val="0"/>
      <w:marRight w:val="0"/>
      <w:marTop w:val="0"/>
      <w:marBottom w:val="0"/>
      <w:divBdr>
        <w:top w:val="none" w:sz="0" w:space="0" w:color="auto"/>
        <w:left w:val="none" w:sz="0" w:space="0" w:color="auto"/>
        <w:bottom w:val="none" w:sz="0" w:space="0" w:color="auto"/>
        <w:right w:val="none" w:sz="0" w:space="0" w:color="auto"/>
      </w:divBdr>
      <w:divsChild>
        <w:div w:id="341399171">
          <w:marLeft w:val="0"/>
          <w:marRight w:val="0"/>
          <w:marTop w:val="0"/>
          <w:marBottom w:val="0"/>
          <w:divBdr>
            <w:top w:val="none" w:sz="0" w:space="0" w:color="auto"/>
            <w:left w:val="none" w:sz="0" w:space="0" w:color="auto"/>
            <w:bottom w:val="none" w:sz="0" w:space="0" w:color="auto"/>
            <w:right w:val="none" w:sz="0" w:space="0" w:color="auto"/>
          </w:divBdr>
          <w:divsChild>
            <w:div w:id="1159463383">
              <w:marLeft w:val="0"/>
              <w:marRight w:val="0"/>
              <w:marTop w:val="0"/>
              <w:marBottom w:val="0"/>
              <w:divBdr>
                <w:top w:val="none" w:sz="0" w:space="0" w:color="auto"/>
                <w:left w:val="none" w:sz="0" w:space="0" w:color="auto"/>
                <w:bottom w:val="none" w:sz="0" w:space="0" w:color="auto"/>
                <w:right w:val="none" w:sz="0" w:space="0" w:color="auto"/>
              </w:divBdr>
              <w:divsChild>
                <w:div w:id="19341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1826">
      <w:bodyDiv w:val="1"/>
      <w:marLeft w:val="0"/>
      <w:marRight w:val="0"/>
      <w:marTop w:val="0"/>
      <w:marBottom w:val="0"/>
      <w:divBdr>
        <w:top w:val="none" w:sz="0" w:space="0" w:color="auto"/>
        <w:left w:val="none" w:sz="0" w:space="0" w:color="auto"/>
        <w:bottom w:val="none" w:sz="0" w:space="0" w:color="auto"/>
        <w:right w:val="none" w:sz="0" w:space="0" w:color="auto"/>
      </w:divBdr>
      <w:divsChild>
        <w:div w:id="1025642450">
          <w:marLeft w:val="0"/>
          <w:marRight w:val="0"/>
          <w:marTop w:val="0"/>
          <w:marBottom w:val="0"/>
          <w:divBdr>
            <w:top w:val="none" w:sz="0" w:space="0" w:color="auto"/>
            <w:left w:val="none" w:sz="0" w:space="0" w:color="auto"/>
            <w:bottom w:val="none" w:sz="0" w:space="0" w:color="auto"/>
            <w:right w:val="none" w:sz="0" w:space="0" w:color="auto"/>
          </w:divBdr>
          <w:divsChild>
            <w:div w:id="158077818">
              <w:marLeft w:val="0"/>
              <w:marRight w:val="0"/>
              <w:marTop w:val="0"/>
              <w:marBottom w:val="0"/>
              <w:divBdr>
                <w:top w:val="none" w:sz="0" w:space="0" w:color="auto"/>
                <w:left w:val="none" w:sz="0" w:space="0" w:color="auto"/>
                <w:bottom w:val="none" w:sz="0" w:space="0" w:color="auto"/>
                <w:right w:val="none" w:sz="0" w:space="0" w:color="auto"/>
              </w:divBdr>
              <w:divsChild>
                <w:div w:id="38387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40588">
      <w:bodyDiv w:val="1"/>
      <w:marLeft w:val="0"/>
      <w:marRight w:val="0"/>
      <w:marTop w:val="0"/>
      <w:marBottom w:val="0"/>
      <w:divBdr>
        <w:top w:val="none" w:sz="0" w:space="0" w:color="auto"/>
        <w:left w:val="none" w:sz="0" w:space="0" w:color="auto"/>
        <w:bottom w:val="none" w:sz="0" w:space="0" w:color="auto"/>
        <w:right w:val="none" w:sz="0" w:space="0" w:color="auto"/>
      </w:divBdr>
    </w:div>
    <w:div w:id="186137761">
      <w:bodyDiv w:val="1"/>
      <w:marLeft w:val="0"/>
      <w:marRight w:val="0"/>
      <w:marTop w:val="0"/>
      <w:marBottom w:val="0"/>
      <w:divBdr>
        <w:top w:val="none" w:sz="0" w:space="0" w:color="auto"/>
        <w:left w:val="none" w:sz="0" w:space="0" w:color="auto"/>
        <w:bottom w:val="none" w:sz="0" w:space="0" w:color="auto"/>
        <w:right w:val="none" w:sz="0" w:space="0" w:color="auto"/>
      </w:divBdr>
    </w:div>
    <w:div w:id="192885390">
      <w:bodyDiv w:val="1"/>
      <w:marLeft w:val="0"/>
      <w:marRight w:val="0"/>
      <w:marTop w:val="0"/>
      <w:marBottom w:val="0"/>
      <w:divBdr>
        <w:top w:val="none" w:sz="0" w:space="0" w:color="auto"/>
        <w:left w:val="none" w:sz="0" w:space="0" w:color="auto"/>
        <w:bottom w:val="none" w:sz="0" w:space="0" w:color="auto"/>
        <w:right w:val="none" w:sz="0" w:space="0" w:color="auto"/>
      </w:divBdr>
      <w:divsChild>
        <w:div w:id="1711613535">
          <w:marLeft w:val="0"/>
          <w:marRight w:val="0"/>
          <w:marTop w:val="0"/>
          <w:marBottom w:val="0"/>
          <w:divBdr>
            <w:top w:val="none" w:sz="0" w:space="0" w:color="auto"/>
            <w:left w:val="none" w:sz="0" w:space="0" w:color="auto"/>
            <w:bottom w:val="none" w:sz="0" w:space="0" w:color="auto"/>
            <w:right w:val="none" w:sz="0" w:space="0" w:color="auto"/>
          </w:divBdr>
          <w:divsChild>
            <w:div w:id="232855313">
              <w:marLeft w:val="0"/>
              <w:marRight w:val="0"/>
              <w:marTop w:val="0"/>
              <w:marBottom w:val="0"/>
              <w:divBdr>
                <w:top w:val="none" w:sz="0" w:space="0" w:color="auto"/>
                <w:left w:val="none" w:sz="0" w:space="0" w:color="auto"/>
                <w:bottom w:val="none" w:sz="0" w:space="0" w:color="auto"/>
                <w:right w:val="none" w:sz="0" w:space="0" w:color="auto"/>
              </w:divBdr>
              <w:divsChild>
                <w:div w:id="5758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2478">
      <w:bodyDiv w:val="1"/>
      <w:marLeft w:val="0"/>
      <w:marRight w:val="0"/>
      <w:marTop w:val="0"/>
      <w:marBottom w:val="0"/>
      <w:divBdr>
        <w:top w:val="none" w:sz="0" w:space="0" w:color="auto"/>
        <w:left w:val="none" w:sz="0" w:space="0" w:color="auto"/>
        <w:bottom w:val="none" w:sz="0" w:space="0" w:color="auto"/>
        <w:right w:val="none" w:sz="0" w:space="0" w:color="auto"/>
      </w:divBdr>
    </w:div>
    <w:div w:id="220799278">
      <w:bodyDiv w:val="1"/>
      <w:marLeft w:val="0"/>
      <w:marRight w:val="0"/>
      <w:marTop w:val="0"/>
      <w:marBottom w:val="0"/>
      <w:divBdr>
        <w:top w:val="none" w:sz="0" w:space="0" w:color="auto"/>
        <w:left w:val="none" w:sz="0" w:space="0" w:color="auto"/>
        <w:bottom w:val="none" w:sz="0" w:space="0" w:color="auto"/>
        <w:right w:val="none" w:sz="0" w:space="0" w:color="auto"/>
      </w:divBdr>
    </w:div>
    <w:div w:id="326712855">
      <w:bodyDiv w:val="1"/>
      <w:marLeft w:val="0"/>
      <w:marRight w:val="0"/>
      <w:marTop w:val="0"/>
      <w:marBottom w:val="0"/>
      <w:divBdr>
        <w:top w:val="none" w:sz="0" w:space="0" w:color="auto"/>
        <w:left w:val="none" w:sz="0" w:space="0" w:color="auto"/>
        <w:bottom w:val="none" w:sz="0" w:space="0" w:color="auto"/>
        <w:right w:val="none" w:sz="0" w:space="0" w:color="auto"/>
      </w:divBdr>
    </w:div>
    <w:div w:id="333264046">
      <w:bodyDiv w:val="1"/>
      <w:marLeft w:val="0"/>
      <w:marRight w:val="0"/>
      <w:marTop w:val="0"/>
      <w:marBottom w:val="0"/>
      <w:divBdr>
        <w:top w:val="none" w:sz="0" w:space="0" w:color="auto"/>
        <w:left w:val="none" w:sz="0" w:space="0" w:color="auto"/>
        <w:bottom w:val="none" w:sz="0" w:space="0" w:color="auto"/>
        <w:right w:val="none" w:sz="0" w:space="0" w:color="auto"/>
      </w:divBdr>
    </w:div>
    <w:div w:id="357895492">
      <w:bodyDiv w:val="1"/>
      <w:marLeft w:val="0"/>
      <w:marRight w:val="0"/>
      <w:marTop w:val="0"/>
      <w:marBottom w:val="0"/>
      <w:divBdr>
        <w:top w:val="none" w:sz="0" w:space="0" w:color="auto"/>
        <w:left w:val="none" w:sz="0" w:space="0" w:color="auto"/>
        <w:bottom w:val="none" w:sz="0" w:space="0" w:color="auto"/>
        <w:right w:val="none" w:sz="0" w:space="0" w:color="auto"/>
      </w:divBdr>
    </w:div>
    <w:div w:id="359202960">
      <w:bodyDiv w:val="1"/>
      <w:marLeft w:val="0"/>
      <w:marRight w:val="0"/>
      <w:marTop w:val="0"/>
      <w:marBottom w:val="0"/>
      <w:divBdr>
        <w:top w:val="none" w:sz="0" w:space="0" w:color="auto"/>
        <w:left w:val="none" w:sz="0" w:space="0" w:color="auto"/>
        <w:bottom w:val="none" w:sz="0" w:space="0" w:color="auto"/>
        <w:right w:val="none" w:sz="0" w:space="0" w:color="auto"/>
      </w:divBdr>
      <w:divsChild>
        <w:div w:id="732505098">
          <w:marLeft w:val="0"/>
          <w:marRight w:val="0"/>
          <w:marTop w:val="0"/>
          <w:marBottom w:val="0"/>
          <w:divBdr>
            <w:top w:val="none" w:sz="0" w:space="0" w:color="auto"/>
            <w:left w:val="none" w:sz="0" w:space="0" w:color="auto"/>
            <w:bottom w:val="none" w:sz="0" w:space="0" w:color="auto"/>
            <w:right w:val="none" w:sz="0" w:space="0" w:color="auto"/>
          </w:divBdr>
          <w:divsChild>
            <w:div w:id="1336224011">
              <w:marLeft w:val="0"/>
              <w:marRight w:val="0"/>
              <w:marTop w:val="0"/>
              <w:marBottom w:val="0"/>
              <w:divBdr>
                <w:top w:val="none" w:sz="0" w:space="0" w:color="auto"/>
                <w:left w:val="none" w:sz="0" w:space="0" w:color="auto"/>
                <w:bottom w:val="none" w:sz="0" w:space="0" w:color="auto"/>
                <w:right w:val="none" w:sz="0" w:space="0" w:color="auto"/>
              </w:divBdr>
              <w:divsChild>
                <w:div w:id="10093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53626">
      <w:bodyDiv w:val="1"/>
      <w:marLeft w:val="0"/>
      <w:marRight w:val="0"/>
      <w:marTop w:val="0"/>
      <w:marBottom w:val="0"/>
      <w:divBdr>
        <w:top w:val="none" w:sz="0" w:space="0" w:color="auto"/>
        <w:left w:val="none" w:sz="0" w:space="0" w:color="auto"/>
        <w:bottom w:val="none" w:sz="0" w:space="0" w:color="auto"/>
        <w:right w:val="none" w:sz="0" w:space="0" w:color="auto"/>
      </w:divBdr>
      <w:divsChild>
        <w:div w:id="38169868">
          <w:marLeft w:val="0"/>
          <w:marRight w:val="0"/>
          <w:marTop w:val="0"/>
          <w:marBottom w:val="0"/>
          <w:divBdr>
            <w:top w:val="none" w:sz="0" w:space="0" w:color="auto"/>
            <w:left w:val="none" w:sz="0" w:space="0" w:color="auto"/>
            <w:bottom w:val="none" w:sz="0" w:space="0" w:color="auto"/>
            <w:right w:val="none" w:sz="0" w:space="0" w:color="auto"/>
          </w:divBdr>
          <w:divsChild>
            <w:div w:id="971980347">
              <w:marLeft w:val="0"/>
              <w:marRight w:val="0"/>
              <w:marTop w:val="0"/>
              <w:marBottom w:val="0"/>
              <w:divBdr>
                <w:top w:val="none" w:sz="0" w:space="0" w:color="auto"/>
                <w:left w:val="none" w:sz="0" w:space="0" w:color="auto"/>
                <w:bottom w:val="none" w:sz="0" w:space="0" w:color="auto"/>
                <w:right w:val="none" w:sz="0" w:space="0" w:color="auto"/>
              </w:divBdr>
              <w:divsChild>
                <w:div w:id="6369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752704">
      <w:bodyDiv w:val="1"/>
      <w:marLeft w:val="0"/>
      <w:marRight w:val="0"/>
      <w:marTop w:val="0"/>
      <w:marBottom w:val="0"/>
      <w:divBdr>
        <w:top w:val="none" w:sz="0" w:space="0" w:color="auto"/>
        <w:left w:val="none" w:sz="0" w:space="0" w:color="auto"/>
        <w:bottom w:val="none" w:sz="0" w:space="0" w:color="auto"/>
        <w:right w:val="none" w:sz="0" w:space="0" w:color="auto"/>
      </w:divBdr>
    </w:div>
    <w:div w:id="432357361">
      <w:bodyDiv w:val="1"/>
      <w:marLeft w:val="0"/>
      <w:marRight w:val="0"/>
      <w:marTop w:val="0"/>
      <w:marBottom w:val="0"/>
      <w:divBdr>
        <w:top w:val="none" w:sz="0" w:space="0" w:color="auto"/>
        <w:left w:val="none" w:sz="0" w:space="0" w:color="auto"/>
        <w:bottom w:val="none" w:sz="0" w:space="0" w:color="auto"/>
        <w:right w:val="none" w:sz="0" w:space="0" w:color="auto"/>
      </w:divBdr>
      <w:divsChild>
        <w:div w:id="198249737">
          <w:marLeft w:val="0"/>
          <w:marRight w:val="0"/>
          <w:marTop w:val="0"/>
          <w:marBottom w:val="0"/>
          <w:divBdr>
            <w:top w:val="none" w:sz="0" w:space="0" w:color="auto"/>
            <w:left w:val="none" w:sz="0" w:space="0" w:color="auto"/>
            <w:bottom w:val="none" w:sz="0" w:space="0" w:color="auto"/>
            <w:right w:val="none" w:sz="0" w:space="0" w:color="auto"/>
          </w:divBdr>
          <w:divsChild>
            <w:div w:id="917440639">
              <w:marLeft w:val="0"/>
              <w:marRight w:val="0"/>
              <w:marTop w:val="0"/>
              <w:marBottom w:val="0"/>
              <w:divBdr>
                <w:top w:val="none" w:sz="0" w:space="0" w:color="auto"/>
                <w:left w:val="none" w:sz="0" w:space="0" w:color="auto"/>
                <w:bottom w:val="none" w:sz="0" w:space="0" w:color="auto"/>
                <w:right w:val="none" w:sz="0" w:space="0" w:color="auto"/>
              </w:divBdr>
              <w:divsChild>
                <w:div w:id="1437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2679">
      <w:bodyDiv w:val="1"/>
      <w:marLeft w:val="0"/>
      <w:marRight w:val="0"/>
      <w:marTop w:val="0"/>
      <w:marBottom w:val="0"/>
      <w:divBdr>
        <w:top w:val="none" w:sz="0" w:space="0" w:color="auto"/>
        <w:left w:val="none" w:sz="0" w:space="0" w:color="auto"/>
        <w:bottom w:val="none" w:sz="0" w:space="0" w:color="auto"/>
        <w:right w:val="none" w:sz="0" w:space="0" w:color="auto"/>
      </w:divBdr>
    </w:div>
    <w:div w:id="495649474">
      <w:bodyDiv w:val="1"/>
      <w:marLeft w:val="0"/>
      <w:marRight w:val="0"/>
      <w:marTop w:val="0"/>
      <w:marBottom w:val="0"/>
      <w:divBdr>
        <w:top w:val="none" w:sz="0" w:space="0" w:color="auto"/>
        <w:left w:val="none" w:sz="0" w:space="0" w:color="auto"/>
        <w:bottom w:val="none" w:sz="0" w:space="0" w:color="auto"/>
        <w:right w:val="none" w:sz="0" w:space="0" w:color="auto"/>
      </w:divBdr>
      <w:divsChild>
        <w:div w:id="2004971969">
          <w:marLeft w:val="0"/>
          <w:marRight w:val="0"/>
          <w:marTop w:val="0"/>
          <w:marBottom w:val="0"/>
          <w:divBdr>
            <w:top w:val="none" w:sz="0" w:space="0" w:color="auto"/>
            <w:left w:val="none" w:sz="0" w:space="0" w:color="auto"/>
            <w:bottom w:val="none" w:sz="0" w:space="0" w:color="auto"/>
            <w:right w:val="none" w:sz="0" w:space="0" w:color="auto"/>
          </w:divBdr>
          <w:divsChild>
            <w:div w:id="868645633">
              <w:marLeft w:val="0"/>
              <w:marRight w:val="0"/>
              <w:marTop w:val="0"/>
              <w:marBottom w:val="0"/>
              <w:divBdr>
                <w:top w:val="none" w:sz="0" w:space="0" w:color="auto"/>
                <w:left w:val="none" w:sz="0" w:space="0" w:color="auto"/>
                <w:bottom w:val="none" w:sz="0" w:space="0" w:color="auto"/>
                <w:right w:val="none" w:sz="0" w:space="0" w:color="auto"/>
              </w:divBdr>
              <w:divsChild>
                <w:div w:id="5934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59008">
      <w:bodyDiv w:val="1"/>
      <w:marLeft w:val="0"/>
      <w:marRight w:val="0"/>
      <w:marTop w:val="0"/>
      <w:marBottom w:val="0"/>
      <w:divBdr>
        <w:top w:val="none" w:sz="0" w:space="0" w:color="auto"/>
        <w:left w:val="none" w:sz="0" w:space="0" w:color="auto"/>
        <w:bottom w:val="none" w:sz="0" w:space="0" w:color="auto"/>
        <w:right w:val="none" w:sz="0" w:space="0" w:color="auto"/>
      </w:divBdr>
    </w:div>
    <w:div w:id="556666490">
      <w:bodyDiv w:val="1"/>
      <w:marLeft w:val="0"/>
      <w:marRight w:val="0"/>
      <w:marTop w:val="0"/>
      <w:marBottom w:val="0"/>
      <w:divBdr>
        <w:top w:val="none" w:sz="0" w:space="0" w:color="auto"/>
        <w:left w:val="none" w:sz="0" w:space="0" w:color="auto"/>
        <w:bottom w:val="none" w:sz="0" w:space="0" w:color="auto"/>
        <w:right w:val="none" w:sz="0" w:space="0" w:color="auto"/>
      </w:divBdr>
    </w:div>
    <w:div w:id="581837946">
      <w:bodyDiv w:val="1"/>
      <w:marLeft w:val="0"/>
      <w:marRight w:val="0"/>
      <w:marTop w:val="0"/>
      <w:marBottom w:val="0"/>
      <w:divBdr>
        <w:top w:val="none" w:sz="0" w:space="0" w:color="auto"/>
        <w:left w:val="none" w:sz="0" w:space="0" w:color="auto"/>
        <w:bottom w:val="none" w:sz="0" w:space="0" w:color="auto"/>
        <w:right w:val="none" w:sz="0" w:space="0" w:color="auto"/>
      </w:divBdr>
    </w:div>
    <w:div w:id="585068487">
      <w:bodyDiv w:val="1"/>
      <w:marLeft w:val="0"/>
      <w:marRight w:val="0"/>
      <w:marTop w:val="0"/>
      <w:marBottom w:val="0"/>
      <w:divBdr>
        <w:top w:val="none" w:sz="0" w:space="0" w:color="auto"/>
        <w:left w:val="none" w:sz="0" w:space="0" w:color="auto"/>
        <w:bottom w:val="none" w:sz="0" w:space="0" w:color="auto"/>
        <w:right w:val="none" w:sz="0" w:space="0" w:color="auto"/>
      </w:divBdr>
    </w:div>
    <w:div w:id="601181193">
      <w:bodyDiv w:val="1"/>
      <w:marLeft w:val="0"/>
      <w:marRight w:val="0"/>
      <w:marTop w:val="0"/>
      <w:marBottom w:val="0"/>
      <w:divBdr>
        <w:top w:val="none" w:sz="0" w:space="0" w:color="auto"/>
        <w:left w:val="none" w:sz="0" w:space="0" w:color="auto"/>
        <w:bottom w:val="none" w:sz="0" w:space="0" w:color="auto"/>
        <w:right w:val="none" w:sz="0" w:space="0" w:color="auto"/>
      </w:divBdr>
    </w:div>
    <w:div w:id="614606623">
      <w:bodyDiv w:val="1"/>
      <w:marLeft w:val="0"/>
      <w:marRight w:val="0"/>
      <w:marTop w:val="0"/>
      <w:marBottom w:val="0"/>
      <w:divBdr>
        <w:top w:val="none" w:sz="0" w:space="0" w:color="auto"/>
        <w:left w:val="none" w:sz="0" w:space="0" w:color="auto"/>
        <w:bottom w:val="none" w:sz="0" w:space="0" w:color="auto"/>
        <w:right w:val="none" w:sz="0" w:space="0" w:color="auto"/>
      </w:divBdr>
      <w:divsChild>
        <w:div w:id="1085110251">
          <w:marLeft w:val="0"/>
          <w:marRight w:val="0"/>
          <w:marTop w:val="0"/>
          <w:marBottom w:val="0"/>
          <w:divBdr>
            <w:top w:val="none" w:sz="0" w:space="0" w:color="auto"/>
            <w:left w:val="none" w:sz="0" w:space="0" w:color="auto"/>
            <w:bottom w:val="none" w:sz="0" w:space="0" w:color="auto"/>
            <w:right w:val="none" w:sz="0" w:space="0" w:color="auto"/>
          </w:divBdr>
          <w:divsChild>
            <w:div w:id="408626063">
              <w:marLeft w:val="0"/>
              <w:marRight w:val="0"/>
              <w:marTop w:val="0"/>
              <w:marBottom w:val="0"/>
              <w:divBdr>
                <w:top w:val="none" w:sz="0" w:space="0" w:color="auto"/>
                <w:left w:val="none" w:sz="0" w:space="0" w:color="auto"/>
                <w:bottom w:val="none" w:sz="0" w:space="0" w:color="auto"/>
                <w:right w:val="none" w:sz="0" w:space="0" w:color="auto"/>
              </w:divBdr>
              <w:divsChild>
                <w:div w:id="1792165997">
                  <w:marLeft w:val="0"/>
                  <w:marRight w:val="0"/>
                  <w:marTop w:val="0"/>
                  <w:marBottom w:val="0"/>
                  <w:divBdr>
                    <w:top w:val="none" w:sz="0" w:space="0" w:color="auto"/>
                    <w:left w:val="none" w:sz="0" w:space="0" w:color="auto"/>
                    <w:bottom w:val="none" w:sz="0" w:space="0" w:color="auto"/>
                    <w:right w:val="none" w:sz="0" w:space="0" w:color="auto"/>
                  </w:divBdr>
                  <w:divsChild>
                    <w:div w:id="11889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79163">
      <w:bodyDiv w:val="1"/>
      <w:marLeft w:val="0"/>
      <w:marRight w:val="0"/>
      <w:marTop w:val="0"/>
      <w:marBottom w:val="0"/>
      <w:divBdr>
        <w:top w:val="none" w:sz="0" w:space="0" w:color="auto"/>
        <w:left w:val="none" w:sz="0" w:space="0" w:color="auto"/>
        <w:bottom w:val="none" w:sz="0" w:space="0" w:color="auto"/>
        <w:right w:val="none" w:sz="0" w:space="0" w:color="auto"/>
      </w:divBdr>
    </w:div>
    <w:div w:id="618341928">
      <w:bodyDiv w:val="1"/>
      <w:marLeft w:val="0"/>
      <w:marRight w:val="0"/>
      <w:marTop w:val="0"/>
      <w:marBottom w:val="0"/>
      <w:divBdr>
        <w:top w:val="none" w:sz="0" w:space="0" w:color="auto"/>
        <w:left w:val="none" w:sz="0" w:space="0" w:color="auto"/>
        <w:bottom w:val="none" w:sz="0" w:space="0" w:color="auto"/>
        <w:right w:val="none" w:sz="0" w:space="0" w:color="auto"/>
      </w:divBdr>
    </w:div>
    <w:div w:id="631181003">
      <w:bodyDiv w:val="1"/>
      <w:marLeft w:val="0"/>
      <w:marRight w:val="0"/>
      <w:marTop w:val="0"/>
      <w:marBottom w:val="0"/>
      <w:divBdr>
        <w:top w:val="none" w:sz="0" w:space="0" w:color="auto"/>
        <w:left w:val="none" w:sz="0" w:space="0" w:color="auto"/>
        <w:bottom w:val="none" w:sz="0" w:space="0" w:color="auto"/>
        <w:right w:val="none" w:sz="0" w:space="0" w:color="auto"/>
      </w:divBdr>
    </w:div>
    <w:div w:id="678385795">
      <w:bodyDiv w:val="1"/>
      <w:marLeft w:val="0"/>
      <w:marRight w:val="0"/>
      <w:marTop w:val="0"/>
      <w:marBottom w:val="0"/>
      <w:divBdr>
        <w:top w:val="none" w:sz="0" w:space="0" w:color="auto"/>
        <w:left w:val="none" w:sz="0" w:space="0" w:color="auto"/>
        <w:bottom w:val="none" w:sz="0" w:space="0" w:color="auto"/>
        <w:right w:val="none" w:sz="0" w:space="0" w:color="auto"/>
      </w:divBdr>
      <w:divsChild>
        <w:div w:id="425153566">
          <w:marLeft w:val="0"/>
          <w:marRight w:val="0"/>
          <w:marTop w:val="0"/>
          <w:marBottom w:val="0"/>
          <w:divBdr>
            <w:top w:val="none" w:sz="0" w:space="0" w:color="auto"/>
            <w:left w:val="none" w:sz="0" w:space="0" w:color="auto"/>
            <w:bottom w:val="none" w:sz="0" w:space="0" w:color="auto"/>
            <w:right w:val="none" w:sz="0" w:space="0" w:color="auto"/>
          </w:divBdr>
          <w:divsChild>
            <w:div w:id="752123693">
              <w:marLeft w:val="0"/>
              <w:marRight w:val="0"/>
              <w:marTop w:val="0"/>
              <w:marBottom w:val="0"/>
              <w:divBdr>
                <w:top w:val="none" w:sz="0" w:space="0" w:color="auto"/>
                <w:left w:val="none" w:sz="0" w:space="0" w:color="auto"/>
                <w:bottom w:val="none" w:sz="0" w:space="0" w:color="auto"/>
                <w:right w:val="none" w:sz="0" w:space="0" w:color="auto"/>
              </w:divBdr>
              <w:divsChild>
                <w:div w:id="3302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1617">
      <w:bodyDiv w:val="1"/>
      <w:marLeft w:val="0"/>
      <w:marRight w:val="0"/>
      <w:marTop w:val="0"/>
      <w:marBottom w:val="0"/>
      <w:divBdr>
        <w:top w:val="none" w:sz="0" w:space="0" w:color="auto"/>
        <w:left w:val="none" w:sz="0" w:space="0" w:color="auto"/>
        <w:bottom w:val="none" w:sz="0" w:space="0" w:color="auto"/>
        <w:right w:val="none" w:sz="0" w:space="0" w:color="auto"/>
      </w:divBdr>
      <w:divsChild>
        <w:div w:id="1849438533">
          <w:marLeft w:val="0"/>
          <w:marRight w:val="0"/>
          <w:marTop w:val="0"/>
          <w:marBottom w:val="0"/>
          <w:divBdr>
            <w:top w:val="none" w:sz="0" w:space="0" w:color="auto"/>
            <w:left w:val="none" w:sz="0" w:space="0" w:color="auto"/>
            <w:bottom w:val="none" w:sz="0" w:space="0" w:color="auto"/>
            <w:right w:val="none" w:sz="0" w:space="0" w:color="auto"/>
          </w:divBdr>
          <w:divsChild>
            <w:div w:id="1302659512">
              <w:marLeft w:val="0"/>
              <w:marRight w:val="0"/>
              <w:marTop w:val="0"/>
              <w:marBottom w:val="0"/>
              <w:divBdr>
                <w:top w:val="none" w:sz="0" w:space="0" w:color="auto"/>
                <w:left w:val="none" w:sz="0" w:space="0" w:color="auto"/>
                <w:bottom w:val="none" w:sz="0" w:space="0" w:color="auto"/>
                <w:right w:val="none" w:sz="0" w:space="0" w:color="auto"/>
              </w:divBdr>
              <w:divsChild>
                <w:div w:id="852108619">
                  <w:marLeft w:val="0"/>
                  <w:marRight w:val="0"/>
                  <w:marTop w:val="0"/>
                  <w:marBottom w:val="0"/>
                  <w:divBdr>
                    <w:top w:val="none" w:sz="0" w:space="0" w:color="auto"/>
                    <w:left w:val="none" w:sz="0" w:space="0" w:color="auto"/>
                    <w:bottom w:val="none" w:sz="0" w:space="0" w:color="auto"/>
                    <w:right w:val="none" w:sz="0" w:space="0" w:color="auto"/>
                  </w:divBdr>
                  <w:divsChild>
                    <w:div w:id="169884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861200">
      <w:bodyDiv w:val="1"/>
      <w:marLeft w:val="0"/>
      <w:marRight w:val="0"/>
      <w:marTop w:val="0"/>
      <w:marBottom w:val="0"/>
      <w:divBdr>
        <w:top w:val="none" w:sz="0" w:space="0" w:color="auto"/>
        <w:left w:val="none" w:sz="0" w:space="0" w:color="auto"/>
        <w:bottom w:val="none" w:sz="0" w:space="0" w:color="auto"/>
        <w:right w:val="none" w:sz="0" w:space="0" w:color="auto"/>
      </w:divBdr>
    </w:div>
    <w:div w:id="794370193">
      <w:bodyDiv w:val="1"/>
      <w:marLeft w:val="0"/>
      <w:marRight w:val="0"/>
      <w:marTop w:val="0"/>
      <w:marBottom w:val="0"/>
      <w:divBdr>
        <w:top w:val="none" w:sz="0" w:space="0" w:color="auto"/>
        <w:left w:val="none" w:sz="0" w:space="0" w:color="auto"/>
        <w:bottom w:val="none" w:sz="0" w:space="0" w:color="auto"/>
        <w:right w:val="none" w:sz="0" w:space="0" w:color="auto"/>
      </w:divBdr>
      <w:divsChild>
        <w:div w:id="962619714">
          <w:marLeft w:val="0"/>
          <w:marRight w:val="0"/>
          <w:marTop w:val="0"/>
          <w:marBottom w:val="0"/>
          <w:divBdr>
            <w:top w:val="none" w:sz="0" w:space="0" w:color="auto"/>
            <w:left w:val="none" w:sz="0" w:space="0" w:color="auto"/>
            <w:bottom w:val="none" w:sz="0" w:space="0" w:color="auto"/>
            <w:right w:val="none" w:sz="0" w:space="0" w:color="auto"/>
          </w:divBdr>
          <w:divsChild>
            <w:div w:id="197163999">
              <w:marLeft w:val="0"/>
              <w:marRight w:val="0"/>
              <w:marTop w:val="0"/>
              <w:marBottom w:val="0"/>
              <w:divBdr>
                <w:top w:val="none" w:sz="0" w:space="0" w:color="auto"/>
                <w:left w:val="none" w:sz="0" w:space="0" w:color="auto"/>
                <w:bottom w:val="none" w:sz="0" w:space="0" w:color="auto"/>
                <w:right w:val="none" w:sz="0" w:space="0" w:color="auto"/>
              </w:divBdr>
              <w:divsChild>
                <w:div w:id="117757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4930">
      <w:bodyDiv w:val="1"/>
      <w:marLeft w:val="0"/>
      <w:marRight w:val="0"/>
      <w:marTop w:val="0"/>
      <w:marBottom w:val="0"/>
      <w:divBdr>
        <w:top w:val="none" w:sz="0" w:space="0" w:color="auto"/>
        <w:left w:val="none" w:sz="0" w:space="0" w:color="auto"/>
        <w:bottom w:val="none" w:sz="0" w:space="0" w:color="auto"/>
        <w:right w:val="none" w:sz="0" w:space="0" w:color="auto"/>
      </w:divBdr>
      <w:divsChild>
        <w:div w:id="839081878">
          <w:marLeft w:val="0"/>
          <w:marRight w:val="0"/>
          <w:marTop w:val="0"/>
          <w:marBottom w:val="0"/>
          <w:divBdr>
            <w:top w:val="none" w:sz="0" w:space="0" w:color="auto"/>
            <w:left w:val="none" w:sz="0" w:space="0" w:color="auto"/>
            <w:bottom w:val="none" w:sz="0" w:space="0" w:color="auto"/>
            <w:right w:val="none" w:sz="0" w:space="0" w:color="auto"/>
          </w:divBdr>
          <w:divsChild>
            <w:div w:id="616185304">
              <w:marLeft w:val="0"/>
              <w:marRight w:val="0"/>
              <w:marTop w:val="0"/>
              <w:marBottom w:val="0"/>
              <w:divBdr>
                <w:top w:val="none" w:sz="0" w:space="0" w:color="auto"/>
                <w:left w:val="none" w:sz="0" w:space="0" w:color="auto"/>
                <w:bottom w:val="none" w:sz="0" w:space="0" w:color="auto"/>
                <w:right w:val="none" w:sz="0" w:space="0" w:color="auto"/>
              </w:divBdr>
              <w:divsChild>
                <w:div w:id="21099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0730">
      <w:bodyDiv w:val="1"/>
      <w:marLeft w:val="0"/>
      <w:marRight w:val="0"/>
      <w:marTop w:val="0"/>
      <w:marBottom w:val="0"/>
      <w:divBdr>
        <w:top w:val="none" w:sz="0" w:space="0" w:color="auto"/>
        <w:left w:val="none" w:sz="0" w:space="0" w:color="auto"/>
        <w:bottom w:val="none" w:sz="0" w:space="0" w:color="auto"/>
        <w:right w:val="none" w:sz="0" w:space="0" w:color="auto"/>
      </w:divBdr>
      <w:divsChild>
        <w:div w:id="1446120914">
          <w:marLeft w:val="0"/>
          <w:marRight w:val="0"/>
          <w:marTop w:val="0"/>
          <w:marBottom w:val="0"/>
          <w:divBdr>
            <w:top w:val="none" w:sz="0" w:space="0" w:color="auto"/>
            <w:left w:val="none" w:sz="0" w:space="0" w:color="auto"/>
            <w:bottom w:val="none" w:sz="0" w:space="0" w:color="auto"/>
            <w:right w:val="none" w:sz="0" w:space="0" w:color="auto"/>
          </w:divBdr>
          <w:divsChild>
            <w:div w:id="865796305">
              <w:marLeft w:val="0"/>
              <w:marRight w:val="0"/>
              <w:marTop w:val="0"/>
              <w:marBottom w:val="0"/>
              <w:divBdr>
                <w:top w:val="none" w:sz="0" w:space="0" w:color="auto"/>
                <w:left w:val="none" w:sz="0" w:space="0" w:color="auto"/>
                <w:bottom w:val="none" w:sz="0" w:space="0" w:color="auto"/>
                <w:right w:val="none" w:sz="0" w:space="0" w:color="auto"/>
              </w:divBdr>
              <w:divsChild>
                <w:div w:id="5491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88170">
      <w:bodyDiv w:val="1"/>
      <w:marLeft w:val="0"/>
      <w:marRight w:val="0"/>
      <w:marTop w:val="0"/>
      <w:marBottom w:val="0"/>
      <w:divBdr>
        <w:top w:val="none" w:sz="0" w:space="0" w:color="auto"/>
        <w:left w:val="none" w:sz="0" w:space="0" w:color="auto"/>
        <w:bottom w:val="none" w:sz="0" w:space="0" w:color="auto"/>
        <w:right w:val="none" w:sz="0" w:space="0" w:color="auto"/>
      </w:divBdr>
    </w:div>
    <w:div w:id="919633621">
      <w:bodyDiv w:val="1"/>
      <w:marLeft w:val="0"/>
      <w:marRight w:val="0"/>
      <w:marTop w:val="0"/>
      <w:marBottom w:val="0"/>
      <w:divBdr>
        <w:top w:val="none" w:sz="0" w:space="0" w:color="auto"/>
        <w:left w:val="none" w:sz="0" w:space="0" w:color="auto"/>
        <w:bottom w:val="none" w:sz="0" w:space="0" w:color="auto"/>
        <w:right w:val="none" w:sz="0" w:space="0" w:color="auto"/>
      </w:divBdr>
      <w:divsChild>
        <w:div w:id="1874465501">
          <w:marLeft w:val="0"/>
          <w:marRight w:val="0"/>
          <w:marTop w:val="0"/>
          <w:marBottom w:val="0"/>
          <w:divBdr>
            <w:top w:val="none" w:sz="0" w:space="0" w:color="auto"/>
            <w:left w:val="none" w:sz="0" w:space="0" w:color="auto"/>
            <w:bottom w:val="none" w:sz="0" w:space="0" w:color="auto"/>
            <w:right w:val="none" w:sz="0" w:space="0" w:color="auto"/>
          </w:divBdr>
          <w:divsChild>
            <w:div w:id="1603294260">
              <w:marLeft w:val="0"/>
              <w:marRight w:val="0"/>
              <w:marTop w:val="0"/>
              <w:marBottom w:val="0"/>
              <w:divBdr>
                <w:top w:val="none" w:sz="0" w:space="0" w:color="auto"/>
                <w:left w:val="none" w:sz="0" w:space="0" w:color="auto"/>
                <w:bottom w:val="none" w:sz="0" w:space="0" w:color="auto"/>
                <w:right w:val="none" w:sz="0" w:space="0" w:color="auto"/>
              </w:divBdr>
              <w:divsChild>
                <w:div w:id="6255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544080">
      <w:bodyDiv w:val="1"/>
      <w:marLeft w:val="0"/>
      <w:marRight w:val="0"/>
      <w:marTop w:val="0"/>
      <w:marBottom w:val="0"/>
      <w:divBdr>
        <w:top w:val="none" w:sz="0" w:space="0" w:color="auto"/>
        <w:left w:val="none" w:sz="0" w:space="0" w:color="auto"/>
        <w:bottom w:val="none" w:sz="0" w:space="0" w:color="auto"/>
        <w:right w:val="none" w:sz="0" w:space="0" w:color="auto"/>
      </w:divBdr>
      <w:divsChild>
        <w:div w:id="1241329181">
          <w:marLeft w:val="0"/>
          <w:marRight w:val="0"/>
          <w:marTop w:val="0"/>
          <w:marBottom w:val="0"/>
          <w:divBdr>
            <w:top w:val="none" w:sz="0" w:space="0" w:color="auto"/>
            <w:left w:val="none" w:sz="0" w:space="0" w:color="auto"/>
            <w:bottom w:val="none" w:sz="0" w:space="0" w:color="auto"/>
            <w:right w:val="none" w:sz="0" w:space="0" w:color="auto"/>
          </w:divBdr>
          <w:divsChild>
            <w:div w:id="48463042">
              <w:marLeft w:val="0"/>
              <w:marRight w:val="0"/>
              <w:marTop w:val="0"/>
              <w:marBottom w:val="0"/>
              <w:divBdr>
                <w:top w:val="none" w:sz="0" w:space="0" w:color="auto"/>
                <w:left w:val="none" w:sz="0" w:space="0" w:color="auto"/>
                <w:bottom w:val="none" w:sz="0" w:space="0" w:color="auto"/>
                <w:right w:val="none" w:sz="0" w:space="0" w:color="auto"/>
              </w:divBdr>
              <w:divsChild>
                <w:div w:id="16356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43723">
      <w:bodyDiv w:val="1"/>
      <w:marLeft w:val="0"/>
      <w:marRight w:val="0"/>
      <w:marTop w:val="0"/>
      <w:marBottom w:val="0"/>
      <w:divBdr>
        <w:top w:val="none" w:sz="0" w:space="0" w:color="auto"/>
        <w:left w:val="none" w:sz="0" w:space="0" w:color="auto"/>
        <w:bottom w:val="none" w:sz="0" w:space="0" w:color="auto"/>
        <w:right w:val="none" w:sz="0" w:space="0" w:color="auto"/>
      </w:divBdr>
      <w:divsChild>
        <w:div w:id="1282567431">
          <w:marLeft w:val="0"/>
          <w:marRight w:val="0"/>
          <w:marTop w:val="0"/>
          <w:marBottom w:val="0"/>
          <w:divBdr>
            <w:top w:val="none" w:sz="0" w:space="0" w:color="auto"/>
            <w:left w:val="none" w:sz="0" w:space="0" w:color="auto"/>
            <w:bottom w:val="none" w:sz="0" w:space="0" w:color="auto"/>
            <w:right w:val="none" w:sz="0" w:space="0" w:color="auto"/>
          </w:divBdr>
          <w:divsChild>
            <w:div w:id="2013683003">
              <w:marLeft w:val="0"/>
              <w:marRight w:val="0"/>
              <w:marTop w:val="0"/>
              <w:marBottom w:val="0"/>
              <w:divBdr>
                <w:top w:val="none" w:sz="0" w:space="0" w:color="auto"/>
                <w:left w:val="none" w:sz="0" w:space="0" w:color="auto"/>
                <w:bottom w:val="none" w:sz="0" w:space="0" w:color="auto"/>
                <w:right w:val="none" w:sz="0" w:space="0" w:color="auto"/>
              </w:divBdr>
              <w:divsChild>
                <w:div w:id="9004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77736">
      <w:bodyDiv w:val="1"/>
      <w:marLeft w:val="0"/>
      <w:marRight w:val="0"/>
      <w:marTop w:val="0"/>
      <w:marBottom w:val="0"/>
      <w:divBdr>
        <w:top w:val="none" w:sz="0" w:space="0" w:color="auto"/>
        <w:left w:val="none" w:sz="0" w:space="0" w:color="auto"/>
        <w:bottom w:val="none" w:sz="0" w:space="0" w:color="auto"/>
        <w:right w:val="none" w:sz="0" w:space="0" w:color="auto"/>
      </w:divBdr>
      <w:divsChild>
        <w:div w:id="6712236">
          <w:marLeft w:val="0"/>
          <w:marRight w:val="0"/>
          <w:marTop w:val="0"/>
          <w:marBottom w:val="0"/>
          <w:divBdr>
            <w:top w:val="none" w:sz="0" w:space="0" w:color="auto"/>
            <w:left w:val="none" w:sz="0" w:space="0" w:color="auto"/>
            <w:bottom w:val="none" w:sz="0" w:space="0" w:color="auto"/>
            <w:right w:val="none" w:sz="0" w:space="0" w:color="auto"/>
          </w:divBdr>
          <w:divsChild>
            <w:div w:id="1788698854">
              <w:marLeft w:val="0"/>
              <w:marRight w:val="0"/>
              <w:marTop w:val="0"/>
              <w:marBottom w:val="0"/>
              <w:divBdr>
                <w:top w:val="none" w:sz="0" w:space="0" w:color="auto"/>
                <w:left w:val="none" w:sz="0" w:space="0" w:color="auto"/>
                <w:bottom w:val="none" w:sz="0" w:space="0" w:color="auto"/>
                <w:right w:val="none" w:sz="0" w:space="0" w:color="auto"/>
              </w:divBdr>
              <w:divsChild>
                <w:div w:id="1143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65646">
      <w:bodyDiv w:val="1"/>
      <w:marLeft w:val="0"/>
      <w:marRight w:val="0"/>
      <w:marTop w:val="0"/>
      <w:marBottom w:val="0"/>
      <w:divBdr>
        <w:top w:val="none" w:sz="0" w:space="0" w:color="auto"/>
        <w:left w:val="none" w:sz="0" w:space="0" w:color="auto"/>
        <w:bottom w:val="none" w:sz="0" w:space="0" w:color="auto"/>
        <w:right w:val="none" w:sz="0" w:space="0" w:color="auto"/>
      </w:divBdr>
    </w:div>
    <w:div w:id="1057826796">
      <w:bodyDiv w:val="1"/>
      <w:marLeft w:val="0"/>
      <w:marRight w:val="0"/>
      <w:marTop w:val="0"/>
      <w:marBottom w:val="0"/>
      <w:divBdr>
        <w:top w:val="none" w:sz="0" w:space="0" w:color="auto"/>
        <w:left w:val="none" w:sz="0" w:space="0" w:color="auto"/>
        <w:bottom w:val="none" w:sz="0" w:space="0" w:color="auto"/>
        <w:right w:val="none" w:sz="0" w:space="0" w:color="auto"/>
      </w:divBdr>
    </w:div>
    <w:div w:id="1063522642">
      <w:bodyDiv w:val="1"/>
      <w:marLeft w:val="0"/>
      <w:marRight w:val="0"/>
      <w:marTop w:val="0"/>
      <w:marBottom w:val="0"/>
      <w:divBdr>
        <w:top w:val="none" w:sz="0" w:space="0" w:color="auto"/>
        <w:left w:val="none" w:sz="0" w:space="0" w:color="auto"/>
        <w:bottom w:val="none" w:sz="0" w:space="0" w:color="auto"/>
        <w:right w:val="none" w:sz="0" w:space="0" w:color="auto"/>
      </w:divBdr>
    </w:div>
    <w:div w:id="1122068130">
      <w:bodyDiv w:val="1"/>
      <w:marLeft w:val="0"/>
      <w:marRight w:val="0"/>
      <w:marTop w:val="0"/>
      <w:marBottom w:val="0"/>
      <w:divBdr>
        <w:top w:val="none" w:sz="0" w:space="0" w:color="auto"/>
        <w:left w:val="none" w:sz="0" w:space="0" w:color="auto"/>
        <w:bottom w:val="none" w:sz="0" w:space="0" w:color="auto"/>
        <w:right w:val="none" w:sz="0" w:space="0" w:color="auto"/>
      </w:divBdr>
    </w:div>
    <w:div w:id="1149060066">
      <w:bodyDiv w:val="1"/>
      <w:marLeft w:val="0"/>
      <w:marRight w:val="0"/>
      <w:marTop w:val="0"/>
      <w:marBottom w:val="0"/>
      <w:divBdr>
        <w:top w:val="none" w:sz="0" w:space="0" w:color="auto"/>
        <w:left w:val="none" w:sz="0" w:space="0" w:color="auto"/>
        <w:bottom w:val="none" w:sz="0" w:space="0" w:color="auto"/>
        <w:right w:val="none" w:sz="0" w:space="0" w:color="auto"/>
      </w:divBdr>
      <w:divsChild>
        <w:div w:id="1739210411">
          <w:marLeft w:val="0"/>
          <w:marRight w:val="0"/>
          <w:marTop w:val="0"/>
          <w:marBottom w:val="0"/>
          <w:divBdr>
            <w:top w:val="none" w:sz="0" w:space="0" w:color="auto"/>
            <w:left w:val="none" w:sz="0" w:space="0" w:color="auto"/>
            <w:bottom w:val="none" w:sz="0" w:space="0" w:color="auto"/>
            <w:right w:val="none" w:sz="0" w:space="0" w:color="auto"/>
          </w:divBdr>
          <w:divsChild>
            <w:div w:id="1371612592">
              <w:marLeft w:val="0"/>
              <w:marRight w:val="0"/>
              <w:marTop w:val="0"/>
              <w:marBottom w:val="0"/>
              <w:divBdr>
                <w:top w:val="none" w:sz="0" w:space="0" w:color="auto"/>
                <w:left w:val="none" w:sz="0" w:space="0" w:color="auto"/>
                <w:bottom w:val="none" w:sz="0" w:space="0" w:color="auto"/>
                <w:right w:val="none" w:sz="0" w:space="0" w:color="auto"/>
              </w:divBdr>
              <w:divsChild>
                <w:div w:id="2510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54905">
      <w:bodyDiv w:val="1"/>
      <w:marLeft w:val="0"/>
      <w:marRight w:val="0"/>
      <w:marTop w:val="0"/>
      <w:marBottom w:val="0"/>
      <w:divBdr>
        <w:top w:val="none" w:sz="0" w:space="0" w:color="auto"/>
        <w:left w:val="none" w:sz="0" w:space="0" w:color="auto"/>
        <w:bottom w:val="none" w:sz="0" w:space="0" w:color="auto"/>
        <w:right w:val="none" w:sz="0" w:space="0" w:color="auto"/>
      </w:divBdr>
      <w:divsChild>
        <w:div w:id="1529373061">
          <w:marLeft w:val="0"/>
          <w:marRight w:val="0"/>
          <w:marTop w:val="0"/>
          <w:marBottom w:val="0"/>
          <w:divBdr>
            <w:top w:val="none" w:sz="0" w:space="0" w:color="auto"/>
            <w:left w:val="none" w:sz="0" w:space="0" w:color="auto"/>
            <w:bottom w:val="none" w:sz="0" w:space="0" w:color="auto"/>
            <w:right w:val="none" w:sz="0" w:space="0" w:color="auto"/>
          </w:divBdr>
          <w:divsChild>
            <w:div w:id="404844651">
              <w:marLeft w:val="0"/>
              <w:marRight w:val="0"/>
              <w:marTop w:val="0"/>
              <w:marBottom w:val="0"/>
              <w:divBdr>
                <w:top w:val="none" w:sz="0" w:space="0" w:color="auto"/>
                <w:left w:val="none" w:sz="0" w:space="0" w:color="auto"/>
                <w:bottom w:val="none" w:sz="0" w:space="0" w:color="auto"/>
                <w:right w:val="none" w:sz="0" w:space="0" w:color="auto"/>
              </w:divBdr>
              <w:divsChild>
                <w:div w:id="105069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78989">
      <w:bodyDiv w:val="1"/>
      <w:marLeft w:val="0"/>
      <w:marRight w:val="0"/>
      <w:marTop w:val="0"/>
      <w:marBottom w:val="0"/>
      <w:divBdr>
        <w:top w:val="none" w:sz="0" w:space="0" w:color="auto"/>
        <w:left w:val="none" w:sz="0" w:space="0" w:color="auto"/>
        <w:bottom w:val="none" w:sz="0" w:space="0" w:color="auto"/>
        <w:right w:val="none" w:sz="0" w:space="0" w:color="auto"/>
      </w:divBdr>
      <w:divsChild>
        <w:div w:id="1018236901">
          <w:marLeft w:val="0"/>
          <w:marRight w:val="0"/>
          <w:marTop w:val="0"/>
          <w:marBottom w:val="0"/>
          <w:divBdr>
            <w:top w:val="none" w:sz="0" w:space="0" w:color="auto"/>
            <w:left w:val="none" w:sz="0" w:space="0" w:color="auto"/>
            <w:bottom w:val="none" w:sz="0" w:space="0" w:color="auto"/>
            <w:right w:val="none" w:sz="0" w:space="0" w:color="auto"/>
          </w:divBdr>
          <w:divsChild>
            <w:div w:id="897588331">
              <w:marLeft w:val="0"/>
              <w:marRight w:val="0"/>
              <w:marTop w:val="0"/>
              <w:marBottom w:val="0"/>
              <w:divBdr>
                <w:top w:val="none" w:sz="0" w:space="0" w:color="auto"/>
                <w:left w:val="none" w:sz="0" w:space="0" w:color="auto"/>
                <w:bottom w:val="none" w:sz="0" w:space="0" w:color="auto"/>
                <w:right w:val="none" w:sz="0" w:space="0" w:color="auto"/>
              </w:divBdr>
              <w:divsChild>
                <w:div w:id="12757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29840">
      <w:bodyDiv w:val="1"/>
      <w:marLeft w:val="0"/>
      <w:marRight w:val="0"/>
      <w:marTop w:val="0"/>
      <w:marBottom w:val="0"/>
      <w:divBdr>
        <w:top w:val="none" w:sz="0" w:space="0" w:color="auto"/>
        <w:left w:val="none" w:sz="0" w:space="0" w:color="auto"/>
        <w:bottom w:val="none" w:sz="0" w:space="0" w:color="auto"/>
        <w:right w:val="none" w:sz="0" w:space="0" w:color="auto"/>
      </w:divBdr>
    </w:div>
    <w:div w:id="1349403832">
      <w:bodyDiv w:val="1"/>
      <w:marLeft w:val="0"/>
      <w:marRight w:val="0"/>
      <w:marTop w:val="0"/>
      <w:marBottom w:val="0"/>
      <w:divBdr>
        <w:top w:val="none" w:sz="0" w:space="0" w:color="auto"/>
        <w:left w:val="none" w:sz="0" w:space="0" w:color="auto"/>
        <w:bottom w:val="none" w:sz="0" w:space="0" w:color="auto"/>
        <w:right w:val="none" w:sz="0" w:space="0" w:color="auto"/>
      </w:divBdr>
      <w:divsChild>
        <w:div w:id="1116480860">
          <w:marLeft w:val="0"/>
          <w:marRight w:val="0"/>
          <w:marTop w:val="0"/>
          <w:marBottom w:val="0"/>
          <w:divBdr>
            <w:top w:val="none" w:sz="0" w:space="0" w:color="auto"/>
            <w:left w:val="none" w:sz="0" w:space="0" w:color="auto"/>
            <w:bottom w:val="none" w:sz="0" w:space="0" w:color="auto"/>
            <w:right w:val="none" w:sz="0" w:space="0" w:color="auto"/>
          </w:divBdr>
          <w:divsChild>
            <w:div w:id="648293784">
              <w:marLeft w:val="0"/>
              <w:marRight w:val="0"/>
              <w:marTop w:val="0"/>
              <w:marBottom w:val="0"/>
              <w:divBdr>
                <w:top w:val="none" w:sz="0" w:space="0" w:color="auto"/>
                <w:left w:val="none" w:sz="0" w:space="0" w:color="auto"/>
                <w:bottom w:val="none" w:sz="0" w:space="0" w:color="auto"/>
                <w:right w:val="none" w:sz="0" w:space="0" w:color="auto"/>
              </w:divBdr>
              <w:divsChild>
                <w:div w:id="16212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854499">
      <w:bodyDiv w:val="1"/>
      <w:marLeft w:val="0"/>
      <w:marRight w:val="0"/>
      <w:marTop w:val="0"/>
      <w:marBottom w:val="0"/>
      <w:divBdr>
        <w:top w:val="none" w:sz="0" w:space="0" w:color="auto"/>
        <w:left w:val="none" w:sz="0" w:space="0" w:color="auto"/>
        <w:bottom w:val="none" w:sz="0" w:space="0" w:color="auto"/>
        <w:right w:val="none" w:sz="0" w:space="0" w:color="auto"/>
      </w:divBdr>
    </w:div>
    <w:div w:id="1375227967">
      <w:bodyDiv w:val="1"/>
      <w:marLeft w:val="0"/>
      <w:marRight w:val="0"/>
      <w:marTop w:val="0"/>
      <w:marBottom w:val="0"/>
      <w:divBdr>
        <w:top w:val="none" w:sz="0" w:space="0" w:color="auto"/>
        <w:left w:val="none" w:sz="0" w:space="0" w:color="auto"/>
        <w:bottom w:val="none" w:sz="0" w:space="0" w:color="auto"/>
        <w:right w:val="none" w:sz="0" w:space="0" w:color="auto"/>
      </w:divBdr>
      <w:divsChild>
        <w:div w:id="507135426">
          <w:marLeft w:val="0"/>
          <w:marRight w:val="0"/>
          <w:marTop w:val="0"/>
          <w:marBottom w:val="0"/>
          <w:divBdr>
            <w:top w:val="none" w:sz="0" w:space="0" w:color="auto"/>
            <w:left w:val="none" w:sz="0" w:space="0" w:color="auto"/>
            <w:bottom w:val="none" w:sz="0" w:space="0" w:color="auto"/>
            <w:right w:val="none" w:sz="0" w:space="0" w:color="auto"/>
          </w:divBdr>
          <w:divsChild>
            <w:div w:id="1538393119">
              <w:marLeft w:val="0"/>
              <w:marRight w:val="0"/>
              <w:marTop w:val="0"/>
              <w:marBottom w:val="0"/>
              <w:divBdr>
                <w:top w:val="none" w:sz="0" w:space="0" w:color="auto"/>
                <w:left w:val="none" w:sz="0" w:space="0" w:color="auto"/>
                <w:bottom w:val="none" w:sz="0" w:space="0" w:color="auto"/>
                <w:right w:val="none" w:sz="0" w:space="0" w:color="auto"/>
              </w:divBdr>
              <w:divsChild>
                <w:div w:id="5006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00080">
      <w:bodyDiv w:val="1"/>
      <w:marLeft w:val="0"/>
      <w:marRight w:val="0"/>
      <w:marTop w:val="0"/>
      <w:marBottom w:val="0"/>
      <w:divBdr>
        <w:top w:val="none" w:sz="0" w:space="0" w:color="auto"/>
        <w:left w:val="none" w:sz="0" w:space="0" w:color="auto"/>
        <w:bottom w:val="none" w:sz="0" w:space="0" w:color="auto"/>
        <w:right w:val="none" w:sz="0" w:space="0" w:color="auto"/>
      </w:divBdr>
    </w:div>
    <w:div w:id="1470977351">
      <w:bodyDiv w:val="1"/>
      <w:marLeft w:val="0"/>
      <w:marRight w:val="0"/>
      <w:marTop w:val="0"/>
      <w:marBottom w:val="0"/>
      <w:divBdr>
        <w:top w:val="none" w:sz="0" w:space="0" w:color="auto"/>
        <w:left w:val="none" w:sz="0" w:space="0" w:color="auto"/>
        <w:bottom w:val="none" w:sz="0" w:space="0" w:color="auto"/>
        <w:right w:val="none" w:sz="0" w:space="0" w:color="auto"/>
      </w:divBdr>
    </w:div>
    <w:div w:id="1473668081">
      <w:bodyDiv w:val="1"/>
      <w:marLeft w:val="0"/>
      <w:marRight w:val="0"/>
      <w:marTop w:val="0"/>
      <w:marBottom w:val="0"/>
      <w:divBdr>
        <w:top w:val="none" w:sz="0" w:space="0" w:color="auto"/>
        <w:left w:val="none" w:sz="0" w:space="0" w:color="auto"/>
        <w:bottom w:val="none" w:sz="0" w:space="0" w:color="auto"/>
        <w:right w:val="none" w:sz="0" w:space="0" w:color="auto"/>
      </w:divBdr>
    </w:div>
    <w:div w:id="1497914649">
      <w:bodyDiv w:val="1"/>
      <w:marLeft w:val="0"/>
      <w:marRight w:val="0"/>
      <w:marTop w:val="0"/>
      <w:marBottom w:val="0"/>
      <w:divBdr>
        <w:top w:val="none" w:sz="0" w:space="0" w:color="auto"/>
        <w:left w:val="none" w:sz="0" w:space="0" w:color="auto"/>
        <w:bottom w:val="none" w:sz="0" w:space="0" w:color="auto"/>
        <w:right w:val="none" w:sz="0" w:space="0" w:color="auto"/>
      </w:divBdr>
      <w:divsChild>
        <w:div w:id="1993098537">
          <w:marLeft w:val="0"/>
          <w:marRight w:val="0"/>
          <w:marTop w:val="0"/>
          <w:marBottom w:val="0"/>
          <w:divBdr>
            <w:top w:val="none" w:sz="0" w:space="0" w:color="auto"/>
            <w:left w:val="none" w:sz="0" w:space="0" w:color="auto"/>
            <w:bottom w:val="none" w:sz="0" w:space="0" w:color="auto"/>
            <w:right w:val="none" w:sz="0" w:space="0" w:color="auto"/>
          </w:divBdr>
          <w:divsChild>
            <w:div w:id="76830405">
              <w:marLeft w:val="0"/>
              <w:marRight w:val="0"/>
              <w:marTop w:val="0"/>
              <w:marBottom w:val="0"/>
              <w:divBdr>
                <w:top w:val="none" w:sz="0" w:space="0" w:color="auto"/>
                <w:left w:val="none" w:sz="0" w:space="0" w:color="auto"/>
                <w:bottom w:val="none" w:sz="0" w:space="0" w:color="auto"/>
                <w:right w:val="none" w:sz="0" w:space="0" w:color="auto"/>
              </w:divBdr>
              <w:divsChild>
                <w:div w:id="17535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91478">
      <w:bodyDiv w:val="1"/>
      <w:marLeft w:val="0"/>
      <w:marRight w:val="0"/>
      <w:marTop w:val="0"/>
      <w:marBottom w:val="0"/>
      <w:divBdr>
        <w:top w:val="none" w:sz="0" w:space="0" w:color="auto"/>
        <w:left w:val="none" w:sz="0" w:space="0" w:color="auto"/>
        <w:bottom w:val="none" w:sz="0" w:space="0" w:color="auto"/>
        <w:right w:val="none" w:sz="0" w:space="0" w:color="auto"/>
      </w:divBdr>
    </w:div>
    <w:div w:id="1552158867">
      <w:bodyDiv w:val="1"/>
      <w:marLeft w:val="0"/>
      <w:marRight w:val="0"/>
      <w:marTop w:val="0"/>
      <w:marBottom w:val="0"/>
      <w:divBdr>
        <w:top w:val="none" w:sz="0" w:space="0" w:color="auto"/>
        <w:left w:val="none" w:sz="0" w:space="0" w:color="auto"/>
        <w:bottom w:val="none" w:sz="0" w:space="0" w:color="auto"/>
        <w:right w:val="none" w:sz="0" w:space="0" w:color="auto"/>
      </w:divBdr>
      <w:divsChild>
        <w:div w:id="486944190">
          <w:marLeft w:val="0"/>
          <w:marRight w:val="0"/>
          <w:marTop w:val="0"/>
          <w:marBottom w:val="0"/>
          <w:divBdr>
            <w:top w:val="none" w:sz="0" w:space="0" w:color="auto"/>
            <w:left w:val="none" w:sz="0" w:space="0" w:color="auto"/>
            <w:bottom w:val="none" w:sz="0" w:space="0" w:color="auto"/>
            <w:right w:val="none" w:sz="0" w:space="0" w:color="auto"/>
          </w:divBdr>
          <w:divsChild>
            <w:div w:id="1298414667">
              <w:marLeft w:val="0"/>
              <w:marRight w:val="0"/>
              <w:marTop w:val="0"/>
              <w:marBottom w:val="0"/>
              <w:divBdr>
                <w:top w:val="none" w:sz="0" w:space="0" w:color="auto"/>
                <w:left w:val="none" w:sz="0" w:space="0" w:color="auto"/>
                <w:bottom w:val="none" w:sz="0" w:space="0" w:color="auto"/>
                <w:right w:val="none" w:sz="0" w:space="0" w:color="auto"/>
              </w:divBdr>
              <w:divsChild>
                <w:div w:id="2720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46601">
      <w:bodyDiv w:val="1"/>
      <w:marLeft w:val="0"/>
      <w:marRight w:val="0"/>
      <w:marTop w:val="0"/>
      <w:marBottom w:val="0"/>
      <w:divBdr>
        <w:top w:val="none" w:sz="0" w:space="0" w:color="auto"/>
        <w:left w:val="none" w:sz="0" w:space="0" w:color="auto"/>
        <w:bottom w:val="none" w:sz="0" w:space="0" w:color="auto"/>
        <w:right w:val="none" w:sz="0" w:space="0" w:color="auto"/>
      </w:divBdr>
      <w:divsChild>
        <w:div w:id="164130189">
          <w:marLeft w:val="0"/>
          <w:marRight w:val="0"/>
          <w:marTop w:val="0"/>
          <w:marBottom w:val="0"/>
          <w:divBdr>
            <w:top w:val="none" w:sz="0" w:space="0" w:color="auto"/>
            <w:left w:val="none" w:sz="0" w:space="0" w:color="auto"/>
            <w:bottom w:val="none" w:sz="0" w:space="0" w:color="auto"/>
            <w:right w:val="none" w:sz="0" w:space="0" w:color="auto"/>
          </w:divBdr>
          <w:divsChild>
            <w:div w:id="493381836">
              <w:marLeft w:val="0"/>
              <w:marRight w:val="0"/>
              <w:marTop w:val="0"/>
              <w:marBottom w:val="0"/>
              <w:divBdr>
                <w:top w:val="none" w:sz="0" w:space="0" w:color="auto"/>
                <w:left w:val="none" w:sz="0" w:space="0" w:color="auto"/>
                <w:bottom w:val="none" w:sz="0" w:space="0" w:color="auto"/>
                <w:right w:val="none" w:sz="0" w:space="0" w:color="auto"/>
              </w:divBdr>
              <w:divsChild>
                <w:div w:id="138603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84014">
      <w:bodyDiv w:val="1"/>
      <w:marLeft w:val="0"/>
      <w:marRight w:val="0"/>
      <w:marTop w:val="0"/>
      <w:marBottom w:val="0"/>
      <w:divBdr>
        <w:top w:val="none" w:sz="0" w:space="0" w:color="auto"/>
        <w:left w:val="none" w:sz="0" w:space="0" w:color="auto"/>
        <w:bottom w:val="none" w:sz="0" w:space="0" w:color="auto"/>
        <w:right w:val="none" w:sz="0" w:space="0" w:color="auto"/>
      </w:divBdr>
      <w:divsChild>
        <w:div w:id="1964539075">
          <w:marLeft w:val="0"/>
          <w:marRight w:val="0"/>
          <w:marTop w:val="0"/>
          <w:marBottom w:val="0"/>
          <w:divBdr>
            <w:top w:val="none" w:sz="0" w:space="0" w:color="auto"/>
            <w:left w:val="none" w:sz="0" w:space="0" w:color="auto"/>
            <w:bottom w:val="none" w:sz="0" w:space="0" w:color="auto"/>
            <w:right w:val="none" w:sz="0" w:space="0" w:color="auto"/>
          </w:divBdr>
          <w:divsChild>
            <w:div w:id="1412314629">
              <w:marLeft w:val="0"/>
              <w:marRight w:val="0"/>
              <w:marTop w:val="0"/>
              <w:marBottom w:val="0"/>
              <w:divBdr>
                <w:top w:val="none" w:sz="0" w:space="0" w:color="auto"/>
                <w:left w:val="none" w:sz="0" w:space="0" w:color="auto"/>
                <w:bottom w:val="none" w:sz="0" w:space="0" w:color="auto"/>
                <w:right w:val="none" w:sz="0" w:space="0" w:color="auto"/>
              </w:divBdr>
              <w:divsChild>
                <w:div w:id="7313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4408">
      <w:bodyDiv w:val="1"/>
      <w:marLeft w:val="0"/>
      <w:marRight w:val="0"/>
      <w:marTop w:val="0"/>
      <w:marBottom w:val="0"/>
      <w:divBdr>
        <w:top w:val="none" w:sz="0" w:space="0" w:color="auto"/>
        <w:left w:val="none" w:sz="0" w:space="0" w:color="auto"/>
        <w:bottom w:val="none" w:sz="0" w:space="0" w:color="auto"/>
        <w:right w:val="none" w:sz="0" w:space="0" w:color="auto"/>
      </w:divBdr>
      <w:divsChild>
        <w:div w:id="141970967">
          <w:marLeft w:val="0"/>
          <w:marRight w:val="0"/>
          <w:marTop w:val="0"/>
          <w:marBottom w:val="0"/>
          <w:divBdr>
            <w:top w:val="none" w:sz="0" w:space="0" w:color="auto"/>
            <w:left w:val="none" w:sz="0" w:space="0" w:color="auto"/>
            <w:bottom w:val="none" w:sz="0" w:space="0" w:color="auto"/>
            <w:right w:val="none" w:sz="0" w:space="0" w:color="auto"/>
          </w:divBdr>
          <w:divsChild>
            <w:div w:id="1116946680">
              <w:marLeft w:val="0"/>
              <w:marRight w:val="0"/>
              <w:marTop w:val="0"/>
              <w:marBottom w:val="0"/>
              <w:divBdr>
                <w:top w:val="none" w:sz="0" w:space="0" w:color="auto"/>
                <w:left w:val="none" w:sz="0" w:space="0" w:color="auto"/>
                <w:bottom w:val="none" w:sz="0" w:space="0" w:color="auto"/>
                <w:right w:val="none" w:sz="0" w:space="0" w:color="auto"/>
              </w:divBdr>
              <w:divsChild>
                <w:div w:id="7595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269">
      <w:bodyDiv w:val="1"/>
      <w:marLeft w:val="0"/>
      <w:marRight w:val="0"/>
      <w:marTop w:val="0"/>
      <w:marBottom w:val="0"/>
      <w:divBdr>
        <w:top w:val="none" w:sz="0" w:space="0" w:color="auto"/>
        <w:left w:val="none" w:sz="0" w:space="0" w:color="auto"/>
        <w:bottom w:val="none" w:sz="0" w:space="0" w:color="auto"/>
        <w:right w:val="none" w:sz="0" w:space="0" w:color="auto"/>
      </w:divBdr>
    </w:div>
    <w:div w:id="1675451342">
      <w:bodyDiv w:val="1"/>
      <w:marLeft w:val="0"/>
      <w:marRight w:val="0"/>
      <w:marTop w:val="0"/>
      <w:marBottom w:val="0"/>
      <w:divBdr>
        <w:top w:val="none" w:sz="0" w:space="0" w:color="auto"/>
        <w:left w:val="none" w:sz="0" w:space="0" w:color="auto"/>
        <w:bottom w:val="none" w:sz="0" w:space="0" w:color="auto"/>
        <w:right w:val="none" w:sz="0" w:space="0" w:color="auto"/>
      </w:divBdr>
    </w:div>
    <w:div w:id="1685863139">
      <w:bodyDiv w:val="1"/>
      <w:marLeft w:val="0"/>
      <w:marRight w:val="0"/>
      <w:marTop w:val="0"/>
      <w:marBottom w:val="0"/>
      <w:divBdr>
        <w:top w:val="none" w:sz="0" w:space="0" w:color="auto"/>
        <w:left w:val="none" w:sz="0" w:space="0" w:color="auto"/>
        <w:bottom w:val="none" w:sz="0" w:space="0" w:color="auto"/>
        <w:right w:val="none" w:sz="0" w:space="0" w:color="auto"/>
      </w:divBdr>
    </w:div>
    <w:div w:id="1706903527">
      <w:bodyDiv w:val="1"/>
      <w:marLeft w:val="0"/>
      <w:marRight w:val="0"/>
      <w:marTop w:val="0"/>
      <w:marBottom w:val="0"/>
      <w:divBdr>
        <w:top w:val="none" w:sz="0" w:space="0" w:color="auto"/>
        <w:left w:val="none" w:sz="0" w:space="0" w:color="auto"/>
        <w:bottom w:val="none" w:sz="0" w:space="0" w:color="auto"/>
        <w:right w:val="none" w:sz="0" w:space="0" w:color="auto"/>
      </w:divBdr>
      <w:divsChild>
        <w:div w:id="1004166120">
          <w:marLeft w:val="0"/>
          <w:marRight w:val="0"/>
          <w:marTop w:val="0"/>
          <w:marBottom w:val="0"/>
          <w:divBdr>
            <w:top w:val="none" w:sz="0" w:space="0" w:color="auto"/>
            <w:left w:val="none" w:sz="0" w:space="0" w:color="auto"/>
            <w:bottom w:val="none" w:sz="0" w:space="0" w:color="auto"/>
            <w:right w:val="none" w:sz="0" w:space="0" w:color="auto"/>
          </w:divBdr>
          <w:divsChild>
            <w:div w:id="15737383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13767010">
      <w:bodyDiv w:val="1"/>
      <w:marLeft w:val="0"/>
      <w:marRight w:val="0"/>
      <w:marTop w:val="0"/>
      <w:marBottom w:val="0"/>
      <w:divBdr>
        <w:top w:val="none" w:sz="0" w:space="0" w:color="auto"/>
        <w:left w:val="none" w:sz="0" w:space="0" w:color="auto"/>
        <w:bottom w:val="none" w:sz="0" w:space="0" w:color="auto"/>
        <w:right w:val="none" w:sz="0" w:space="0" w:color="auto"/>
      </w:divBdr>
      <w:divsChild>
        <w:div w:id="886139514">
          <w:marLeft w:val="0"/>
          <w:marRight w:val="0"/>
          <w:marTop w:val="0"/>
          <w:marBottom w:val="0"/>
          <w:divBdr>
            <w:top w:val="none" w:sz="0" w:space="0" w:color="auto"/>
            <w:left w:val="none" w:sz="0" w:space="0" w:color="auto"/>
            <w:bottom w:val="none" w:sz="0" w:space="0" w:color="auto"/>
            <w:right w:val="none" w:sz="0" w:space="0" w:color="auto"/>
          </w:divBdr>
          <w:divsChild>
            <w:div w:id="1287734238">
              <w:marLeft w:val="0"/>
              <w:marRight w:val="0"/>
              <w:marTop w:val="0"/>
              <w:marBottom w:val="0"/>
              <w:divBdr>
                <w:top w:val="none" w:sz="0" w:space="0" w:color="auto"/>
                <w:left w:val="none" w:sz="0" w:space="0" w:color="auto"/>
                <w:bottom w:val="none" w:sz="0" w:space="0" w:color="auto"/>
                <w:right w:val="none" w:sz="0" w:space="0" w:color="auto"/>
              </w:divBdr>
              <w:divsChild>
                <w:div w:id="1778138035">
                  <w:marLeft w:val="0"/>
                  <w:marRight w:val="0"/>
                  <w:marTop w:val="0"/>
                  <w:marBottom w:val="0"/>
                  <w:divBdr>
                    <w:top w:val="none" w:sz="0" w:space="0" w:color="auto"/>
                    <w:left w:val="none" w:sz="0" w:space="0" w:color="auto"/>
                    <w:bottom w:val="none" w:sz="0" w:space="0" w:color="auto"/>
                    <w:right w:val="none" w:sz="0" w:space="0" w:color="auto"/>
                  </w:divBdr>
                  <w:divsChild>
                    <w:div w:id="124152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74898">
      <w:bodyDiv w:val="1"/>
      <w:marLeft w:val="0"/>
      <w:marRight w:val="0"/>
      <w:marTop w:val="0"/>
      <w:marBottom w:val="0"/>
      <w:divBdr>
        <w:top w:val="none" w:sz="0" w:space="0" w:color="auto"/>
        <w:left w:val="none" w:sz="0" w:space="0" w:color="auto"/>
        <w:bottom w:val="none" w:sz="0" w:space="0" w:color="auto"/>
        <w:right w:val="none" w:sz="0" w:space="0" w:color="auto"/>
      </w:divBdr>
      <w:divsChild>
        <w:div w:id="183132046">
          <w:marLeft w:val="0"/>
          <w:marRight w:val="0"/>
          <w:marTop w:val="0"/>
          <w:marBottom w:val="0"/>
          <w:divBdr>
            <w:top w:val="none" w:sz="0" w:space="0" w:color="auto"/>
            <w:left w:val="none" w:sz="0" w:space="0" w:color="auto"/>
            <w:bottom w:val="none" w:sz="0" w:space="0" w:color="auto"/>
            <w:right w:val="none" w:sz="0" w:space="0" w:color="auto"/>
          </w:divBdr>
          <w:divsChild>
            <w:div w:id="790634715">
              <w:marLeft w:val="0"/>
              <w:marRight w:val="0"/>
              <w:marTop w:val="0"/>
              <w:marBottom w:val="0"/>
              <w:divBdr>
                <w:top w:val="none" w:sz="0" w:space="0" w:color="auto"/>
                <w:left w:val="none" w:sz="0" w:space="0" w:color="auto"/>
                <w:bottom w:val="none" w:sz="0" w:space="0" w:color="auto"/>
                <w:right w:val="none" w:sz="0" w:space="0" w:color="auto"/>
              </w:divBdr>
              <w:divsChild>
                <w:div w:id="170474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466050">
      <w:bodyDiv w:val="1"/>
      <w:marLeft w:val="0"/>
      <w:marRight w:val="0"/>
      <w:marTop w:val="0"/>
      <w:marBottom w:val="0"/>
      <w:divBdr>
        <w:top w:val="none" w:sz="0" w:space="0" w:color="auto"/>
        <w:left w:val="none" w:sz="0" w:space="0" w:color="auto"/>
        <w:bottom w:val="none" w:sz="0" w:space="0" w:color="auto"/>
        <w:right w:val="none" w:sz="0" w:space="0" w:color="auto"/>
      </w:divBdr>
      <w:divsChild>
        <w:div w:id="598946278">
          <w:marLeft w:val="0"/>
          <w:marRight w:val="0"/>
          <w:marTop w:val="0"/>
          <w:marBottom w:val="0"/>
          <w:divBdr>
            <w:top w:val="none" w:sz="0" w:space="0" w:color="auto"/>
            <w:left w:val="none" w:sz="0" w:space="0" w:color="auto"/>
            <w:bottom w:val="none" w:sz="0" w:space="0" w:color="auto"/>
            <w:right w:val="none" w:sz="0" w:space="0" w:color="auto"/>
          </w:divBdr>
          <w:divsChild>
            <w:div w:id="947077436">
              <w:marLeft w:val="0"/>
              <w:marRight w:val="0"/>
              <w:marTop w:val="0"/>
              <w:marBottom w:val="0"/>
              <w:divBdr>
                <w:top w:val="none" w:sz="0" w:space="0" w:color="auto"/>
                <w:left w:val="none" w:sz="0" w:space="0" w:color="auto"/>
                <w:bottom w:val="none" w:sz="0" w:space="0" w:color="auto"/>
                <w:right w:val="none" w:sz="0" w:space="0" w:color="auto"/>
              </w:divBdr>
              <w:divsChild>
                <w:div w:id="950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30668">
      <w:bodyDiv w:val="1"/>
      <w:marLeft w:val="0"/>
      <w:marRight w:val="0"/>
      <w:marTop w:val="0"/>
      <w:marBottom w:val="0"/>
      <w:divBdr>
        <w:top w:val="none" w:sz="0" w:space="0" w:color="auto"/>
        <w:left w:val="none" w:sz="0" w:space="0" w:color="auto"/>
        <w:bottom w:val="none" w:sz="0" w:space="0" w:color="auto"/>
        <w:right w:val="none" w:sz="0" w:space="0" w:color="auto"/>
      </w:divBdr>
      <w:divsChild>
        <w:div w:id="1352879466">
          <w:marLeft w:val="0"/>
          <w:marRight w:val="0"/>
          <w:marTop w:val="0"/>
          <w:marBottom w:val="0"/>
          <w:divBdr>
            <w:top w:val="none" w:sz="0" w:space="0" w:color="auto"/>
            <w:left w:val="none" w:sz="0" w:space="0" w:color="auto"/>
            <w:bottom w:val="none" w:sz="0" w:space="0" w:color="auto"/>
            <w:right w:val="none" w:sz="0" w:space="0" w:color="auto"/>
          </w:divBdr>
          <w:divsChild>
            <w:div w:id="530530117">
              <w:marLeft w:val="0"/>
              <w:marRight w:val="0"/>
              <w:marTop w:val="0"/>
              <w:marBottom w:val="0"/>
              <w:divBdr>
                <w:top w:val="none" w:sz="0" w:space="0" w:color="auto"/>
                <w:left w:val="none" w:sz="0" w:space="0" w:color="auto"/>
                <w:bottom w:val="none" w:sz="0" w:space="0" w:color="auto"/>
                <w:right w:val="none" w:sz="0" w:space="0" w:color="auto"/>
              </w:divBdr>
              <w:divsChild>
                <w:div w:id="186424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03609">
      <w:bodyDiv w:val="1"/>
      <w:marLeft w:val="0"/>
      <w:marRight w:val="0"/>
      <w:marTop w:val="0"/>
      <w:marBottom w:val="0"/>
      <w:divBdr>
        <w:top w:val="none" w:sz="0" w:space="0" w:color="auto"/>
        <w:left w:val="none" w:sz="0" w:space="0" w:color="auto"/>
        <w:bottom w:val="none" w:sz="0" w:space="0" w:color="auto"/>
        <w:right w:val="none" w:sz="0" w:space="0" w:color="auto"/>
      </w:divBdr>
      <w:divsChild>
        <w:div w:id="1708526419">
          <w:marLeft w:val="0"/>
          <w:marRight w:val="0"/>
          <w:marTop w:val="0"/>
          <w:marBottom w:val="0"/>
          <w:divBdr>
            <w:top w:val="none" w:sz="0" w:space="0" w:color="auto"/>
            <w:left w:val="none" w:sz="0" w:space="0" w:color="auto"/>
            <w:bottom w:val="none" w:sz="0" w:space="0" w:color="auto"/>
            <w:right w:val="none" w:sz="0" w:space="0" w:color="auto"/>
          </w:divBdr>
          <w:divsChild>
            <w:div w:id="2017733624">
              <w:marLeft w:val="0"/>
              <w:marRight w:val="0"/>
              <w:marTop w:val="0"/>
              <w:marBottom w:val="0"/>
              <w:divBdr>
                <w:top w:val="none" w:sz="0" w:space="0" w:color="auto"/>
                <w:left w:val="none" w:sz="0" w:space="0" w:color="auto"/>
                <w:bottom w:val="none" w:sz="0" w:space="0" w:color="auto"/>
                <w:right w:val="none" w:sz="0" w:space="0" w:color="auto"/>
              </w:divBdr>
              <w:divsChild>
                <w:div w:id="17932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2929">
      <w:bodyDiv w:val="1"/>
      <w:marLeft w:val="0"/>
      <w:marRight w:val="0"/>
      <w:marTop w:val="0"/>
      <w:marBottom w:val="0"/>
      <w:divBdr>
        <w:top w:val="none" w:sz="0" w:space="0" w:color="auto"/>
        <w:left w:val="none" w:sz="0" w:space="0" w:color="auto"/>
        <w:bottom w:val="none" w:sz="0" w:space="0" w:color="auto"/>
        <w:right w:val="none" w:sz="0" w:space="0" w:color="auto"/>
      </w:divBdr>
      <w:divsChild>
        <w:div w:id="762842422">
          <w:marLeft w:val="0"/>
          <w:marRight w:val="0"/>
          <w:marTop w:val="0"/>
          <w:marBottom w:val="0"/>
          <w:divBdr>
            <w:top w:val="none" w:sz="0" w:space="0" w:color="auto"/>
            <w:left w:val="none" w:sz="0" w:space="0" w:color="auto"/>
            <w:bottom w:val="none" w:sz="0" w:space="0" w:color="auto"/>
            <w:right w:val="none" w:sz="0" w:space="0" w:color="auto"/>
          </w:divBdr>
          <w:divsChild>
            <w:div w:id="434905849">
              <w:marLeft w:val="0"/>
              <w:marRight w:val="0"/>
              <w:marTop w:val="0"/>
              <w:marBottom w:val="0"/>
              <w:divBdr>
                <w:top w:val="none" w:sz="0" w:space="0" w:color="auto"/>
                <w:left w:val="none" w:sz="0" w:space="0" w:color="auto"/>
                <w:bottom w:val="none" w:sz="0" w:space="0" w:color="auto"/>
                <w:right w:val="none" w:sz="0" w:space="0" w:color="auto"/>
              </w:divBdr>
              <w:divsChild>
                <w:div w:id="1067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90502">
      <w:bodyDiv w:val="1"/>
      <w:marLeft w:val="0"/>
      <w:marRight w:val="0"/>
      <w:marTop w:val="0"/>
      <w:marBottom w:val="0"/>
      <w:divBdr>
        <w:top w:val="none" w:sz="0" w:space="0" w:color="auto"/>
        <w:left w:val="none" w:sz="0" w:space="0" w:color="auto"/>
        <w:bottom w:val="none" w:sz="0" w:space="0" w:color="auto"/>
        <w:right w:val="none" w:sz="0" w:space="0" w:color="auto"/>
      </w:divBdr>
    </w:div>
    <w:div w:id="1920023311">
      <w:bodyDiv w:val="1"/>
      <w:marLeft w:val="0"/>
      <w:marRight w:val="0"/>
      <w:marTop w:val="0"/>
      <w:marBottom w:val="0"/>
      <w:divBdr>
        <w:top w:val="none" w:sz="0" w:space="0" w:color="auto"/>
        <w:left w:val="none" w:sz="0" w:space="0" w:color="auto"/>
        <w:bottom w:val="none" w:sz="0" w:space="0" w:color="auto"/>
        <w:right w:val="none" w:sz="0" w:space="0" w:color="auto"/>
      </w:divBdr>
      <w:divsChild>
        <w:div w:id="273949635">
          <w:marLeft w:val="0"/>
          <w:marRight w:val="0"/>
          <w:marTop w:val="0"/>
          <w:marBottom w:val="0"/>
          <w:divBdr>
            <w:top w:val="none" w:sz="0" w:space="0" w:color="auto"/>
            <w:left w:val="none" w:sz="0" w:space="0" w:color="auto"/>
            <w:bottom w:val="none" w:sz="0" w:space="0" w:color="auto"/>
            <w:right w:val="none" w:sz="0" w:space="0" w:color="auto"/>
          </w:divBdr>
          <w:divsChild>
            <w:div w:id="82336228">
              <w:marLeft w:val="0"/>
              <w:marRight w:val="0"/>
              <w:marTop w:val="0"/>
              <w:marBottom w:val="0"/>
              <w:divBdr>
                <w:top w:val="none" w:sz="0" w:space="0" w:color="auto"/>
                <w:left w:val="none" w:sz="0" w:space="0" w:color="auto"/>
                <w:bottom w:val="none" w:sz="0" w:space="0" w:color="auto"/>
                <w:right w:val="none" w:sz="0" w:space="0" w:color="auto"/>
              </w:divBdr>
              <w:divsChild>
                <w:div w:id="127999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49980">
      <w:bodyDiv w:val="1"/>
      <w:marLeft w:val="0"/>
      <w:marRight w:val="0"/>
      <w:marTop w:val="0"/>
      <w:marBottom w:val="0"/>
      <w:divBdr>
        <w:top w:val="none" w:sz="0" w:space="0" w:color="auto"/>
        <w:left w:val="none" w:sz="0" w:space="0" w:color="auto"/>
        <w:bottom w:val="none" w:sz="0" w:space="0" w:color="auto"/>
        <w:right w:val="none" w:sz="0" w:space="0" w:color="auto"/>
      </w:divBdr>
      <w:divsChild>
        <w:div w:id="1741439320">
          <w:marLeft w:val="0"/>
          <w:marRight w:val="0"/>
          <w:marTop w:val="0"/>
          <w:marBottom w:val="0"/>
          <w:divBdr>
            <w:top w:val="none" w:sz="0" w:space="0" w:color="auto"/>
            <w:left w:val="none" w:sz="0" w:space="0" w:color="auto"/>
            <w:bottom w:val="none" w:sz="0" w:space="0" w:color="auto"/>
            <w:right w:val="none" w:sz="0" w:space="0" w:color="auto"/>
          </w:divBdr>
          <w:divsChild>
            <w:div w:id="1616212936">
              <w:marLeft w:val="0"/>
              <w:marRight w:val="0"/>
              <w:marTop w:val="0"/>
              <w:marBottom w:val="0"/>
              <w:divBdr>
                <w:top w:val="none" w:sz="0" w:space="0" w:color="auto"/>
                <w:left w:val="none" w:sz="0" w:space="0" w:color="auto"/>
                <w:bottom w:val="none" w:sz="0" w:space="0" w:color="auto"/>
                <w:right w:val="none" w:sz="0" w:space="0" w:color="auto"/>
              </w:divBdr>
              <w:divsChild>
                <w:div w:id="11666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74132">
      <w:bodyDiv w:val="1"/>
      <w:marLeft w:val="0"/>
      <w:marRight w:val="0"/>
      <w:marTop w:val="0"/>
      <w:marBottom w:val="0"/>
      <w:divBdr>
        <w:top w:val="none" w:sz="0" w:space="0" w:color="auto"/>
        <w:left w:val="none" w:sz="0" w:space="0" w:color="auto"/>
        <w:bottom w:val="none" w:sz="0" w:space="0" w:color="auto"/>
        <w:right w:val="none" w:sz="0" w:space="0" w:color="auto"/>
      </w:divBdr>
    </w:div>
    <w:div w:id="2050497620">
      <w:bodyDiv w:val="1"/>
      <w:marLeft w:val="0"/>
      <w:marRight w:val="0"/>
      <w:marTop w:val="0"/>
      <w:marBottom w:val="0"/>
      <w:divBdr>
        <w:top w:val="none" w:sz="0" w:space="0" w:color="auto"/>
        <w:left w:val="none" w:sz="0" w:space="0" w:color="auto"/>
        <w:bottom w:val="none" w:sz="0" w:space="0" w:color="auto"/>
        <w:right w:val="none" w:sz="0" w:space="0" w:color="auto"/>
      </w:divBdr>
      <w:divsChild>
        <w:div w:id="1290168724">
          <w:marLeft w:val="0"/>
          <w:marRight w:val="0"/>
          <w:marTop w:val="0"/>
          <w:marBottom w:val="0"/>
          <w:divBdr>
            <w:top w:val="none" w:sz="0" w:space="0" w:color="auto"/>
            <w:left w:val="none" w:sz="0" w:space="0" w:color="auto"/>
            <w:bottom w:val="none" w:sz="0" w:space="0" w:color="auto"/>
            <w:right w:val="none" w:sz="0" w:space="0" w:color="auto"/>
          </w:divBdr>
          <w:divsChild>
            <w:div w:id="1787257">
              <w:marLeft w:val="0"/>
              <w:marRight w:val="0"/>
              <w:marTop w:val="0"/>
              <w:marBottom w:val="0"/>
              <w:divBdr>
                <w:top w:val="none" w:sz="0" w:space="0" w:color="auto"/>
                <w:left w:val="none" w:sz="0" w:space="0" w:color="auto"/>
                <w:bottom w:val="none" w:sz="0" w:space="0" w:color="auto"/>
                <w:right w:val="none" w:sz="0" w:space="0" w:color="auto"/>
              </w:divBdr>
              <w:divsChild>
                <w:div w:id="10226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927794">
      <w:bodyDiv w:val="1"/>
      <w:marLeft w:val="0"/>
      <w:marRight w:val="0"/>
      <w:marTop w:val="0"/>
      <w:marBottom w:val="0"/>
      <w:divBdr>
        <w:top w:val="none" w:sz="0" w:space="0" w:color="auto"/>
        <w:left w:val="none" w:sz="0" w:space="0" w:color="auto"/>
        <w:bottom w:val="none" w:sz="0" w:space="0" w:color="auto"/>
        <w:right w:val="none" w:sz="0" w:space="0" w:color="auto"/>
      </w:divBdr>
      <w:divsChild>
        <w:div w:id="1071856404">
          <w:marLeft w:val="0"/>
          <w:marRight w:val="0"/>
          <w:marTop w:val="0"/>
          <w:marBottom w:val="0"/>
          <w:divBdr>
            <w:top w:val="none" w:sz="0" w:space="0" w:color="auto"/>
            <w:left w:val="none" w:sz="0" w:space="0" w:color="auto"/>
            <w:bottom w:val="none" w:sz="0" w:space="0" w:color="auto"/>
            <w:right w:val="none" w:sz="0" w:space="0" w:color="auto"/>
          </w:divBdr>
          <w:divsChild>
            <w:div w:id="1234118370">
              <w:marLeft w:val="0"/>
              <w:marRight w:val="0"/>
              <w:marTop w:val="0"/>
              <w:marBottom w:val="0"/>
              <w:divBdr>
                <w:top w:val="none" w:sz="0" w:space="0" w:color="auto"/>
                <w:left w:val="none" w:sz="0" w:space="0" w:color="auto"/>
                <w:bottom w:val="none" w:sz="0" w:space="0" w:color="auto"/>
                <w:right w:val="none" w:sz="0" w:space="0" w:color="auto"/>
              </w:divBdr>
              <w:divsChild>
                <w:div w:id="2013095114">
                  <w:marLeft w:val="0"/>
                  <w:marRight w:val="0"/>
                  <w:marTop w:val="0"/>
                  <w:marBottom w:val="0"/>
                  <w:divBdr>
                    <w:top w:val="none" w:sz="0" w:space="0" w:color="auto"/>
                    <w:left w:val="none" w:sz="0" w:space="0" w:color="auto"/>
                    <w:bottom w:val="none" w:sz="0" w:space="0" w:color="auto"/>
                    <w:right w:val="none" w:sz="0" w:space="0" w:color="auto"/>
                  </w:divBdr>
                  <w:divsChild>
                    <w:div w:id="1882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04288">
      <w:bodyDiv w:val="1"/>
      <w:marLeft w:val="0"/>
      <w:marRight w:val="0"/>
      <w:marTop w:val="0"/>
      <w:marBottom w:val="0"/>
      <w:divBdr>
        <w:top w:val="none" w:sz="0" w:space="0" w:color="auto"/>
        <w:left w:val="none" w:sz="0" w:space="0" w:color="auto"/>
        <w:bottom w:val="none" w:sz="0" w:space="0" w:color="auto"/>
        <w:right w:val="none" w:sz="0" w:space="0" w:color="auto"/>
      </w:divBdr>
      <w:divsChild>
        <w:div w:id="596913792">
          <w:marLeft w:val="0"/>
          <w:marRight w:val="0"/>
          <w:marTop w:val="0"/>
          <w:marBottom w:val="0"/>
          <w:divBdr>
            <w:top w:val="none" w:sz="0" w:space="0" w:color="auto"/>
            <w:left w:val="none" w:sz="0" w:space="0" w:color="auto"/>
            <w:bottom w:val="none" w:sz="0" w:space="0" w:color="auto"/>
            <w:right w:val="none" w:sz="0" w:space="0" w:color="auto"/>
          </w:divBdr>
          <w:divsChild>
            <w:div w:id="2017265619">
              <w:marLeft w:val="0"/>
              <w:marRight w:val="0"/>
              <w:marTop w:val="0"/>
              <w:marBottom w:val="0"/>
              <w:divBdr>
                <w:top w:val="none" w:sz="0" w:space="0" w:color="auto"/>
                <w:left w:val="none" w:sz="0" w:space="0" w:color="auto"/>
                <w:bottom w:val="none" w:sz="0" w:space="0" w:color="auto"/>
                <w:right w:val="none" w:sz="0" w:space="0" w:color="auto"/>
              </w:divBdr>
              <w:divsChild>
                <w:div w:id="22387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image" Target="media/image1.png"/><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tiff"/><Relationship Id="rId27" Type="http://schemas.openxmlformats.org/officeDocument/2006/relationships/image" Target="media/image6.tiff"/><Relationship Id="rId28" Type="http://schemas.openxmlformats.org/officeDocument/2006/relationships/image" Target="media/image7.png"/><Relationship Id="rId29" Type="http://schemas.openxmlformats.org/officeDocument/2006/relationships/image" Target="media/image8.png"/><Relationship Id="rId30" Type="http://schemas.openxmlformats.org/officeDocument/2006/relationships/image" Target="media/image9.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3.xml"/><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chart" Target="charts/chart1.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chart" Target="charts/chart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larisa\Desktop\ITOG_Software-2.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Users\larisa\Desktop\ITOG_Software-2.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Users\larisa\Desktop\ITOG_Software-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chemeClr val="tx1"/>
                </a:solidFill>
                <a:effectLst/>
                <a:latin typeface="Times New Roman" panose="02020603050405020304" pitchFamily="18" charset="0"/>
                <a:cs typeface="Times New Roman" panose="02020603050405020304" pitchFamily="18" charset="0"/>
              </a:rPr>
              <a:t>Выпуск корпоративных облигаций, 2016 год</a:t>
            </a:r>
          </a:p>
          <a:p>
            <a:pPr>
              <a:defRPr sz="1400" b="0" i="0" u="none" strike="noStrike" kern="1200" spc="0" baseline="0">
                <a:solidFill>
                  <a:schemeClr val="tx1">
                    <a:lumMod val="65000"/>
                    <a:lumOff val="35000"/>
                  </a:schemeClr>
                </a:solidFill>
                <a:latin typeface="+mn-lt"/>
                <a:ea typeface="+mn-ea"/>
                <a:cs typeface="+mn-cs"/>
              </a:defRPr>
            </a:pPr>
            <a:r>
              <a:rPr lang="ru-RU" sz="1200">
                <a:solidFill>
                  <a:schemeClr val="tx1"/>
                </a:solidFill>
                <a:effectLst/>
                <a:latin typeface="Times New Roman" panose="02020603050405020304" pitchFamily="18" charset="0"/>
                <a:cs typeface="Times New Roman" panose="02020603050405020304" pitchFamily="18" charset="0"/>
              </a:rPr>
              <a:t>Всего: 1,5 трлн долл.</a:t>
            </a:r>
          </a:p>
        </c:rich>
      </c:tx>
      <c:overlay val="0"/>
      <c:spPr>
        <a:noFill/>
        <a:ln>
          <a:noFill/>
        </a:ln>
        <a:effectLst/>
      </c:spPr>
    </c:title>
    <c:autoTitleDeleted val="0"/>
    <c:plotArea>
      <c:layout/>
      <c:doughnutChart>
        <c:varyColors val="1"/>
        <c:ser>
          <c:idx val="0"/>
          <c:order val="0"/>
          <c:tx>
            <c:strRef>
              <c:f>Лист1!$B$1</c:f>
              <c:strCache>
                <c:ptCount val="1"/>
                <c:pt idx="0">
                  <c:v>Столбец2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429-D74E-80BF-A79A4C45ABE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429-D74E-80BF-A79A4C45ABE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429-D74E-80BF-A79A4C45ABE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429-D74E-80BF-A79A4C45ABE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429-D74E-80BF-A79A4C45ABE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429-D74E-80BF-A79A4C45ABE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B9FA-724B-AA0F-D4EEF640FD1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6429-D74E-80BF-A79A4C45AB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Финансовый сектор</c:v>
                </c:pt>
                <c:pt idx="1">
                  <c:v>Энергетика</c:v>
                </c:pt>
                <c:pt idx="2">
                  <c:v>Другие</c:v>
                </c:pt>
                <c:pt idx="3">
                  <c:v>Здравоохранение</c:v>
                </c:pt>
                <c:pt idx="4">
                  <c:v>Высокие Технологии</c:v>
                </c:pt>
                <c:pt idx="5">
                  <c:v>Промышленность</c:v>
                </c:pt>
                <c:pt idx="6">
                  <c:v>СМИ и Развлечения</c:v>
                </c:pt>
                <c:pt idx="7">
                  <c:v>Телеком</c:v>
                </c:pt>
              </c:strCache>
            </c:strRef>
          </c:cat>
          <c:val>
            <c:numRef>
              <c:f>Лист1!$B$2:$B$9</c:f>
              <c:numCache>
                <c:formatCode>0%</c:formatCode>
                <c:ptCount val="8"/>
                <c:pt idx="0">
                  <c:v>0.45</c:v>
                </c:pt>
                <c:pt idx="1">
                  <c:v>0.13</c:v>
                </c:pt>
                <c:pt idx="2">
                  <c:v>0.14</c:v>
                </c:pt>
                <c:pt idx="3">
                  <c:v>0.08</c:v>
                </c:pt>
                <c:pt idx="4">
                  <c:v>0.07</c:v>
                </c:pt>
                <c:pt idx="5">
                  <c:v>0.06</c:v>
                </c:pt>
                <c:pt idx="6">
                  <c:v>0.04</c:v>
                </c:pt>
                <c:pt idx="7">
                  <c:v>0.03</c:v>
                </c:pt>
              </c:numCache>
            </c:numRef>
          </c:val>
          <c:extLst xmlns:c16r2="http://schemas.microsoft.com/office/drawing/2015/06/chart">
            <c:ext xmlns:c16="http://schemas.microsoft.com/office/drawing/2014/chart" uri="{C3380CC4-5D6E-409C-BE32-E72D297353CC}">
              <c16:uniqueId val="{00000000-B9FA-724B-AA0F-D4EEF640FD1D}"/>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charset="0"/>
                <a:ea typeface="Times New Roman" charset="0"/>
                <a:cs typeface="Times New Roman" charset="0"/>
              </a:rPr>
              <a:t>Доходность облигаций</a:t>
            </a:r>
            <a:endParaRPr lang="en-US">
              <a:solidFill>
                <a:schemeClr val="tx1"/>
              </a:solidFill>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Лист2!$M$1</c:f>
              <c:strCache>
                <c:ptCount val="1"/>
                <c:pt idx="0">
                  <c:v>YLD</c:v>
                </c:pt>
              </c:strCache>
            </c:strRef>
          </c:tx>
          <c:spPr>
            <a:solidFill>
              <a:schemeClr val="accent1"/>
            </a:solidFill>
            <a:ln>
              <a:noFill/>
            </a:ln>
            <a:effectLst/>
          </c:spPr>
          <c:invertIfNegative val="0"/>
          <c:cat>
            <c:strRef>
              <c:f>Лист2!$L$2:$L$4</c:f>
              <c:strCache>
                <c:ptCount val="3"/>
                <c:pt idx="0">
                  <c:v>Высокие технологии</c:v>
                </c:pt>
                <c:pt idx="1">
                  <c:v>Металлургия</c:v>
                </c:pt>
                <c:pt idx="2">
                  <c:v>Ритейл </c:v>
                </c:pt>
              </c:strCache>
            </c:strRef>
          </c:cat>
          <c:val>
            <c:numRef>
              <c:f>Лист2!$M$2:$M$4</c:f>
              <c:numCache>
                <c:formatCode>0.00</c:formatCode>
                <c:ptCount val="3"/>
                <c:pt idx="0">
                  <c:v>5.574040816326526</c:v>
                </c:pt>
                <c:pt idx="1">
                  <c:v>5.265047619047619</c:v>
                </c:pt>
                <c:pt idx="2">
                  <c:v>4.732529411764708</c:v>
                </c:pt>
              </c:numCache>
            </c:numRef>
          </c:val>
          <c:extLst xmlns:c16r2="http://schemas.microsoft.com/office/drawing/2015/06/chart">
            <c:ext xmlns:c16="http://schemas.microsoft.com/office/drawing/2014/chart" uri="{C3380CC4-5D6E-409C-BE32-E72D297353CC}">
              <c16:uniqueId val="{00000000-CD1F-B74A-8357-3CA7271B2869}"/>
            </c:ext>
          </c:extLst>
        </c:ser>
        <c:dLbls>
          <c:showLegendKey val="0"/>
          <c:showVal val="0"/>
          <c:showCatName val="0"/>
          <c:showSerName val="0"/>
          <c:showPercent val="0"/>
          <c:showBubbleSize val="0"/>
        </c:dLbls>
        <c:gapWidth val="219"/>
        <c:overlap val="-27"/>
        <c:axId val="1847461984"/>
        <c:axId val="1853212912"/>
      </c:barChart>
      <c:catAx>
        <c:axId val="184746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3212912"/>
        <c:crosses val="autoZero"/>
        <c:auto val="1"/>
        <c:lblAlgn val="ctr"/>
        <c:lblOffset val="100"/>
        <c:noMultiLvlLbl val="0"/>
      </c:catAx>
      <c:valAx>
        <c:axId val="1853212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46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charset="0"/>
                <a:ea typeface="Times New Roman" charset="0"/>
                <a:cs typeface="Times New Roman" charset="0"/>
              </a:rPr>
              <a:t>Количество выпусков</a:t>
            </a:r>
            <a:endParaRPr lang="en-US">
              <a:solidFill>
                <a:schemeClr val="tx1"/>
              </a:solidFill>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Лист2!$N$1</c:f>
              <c:strCache>
                <c:ptCount val="1"/>
                <c:pt idx="0">
                  <c:v>NUM</c:v>
                </c:pt>
              </c:strCache>
            </c:strRef>
          </c:tx>
          <c:spPr>
            <a:solidFill>
              <a:schemeClr val="accent1"/>
            </a:solidFill>
            <a:ln>
              <a:noFill/>
            </a:ln>
            <a:effectLst/>
          </c:spPr>
          <c:invertIfNegative val="0"/>
          <c:cat>
            <c:strRef>
              <c:f>Лист2!$L$2:$L$4</c:f>
              <c:strCache>
                <c:ptCount val="3"/>
                <c:pt idx="0">
                  <c:v>Высокие технологии</c:v>
                </c:pt>
                <c:pt idx="1">
                  <c:v>Металлургия</c:v>
                </c:pt>
                <c:pt idx="2">
                  <c:v>Ритейл </c:v>
                </c:pt>
              </c:strCache>
            </c:strRef>
          </c:cat>
          <c:val>
            <c:numRef>
              <c:f>Лист2!$N$2:$N$4</c:f>
              <c:numCache>
                <c:formatCode>0.00</c:formatCode>
                <c:ptCount val="3"/>
                <c:pt idx="0">
                  <c:v>13.59183673469388</c:v>
                </c:pt>
                <c:pt idx="1">
                  <c:v>7.180327868852435</c:v>
                </c:pt>
                <c:pt idx="2">
                  <c:v>11.9056603773585</c:v>
                </c:pt>
              </c:numCache>
            </c:numRef>
          </c:val>
          <c:extLst xmlns:c16r2="http://schemas.microsoft.com/office/drawing/2015/06/chart">
            <c:ext xmlns:c16="http://schemas.microsoft.com/office/drawing/2014/chart" uri="{C3380CC4-5D6E-409C-BE32-E72D297353CC}">
              <c16:uniqueId val="{00000000-191D-DA48-B211-8FF70F107B94}"/>
            </c:ext>
          </c:extLst>
        </c:ser>
        <c:dLbls>
          <c:showLegendKey val="0"/>
          <c:showVal val="0"/>
          <c:showCatName val="0"/>
          <c:showSerName val="0"/>
          <c:showPercent val="0"/>
          <c:showBubbleSize val="0"/>
        </c:dLbls>
        <c:gapWidth val="219"/>
        <c:overlap val="-27"/>
        <c:axId val="1853688432"/>
        <c:axId val="1853690752"/>
      </c:barChart>
      <c:catAx>
        <c:axId val="18536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3690752"/>
        <c:crosses val="autoZero"/>
        <c:auto val="1"/>
        <c:lblAlgn val="ctr"/>
        <c:lblOffset val="100"/>
        <c:noMultiLvlLbl val="0"/>
      </c:catAx>
      <c:valAx>
        <c:axId val="1853690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368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charset="0"/>
                <a:ea typeface="Times New Roman" charset="0"/>
                <a:cs typeface="Times New Roman" charset="0"/>
              </a:rPr>
              <a:t>Доля суммы</a:t>
            </a:r>
            <a:r>
              <a:rPr lang="ru-RU" baseline="0">
                <a:solidFill>
                  <a:schemeClr val="tx1"/>
                </a:solidFill>
                <a:latin typeface="Times New Roman" charset="0"/>
                <a:ea typeface="Times New Roman" charset="0"/>
                <a:cs typeface="Times New Roman" charset="0"/>
              </a:rPr>
              <a:t> выпусков в чистых активах</a:t>
            </a:r>
            <a:r>
              <a:rPr lang="ru-RU">
                <a:solidFill>
                  <a:schemeClr val="tx1"/>
                </a:solidFill>
                <a:latin typeface="Times New Roman" charset="0"/>
                <a:ea typeface="Times New Roman" charset="0"/>
                <a:cs typeface="Times New Roman" charset="0"/>
              </a:rPr>
              <a:t> </a:t>
            </a:r>
            <a:endParaRPr lang="en-US">
              <a:solidFill>
                <a:schemeClr val="tx1"/>
              </a:solidFill>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Лист2!$O$1</c:f>
              <c:strCache>
                <c:ptCount val="1"/>
                <c:pt idx="0">
                  <c:v>AMT</c:v>
                </c:pt>
              </c:strCache>
            </c:strRef>
          </c:tx>
          <c:spPr>
            <a:solidFill>
              <a:schemeClr val="accent1"/>
            </a:solidFill>
            <a:ln>
              <a:noFill/>
            </a:ln>
            <a:effectLst/>
          </c:spPr>
          <c:invertIfNegative val="0"/>
          <c:cat>
            <c:strRef>
              <c:f>Лист2!$L$2:$L$4</c:f>
              <c:strCache>
                <c:ptCount val="3"/>
                <c:pt idx="0">
                  <c:v>Высокие технологии</c:v>
                </c:pt>
                <c:pt idx="1">
                  <c:v>Металлургия</c:v>
                </c:pt>
                <c:pt idx="2">
                  <c:v>Ритейл </c:v>
                </c:pt>
              </c:strCache>
            </c:strRef>
          </c:cat>
          <c:val>
            <c:numRef>
              <c:f>Лист2!$O$2:$O$4</c:f>
              <c:numCache>
                <c:formatCode>0.00</c:formatCode>
                <c:ptCount val="3"/>
                <c:pt idx="0">
                  <c:v>0.572316677608797</c:v>
                </c:pt>
                <c:pt idx="1">
                  <c:v>0.928668221222152</c:v>
                </c:pt>
                <c:pt idx="2">
                  <c:v>0.575732951296437</c:v>
                </c:pt>
              </c:numCache>
            </c:numRef>
          </c:val>
          <c:extLst xmlns:c16r2="http://schemas.microsoft.com/office/drawing/2015/06/chart">
            <c:ext xmlns:c16="http://schemas.microsoft.com/office/drawing/2014/chart" uri="{C3380CC4-5D6E-409C-BE32-E72D297353CC}">
              <c16:uniqueId val="{00000000-BA31-D840-861C-50CD50AA994A}"/>
            </c:ext>
          </c:extLst>
        </c:ser>
        <c:dLbls>
          <c:showLegendKey val="0"/>
          <c:showVal val="0"/>
          <c:showCatName val="0"/>
          <c:showSerName val="0"/>
          <c:showPercent val="0"/>
          <c:showBubbleSize val="0"/>
        </c:dLbls>
        <c:gapWidth val="219"/>
        <c:overlap val="5"/>
        <c:axId val="1847186592"/>
        <c:axId val="1922523664"/>
      </c:barChart>
      <c:catAx>
        <c:axId val="184718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2523664"/>
        <c:crosses val="autoZero"/>
        <c:auto val="1"/>
        <c:lblAlgn val="ctr"/>
        <c:lblOffset val="100"/>
        <c:noMultiLvlLbl val="0"/>
      </c:catAx>
      <c:valAx>
        <c:axId val="1922523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18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8AD107-E2A0-1C49-B99E-8A6113F7EB17}" type="doc">
      <dgm:prSet loTypeId="urn:microsoft.com/office/officeart/2005/8/layout/process1" loCatId="" qsTypeId="urn:microsoft.com/office/officeart/2005/8/quickstyle/simple4" qsCatId="simple" csTypeId="urn:microsoft.com/office/officeart/2005/8/colors/accent1_2" csCatId="accent1" phldr="1"/>
      <dgm:spPr/>
    </dgm:pt>
    <dgm:pt modelId="{58E30042-F4ED-FB45-B943-CD6751CBC2A8}">
      <dgm:prSet phldrT="[Текст]"/>
      <dgm:spPr/>
      <dgm:t>
        <a:bodyPr/>
        <a:lstStyle/>
        <a:p>
          <a:r>
            <a:rPr lang="ru-RU"/>
            <a:t>Корпоративные облигации, обеспеченные залогом</a:t>
          </a:r>
        </a:p>
      </dgm:t>
    </dgm:pt>
    <dgm:pt modelId="{0FBAD19A-6979-9D4C-A45A-B23232CA22D8}" type="parTrans" cxnId="{7AA6549D-F588-704F-9BD0-34BF0A93B7EF}">
      <dgm:prSet/>
      <dgm:spPr/>
      <dgm:t>
        <a:bodyPr/>
        <a:lstStyle/>
        <a:p>
          <a:endParaRPr lang="ru-RU"/>
        </a:p>
      </dgm:t>
    </dgm:pt>
    <dgm:pt modelId="{54CC2DB4-C07B-7C49-8F0A-22D51BF1DC6F}" type="sibTrans" cxnId="{7AA6549D-F588-704F-9BD0-34BF0A93B7EF}">
      <dgm:prSet/>
      <dgm:spPr/>
      <dgm:t>
        <a:bodyPr/>
        <a:lstStyle/>
        <a:p>
          <a:endParaRPr lang="ru-RU"/>
        </a:p>
      </dgm:t>
    </dgm:pt>
    <dgm:pt modelId="{C8A86422-6554-5047-A114-6A9169275564}">
      <dgm:prSet phldrT="[Текст]"/>
      <dgm:spPr/>
      <dgm:t>
        <a:bodyPr/>
        <a:lstStyle/>
        <a:p>
          <a:r>
            <a:rPr lang="ru-RU"/>
            <a:t>Корпоративные облигации, не обеспеченные залогом</a:t>
          </a:r>
        </a:p>
      </dgm:t>
    </dgm:pt>
    <dgm:pt modelId="{8C5CF800-6A73-3E46-ABC9-019B5711C699}" type="parTrans" cxnId="{04471E77-9E09-2749-A437-19B903712A16}">
      <dgm:prSet/>
      <dgm:spPr/>
      <dgm:t>
        <a:bodyPr/>
        <a:lstStyle/>
        <a:p>
          <a:endParaRPr lang="ru-RU"/>
        </a:p>
      </dgm:t>
    </dgm:pt>
    <dgm:pt modelId="{B97126CD-2187-5445-9045-EA726F6EF106}" type="sibTrans" cxnId="{04471E77-9E09-2749-A437-19B903712A16}">
      <dgm:prSet/>
      <dgm:spPr/>
      <dgm:t>
        <a:bodyPr/>
        <a:lstStyle/>
        <a:p>
          <a:endParaRPr lang="ru-RU"/>
        </a:p>
      </dgm:t>
    </dgm:pt>
    <dgm:pt modelId="{E4D5A3B3-7C9B-DA47-9E8E-D1F14FE83FB6}">
      <dgm:prSet phldrT="[Текст]"/>
      <dgm:spPr/>
      <dgm:t>
        <a:bodyPr/>
        <a:lstStyle/>
        <a:p>
          <a:r>
            <a:rPr lang="ru-RU"/>
            <a:t>Привилегированные акции</a:t>
          </a:r>
        </a:p>
      </dgm:t>
    </dgm:pt>
    <dgm:pt modelId="{48F31209-391E-3A4F-9DB4-73C39C12A84D}" type="parTrans" cxnId="{1869F3A7-E607-7946-9841-5A9D2C54B879}">
      <dgm:prSet/>
      <dgm:spPr/>
      <dgm:t>
        <a:bodyPr/>
        <a:lstStyle/>
        <a:p>
          <a:endParaRPr lang="ru-RU"/>
        </a:p>
      </dgm:t>
    </dgm:pt>
    <dgm:pt modelId="{0F81EB05-A4D1-4841-A77E-5D9DAF5F6DE5}" type="sibTrans" cxnId="{1869F3A7-E607-7946-9841-5A9D2C54B879}">
      <dgm:prSet/>
      <dgm:spPr/>
      <dgm:t>
        <a:bodyPr/>
        <a:lstStyle/>
        <a:p>
          <a:endParaRPr lang="ru-RU"/>
        </a:p>
      </dgm:t>
    </dgm:pt>
    <dgm:pt modelId="{12FFF52F-B551-3149-BFE8-B3BC72AB1B55}">
      <dgm:prSet phldrT="[Текст]"/>
      <dgm:spPr/>
      <dgm:t>
        <a:bodyPr/>
        <a:lstStyle/>
        <a:p>
          <a:r>
            <a:rPr lang="ru-RU"/>
            <a:t>Обыкновенные акции</a:t>
          </a:r>
        </a:p>
      </dgm:t>
    </dgm:pt>
    <dgm:pt modelId="{DF52D276-5FD6-C84C-91C5-E9AF7AE2DAB6}" type="parTrans" cxnId="{6B2CA462-39E0-D046-99BB-3E6AC99DBB3A}">
      <dgm:prSet/>
      <dgm:spPr/>
      <dgm:t>
        <a:bodyPr/>
        <a:lstStyle/>
        <a:p>
          <a:endParaRPr lang="ru-RU"/>
        </a:p>
      </dgm:t>
    </dgm:pt>
    <dgm:pt modelId="{D483FDA2-DC48-274F-8C22-44278BE39F11}" type="sibTrans" cxnId="{6B2CA462-39E0-D046-99BB-3E6AC99DBB3A}">
      <dgm:prSet/>
      <dgm:spPr/>
      <dgm:t>
        <a:bodyPr/>
        <a:lstStyle/>
        <a:p>
          <a:endParaRPr lang="ru-RU"/>
        </a:p>
      </dgm:t>
    </dgm:pt>
    <dgm:pt modelId="{17508132-36DC-7B4F-8EBD-A5F850DB8BFF}">
      <dgm:prSet phldrT="[Текст]"/>
      <dgm:spPr/>
      <dgm:t>
        <a:bodyPr/>
        <a:lstStyle/>
        <a:p>
          <a:r>
            <a:rPr lang="ru-RU"/>
            <a:t>Опционы, фьючерсы</a:t>
          </a:r>
        </a:p>
      </dgm:t>
    </dgm:pt>
    <dgm:pt modelId="{8AFF001D-4E62-494B-986B-8B024B8F625A}" type="parTrans" cxnId="{7B101C0E-D06C-FF4C-A0B8-6E018DD7B98F}">
      <dgm:prSet/>
      <dgm:spPr/>
      <dgm:t>
        <a:bodyPr/>
        <a:lstStyle/>
        <a:p>
          <a:endParaRPr lang="ru-RU"/>
        </a:p>
      </dgm:t>
    </dgm:pt>
    <dgm:pt modelId="{11CB8303-BBAF-FB40-8E17-BB9DA41E0666}" type="sibTrans" cxnId="{7B101C0E-D06C-FF4C-A0B8-6E018DD7B98F}">
      <dgm:prSet/>
      <dgm:spPr/>
      <dgm:t>
        <a:bodyPr/>
        <a:lstStyle/>
        <a:p>
          <a:endParaRPr lang="ru-RU"/>
        </a:p>
      </dgm:t>
    </dgm:pt>
    <dgm:pt modelId="{F8313DE2-D21B-824E-9547-295EBA14B6B1}" type="pres">
      <dgm:prSet presAssocID="{BD8AD107-E2A0-1C49-B99E-8A6113F7EB17}" presName="Name0" presStyleCnt="0">
        <dgm:presLayoutVars>
          <dgm:dir/>
          <dgm:resizeHandles val="exact"/>
        </dgm:presLayoutVars>
      </dgm:prSet>
      <dgm:spPr/>
    </dgm:pt>
    <dgm:pt modelId="{B523D10F-843E-2644-AC4C-C5D8066B4BA8}" type="pres">
      <dgm:prSet presAssocID="{58E30042-F4ED-FB45-B943-CD6751CBC2A8}" presName="node" presStyleLbl="node1" presStyleIdx="0" presStyleCnt="5">
        <dgm:presLayoutVars>
          <dgm:bulletEnabled val="1"/>
        </dgm:presLayoutVars>
      </dgm:prSet>
      <dgm:spPr/>
      <dgm:t>
        <a:bodyPr/>
        <a:lstStyle/>
        <a:p>
          <a:endParaRPr lang="ru-RU"/>
        </a:p>
      </dgm:t>
    </dgm:pt>
    <dgm:pt modelId="{F11EB02C-EE60-CB47-AB30-0CBFC5E0A8BC}" type="pres">
      <dgm:prSet presAssocID="{54CC2DB4-C07B-7C49-8F0A-22D51BF1DC6F}" presName="sibTrans" presStyleLbl="sibTrans2D1" presStyleIdx="0" presStyleCnt="4"/>
      <dgm:spPr>
        <a:prstGeom prst="mathMinus">
          <a:avLst/>
        </a:prstGeom>
      </dgm:spPr>
      <dgm:t>
        <a:bodyPr/>
        <a:lstStyle/>
        <a:p>
          <a:endParaRPr lang="ru-RU"/>
        </a:p>
      </dgm:t>
    </dgm:pt>
    <dgm:pt modelId="{FABAF52C-B2D6-074A-B387-FAAD1CBA8977}" type="pres">
      <dgm:prSet presAssocID="{54CC2DB4-C07B-7C49-8F0A-22D51BF1DC6F}" presName="connectorText" presStyleLbl="sibTrans2D1" presStyleIdx="0" presStyleCnt="4"/>
      <dgm:spPr/>
      <dgm:t>
        <a:bodyPr/>
        <a:lstStyle/>
        <a:p>
          <a:endParaRPr lang="ru-RU"/>
        </a:p>
      </dgm:t>
    </dgm:pt>
    <dgm:pt modelId="{740A5788-2E85-AA43-8C0D-FFD4CE7080DB}" type="pres">
      <dgm:prSet presAssocID="{C8A86422-6554-5047-A114-6A9169275564}" presName="node" presStyleLbl="node1" presStyleIdx="1" presStyleCnt="5">
        <dgm:presLayoutVars>
          <dgm:bulletEnabled val="1"/>
        </dgm:presLayoutVars>
      </dgm:prSet>
      <dgm:spPr/>
      <dgm:t>
        <a:bodyPr/>
        <a:lstStyle/>
        <a:p>
          <a:endParaRPr lang="ru-RU"/>
        </a:p>
      </dgm:t>
    </dgm:pt>
    <dgm:pt modelId="{9FD1470A-A601-204B-9E7F-8A1456A6F033}" type="pres">
      <dgm:prSet presAssocID="{B97126CD-2187-5445-9045-EA726F6EF106}" presName="sibTrans" presStyleLbl="sibTrans2D1" presStyleIdx="1" presStyleCnt="4"/>
      <dgm:spPr>
        <a:prstGeom prst="mathMinus">
          <a:avLst/>
        </a:prstGeom>
      </dgm:spPr>
      <dgm:t>
        <a:bodyPr/>
        <a:lstStyle/>
        <a:p>
          <a:endParaRPr lang="ru-RU"/>
        </a:p>
      </dgm:t>
    </dgm:pt>
    <dgm:pt modelId="{372BAAD0-9FCF-DF4E-B76E-03016485E7DE}" type="pres">
      <dgm:prSet presAssocID="{B97126CD-2187-5445-9045-EA726F6EF106}" presName="connectorText" presStyleLbl="sibTrans2D1" presStyleIdx="1" presStyleCnt="4"/>
      <dgm:spPr/>
      <dgm:t>
        <a:bodyPr/>
        <a:lstStyle/>
        <a:p>
          <a:endParaRPr lang="ru-RU"/>
        </a:p>
      </dgm:t>
    </dgm:pt>
    <dgm:pt modelId="{0EC8FA4E-7D05-C14C-BC28-58E381FD07DF}" type="pres">
      <dgm:prSet presAssocID="{E4D5A3B3-7C9B-DA47-9E8E-D1F14FE83FB6}" presName="node" presStyleLbl="node1" presStyleIdx="2" presStyleCnt="5">
        <dgm:presLayoutVars>
          <dgm:bulletEnabled val="1"/>
        </dgm:presLayoutVars>
      </dgm:prSet>
      <dgm:spPr/>
      <dgm:t>
        <a:bodyPr/>
        <a:lstStyle/>
        <a:p>
          <a:endParaRPr lang="ru-RU"/>
        </a:p>
      </dgm:t>
    </dgm:pt>
    <dgm:pt modelId="{47AF2CCB-1FE3-AF4D-B298-4903E5EBA8AE}" type="pres">
      <dgm:prSet presAssocID="{0F81EB05-A4D1-4841-A77E-5D9DAF5F6DE5}" presName="sibTrans" presStyleLbl="sibTrans2D1" presStyleIdx="2" presStyleCnt="4"/>
      <dgm:spPr>
        <a:prstGeom prst="mathMinus">
          <a:avLst/>
        </a:prstGeom>
      </dgm:spPr>
      <dgm:t>
        <a:bodyPr/>
        <a:lstStyle/>
        <a:p>
          <a:endParaRPr lang="ru-RU"/>
        </a:p>
      </dgm:t>
    </dgm:pt>
    <dgm:pt modelId="{BF2A6E5D-6EA4-BA45-904B-6CC2B83A9A34}" type="pres">
      <dgm:prSet presAssocID="{0F81EB05-A4D1-4841-A77E-5D9DAF5F6DE5}" presName="connectorText" presStyleLbl="sibTrans2D1" presStyleIdx="2" presStyleCnt="4"/>
      <dgm:spPr/>
      <dgm:t>
        <a:bodyPr/>
        <a:lstStyle/>
        <a:p>
          <a:endParaRPr lang="ru-RU"/>
        </a:p>
      </dgm:t>
    </dgm:pt>
    <dgm:pt modelId="{835AB7FE-C1EB-6F40-B5D7-1CB049A9F2E3}" type="pres">
      <dgm:prSet presAssocID="{12FFF52F-B551-3149-BFE8-B3BC72AB1B55}" presName="node" presStyleLbl="node1" presStyleIdx="3" presStyleCnt="5">
        <dgm:presLayoutVars>
          <dgm:bulletEnabled val="1"/>
        </dgm:presLayoutVars>
      </dgm:prSet>
      <dgm:spPr/>
      <dgm:t>
        <a:bodyPr/>
        <a:lstStyle/>
        <a:p>
          <a:endParaRPr lang="ru-RU"/>
        </a:p>
      </dgm:t>
    </dgm:pt>
    <dgm:pt modelId="{73D66803-107A-0040-9357-43FCD65543B9}" type="pres">
      <dgm:prSet presAssocID="{D483FDA2-DC48-274F-8C22-44278BE39F11}" presName="sibTrans" presStyleLbl="sibTrans2D1" presStyleIdx="3" presStyleCnt="4"/>
      <dgm:spPr>
        <a:prstGeom prst="mathMinus">
          <a:avLst/>
        </a:prstGeom>
      </dgm:spPr>
      <dgm:t>
        <a:bodyPr/>
        <a:lstStyle/>
        <a:p>
          <a:endParaRPr lang="ru-RU"/>
        </a:p>
      </dgm:t>
    </dgm:pt>
    <dgm:pt modelId="{6E9F4D12-9708-ED45-90D6-123F353EA4D9}" type="pres">
      <dgm:prSet presAssocID="{D483FDA2-DC48-274F-8C22-44278BE39F11}" presName="connectorText" presStyleLbl="sibTrans2D1" presStyleIdx="3" presStyleCnt="4"/>
      <dgm:spPr/>
      <dgm:t>
        <a:bodyPr/>
        <a:lstStyle/>
        <a:p>
          <a:endParaRPr lang="ru-RU"/>
        </a:p>
      </dgm:t>
    </dgm:pt>
    <dgm:pt modelId="{6CCC7C0E-234A-F543-AF10-742384BE5D8E}" type="pres">
      <dgm:prSet presAssocID="{17508132-36DC-7B4F-8EBD-A5F850DB8BFF}" presName="node" presStyleLbl="node1" presStyleIdx="4" presStyleCnt="5">
        <dgm:presLayoutVars>
          <dgm:bulletEnabled val="1"/>
        </dgm:presLayoutVars>
      </dgm:prSet>
      <dgm:spPr/>
      <dgm:t>
        <a:bodyPr/>
        <a:lstStyle/>
        <a:p>
          <a:endParaRPr lang="ru-RU"/>
        </a:p>
      </dgm:t>
    </dgm:pt>
  </dgm:ptLst>
  <dgm:cxnLst>
    <dgm:cxn modelId="{1D8DCBF8-32DD-944B-867F-E1520A253732}" type="presOf" srcId="{54CC2DB4-C07B-7C49-8F0A-22D51BF1DC6F}" destId="{FABAF52C-B2D6-074A-B387-FAAD1CBA8977}" srcOrd="1" destOrd="0" presId="urn:microsoft.com/office/officeart/2005/8/layout/process1"/>
    <dgm:cxn modelId="{04471E77-9E09-2749-A437-19B903712A16}" srcId="{BD8AD107-E2A0-1C49-B99E-8A6113F7EB17}" destId="{C8A86422-6554-5047-A114-6A9169275564}" srcOrd="1" destOrd="0" parTransId="{8C5CF800-6A73-3E46-ABC9-019B5711C699}" sibTransId="{B97126CD-2187-5445-9045-EA726F6EF106}"/>
    <dgm:cxn modelId="{A0B279DC-F5B4-404C-ADDF-AA482AB62137}" type="presOf" srcId="{C8A86422-6554-5047-A114-6A9169275564}" destId="{740A5788-2E85-AA43-8C0D-FFD4CE7080DB}" srcOrd="0" destOrd="0" presId="urn:microsoft.com/office/officeart/2005/8/layout/process1"/>
    <dgm:cxn modelId="{473A5125-A9E6-B744-92B3-E92381CA7B31}" type="presOf" srcId="{E4D5A3B3-7C9B-DA47-9E8E-D1F14FE83FB6}" destId="{0EC8FA4E-7D05-C14C-BC28-58E381FD07DF}" srcOrd="0" destOrd="0" presId="urn:microsoft.com/office/officeart/2005/8/layout/process1"/>
    <dgm:cxn modelId="{0BAB869F-029C-024E-8B9E-11B00738CA0B}" type="presOf" srcId="{54CC2DB4-C07B-7C49-8F0A-22D51BF1DC6F}" destId="{F11EB02C-EE60-CB47-AB30-0CBFC5E0A8BC}" srcOrd="0" destOrd="0" presId="urn:microsoft.com/office/officeart/2005/8/layout/process1"/>
    <dgm:cxn modelId="{A6A3EE34-CFB3-1149-BF56-AE6BCF9EBC09}" type="presOf" srcId="{58E30042-F4ED-FB45-B943-CD6751CBC2A8}" destId="{B523D10F-843E-2644-AC4C-C5D8066B4BA8}" srcOrd="0" destOrd="0" presId="urn:microsoft.com/office/officeart/2005/8/layout/process1"/>
    <dgm:cxn modelId="{7AA6549D-F588-704F-9BD0-34BF0A93B7EF}" srcId="{BD8AD107-E2A0-1C49-B99E-8A6113F7EB17}" destId="{58E30042-F4ED-FB45-B943-CD6751CBC2A8}" srcOrd="0" destOrd="0" parTransId="{0FBAD19A-6979-9D4C-A45A-B23232CA22D8}" sibTransId="{54CC2DB4-C07B-7C49-8F0A-22D51BF1DC6F}"/>
    <dgm:cxn modelId="{A486A5E2-0BD6-2A44-B08B-CAFFF6AB367B}" type="presOf" srcId="{D483FDA2-DC48-274F-8C22-44278BE39F11}" destId="{6E9F4D12-9708-ED45-90D6-123F353EA4D9}" srcOrd="1" destOrd="0" presId="urn:microsoft.com/office/officeart/2005/8/layout/process1"/>
    <dgm:cxn modelId="{B2DB5F1F-3C15-D04B-B54E-E50C2CF44663}" type="presOf" srcId="{0F81EB05-A4D1-4841-A77E-5D9DAF5F6DE5}" destId="{BF2A6E5D-6EA4-BA45-904B-6CC2B83A9A34}" srcOrd="1" destOrd="0" presId="urn:microsoft.com/office/officeart/2005/8/layout/process1"/>
    <dgm:cxn modelId="{DADE9CF6-500B-4D48-8E44-1790019F267A}" type="presOf" srcId="{BD8AD107-E2A0-1C49-B99E-8A6113F7EB17}" destId="{F8313DE2-D21B-824E-9547-295EBA14B6B1}" srcOrd="0" destOrd="0" presId="urn:microsoft.com/office/officeart/2005/8/layout/process1"/>
    <dgm:cxn modelId="{94B8389B-F0E6-9A49-912E-E008DE8C3F70}" type="presOf" srcId="{B97126CD-2187-5445-9045-EA726F6EF106}" destId="{372BAAD0-9FCF-DF4E-B76E-03016485E7DE}" srcOrd="1" destOrd="0" presId="urn:microsoft.com/office/officeart/2005/8/layout/process1"/>
    <dgm:cxn modelId="{7B101C0E-D06C-FF4C-A0B8-6E018DD7B98F}" srcId="{BD8AD107-E2A0-1C49-B99E-8A6113F7EB17}" destId="{17508132-36DC-7B4F-8EBD-A5F850DB8BFF}" srcOrd="4" destOrd="0" parTransId="{8AFF001D-4E62-494B-986B-8B024B8F625A}" sibTransId="{11CB8303-BBAF-FB40-8E17-BB9DA41E0666}"/>
    <dgm:cxn modelId="{3EBF7F38-A770-3345-AB77-ABEA2957C90C}" type="presOf" srcId="{17508132-36DC-7B4F-8EBD-A5F850DB8BFF}" destId="{6CCC7C0E-234A-F543-AF10-742384BE5D8E}" srcOrd="0" destOrd="0" presId="urn:microsoft.com/office/officeart/2005/8/layout/process1"/>
    <dgm:cxn modelId="{9FD896B5-6478-E64C-BDB4-429BFC5A9AF9}" type="presOf" srcId="{0F81EB05-A4D1-4841-A77E-5D9DAF5F6DE5}" destId="{47AF2CCB-1FE3-AF4D-B298-4903E5EBA8AE}" srcOrd="0" destOrd="0" presId="urn:microsoft.com/office/officeart/2005/8/layout/process1"/>
    <dgm:cxn modelId="{1C6FF0A4-F79D-9A4B-ACEB-88A841E4739C}" type="presOf" srcId="{D483FDA2-DC48-274F-8C22-44278BE39F11}" destId="{73D66803-107A-0040-9357-43FCD65543B9}" srcOrd="0" destOrd="0" presId="urn:microsoft.com/office/officeart/2005/8/layout/process1"/>
    <dgm:cxn modelId="{A2FAEB71-F7C6-E046-A033-A3E002C6E602}" type="presOf" srcId="{B97126CD-2187-5445-9045-EA726F6EF106}" destId="{9FD1470A-A601-204B-9E7F-8A1456A6F033}" srcOrd="0" destOrd="0" presId="urn:microsoft.com/office/officeart/2005/8/layout/process1"/>
    <dgm:cxn modelId="{6B2CA462-39E0-D046-99BB-3E6AC99DBB3A}" srcId="{BD8AD107-E2A0-1C49-B99E-8A6113F7EB17}" destId="{12FFF52F-B551-3149-BFE8-B3BC72AB1B55}" srcOrd="3" destOrd="0" parTransId="{DF52D276-5FD6-C84C-91C5-E9AF7AE2DAB6}" sibTransId="{D483FDA2-DC48-274F-8C22-44278BE39F11}"/>
    <dgm:cxn modelId="{1869F3A7-E607-7946-9841-5A9D2C54B879}" srcId="{BD8AD107-E2A0-1C49-B99E-8A6113F7EB17}" destId="{E4D5A3B3-7C9B-DA47-9E8E-D1F14FE83FB6}" srcOrd="2" destOrd="0" parTransId="{48F31209-391E-3A4F-9DB4-73C39C12A84D}" sibTransId="{0F81EB05-A4D1-4841-A77E-5D9DAF5F6DE5}"/>
    <dgm:cxn modelId="{65647C60-05A2-624F-9185-E5686EFAF799}" type="presOf" srcId="{12FFF52F-B551-3149-BFE8-B3BC72AB1B55}" destId="{835AB7FE-C1EB-6F40-B5D7-1CB049A9F2E3}" srcOrd="0" destOrd="0" presId="urn:microsoft.com/office/officeart/2005/8/layout/process1"/>
    <dgm:cxn modelId="{098836CB-21F6-7440-BCCE-312BF2753833}" type="presParOf" srcId="{F8313DE2-D21B-824E-9547-295EBA14B6B1}" destId="{B523D10F-843E-2644-AC4C-C5D8066B4BA8}" srcOrd="0" destOrd="0" presId="urn:microsoft.com/office/officeart/2005/8/layout/process1"/>
    <dgm:cxn modelId="{29504943-2527-B848-856C-293EA0C367DA}" type="presParOf" srcId="{F8313DE2-D21B-824E-9547-295EBA14B6B1}" destId="{F11EB02C-EE60-CB47-AB30-0CBFC5E0A8BC}" srcOrd="1" destOrd="0" presId="urn:microsoft.com/office/officeart/2005/8/layout/process1"/>
    <dgm:cxn modelId="{C8001BA9-C2AE-AA44-9B5C-472C7D08A4FA}" type="presParOf" srcId="{F11EB02C-EE60-CB47-AB30-0CBFC5E0A8BC}" destId="{FABAF52C-B2D6-074A-B387-FAAD1CBA8977}" srcOrd="0" destOrd="0" presId="urn:microsoft.com/office/officeart/2005/8/layout/process1"/>
    <dgm:cxn modelId="{A0542F22-6EF7-3547-AB62-4A45893F4E71}" type="presParOf" srcId="{F8313DE2-D21B-824E-9547-295EBA14B6B1}" destId="{740A5788-2E85-AA43-8C0D-FFD4CE7080DB}" srcOrd="2" destOrd="0" presId="urn:microsoft.com/office/officeart/2005/8/layout/process1"/>
    <dgm:cxn modelId="{DF32FBF5-5811-F941-9F3A-9BBDFF145DCB}" type="presParOf" srcId="{F8313DE2-D21B-824E-9547-295EBA14B6B1}" destId="{9FD1470A-A601-204B-9E7F-8A1456A6F033}" srcOrd="3" destOrd="0" presId="urn:microsoft.com/office/officeart/2005/8/layout/process1"/>
    <dgm:cxn modelId="{E5FDDE5C-62D4-2B41-82D3-3A5DBD765063}" type="presParOf" srcId="{9FD1470A-A601-204B-9E7F-8A1456A6F033}" destId="{372BAAD0-9FCF-DF4E-B76E-03016485E7DE}" srcOrd="0" destOrd="0" presId="urn:microsoft.com/office/officeart/2005/8/layout/process1"/>
    <dgm:cxn modelId="{E798A185-247D-5D4C-8FB6-6776F47F9C96}" type="presParOf" srcId="{F8313DE2-D21B-824E-9547-295EBA14B6B1}" destId="{0EC8FA4E-7D05-C14C-BC28-58E381FD07DF}" srcOrd="4" destOrd="0" presId="urn:microsoft.com/office/officeart/2005/8/layout/process1"/>
    <dgm:cxn modelId="{860F54FC-E0EA-A049-A376-38976BFD8E08}" type="presParOf" srcId="{F8313DE2-D21B-824E-9547-295EBA14B6B1}" destId="{47AF2CCB-1FE3-AF4D-B298-4903E5EBA8AE}" srcOrd="5" destOrd="0" presId="urn:microsoft.com/office/officeart/2005/8/layout/process1"/>
    <dgm:cxn modelId="{600A6CEE-1FFA-314A-8A12-97D7F71B9324}" type="presParOf" srcId="{47AF2CCB-1FE3-AF4D-B298-4903E5EBA8AE}" destId="{BF2A6E5D-6EA4-BA45-904B-6CC2B83A9A34}" srcOrd="0" destOrd="0" presId="urn:microsoft.com/office/officeart/2005/8/layout/process1"/>
    <dgm:cxn modelId="{618BA351-4347-8D46-8D4D-5C90F0027347}" type="presParOf" srcId="{F8313DE2-D21B-824E-9547-295EBA14B6B1}" destId="{835AB7FE-C1EB-6F40-B5D7-1CB049A9F2E3}" srcOrd="6" destOrd="0" presId="urn:microsoft.com/office/officeart/2005/8/layout/process1"/>
    <dgm:cxn modelId="{5C6F100D-F617-F94B-A0FA-14257EA07DB3}" type="presParOf" srcId="{F8313DE2-D21B-824E-9547-295EBA14B6B1}" destId="{73D66803-107A-0040-9357-43FCD65543B9}" srcOrd="7" destOrd="0" presId="urn:microsoft.com/office/officeart/2005/8/layout/process1"/>
    <dgm:cxn modelId="{6770ACD9-9BCC-974F-A1CE-18A67135BF94}" type="presParOf" srcId="{73D66803-107A-0040-9357-43FCD65543B9}" destId="{6E9F4D12-9708-ED45-90D6-123F353EA4D9}" srcOrd="0" destOrd="0" presId="urn:microsoft.com/office/officeart/2005/8/layout/process1"/>
    <dgm:cxn modelId="{96C6CE55-1528-C44C-AD5B-252A5040C068}" type="presParOf" srcId="{F8313DE2-D21B-824E-9547-295EBA14B6B1}" destId="{6CCC7C0E-234A-F543-AF10-742384BE5D8E}" srcOrd="8"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3D10F-843E-2644-AC4C-C5D8066B4BA8}">
      <dsp:nvSpPr>
        <dsp:cNvPr id="0" name=""/>
        <dsp:cNvSpPr/>
      </dsp:nvSpPr>
      <dsp:spPr>
        <a:xfrm>
          <a:off x="3009" y="526932"/>
          <a:ext cx="933014" cy="5598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Корпоративные облигации, обеспеченные залогом</a:t>
          </a:r>
        </a:p>
      </dsp:txBody>
      <dsp:txXfrm>
        <a:off x="19405" y="543328"/>
        <a:ext cx="900222" cy="527016"/>
      </dsp:txXfrm>
    </dsp:sp>
    <dsp:sp modelId="{F11EB02C-EE60-CB47-AB30-0CBFC5E0A8BC}">
      <dsp:nvSpPr>
        <dsp:cNvPr id="0" name=""/>
        <dsp:cNvSpPr/>
      </dsp:nvSpPr>
      <dsp:spPr>
        <a:xfrm>
          <a:off x="1029325" y="691142"/>
          <a:ext cx="197799" cy="231387"/>
        </a:xfrm>
        <a:prstGeom prst="mathMinus">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1029325" y="737419"/>
        <a:ext cx="138459" cy="138833"/>
      </dsp:txXfrm>
    </dsp:sp>
    <dsp:sp modelId="{740A5788-2E85-AA43-8C0D-FFD4CE7080DB}">
      <dsp:nvSpPr>
        <dsp:cNvPr id="0" name=""/>
        <dsp:cNvSpPr/>
      </dsp:nvSpPr>
      <dsp:spPr>
        <a:xfrm>
          <a:off x="1309230" y="526932"/>
          <a:ext cx="933014" cy="5598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Корпоративные облигации, не обеспеченные залогом</a:t>
          </a:r>
        </a:p>
      </dsp:txBody>
      <dsp:txXfrm>
        <a:off x="1325626" y="543328"/>
        <a:ext cx="900222" cy="527016"/>
      </dsp:txXfrm>
    </dsp:sp>
    <dsp:sp modelId="{9FD1470A-A601-204B-9E7F-8A1456A6F033}">
      <dsp:nvSpPr>
        <dsp:cNvPr id="0" name=""/>
        <dsp:cNvSpPr/>
      </dsp:nvSpPr>
      <dsp:spPr>
        <a:xfrm>
          <a:off x="2335546" y="691142"/>
          <a:ext cx="197799" cy="231387"/>
        </a:xfrm>
        <a:prstGeom prst="mathMinus">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2335546" y="737419"/>
        <a:ext cx="138459" cy="138833"/>
      </dsp:txXfrm>
    </dsp:sp>
    <dsp:sp modelId="{0EC8FA4E-7D05-C14C-BC28-58E381FD07DF}">
      <dsp:nvSpPr>
        <dsp:cNvPr id="0" name=""/>
        <dsp:cNvSpPr/>
      </dsp:nvSpPr>
      <dsp:spPr>
        <a:xfrm>
          <a:off x="2615451" y="526932"/>
          <a:ext cx="933014" cy="5598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Привилегированные акции</a:t>
          </a:r>
        </a:p>
      </dsp:txBody>
      <dsp:txXfrm>
        <a:off x="2631847" y="543328"/>
        <a:ext cx="900222" cy="527016"/>
      </dsp:txXfrm>
    </dsp:sp>
    <dsp:sp modelId="{47AF2CCB-1FE3-AF4D-B298-4903E5EBA8AE}">
      <dsp:nvSpPr>
        <dsp:cNvPr id="0" name=""/>
        <dsp:cNvSpPr/>
      </dsp:nvSpPr>
      <dsp:spPr>
        <a:xfrm>
          <a:off x="3641767" y="691142"/>
          <a:ext cx="197799" cy="231387"/>
        </a:xfrm>
        <a:prstGeom prst="mathMinus">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3641767" y="737419"/>
        <a:ext cx="138459" cy="138833"/>
      </dsp:txXfrm>
    </dsp:sp>
    <dsp:sp modelId="{835AB7FE-C1EB-6F40-B5D7-1CB049A9F2E3}">
      <dsp:nvSpPr>
        <dsp:cNvPr id="0" name=""/>
        <dsp:cNvSpPr/>
      </dsp:nvSpPr>
      <dsp:spPr>
        <a:xfrm>
          <a:off x="3921671" y="526932"/>
          <a:ext cx="933014" cy="5598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Обыкновенные акции</a:t>
          </a:r>
        </a:p>
      </dsp:txBody>
      <dsp:txXfrm>
        <a:off x="3938067" y="543328"/>
        <a:ext cx="900222" cy="527016"/>
      </dsp:txXfrm>
    </dsp:sp>
    <dsp:sp modelId="{73D66803-107A-0040-9357-43FCD65543B9}">
      <dsp:nvSpPr>
        <dsp:cNvPr id="0" name=""/>
        <dsp:cNvSpPr/>
      </dsp:nvSpPr>
      <dsp:spPr>
        <a:xfrm>
          <a:off x="4947988" y="691142"/>
          <a:ext cx="197799" cy="231387"/>
        </a:xfrm>
        <a:prstGeom prst="mathMinus">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4947988" y="737419"/>
        <a:ext cx="138459" cy="138833"/>
      </dsp:txXfrm>
    </dsp:sp>
    <dsp:sp modelId="{6CCC7C0E-234A-F543-AF10-742384BE5D8E}">
      <dsp:nvSpPr>
        <dsp:cNvPr id="0" name=""/>
        <dsp:cNvSpPr/>
      </dsp:nvSpPr>
      <dsp:spPr>
        <a:xfrm>
          <a:off x="5227892" y="526932"/>
          <a:ext cx="933014" cy="5598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Опционы, фьючерсы</a:t>
          </a:r>
        </a:p>
      </dsp:txBody>
      <dsp:txXfrm>
        <a:off x="5244288" y="543328"/>
        <a:ext cx="900222" cy="5270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6"/>
</file>

<file path=customXml/itemProps1.xml><?xml version="1.0" encoding="utf-8"?>
<ds:datastoreItem xmlns:ds="http://schemas.openxmlformats.org/officeDocument/2006/customXml" ds:itemID="{917AC210-4A47-0342-826B-29815AEB0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68</Pages>
  <Words>15488</Words>
  <Characters>108107</Characters>
  <Application>Microsoft Macintosh Word</Application>
  <DocSecurity>0</DocSecurity>
  <Lines>2300</Lines>
  <Paragraphs>829</Paragraphs>
  <ScaleCrop>false</ScaleCrop>
  <HeadingPairs>
    <vt:vector size="2" baseType="variant">
      <vt:variant>
        <vt:lpstr>Название</vt:lpstr>
      </vt:variant>
      <vt:variant>
        <vt:i4>1</vt:i4>
      </vt:variant>
    </vt:vector>
  </HeadingPairs>
  <TitlesOfParts>
    <vt:vector size="1" baseType="lpstr">
      <vt:lpstr/>
    </vt:vector>
  </TitlesOfParts>
  <Company>Citigroup</Company>
  <LinksUpToDate>false</LinksUpToDate>
  <CharactersWithSpaces>122766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Корчагин</dc:creator>
  <cp:lastModifiedBy>Пользователь Microsoft Office</cp:lastModifiedBy>
  <cp:revision>46</cp:revision>
  <dcterms:created xsi:type="dcterms:W3CDTF">2018-05-10T09:47:00Z</dcterms:created>
  <dcterms:modified xsi:type="dcterms:W3CDTF">2018-05-20T15:48:00Z</dcterms:modified>
</cp:coreProperties>
</file>