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7.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8.xml" ContentType="application/vnd.openxmlformats-officedocument.themeOverride+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Override9.xml" ContentType="application/vnd.openxmlformats-officedocument.themeOverride+xml"/>
  <Override PartName="/word/charts/chart26.xml" ContentType="application/vnd.openxmlformats-officedocument.drawingml.chart+xml"/>
  <Override PartName="/word/charts/chart27.xml" ContentType="application/vnd.openxmlformats-officedocument.drawingml.chart+xml"/>
  <Override PartName="/word/theme/themeOverride10.xml" ContentType="application/vnd.openxmlformats-officedocument.themeOverride+xml"/>
  <Override PartName="/word/charts/chart28.xml" ContentType="application/vnd.openxmlformats-officedocument.drawingml.chart+xml"/>
  <Override PartName="/word/theme/themeOverride11.xml" ContentType="application/vnd.openxmlformats-officedocument.themeOverride+xml"/>
  <Override PartName="/word/charts/chart29.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7D" w:rsidRDefault="0064767D" w:rsidP="0064767D">
      <w:pPr>
        <w:spacing w:line="30" w:lineRule="atLeast"/>
        <w:jc w:val="center"/>
      </w:pPr>
      <w:r>
        <w:t xml:space="preserve">Санкт-Петербургский </w:t>
      </w:r>
      <w:r w:rsidR="00242C72">
        <w:t>г</w:t>
      </w:r>
      <w:r>
        <w:t xml:space="preserve">осударственный </w:t>
      </w:r>
      <w:r w:rsidR="00242C72">
        <w:t>у</w:t>
      </w:r>
      <w:r>
        <w:t>ниверситет</w:t>
      </w:r>
    </w:p>
    <w:p w:rsidR="0064767D" w:rsidRPr="00660C3A" w:rsidRDefault="0064767D" w:rsidP="0064767D">
      <w:pPr>
        <w:spacing w:after="4000" w:line="30" w:lineRule="atLeast"/>
        <w:jc w:val="center"/>
      </w:pPr>
      <w:r>
        <w:t>Экономический факультет</w:t>
      </w:r>
      <w:r>
        <w:br/>
      </w:r>
      <w:r w:rsidR="002909E5">
        <w:t xml:space="preserve"> </w:t>
      </w:r>
    </w:p>
    <w:p w:rsidR="0064767D" w:rsidRPr="002909E5" w:rsidRDefault="002909E5" w:rsidP="002909E5">
      <w:pPr>
        <w:spacing w:after="180" w:line="30" w:lineRule="atLeast"/>
        <w:jc w:val="center"/>
        <w:rPr>
          <w:b/>
          <w:sz w:val="28"/>
          <w:szCs w:val="28"/>
        </w:rPr>
      </w:pPr>
      <w:r w:rsidRPr="002909E5">
        <w:rPr>
          <w:b/>
          <w:sz w:val="28"/>
          <w:szCs w:val="28"/>
        </w:rPr>
        <w:t>Панина Анастасия Сергеевна</w:t>
      </w:r>
    </w:p>
    <w:p w:rsidR="0064767D" w:rsidRPr="006E3AB6" w:rsidRDefault="006E3AB6" w:rsidP="002909E5">
      <w:pPr>
        <w:spacing w:after="180" w:line="30" w:lineRule="atLeast"/>
        <w:jc w:val="center"/>
        <w:rPr>
          <w:b/>
          <w:sz w:val="28"/>
          <w:szCs w:val="28"/>
        </w:rPr>
      </w:pPr>
      <w:r w:rsidRPr="006E3AB6">
        <w:rPr>
          <w:b/>
          <w:sz w:val="28"/>
          <w:szCs w:val="28"/>
        </w:rPr>
        <w:t>Выпускная квалификационная работа</w:t>
      </w:r>
    </w:p>
    <w:p w:rsidR="0064767D" w:rsidRPr="006E3AB6" w:rsidRDefault="0064767D" w:rsidP="0064767D">
      <w:pPr>
        <w:spacing w:line="30" w:lineRule="atLeast"/>
        <w:jc w:val="center"/>
      </w:pPr>
    </w:p>
    <w:p w:rsidR="006E3AB6" w:rsidRDefault="006E06C4" w:rsidP="006E3AB6">
      <w:pPr>
        <w:spacing w:after="600" w:line="30" w:lineRule="atLeast"/>
        <w:jc w:val="center"/>
        <w:rPr>
          <w:sz w:val="36"/>
          <w:szCs w:val="36"/>
        </w:rPr>
      </w:pPr>
      <w:r w:rsidRPr="006E3AB6">
        <w:rPr>
          <w:sz w:val="36"/>
          <w:szCs w:val="36"/>
        </w:rPr>
        <w:t>СЛИЯНИЯ И ПОГЛОЩЕНИЯ В МЕЖДУНАРОДНОМ БИЗНЕСЕ</w:t>
      </w:r>
    </w:p>
    <w:p w:rsidR="0064767D" w:rsidRPr="006E3AB6" w:rsidRDefault="006E3AB6" w:rsidP="006E3AB6">
      <w:pPr>
        <w:spacing w:after="600" w:line="30" w:lineRule="atLeast"/>
        <w:ind w:left="709"/>
      </w:pPr>
      <w:r>
        <w:rPr>
          <w:sz w:val="36"/>
          <w:szCs w:val="36"/>
        </w:rPr>
        <w:br/>
      </w:r>
      <w:r>
        <w:t>Направление 080100 – «Экономика»</w:t>
      </w:r>
      <w:r>
        <w:br/>
        <w:t xml:space="preserve">Основная образовательная программа </w:t>
      </w:r>
      <w:proofErr w:type="spellStart"/>
      <w:r>
        <w:t>бакалавриата</w:t>
      </w:r>
      <w:proofErr w:type="spellEnd"/>
      <w:r>
        <w:t xml:space="preserve">: </w:t>
      </w:r>
      <w:r>
        <w:br/>
        <w:t>«Международные экономические отношения и международный бизнес»</w:t>
      </w:r>
    </w:p>
    <w:p w:rsidR="0064767D" w:rsidRDefault="0064767D" w:rsidP="0064767D">
      <w:pPr>
        <w:spacing w:line="30" w:lineRule="atLeast"/>
        <w:ind w:firstLine="3261"/>
      </w:pPr>
      <w:r>
        <w:t xml:space="preserve">  </w:t>
      </w:r>
      <w:r w:rsidR="00252B6B">
        <w:t xml:space="preserve"> </w:t>
      </w:r>
      <w:r w:rsidR="006E06C4">
        <w:t>Научный руководитель</w:t>
      </w:r>
      <w:r>
        <w:t>:</w:t>
      </w:r>
    </w:p>
    <w:p w:rsidR="0064767D" w:rsidRDefault="006E06C4" w:rsidP="0064767D">
      <w:pPr>
        <w:spacing w:line="30" w:lineRule="atLeast"/>
        <w:ind w:firstLine="709"/>
        <w:jc w:val="center"/>
      </w:pPr>
      <w:r>
        <w:t xml:space="preserve">         доцент, доктор экономических наук</w:t>
      </w:r>
    </w:p>
    <w:p w:rsidR="0064767D" w:rsidRDefault="006E06C4" w:rsidP="0064767D">
      <w:pPr>
        <w:tabs>
          <w:tab w:val="left" w:leader="underscore" w:pos="9072"/>
        </w:tabs>
        <w:spacing w:line="30" w:lineRule="atLeast"/>
        <w:ind w:firstLine="3402"/>
      </w:pPr>
      <w:r>
        <w:t xml:space="preserve"> Ефимова Елена Глебовна</w:t>
      </w:r>
    </w:p>
    <w:p w:rsidR="0064767D" w:rsidRDefault="0064767D" w:rsidP="0064767D">
      <w:pPr>
        <w:tabs>
          <w:tab w:val="left" w:leader="underscore" w:pos="6946"/>
        </w:tabs>
        <w:spacing w:line="30" w:lineRule="atLeast"/>
        <w:ind w:firstLine="3402"/>
      </w:pPr>
      <w:r>
        <w:t>/</w:t>
      </w:r>
      <w:r w:rsidR="006E06C4">
        <w:t>______________________</w:t>
      </w:r>
      <w:r>
        <w:t>/</w:t>
      </w:r>
    </w:p>
    <w:p w:rsidR="0064767D" w:rsidRDefault="0064767D" w:rsidP="0064767D">
      <w:pPr>
        <w:tabs>
          <w:tab w:val="left" w:leader="underscore" w:pos="6946"/>
        </w:tabs>
        <w:spacing w:line="30" w:lineRule="atLeast"/>
        <w:ind w:firstLine="2552"/>
        <w:jc w:val="center"/>
      </w:pPr>
    </w:p>
    <w:p w:rsidR="0064767D" w:rsidRDefault="0064767D" w:rsidP="0064767D">
      <w:pPr>
        <w:tabs>
          <w:tab w:val="left" w:leader="underscore" w:pos="6946"/>
        </w:tabs>
        <w:spacing w:line="30" w:lineRule="atLeast"/>
        <w:ind w:firstLine="2552"/>
        <w:jc w:val="center"/>
      </w:pPr>
    </w:p>
    <w:p w:rsidR="0064767D" w:rsidRDefault="006E06C4" w:rsidP="006E06C4">
      <w:pPr>
        <w:tabs>
          <w:tab w:val="left" w:leader="underscore" w:pos="6946"/>
        </w:tabs>
        <w:spacing w:line="30" w:lineRule="atLeast"/>
        <w:ind w:hanging="284"/>
      </w:pPr>
      <w:r>
        <w:t xml:space="preserve">                                                             </w:t>
      </w:r>
      <w:r w:rsidR="002A1484">
        <w:t xml:space="preserve"> </w:t>
      </w:r>
      <w:r>
        <w:t xml:space="preserve"> Рецензент</w:t>
      </w:r>
      <w:r w:rsidR="0064767D">
        <w:t>:</w:t>
      </w:r>
    </w:p>
    <w:p w:rsidR="002A1484" w:rsidRDefault="0064767D" w:rsidP="0064767D">
      <w:pPr>
        <w:tabs>
          <w:tab w:val="left" w:leader="underscore" w:pos="6946"/>
        </w:tabs>
        <w:spacing w:line="30" w:lineRule="atLeast"/>
        <w:ind w:firstLine="1276"/>
        <w:jc w:val="center"/>
      </w:pPr>
      <w:r>
        <w:t xml:space="preserve">   </w:t>
      </w:r>
      <w:r w:rsidR="00252B6B">
        <w:t xml:space="preserve"> </w:t>
      </w:r>
      <w:r w:rsidR="006E06C4">
        <w:t xml:space="preserve">        менеджер департамента аудиторских услуг</w:t>
      </w:r>
      <w:r w:rsidR="002A1484" w:rsidRPr="002A1484">
        <w:t xml:space="preserve"> </w:t>
      </w:r>
    </w:p>
    <w:p w:rsidR="0064767D" w:rsidRPr="002A1484" w:rsidRDefault="002A1484" w:rsidP="002A1484">
      <w:pPr>
        <w:tabs>
          <w:tab w:val="left" w:leader="underscore" w:pos="6946"/>
        </w:tabs>
        <w:spacing w:line="30" w:lineRule="atLeast"/>
        <w:ind w:firstLine="1276"/>
      </w:pPr>
      <w:r>
        <w:t xml:space="preserve">                                     ООО «Эрнст энд Янг»</w:t>
      </w:r>
    </w:p>
    <w:p w:rsidR="0064767D" w:rsidRDefault="006E06C4" w:rsidP="0064767D">
      <w:pPr>
        <w:tabs>
          <w:tab w:val="left" w:leader="underscore" w:pos="6946"/>
        </w:tabs>
        <w:spacing w:line="30" w:lineRule="atLeast"/>
        <w:ind w:firstLine="3402"/>
      </w:pPr>
      <w:r>
        <w:rPr>
          <w:shd w:val="clear" w:color="auto" w:fill="FFFFFF"/>
        </w:rPr>
        <w:t xml:space="preserve"> </w:t>
      </w:r>
      <w:r w:rsidR="006D3EB5">
        <w:rPr>
          <w:shd w:val="clear" w:color="auto" w:fill="FFFFFF"/>
        </w:rPr>
        <w:t>Гладкий Никита Александрович</w:t>
      </w:r>
    </w:p>
    <w:p w:rsidR="006E06C4" w:rsidRDefault="006E06C4" w:rsidP="006E06C4">
      <w:pPr>
        <w:tabs>
          <w:tab w:val="left" w:leader="underscore" w:pos="6946"/>
        </w:tabs>
        <w:spacing w:line="30" w:lineRule="atLeast"/>
        <w:ind w:firstLine="3402"/>
      </w:pPr>
      <w:r>
        <w:t>/______________________/</w:t>
      </w:r>
    </w:p>
    <w:p w:rsidR="006E06C4" w:rsidRDefault="006E06C4">
      <w:pPr>
        <w:spacing w:after="200" w:line="276" w:lineRule="auto"/>
      </w:pPr>
    </w:p>
    <w:p w:rsidR="006E06C4" w:rsidRDefault="006E06C4">
      <w:pPr>
        <w:spacing w:after="200" w:line="276" w:lineRule="auto"/>
      </w:pPr>
    </w:p>
    <w:p w:rsidR="006E06C4" w:rsidRDefault="006E06C4">
      <w:pPr>
        <w:spacing w:after="200" w:line="276" w:lineRule="auto"/>
      </w:pPr>
    </w:p>
    <w:p w:rsidR="006E06C4" w:rsidRDefault="006E06C4" w:rsidP="006E06C4">
      <w:pPr>
        <w:spacing w:after="200" w:line="276" w:lineRule="auto"/>
        <w:jc w:val="center"/>
      </w:pPr>
      <w:r>
        <w:t>Санкт-Петербург</w:t>
      </w:r>
      <w:r>
        <w:br/>
        <w:t>2018</w:t>
      </w:r>
      <w:r>
        <w:br w:type="page"/>
      </w:r>
    </w:p>
    <w:sdt>
      <w:sdtPr>
        <w:rPr>
          <w:rFonts w:asciiTheme="minorHAnsi" w:eastAsiaTheme="minorHAnsi" w:hAnsiTheme="minorHAnsi" w:cstheme="minorBidi"/>
          <w:color w:val="auto"/>
          <w:sz w:val="22"/>
          <w:szCs w:val="22"/>
          <w:lang w:eastAsia="en-US"/>
        </w:rPr>
        <w:id w:val="-2077045187"/>
        <w:docPartObj>
          <w:docPartGallery w:val="Table of Contents"/>
          <w:docPartUnique/>
        </w:docPartObj>
      </w:sdtPr>
      <w:sdtEndPr>
        <w:rPr>
          <w:rFonts w:ascii="Times New Roman" w:eastAsia="Times New Roman" w:hAnsi="Times New Roman" w:cs="Times New Roman"/>
          <w:bCs/>
          <w:sz w:val="24"/>
          <w:szCs w:val="24"/>
          <w:lang w:eastAsia="ru-RU"/>
        </w:rPr>
      </w:sdtEndPr>
      <w:sdtContent>
        <w:p w:rsidR="004E6C83" w:rsidRPr="00180850" w:rsidRDefault="004E6C83" w:rsidP="00180850">
          <w:pPr>
            <w:pStyle w:val="af"/>
            <w:jc w:val="center"/>
            <w:rPr>
              <w:rFonts w:ascii="Times New Roman" w:hAnsi="Times New Roman" w:cs="Times New Roman"/>
              <w:color w:val="auto"/>
              <w:sz w:val="28"/>
              <w:szCs w:val="28"/>
            </w:rPr>
          </w:pPr>
          <w:r w:rsidRPr="00180850">
            <w:rPr>
              <w:rFonts w:ascii="Times New Roman" w:hAnsi="Times New Roman" w:cs="Times New Roman"/>
              <w:color w:val="auto"/>
              <w:sz w:val="28"/>
              <w:szCs w:val="28"/>
            </w:rPr>
            <w:t>Содержание</w:t>
          </w:r>
        </w:p>
        <w:p w:rsidR="004E6C83" w:rsidRPr="009F22C7" w:rsidRDefault="004E6C83" w:rsidP="004E6C83"/>
        <w:p w:rsidR="009F22C7" w:rsidRPr="009F22C7" w:rsidRDefault="00A36445">
          <w:pPr>
            <w:pStyle w:val="11"/>
            <w:tabs>
              <w:tab w:val="right" w:leader="dot" w:pos="9345"/>
            </w:tabs>
            <w:rPr>
              <w:rFonts w:eastAsiaTheme="minorEastAsia"/>
              <w:noProof/>
            </w:rPr>
          </w:pPr>
          <w:r w:rsidRPr="009F22C7">
            <w:fldChar w:fldCharType="begin"/>
          </w:r>
          <w:r w:rsidR="004E6C83" w:rsidRPr="009F22C7">
            <w:instrText xml:space="preserve"> TOC \o "1-3" \h \z \u </w:instrText>
          </w:r>
          <w:r w:rsidRPr="009F22C7">
            <w:fldChar w:fldCharType="separate"/>
          </w:r>
          <w:hyperlink w:anchor="_Toc513092274" w:history="1">
            <w:r w:rsidR="009F22C7" w:rsidRPr="009F22C7">
              <w:rPr>
                <w:rStyle w:val="a8"/>
                <w:rFonts w:eastAsiaTheme="majorEastAsia"/>
                <w:noProof/>
              </w:rPr>
              <w:t>Введение.</w:t>
            </w:r>
            <w:r w:rsidR="009F22C7" w:rsidRPr="009F22C7">
              <w:rPr>
                <w:noProof/>
                <w:webHidden/>
              </w:rPr>
              <w:tab/>
            </w:r>
            <w:r w:rsidR="009F22C7" w:rsidRPr="009F22C7">
              <w:rPr>
                <w:noProof/>
                <w:webHidden/>
              </w:rPr>
              <w:fldChar w:fldCharType="begin"/>
            </w:r>
            <w:r w:rsidR="009F22C7" w:rsidRPr="009F22C7">
              <w:rPr>
                <w:noProof/>
                <w:webHidden/>
              </w:rPr>
              <w:instrText xml:space="preserve"> PAGEREF _Toc513092274 \h </w:instrText>
            </w:r>
            <w:r w:rsidR="009F22C7" w:rsidRPr="009F22C7">
              <w:rPr>
                <w:noProof/>
                <w:webHidden/>
              </w:rPr>
            </w:r>
            <w:r w:rsidR="009F22C7" w:rsidRPr="009F22C7">
              <w:rPr>
                <w:noProof/>
                <w:webHidden/>
              </w:rPr>
              <w:fldChar w:fldCharType="separate"/>
            </w:r>
            <w:r w:rsidR="00601E5D">
              <w:rPr>
                <w:noProof/>
                <w:webHidden/>
              </w:rPr>
              <w:t>3</w:t>
            </w:r>
            <w:r w:rsidR="009F22C7" w:rsidRPr="009F22C7">
              <w:rPr>
                <w:noProof/>
                <w:webHidden/>
              </w:rPr>
              <w:fldChar w:fldCharType="end"/>
            </w:r>
          </w:hyperlink>
        </w:p>
        <w:p w:rsidR="009F22C7" w:rsidRPr="009F22C7" w:rsidRDefault="006F61CB">
          <w:pPr>
            <w:pStyle w:val="11"/>
            <w:tabs>
              <w:tab w:val="right" w:leader="dot" w:pos="9345"/>
            </w:tabs>
            <w:rPr>
              <w:rFonts w:eastAsiaTheme="minorEastAsia"/>
              <w:noProof/>
            </w:rPr>
          </w:pPr>
          <w:hyperlink w:anchor="_Toc513092275" w:history="1">
            <w:r w:rsidR="009F22C7" w:rsidRPr="009F22C7">
              <w:rPr>
                <w:rStyle w:val="a8"/>
                <w:rFonts w:eastAsiaTheme="majorEastAsia"/>
                <w:bCs/>
                <w:noProof/>
              </w:rPr>
              <w:t>Глава 1. Слияния и поглощения как форма консолидации хозяйствующих субъектов в мировом хозяйстве.</w:t>
            </w:r>
            <w:r w:rsidR="009F22C7" w:rsidRPr="009F22C7">
              <w:rPr>
                <w:noProof/>
                <w:webHidden/>
              </w:rPr>
              <w:tab/>
            </w:r>
            <w:r w:rsidR="009F22C7" w:rsidRPr="009F22C7">
              <w:rPr>
                <w:noProof/>
                <w:webHidden/>
              </w:rPr>
              <w:fldChar w:fldCharType="begin"/>
            </w:r>
            <w:r w:rsidR="009F22C7" w:rsidRPr="009F22C7">
              <w:rPr>
                <w:noProof/>
                <w:webHidden/>
              </w:rPr>
              <w:instrText xml:space="preserve"> PAGEREF _Toc513092275 \h </w:instrText>
            </w:r>
            <w:r w:rsidR="009F22C7" w:rsidRPr="009F22C7">
              <w:rPr>
                <w:noProof/>
                <w:webHidden/>
              </w:rPr>
            </w:r>
            <w:r w:rsidR="009F22C7" w:rsidRPr="009F22C7">
              <w:rPr>
                <w:noProof/>
                <w:webHidden/>
              </w:rPr>
              <w:fldChar w:fldCharType="separate"/>
            </w:r>
            <w:r w:rsidR="00601E5D">
              <w:rPr>
                <w:noProof/>
                <w:webHidden/>
              </w:rPr>
              <w:t>5</w:t>
            </w:r>
            <w:r w:rsidR="009F22C7" w:rsidRPr="009F22C7">
              <w:rPr>
                <w:noProof/>
                <w:webHidden/>
              </w:rPr>
              <w:fldChar w:fldCharType="end"/>
            </w:r>
          </w:hyperlink>
        </w:p>
        <w:p w:rsidR="009F22C7" w:rsidRPr="009F22C7" w:rsidRDefault="006F61CB">
          <w:pPr>
            <w:pStyle w:val="11"/>
            <w:tabs>
              <w:tab w:val="right" w:leader="dot" w:pos="9345"/>
            </w:tabs>
            <w:rPr>
              <w:rFonts w:eastAsiaTheme="minorEastAsia"/>
              <w:noProof/>
            </w:rPr>
          </w:pPr>
          <w:hyperlink w:anchor="_Toc513092276" w:history="1">
            <w:r w:rsidR="009F22C7" w:rsidRPr="009F22C7">
              <w:rPr>
                <w:rStyle w:val="a8"/>
                <w:rFonts w:eastAsiaTheme="majorEastAsia"/>
                <w:bCs/>
                <w:noProof/>
              </w:rPr>
              <w:t>1.1 Сущность и основные причины слияний и поглощений.</w:t>
            </w:r>
            <w:r w:rsidR="009F22C7" w:rsidRPr="009F22C7">
              <w:rPr>
                <w:noProof/>
                <w:webHidden/>
              </w:rPr>
              <w:tab/>
            </w:r>
            <w:r w:rsidR="009F22C7" w:rsidRPr="009F22C7">
              <w:rPr>
                <w:noProof/>
                <w:webHidden/>
              </w:rPr>
              <w:fldChar w:fldCharType="begin"/>
            </w:r>
            <w:r w:rsidR="009F22C7" w:rsidRPr="009F22C7">
              <w:rPr>
                <w:noProof/>
                <w:webHidden/>
              </w:rPr>
              <w:instrText xml:space="preserve"> PAGEREF _Toc513092276 \h </w:instrText>
            </w:r>
            <w:r w:rsidR="009F22C7" w:rsidRPr="009F22C7">
              <w:rPr>
                <w:noProof/>
                <w:webHidden/>
              </w:rPr>
            </w:r>
            <w:r w:rsidR="009F22C7" w:rsidRPr="009F22C7">
              <w:rPr>
                <w:noProof/>
                <w:webHidden/>
              </w:rPr>
              <w:fldChar w:fldCharType="separate"/>
            </w:r>
            <w:r w:rsidR="00601E5D">
              <w:rPr>
                <w:noProof/>
                <w:webHidden/>
              </w:rPr>
              <w:t>5</w:t>
            </w:r>
            <w:r w:rsidR="009F22C7" w:rsidRPr="009F22C7">
              <w:rPr>
                <w:noProof/>
                <w:webHidden/>
              </w:rPr>
              <w:fldChar w:fldCharType="end"/>
            </w:r>
          </w:hyperlink>
        </w:p>
        <w:p w:rsidR="009F22C7" w:rsidRPr="009F22C7" w:rsidRDefault="006F61CB" w:rsidP="00E22F90">
          <w:pPr>
            <w:pStyle w:val="21"/>
            <w:ind w:left="0"/>
            <w:rPr>
              <w:rFonts w:eastAsiaTheme="minorEastAsia"/>
            </w:rPr>
          </w:pPr>
          <w:hyperlink w:anchor="_Toc513092277" w:history="1">
            <w:r w:rsidR="009F22C7" w:rsidRPr="009F22C7">
              <w:rPr>
                <w:rStyle w:val="a8"/>
              </w:rPr>
              <w:t>1.2.Финансовые аспекты трансграничных слияний и поглощений.</w:t>
            </w:r>
            <w:r w:rsidR="009F22C7" w:rsidRPr="009F22C7">
              <w:rPr>
                <w:webHidden/>
              </w:rPr>
              <w:tab/>
            </w:r>
            <w:r w:rsidR="009F22C7" w:rsidRPr="009F22C7">
              <w:rPr>
                <w:webHidden/>
              </w:rPr>
              <w:fldChar w:fldCharType="begin"/>
            </w:r>
            <w:r w:rsidR="009F22C7" w:rsidRPr="009F22C7">
              <w:rPr>
                <w:webHidden/>
              </w:rPr>
              <w:instrText xml:space="preserve"> PAGEREF _Toc513092277 \h </w:instrText>
            </w:r>
            <w:r w:rsidR="009F22C7" w:rsidRPr="009F22C7">
              <w:rPr>
                <w:webHidden/>
              </w:rPr>
            </w:r>
            <w:r w:rsidR="009F22C7" w:rsidRPr="009F22C7">
              <w:rPr>
                <w:webHidden/>
              </w:rPr>
              <w:fldChar w:fldCharType="separate"/>
            </w:r>
            <w:r w:rsidR="00601E5D">
              <w:rPr>
                <w:webHidden/>
              </w:rPr>
              <w:t>12</w:t>
            </w:r>
            <w:r w:rsidR="009F22C7" w:rsidRPr="009F22C7">
              <w:rPr>
                <w:webHidden/>
              </w:rPr>
              <w:fldChar w:fldCharType="end"/>
            </w:r>
          </w:hyperlink>
        </w:p>
        <w:p w:rsidR="009F22C7" w:rsidRPr="009F22C7" w:rsidRDefault="006F61CB" w:rsidP="00E22F90">
          <w:pPr>
            <w:pStyle w:val="21"/>
            <w:ind w:left="0"/>
            <w:rPr>
              <w:rFonts w:eastAsiaTheme="minorEastAsia"/>
            </w:rPr>
          </w:pPr>
          <w:hyperlink w:anchor="_Toc513092278" w:history="1">
            <w:r w:rsidR="009F22C7" w:rsidRPr="009F22C7">
              <w:rPr>
                <w:rStyle w:val="a8"/>
              </w:rPr>
              <w:t>1.3</w:t>
            </w:r>
            <w:r w:rsidR="009F22C7" w:rsidRPr="009F22C7">
              <w:rPr>
                <w:rFonts w:eastAsiaTheme="minorEastAsia"/>
              </w:rPr>
              <w:t xml:space="preserve"> </w:t>
            </w:r>
            <w:r w:rsidR="009F22C7" w:rsidRPr="009F22C7">
              <w:rPr>
                <w:rStyle w:val="a8"/>
              </w:rPr>
              <w:t>Проблемы, возникающие в процессе консолидации компаний на опыте зарубежных компаний</w:t>
            </w:r>
            <w:r w:rsidR="009F22C7" w:rsidRPr="009F22C7">
              <w:rPr>
                <w:webHidden/>
              </w:rPr>
              <w:tab/>
            </w:r>
            <w:r w:rsidR="009F22C7" w:rsidRPr="009F22C7">
              <w:rPr>
                <w:webHidden/>
              </w:rPr>
              <w:fldChar w:fldCharType="begin"/>
            </w:r>
            <w:r w:rsidR="009F22C7" w:rsidRPr="009F22C7">
              <w:rPr>
                <w:webHidden/>
              </w:rPr>
              <w:instrText xml:space="preserve"> PAGEREF _Toc513092278 \h </w:instrText>
            </w:r>
            <w:r w:rsidR="009F22C7" w:rsidRPr="009F22C7">
              <w:rPr>
                <w:webHidden/>
              </w:rPr>
            </w:r>
            <w:r w:rsidR="009F22C7" w:rsidRPr="009F22C7">
              <w:rPr>
                <w:webHidden/>
              </w:rPr>
              <w:fldChar w:fldCharType="separate"/>
            </w:r>
            <w:r w:rsidR="00601E5D">
              <w:rPr>
                <w:webHidden/>
              </w:rPr>
              <w:t>17</w:t>
            </w:r>
            <w:r w:rsidR="009F22C7" w:rsidRPr="009F22C7">
              <w:rPr>
                <w:webHidden/>
              </w:rPr>
              <w:fldChar w:fldCharType="end"/>
            </w:r>
          </w:hyperlink>
        </w:p>
        <w:p w:rsidR="009F22C7" w:rsidRPr="009F22C7" w:rsidRDefault="006F61CB">
          <w:pPr>
            <w:pStyle w:val="11"/>
            <w:tabs>
              <w:tab w:val="right" w:leader="dot" w:pos="9345"/>
            </w:tabs>
            <w:rPr>
              <w:rFonts w:eastAsiaTheme="minorEastAsia"/>
              <w:noProof/>
            </w:rPr>
          </w:pPr>
          <w:hyperlink w:anchor="_Toc513092279" w:history="1">
            <w:r w:rsidR="009F22C7" w:rsidRPr="009F22C7">
              <w:rPr>
                <w:rStyle w:val="a8"/>
                <w:rFonts w:eastAsiaTheme="majorEastAsia"/>
                <w:noProof/>
              </w:rPr>
              <w:t xml:space="preserve">Глава 2. Анализ трендов сделок </w:t>
            </w:r>
            <w:r w:rsidR="009F22C7" w:rsidRPr="009F22C7">
              <w:rPr>
                <w:rStyle w:val="a8"/>
                <w:rFonts w:eastAsiaTheme="majorEastAsia"/>
                <w:noProof/>
                <w:lang w:val="en-US"/>
              </w:rPr>
              <w:t>M</w:t>
            </w:r>
            <w:r w:rsidR="009F22C7" w:rsidRPr="009F22C7">
              <w:rPr>
                <w:rStyle w:val="a8"/>
                <w:rFonts w:eastAsiaTheme="majorEastAsia"/>
                <w:noProof/>
              </w:rPr>
              <w:t>&amp;</w:t>
            </w:r>
            <w:r w:rsidR="009F22C7" w:rsidRPr="009F22C7">
              <w:rPr>
                <w:rStyle w:val="a8"/>
                <w:rFonts w:eastAsiaTheme="majorEastAsia"/>
                <w:noProof/>
                <w:lang w:val="en-US"/>
              </w:rPr>
              <w:t>A</w:t>
            </w:r>
            <w:r w:rsidR="009F22C7" w:rsidRPr="009F22C7">
              <w:rPr>
                <w:rStyle w:val="a8"/>
                <w:rFonts w:eastAsiaTheme="majorEastAsia"/>
                <w:noProof/>
              </w:rPr>
              <w:t>.</w:t>
            </w:r>
            <w:r w:rsidR="009F22C7" w:rsidRPr="009F22C7">
              <w:rPr>
                <w:noProof/>
                <w:webHidden/>
              </w:rPr>
              <w:tab/>
            </w:r>
            <w:r w:rsidR="009F22C7" w:rsidRPr="009F22C7">
              <w:rPr>
                <w:noProof/>
                <w:webHidden/>
              </w:rPr>
              <w:fldChar w:fldCharType="begin"/>
            </w:r>
            <w:r w:rsidR="009F22C7" w:rsidRPr="009F22C7">
              <w:rPr>
                <w:noProof/>
                <w:webHidden/>
              </w:rPr>
              <w:instrText xml:space="preserve"> PAGEREF _Toc513092279 \h </w:instrText>
            </w:r>
            <w:r w:rsidR="009F22C7" w:rsidRPr="009F22C7">
              <w:rPr>
                <w:noProof/>
                <w:webHidden/>
              </w:rPr>
            </w:r>
            <w:r w:rsidR="009F22C7" w:rsidRPr="009F22C7">
              <w:rPr>
                <w:noProof/>
                <w:webHidden/>
              </w:rPr>
              <w:fldChar w:fldCharType="separate"/>
            </w:r>
            <w:r w:rsidR="00601E5D">
              <w:rPr>
                <w:noProof/>
                <w:webHidden/>
              </w:rPr>
              <w:t>24</w:t>
            </w:r>
            <w:r w:rsidR="009F22C7" w:rsidRPr="009F22C7">
              <w:rPr>
                <w:noProof/>
                <w:webHidden/>
              </w:rPr>
              <w:fldChar w:fldCharType="end"/>
            </w:r>
          </w:hyperlink>
        </w:p>
        <w:p w:rsidR="009F22C7" w:rsidRPr="009F22C7" w:rsidRDefault="006F61CB" w:rsidP="009F22C7">
          <w:pPr>
            <w:pStyle w:val="31"/>
            <w:tabs>
              <w:tab w:val="left" w:pos="1100"/>
              <w:tab w:val="right" w:leader="dot" w:pos="9345"/>
            </w:tabs>
            <w:ind w:left="0"/>
            <w:rPr>
              <w:rFonts w:eastAsiaTheme="minorEastAsia"/>
              <w:noProof/>
            </w:rPr>
          </w:pPr>
          <w:hyperlink w:anchor="_Toc513092280" w:history="1">
            <w:r w:rsidR="009F22C7" w:rsidRPr="009F22C7">
              <w:rPr>
                <w:rStyle w:val="a8"/>
                <w:rFonts w:eastAsiaTheme="majorEastAsia"/>
                <w:noProof/>
              </w:rPr>
              <w:t>2.1</w:t>
            </w:r>
            <w:r w:rsidR="009F22C7">
              <w:rPr>
                <w:rFonts w:eastAsiaTheme="minorEastAsia"/>
                <w:noProof/>
              </w:rPr>
              <w:t xml:space="preserve"> </w:t>
            </w:r>
            <w:r w:rsidR="009F22C7" w:rsidRPr="009F22C7">
              <w:rPr>
                <w:rStyle w:val="a8"/>
                <w:rFonts w:eastAsiaTheme="majorEastAsia"/>
                <w:noProof/>
              </w:rPr>
              <w:t>Современная международная практика процессов слияний поглощений.</w:t>
            </w:r>
            <w:r w:rsidR="009F22C7" w:rsidRPr="009F22C7">
              <w:rPr>
                <w:noProof/>
                <w:webHidden/>
              </w:rPr>
              <w:tab/>
            </w:r>
            <w:r w:rsidR="009F22C7" w:rsidRPr="009F22C7">
              <w:rPr>
                <w:noProof/>
                <w:webHidden/>
              </w:rPr>
              <w:fldChar w:fldCharType="begin"/>
            </w:r>
            <w:r w:rsidR="009F22C7" w:rsidRPr="009F22C7">
              <w:rPr>
                <w:noProof/>
                <w:webHidden/>
              </w:rPr>
              <w:instrText xml:space="preserve"> PAGEREF _Toc513092280 \h </w:instrText>
            </w:r>
            <w:r w:rsidR="009F22C7" w:rsidRPr="009F22C7">
              <w:rPr>
                <w:noProof/>
                <w:webHidden/>
              </w:rPr>
            </w:r>
            <w:r w:rsidR="009F22C7" w:rsidRPr="009F22C7">
              <w:rPr>
                <w:noProof/>
                <w:webHidden/>
              </w:rPr>
              <w:fldChar w:fldCharType="separate"/>
            </w:r>
            <w:r w:rsidR="00601E5D">
              <w:rPr>
                <w:noProof/>
                <w:webHidden/>
              </w:rPr>
              <w:t>24</w:t>
            </w:r>
            <w:r w:rsidR="009F22C7" w:rsidRPr="009F22C7">
              <w:rPr>
                <w:noProof/>
                <w:webHidden/>
              </w:rPr>
              <w:fldChar w:fldCharType="end"/>
            </w:r>
          </w:hyperlink>
        </w:p>
        <w:p w:rsidR="009F22C7" w:rsidRPr="009F22C7" w:rsidRDefault="006F61CB" w:rsidP="009F22C7">
          <w:pPr>
            <w:pStyle w:val="31"/>
            <w:tabs>
              <w:tab w:val="right" w:leader="dot" w:pos="9345"/>
            </w:tabs>
            <w:ind w:left="0"/>
            <w:rPr>
              <w:rFonts w:eastAsiaTheme="minorEastAsia"/>
              <w:noProof/>
            </w:rPr>
          </w:pPr>
          <w:hyperlink w:anchor="_Toc513092281" w:history="1">
            <w:r w:rsidR="009F22C7" w:rsidRPr="009F22C7">
              <w:rPr>
                <w:rStyle w:val="a8"/>
                <w:rFonts w:eastAsiaTheme="majorEastAsia"/>
                <w:noProof/>
              </w:rPr>
              <w:t>2.2 Особенности российск</w:t>
            </w:r>
            <w:r w:rsidR="0063338E">
              <w:rPr>
                <w:rStyle w:val="a8"/>
                <w:rFonts w:eastAsiaTheme="majorEastAsia"/>
                <w:noProof/>
              </w:rPr>
              <w:t>их</w:t>
            </w:r>
            <w:r w:rsidR="009F22C7" w:rsidRPr="009F22C7">
              <w:rPr>
                <w:rStyle w:val="a8"/>
                <w:rFonts w:eastAsiaTheme="majorEastAsia"/>
                <w:noProof/>
              </w:rPr>
              <w:t xml:space="preserve"> слияний и поглощений.</w:t>
            </w:r>
            <w:r w:rsidR="009F22C7" w:rsidRPr="009F22C7">
              <w:rPr>
                <w:noProof/>
                <w:webHidden/>
              </w:rPr>
              <w:tab/>
            </w:r>
            <w:r w:rsidR="009F22C7" w:rsidRPr="009F22C7">
              <w:rPr>
                <w:noProof/>
                <w:webHidden/>
              </w:rPr>
              <w:fldChar w:fldCharType="begin"/>
            </w:r>
            <w:r w:rsidR="009F22C7" w:rsidRPr="009F22C7">
              <w:rPr>
                <w:noProof/>
                <w:webHidden/>
              </w:rPr>
              <w:instrText xml:space="preserve"> PAGEREF _Toc513092281 \h </w:instrText>
            </w:r>
            <w:r w:rsidR="009F22C7" w:rsidRPr="009F22C7">
              <w:rPr>
                <w:noProof/>
                <w:webHidden/>
              </w:rPr>
            </w:r>
            <w:r w:rsidR="009F22C7" w:rsidRPr="009F22C7">
              <w:rPr>
                <w:noProof/>
                <w:webHidden/>
              </w:rPr>
              <w:fldChar w:fldCharType="separate"/>
            </w:r>
            <w:r w:rsidR="00601E5D">
              <w:rPr>
                <w:noProof/>
                <w:webHidden/>
              </w:rPr>
              <w:t>36</w:t>
            </w:r>
            <w:r w:rsidR="009F22C7" w:rsidRPr="009F22C7">
              <w:rPr>
                <w:noProof/>
                <w:webHidden/>
              </w:rPr>
              <w:fldChar w:fldCharType="end"/>
            </w:r>
          </w:hyperlink>
        </w:p>
        <w:p w:rsidR="009F22C7" w:rsidRPr="009F22C7" w:rsidRDefault="006F61CB">
          <w:pPr>
            <w:pStyle w:val="11"/>
            <w:tabs>
              <w:tab w:val="right" w:leader="dot" w:pos="9345"/>
            </w:tabs>
            <w:rPr>
              <w:rFonts w:eastAsiaTheme="minorEastAsia"/>
              <w:noProof/>
            </w:rPr>
          </w:pPr>
          <w:hyperlink w:anchor="_Toc513092282" w:history="1">
            <w:r w:rsidR="009F22C7" w:rsidRPr="009F22C7">
              <w:rPr>
                <w:rStyle w:val="a8"/>
                <w:rFonts w:eastAsiaTheme="majorEastAsia"/>
                <w:noProof/>
              </w:rPr>
              <w:t>Глава 3. Оценка эффективности сделок</w:t>
            </w:r>
            <w:r w:rsidR="00205D45">
              <w:rPr>
                <w:rStyle w:val="a8"/>
                <w:rFonts w:eastAsiaTheme="majorEastAsia"/>
                <w:noProof/>
              </w:rPr>
              <w:t xml:space="preserve"> </w:t>
            </w:r>
            <w:r w:rsidR="00205D45" w:rsidRPr="00205D45">
              <w:rPr>
                <w:rStyle w:val="a8"/>
                <w:rFonts w:eastAsiaTheme="majorEastAsia"/>
                <w:noProof/>
              </w:rPr>
              <w:t>M&amp;A</w:t>
            </w:r>
            <w:r w:rsidR="009F22C7" w:rsidRPr="009F22C7">
              <w:rPr>
                <w:rStyle w:val="a8"/>
                <w:rFonts w:eastAsiaTheme="majorEastAsia"/>
                <w:noProof/>
              </w:rPr>
              <w:t xml:space="preserve"> на основе анализа финансового состояния </w:t>
            </w:r>
            <w:r w:rsidR="009F22C7" w:rsidRPr="009F22C7">
              <w:rPr>
                <w:rStyle w:val="a8"/>
                <w:rFonts w:eastAsiaTheme="majorEastAsia"/>
                <w:noProof/>
                <w:lang w:val="en-US"/>
              </w:rPr>
              <w:t>Lenta</w:t>
            </w:r>
            <w:r w:rsidR="009F22C7" w:rsidRPr="009F22C7">
              <w:rPr>
                <w:rStyle w:val="a8"/>
                <w:rFonts w:eastAsiaTheme="majorEastAsia"/>
                <w:noProof/>
              </w:rPr>
              <w:t xml:space="preserve"> </w:t>
            </w:r>
            <w:r w:rsidR="009F22C7" w:rsidRPr="009F22C7">
              <w:rPr>
                <w:rStyle w:val="a8"/>
                <w:rFonts w:eastAsiaTheme="majorEastAsia"/>
                <w:noProof/>
                <w:lang w:val="en-US"/>
              </w:rPr>
              <w:t>Ltd</w:t>
            </w:r>
            <w:r w:rsidR="009F22C7" w:rsidRPr="009F22C7">
              <w:rPr>
                <w:rStyle w:val="a8"/>
                <w:rFonts w:eastAsiaTheme="majorEastAsia"/>
                <w:noProof/>
              </w:rPr>
              <w:t>.</w:t>
            </w:r>
            <w:r w:rsidR="009F22C7" w:rsidRPr="009F22C7">
              <w:rPr>
                <w:noProof/>
                <w:webHidden/>
              </w:rPr>
              <w:tab/>
            </w:r>
            <w:r w:rsidR="009F22C7" w:rsidRPr="009F22C7">
              <w:rPr>
                <w:noProof/>
                <w:webHidden/>
              </w:rPr>
              <w:fldChar w:fldCharType="begin"/>
            </w:r>
            <w:r w:rsidR="009F22C7" w:rsidRPr="009F22C7">
              <w:rPr>
                <w:noProof/>
                <w:webHidden/>
              </w:rPr>
              <w:instrText xml:space="preserve"> PAGEREF _Toc513092282 \h </w:instrText>
            </w:r>
            <w:r w:rsidR="009F22C7" w:rsidRPr="009F22C7">
              <w:rPr>
                <w:noProof/>
                <w:webHidden/>
              </w:rPr>
            </w:r>
            <w:r w:rsidR="009F22C7" w:rsidRPr="009F22C7">
              <w:rPr>
                <w:noProof/>
                <w:webHidden/>
              </w:rPr>
              <w:fldChar w:fldCharType="separate"/>
            </w:r>
            <w:r w:rsidR="00601E5D">
              <w:rPr>
                <w:noProof/>
                <w:webHidden/>
              </w:rPr>
              <w:t>44</w:t>
            </w:r>
            <w:r w:rsidR="009F22C7" w:rsidRPr="009F22C7">
              <w:rPr>
                <w:noProof/>
                <w:webHidden/>
              </w:rPr>
              <w:fldChar w:fldCharType="end"/>
            </w:r>
          </w:hyperlink>
        </w:p>
        <w:p w:rsidR="009F22C7" w:rsidRPr="009F22C7" w:rsidRDefault="006F61CB" w:rsidP="00E22F90">
          <w:pPr>
            <w:pStyle w:val="21"/>
            <w:ind w:left="0"/>
            <w:rPr>
              <w:rFonts w:eastAsiaTheme="minorEastAsia"/>
            </w:rPr>
          </w:pPr>
          <w:hyperlink w:anchor="_Toc513092283" w:history="1">
            <w:r w:rsidR="009F22C7" w:rsidRPr="009F22C7">
              <w:rPr>
                <w:rStyle w:val="a8"/>
              </w:rPr>
              <w:t>3.1 Организационный анализ деятельности предприятия.</w:t>
            </w:r>
            <w:r w:rsidR="009F22C7" w:rsidRPr="009F22C7">
              <w:rPr>
                <w:webHidden/>
              </w:rPr>
              <w:tab/>
            </w:r>
            <w:r w:rsidR="009F22C7" w:rsidRPr="009F22C7">
              <w:rPr>
                <w:webHidden/>
              </w:rPr>
              <w:fldChar w:fldCharType="begin"/>
            </w:r>
            <w:r w:rsidR="009F22C7" w:rsidRPr="009F22C7">
              <w:rPr>
                <w:webHidden/>
              </w:rPr>
              <w:instrText xml:space="preserve"> PAGEREF _Toc513092283 \h </w:instrText>
            </w:r>
            <w:r w:rsidR="009F22C7" w:rsidRPr="009F22C7">
              <w:rPr>
                <w:webHidden/>
              </w:rPr>
            </w:r>
            <w:r w:rsidR="009F22C7" w:rsidRPr="009F22C7">
              <w:rPr>
                <w:webHidden/>
              </w:rPr>
              <w:fldChar w:fldCharType="separate"/>
            </w:r>
            <w:r w:rsidR="00601E5D">
              <w:rPr>
                <w:webHidden/>
              </w:rPr>
              <w:t>44</w:t>
            </w:r>
            <w:r w:rsidR="009F22C7" w:rsidRPr="009F22C7">
              <w:rPr>
                <w:webHidden/>
              </w:rPr>
              <w:fldChar w:fldCharType="end"/>
            </w:r>
          </w:hyperlink>
        </w:p>
        <w:p w:rsidR="009F22C7" w:rsidRPr="009F22C7" w:rsidRDefault="006F61CB" w:rsidP="00E22F90">
          <w:pPr>
            <w:pStyle w:val="21"/>
            <w:ind w:left="0"/>
            <w:rPr>
              <w:rFonts w:eastAsiaTheme="minorEastAsia"/>
            </w:rPr>
          </w:pPr>
          <w:hyperlink w:anchor="_Toc513092336" w:history="1">
            <w:r w:rsidR="009F22C7" w:rsidRPr="009F22C7">
              <w:rPr>
                <w:rStyle w:val="a8"/>
              </w:rPr>
              <w:t>3.2 Расчёт синергетического эффекта.</w:t>
            </w:r>
            <w:r w:rsidR="009F22C7" w:rsidRPr="009F22C7">
              <w:rPr>
                <w:webHidden/>
              </w:rPr>
              <w:tab/>
            </w:r>
            <w:r w:rsidR="009F22C7" w:rsidRPr="009F22C7">
              <w:rPr>
                <w:webHidden/>
              </w:rPr>
              <w:fldChar w:fldCharType="begin"/>
            </w:r>
            <w:r w:rsidR="009F22C7" w:rsidRPr="009F22C7">
              <w:rPr>
                <w:webHidden/>
              </w:rPr>
              <w:instrText xml:space="preserve"> PAGEREF _Toc513092336 \h </w:instrText>
            </w:r>
            <w:r w:rsidR="009F22C7" w:rsidRPr="009F22C7">
              <w:rPr>
                <w:webHidden/>
              </w:rPr>
            </w:r>
            <w:r w:rsidR="009F22C7" w:rsidRPr="009F22C7">
              <w:rPr>
                <w:webHidden/>
              </w:rPr>
              <w:fldChar w:fldCharType="separate"/>
            </w:r>
            <w:r w:rsidR="00601E5D">
              <w:rPr>
                <w:webHidden/>
              </w:rPr>
              <w:t>47</w:t>
            </w:r>
            <w:r w:rsidR="009F22C7" w:rsidRPr="009F22C7">
              <w:rPr>
                <w:webHidden/>
              </w:rPr>
              <w:fldChar w:fldCharType="end"/>
            </w:r>
          </w:hyperlink>
        </w:p>
        <w:p w:rsidR="009F22C7" w:rsidRPr="009F22C7" w:rsidRDefault="006F61CB">
          <w:pPr>
            <w:pStyle w:val="11"/>
            <w:tabs>
              <w:tab w:val="right" w:leader="dot" w:pos="9345"/>
            </w:tabs>
            <w:rPr>
              <w:rFonts w:eastAsiaTheme="minorEastAsia"/>
              <w:noProof/>
            </w:rPr>
          </w:pPr>
          <w:hyperlink w:anchor="_Toc513092337" w:history="1">
            <w:r w:rsidR="009F22C7" w:rsidRPr="009F22C7">
              <w:rPr>
                <w:rStyle w:val="a8"/>
                <w:rFonts w:eastAsiaTheme="majorEastAsia"/>
                <w:noProof/>
              </w:rPr>
              <w:t>Заключение.</w:t>
            </w:r>
            <w:r w:rsidR="009F22C7" w:rsidRPr="009F22C7">
              <w:rPr>
                <w:noProof/>
                <w:webHidden/>
              </w:rPr>
              <w:tab/>
            </w:r>
            <w:r w:rsidR="009F22C7" w:rsidRPr="009F22C7">
              <w:rPr>
                <w:noProof/>
                <w:webHidden/>
              </w:rPr>
              <w:fldChar w:fldCharType="begin"/>
            </w:r>
            <w:r w:rsidR="009F22C7" w:rsidRPr="009F22C7">
              <w:rPr>
                <w:noProof/>
                <w:webHidden/>
              </w:rPr>
              <w:instrText xml:space="preserve"> PAGEREF _Toc513092337 \h </w:instrText>
            </w:r>
            <w:r w:rsidR="009F22C7" w:rsidRPr="009F22C7">
              <w:rPr>
                <w:noProof/>
                <w:webHidden/>
              </w:rPr>
            </w:r>
            <w:r w:rsidR="009F22C7" w:rsidRPr="009F22C7">
              <w:rPr>
                <w:noProof/>
                <w:webHidden/>
              </w:rPr>
              <w:fldChar w:fldCharType="separate"/>
            </w:r>
            <w:r w:rsidR="00601E5D">
              <w:rPr>
                <w:noProof/>
                <w:webHidden/>
              </w:rPr>
              <w:t>54</w:t>
            </w:r>
            <w:r w:rsidR="009F22C7" w:rsidRPr="009F22C7">
              <w:rPr>
                <w:noProof/>
                <w:webHidden/>
              </w:rPr>
              <w:fldChar w:fldCharType="end"/>
            </w:r>
          </w:hyperlink>
        </w:p>
        <w:p w:rsidR="009F22C7" w:rsidRPr="009F22C7" w:rsidRDefault="006F61CB">
          <w:pPr>
            <w:pStyle w:val="11"/>
            <w:tabs>
              <w:tab w:val="right" w:leader="dot" w:pos="9345"/>
            </w:tabs>
            <w:rPr>
              <w:rFonts w:eastAsiaTheme="minorEastAsia"/>
              <w:noProof/>
            </w:rPr>
          </w:pPr>
          <w:hyperlink w:anchor="_Toc513092338" w:history="1">
            <w:r w:rsidR="009F22C7" w:rsidRPr="009F22C7">
              <w:rPr>
                <w:rStyle w:val="a8"/>
                <w:rFonts w:eastAsiaTheme="majorEastAsia"/>
                <w:noProof/>
              </w:rPr>
              <w:t>Список использованных источников.</w:t>
            </w:r>
            <w:r w:rsidR="009F22C7" w:rsidRPr="009F22C7">
              <w:rPr>
                <w:noProof/>
                <w:webHidden/>
              </w:rPr>
              <w:tab/>
            </w:r>
            <w:r w:rsidR="009F22C7" w:rsidRPr="009F22C7">
              <w:rPr>
                <w:noProof/>
                <w:webHidden/>
              </w:rPr>
              <w:fldChar w:fldCharType="begin"/>
            </w:r>
            <w:r w:rsidR="009F22C7" w:rsidRPr="009F22C7">
              <w:rPr>
                <w:noProof/>
                <w:webHidden/>
              </w:rPr>
              <w:instrText xml:space="preserve"> PAGEREF _Toc513092338 \h </w:instrText>
            </w:r>
            <w:r w:rsidR="009F22C7" w:rsidRPr="009F22C7">
              <w:rPr>
                <w:noProof/>
                <w:webHidden/>
              </w:rPr>
            </w:r>
            <w:r w:rsidR="009F22C7" w:rsidRPr="009F22C7">
              <w:rPr>
                <w:noProof/>
                <w:webHidden/>
              </w:rPr>
              <w:fldChar w:fldCharType="separate"/>
            </w:r>
            <w:r w:rsidR="00601E5D">
              <w:rPr>
                <w:noProof/>
                <w:webHidden/>
              </w:rPr>
              <w:t>57</w:t>
            </w:r>
            <w:r w:rsidR="009F22C7" w:rsidRPr="009F22C7">
              <w:rPr>
                <w:noProof/>
                <w:webHidden/>
              </w:rPr>
              <w:fldChar w:fldCharType="end"/>
            </w:r>
          </w:hyperlink>
        </w:p>
        <w:p w:rsidR="009F22C7" w:rsidRPr="009F22C7" w:rsidRDefault="006F61CB" w:rsidP="00E22F90">
          <w:pPr>
            <w:pStyle w:val="21"/>
            <w:ind w:left="0"/>
            <w:rPr>
              <w:rFonts w:eastAsiaTheme="minorEastAsia"/>
            </w:rPr>
          </w:pPr>
          <w:hyperlink w:anchor="_Toc513092339" w:history="1">
            <w:r w:rsidR="009F22C7" w:rsidRPr="009F22C7">
              <w:rPr>
                <w:rStyle w:val="a8"/>
              </w:rPr>
              <w:t>Приложение 1.</w:t>
            </w:r>
            <w:r w:rsidR="009F22C7" w:rsidRPr="009F22C7">
              <w:rPr>
                <w:webHidden/>
              </w:rPr>
              <w:tab/>
            </w:r>
            <w:r w:rsidR="009F22C7" w:rsidRPr="009F22C7">
              <w:rPr>
                <w:webHidden/>
              </w:rPr>
              <w:fldChar w:fldCharType="begin"/>
            </w:r>
            <w:r w:rsidR="009F22C7" w:rsidRPr="009F22C7">
              <w:rPr>
                <w:webHidden/>
              </w:rPr>
              <w:instrText xml:space="preserve"> PAGEREF _Toc513092339 \h </w:instrText>
            </w:r>
            <w:r w:rsidR="009F22C7" w:rsidRPr="009F22C7">
              <w:rPr>
                <w:webHidden/>
              </w:rPr>
            </w:r>
            <w:r w:rsidR="009F22C7" w:rsidRPr="009F22C7">
              <w:rPr>
                <w:webHidden/>
              </w:rPr>
              <w:fldChar w:fldCharType="separate"/>
            </w:r>
            <w:r w:rsidR="00601E5D">
              <w:rPr>
                <w:webHidden/>
              </w:rPr>
              <w:t>59</w:t>
            </w:r>
            <w:r w:rsidR="009F22C7" w:rsidRPr="009F22C7">
              <w:rPr>
                <w:webHidden/>
              </w:rPr>
              <w:fldChar w:fldCharType="end"/>
            </w:r>
          </w:hyperlink>
        </w:p>
        <w:p w:rsidR="009F22C7" w:rsidRPr="009F22C7" w:rsidRDefault="006F61CB" w:rsidP="00E22F90">
          <w:pPr>
            <w:pStyle w:val="21"/>
            <w:ind w:left="0"/>
            <w:rPr>
              <w:rFonts w:eastAsiaTheme="minorEastAsia"/>
            </w:rPr>
          </w:pPr>
          <w:hyperlink w:anchor="_Toc513092340" w:history="1">
            <w:r w:rsidR="009F22C7" w:rsidRPr="009F22C7">
              <w:rPr>
                <w:rStyle w:val="a8"/>
              </w:rPr>
              <w:t>Приложение 2.</w:t>
            </w:r>
            <w:r w:rsidR="009F22C7" w:rsidRPr="009F22C7">
              <w:rPr>
                <w:webHidden/>
              </w:rPr>
              <w:tab/>
            </w:r>
            <w:r w:rsidR="009F22C7" w:rsidRPr="009F22C7">
              <w:rPr>
                <w:webHidden/>
              </w:rPr>
              <w:fldChar w:fldCharType="begin"/>
            </w:r>
            <w:r w:rsidR="009F22C7" w:rsidRPr="009F22C7">
              <w:rPr>
                <w:webHidden/>
              </w:rPr>
              <w:instrText xml:space="preserve"> PAGEREF _Toc513092340 \h </w:instrText>
            </w:r>
            <w:r w:rsidR="009F22C7" w:rsidRPr="009F22C7">
              <w:rPr>
                <w:webHidden/>
              </w:rPr>
            </w:r>
            <w:r w:rsidR="009F22C7" w:rsidRPr="009F22C7">
              <w:rPr>
                <w:webHidden/>
              </w:rPr>
              <w:fldChar w:fldCharType="separate"/>
            </w:r>
            <w:r w:rsidR="00601E5D">
              <w:rPr>
                <w:webHidden/>
              </w:rPr>
              <w:t>60</w:t>
            </w:r>
            <w:r w:rsidR="009F22C7" w:rsidRPr="009F22C7">
              <w:rPr>
                <w:webHidden/>
              </w:rPr>
              <w:fldChar w:fldCharType="end"/>
            </w:r>
          </w:hyperlink>
        </w:p>
        <w:p w:rsidR="009F22C7" w:rsidRPr="009F22C7" w:rsidRDefault="006F61CB">
          <w:pPr>
            <w:pStyle w:val="11"/>
            <w:tabs>
              <w:tab w:val="right" w:leader="dot" w:pos="9345"/>
            </w:tabs>
            <w:rPr>
              <w:rFonts w:eastAsiaTheme="minorEastAsia"/>
              <w:noProof/>
            </w:rPr>
          </w:pPr>
          <w:hyperlink w:anchor="_Toc513092341" w:history="1">
            <w:r w:rsidR="009F22C7" w:rsidRPr="009F22C7">
              <w:rPr>
                <w:rStyle w:val="a8"/>
                <w:rFonts w:eastAsiaTheme="majorEastAsia"/>
                <w:noProof/>
              </w:rPr>
              <w:t>Приложение 3.</w:t>
            </w:r>
            <w:r w:rsidR="009F22C7" w:rsidRPr="009F22C7">
              <w:rPr>
                <w:noProof/>
                <w:webHidden/>
              </w:rPr>
              <w:tab/>
            </w:r>
            <w:r w:rsidR="009F22C7" w:rsidRPr="009F22C7">
              <w:rPr>
                <w:noProof/>
                <w:webHidden/>
              </w:rPr>
              <w:fldChar w:fldCharType="begin"/>
            </w:r>
            <w:r w:rsidR="009F22C7" w:rsidRPr="009F22C7">
              <w:rPr>
                <w:noProof/>
                <w:webHidden/>
              </w:rPr>
              <w:instrText xml:space="preserve"> PAGEREF _Toc513092341 \h </w:instrText>
            </w:r>
            <w:r w:rsidR="009F22C7" w:rsidRPr="009F22C7">
              <w:rPr>
                <w:noProof/>
                <w:webHidden/>
              </w:rPr>
            </w:r>
            <w:r w:rsidR="009F22C7" w:rsidRPr="009F22C7">
              <w:rPr>
                <w:noProof/>
                <w:webHidden/>
              </w:rPr>
              <w:fldChar w:fldCharType="separate"/>
            </w:r>
            <w:r w:rsidR="00601E5D">
              <w:rPr>
                <w:noProof/>
                <w:webHidden/>
              </w:rPr>
              <w:t>61</w:t>
            </w:r>
            <w:r w:rsidR="009F22C7" w:rsidRPr="009F22C7">
              <w:rPr>
                <w:noProof/>
                <w:webHidden/>
              </w:rPr>
              <w:fldChar w:fldCharType="end"/>
            </w:r>
          </w:hyperlink>
        </w:p>
        <w:p w:rsidR="004E6C83" w:rsidRPr="00102137" w:rsidRDefault="00A36445">
          <w:r w:rsidRPr="009F22C7">
            <w:rPr>
              <w:bCs/>
            </w:rPr>
            <w:fldChar w:fldCharType="end"/>
          </w:r>
        </w:p>
      </w:sdtContent>
    </w:sdt>
    <w:p w:rsidR="00667F77" w:rsidRPr="00667F77" w:rsidRDefault="00667F77" w:rsidP="00667F77"/>
    <w:p w:rsidR="00DC2B85" w:rsidRDefault="00DC2B85">
      <w:r>
        <w:br w:type="page"/>
      </w:r>
    </w:p>
    <w:p w:rsidR="007D527B" w:rsidRPr="00D223E1" w:rsidRDefault="007D527B" w:rsidP="007D527B">
      <w:pPr>
        <w:pStyle w:val="1"/>
        <w:spacing w:before="0" w:after="120" w:line="360" w:lineRule="auto"/>
        <w:ind w:firstLine="709"/>
        <w:rPr>
          <w:rFonts w:ascii="Times New Roman" w:hAnsi="Times New Roman" w:cs="Times New Roman"/>
          <w:color w:val="auto"/>
        </w:rPr>
      </w:pPr>
      <w:bookmarkStart w:id="0" w:name="_Toc513092274"/>
      <w:r w:rsidRPr="00D223E1">
        <w:rPr>
          <w:rFonts w:ascii="Times New Roman" w:hAnsi="Times New Roman" w:cs="Times New Roman"/>
          <w:color w:val="auto"/>
        </w:rPr>
        <w:lastRenderedPageBreak/>
        <w:t>Введение.</w:t>
      </w:r>
      <w:bookmarkEnd w:id="0"/>
    </w:p>
    <w:p w:rsidR="007D527B" w:rsidRDefault="007D527B" w:rsidP="00556835">
      <w:pPr>
        <w:spacing w:afterLines="100" w:after="240" w:line="360" w:lineRule="auto"/>
        <w:ind w:firstLine="567"/>
        <w:contextualSpacing/>
        <w:jc w:val="both"/>
      </w:pPr>
      <w:r>
        <w:t xml:space="preserve">Данная работа направлена на изучение процессов, происходящих </w:t>
      </w:r>
      <w:r w:rsidR="0012391A">
        <w:t>в результате</w:t>
      </w:r>
      <w:r>
        <w:t xml:space="preserve"> сли</w:t>
      </w:r>
      <w:r>
        <w:t>я</w:t>
      </w:r>
      <w:r>
        <w:t xml:space="preserve">ний и поглощений, и на формирование концептуальных представлений </w:t>
      </w:r>
      <w:proofErr w:type="gramStart"/>
      <w:r>
        <w:t>о</w:t>
      </w:r>
      <w:proofErr w:type="gramEnd"/>
      <w:r>
        <w:t xml:space="preserve"> свойственных </w:t>
      </w:r>
      <w:r w:rsidR="0012391A">
        <w:t xml:space="preserve">ключевых тенденций </w:t>
      </w:r>
      <w:r w:rsidR="00945731">
        <w:t>международному</w:t>
      </w:r>
      <w:r>
        <w:t xml:space="preserve"> </w:t>
      </w:r>
      <w:r w:rsidR="0098145B" w:rsidRPr="0098145B">
        <w:t>механизму</w:t>
      </w:r>
      <w:r w:rsidRPr="0098145B">
        <w:t xml:space="preserve"> сделок </w:t>
      </w:r>
      <w:r w:rsidRPr="0098145B">
        <w:rPr>
          <w:lang w:val="en-US"/>
        </w:rPr>
        <w:t>M</w:t>
      </w:r>
      <w:r w:rsidRPr="0098145B">
        <w:t>&amp;</w:t>
      </w:r>
      <w:r w:rsidRPr="0098145B">
        <w:rPr>
          <w:lang w:val="en-US"/>
        </w:rPr>
        <w:t>A</w:t>
      </w:r>
      <w:r>
        <w:t xml:space="preserve">. </w:t>
      </w:r>
      <w:r w:rsidR="00C87CF2" w:rsidRPr="00C87CF2">
        <w:t xml:space="preserve">Транзакциям </w:t>
      </w:r>
      <w:r w:rsidRPr="00C87CF2">
        <w:t>слияний</w:t>
      </w:r>
      <w:r>
        <w:t xml:space="preserve"> и поглощений всегда были присущи большие объемы, как по количеству, так и по сто</w:t>
      </w:r>
      <w:r>
        <w:t>и</w:t>
      </w:r>
      <w:r>
        <w:t>мостным величинам, следовательно, всестороннее понимание не только методов фина</w:t>
      </w:r>
      <w:r>
        <w:t>н</w:t>
      </w:r>
      <w:r>
        <w:t>сирования и структурирования сделки  покупки компании, но и перспективности страт</w:t>
      </w:r>
      <w:r>
        <w:t>е</w:t>
      </w:r>
      <w:r>
        <w:t>гической целесообразности становится одним из основополагающих факторов ее успеха.</w:t>
      </w:r>
    </w:p>
    <w:p w:rsidR="007D527B" w:rsidRDefault="007D527B" w:rsidP="00556835">
      <w:pPr>
        <w:spacing w:afterLines="100" w:after="240" w:line="360" w:lineRule="auto"/>
        <w:ind w:firstLine="567"/>
        <w:contextualSpacing/>
        <w:jc w:val="both"/>
      </w:pPr>
      <w:r>
        <w:t>Актуальность какого-либо экономического явления определяется, прежде всего, его ролью в развитии экономики, причем важно рассматривать его значимость не только в обозримом будущем, но и в общей перспективе. На определенных этапах компания ста</w:t>
      </w:r>
      <w:r>
        <w:t>л</w:t>
      </w:r>
      <w:r>
        <w:t>кивается с необходимостью реорганизации, либо адаптации в связи с общими тенденци</w:t>
      </w:r>
      <w:r>
        <w:t>я</w:t>
      </w:r>
      <w:r>
        <w:t>ми изменения общей среды функционирования, в результате чего, экспансия становится основным путем развития хозяйствующего субъекта.</w:t>
      </w:r>
    </w:p>
    <w:p w:rsidR="001B5E10" w:rsidRDefault="007D527B" w:rsidP="00556835">
      <w:pPr>
        <w:spacing w:afterLines="100" w:after="240" w:line="360" w:lineRule="auto"/>
        <w:ind w:firstLine="567"/>
        <w:contextualSpacing/>
        <w:jc w:val="both"/>
      </w:pPr>
      <w:r>
        <w:t xml:space="preserve">В настоящее время, </w:t>
      </w:r>
      <w:r w:rsidR="00D0660E" w:rsidRPr="009E732A">
        <w:t>в России для процессов</w:t>
      </w:r>
      <w:r w:rsidR="00B264A4" w:rsidRPr="009E732A">
        <w:t xml:space="preserve"> </w:t>
      </w:r>
      <w:r w:rsidR="00B264A4">
        <w:t xml:space="preserve">слияний и поглощений </w:t>
      </w:r>
      <w:r>
        <w:t>на фоне сложи</w:t>
      </w:r>
      <w:r>
        <w:t>в</w:t>
      </w:r>
      <w:r>
        <w:t>шейся геополитической ситуации и неопределенности в отношении прогнозов дальнейш</w:t>
      </w:r>
      <w:r>
        <w:t>е</w:t>
      </w:r>
      <w:r>
        <w:t xml:space="preserve">го развития экономики, характерным явлением </w:t>
      </w:r>
      <w:r w:rsidR="001B5E10">
        <w:t xml:space="preserve">было </w:t>
      </w:r>
      <w:r>
        <w:t>сокращение общей суммы транза</w:t>
      </w:r>
      <w:r>
        <w:t>к</w:t>
      </w:r>
      <w:r>
        <w:t>ций и увеличение количества небольших внутренних сделок</w:t>
      </w:r>
      <w:r w:rsidR="001B5E10">
        <w:t>, однако в 2017 году критич</w:t>
      </w:r>
      <w:r w:rsidR="001B5E10">
        <w:t>е</w:t>
      </w:r>
      <w:r w:rsidR="001B5E10">
        <w:t>ск</w:t>
      </w:r>
      <w:r w:rsidR="00D35F19">
        <w:t>ая</w:t>
      </w:r>
      <w:r w:rsidR="001B5E10">
        <w:t xml:space="preserve"> точк</w:t>
      </w:r>
      <w:r w:rsidR="00D35F19">
        <w:t>а была пройдена</w:t>
      </w:r>
      <w:r w:rsidR="001B5E10">
        <w:t xml:space="preserve"> и снова наблюдается положительный тренд</w:t>
      </w:r>
      <w:r>
        <w:t xml:space="preserve">. Принимая в учет количество, стоимость и объемы совершаемых операций можно, как считают эксперты, утверждать, что будет наблюдаться </w:t>
      </w:r>
      <w:r w:rsidR="001B5E10">
        <w:t>увеличение</w:t>
      </w:r>
      <w:r>
        <w:t xml:space="preserve"> активнос</w:t>
      </w:r>
      <w:r w:rsidR="001B5E10">
        <w:t xml:space="preserve">ти сделок </w:t>
      </w:r>
      <w:r w:rsidRPr="001B5E10">
        <w:rPr>
          <w:lang w:val="en-US"/>
        </w:rPr>
        <w:t>M</w:t>
      </w:r>
      <w:r w:rsidRPr="001B5E10">
        <w:t>&amp;</w:t>
      </w:r>
      <w:r w:rsidRPr="001B5E10">
        <w:rPr>
          <w:lang w:val="en-US"/>
        </w:rPr>
        <w:t>A</w:t>
      </w:r>
      <w:r w:rsidR="001B5E10">
        <w:t>.</w:t>
      </w:r>
    </w:p>
    <w:p w:rsidR="007D527B" w:rsidRDefault="007D527B" w:rsidP="00556835">
      <w:pPr>
        <w:spacing w:afterLines="100" w:after="240" w:line="360" w:lineRule="auto"/>
        <w:ind w:firstLine="567"/>
        <w:contextualSpacing/>
        <w:jc w:val="both"/>
      </w:pPr>
      <w:r>
        <w:t>В современных условиях проблема слияний и поглощений различных компаний крайне актуальна. Это можно обусловить следующими причинами:</w:t>
      </w:r>
    </w:p>
    <w:p w:rsidR="007D527B" w:rsidRDefault="007D527B" w:rsidP="002A61A0">
      <w:pPr>
        <w:pStyle w:val="a3"/>
        <w:numPr>
          <w:ilvl w:val="0"/>
          <w:numId w:val="1"/>
        </w:numPr>
        <w:spacing w:afterLines="100" w:after="240" w:line="360" w:lineRule="auto"/>
        <w:ind w:left="1429" w:hanging="357"/>
        <w:jc w:val="both"/>
      </w:pPr>
      <w:r>
        <w:t>Слияния и поглощения оказывают значительное влияние на мировую эк</w:t>
      </w:r>
      <w:r>
        <w:t>о</w:t>
      </w:r>
      <w:r>
        <w:t>номику. Расширение бизнеса делает его менее уязвимым, менее подвлас</w:t>
      </w:r>
      <w:r>
        <w:t>т</w:t>
      </w:r>
      <w:r>
        <w:t>ным внешним регуляторам, как со стороны правительства, так и со стороны международных экономических организаций. Данный аспект крайне акту</w:t>
      </w:r>
      <w:r>
        <w:t>а</w:t>
      </w:r>
      <w:r>
        <w:t>лен в отношении развития российских компаний в условиях современных реалий.</w:t>
      </w:r>
    </w:p>
    <w:p w:rsidR="007D527B" w:rsidRDefault="007D527B" w:rsidP="002A61A0">
      <w:pPr>
        <w:pStyle w:val="a3"/>
        <w:numPr>
          <w:ilvl w:val="0"/>
          <w:numId w:val="1"/>
        </w:numPr>
        <w:spacing w:afterLines="100" w:after="240" w:line="360" w:lineRule="auto"/>
        <w:ind w:left="1429" w:hanging="357"/>
        <w:jc w:val="both"/>
      </w:pPr>
      <w:r>
        <w:t xml:space="preserve">Тенденции слияний и поглощений быстрыми темпами распространяются среди  компаний, причем компании участвуют в международных сделках, как в качестве приобретаемых, так </w:t>
      </w:r>
      <w:proofErr w:type="gramStart"/>
      <w:r>
        <w:t>и</w:t>
      </w:r>
      <w:proofErr w:type="gramEnd"/>
      <w:r>
        <w:t xml:space="preserve"> наоборот, вследствие </w:t>
      </w:r>
      <w:r w:rsidRPr="00D35F19">
        <w:t>чего рынок</w:t>
      </w:r>
      <w:r>
        <w:t xml:space="preserve"> пр</w:t>
      </w:r>
      <w:r>
        <w:t>и</w:t>
      </w:r>
      <w:r>
        <w:t>обретает специфические особенности.</w:t>
      </w:r>
    </w:p>
    <w:p w:rsidR="007D527B" w:rsidRDefault="007D527B" w:rsidP="002A61A0">
      <w:pPr>
        <w:pStyle w:val="a3"/>
        <w:numPr>
          <w:ilvl w:val="0"/>
          <w:numId w:val="1"/>
        </w:numPr>
        <w:spacing w:afterLines="100" w:after="240" w:line="360" w:lineRule="auto"/>
        <w:ind w:left="1429" w:hanging="357"/>
        <w:jc w:val="both"/>
      </w:pPr>
      <w:r>
        <w:lastRenderedPageBreak/>
        <w:t xml:space="preserve">После обострения отношений со странами ЕС и США и ускорения темпов инфляции </w:t>
      </w:r>
      <w:r w:rsidR="00D0660E" w:rsidRPr="009E732A">
        <w:t>объем</w:t>
      </w:r>
      <w:r w:rsidRPr="009E732A">
        <w:t xml:space="preserve"> </w:t>
      </w:r>
      <w:r>
        <w:t>крупных слияний и поглощений значительно сократился, однако определенная часть экспертов прогнозирует динамику в секторе сд</w:t>
      </w:r>
      <w:r>
        <w:t>е</w:t>
      </w:r>
      <w:r>
        <w:t xml:space="preserve">лок </w:t>
      </w:r>
      <w:r>
        <w:rPr>
          <w:lang w:val="en-US"/>
        </w:rPr>
        <w:t>M</w:t>
      </w:r>
      <w:r w:rsidRPr="000843CC">
        <w:t>&amp;</w:t>
      </w:r>
      <w:r>
        <w:rPr>
          <w:lang w:val="en-US"/>
        </w:rPr>
        <w:t>A</w:t>
      </w:r>
      <w:r w:rsidR="00B264A4">
        <w:t xml:space="preserve"> </w:t>
      </w:r>
      <w:r w:rsidR="00D35F19">
        <w:t>в России</w:t>
      </w:r>
      <w:r w:rsidRPr="000843CC">
        <w:t>.</w:t>
      </w:r>
      <w:r>
        <w:t xml:space="preserve"> Следовательно, востребованность исследований в да</w:t>
      </w:r>
      <w:r>
        <w:t>н</w:t>
      </w:r>
      <w:r>
        <w:t>ной области будет только возрастать.</w:t>
      </w:r>
    </w:p>
    <w:p w:rsidR="007D527B" w:rsidRPr="00E6543A" w:rsidRDefault="007D527B" w:rsidP="00556835">
      <w:pPr>
        <w:spacing w:afterLines="100" w:after="240" w:line="360" w:lineRule="auto"/>
        <w:ind w:firstLine="567"/>
        <w:jc w:val="both"/>
        <w:rPr>
          <w:color w:val="FF0000"/>
        </w:rPr>
      </w:pPr>
      <w:r>
        <w:t>Цель данной работы –</w:t>
      </w:r>
      <w:r w:rsidRPr="002F6441">
        <w:t xml:space="preserve"> обозначить основные тенденции и перспективы разви</w:t>
      </w:r>
      <w:r w:rsidR="00B34A28">
        <w:t xml:space="preserve">тия </w:t>
      </w:r>
      <w:r w:rsidR="00E6543A" w:rsidRPr="0098145B">
        <w:t xml:space="preserve">трансграничных </w:t>
      </w:r>
      <w:r w:rsidR="00B34A28">
        <w:t>слияний и поглощений</w:t>
      </w:r>
      <w:r w:rsidRPr="002F6441">
        <w:t>.</w:t>
      </w:r>
      <w:r w:rsidR="008B6CAA">
        <w:t xml:space="preserve"> </w:t>
      </w:r>
    </w:p>
    <w:p w:rsidR="007D527B" w:rsidRDefault="007D527B" w:rsidP="00556835">
      <w:pPr>
        <w:spacing w:afterLines="100" w:after="240" w:line="360" w:lineRule="auto"/>
        <w:ind w:firstLine="567"/>
        <w:jc w:val="both"/>
      </w:pPr>
      <w:r>
        <w:t>Для достижения поставленной цели определены следующие задачи исследования:</w:t>
      </w:r>
    </w:p>
    <w:p w:rsidR="007D527B" w:rsidRPr="005E336F" w:rsidRDefault="00772C2B" w:rsidP="002A61A0">
      <w:pPr>
        <w:numPr>
          <w:ilvl w:val="0"/>
          <w:numId w:val="2"/>
        </w:numPr>
        <w:spacing w:afterLines="100" w:after="240" w:line="360" w:lineRule="auto"/>
        <w:ind w:left="1429" w:hanging="357"/>
        <w:contextualSpacing/>
        <w:jc w:val="both"/>
      </w:pPr>
      <w:r>
        <w:t>Выявить</w:t>
      </w:r>
      <w:r w:rsidR="007D527B" w:rsidRPr="005E336F">
        <w:t xml:space="preserve"> основные подходы к определению «слияния и поглощения»;</w:t>
      </w:r>
    </w:p>
    <w:p w:rsidR="007D527B" w:rsidRPr="005E336F" w:rsidRDefault="007D527B" w:rsidP="002A61A0">
      <w:pPr>
        <w:numPr>
          <w:ilvl w:val="0"/>
          <w:numId w:val="2"/>
        </w:numPr>
        <w:spacing w:afterLines="100" w:after="240" w:line="360" w:lineRule="auto"/>
        <w:ind w:left="1429" w:hanging="357"/>
        <w:contextualSpacing/>
        <w:jc w:val="both"/>
      </w:pPr>
      <w:r w:rsidRPr="005E336F">
        <w:t>Определить и выделить основные мотивационные аспекты, которые побу</w:t>
      </w:r>
      <w:r w:rsidRPr="005E336F">
        <w:t>ж</w:t>
      </w:r>
      <w:r w:rsidRPr="005E336F">
        <w:t>дают компании совершать сделки по слиянию и поглощению;</w:t>
      </w:r>
    </w:p>
    <w:p w:rsidR="007D527B" w:rsidRPr="005E336F" w:rsidRDefault="007D527B" w:rsidP="002A61A0">
      <w:pPr>
        <w:numPr>
          <w:ilvl w:val="0"/>
          <w:numId w:val="2"/>
        </w:numPr>
        <w:spacing w:afterLines="100" w:after="240" w:line="360" w:lineRule="auto"/>
        <w:ind w:left="1429" w:hanging="357"/>
        <w:contextualSpacing/>
        <w:jc w:val="both"/>
      </w:pPr>
      <w:r w:rsidRPr="005E336F">
        <w:t>Обозначить основные подходы к созданию стоимости сливающихся комп</w:t>
      </w:r>
      <w:r w:rsidRPr="005E336F">
        <w:t>а</w:t>
      </w:r>
      <w:r w:rsidRPr="005E336F">
        <w:t>ний;</w:t>
      </w:r>
    </w:p>
    <w:p w:rsidR="007D527B" w:rsidRPr="005E336F" w:rsidRDefault="007D527B" w:rsidP="002A61A0">
      <w:pPr>
        <w:numPr>
          <w:ilvl w:val="0"/>
          <w:numId w:val="2"/>
        </w:numPr>
        <w:spacing w:afterLines="100" w:after="240" w:line="360" w:lineRule="auto"/>
        <w:ind w:left="1429" w:hanging="357"/>
        <w:contextualSpacing/>
        <w:jc w:val="both"/>
      </w:pPr>
      <w:r w:rsidRPr="005E336F">
        <w:t>Рассмотреть проблемы, возникающие на различных этапах консолидации компаний;</w:t>
      </w:r>
    </w:p>
    <w:p w:rsidR="007D527B" w:rsidRPr="005E336F" w:rsidRDefault="007D527B" w:rsidP="002A61A0">
      <w:pPr>
        <w:numPr>
          <w:ilvl w:val="0"/>
          <w:numId w:val="2"/>
        </w:numPr>
        <w:spacing w:afterLines="100" w:after="240" w:line="360" w:lineRule="auto"/>
        <w:ind w:left="1429" w:hanging="357"/>
        <w:contextualSpacing/>
        <w:jc w:val="both"/>
      </w:pPr>
      <w:r w:rsidRPr="005E336F">
        <w:t xml:space="preserve">Выявить признаки, характеризующие исключительно </w:t>
      </w:r>
      <w:r w:rsidR="00257AF6">
        <w:t>современны</w:t>
      </w:r>
      <w:r w:rsidR="001B5E10">
        <w:t>е</w:t>
      </w:r>
      <w:r w:rsidRPr="005E336F">
        <w:t xml:space="preserve"> </w:t>
      </w:r>
      <w:r w:rsidR="001B5E10">
        <w:t>межд</w:t>
      </w:r>
      <w:r w:rsidR="001B5E10">
        <w:t>у</w:t>
      </w:r>
      <w:r w:rsidR="001B5E10">
        <w:t xml:space="preserve">народные механизмы </w:t>
      </w:r>
      <w:r w:rsidRPr="005E336F">
        <w:t>слияний и поглощений;</w:t>
      </w:r>
    </w:p>
    <w:p w:rsidR="007D527B" w:rsidRPr="005E336F" w:rsidRDefault="007D527B" w:rsidP="002A61A0">
      <w:pPr>
        <w:numPr>
          <w:ilvl w:val="0"/>
          <w:numId w:val="2"/>
        </w:numPr>
        <w:spacing w:afterLines="100" w:after="240" w:line="360" w:lineRule="auto"/>
        <w:ind w:left="1429" w:hanging="357"/>
        <w:contextualSpacing/>
        <w:jc w:val="both"/>
      </w:pPr>
      <w:r w:rsidRPr="005E336F">
        <w:t xml:space="preserve">Проследить динамику </w:t>
      </w:r>
      <w:r w:rsidR="001B5E10">
        <w:t xml:space="preserve">международных </w:t>
      </w:r>
      <w:r w:rsidRPr="005E336F">
        <w:t>интеграционных процес</w:t>
      </w:r>
      <w:r w:rsidR="001B5E10">
        <w:t>сов</w:t>
      </w:r>
      <w:r w:rsidRPr="005E336F">
        <w:t xml:space="preserve">;  </w:t>
      </w:r>
    </w:p>
    <w:p w:rsidR="00D35F19" w:rsidRDefault="007D527B" w:rsidP="002A61A0">
      <w:pPr>
        <w:numPr>
          <w:ilvl w:val="0"/>
          <w:numId w:val="2"/>
        </w:numPr>
        <w:spacing w:afterLines="100" w:after="240" w:line="360" w:lineRule="auto"/>
        <w:ind w:left="1429" w:hanging="357"/>
        <w:contextualSpacing/>
        <w:jc w:val="both"/>
      </w:pPr>
      <w:r w:rsidRPr="005E336F">
        <w:t>Сформировать вывод о пе</w:t>
      </w:r>
      <w:r w:rsidR="00D35F19">
        <w:t>рспективах дальнейшего развития;</w:t>
      </w:r>
    </w:p>
    <w:p w:rsidR="007D527B" w:rsidRDefault="0012391A" w:rsidP="002A61A0">
      <w:pPr>
        <w:numPr>
          <w:ilvl w:val="0"/>
          <w:numId w:val="2"/>
        </w:numPr>
        <w:spacing w:afterLines="100" w:after="240" w:line="360" w:lineRule="auto"/>
        <w:ind w:left="1429" w:hanging="357"/>
        <w:contextualSpacing/>
        <w:jc w:val="both"/>
      </w:pPr>
      <w:r>
        <w:t>Показать на примере «</w:t>
      </w:r>
      <w:proofErr w:type="spellStart"/>
      <w:r w:rsidRPr="00D35F19">
        <w:rPr>
          <w:lang w:val="en-US"/>
        </w:rPr>
        <w:t>L</w:t>
      </w:r>
      <w:r w:rsidR="009E732A" w:rsidRPr="00D35F19">
        <w:rPr>
          <w:lang w:val="en-US"/>
        </w:rPr>
        <w:t>enta</w:t>
      </w:r>
      <w:proofErr w:type="spellEnd"/>
      <w:r w:rsidRPr="0012391A">
        <w:t xml:space="preserve"> </w:t>
      </w:r>
      <w:r w:rsidRPr="00D35F19">
        <w:rPr>
          <w:lang w:val="en-US"/>
        </w:rPr>
        <w:t>Ltd</w:t>
      </w:r>
      <w:r>
        <w:t xml:space="preserve">» процедуру </w:t>
      </w:r>
      <w:r w:rsidR="00772C2B">
        <w:t>поглощения финской компании «К-</w:t>
      </w:r>
      <w:proofErr w:type="spellStart"/>
      <w:r w:rsidR="00772C2B">
        <w:t>Руока</w:t>
      </w:r>
      <w:proofErr w:type="spellEnd"/>
      <w:r w:rsidR="00772C2B">
        <w:t>»</w:t>
      </w:r>
      <w:r w:rsidR="007D527B" w:rsidRPr="005E336F">
        <w:t>.</w:t>
      </w:r>
    </w:p>
    <w:p w:rsidR="007D527B" w:rsidRDefault="007D527B" w:rsidP="00556835">
      <w:pPr>
        <w:spacing w:afterLines="100" w:after="240" w:line="360" w:lineRule="auto"/>
        <w:ind w:firstLine="567"/>
        <w:contextualSpacing/>
        <w:jc w:val="both"/>
      </w:pPr>
      <w:r>
        <w:t>Курсовая работа</w:t>
      </w:r>
      <w:r w:rsidRPr="003942CA">
        <w:t xml:space="preserve"> </w:t>
      </w:r>
      <w:r>
        <w:t>выполнена на основе книг российских и зарубежных авторов, сп</w:t>
      </w:r>
      <w:r>
        <w:t>е</w:t>
      </w:r>
      <w:r>
        <w:t>циалистов в области слияний и поглощений. В ней так же использованы материалы пер</w:t>
      </w:r>
      <w:r>
        <w:t>и</w:t>
      </w:r>
      <w:r>
        <w:t>одических изданий, данные статистических сборников, отчеты международных организ</w:t>
      </w:r>
      <w:r>
        <w:t>а</w:t>
      </w:r>
      <w:r>
        <w:t>ций, обзоры и исследования консалтинговых компаний, законодательные акты и ресурсы Интернет сети.</w:t>
      </w:r>
    </w:p>
    <w:p w:rsidR="007D527B" w:rsidRDefault="007D527B" w:rsidP="00556835">
      <w:pPr>
        <w:spacing w:afterLines="100" w:after="240" w:line="360" w:lineRule="auto"/>
        <w:ind w:firstLine="567"/>
        <w:contextualSpacing/>
        <w:jc w:val="both"/>
      </w:pPr>
      <w:proofErr w:type="gramStart"/>
      <w:r>
        <w:t>В работе были использованы следующие методы исследования: общенаучные (си</w:t>
      </w:r>
      <w:r>
        <w:t>н</w:t>
      </w:r>
      <w:r>
        <w:t>тез, анализ, аналогия, сравнение) и специальные (группировк</w:t>
      </w:r>
      <w:r w:rsidR="00772C2B">
        <w:t>а, регрессионный анализ, м</w:t>
      </w:r>
      <w:r w:rsidR="00772C2B">
        <w:t>е</w:t>
      </w:r>
      <w:r w:rsidR="00772C2B">
        <w:t>тоды эконометрического</w:t>
      </w:r>
      <w:r>
        <w:t xml:space="preserve"> анализа и т.д.).</w:t>
      </w:r>
      <w:proofErr w:type="gramEnd"/>
    </w:p>
    <w:p w:rsidR="00BB656F" w:rsidRDefault="00BB656F" w:rsidP="00667F77"/>
    <w:p w:rsidR="004D0E58" w:rsidRDefault="004D0E58" w:rsidP="00667F77"/>
    <w:p w:rsidR="0098145B" w:rsidRDefault="004D0E58" w:rsidP="00556835">
      <w:pPr>
        <w:keepNext/>
        <w:keepLines/>
        <w:spacing w:afterLines="100" w:after="240" w:line="360" w:lineRule="auto"/>
        <w:ind w:firstLine="567"/>
        <w:contextualSpacing/>
        <w:outlineLvl w:val="0"/>
        <w:rPr>
          <w:rFonts w:eastAsiaTheme="majorEastAsia"/>
          <w:b/>
          <w:bCs/>
          <w:sz w:val="28"/>
          <w:szCs w:val="28"/>
        </w:rPr>
      </w:pPr>
      <w:bookmarkStart w:id="1" w:name="_Toc387690588"/>
      <w:bookmarkStart w:id="2" w:name="_Toc417956303"/>
      <w:bookmarkStart w:id="3" w:name="_Toc513092275"/>
      <w:r w:rsidRPr="004D0E58">
        <w:rPr>
          <w:rFonts w:eastAsiaTheme="majorEastAsia"/>
          <w:b/>
          <w:bCs/>
          <w:sz w:val="28"/>
          <w:szCs w:val="28"/>
        </w:rPr>
        <w:lastRenderedPageBreak/>
        <w:t xml:space="preserve">Глава 1. </w:t>
      </w:r>
      <w:bookmarkEnd w:id="1"/>
      <w:r w:rsidRPr="004D0E58">
        <w:rPr>
          <w:rFonts w:eastAsiaTheme="majorEastAsia"/>
          <w:b/>
          <w:bCs/>
          <w:sz w:val="28"/>
          <w:szCs w:val="28"/>
        </w:rPr>
        <w:t>Слияния и поглощения как форма консолидации хозя</w:t>
      </w:r>
      <w:r w:rsidRPr="004D0E58">
        <w:rPr>
          <w:rFonts w:eastAsiaTheme="majorEastAsia"/>
          <w:b/>
          <w:bCs/>
          <w:sz w:val="28"/>
          <w:szCs w:val="28"/>
        </w:rPr>
        <w:t>й</w:t>
      </w:r>
      <w:r w:rsidRPr="004D0E58">
        <w:rPr>
          <w:rFonts w:eastAsiaTheme="majorEastAsia"/>
          <w:b/>
          <w:bCs/>
          <w:sz w:val="28"/>
          <w:szCs w:val="28"/>
        </w:rPr>
        <w:t>ствующих субъектов</w:t>
      </w:r>
      <w:r w:rsidR="00331B69">
        <w:rPr>
          <w:rFonts w:eastAsiaTheme="majorEastAsia"/>
          <w:b/>
          <w:bCs/>
          <w:sz w:val="28"/>
          <w:szCs w:val="28"/>
        </w:rPr>
        <w:t xml:space="preserve"> </w:t>
      </w:r>
      <w:r w:rsidR="00331B69" w:rsidRPr="0098145B">
        <w:rPr>
          <w:rFonts w:eastAsiaTheme="majorEastAsia"/>
          <w:b/>
          <w:bCs/>
          <w:sz w:val="28"/>
          <w:szCs w:val="28"/>
        </w:rPr>
        <w:t>в мировом хозяйстве</w:t>
      </w:r>
      <w:r w:rsidRPr="004D0E58">
        <w:rPr>
          <w:rFonts w:eastAsiaTheme="majorEastAsia"/>
          <w:b/>
          <w:bCs/>
          <w:sz w:val="28"/>
          <w:szCs w:val="28"/>
        </w:rPr>
        <w:t>.</w:t>
      </w:r>
      <w:bookmarkEnd w:id="2"/>
      <w:bookmarkEnd w:id="3"/>
      <w:r w:rsidR="00331B69">
        <w:rPr>
          <w:rFonts w:eastAsiaTheme="majorEastAsia"/>
          <w:b/>
          <w:bCs/>
          <w:sz w:val="28"/>
          <w:szCs w:val="28"/>
        </w:rPr>
        <w:t xml:space="preserve"> </w:t>
      </w:r>
      <w:bookmarkStart w:id="4" w:name="_Toc417956304"/>
    </w:p>
    <w:p w:rsidR="004D0E58" w:rsidRPr="004D0E58" w:rsidRDefault="0098145B" w:rsidP="00556835">
      <w:pPr>
        <w:keepNext/>
        <w:keepLines/>
        <w:spacing w:afterLines="100" w:after="240" w:line="360" w:lineRule="auto"/>
        <w:ind w:firstLine="567"/>
        <w:contextualSpacing/>
        <w:outlineLvl w:val="0"/>
        <w:rPr>
          <w:rFonts w:eastAsiaTheme="majorEastAsia"/>
          <w:b/>
          <w:bCs/>
        </w:rPr>
      </w:pPr>
      <w:bookmarkStart w:id="5" w:name="_Toc513092276"/>
      <w:r w:rsidRPr="0098145B">
        <w:rPr>
          <w:rFonts w:eastAsiaTheme="majorEastAsia"/>
          <w:b/>
          <w:bCs/>
        </w:rPr>
        <w:t>1.1</w:t>
      </w:r>
      <w:r w:rsidR="00EC5DEC">
        <w:rPr>
          <w:rFonts w:eastAsiaTheme="majorEastAsia"/>
          <w:b/>
          <w:bCs/>
        </w:rPr>
        <w:t xml:space="preserve"> </w:t>
      </w:r>
      <w:r w:rsidR="004D0E58" w:rsidRPr="0098145B">
        <w:rPr>
          <w:rFonts w:eastAsiaTheme="majorEastAsia"/>
          <w:b/>
          <w:bCs/>
        </w:rPr>
        <w:t>Сущность</w:t>
      </w:r>
      <w:r w:rsidR="004D0E58" w:rsidRPr="004D0E58">
        <w:rPr>
          <w:rFonts w:eastAsiaTheme="majorEastAsia"/>
          <w:b/>
          <w:bCs/>
        </w:rPr>
        <w:t xml:space="preserve"> и основные причины слияний и поглощений.</w:t>
      </w:r>
      <w:bookmarkEnd w:id="4"/>
      <w:bookmarkEnd w:id="5"/>
    </w:p>
    <w:p w:rsidR="004D0E58" w:rsidRPr="004D0E58" w:rsidRDefault="004D0E58" w:rsidP="00556835">
      <w:pPr>
        <w:spacing w:afterLines="100" w:after="240" w:line="360" w:lineRule="auto"/>
        <w:ind w:firstLine="567"/>
        <w:contextualSpacing/>
        <w:jc w:val="both"/>
      </w:pPr>
      <w:r w:rsidRPr="004D0E58">
        <w:t>В последние годы специалисты все чаще углубляются в изучение практики слияний и поглощений в связи с тем, что рынок сделок значительно вырос в объемах. Следует о</w:t>
      </w:r>
      <w:r w:rsidRPr="004D0E58">
        <w:t>т</w:t>
      </w:r>
      <w:r w:rsidRPr="004D0E58">
        <w:t>метить, что при исследовании рынка можно встретиться с разнообразной трактовкой о</w:t>
      </w:r>
      <w:r w:rsidRPr="004D0E58">
        <w:t>д</w:t>
      </w:r>
      <w:r w:rsidRPr="004D0E58">
        <w:t>них и тех же терминов, вследствие чего необходимо обозначить основные формулировки дефиниций.</w:t>
      </w:r>
    </w:p>
    <w:p w:rsidR="004D0E58" w:rsidRPr="004D0E58" w:rsidRDefault="004D0E58" w:rsidP="00556835">
      <w:pPr>
        <w:spacing w:afterLines="100" w:after="240" w:line="360" w:lineRule="auto"/>
        <w:ind w:firstLine="567"/>
        <w:contextualSpacing/>
        <w:jc w:val="both"/>
      </w:pPr>
      <w:r w:rsidRPr="004D0E58">
        <w:t>Можно выделить определенные грани различий в подходах к определению «слияний и поглощений» с точки зрения практики и российского законодательства. При этом  нео</w:t>
      </w:r>
      <w:r w:rsidRPr="004D0E58">
        <w:t>б</w:t>
      </w:r>
      <w:r w:rsidRPr="004D0E58">
        <w:t>ходимо охватывать полный спектр преобразований, происходящий при совершении сд</w:t>
      </w:r>
      <w:r w:rsidRPr="004D0E58">
        <w:t>е</w:t>
      </w:r>
      <w:r w:rsidRPr="004D0E58">
        <w:t xml:space="preserve">лок данного типа. Изменения, происходящие при слияниях и поглощениях, зачастую  охватывают все уровни внутренней организации предприятия, следовательно, необходимо рассматривать сделки, опираясь на различные аспекты, выявленные в ходе реорганизации и интеграции компаний. </w:t>
      </w:r>
    </w:p>
    <w:p w:rsidR="004D0E58" w:rsidRPr="004D0E58" w:rsidRDefault="004D0E58" w:rsidP="00556835">
      <w:pPr>
        <w:spacing w:afterLines="100" w:after="240" w:line="360" w:lineRule="auto"/>
        <w:ind w:firstLine="567"/>
        <w:contextualSpacing/>
      </w:pPr>
      <w:r w:rsidRPr="004D0E58">
        <w:t>Исходя из анализа литературы, в том числе правовых документов, можно выделить следующие, наиболее часто встречающиеся трактовки термина «поглощения» или «</w:t>
      </w:r>
      <w:r w:rsidRPr="004D0E58">
        <w:rPr>
          <w:lang w:val="en-US"/>
        </w:rPr>
        <w:t>acqu</w:t>
      </w:r>
      <w:r w:rsidRPr="004D0E58">
        <w:rPr>
          <w:lang w:val="en-US"/>
        </w:rPr>
        <w:t>i</w:t>
      </w:r>
      <w:r w:rsidRPr="004D0E58">
        <w:rPr>
          <w:lang w:val="en-US"/>
        </w:rPr>
        <w:t>sition</w:t>
      </w:r>
      <w:r w:rsidRPr="004D0E58">
        <w:t>»:</w:t>
      </w:r>
      <w:r w:rsidRPr="004D0E58">
        <w:rPr>
          <w:vertAlign w:val="superscript"/>
        </w:rPr>
        <w:footnoteReference w:id="1"/>
      </w:r>
    </w:p>
    <w:p w:rsidR="004D0E58" w:rsidRPr="004D0E58" w:rsidRDefault="004D0E58" w:rsidP="002A61A0">
      <w:pPr>
        <w:numPr>
          <w:ilvl w:val="0"/>
          <w:numId w:val="4"/>
        </w:numPr>
        <w:spacing w:afterLines="100" w:after="240" w:line="360" w:lineRule="auto"/>
        <w:ind w:hanging="357"/>
        <w:contextualSpacing/>
      </w:pPr>
      <w:r w:rsidRPr="004D0E58">
        <w:rPr>
          <w:shd w:val="clear" w:color="auto" w:fill="FFFFFF"/>
        </w:rPr>
        <w:t>Операционная сделка, с участием двух, как правило, не равных по величине компаний, в результате которой осуществляется переход прав корпорати</w:t>
      </w:r>
      <w:r w:rsidRPr="004D0E58">
        <w:rPr>
          <w:shd w:val="clear" w:color="auto" w:fill="FFFFFF"/>
        </w:rPr>
        <w:t>в</w:t>
      </w:r>
      <w:r w:rsidRPr="004D0E58">
        <w:rPr>
          <w:shd w:val="clear" w:color="auto" w:fill="FFFFFF"/>
        </w:rPr>
        <w:t>ного контроля над корпорацией;</w:t>
      </w:r>
    </w:p>
    <w:p w:rsidR="004D0E58" w:rsidRPr="004D0E58" w:rsidRDefault="004D0E58" w:rsidP="002A61A0">
      <w:pPr>
        <w:numPr>
          <w:ilvl w:val="0"/>
          <w:numId w:val="4"/>
        </w:numPr>
        <w:spacing w:afterLines="100" w:after="240" w:line="360" w:lineRule="auto"/>
        <w:ind w:hanging="357"/>
        <w:contextualSpacing/>
      </w:pPr>
      <w:r w:rsidRPr="004D0E58">
        <w:rPr>
          <w:shd w:val="clear" w:color="auto" w:fill="FFFFFF"/>
        </w:rPr>
        <w:t>В зарубежной литературе под поглощением имеется в виду враждебный з</w:t>
      </w:r>
      <w:r w:rsidRPr="004D0E58">
        <w:rPr>
          <w:shd w:val="clear" w:color="auto" w:fill="FFFFFF"/>
        </w:rPr>
        <w:t>а</w:t>
      </w:r>
      <w:r w:rsidRPr="004D0E58">
        <w:rPr>
          <w:shd w:val="clear" w:color="auto" w:fill="FFFFFF"/>
        </w:rPr>
        <w:t>хват компании путем реализации тендерного предложения, адресуемого а</w:t>
      </w:r>
      <w:r w:rsidRPr="004D0E58">
        <w:rPr>
          <w:shd w:val="clear" w:color="auto" w:fill="FFFFFF"/>
        </w:rPr>
        <w:t>к</w:t>
      </w:r>
      <w:r w:rsidRPr="004D0E58">
        <w:rPr>
          <w:shd w:val="clear" w:color="auto" w:fill="FFFFFF"/>
        </w:rPr>
        <w:t>ционерам компании в обход ее руководства;</w:t>
      </w:r>
    </w:p>
    <w:p w:rsidR="004D0E58" w:rsidRPr="004D0E58" w:rsidRDefault="004D0E58" w:rsidP="002A61A0">
      <w:pPr>
        <w:spacing w:afterLines="100" w:after="240" w:line="360" w:lineRule="auto"/>
        <w:ind w:firstLine="709"/>
        <w:contextualSpacing/>
      </w:pPr>
      <w:r w:rsidRPr="004D0E58">
        <w:t>Следовательно, термин «слияния» или «</w:t>
      </w:r>
      <w:r w:rsidRPr="004D0E58">
        <w:rPr>
          <w:lang w:val="en-US"/>
        </w:rPr>
        <w:t>merger</w:t>
      </w:r>
      <w:r w:rsidRPr="004D0E58">
        <w:t>» можно определить как:</w:t>
      </w:r>
    </w:p>
    <w:p w:rsidR="004D0E58" w:rsidRPr="004D0E58" w:rsidRDefault="004D0E58" w:rsidP="002A61A0">
      <w:pPr>
        <w:numPr>
          <w:ilvl w:val="0"/>
          <w:numId w:val="5"/>
        </w:numPr>
        <w:spacing w:afterLines="100" w:after="240" w:line="360" w:lineRule="auto"/>
        <w:ind w:hanging="357"/>
        <w:contextualSpacing/>
      </w:pPr>
      <w:r w:rsidRPr="004D0E58">
        <w:rPr>
          <w:color w:val="000000"/>
          <w:shd w:val="clear" w:color="auto" w:fill="FFFFFF"/>
        </w:rPr>
        <w:t>Весь спектр сделок по перемене прав собственности над компанией: друж</w:t>
      </w:r>
      <w:r w:rsidRPr="004D0E58">
        <w:rPr>
          <w:color w:val="000000"/>
          <w:shd w:val="clear" w:color="auto" w:fill="FFFFFF"/>
        </w:rPr>
        <w:t>е</w:t>
      </w:r>
      <w:r w:rsidRPr="004D0E58">
        <w:rPr>
          <w:color w:val="000000"/>
          <w:shd w:val="clear" w:color="auto" w:fill="FFFFFF"/>
        </w:rPr>
        <w:t>ственное поглощение; враждебное поглощение; покупка всех или основных активов компании-цели, при сохранении состава собственников и их прав</w:t>
      </w:r>
      <w:r w:rsidRPr="004D0E58">
        <w:t>;</w:t>
      </w:r>
      <w:r w:rsidRPr="004D0E58">
        <w:rPr>
          <w:color w:val="000000"/>
          <w:shd w:val="clear" w:color="auto" w:fill="FFFFFF"/>
          <w:vertAlign w:val="superscript"/>
        </w:rPr>
        <w:t xml:space="preserve"> </w:t>
      </w:r>
    </w:p>
    <w:p w:rsidR="004D0E58" w:rsidRPr="004D0E58" w:rsidRDefault="004D0E58" w:rsidP="002A61A0">
      <w:pPr>
        <w:numPr>
          <w:ilvl w:val="0"/>
          <w:numId w:val="5"/>
        </w:numPr>
        <w:spacing w:afterLines="100" w:after="240" w:line="360" w:lineRule="auto"/>
        <w:ind w:hanging="357"/>
        <w:contextualSpacing/>
      </w:pPr>
      <w:r w:rsidRPr="004D0E58">
        <w:rPr>
          <w:shd w:val="clear" w:color="auto" w:fill="FFFFFF"/>
        </w:rPr>
        <w:t>При реорганизации юридического лица в форме присоединения к нему др</w:t>
      </w:r>
      <w:r w:rsidRPr="004D0E58">
        <w:rPr>
          <w:shd w:val="clear" w:color="auto" w:fill="FFFFFF"/>
        </w:rPr>
        <w:t>у</w:t>
      </w:r>
      <w:r w:rsidRPr="004D0E58">
        <w:rPr>
          <w:shd w:val="clear" w:color="auto" w:fill="FFFFFF"/>
        </w:rPr>
        <w:t>гого юридического лица первое из них считается реорганизованным. Состав юридических лиц при этом полностью обновляется</w:t>
      </w:r>
      <w:r w:rsidRPr="004D0E58">
        <w:t>.</w:t>
      </w:r>
    </w:p>
    <w:p w:rsidR="004D0E58" w:rsidRPr="004D0E58" w:rsidRDefault="004D0E58" w:rsidP="002A61A0">
      <w:pPr>
        <w:spacing w:afterLines="100" w:after="240" w:line="360" w:lineRule="auto"/>
        <w:ind w:firstLine="709"/>
        <w:contextualSpacing/>
        <w:jc w:val="both"/>
      </w:pPr>
      <w:r w:rsidRPr="004D0E58">
        <w:t>Поглощения некоторые авторы рассматривают в качестве синонима слияния, отн</w:t>
      </w:r>
      <w:r w:rsidRPr="004D0E58">
        <w:t>о</w:t>
      </w:r>
      <w:r w:rsidRPr="004D0E58">
        <w:t>ся к ним как добровольные слияния, так и враждебный захват путем реализации тендерн</w:t>
      </w:r>
      <w:r w:rsidRPr="004D0E58">
        <w:t>о</w:t>
      </w:r>
      <w:r w:rsidRPr="004D0E58">
        <w:lastRenderedPageBreak/>
        <w:t>го предложения и другие формы получения контроля над советом директоров. Согласно этой концепции поглощение – оплаченная сделка, в результате которой происходит пер</w:t>
      </w:r>
      <w:r w:rsidRPr="004D0E58">
        <w:t>е</w:t>
      </w:r>
      <w:r w:rsidRPr="004D0E58">
        <w:t>ход прав собственности на корпорацию не зависимо от того, является оно дружественным или враждебным, поскольку в любом случае из нескольких компаний образуется одна.</w:t>
      </w:r>
      <w:r w:rsidRPr="004D0E58">
        <w:rPr>
          <w:vertAlign w:val="superscript"/>
        </w:rPr>
        <w:footnoteReference w:id="2"/>
      </w:r>
    </w:p>
    <w:p w:rsidR="004D0E58" w:rsidRPr="004D0E58" w:rsidRDefault="004D0E58" w:rsidP="002A61A0">
      <w:pPr>
        <w:spacing w:afterLines="100" w:after="240" w:line="360" w:lineRule="auto"/>
        <w:ind w:firstLine="709"/>
        <w:contextualSpacing/>
        <w:jc w:val="both"/>
      </w:pPr>
      <w:r w:rsidRPr="004D0E58">
        <w:t>Согласно Гражданскому Кодексу</w:t>
      </w:r>
      <w:r w:rsidR="00331B69">
        <w:t xml:space="preserve"> </w:t>
      </w:r>
      <w:r w:rsidR="0098145B" w:rsidRPr="0098145B">
        <w:t>РФ</w:t>
      </w:r>
      <w:r w:rsidRPr="0098145B">
        <w:t xml:space="preserve"> </w:t>
      </w:r>
      <w:r w:rsidRPr="004D0E58">
        <w:t xml:space="preserve">[1] слияние или поглощение подразумевает изменение юридического статуса субъекта, который претерпевает реорганизацию. Однако сделки типа </w:t>
      </w:r>
      <w:r w:rsidRPr="004D0E58">
        <w:rPr>
          <w:lang w:val="en-US"/>
        </w:rPr>
        <w:t>M</w:t>
      </w:r>
      <w:r w:rsidRPr="004D0E58">
        <w:t>&amp;</w:t>
      </w:r>
      <w:r w:rsidRPr="004D0E58">
        <w:rPr>
          <w:lang w:val="en-US"/>
        </w:rPr>
        <w:t>A</w:t>
      </w:r>
      <w:r w:rsidRPr="004D0E58">
        <w:t xml:space="preserve"> далеко не всегда сопровождаются прекращением существования юр</w:t>
      </w:r>
      <w:r w:rsidRPr="004D0E58">
        <w:t>и</w:t>
      </w:r>
      <w:r w:rsidRPr="004D0E58">
        <w:t xml:space="preserve">дических лиц. Расширение бизнеса и появление </w:t>
      </w:r>
      <w:proofErr w:type="gramStart"/>
      <w:r w:rsidRPr="004D0E58">
        <w:t>бизнес-синергии</w:t>
      </w:r>
      <w:proofErr w:type="gramEnd"/>
      <w:r w:rsidRPr="004D0E58">
        <w:t xml:space="preserve"> можно обеспечить уст</w:t>
      </w:r>
      <w:r w:rsidRPr="004D0E58">
        <w:t>а</w:t>
      </w:r>
      <w:r w:rsidRPr="004D0E58">
        <w:t>новлением контроля над поглощаемой компанией путем приобретения ее акций. В случае если изменения происходят лишь в структуре собственности и внутренняя организация компании остается прежней, то данные рыночные транзакции не относят к сделкам  сли</w:t>
      </w:r>
      <w:r w:rsidRPr="004D0E58">
        <w:t>я</w:t>
      </w:r>
      <w:r w:rsidRPr="004D0E58">
        <w:t>ния и поглощения. Так же следует отметить термин «</w:t>
      </w:r>
      <w:r w:rsidRPr="004D0E58">
        <w:rPr>
          <w:lang w:val="en-US"/>
        </w:rPr>
        <w:t>takeover</w:t>
      </w:r>
      <w:r w:rsidRPr="004D0E58">
        <w:t>», в некоторых случаях он относится к враждебным поглощениям</w:t>
      </w:r>
      <w:r w:rsidRPr="004D0E58">
        <w:rPr>
          <w:vertAlign w:val="superscript"/>
        </w:rPr>
        <w:footnoteReference w:id="3"/>
      </w:r>
      <w:r w:rsidRPr="004D0E58">
        <w:t xml:space="preserve">, но он более неопределенный в своей основе. </w:t>
      </w:r>
    </w:p>
    <w:p w:rsidR="004D0E58" w:rsidRPr="004D0E58" w:rsidRDefault="004D0E58" w:rsidP="002A61A0">
      <w:pPr>
        <w:spacing w:afterLines="100" w:after="240" w:line="360" w:lineRule="auto"/>
        <w:ind w:firstLine="709"/>
        <w:contextualSpacing/>
        <w:jc w:val="both"/>
      </w:pPr>
      <w:proofErr w:type="gramStart"/>
      <w:r w:rsidRPr="004D0E58">
        <w:t>Слияния и поглощения представляют собой стратегии компаний по расширению, в результате которых одна компания приобретает власть над другой</w:t>
      </w:r>
      <w:r w:rsidRPr="004D0E58">
        <w:rPr>
          <w:vertAlign w:val="superscript"/>
        </w:rPr>
        <w:footnoteReference w:id="4"/>
      </w:r>
      <w:r w:rsidRPr="004D0E58">
        <w:t>. Если в данном пр</w:t>
      </w:r>
      <w:r w:rsidRPr="004D0E58">
        <w:t>о</w:t>
      </w:r>
      <w:r w:rsidRPr="004D0E58">
        <w:t>цессе участвуют примерно равные по силе бизнесы и в результате образуется новая ко</w:t>
      </w:r>
      <w:r w:rsidRPr="004D0E58">
        <w:t>м</w:t>
      </w:r>
      <w:r w:rsidRPr="004D0E58">
        <w:t>пания, то данную сделку можно отнести к «слияниям», если же более конкурентоспосо</w:t>
      </w:r>
      <w:r w:rsidRPr="004D0E58">
        <w:t>б</w:t>
      </w:r>
      <w:r w:rsidRPr="004D0E58">
        <w:t>ная фирма желает присоединить к себе меньшую, то к «поглощениям/присоединениям».</w:t>
      </w:r>
      <w:proofErr w:type="gramEnd"/>
      <w:r w:rsidRPr="004D0E58">
        <w:t xml:space="preserve"> Принимать участие в сделках </w:t>
      </w:r>
      <w:r w:rsidRPr="004D0E58">
        <w:rPr>
          <w:lang w:val="en-US"/>
        </w:rPr>
        <w:t>M</w:t>
      </w:r>
      <w:r w:rsidRPr="004D0E58">
        <w:t>&amp;</w:t>
      </w:r>
      <w:r w:rsidRPr="004D0E58">
        <w:rPr>
          <w:lang w:val="en-US"/>
        </w:rPr>
        <w:t>A</w:t>
      </w:r>
      <w:r w:rsidRPr="004D0E58">
        <w:t xml:space="preserve"> могут лишь юридические лица, покупка акций физ</w:t>
      </w:r>
      <w:r w:rsidRPr="004D0E58">
        <w:t>и</w:t>
      </w:r>
      <w:r w:rsidRPr="004D0E58">
        <w:t>ческим лицом не может являться сделкой слияния или поглощения.</w:t>
      </w:r>
    </w:p>
    <w:p w:rsidR="00310305" w:rsidRDefault="004D0E58" w:rsidP="001B5E10">
      <w:pPr>
        <w:spacing w:afterLines="100" w:after="240" w:line="360" w:lineRule="auto"/>
        <w:ind w:firstLine="709"/>
        <w:contextualSpacing/>
        <w:jc w:val="both"/>
      </w:pPr>
      <w:r w:rsidRPr="004D0E58">
        <w:t>Причины сделок слияний и поглощений исследуются не только представителями основных теоретико-экономических школ, но и в рамках прикладного конкретно-экономического анализа, включая специалистов в области стратегического менеджмента.  Существует множество теорий, объясняющих слияния и поглощения одной причиной, о</w:t>
      </w:r>
      <w:r w:rsidRPr="004D0E58">
        <w:t>д</w:t>
      </w:r>
      <w:r w:rsidRPr="004D0E58">
        <w:t xml:space="preserve">нако часто на практике таких причин бывает несколько. </w:t>
      </w:r>
      <w:bookmarkStart w:id="6" w:name="_Toc387689849"/>
      <w:bookmarkStart w:id="7" w:name="_Toc387690593"/>
      <w:r w:rsidR="00786265">
        <w:t>(Таблица 1.1)</w:t>
      </w:r>
    </w:p>
    <w:p w:rsidR="00310305" w:rsidRPr="00786265" w:rsidRDefault="00310305" w:rsidP="00310305">
      <w:pPr>
        <w:spacing w:afterLines="100" w:after="240" w:line="360" w:lineRule="auto"/>
        <w:ind w:firstLine="709"/>
        <w:contextualSpacing/>
        <w:jc w:val="right"/>
        <w:rPr>
          <w:i/>
        </w:rPr>
      </w:pPr>
      <w:r w:rsidRPr="00786265">
        <w:rPr>
          <w:i/>
        </w:rPr>
        <w:t>Таблица 1.1</w:t>
      </w:r>
    </w:p>
    <w:p w:rsidR="00310305" w:rsidRPr="00310305" w:rsidRDefault="00310305" w:rsidP="00310305">
      <w:pPr>
        <w:spacing w:line="360" w:lineRule="auto"/>
        <w:jc w:val="center"/>
        <w:rPr>
          <w:b/>
        </w:rPr>
      </w:pPr>
      <w:r w:rsidRPr="00310305">
        <w:rPr>
          <w:b/>
        </w:rPr>
        <w:t>Основные мотивы, объясняющие причины (цели) слияний и поглощений</w:t>
      </w:r>
    </w:p>
    <w:tbl>
      <w:tblPr>
        <w:tblStyle w:val="a7"/>
        <w:tblW w:w="9584" w:type="dxa"/>
        <w:tblInd w:w="-4" w:type="dxa"/>
        <w:tblLook w:val="04A0" w:firstRow="1" w:lastRow="0" w:firstColumn="1" w:lastColumn="0" w:noHBand="0" w:noVBand="1"/>
      </w:tblPr>
      <w:tblGrid>
        <w:gridCol w:w="4648"/>
        <w:gridCol w:w="4927"/>
        <w:gridCol w:w="9"/>
      </w:tblGrid>
      <w:tr w:rsidR="00310305" w:rsidRPr="004D0E58" w:rsidTr="00D102F8">
        <w:trPr>
          <w:gridAfter w:val="1"/>
          <w:wAfter w:w="9" w:type="dxa"/>
        </w:trPr>
        <w:tc>
          <w:tcPr>
            <w:tcW w:w="4648" w:type="dxa"/>
            <w:tcBorders>
              <w:left w:val="nil"/>
              <w:bottom w:val="single" w:sz="4" w:space="0" w:color="auto"/>
              <w:right w:val="nil"/>
            </w:tcBorders>
          </w:tcPr>
          <w:p w:rsidR="00310305" w:rsidRPr="004D0E58" w:rsidRDefault="00310305" w:rsidP="00310305">
            <w:pPr>
              <w:spacing w:line="360" w:lineRule="auto"/>
              <w:jc w:val="both"/>
            </w:pPr>
            <w:r w:rsidRPr="004D0E58">
              <w:t>Мотив сделки</w:t>
            </w:r>
          </w:p>
        </w:tc>
        <w:tc>
          <w:tcPr>
            <w:tcW w:w="4927" w:type="dxa"/>
            <w:tcBorders>
              <w:left w:val="nil"/>
              <w:bottom w:val="single" w:sz="4" w:space="0" w:color="auto"/>
              <w:right w:val="nil"/>
            </w:tcBorders>
          </w:tcPr>
          <w:p w:rsidR="00310305" w:rsidRPr="004D0E58" w:rsidRDefault="00310305" w:rsidP="00310305">
            <w:pPr>
              <w:spacing w:line="360" w:lineRule="auto"/>
              <w:jc w:val="both"/>
            </w:pPr>
            <w:r w:rsidRPr="004D0E58">
              <w:t>Характеристика мотива сделки</w:t>
            </w:r>
          </w:p>
        </w:tc>
      </w:tr>
      <w:tr w:rsidR="00310305" w:rsidRPr="004D0E58" w:rsidTr="00D102F8">
        <w:trPr>
          <w:gridAfter w:val="1"/>
          <w:wAfter w:w="9" w:type="dxa"/>
        </w:trPr>
        <w:tc>
          <w:tcPr>
            <w:tcW w:w="4648" w:type="dxa"/>
            <w:tcBorders>
              <w:left w:val="nil"/>
              <w:bottom w:val="nil"/>
              <w:right w:val="nil"/>
            </w:tcBorders>
          </w:tcPr>
          <w:p w:rsidR="00310305" w:rsidRPr="004D0E58" w:rsidRDefault="00310305" w:rsidP="00D102F8">
            <w:pPr>
              <w:jc w:val="both"/>
            </w:pPr>
          </w:p>
          <w:p w:rsidR="00310305" w:rsidRPr="004D0E58" w:rsidRDefault="00310305" w:rsidP="00D102F8">
            <w:pPr>
              <w:jc w:val="both"/>
            </w:pPr>
            <w:r w:rsidRPr="004D0E58">
              <w:t>Синергия</w:t>
            </w:r>
          </w:p>
          <w:p w:rsidR="00310305" w:rsidRPr="004D0E58" w:rsidRDefault="00310305" w:rsidP="00D102F8">
            <w:pPr>
              <w:jc w:val="both"/>
            </w:pPr>
          </w:p>
        </w:tc>
        <w:tc>
          <w:tcPr>
            <w:tcW w:w="4927" w:type="dxa"/>
            <w:tcBorders>
              <w:left w:val="nil"/>
              <w:bottom w:val="nil"/>
              <w:right w:val="nil"/>
            </w:tcBorders>
          </w:tcPr>
          <w:p w:rsidR="00310305" w:rsidRPr="004D0E58" w:rsidRDefault="00310305" w:rsidP="00D102F8">
            <w:pPr>
              <w:jc w:val="both"/>
            </w:pPr>
          </w:p>
          <w:p w:rsidR="00310305" w:rsidRPr="004D0E58" w:rsidRDefault="00EC5591" w:rsidP="00D102F8">
            <w:pPr>
              <w:jc w:val="both"/>
            </w:pPr>
            <w:r w:rsidRPr="00BC1BBD">
              <w:rPr>
                <w:lang w:val="en-US"/>
              </w:rPr>
              <w:t>SE</w:t>
            </w:r>
            <w:r w:rsidRPr="00BC1BBD">
              <w:t xml:space="preserve"> = АВ - (А+В)</w:t>
            </w:r>
          </w:p>
        </w:tc>
      </w:tr>
      <w:tr w:rsidR="00310305" w:rsidRPr="004D0E58" w:rsidTr="00D102F8">
        <w:trPr>
          <w:gridAfter w:val="1"/>
          <w:wAfter w:w="9" w:type="dxa"/>
        </w:trPr>
        <w:tc>
          <w:tcPr>
            <w:tcW w:w="4648" w:type="dxa"/>
            <w:tcBorders>
              <w:top w:val="nil"/>
              <w:left w:val="nil"/>
              <w:bottom w:val="nil"/>
              <w:right w:val="nil"/>
            </w:tcBorders>
          </w:tcPr>
          <w:p w:rsidR="00310305" w:rsidRPr="004D0E58" w:rsidRDefault="00310305" w:rsidP="00D102F8">
            <w:pPr>
              <w:jc w:val="both"/>
            </w:pPr>
            <w:r w:rsidRPr="004D0E58">
              <w:t>Операционная синергия</w:t>
            </w:r>
          </w:p>
          <w:p w:rsidR="00310305" w:rsidRPr="004D0E58" w:rsidRDefault="00310305" w:rsidP="00D102F8">
            <w:pPr>
              <w:ind w:firstLine="595"/>
              <w:jc w:val="both"/>
            </w:pPr>
            <w:r w:rsidRPr="004D0E58">
              <w:t>Экономия за счет масштаба</w:t>
            </w:r>
          </w:p>
          <w:p w:rsidR="00310305" w:rsidRPr="004D0E58" w:rsidRDefault="00310305" w:rsidP="00D102F8">
            <w:pPr>
              <w:spacing w:line="360" w:lineRule="auto"/>
              <w:ind w:firstLine="595"/>
              <w:jc w:val="both"/>
            </w:pPr>
            <w:r w:rsidRPr="004D0E58">
              <w:lastRenderedPageBreak/>
              <w:t>Экономия за счет охвата</w:t>
            </w:r>
          </w:p>
        </w:tc>
        <w:tc>
          <w:tcPr>
            <w:tcW w:w="4927" w:type="dxa"/>
            <w:tcBorders>
              <w:top w:val="nil"/>
              <w:left w:val="nil"/>
              <w:bottom w:val="nil"/>
              <w:right w:val="nil"/>
            </w:tcBorders>
          </w:tcPr>
          <w:p w:rsidR="00310305" w:rsidRPr="004D0E58" w:rsidRDefault="00AE4801" w:rsidP="00D102F8">
            <w:pPr>
              <w:jc w:val="both"/>
            </w:pPr>
            <w:r>
              <w:lastRenderedPageBreak/>
              <w:t>Увеличение</w:t>
            </w:r>
            <w:r w:rsidR="00310305" w:rsidRPr="004D0E58">
              <w:t xml:space="preserve"> эффективност</w:t>
            </w:r>
            <w:r>
              <w:t>и</w:t>
            </w:r>
            <w:r w:rsidR="00310305" w:rsidRPr="004D0E58">
              <w:t xml:space="preserve"> за счет масшт</w:t>
            </w:r>
            <w:r w:rsidR="00310305" w:rsidRPr="004D0E58">
              <w:t>а</w:t>
            </w:r>
            <w:r w:rsidR="00310305" w:rsidRPr="004D0E58">
              <w:t xml:space="preserve">бов или за счет </w:t>
            </w:r>
            <w:r>
              <w:t>горизонтального или верт</w:t>
            </w:r>
            <w:r>
              <w:t>и</w:t>
            </w:r>
            <w:r>
              <w:lastRenderedPageBreak/>
              <w:t>кального роста</w:t>
            </w:r>
          </w:p>
          <w:p w:rsidR="00310305" w:rsidRPr="004D0E58" w:rsidRDefault="00310305" w:rsidP="00D102F8">
            <w:pPr>
              <w:jc w:val="both"/>
            </w:pPr>
          </w:p>
        </w:tc>
      </w:tr>
      <w:tr w:rsidR="00310305" w:rsidRPr="004D0E58" w:rsidTr="00D102F8">
        <w:trPr>
          <w:gridAfter w:val="1"/>
          <w:wAfter w:w="9" w:type="dxa"/>
        </w:trPr>
        <w:tc>
          <w:tcPr>
            <w:tcW w:w="4648" w:type="dxa"/>
            <w:tcBorders>
              <w:top w:val="nil"/>
              <w:left w:val="nil"/>
              <w:bottom w:val="nil"/>
              <w:right w:val="nil"/>
            </w:tcBorders>
          </w:tcPr>
          <w:p w:rsidR="00310305" w:rsidRPr="004D0E58" w:rsidRDefault="00310305" w:rsidP="00D102F8">
            <w:pPr>
              <w:jc w:val="both"/>
            </w:pPr>
            <w:r w:rsidRPr="004D0E58">
              <w:lastRenderedPageBreak/>
              <w:t>Финансовая синергия</w:t>
            </w:r>
          </w:p>
        </w:tc>
        <w:tc>
          <w:tcPr>
            <w:tcW w:w="4927" w:type="dxa"/>
            <w:tcBorders>
              <w:top w:val="nil"/>
              <w:left w:val="nil"/>
              <w:bottom w:val="nil"/>
              <w:right w:val="nil"/>
            </w:tcBorders>
          </w:tcPr>
          <w:p w:rsidR="00310305" w:rsidRPr="004D0E58" w:rsidRDefault="00965679" w:rsidP="00D102F8">
            <w:pPr>
              <w:jc w:val="both"/>
            </w:pPr>
            <w:r>
              <w:t>Э</w:t>
            </w:r>
            <w:r w:rsidR="00310305" w:rsidRPr="004D0E58">
              <w:t>кономи</w:t>
            </w:r>
            <w:r w:rsidR="00CD1A8F">
              <w:t>я</w:t>
            </w:r>
            <w:r w:rsidR="00310305" w:rsidRPr="004D0E58">
              <w:t xml:space="preserve"> за счет </w:t>
            </w:r>
            <w:r w:rsidR="00CD1A8F">
              <w:t xml:space="preserve">доступа к капиталу, отдачи от </w:t>
            </w:r>
            <w:r w:rsidR="00310305" w:rsidRPr="004D0E58">
              <w:t xml:space="preserve">масштабов, а так же </w:t>
            </w:r>
            <w:r w:rsidR="00CD1A8F">
              <w:t xml:space="preserve">доступа к внешним </w:t>
            </w:r>
            <w:r>
              <w:t>инвестициям</w:t>
            </w:r>
          </w:p>
          <w:p w:rsidR="00310305" w:rsidRPr="004D0E58" w:rsidRDefault="00310305" w:rsidP="00D102F8">
            <w:pPr>
              <w:jc w:val="both"/>
            </w:pPr>
          </w:p>
        </w:tc>
      </w:tr>
      <w:tr w:rsidR="00310305" w:rsidRPr="004D0E58" w:rsidTr="00D102F8">
        <w:trPr>
          <w:gridAfter w:val="1"/>
          <w:wAfter w:w="9" w:type="dxa"/>
        </w:trPr>
        <w:tc>
          <w:tcPr>
            <w:tcW w:w="4648" w:type="dxa"/>
            <w:tcBorders>
              <w:top w:val="nil"/>
              <w:left w:val="nil"/>
              <w:bottom w:val="nil"/>
              <w:right w:val="nil"/>
            </w:tcBorders>
          </w:tcPr>
          <w:p w:rsidR="00310305" w:rsidRPr="004D0E58" w:rsidRDefault="00310305" w:rsidP="00D102F8">
            <w:pPr>
              <w:jc w:val="both"/>
            </w:pPr>
            <w:r w:rsidRPr="004D0E58">
              <w:t>Диверсификация</w:t>
            </w:r>
          </w:p>
          <w:p w:rsidR="00310305" w:rsidRPr="004D0E58" w:rsidRDefault="00310305" w:rsidP="00D102F8">
            <w:pPr>
              <w:ind w:firstLine="595"/>
              <w:jc w:val="both"/>
            </w:pPr>
            <w:r w:rsidRPr="004D0E58">
              <w:t>Новые продукты/прежние рынки</w:t>
            </w:r>
          </w:p>
          <w:p w:rsidR="00310305" w:rsidRPr="004D0E58" w:rsidRDefault="00310305" w:rsidP="00D102F8">
            <w:pPr>
              <w:ind w:firstLine="595"/>
              <w:jc w:val="both"/>
            </w:pPr>
            <w:r w:rsidRPr="004D0E58">
              <w:t>Новые продукты/новые рынки</w:t>
            </w:r>
          </w:p>
          <w:p w:rsidR="00310305" w:rsidRPr="004D0E58" w:rsidRDefault="00310305" w:rsidP="00D102F8">
            <w:pPr>
              <w:spacing w:line="360" w:lineRule="auto"/>
              <w:ind w:firstLine="595"/>
              <w:jc w:val="both"/>
            </w:pPr>
            <w:r w:rsidRPr="004D0E58">
              <w:t>Прежние продукты/новые рынки</w:t>
            </w:r>
          </w:p>
        </w:tc>
        <w:tc>
          <w:tcPr>
            <w:tcW w:w="4927" w:type="dxa"/>
            <w:tcBorders>
              <w:top w:val="nil"/>
              <w:left w:val="nil"/>
              <w:bottom w:val="nil"/>
              <w:right w:val="nil"/>
            </w:tcBorders>
          </w:tcPr>
          <w:p w:rsidR="00310305" w:rsidRPr="004D0E58" w:rsidRDefault="003D70B4" w:rsidP="003D70B4">
            <w:pPr>
              <w:jc w:val="both"/>
            </w:pPr>
            <w:r>
              <w:t>Повышение операционной эффективности путем в</w:t>
            </w:r>
            <w:r w:rsidR="001A2DCE">
              <w:t>ыход</w:t>
            </w:r>
            <w:r>
              <w:t>а</w:t>
            </w:r>
            <w:r w:rsidR="001A2DCE">
              <w:t xml:space="preserve"> на новые рын</w:t>
            </w:r>
            <w:r>
              <w:t>ки и/или запу</w:t>
            </w:r>
            <w:r>
              <w:t>с</w:t>
            </w:r>
            <w:r>
              <w:t>ком новой продукции</w:t>
            </w:r>
          </w:p>
        </w:tc>
      </w:tr>
      <w:tr w:rsidR="00310305" w:rsidRPr="004D0E58" w:rsidTr="00494A31">
        <w:trPr>
          <w:gridAfter w:val="1"/>
          <w:wAfter w:w="9" w:type="dxa"/>
          <w:trHeight w:val="933"/>
        </w:trPr>
        <w:tc>
          <w:tcPr>
            <w:tcW w:w="4648" w:type="dxa"/>
            <w:tcBorders>
              <w:top w:val="nil"/>
              <w:left w:val="nil"/>
              <w:bottom w:val="nil"/>
              <w:right w:val="nil"/>
            </w:tcBorders>
          </w:tcPr>
          <w:p w:rsidR="00310305" w:rsidRPr="004D0E58" w:rsidRDefault="00310305" w:rsidP="00D102F8">
            <w:pPr>
              <w:jc w:val="both"/>
            </w:pPr>
          </w:p>
          <w:p w:rsidR="00310305" w:rsidRPr="004D0E58" w:rsidRDefault="00310305" w:rsidP="00D102F8">
            <w:pPr>
              <w:jc w:val="both"/>
            </w:pPr>
            <w:r w:rsidRPr="004D0E58">
              <w:t>Рыночное могущество</w:t>
            </w:r>
          </w:p>
        </w:tc>
        <w:tc>
          <w:tcPr>
            <w:tcW w:w="4927" w:type="dxa"/>
            <w:tcBorders>
              <w:top w:val="nil"/>
              <w:left w:val="nil"/>
              <w:bottom w:val="nil"/>
              <w:right w:val="nil"/>
            </w:tcBorders>
          </w:tcPr>
          <w:p w:rsidR="00310305" w:rsidRPr="004D0E58" w:rsidRDefault="0072771C" w:rsidP="00D102F8">
            <w:pPr>
              <w:jc w:val="both"/>
            </w:pPr>
            <w:r>
              <w:t>Наращивание доли присутствия на рынке, за счет чего компании имеют возможность з</w:t>
            </w:r>
            <w:r>
              <w:t>а</w:t>
            </w:r>
            <w:r>
              <w:t>вышать цены на рынке</w:t>
            </w:r>
          </w:p>
        </w:tc>
      </w:tr>
      <w:tr w:rsidR="00310305" w:rsidRPr="004D0E58" w:rsidTr="00D102F8">
        <w:trPr>
          <w:gridAfter w:val="1"/>
          <w:wAfter w:w="9" w:type="dxa"/>
        </w:trPr>
        <w:tc>
          <w:tcPr>
            <w:tcW w:w="4648" w:type="dxa"/>
            <w:tcBorders>
              <w:top w:val="nil"/>
              <w:left w:val="nil"/>
              <w:bottom w:val="nil"/>
              <w:right w:val="nil"/>
            </w:tcBorders>
          </w:tcPr>
          <w:p w:rsidR="00310305" w:rsidRPr="004D0E58" w:rsidRDefault="00310305" w:rsidP="00D102F8">
            <w:pPr>
              <w:jc w:val="both"/>
            </w:pPr>
            <w:r w:rsidRPr="004D0E58">
              <w:t>Корректировка стратегии</w:t>
            </w:r>
          </w:p>
          <w:p w:rsidR="00310305" w:rsidRPr="004D0E58" w:rsidRDefault="00310305" w:rsidP="00D102F8">
            <w:pPr>
              <w:ind w:firstLine="595"/>
              <w:jc w:val="both"/>
            </w:pPr>
            <w:r w:rsidRPr="004D0E58">
              <w:t>Технический прогресс</w:t>
            </w:r>
          </w:p>
          <w:p w:rsidR="00310305" w:rsidRPr="004D0E58" w:rsidRDefault="00310305" w:rsidP="00D102F8">
            <w:pPr>
              <w:ind w:firstLine="595"/>
              <w:jc w:val="both"/>
            </w:pPr>
            <w:r w:rsidRPr="004D0E58">
              <w:t xml:space="preserve">Изменение в политике и нормах </w:t>
            </w:r>
          </w:p>
          <w:p w:rsidR="00310305" w:rsidRPr="004D0E58" w:rsidRDefault="00310305" w:rsidP="00D102F8">
            <w:pPr>
              <w:ind w:firstLine="595"/>
              <w:jc w:val="both"/>
            </w:pPr>
            <w:r w:rsidRPr="004D0E58">
              <w:t>регулирования</w:t>
            </w:r>
          </w:p>
        </w:tc>
        <w:tc>
          <w:tcPr>
            <w:tcW w:w="4927" w:type="dxa"/>
            <w:tcBorders>
              <w:top w:val="nil"/>
              <w:left w:val="nil"/>
              <w:bottom w:val="nil"/>
              <w:right w:val="nil"/>
            </w:tcBorders>
          </w:tcPr>
          <w:p w:rsidR="00310305" w:rsidRPr="004D0E58" w:rsidRDefault="00397EBF" w:rsidP="00D102F8">
            <w:pPr>
              <w:jc w:val="both"/>
            </w:pPr>
            <w:r>
              <w:t xml:space="preserve">Компании </w:t>
            </w:r>
            <w:r w:rsidR="008B61EB">
              <w:t xml:space="preserve">имеют возможность </w:t>
            </w:r>
            <w:r>
              <w:t>быстрее по</w:t>
            </w:r>
            <w:r>
              <w:t>д</w:t>
            </w:r>
            <w:r>
              <w:t>стр</w:t>
            </w:r>
            <w:r w:rsidR="008B61EB">
              <w:t>оиться</w:t>
            </w:r>
            <w:r>
              <w:t xml:space="preserve"> под </w:t>
            </w:r>
            <w:r w:rsidR="008B61EB">
              <w:t>требования рынка или пол</w:t>
            </w:r>
            <w:r w:rsidR="008B61EB">
              <w:t>у</w:t>
            </w:r>
            <w:r w:rsidR="008B61EB">
              <w:t>чить доступ к ведущим НИОКР</w:t>
            </w:r>
          </w:p>
        </w:tc>
      </w:tr>
      <w:tr w:rsidR="00310305" w:rsidRPr="004D0E58" w:rsidTr="00D102F8">
        <w:trPr>
          <w:gridAfter w:val="1"/>
          <w:wAfter w:w="9" w:type="dxa"/>
        </w:trPr>
        <w:tc>
          <w:tcPr>
            <w:tcW w:w="4648" w:type="dxa"/>
            <w:tcBorders>
              <w:top w:val="nil"/>
              <w:left w:val="nil"/>
              <w:bottom w:val="nil"/>
              <w:right w:val="nil"/>
            </w:tcBorders>
          </w:tcPr>
          <w:p w:rsidR="00310305" w:rsidRPr="004D0E58" w:rsidRDefault="00310305" w:rsidP="00D102F8">
            <w:pPr>
              <w:spacing w:line="360" w:lineRule="auto"/>
              <w:jc w:val="both"/>
            </w:pPr>
          </w:p>
          <w:p w:rsidR="00310305" w:rsidRPr="004D0E58" w:rsidRDefault="00310305" w:rsidP="00D102F8">
            <w:pPr>
              <w:spacing w:line="360" w:lineRule="auto"/>
              <w:jc w:val="both"/>
            </w:pPr>
            <w:r w:rsidRPr="004D0E58">
              <w:t>Самоуверенность управляющих</w:t>
            </w:r>
          </w:p>
        </w:tc>
        <w:tc>
          <w:tcPr>
            <w:tcW w:w="4927" w:type="dxa"/>
            <w:tcBorders>
              <w:top w:val="nil"/>
              <w:left w:val="nil"/>
              <w:bottom w:val="nil"/>
              <w:right w:val="nil"/>
            </w:tcBorders>
          </w:tcPr>
          <w:p w:rsidR="00310305" w:rsidRDefault="00310305" w:rsidP="00494A31">
            <w:pPr>
              <w:jc w:val="both"/>
            </w:pPr>
          </w:p>
          <w:p w:rsidR="00494A31" w:rsidRDefault="00494A31" w:rsidP="00494A31">
            <w:pPr>
              <w:jc w:val="both"/>
            </w:pPr>
            <w:r>
              <w:t>Проблема неверной оценки компании из-за субъективного мнения управляющих мен</w:t>
            </w:r>
            <w:r>
              <w:t>е</w:t>
            </w:r>
            <w:r>
              <w:t xml:space="preserve">джеров </w:t>
            </w:r>
          </w:p>
          <w:p w:rsidR="00176033" w:rsidRPr="004D0E58" w:rsidRDefault="00176033" w:rsidP="00494A31">
            <w:pPr>
              <w:jc w:val="both"/>
            </w:pPr>
          </w:p>
        </w:tc>
      </w:tr>
      <w:tr w:rsidR="00310305" w:rsidRPr="004D0E58" w:rsidTr="00D102F8">
        <w:trPr>
          <w:gridAfter w:val="1"/>
          <w:wAfter w:w="9" w:type="dxa"/>
        </w:trPr>
        <w:tc>
          <w:tcPr>
            <w:tcW w:w="4648" w:type="dxa"/>
            <w:tcBorders>
              <w:top w:val="nil"/>
              <w:left w:val="nil"/>
              <w:bottom w:val="nil"/>
              <w:right w:val="nil"/>
            </w:tcBorders>
          </w:tcPr>
          <w:p w:rsidR="00310305" w:rsidRPr="004D0E58" w:rsidRDefault="00310305" w:rsidP="00D102F8">
            <w:pPr>
              <w:jc w:val="both"/>
            </w:pPr>
            <w:r w:rsidRPr="004D0E58">
              <w:t xml:space="preserve">Покупка недооцененных активов </w:t>
            </w:r>
          </w:p>
          <w:p w:rsidR="00310305" w:rsidRPr="004D0E58" w:rsidRDefault="00310305" w:rsidP="00D102F8">
            <w:pPr>
              <w:jc w:val="both"/>
            </w:pPr>
            <w:r w:rsidRPr="004D0E58">
              <w:t xml:space="preserve">(коэффициент </w:t>
            </w:r>
            <w:r w:rsidRPr="004D0E58">
              <w:rPr>
                <w:lang w:val="en-US"/>
              </w:rPr>
              <w:t>q</w:t>
            </w:r>
            <w:r w:rsidRPr="004D0E58">
              <w:t>)</w:t>
            </w:r>
          </w:p>
        </w:tc>
        <w:tc>
          <w:tcPr>
            <w:tcW w:w="4927" w:type="dxa"/>
            <w:tcBorders>
              <w:top w:val="nil"/>
              <w:left w:val="nil"/>
              <w:bottom w:val="nil"/>
              <w:right w:val="nil"/>
            </w:tcBorders>
          </w:tcPr>
          <w:p w:rsidR="00310305" w:rsidRPr="004D0E58" w:rsidRDefault="00494A31" w:rsidP="00D102F8">
            <w:pPr>
              <w:jc w:val="both"/>
            </w:pPr>
            <w:r>
              <w:t>При определённых потрясениях на рынке стоимость компаний может не соответств</w:t>
            </w:r>
            <w:r>
              <w:t>о</w:t>
            </w:r>
            <w:r>
              <w:t>вать реальной стоимости ее активов</w:t>
            </w:r>
          </w:p>
          <w:p w:rsidR="00310305" w:rsidRPr="004D0E58" w:rsidRDefault="00310305" w:rsidP="00D102F8">
            <w:pPr>
              <w:jc w:val="both"/>
            </w:pPr>
          </w:p>
        </w:tc>
      </w:tr>
      <w:tr w:rsidR="00310305" w:rsidRPr="004D0E58" w:rsidTr="00D102F8">
        <w:trPr>
          <w:gridAfter w:val="1"/>
          <w:wAfter w:w="9" w:type="dxa"/>
        </w:trPr>
        <w:tc>
          <w:tcPr>
            <w:tcW w:w="4648" w:type="dxa"/>
            <w:tcBorders>
              <w:top w:val="nil"/>
              <w:left w:val="nil"/>
              <w:bottom w:val="nil"/>
              <w:right w:val="nil"/>
            </w:tcBorders>
          </w:tcPr>
          <w:p w:rsidR="00310305" w:rsidRPr="004D0E58" w:rsidRDefault="00310305" w:rsidP="00D102F8">
            <w:pPr>
              <w:jc w:val="both"/>
            </w:pPr>
            <w:r w:rsidRPr="004D0E58">
              <w:t xml:space="preserve">Неудачное управление </w:t>
            </w:r>
          </w:p>
          <w:p w:rsidR="00310305" w:rsidRPr="004D0E58" w:rsidRDefault="00310305" w:rsidP="00D102F8">
            <w:pPr>
              <w:jc w:val="both"/>
            </w:pPr>
            <w:r w:rsidRPr="004D0E58">
              <w:t>(проблема агентских отношений)</w:t>
            </w:r>
          </w:p>
        </w:tc>
        <w:tc>
          <w:tcPr>
            <w:tcW w:w="4927" w:type="dxa"/>
            <w:tcBorders>
              <w:top w:val="nil"/>
              <w:left w:val="nil"/>
              <w:bottom w:val="nil"/>
              <w:right w:val="nil"/>
            </w:tcBorders>
          </w:tcPr>
          <w:p w:rsidR="00310305" w:rsidRPr="004D0E58" w:rsidRDefault="00176033" w:rsidP="00D102F8">
            <w:pPr>
              <w:jc w:val="both"/>
            </w:pPr>
            <w:r>
              <w:t xml:space="preserve">Действия управляющих могут идти вразрез с интересами </w:t>
            </w:r>
            <w:proofErr w:type="spellStart"/>
            <w:r>
              <w:t>стейкхолдеров</w:t>
            </w:r>
            <w:proofErr w:type="spellEnd"/>
            <w:r>
              <w:t>, сделки соверш</w:t>
            </w:r>
            <w:r>
              <w:t>а</w:t>
            </w:r>
            <w:r>
              <w:t>ются для удержания позиций</w:t>
            </w:r>
          </w:p>
          <w:p w:rsidR="00310305" w:rsidRPr="004D0E58" w:rsidRDefault="00310305" w:rsidP="00D102F8">
            <w:pPr>
              <w:jc w:val="both"/>
            </w:pPr>
          </w:p>
        </w:tc>
      </w:tr>
      <w:tr w:rsidR="00310305" w:rsidRPr="004D0E58" w:rsidTr="00D102F8">
        <w:trPr>
          <w:gridAfter w:val="1"/>
          <w:wAfter w:w="9" w:type="dxa"/>
        </w:trPr>
        <w:tc>
          <w:tcPr>
            <w:tcW w:w="4648" w:type="dxa"/>
            <w:tcBorders>
              <w:top w:val="nil"/>
              <w:left w:val="nil"/>
              <w:bottom w:val="nil"/>
              <w:right w:val="nil"/>
            </w:tcBorders>
          </w:tcPr>
          <w:p w:rsidR="00310305" w:rsidRPr="004D0E58" w:rsidRDefault="00310305" w:rsidP="00D102F8">
            <w:pPr>
              <w:jc w:val="both"/>
            </w:pPr>
          </w:p>
          <w:p w:rsidR="00310305" w:rsidRPr="004D0E58" w:rsidRDefault="00310305" w:rsidP="00D102F8">
            <w:pPr>
              <w:jc w:val="both"/>
            </w:pPr>
            <w:r w:rsidRPr="004D0E58">
              <w:t>«Менеджеризм»</w:t>
            </w:r>
          </w:p>
        </w:tc>
        <w:tc>
          <w:tcPr>
            <w:tcW w:w="4927" w:type="dxa"/>
            <w:tcBorders>
              <w:top w:val="nil"/>
              <w:left w:val="nil"/>
              <w:bottom w:val="nil"/>
              <w:right w:val="nil"/>
            </w:tcBorders>
          </w:tcPr>
          <w:p w:rsidR="00310305" w:rsidRPr="004D0E58" w:rsidRDefault="00176033" w:rsidP="00D102F8">
            <w:pPr>
              <w:jc w:val="both"/>
            </w:pPr>
            <w:r>
              <w:t>Управляющие рассматривают слияния и п</w:t>
            </w:r>
            <w:r>
              <w:t>о</w:t>
            </w:r>
            <w:r>
              <w:t>глощения в качестве способа увеличения размера и репутации компании</w:t>
            </w:r>
          </w:p>
          <w:p w:rsidR="00310305" w:rsidRPr="004D0E58" w:rsidRDefault="00310305" w:rsidP="00D102F8">
            <w:pPr>
              <w:jc w:val="both"/>
            </w:pPr>
          </w:p>
          <w:p w:rsidR="00310305" w:rsidRPr="004D0E58" w:rsidRDefault="00310305" w:rsidP="00D102F8">
            <w:pPr>
              <w:jc w:val="both"/>
            </w:pPr>
          </w:p>
        </w:tc>
      </w:tr>
      <w:tr w:rsidR="00310305" w:rsidRPr="004D0E58" w:rsidTr="00D102F8">
        <w:trPr>
          <w:gridAfter w:val="1"/>
          <w:wAfter w:w="9" w:type="dxa"/>
        </w:trPr>
        <w:tc>
          <w:tcPr>
            <w:tcW w:w="4648" w:type="dxa"/>
            <w:tcBorders>
              <w:top w:val="nil"/>
              <w:left w:val="nil"/>
              <w:bottom w:val="nil"/>
              <w:right w:val="nil"/>
            </w:tcBorders>
            <w:shd w:val="clear" w:color="auto" w:fill="auto"/>
          </w:tcPr>
          <w:p w:rsidR="00310305" w:rsidRPr="004D0E58" w:rsidRDefault="00310305" w:rsidP="00D102F8">
            <w:pPr>
              <w:jc w:val="both"/>
            </w:pPr>
          </w:p>
          <w:p w:rsidR="00310305" w:rsidRPr="004D0E58" w:rsidRDefault="00310305" w:rsidP="00D102F8">
            <w:pPr>
              <w:jc w:val="both"/>
            </w:pPr>
            <w:r w:rsidRPr="004D0E58">
              <w:t>Налоговые соображения</w:t>
            </w:r>
          </w:p>
        </w:tc>
        <w:tc>
          <w:tcPr>
            <w:tcW w:w="4927" w:type="dxa"/>
            <w:tcBorders>
              <w:top w:val="nil"/>
              <w:left w:val="nil"/>
              <w:bottom w:val="nil"/>
              <w:right w:val="nil"/>
            </w:tcBorders>
          </w:tcPr>
          <w:p w:rsidR="00310305" w:rsidRPr="004D0E58" w:rsidRDefault="009D376A" w:rsidP="009D376A">
            <w:pPr>
              <w:contextualSpacing/>
              <w:jc w:val="both"/>
            </w:pPr>
            <w:r>
              <w:t>Способ использовать налоговые кредиты и прочие опции для уменьшения налогового бремени компании</w:t>
            </w:r>
          </w:p>
        </w:tc>
      </w:tr>
      <w:tr w:rsidR="00310305" w:rsidRPr="004D0E58" w:rsidTr="00310305">
        <w:tblPrEx>
          <w:tblLook w:val="0000" w:firstRow="0" w:lastRow="0" w:firstColumn="0" w:lastColumn="0" w:noHBand="0" w:noVBand="0"/>
        </w:tblPrEx>
        <w:trPr>
          <w:trHeight w:val="77"/>
        </w:trPr>
        <w:tc>
          <w:tcPr>
            <w:tcW w:w="4648" w:type="dxa"/>
            <w:tcBorders>
              <w:left w:val="nil"/>
              <w:bottom w:val="nil"/>
              <w:right w:val="nil"/>
            </w:tcBorders>
            <w:shd w:val="clear" w:color="auto" w:fill="auto"/>
          </w:tcPr>
          <w:p w:rsidR="00310305" w:rsidRPr="004D0E58" w:rsidRDefault="00310305" w:rsidP="00310305">
            <w:pPr>
              <w:contextualSpacing/>
            </w:pPr>
          </w:p>
        </w:tc>
        <w:tc>
          <w:tcPr>
            <w:tcW w:w="4936" w:type="dxa"/>
            <w:gridSpan w:val="2"/>
            <w:tcBorders>
              <w:left w:val="nil"/>
              <w:bottom w:val="nil"/>
              <w:right w:val="nil"/>
            </w:tcBorders>
          </w:tcPr>
          <w:p w:rsidR="00310305" w:rsidRPr="004D0E58" w:rsidRDefault="00310305" w:rsidP="00310305">
            <w:pPr>
              <w:contextualSpacing/>
              <w:jc w:val="both"/>
            </w:pPr>
          </w:p>
        </w:tc>
      </w:tr>
    </w:tbl>
    <w:bookmarkEnd w:id="6"/>
    <w:bookmarkEnd w:id="7"/>
    <w:p w:rsidR="004D0E58" w:rsidRPr="001B5E10" w:rsidRDefault="00310305" w:rsidP="00310305">
      <w:pPr>
        <w:contextualSpacing/>
        <w:jc w:val="center"/>
      </w:pPr>
      <w:r>
        <w:t xml:space="preserve">Составлено </w:t>
      </w:r>
      <w:r w:rsidR="00967700">
        <w:t xml:space="preserve">по: </w:t>
      </w:r>
      <w:proofErr w:type="spellStart"/>
      <w:r w:rsidR="00967700" w:rsidRPr="00A606C6">
        <w:rPr>
          <w:kern w:val="36"/>
        </w:rPr>
        <w:t>Депамфилис</w:t>
      </w:r>
      <w:proofErr w:type="spellEnd"/>
      <w:r w:rsidR="00967700" w:rsidRPr="00A606C6">
        <w:rPr>
          <w:bCs/>
          <w:kern w:val="36"/>
        </w:rPr>
        <w:t xml:space="preserve"> Д. </w:t>
      </w:r>
      <w:r w:rsidR="00967700" w:rsidRPr="00A606C6">
        <w:rPr>
          <w:kern w:val="36"/>
        </w:rPr>
        <w:t>Слияния, поглощения и другие способы реструктуризации компании</w:t>
      </w:r>
      <w:r w:rsidR="00967700" w:rsidRPr="00A606C6">
        <w:rPr>
          <w:bCs/>
          <w:kern w:val="36"/>
        </w:rPr>
        <w:t>. М</w:t>
      </w:r>
      <w:r w:rsidR="00967700" w:rsidRPr="00AC5A7D">
        <w:rPr>
          <w:bCs/>
          <w:kern w:val="36"/>
        </w:rPr>
        <w:t xml:space="preserve">.: </w:t>
      </w:r>
      <w:r w:rsidR="00967700">
        <w:rPr>
          <w:bCs/>
          <w:kern w:val="36"/>
        </w:rPr>
        <w:t>Олимп</w:t>
      </w:r>
      <w:r w:rsidR="00967700" w:rsidRPr="00AC5A7D">
        <w:rPr>
          <w:bCs/>
          <w:kern w:val="36"/>
        </w:rPr>
        <w:t>-</w:t>
      </w:r>
      <w:r w:rsidR="00967700">
        <w:rPr>
          <w:bCs/>
          <w:kern w:val="36"/>
        </w:rPr>
        <w:t>Бизнес</w:t>
      </w:r>
      <w:r w:rsidR="00967700" w:rsidRPr="00AC5A7D">
        <w:rPr>
          <w:bCs/>
          <w:kern w:val="36"/>
        </w:rPr>
        <w:t xml:space="preserve">, 2007, </w:t>
      </w:r>
      <w:r w:rsidR="00967700" w:rsidRPr="00A606C6">
        <w:rPr>
          <w:bCs/>
          <w:kern w:val="36"/>
        </w:rPr>
        <w:t>стр</w:t>
      </w:r>
      <w:r w:rsidR="00967700" w:rsidRPr="00AC5A7D">
        <w:rPr>
          <w:bCs/>
          <w:kern w:val="36"/>
        </w:rPr>
        <w:t>. 22-24.</w:t>
      </w:r>
    </w:p>
    <w:p w:rsidR="004D0E58" w:rsidRPr="00331B69" w:rsidRDefault="004D0E58" w:rsidP="004D0E58">
      <w:pPr>
        <w:ind w:firstLine="709"/>
        <w:rPr>
          <w:color w:val="FF0000"/>
          <w:u w:val="single"/>
        </w:rPr>
      </w:pPr>
      <w:r w:rsidRPr="004D0E58">
        <w:rPr>
          <w:u w:val="single"/>
        </w:rPr>
        <w:t>Синергия.</w:t>
      </w:r>
      <w:r w:rsidR="00331B69">
        <w:rPr>
          <w:u w:val="single"/>
        </w:rPr>
        <w:t xml:space="preserve"> </w:t>
      </w:r>
    </w:p>
    <w:p w:rsidR="004D0E58" w:rsidRPr="004D0E58" w:rsidRDefault="00C26684" w:rsidP="002A61A0">
      <w:pPr>
        <w:spacing w:afterLines="100" w:after="240" w:line="360" w:lineRule="auto"/>
        <w:ind w:firstLine="709"/>
        <w:contextualSpacing/>
        <w:jc w:val="both"/>
      </w:pPr>
      <w:r w:rsidRPr="00C26684">
        <w:t>Стремление достичь синергии является одной из основополагающих причин с</w:t>
      </w:r>
      <w:r w:rsidRPr="00C26684">
        <w:t>о</w:t>
      </w:r>
      <w:r w:rsidRPr="00C26684">
        <w:t xml:space="preserve">вершения сделок </w:t>
      </w:r>
      <w:r w:rsidRPr="00C26684">
        <w:rPr>
          <w:lang w:val="en-US"/>
        </w:rPr>
        <w:t>M</w:t>
      </w:r>
      <w:r w:rsidRPr="00C26684">
        <w:t>&amp;</w:t>
      </w:r>
      <w:r w:rsidRPr="00C26684">
        <w:rPr>
          <w:lang w:val="en-US"/>
        </w:rPr>
        <w:t>A</w:t>
      </w:r>
      <w:r w:rsidR="008C0EA3">
        <w:t>, так как в случае успешного завершения сделки стоимость комп</w:t>
      </w:r>
      <w:r w:rsidR="008C0EA3">
        <w:t>а</w:t>
      </w:r>
      <w:r w:rsidR="008C0EA3">
        <w:t xml:space="preserve">нии </w:t>
      </w:r>
      <w:r w:rsidR="006A3217">
        <w:t>общая стоимость двух компаний будет их превышать стоимость как отдельных по</w:t>
      </w:r>
      <w:r w:rsidR="006A3217">
        <w:t>д</w:t>
      </w:r>
      <w:r w:rsidR="006A3217">
        <w:t>разделений</w:t>
      </w:r>
      <w:r w:rsidR="004D0E58" w:rsidRPr="004D0E58">
        <w:t>.</w:t>
      </w:r>
      <w:r w:rsidR="004D0E58" w:rsidRPr="004D0E58">
        <w:rPr>
          <w:vertAlign w:val="superscript"/>
        </w:rPr>
        <w:footnoteReference w:id="5"/>
      </w:r>
    </w:p>
    <w:p w:rsidR="004D0E58" w:rsidRPr="00F93666" w:rsidRDefault="004D0E58" w:rsidP="00C87CF2">
      <w:pPr>
        <w:spacing w:afterLines="100" w:after="240" w:line="360" w:lineRule="auto"/>
        <w:ind w:firstLine="709"/>
        <w:contextualSpacing/>
        <w:jc w:val="both"/>
      </w:pPr>
      <w:r w:rsidRPr="00F93666">
        <w:rPr>
          <w:i/>
        </w:rPr>
        <w:lastRenderedPageBreak/>
        <w:t>Операционная синергия</w:t>
      </w:r>
      <w:r w:rsidRPr="00F93666">
        <w:t xml:space="preserve"> </w:t>
      </w:r>
      <w:r w:rsidR="00CF0D78" w:rsidRPr="00F93666">
        <w:t xml:space="preserve">делится на </w:t>
      </w:r>
      <w:r w:rsidRPr="00F93666">
        <w:t>экономи</w:t>
      </w:r>
      <w:r w:rsidR="00CF0D78" w:rsidRPr="00F93666">
        <w:t>ю</w:t>
      </w:r>
      <w:r w:rsidRPr="00F93666">
        <w:t xml:space="preserve"> за счет </w:t>
      </w:r>
      <w:r w:rsidR="00F93666" w:rsidRPr="00F93666">
        <w:t>масштаба</w:t>
      </w:r>
      <w:r w:rsidRPr="00F93666">
        <w:t xml:space="preserve"> и охвата. </w:t>
      </w:r>
      <w:r w:rsidR="00CF0D78" w:rsidRPr="00F93666">
        <w:t>Обе ведут</w:t>
      </w:r>
      <w:r w:rsidRPr="00F93666">
        <w:t xml:space="preserve"> к повышению эффективности</w:t>
      </w:r>
      <w:r w:rsidR="00F93666" w:rsidRPr="00F93666">
        <w:t xml:space="preserve"> функционирования бизнеса в руках у умелых менеджеров.</w:t>
      </w:r>
      <w:r w:rsidRPr="00F93666">
        <w:t xml:space="preserve"> </w:t>
      </w:r>
    </w:p>
    <w:p w:rsidR="004D0E58" w:rsidRPr="004D0E58" w:rsidRDefault="00AF64CA" w:rsidP="00C87CF2">
      <w:pPr>
        <w:spacing w:afterLines="100" w:after="240" w:line="360" w:lineRule="auto"/>
        <w:ind w:firstLine="709"/>
        <w:contextualSpacing/>
        <w:jc w:val="both"/>
      </w:pPr>
      <w:r w:rsidRPr="00AF64CA">
        <w:t>Отдачей от масштаба</w:t>
      </w:r>
      <w:r w:rsidR="004D0E58" w:rsidRPr="00AF64CA">
        <w:t xml:space="preserve"> </w:t>
      </w:r>
      <w:r w:rsidRPr="00AF64CA">
        <w:t>считается уменьшение</w:t>
      </w:r>
      <w:r w:rsidR="004D0E58" w:rsidRPr="00AF64CA">
        <w:t xml:space="preserve"> постоянных издержек с </w:t>
      </w:r>
      <w:r w:rsidRPr="00AF64CA">
        <w:t>увеличением</w:t>
      </w:r>
      <w:r w:rsidR="004D0E58" w:rsidRPr="00AF64CA">
        <w:t xml:space="preserve"> объем</w:t>
      </w:r>
      <w:r w:rsidRPr="00AF64CA">
        <w:t>ов</w:t>
      </w:r>
      <w:r w:rsidR="004D0E58" w:rsidRPr="00AF64CA">
        <w:t xml:space="preserve"> производства. </w:t>
      </w:r>
      <w:r w:rsidR="00C714AE">
        <w:t>Для получения отдачи</w:t>
      </w:r>
      <w:r w:rsidR="004D0E58" w:rsidRPr="00C714AE">
        <w:t xml:space="preserve"> постоянные из</w:t>
      </w:r>
      <w:r w:rsidR="004D0E58" w:rsidRPr="00C714AE">
        <w:softHyphen/>
        <w:t xml:space="preserve">держки </w:t>
      </w:r>
      <w:r w:rsidR="00C714AE" w:rsidRPr="00C714AE">
        <w:t>компании пере</w:t>
      </w:r>
      <w:r w:rsidR="004D0E58" w:rsidRPr="00C714AE">
        <w:t>ра</w:t>
      </w:r>
      <w:r w:rsidR="004D0E58" w:rsidRPr="00C714AE">
        <w:t>с</w:t>
      </w:r>
      <w:r w:rsidR="004D0E58" w:rsidRPr="00C714AE">
        <w:t>пре</w:t>
      </w:r>
      <w:r w:rsidR="00C714AE" w:rsidRPr="00C714AE">
        <w:t>деляются</w:t>
      </w:r>
      <w:r w:rsidR="004D0E58" w:rsidRPr="00C714AE">
        <w:t xml:space="preserve"> на </w:t>
      </w:r>
      <w:r w:rsidR="00C714AE" w:rsidRPr="00C714AE">
        <w:t>увеличившийся</w:t>
      </w:r>
      <w:r w:rsidR="004D0E58" w:rsidRPr="00C714AE">
        <w:t xml:space="preserve"> </w:t>
      </w:r>
      <w:r w:rsidR="00C714AE" w:rsidRPr="00C714AE">
        <w:t>масштаб</w:t>
      </w:r>
      <w:r w:rsidR="004D0E58" w:rsidRPr="00C714AE">
        <w:t xml:space="preserve"> производства</w:t>
      </w:r>
      <w:r w:rsidR="00C714AE">
        <w:t>, следовательно,</w:t>
      </w:r>
      <w:r w:rsidR="004D0E58" w:rsidRPr="00C714AE">
        <w:t xml:space="preserve"> </w:t>
      </w:r>
      <w:r w:rsidR="00C714AE" w:rsidRPr="00C714AE">
        <w:t>уменьшаются</w:t>
      </w:r>
      <w:r w:rsidR="004D0E58" w:rsidRPr="00C714AE">
        <w:t xml:space="preserve"> п</w:t>
      </w:r>
      <w:r w:rsidR="004D0E58" w:rsidRPr="00C714AE">
        <w:t>о</w:t>
      </w:r>
      <w:r w:rsidR="004D0E58" w:rsidRPr="00C714AE">
        <w:t>стоянные издержки</w:t>
      </w:r>
      <w:r w:rsidR="004D0E58" w:rsidRPr="00DC4879">
        <w:t>, как</w:t>
      </w:r>
      <w:r w:rsidR="00DC4879" w:rsidRPr="00DC4879">
        <w:t>, например,</w:t>
      </w:r>
      <w:r w:rsidR="004D0E58" w:rsidRPr="00DC4879">
        <w:t xml:space="preserve"> </w:t>
      </w:r>
      <w:r w:rsidR="008D0993">
        <w:t xml:space="preserve">оплата аренды, </w:t>
      </w:r>
      <w:r w:rsidR="00DC4879" w:rsidRPr="008D0993">
        <w:t>амортизационные отчисления</w:t>
      </w:r>
      <w:r w:rsidR="008D0993">
        <w:t>, зарпл</w:t>
      </w:r>
      <w:r w:rsidR="008D0993">
        <w:t>а</w:t>
      </w:r>
      <w:r w:rsidR="008D0993">
        <w:t xml:space="preserve">та персонала, уплата процентов и налоги. </w:t>
      </w:r>
      <w:r w:rsidR="00D07ED9">
        <w:t>При увеличении объемов производства затраты на производство 1 единицы продукции падают и растет прибыль от продаж.</w:t>
      </w:r>
    </w:p>
    <w:p w:rsidR="004D0E58" w:rsidRPr="004D0E58" w:rsidRDefault="00735125" w:rsidP="00C87CF2">
      <w:pPr>
        <w:spacing w:afterLines="100" w:after="240" w:line="360" w:lineRule="auto"/>
        <w:ind w:firstLine="709"/>
        <w:contextualSpacing/>
        <w:jc w:val="both"/>
      </w:pPr>
      <w:r>
        <w:t>«</w:t>
      </w:r>
      <w:r w:rsidR="00AF64CA" w:rsidRPr="00655B98">
        <w:t>Экономи</w:t>
      </w:r>
      <w:r w:rsidR="00655B98" w:rsidRPr="00655B98">
        <w:t>ей</w:t>
      </w:r>
      <w:r w:rsidR="00AF64CA" w:rsidRPr="00655B98">
        <w:t xml:space="preserve"> на охвате </w:t>
      </w:r>
      <w:r w:rsidR="00655B98" w:rsidRPr="00655B98">
        <w:t xml:space="preserve">или </w:t>
      </w:r>
      <w:r w:rsidR="004D0E58" w:rsidRPr="00735125">
        <w:t>производство</w:t>
      </w:r>
      <w:r w:rsidR="00042E76">
        <w:t>м</w:t>
      </w:r>
      <w:r w:rsidR="004D0E58" w:rsidRPr="00735125">
        <w:t xml:space="preserve"> более разнообразной продукции с теми же ресурсами называется использование определенного набора навыков или вида активов</w:t>
      </w:r>
      <w:r w:rsidRPr="00735125">
        <w:t xml:space="preserve"> для производства товаров или оказания услуг,</w:t>
      </w:r>
      <w:r w:rsidR="004D0E58" w:rsidRPr="00735125">
        <w:t xml:space="preserve"> </w:t>
      </w:r>
      <w:r w:rsidR="00042E76">
        <w:t>ранее не производивших</w:t>
      </w:r>
      <w:r w:rsidRPr="00735125">
        <w:t>ся</w:t>
      </w:r>
      <w:r w:rsidR="004D0E58" w:rsidRPr="00735125">
        <w:t>.</w:t>
      </w:r>
      <w:r>
        <w:t>»</w:t>
      </w:r>
      <w:r w:rsidRPr="00735125">
        <w:rPr>
          <w:vertAlign w:val="superscript"/>
        </w:rPr>
        <w:t xml:space="preserve"> </w:t>
      </w:r>
      <w:r w:rsidRPr="005C3B67">
        <w:rPr>
          <w:vertAlign w:val="superscript"/>
        </w:rPr>
        <w:footnoteReference w:id="6"/>
      </w:r>
      <w:r w:rsidR="00C87CF2">
        <w:t xml:space="preserve"> </w:t>
      </w:r>
      <w:r w:rsidR="004D0E58" w:rsidRPr="004D0E58">
        <w:t xml:space="preserve">В частности, когда компания </w:t>
      </w:r>
      <w:proofErr w:type="spellStart"/>
      <w:r w:rsidR="004D0E58" w:rsidRPr="004D0E58">
        <w:t>Proctor</w:t>
      </w:r>
      <w:proofErr w:type="spellEnd"/>
      <w:r w:rsidR="004D0E58" w:rsidRPr="004D0E58">
        <w:t xml:space="preserve"> &amp; </w:t>
      </w:r>
      <w:proofErr w:type="spellStart"/>
      <w:r w:rsidR="004D0E58" w:rsidRPr="004D0E58">
        <w:t>Gamble</w:t>
      </w:r>
      <w:proofErr w:type="spellEnd"/>
      <w:r w:rsidR="004D0E58" w:rsidRPr="004D0E58">
        <w:t xml:space="preserve"> </w:t>
      </w:r>
      <w:proofErr w:type="spellStart"/>
      <w:r w:rsidR="004D0E58" w:rsidRPr="004D0E58">
        <w:t>Company</w:t>
      </w:r>
      <w:proofErr w:type="spellEnd"/>
      <w:r w:rsidR="004D0E58" w:rsidRPr="004D0E58">
        <w:t xml:space="preserve"> приобрела </w:t>
      </w:r>
      <w:r w:rsidR="004D0E58" w:rsidRPr="004D0E58">
        <w:rPr>
          <w:lang w:val="en-US"/>
        </w:rPr>
        <w:t>Gillette</w:t>
      </w:r>
      <w:r w:rsidR="004D0E58" w:rsidRPr="004D0E58">
        <w:t xml:space="preserve"> в 2005 году, было объявл</w:t>
      </w:r>
      <w:r w:rsidR="004D0E58" w:rsidRPr="004D0E58">
        <w:t>е</w:t>
      </w:r>
      <w:r w:rsidR="004D0E58" w:rsidRPr="004D0E58">
        <w:t xml:space="preserve">но, что фирма рассчитывает получить от синергетического эффекта от $ 1-1,2 </w:t>
      </w:r>
      <w:proofErr w:type="gramStart"/>
      <w:r w:rsidR="004D0E58" w:rsidRPr="004D0E58">
        <w:t>млрд</w:t>
      </w:r>
      <w:proofErr w:type="gramEnd"/>
      <w:r w:rsidR="004D0E58" w:rsidRPr="004D0E58">
        <w:t xml:space="preserve"> долл</w:t>
      </w:r>
      <w:r w:rsidR="004D0E58" w:rsidRPr="004D0E58">
        <w:t>а</w:t>
      </w:r>
      <w:r w:rsidR="004D0E58" w:rsidRPr="004D0E58">
        <w:t>ров и увеличить плановый объем продаж до $750 к 2008 году на экономии за счет охвата.</w:t>
      </w:r>
      <w:r w:rsidR="004D0E58" w:rsidRPr="004D0E58">
        <w:rPr>
          <w:vertAlign w:val="superscript"/>
        </w:rPr>
        <w:footnoteReference w:id="7"/>
      </w:r>
    </w:p>
    <w:p w:rsidR="004D0E58" w:rsidRPr="004D0E58" w:rsidRDefault="004D0E58" w:rsidP="00C87CF2">
      <w:pPr>
        <w:spacing w:afterLines="100" w:after="240" w:line="360" w:lineRule="auto"/>
        <w:ind w:firstLine="709"/>
        <w:contextualSpacing/>
        <w:jc w:val="both"/>
      </w:pPr>
      <w:r w:rsidRPr="00276334">
        <w:rPr>
          <w:i/>
        </w:rPr>
        <w:t>Финансовой синергией</w:t>
      </w:r>
      <w:r w:rsidRPr="00276334">
        <w:t xml:space="preserve"> </w:t>
      </w:r>
      <w:r w:rsidR="005A1518" w:rsidRPr="00276334">
        <w:t xml:space="preserve"> или уменьшением</w:t>
      </w:r>
      <w:r w:rsidRPr="00276334">
        <w:t xml:space="preserve"> </w:t>
      </w:r>
      <w:r w:rsidR="005A1518" w:rsidRPr="00276334">
        <w:t>издержек</w:t>
      </w:r>
      <w:r w:rsidRPr="00276334">
        <w:t xml:space="preserve"> </w:t>
      </w:r>
      <w:r w:rsidR="005A1518" w:rsidRPr="00276334">
        <w:t>для</w:t>
      </w:r>
      <w:r w:rsidRPr="00276334">
        <w:t xml:space="preserve"> привлечени</w:t>
      </w:r>
      <w:r w:rsidR="005A1518" w:rsidRPr="00276334">
        <w:t>я</w:t>
      </w:r>
      <w:r w:rsidRPr="00276334">
        <w:t xml:space="preserve"> капитал</w:t>
      </w:r>
      <w:r w:rsidR="005A1518" w:rsidRPr="00276334">
        <w:t xml:space="preserve">а </w:t>
      </w:r>
      <w:r w:rsidR="00CA1550">
        <w:t>тр</w:t>
      </w:r>
      <w:r w:rsidR="00CA1550">
        <w:t>а</w:t>
      </w:r>
      <w:r w:rsidR="00CA1550">
        <w:t>диционно считается</w:t>
      </w:r>
      <w:r w:rsidRPr="00CA1550">
        <w:t xml:space="preserve"> </w:t>
      </w:r>
      <w:r w:rsidR="00CA1550">
        <w:t xml:space="preserve">воздействие сделки на финансовые показатели компании покупателя или уже новообразовавшегося лица, в результате сделки. </w:t>
      </w:r>
      <w:r w:rsidR="005C3B67" w:rsidRPr="005C3B67">
        <w:t>При достижении финансовой синергии издержки могут снизиться, если</w:t>
      </w:r>
      <w:r w:rsidRPr="005C3B67">
        <w:t xml:space="preserve"> </w:t>
      </w:r>
      <w:r w:rsidR="005C3B67" w:rsidRPr="005C3B67">
        <w:t>компании</w:t>
      </w:r>
      <w:r w:rsidRPr="005C3B67">
        <w:t xml:space="preserve"> получат </w:t>
      </w:r>
      <w:r w:rsidR="005C3B67" w:rsidRPr="005C3B67">
        <w:t>отдачу от масштаба</w:t>
      </w:r>
      <w:r w:rsidRPr="005C3B67">
        <w:t xml:space="preserve">. </w:t>
      </w:r>
      <w:r w:rsidR="00FA23D9" w:rsidRPr="00FA23D9">
        <w:t>Также могут снизиться затраты на капитал</w:t>
      </w:r>
      <w:r w:rsidRPr="00FA23D9">
        <w:t xml:space="preserve"> </w:t>
      </w:r>
      <w:r w:rsidRPr="00FA23D9">
        <w:softHyphen/>
      </w:r>
      <w:r w:rsidR="00FA23D9" w:rsidRPr="00FA23D9">
        <w:t xml:space="preserve">за счет </w:t>
      </w:r>
      <w:r w:rsidRPr="00FA23D9">
        <w:t>снижени</w:t>
      </w:r>
      <w:r w:rsidR="00FA23D9" w:rsidRPr="00FA23D9">
        <w:t>я</w:t>
      </w:r>
      <w:r w:rsidRPr="00FA23D9">
        <w:t xml:space="preserve"> </w:t>
      </w:r>
      <w:r w:rsidR="00FA23D9" w:rsidRPr="00FA23D9">
        <w:t>издержек</w:t>
      </w:r>
      <w:r w:rsidRPr="00FA23D9">
        <w:t xml:space="preserve"> на эмиссию ценных бумаг.</w:t>
      </w:r>
      <w:r w:rsidRPr="004D0E58">
        <w:t xml:space="preserve"> </w:t>
      </w:r>
    </w:p>
    <w:p w:rsidR="004D0E58" w:rsidRPr="004D0E58" w:rsidRDefault="004D0E58" w:rsidP="00C87CF2">
      <w:pPr>
        <w:spacing w:line="360" w:lineRule="auto"/>
        <w:ind w:firstLine="709"/>
        <w:contextualSpacing/>
        <w:jc w:val="both"/>
        <w:rPr>
          <w:u w:val="single"/>
        </w:rPr>
      </w:pPr>
      <w:r w:rsidRPr="004D0E58">
        <w:rPr>
          <w:u w:val="single"/>
        </w:rPr>
        <w:t>Диверсификация.</w:t>
      </w:r>
    </w:p>
    <w:p w:rsidR="004D0E58" w:rsidRPr="004D0E58" w:rsidRDefault="009715BB" w:rsidP="00C87CF2">
      <w:pPr>
        <w:spacing w:line="360" w:lineRule="auto"/>
        <w:ind w:firstLine="709"/>
        <w:contextualSpacing/>
        <w:jc w:val="both"/>
      </w:pPr>
      <w:r w:rsidRPr="009715BB">
        <w:t>Диверсификация подразумевает развитие компании в отрасли, отличной от ее обычной деятельности.</w:t>
      </w:r>
      <w:r w:rsidR="004D0E58" w:rsidRPr="009715BB">
        <w:t xml:space="preserve"> </w:t>
      </w:r>
      <w:r w:rsidR="007D6062" w:rsidRPr="007D6062">
        <w:t>Существует два основных направления диверсификации.</w:t>
      </w:r>
      <w:r w:rsidR="004D0E58" w:rsidRPr="007D6062">
        <w:t xml:space="preserve"> </w:t>
      </w:r>
      <w:r w:rsidR="000B7B0B">
        <w:t>Зач</w:t>
      </w:r>
      <w:r w:rsidR="000B7B0B">
        <w:t>а</w:t>
      </w:r>
      <w:r w:rsidR="000B7B0B">
        <w:t>стую компании стремятся сменить или расширить область функционирования для мин</w:t>
      </w:r>
      <w:r w:rsidR="000B7B0B">
        <w:t>и</w:t>
      </w:r>
      <w:r w:rsidR="000B7B0B">
        <w:t>мизации рисков и увеличения доходов.</w:t>
      </w:r>
      <w:r w:rsidR="004D0E58" w:rsidRPr="000B7B0B">
        <w:t xml:space="preserve"> </w:t>
      </w:r>
      <w:r w:rsidR="004D0E58" w:rsidRPr="00074575">
        <w:t>Втор</w:t>
      </w:r>
      <w:r w:rsidR="00074575" w:rsidRPr="00074575">
        <w:t>ым</w:t>
      </w:r>
      <w:r w:rsidR="004D0E58" w:rsidRPr="00074575">
        <w:t xml:space="preserve"> </w:t>
      </w:r>
      <w:r w:rsidR="00074575" w:rsidRPr="00074575">
        <w:t>направлением</w:t>
      </w:r>
      <w:r w:rsidR="00074575">
        <w:t xml:space="preserve"> развития компании путем диверсификации является</w:t>
      </w:r>
      <w:r w:rsidR="004D0E58" w:rsidRPr="004D0E58">
        <w:t xml:space="preserve"> обновл</w:t>
      </w:r>
      <w:r w:rsidR="00074575">
        <w:t>ение</w:t>
      </w:r>
      <w:r w:rsidR="004D0E58" w:rsidRPr="004D0E58">
        <w:t xml:space="preserve"> ассортимент</w:t>
      </w:r>
      <w:r w:rsidR="00074575">
        <w:t>а</w:t>
      </w:r>
      <w:r w:rsidR="004D0E58" w:rsidRPr="004D0E58">
        <w:t xml:space="preserve"> или проник</w:t>
      </w:r>
      <w:r w:rsidR="00074575">
        <w:t>новение</w:t>
      </w:r>
      <w:r w:rsidR="004D0E58" w:rsidRPr="004D0E58">
        <w:t xml:space="preserve"> на более перс</w:t>
      </w:r>
      <w:r w:rsidR="004D0E58" w:rsidRPr="004D0E58">
        <w:softHyphen/>
        <w:t>пективные рынки</w:t>
      </w:r>
      <w:r w:rsidR="00074575" w:rsidRPr="00074575">
        <w:t xml:space="preserve"> </w:t>
      </w:r>
      <w:r w:rsidR="00074575" w:rsidRPr="004D0E58">
        <w:t>фирм</w:t>
      </w:r>
      <w:r w:rsidR="00074575">
        <w:t>ой</w:t>
      </w:r>
      <w:r w:rsidR="004D0E58" w:rsidRPr="004D0E58">
        <w:t>.</w:t>
      </w:r>
      <w:r w:rsidR="004D0E58" w:rsidRPr="004D0E58">
        <w:rPr>
          <w:vertAlign w:val="superscript"/>
        </w:rPr>
        <w:footnoteReference w:id="8"/>
      </w:r>
      <w:r w:rsidR="004D0E58" w:rsidRPr="004D0E58">
        <w:t xml:space="preserve"> </w:t>
      </w:r>
      <w:proofErr w:type="gramStart"/>
      <w:r w:rsidR="004D0E58" w:rsidRPr="004D0E58">
        <w:t>Например, для получения доступа к нефтяным и нефтехим</w:t>
      </w:r>
      <w:r w:rsidR="004D0E58" w:rsidRPr="004D0E58">
        <w:t>и</w:t>
      </w:r>
      <w:r w:rsidR="004D0E58" w:rsidRPr="004D0E58">
        <w:t xml:space="preserve">ческим рынкам в Германии и соседствующих с ней странам, нефтяному концерну ОАО «Роснефть» выкупил у венесуэльского государственного концерна </w:t>
      </w:r>
      <w:r w:rsidR="004D0E58" w:rsidRPr="004D0E58">
        <w:rPr>
          <w:lang w:val="en-US"/>
        </w:rPr>
        <w:t>PDVSA</w:t>
      </w:r>
      <w:r w:rsidR="004D0E58" w:rsidRPr="004D0E58">
        <w:t>, принадлеж</w:t>
      </w:r>
      <w:r w:rsidR="004D0E58" w:rsidRPr="004D0E58">
        <w:t>а</w:t>
      </w:r>
      <w:r w:rsidR="004D0E58" w:rsidRPr="004D0E58">
        <w:t>щую ему 50%-</w:t>
      </w:r>
      <w:proofErr w:type="spellStart"/>
      <w:r w:rsidR="004D0E58" w:rsidRPr="004D0E58">
        <w:t>ную</w:t>
      </w:r>
      <w:proofErr w:type="spellEnd"/>
      <w:r w:rsidR="004D0E58" w:rsidRPr="004D0E58">
        <w:t xml:space="preserve"> долю в немецком предприятии </w:t>
      </w:r>
      <w:r w:rsidR="004D0E58" w:rsidRPr="004D0E58">
        <w:rPr>
          <w:lang w:val="en-US"/>
        </w:rPr>
        <w:t>Ruhr</w:t>
      </w:r>
      <w:r w:rsidR="004D0E58" w:rsidRPr="004D0E58">
        <w:t xml:space="preserve"> </w:t>
      </w:r>
      <w:proofErr w:type="spellStart"/>
      <w:r w:rsidR="004D0E58" w:rsidRPr="004D0E58">
        <w:rPr>
          <w:lang w:val="en-US"/>
        </w:rPr>
        <w:t>Oel</w:t>
      </w:r>
      <w:proofErr w:type="spellEnd"/>
      <w:r w:rsidR="004D0E58" w:rsidRPr="004D0E58">
        <w:t xml:space="preserve"> </w:t>
      </w:r>
      <w:r w:rsidR="004D0E58" w:rsidRPr="004D0E58">
        <w:rPr>
          <w:lang w:val="en-US"/>
        </w:rPr>
        <w:t>GmbH</w:t>
      </w:r>
      <w:r w:rsidR="004D0E58" w:rsidRPr="004D0E58">
        <w:t xml:space="preserve">, на сумму $ 1,6 млрд. </w:t>
      </w:r>
      <w:r w:rsidR="004D0E58" w:rsidRPr="004D0E58">
        <w:lastRenderedPageBreak/>
        <w:t xml:space="preserve">Помимо выхода на новые рынки, компания так же получила знания, опыт и техническое ноу-хау </w:t>
      </w:r>
      <w:r w:rsidR="004D0E58" w:rsidRPr="004D0E58">
        <w:rPr>
          <w:lang w:val="en-US"/>
        </w:rPr>
        <w:t>Ruhr</w:t>
      </w:r>
      <w:r w:rsidR="004D0E58" w:rsidRPr="004D0E58">
        <w:t xml:space="preserve"> </w:t>
      </w:r>
      <w:proofErr w:type="spellStart"/>
      <w:r w:rsidR="004D0E58" w:rsidRPr="004D0E58">
        <w:rPr>
          <w:lang w:val="en-US"/>
        </w:rPr>
        <w:t>Oel</w:t>
      </w:r>
      <w:proofErr w:type="spellEnd"/>
      <w:r w:rsidR="004D0E58" w:rsidRPr="004D0E58">
        <w:t xml:space="preserve"> </w:t>
      </w:r>
      <w:r w:rsidR="004D0E58" w:rsidRPr="004D0E58">
        <w:rPr>
          <w:lang w:val="en-US"/>
        </w:rPr>
        <w:t>GmbH</w:t>
      </w:r>
      <w:r w:rsidR="004D0E58" w:rsidRPr="004D0E58">
        <w:t xml:space="preserve">. </w:t>
      </w:r>
      <w:r w:rsidR="004D0E58" w:rsidRPr="004D0E58">
        <w:rPr>
          <w:vertAlign w:val="superscript"/>
        </w:rPr>
        <w:footnoteReference w:id="9"/>
      </w:r>
      <w:proofErr w:type="gramEnd"/>
    </w:p>
    <w:p w:rsidR="004D0E58" w:rsidRPr="004D0E58" w:rsidRDefault="004D0E58" w:rsidP="004D0E58">
      <w:pPr>
        <w:spacing w:line="360" w:lineRule="auto"/>
        <w:ind w:firstLine="709"/>
        <w:jc w:val="both"/>
        <w:rPr>
          <w:u w:val="single"/>
        </w:rPr>
      </w:pPr>
      <w:r w:rsidRPr="004D0E58">
        <w:rPr>
          <w:u w:val="single"/>
        </w:rPr>
        <w:t>Рыночное могущество.</w:t>
      </w:r>
    </w:p>
    <w:p w:rsidR="004D0E58" w:rsidRDefault="00134BE4" w:rsidP="00C87CF2">
      <w:pPr>
        <w:spacing w:afterLines="100" w:after="240" w:line="360" w:lineRule="auto"/>
        <w:ind w:firstLine="709"/>
        <w:contextualSpacing/>
        <w:jc w:val="both"/>
      </w:pPr>
      <w:r w:rsidRPr="00134BE4">
        <w:t>Исходя из мотива и целей, можно утверждать, что компании совершают сделки для монополизации рынка и завышения цен, что было бы невозможным при наличии больш</w:t>
      </w:r>
      <w:r w:rsidRPr="00134BE4">
        <w:t>о</w:t>
      </w:r>
      <w:r w:rsidRPr="00134BE4">
        <w:t>го количества конкурентов.</w:t>
      </w:r>
      <w:r w:rsidR="004D0E58" w:rsidRPr="004D0E58">
        <w:t xml:space="preserve"> Если рассматривать горизонтальные слияния в отраслях с м</w:t>
      </w:r>
      <w:r w:rsidR="004D0E58" w:rsidRPr="004D0E58">
        <w:t>а</w:t>
      </w:r>
      <w:r w:rsidR="004D0E58" w:rsidRPr="004D0E58">
        <w:t>лым количеством конкурентов, то объединившиеся компании будут занимать большую долю рынка и, следовательно, большими возможностями в области ценообразования в данной отрасли. Увеличивать рыночное могущество так же можно путем вертикальных слияний, посредством уменьшения зависимости от поставщиков. Располагая контролем над базовыми поставщиками сырья, компания сможет оказывать непосредственное вли</w:t>
      </w:r>
      <w:r w:rsidR="004D0E58" w:rsidRPr="004D0E58">
        <w:t>я</w:t>
      </w:r>
      <w:r w:rsidR="004D0E58" w:rsidRPr="004D0E58">
        <w:t>ние на конкурентов в данной области. Однако антимонопольный регулятор тщательно о</w:t>
      </w:r>
      <w:r w:rsidR="004D0E58" w:rsidRPr="004D0E58">
        <w:t>т</w:t>
      </w:r>
      <w:r w:rsidR="004D0E58" w:rsidRPr="004D0E58">
        <w:t xml:space="preserve">слеживает все сделки </w:t>
      </w:r>
      <w:r w:rsidR="004D0E58" w:rsidRPr="004D0E58">
        <w:rPr>
          <w:lang w:val="en-US"/>
        </w:rPr>
        <w:t>M</w:t>
      </w:r>
      <w:r w:rsidR="004D0E58" w:rsidRPr="004D0E58">
        <w:t>&amp;</w:t>
      </w:r>
      <w:r w:rsidR="004D0E58" w:rsidRPr="004D0E58">
        <w:rPr>
          <w:lang w:val="en-US"/>
        </w:rPr>
        <w:t>A</w:t>
      </w:r>
      <w:r w:rsidR="004D0E58" w:rsidRPr="004D0E58">
        <w:t>, следовательно, монополизировать отрасль таким путем не представляется. Исходя из исследования рынка авиаперевозок,</w:t>
      </w:r>
      <w:r w:rsidR="004D0E58" w:rsidRPr="004D0E58">
        <w:rPr>
          <w:vertAlign w:val="superscript"/>
        </w:rPr>
        <w:footnoteReference w:id="10"/>
      </w:r>
      <w:r w:rsidR="004D0E58" w:rsidRPr="004D0E58">
        <w:t xml:space="preserve"> слияния в авиационной отрасли в конце 1980</w:t>
      </w:r>
      <w:r w:rsidR="004D0E58" w:rsidRPr="004D0E58">
        <w:softHyphen/>
        <w:t>x годов действи</w:t>
      </w:r>
      <w:r w:rsidR="004D0E58" w:rsidRPr="004D0E58">
        <w:softHyphen/>
        <w:t>тельно привели к росту цен на авиабилеты.</w:t>
      </w:r>
    </w:p>
    <w:p w:rsidR="00B3330B" w:rsidRPr="004D0E58" w:rsidRDefault="00B3330B" w:rsidP="00B3330B">
      <w:pPr>
        <w:spacing w:line="360" w:lineRule="auto"/>
        <w:ind w:firstLine="709"/>
        <w:jc w:val="both"/>
      </w:pPr>
      <w:r w:rsidRPr="004D0E58">
        <w:rPr>
          <w:u w:val="single"/>
        </w:rPr>
        <w:t>Корректировка стратегии.</w:t>
      </w:r>
    </w:p>
    <w:p w:rsidR="00B3330B" w:rsidRPr="004D0E58" w:rsidRDefault="005D710B" w:rsidP="00B3330B">
      <w:pPr>
        <w:spacing w:after="200" w:line="360" w:lineRule="auto"/>
        <w:ind w:firstLine="709"/>
        <w:contextualSpacing/>
        <w:jc w:val="both"/>
      </w:pPr>
      <w:r w:rsidRPr="009071E4">
        <w:t>Исследователи полагают, что компании прибегают к сделкам слияния и поглощ</w:t>
      </w:r>
      <w:r w:rsidRPr="009071E4">
        <w:t>е</w:t>
      </w:r>
      <w:r w:rsidRPr="009071E4">
        <w:t>ния в условиях быстрых изменений на рынке для того чтобы быстрее реагировать</w:t>
      </w:r>
      <w:r w:rsidR="009071E4" w:rsidRPr="009071E4">
        <w:t xml:space="preserve"> и пр</w:t>
      </w:r>
      <w:r w:rsidR="009071E4" w:rsidRPr="009071E4">
        <w:t>и</w:t>
      </w:r>
      <w:r w:rsidR="009071E4" w:rsidRPr="009071E4">
        <w:t>спосабливаться</w:t>
      </w:r>
      <w:r w:rsidR="00B3330B" w:rsidRPr="009071E4">
        <w:t xml:space="preserve">. </w:t>
      </w:r>
      <w:r w:rsidR="009071E4">
        <w:t>Корректировать стратегию приходится в связи с технологическим пр</w:t>
      </w:r>
      <w:r w:rsidR="009071E4">
        <w:t>о</w:t>
      </w:r>
      <w:r w:rsidR="009071E4">
        <w:t>грессом или изменениями в законодательстве.</w:t>
      </w:r>
      <w:r w:rsidR="00B3330B" w:rsidRPr="004D0E58">
        <w:t xml:space="preserve"> Так, к примеру, в октябре 2010 года, инв</w:t>
      </w:r>
      <w:r w:rsidR="00B3330B" w:rsidRPr="004D0E58">
        <w:t>е</w:t>
      </w:r>
      <w:r w:rsidR="00B3330B" w:rsidRPr="004D0E58">
        <w:t>стиционная группа, в которую входит российское промышленное предприятие ОАО «К</w:t>
      </w:r>
      <w:r w:rsidR="00B3330B" w:rsidRPr="004D0E58">
        <w:t>и</w:t>
      </w:r>
      <w:r w:rsidR="00B3330B" w:rsidRPr="004D0E58">
        <w:t xml:space="preserve">ровский завод», в ходе увеличения основного капитала приобрела около 51% компании </w:t>
      </w:r>
      <w:r w:rsidR="00B3330B" w:rsidRPr="004D0E58">
        <w:rPr>
          <w:lang w:val="en-US"/>
        </w:rPr>
        <w:t>A</w:t>
      </w:r>
      <w:r w:rsidR="00B3330B" w:rsidRPr="004D0E58">
        <w:t xml:space="preserve">. </w:t>
      </w:r>
      <w:proofErr w:type="spellStart"/>
      <w:r w:rsidR="00B3330B" w:rsidRPr="004D0E58">
        <w:rPr>
          <w:lang w:val="en-US"/>
        </w:rPr>
        <w:t>Monforts</w:t>
      </w:r>
      <w:proofErr w:type="spellEnd"/>
      <w:r w:rsidR="00B3330B" w:rsidRPr="004D0E58">
        <w:t xml:space="preserve"> </w:t>
      </w:r>
      <w:proofErr w:type="spellStart"/>
      <w:r w:rsidR="00B3330B" w:rsidRPr="004D0E58">
        <w:rPr>
          <w:lang w:val="en-US"/>
        </w:rPr>
        <w:t>Werkzeugmaschinen</w:t>
      </w:r>
      <w:proofErr w:type="spellEnd"/>
      <w:r w:rsidR="00B3330B" w:rsidRPr="004D0E58">
        <w:t xml:space="preserve"> </w:t>
      </w:r>
      <w:r w:rsidR="00B3330B" w:rsidRPr="004D0E58">
        <w:rPr>
          <w:lang w:val="en-US"/>
        </w:rPr>
        <w:t>GmbH</w:t>
      </w:r>
      <w:r w:rsidR="00B3330B" w:rsidRPr="004D0E58">
        <w:t xml:space="preserve"> &amp; </w:t>
      </w:r>
      <w:r w:rsidR="00B3330B" w:rsidRPr="004D0E58">
        <w:rPr>
          <w:lang w:val="en-US"/>
        </w:rPr>
        <w:t>Co</w:t>
      </w:r>
      <w:r w:rsidR="00B3330B" w:rsidRPr="004D0E58">
        <w:t xml:space="preserve">. </w:t>
      </w:r>
      <w:r w:rsidR="00B3330B" w:rsidRPr="004D0E58">
        <w:rPr>
          <w:lang w:val="en-US"/>
        </w:rPr>
        <w:t>KG</w:t>
      </w:r>
      <w:r w:rsidR="00B3330B" w:rsidRPr="004D0E58">
        <w:t>, являющейся ориентированным на технол</w:t>
      </w:r>
      <w:r w:rsidR="00B3330B" w:rsidRPr="004D0E58">
        <w:t>о</w:t>
      </w:r>
      <w:r w:rsidR="00B3330B" w:rsidRPr="004D0E58">
        <w:t>гии промышленным предприятием, а также заказчиком ОАО «Кировский завод».</w:t>
      </w:r>
      <w:r w:rsidR="00B3330B" w:rsidRPr="004D0E58">
        <w:rPr>
          <w:vertAlign w:val="superscript"/>
        </w:rPr>
        <w:footnoteReference w:id="11"/>
      </w:r>
    </w:p>
    <w:p w:rsidR="00B3330B" w:rsidRPr="004D0E58" w:rsidRDefault="00B3330B" w:rsidP="00B3330B">
      <w:pPr>
        <w:spacing w:after="200" w:line="360" w:lineRule="auto"/>
        <w:ind w:firstLine="709"/>
        <w:contextualSpacing/>
        <w:jc w:val="both"/>
        <w:rPr>
          <w:u w:val="single"/>
        </w:rPr>
      </w:pPr>
      <w:r w:rsidRPr="004D0E58">
        <w:rPr>
          <w:u w:val="single"/>
        </w:rPr>
        <w:t>Самоуверенность управляющих.</w:t>
      </w:r>
    </w:p>
    <w:p w:rsidR="00B3330B" w:rsidRPr="004D0E58" w:rsidRDefault="008C4FD0" w:rsidP="00B3330B">
      <w:pPr>
        <w:spacing w:afterLines="100" w:after="240" w:line="360" w:lineRule="auto"/>
        <w:ind w:firstLine="709"/>
        <w:contextualSpacing/>
        <w:jc w:val="both"/>
      </w:pPr>
      <w:r w:rsidRPr="008C4FD0">
        <w:t>Данная т</w:t>
      </w:r>
      <w:r w:rsidR="00B3330B" w:rsidRPr="008C4FD0">
        <w:t xml:space="preserve">еория </w:t>
      </w:r>
      <w:r w:rsidRPr="008C4FD0">
        <w:t>объясняет причины покупки активов, даже если их стоимость равна или даже выше рыночной.</w:t>
      </w:r>
      <w:r w:rsidR="00B3330B" w:rsidRPr="008C4FD0">
        <w:t xml:space="preserve"> </w:t>
      </w:r>
      <w:r w:rsidRPr="008C4FD0">
        <w:t>Когда менеджмент компании излишне самонадеянно относ</w:t>
      </w:r>
      <w:r>
        <w:t>ится к оценке компаний и</w:t>
      </w:r>
      <w:r w:rsidRPr="008C4FD0">
        <w:t xml:space="preserve"> переценивает возможную синергию, возникает данная проблема</w:t>
      </w:r>
      <w:r>
        <w:t xml:space="preserve"> с приобретением компаний</w:t>
      </w:r>
      <w:r w:rsidRPr="008C4FD0">
        <w:t>.</w:t>
      </w:r>
      <w:r w:rsidR="00B3330B" w:rsidRPr="008C4FD0">
        <w:t xml:space="preserve"> </w:t>
      </w:r>
      <w:r w:rsidR="00CE16BE" w:rsidRPr="00CE16BE">
        <w:t>Однако даже в том случае, если расчет стоимости компании верен,</w:t>
      </w:r>
      <w:r w:rsidR="00B3330B" w:rsidRPr="00CE16BE">
        <w:t xml:space="preserve"> компа</w:t>
      </w:r>
      <w:r w:rsidR="00CE16BE" w:rsidRPr="00CE16BE">
        <w:t xml:space="preserve">ния-покупатель </w:t>
      </w:r>
      <w:r w:rsidR="00B3330B" w:rsidRPr="00CE16BE">
        <w:t>может переплатить из</w:t>
      </w:r>
      <w:r w:rsidR="00B3330B" w:rsidRPr="00CE16BE">
        <w:softHyphen/>
        <w:t>-за конкурен</w:t>
      </w:r>
      <w:r w:rsidR="00CE16BE" w:rsidRPr="00CE16BE">
        <w:t>ции на рынке и прочих ж</w:t>
      </w:r>
      <w:r w:rsidR="00CE16BE" w:rsidRPr="00CE16BE">
        <w:t>е</w:t>
      </w:r>
      <w:r w:rsidR="00CE16BE" w:rsidRPr="00CE16BE">
        <w:t>лающих приобрести данные активы</w:t>
      </w:r>
      <w:r w:rsidR="00B3330B" w:rsidRPr="00CE16BE">
        <w:t>.</w:t>
      </w:r>
      <w:r w:rsidR="00CE16BE" w:rsidRPr="00CE16BE">
        <w:t xml:space="preserve"> Компания цель будет получать различные предлож</w:t>
      </w:r>
      <w:r w:rsidR="00CE16BE" w:rsidRPr="00CE16BE">
        <w:t>е</w:t>
      </w:r>
      <w:r w:rsidR="00CE16BE" w:rsidRPr="00CE16BE">
        <w:lastRenderedPageBreak/>
        <w:t>ния, поэтому стоимость покупки закономерно возрастет.</w:t>
      </w:r>
      <w:r w:rsidR="00B3330B" w:rsidRPr="00CE16BE">
        <w:t xml:space="preserve"> </w:t>
      </w:r>
      <w:r w:rsidR="00CE16BE" w:rsidRPr="00CE16BE">
        <w:t>В случае если управляющие п</w:t>
      </w:r>
      <w:r w:rsidR="00CE16BE" w:rsidRPr="00CE16BE">
        <w:t>е</w:t>
      </w:r>
      <w:r w:rsidR="00CE16BE" w:rsidRPr="00CE16BE">
        <w:t>реоценивают компанию и платят за покупку ее активов сумму, большую, чем их рыночная стоимость</w:t>
      </w:r>
      <w:r w:rsidR="00CE16BE">
        <w:t>,</w:t>
      </w:r>
      <w:r w:rsidR="00CE16BE" w:rsidRPr="00CE16BE">
        <w:t xml:space="preserve"> </w:t>
      </w:r>
      <w:r w:rsidR="00CE16BE">
        <w:t xml:space="preserve">то такую ситуацию </w:t>
      </w:r>
      <w:r w:rsidR="00CE16BE" w:rsidRPr="00CE16BE">
        <w:t xml:space="preserve">называют «проклятьем победителя». </w:t>
      </w:r>
    </w:p>
    <w:p w:rsidR="004D0E58" w:rsidRPr="004D0E58" w:rsidRDefault="004D0E58" w:rsidP="00C87CF2">
      <w:pPr>
        <w:spacing w:line="360" w:lineRule="auto"/>
        <w:ind w:firstLine="709"/>
        <w:contextualSpacing/>
        <w:jc w:val="both"/>
        <w:rPr>
          <w:u w:val="single"/>
        </w:rPr>
      </w:pPr>
      <w:r w:rsidRPr="004D0E58">
        <w:rPr>
          <w:u w:val="single"/>
        </w:rPr>
        <w:t>Покупка недооцененных активов (коэффициент q).</w:t>
      </w:r>
    </w:p>
    <w:p w:rsidR="004D0E58" w:rsidRDefault="0052467F" w:rsidP="00C87CF2">
      <w:pPr>
        <w:spacing w:afterLines="100" w:after="240" w:line="360" w:lineRule="auto"/>
        <w:ind w:firstLine="709"/>
        <w:contextualSpacing/>
        <w:jc w:val="both"/>
      </w:pPr>
      <w:r w:rsidRPr="0052467F">
        <w:t>«</w:t>
      </w:r>
      <w:r w:rsidR="005D710B">
        <w:t xml:space="preserve">Коэффициент </w:t>
      </w:r>
      <w:proofErr w:type="spellStart"/>
      <w:r w:rsidR="005D710B">
        <w:t>Тобина</w:t>
      </w:r>
      <w:proofErr w:type="spellEnd"/>
      <w:r w:rsidR="005D710B">
        <w:t xml:space="preserve"> – это</w:t>
      </w:r>
      <w:r w:rsidR="004D0E58" w:rsidRPr="0052467F">
        <w:t xml:space="preserve"> отношение рыночной стоимости акций поглощаемой компании к затратам на замещение ее активов</w:t>
      </w:r>
      <w:proofErr w:type="gramStart"/>
      <w:r w:rsidR="004D0E58" w:rsidRPr="0052467F">
        <w:t>.</w:t>
      </w:r>
      <w:r w:rsidRPr="0052467F">
        <w:t>»</w:t>
      </w:r>
      <w:r w:rsidR="00735125">
        <w:t>.</w:t>
      </w:r>
      <w:r w:rsidRPr="0052467F">
        <w:rPr>
          <w:vertAlign w:val="superscript"/>
        </w:rPr>
        <w:footnoteReference w:id="12"/>
      </w:r>
      <w:r>
        <w:t xml:space="preserve"> </w:t>
      </w:r>
      <w:proofErr w:type="gramEnd"/>
      <w:r w:rsidRPr="0052467F">
        <w:t>При определённых потрясениях на рынке стоимость компаний может не соответствовать реальной стоимости ее активов</w:t>
      </w:r>
      <w:r w:rsidR="004D0E58" w:rsidRPr="0052467F">
        <w:t xml:space="preserve">, </w:t>
      </w:r>
      <w:r w:rsidRPr="0052467F">
        <w:t xml:space="preserve">ее </w:t>
      </w:r>
      <w:r w:rsidR="004D0E58" w:rsidRPr="0052467F">
        <w:t>рыночная стоимость</w:t>
      </w:r>
      <w:r w:rsidRPr="0052467F">
        <w:t xml:space="preserve"> будет</w:t>
      </w:r>
      <w:r w:rsidR="004D0E58" w:rsidRPr="0052467F">
        <w:t xml:space="preserve"> меньше затрат</w:t>
      </w:r>
      <w:r w:rsidRPr="0052467F">
        <w:t xml:space="preserve"> на приобретение схожих активов вне сделки </w:t>
      </w:r>
      <w:r w:rsidRPr="0052467F">
        <w:rPr>
          <w:lang w:val="en-US"/>
        </w:rPr>
        <w:t>M</w:t>
      </w:r>
      <w:r w:rsidRPr="0052467F">
        <w:t>&amp;</w:t>
      </w:r>
      <w:r w:rsidRPr="0052467F">
        <w:rPr>
          <w:lang w:val="en-US"/>
        </w:rPr>
        <w:t>A</w:t>
      </w:r>
      <w:r w:rsidR="004D0E58" w:rsidRPr="0052467F">
        <w:t xml:space="preserve"> (т. е. коэффициент q &lt; 1).</w:t>
      </w:r>
      <w:r w:rsidR="004D0E58" w:rsidRPr="004D0E58">
        <w:t xml:space="preserve"> Эта теория позволяет объяснить причину совершения сд</w:t>
      </w:r>
      <w:r w:rsidR="004D0E58" w:rsidRPr="004D0E58">
        <w:t>е</w:t>
      </w:r>
      <w:r w:rsidR="004D0E58" w:rsidRPr="004D0E58">
        <w:t xml:space="preserve">лок, когда цены на акции падают ниже балансовой стоимости фирмы. К примеру, когда компания </w:t>
      </w:r>
      <w:proofErr w:type="spellStart"/>
      <w:r w:rsidR="004D0E58" w:rsidRPr="004D0E58">
        <w:t>Valero</w:t>
      </w:r>
      <w:proofErr w:type="spellEnd"/>
      <w:r w:rsidR="004D0E58" w:rsidRPr="004D0E58">
        <w:t xml:space="preserve"> </w:t>
      </w:r>
      <w:proofErr w:type="spellStart"/>
      <w:r w:rsidR="004D0E58" w:rsidRPr="004D0E58">
        <w:t>Energy</w:t>
      </w:r>
      <w:proofErr w:type="spellEnd"/>
      <w:r w:rsidR="004D0E58" w:rsidRPr="004D0E58">
        <w:t xml:space="preserve"> </w:t>
      </w:r>
      <w:proofErr w:type="spellStart"/>
      <w:r w:rsidR="004D0E58" w:rsidRPr="004D0E58">
        <w:t>Corp</w:t>
      </w:r>
      <w:proofErr w:type="spellEnd"/>
      <w:r w:rsidR="004D0E58" w:rsidRPr="004D0E58">
        <w:t>. стала крупнейшей нефтеперерабатывающей фирмой в С</w:t>
      </w:r>
      <w:r w:rsidR="004D0E58" w:rsidRPr="004D0E58">
        <w:t>е</w:t>
      </w:r>
      <w:r w:rsidR="004D0E58" w:rsidRPr="004D0E58">
        <w:t xml:space="preserve">верной Америке, приобретя </w:t>
      </w:r>
      <w:proofErr w:type="spellStart"/>
      <w:r w:rsidR="004D0E58" w:rsidRPr="004D0E58">
        <w:t>Premcor</w:t>
      </w:r>
      <w:proofErr w:type="spellEnd"/>
      <w:r w:rsidR="004D0E58" w:rsidRPr="004D0E58">
        <w:t xml:space="preserve"> </w:t>
      </w:r>
      <w:proofErr w:type="spellStart"/>
      <w:r w:rsidR="004D0E58" w:rsidRPr="004D0E58">
        <w:t>Inc</w:t>
      </w:r>
      <w:proofErr w:type="spellEnd"/>
      <w:r w:rsidR="004D0E58" w:rsidRPr="004D0E58">
        <w:t xml:space="preserve"> за $ 8 млрд. в 2005 году. Постройка нового завода с эквивалентной мощностью обошлось бы </w:t>
      </w:r>
      <w:r w:rsidR="004D0E58" w:rsidRPr="004D0E58">
        <w:rPr>
          <w:lang w:val="en-US"/>
        </w:rPr>
        <w:t>Valero</w:t>
      </w:r>
      <w:r w:rsidR="004D0E58" w:rsidRPr="004D0E58">
        <w:t xml:space="preserve"> дороже на 40%.</w:t>
      </w:r>
      <w:r w:rsidR="004D0E58" w:rsidRPr="004D0E58">
        <w:rPr>
          <w:vertAlign w:val="superscript"/>
        </w:rPr>
        <w:footnoteReference w:id="13"/>
      </w:r>
    </w:p>
    <w:p w:rsidR="001C05E5" w:rsidRPr="004D0E58" w:rsidRDefault="001C05E5" w:rsidP="001C05E5">
      <w:pPr>
        <w:spacing w:line="360" w:lineRule="auto"/>
        <w:ind w:firstLine="567"/>
        <w:jc w:val="both"/>
        <w:rPr>
          <w:u w:val="single"/>
        </w:rPr>
      </w:pPr>
      <w:r w:rsidRPr="004D0E58">
        <w:rPr>
          <w:u w:val="single"/>
        </w:rPr>
        <w:t>Неудачное управление (проблема агентских отношений).</w:t>
      </w:r>
    </w:p>
    <w:p w:rsidR="001C05E5" w:rsidRPr="004D0E58" w:rsidRDefault="001C05E5" w:rsidP="001C05E5">
      <w:pPr>
        <w:spacing w:line="360" w:lineRule="auto"/>
        <w:ind w:firstLine="567"/>
        <w:jc w:val="both"/>
      </w:pPr>
      <w:r w:rsidRPr="00205367">
        <w:t xml:space="preserve">Проблема агентских </w:t>
      </w:r>
      <w:r w:rsidR="00205367">
        <w:t>отношений возникает, когда д</w:t>
      </w:r>
      <w:r w:rsidR="00205367" w:rsidRPr="00205367">
        <w:t>ействия управляющих ид</w:t>
      </w:r>
      <w:r w:rsidR="00205367">
        <w:t>ут</w:t>
      </w:r>
      <w:r w:rsidR="00205367" w:rsidRPr="00205367">
        <w:t xml:space="preserve"> вра</w:t>
      </w:r>
      <w:r w:rsidR="00205367" w:rsidRPr="00205367">
        <w:t>з</w:t>
      </w:r>
      <w:r w:rsidR="00205367" w:rsidRPr="00205367">
        <w:t xml:space="preserve">рез с интересами </w:t>
      </w:r>
      <w:proofErr w:type="spellStart"/>
      <w:r w:rsidR="00205367" w:rsidRPr="00205367">
        <w:t>стейкхолдеров</w:t>
      </w:r>
      <w:proofErr w:type="spellEnd"/>
      <w:r w:rsidR="00205367" w:rsidRPr="00205367">
        <w:t xml:space="preserve">, </w:t>
      </w:r>
      <w:r w:rsidR="00205367">
        <w:t xml:space="preserve">и </w:t>
      </w:r>
      <w:r w:rsidR="00205367" w:rsidRPr="00205367">
        <w:t xml:space="preserve">сделки совершатся для удержания </w:t>
      </w:r>
      <w:r w:rsidR="00205367">
        <w:t xml:space="preserve">управляющих </w:t>
      </w:r>
      <w:r w:rsidR="00205367" w:rsidRPr="00205367">
        <w:t>поз</w:t>
      </w:r>
      <w:r w:rsidR="00205367" w:rsidRPr="00205367">
        <w:t>и</w:t>
      </w:r>
      <w:r w:rsidR="00205367" w:rsidRPr="00205367">
        <w:t>ций</w:t>
      </w:r>
      <w:r w:rsidR="00205367">
        <w:t xml:space="preserve">, если </w:t>
      </w:r>
      <w:r w:rsidRPr="00205367">
        <w:t xml:space="preserve">управляющие </w:t>
      </w:r>
      <w:r w:rsidR="00205367">
        <w:t>располагают</w:t>
      </w:r>
      <w:r w:rsidRPr="00205367">
        <w:t xml:space="preserve"> лишь небольшой долей всех акций. </w:t>
      </w:r>
      <w:r w:rsidR="006E18EA" w:rsidRPr="006E18EA">
        <w:t>Проблема может усугубиться, если у акций много держателей, так как издержки в итоге распределяются между всеми</w:t>
      </w:r>
      <w:r w:rsidR="006E18EA">
        <w:t xml:space="preserve"> в небольшом количестве</w:t>
      </w:r>
      <w:r w:rsidR="000F56E3">
        <w:t>, поэтому игнорировать данную проблему могут д</w:t>
      </w:r>
      <w:r w:rsidR="000F56E3">
        <w:t>о</w:t>
      </w:r>
      <w:r w:rsidR="000F56E3">
        <w:t>вольно долго.</w:t>
      </w:r>
      <w:r w:rsidRPr="006E18EA">
        <w:t xml:space="preserve"> </w:t>
      </w:r>
      <w:r w:rsidR="00276778" w:rsidRPr="00276778">
        <w:t>Проблема плохого управления накладывает отпечаток и на основные пок</w:t>
      </w:r>
      <w:r w:rsidR="00276778" w:rsidRPr="00276778">
        <w:t>а</w:t>
      </w:r>
      <w:r w:rsidR="00276778" w:rsidRPr="00276778">
        <w:t xml:space="preserve">затели, что в итоге влияет на курс акций, превращая компанию в потенциальную мишень для менеджеров, которые могут </w:t>
      </w:r>
      <w:proofErr w:type="gramStart"/>
      <w:r w:rsidR="00276778" w:rsidRPr="00276778">
        <w:t>посчитать</w:t>
      </w:r>
      <w:proofErr w:type="gramEnd"/>
      <w:r w:rsidR="00276778" w:rsidRPr="00276778">
        <w:t xml:space="preserve"> что ее акции недооценены.</w:t>
      </w:r>
    </w:p>
    <w:p w:rsidR="004D0E58" w:rsidRPr="004D0E58" w:rsidRDefault="004D0E58" w:rsidP="00C87CF2">
      <w:pPr>
        <w:spacing w:line="360" w:lineRule="auto"/>
        <w:ind w:firstLine="709"/>
        <w:contextualSpacing/>
        <w:jc w:val="both"/>
        <w:rPr>
          <w:u w:val="single"/>
        </w:rPr>
      </w:pPr>
      <w:r w:rsidRPr="004D0E58">
        <w:rPr>
          <w:u w:val="single"/>
        </w:rPr>
        <w:t>Налоговые соображения.</w:t>
      </w:r>
    </w:p>
    <w:p w:rsidR="004D0E58" w:rsidRPr="004D0E58" w:rsidRDefault="006E6938" w:rsidP="00C87CF2">
      <w:pPr>
        <w:spacing w:afterLines="100" w:after="240" w:line="360" w:lineRule="auto"/>
        <w:ind w:firstLine="720"/>
        <w:contextualSpacing/>
        <w:jc w:val="both"/>
      </w:pPr>
      <w:r w:rsidRPr="006E6938">
        <w:t>В качестве целей совершения сделки могут выступать налоговые соображения по ряду причин</w:t>
      </w:r>
      <w:r w:rsidR="004D0E58" w:rsidRPr="006E6938">
        <w:t xml:space="preserve">. </w:t>
      </w:r>
      <w:r w:rsidR="00145A3A" w:rsidRPr="00145A3A">
        <w:t xml:space="preserve">Прежде </w:t>
      </w:r>
      <w:proofErr w:type="gramStart"/>
      <w:r w:rsidR="00145A3A" w:rsidRPr="00145A3A">
        <w:t>всего</w:t>
      </w:r>
      <w:proofErr w:type="gramEnd"/>
      <w:r w:rsidR="00145A3A" w:rsidRPr="00145A3A">
        <w:t xml:space="preserve"> это получение налоговых кредитов или льгот в связи с тем, что у приобретаемой компании остались чистые операционные</w:t>
      </w:r>
      <w:r w:rsidR="00145A3A">
        <w:t xml:space="preserve"> убытки</w:t>
      </w:r>
      <w:r w:rsidR="004D0E58" w:rsidRPr="00145A3A">
        <w:t xml:space="preserve">, </w:t>
      </w:r>
      <w:r w:rsidR="00145A3A">
        <w:t>и</w:t>
      </w:r>
      <w:r w:rsidR="004D0E58" w:rsidRPr="00145A3A">
        <w:t xml:space="preserve"> </w:t>
      </w:r>
      <w:r w:rsidR="00145A3A">
        <w:t>возможность</w:t>
      </w:r>
      <w:r w:rsidR="004D0E58" w:rsidRPr="00145A3A">
        <w:t xml:space="preserve"> переоценить приобретенные активы.</w:t>
      </w:r>
      <w:r w:rsidR="004D0E58" w:rsidRPr="004D0E58">
        <w:t xml:space="preserve"> Так, к примеру, одним из мотивов несостоявшейся в 2014 году сделки между </w:t>
      </w:r>
      <w:proofErr w:type="spellStart"/>
      <w:r w:rsidR="004D0E58" w:rsidRPr="004D0E58">
        <w:t>AbbVie</w:t>
      </w:r>
      <w:proofErr w:type="spellEnd"/>
      <w:r w:rsidR="004D0E58" w:rsidRPr="004D0E58">
        <w:t xml:space="preserve"> и </w:t>
      </w:r>
      <w:proofErr w:type="spellStart"/>
      <w:r w:rsidR="004D0E58" w:rsidRPr="004D0E58">
        <w:t>Shire</w:t>
      </w:r>
      <w:proofErr w:type="spellEnd"/>
      <w:r w:rsidR="004D0E58" w:rsidRPr="004D0E58">
        <w:t xml:space="preserve"> называют налоговую инверсию. В июле амер</w:t>
      </w:r>
      <w:r w:rsidR="004D0E58" w:rsidRPr="004D0E58">
        <w:t>и</w:t>
      </w:r>
      <w:r w:rsidR="004D0E58" w:rsidRPr="004D0E58">
        <w:t xml:space="preserve">канская фармацевтическая компания </w:t>
      </w:r>
      <w:proofErr w:type="spellStart"/>
      <w:r w:rsidR="004D0E58" w:rsidRPr="004D0E58">
        <w:t>AbbVie</w:t>
      </w:r>
      <w:proofErr w:type="spellEnd"/>
      <w:r w:rsidR="004D0E58" w:rsidRPr="004D0E58">
        <w:t xml:space="preserve"> договорилась о приобретении </w:t>
      </w:r>
      <w:proofErr w:type="spellStart"/>
      <w:r w:rsidR="004D0E58" w:rsidRPr="004D0E58">
        <w:t>Shire</w:t>
      </w:r>
      <w:proofErr w:type="spellEnd"/>
      <w:r w:rsidR="004D0E58" w:rsidRPr="004D0E58">
        <w:t xml:space="preserve"> приме</w:t>
      </w:r>
      <w:r w:rsidR="004D0E58" w:rsidRPr="004D0E58">
        <w:t>р</w:t>
      </w:r>
      <w:r w:rsidR="004D0E58" w:rsidRPr="004D0E58">
        <w:t xml:space="preserve">но за $54 млрд. По данным </w:t>
      </w:r>
      <w:r w:rsidR="004D0E58" w:rsidRPr="004D0E58">
        <w:rPr>
          <w:lang w:val="en-US"/>
        </w:rPr>
        <w:t>WSJ</w:t>
      </w:r>
      <w:r w:rsidR="004D0E58" w:rsidRPr="004D0E58">
        <w:t xml:space="preserve">, сделка могла стать крупнейшим слиянием в этом году. После завершения слияния </w:t>
      </w:r>
      <w:proofErr w:type="spellStart"/>
      <w:r w:rsidR="004D0E58" w:rsidRPr="004D0E58">
        <w:t>AbbVie</w:t>
      </w:r>
      <w:proofErr w:type="spellEnd"/>
      <w:r w:rsidR="004D0E58" w:rsidRPr="004D0E58">
        <w:t xml:space="preserve"> собиралась перейти под налоговую юрисдикцию В</w:t>
      </w:r>
      <w:r w:rsidR="004D0E58" w:rsidRPr="004D0E58">
        <w:t>е</w:t>
      </w:r>
      <w:r w:rsidR="004D0E58" w:rsidRPr="004D0E58">
        <w:t>ликобритании (</w:t>
      </w:r>
      <w:proofErr w:type="spellStart"/>
      <w:r w:rsidR="004D0E58" w:rsidRPr="004D0E58">
        <w:t>Shire</w:t>
      </w:r>
      <w:proofErr w:type="spellEnd"/>
      <w:r w:rsidR="004D0E58" w:rsidRPr="004D0E58">
        <w:t xml:space="preserve"> </w:t>
      </w:r>
      <w:proofErr w:type="gramStart"/>
      <w:r w:rsidR="004D0E58" w:rsidRPr="004D0E58">
        <w:t>зарегистрирована</w:t>
      </w:r>
      <w:proofErr w:type="gramEnd"/>
      <w:r w:rsidR="004D0E58" w:rsidRPr="004D0E58">
        <w:t xml:space="preserve"> на британском острове Джерси), что позволило бы </w:t>
      </w:r>
      <w:r w:rsidR="004D0E58" w:rsidRPr="004D0E58">
        <w:lastRenderedPageBreak/>
        <w:t>ей снизить налоговую нагрузку.</w:t>
      </w:r>
      <w:r w:rsidR="004D0E58" w:rsidRPr="004D0E58">
        <w:rPr>
          <w:vertAlign w:val="superscript"/>
        </w:rPr>
        <w:footnoteReference w:id="14"/>
      </w:r>
      <w:r w:rsidR="004D0E58" w:rsidRPr="004D0E58">
        <w:t xml:space="preserve"> Второй аспект связан со статусом сделки как не облаг</w:t>
      </w:r>
      <w:r w:rsidR="004D0E58" w:rsidRPr="004D0E58">
        <w:t>а</w:t>
      </w:r>
      <w:r w:rsidR="004D0E58" w:rsidRPr="004D0E58">
        <w:t xml:space="preserve">емой налогом. </w:t>
      </w:r>
    </w:p>
    <w:p w:rsidR="004D0E58" w:rsidRPr="004D0E58" w:rsidRDefault="004D0E58" w:rsidP="002A61A0">
      <w:pPr>
        <w:spacing w:afterLines="100" w:after="240" w:line="360" w:lineRule="auto"/>
        <w:ind w:firstLine="709"/>
        <w:contextualSpacing/>
      </w:pPr>
      <w:r w:rsidRPr="004D0E58">
        <w:t>Итак, исходя из перечисленных определений и законодательной базы, можно с</w:t>
      </w:r>
      <w:r w:rsidRPr="004D0E58">
        <w:t>о</w:t>
      </w:r>
      <w:r w:rsidRPr="004D0E58">
        <w:t xml:space="preserve">ставить ряд основных признаков, относящих рыночные транзакции к сделкам типа </w:t>
      </w:r>
      <w:r w:rsidRPr="004D0E58">
        <w:rPr>
          <w:lang w:val="en-US"/>
        </w:rPr>
        <w:t>M</w:t>
      </w:r>
      <w:r w:rsidRPr="004D0E58">
        <w:t>&amp;</w:t>
      </w:r>
      <w:r w:rsidRPr="004D0E58">
        <w:rPr>
          <w:lang w:val="en-US"/>
        </w:rPr>
        <w:t>A</w:t>
      </w:r>
      <w:r w:rsidRPr="004D0E58">
        <w:t>:</w:t>
      </w:r>
    </w:p>
    <w:p w:rsidR="004D0E58" w:rsidRPr="004D0E58" w:rsidRDefault="004D0E58" w:rsidP="002A61A0">
      <w:pPr>
        <w:numPr>
          <w:ilvl w:val="0"/>
          <w:numId w:val="7"/>
        </w:numPr>
        <w:spacing w:afterLines="100" w:after="240" w:line="360" w:lineRule="auto"/>
        <w:contextualSpacing/>
      </w:pPr>
      <w:r w:rsidRPr="004D0E58">
        <w:t>Это сделка, участниками которой являются юридические лица;</w:t>
      </w:r>
    </w:p>
    <w:p w:rsidR="004D0E58" w:rsidRPr="004D0E58" w:rsidRDefault="004D0E58" w:rsidP="002A61A0">
      <w:pPr>
        <w:numPr>
          <w:ilvl w:val="0"/>
          <w:numId w:val="7"/>
        </w:numPr>
        <w:spacing w:afterLines="100" w:after="240" w:line="360" w:lineRule="auto"/>
        <w:contextualSpacing/>
      </w:pPr>
      <w:r w:rsidRPr="004D0E58">
        <w:t>Сделка предполагает смену контролирующих лиц, следовательно, приобр</w:t>
      </w:r>
      <w:r w:rsidRPr="004D0E58">
        <w:t>е</w:t>
      </w:r>
      <w:r w:rsidRPr="004D0E58">
        <w:t>таемый пакет акций должен не менее 25%;</w:t>
      </w:r>
    </w:p>
    <w:p w:rsidR="004D0E58" w:rsidRPr="004D0E58" w:rsidRDefault="004D0E58" w:rsidP="002A61A0">
      <w:pPr>
        <w:numPr>
          <w:ilvl w:val="0"/>
          <w:numId w:val="7"/>
        </w:numPr>
        <w:spacing w:afterLines="100" w:after="240" w:line="360" w:lineRule="auto"/>
        <w:contextualSpacing/>
      </w:pPr>
      <w:r w:rsidRPr="004D0E58">
        <w:t>Посредством данной транзакции реализуются планы компании по расшир</w:t>
      </w:r>
      <w:r w:rsidRPr="004D0E58">
        <w:t>е</w:t>
      </w:r>
      <w:r w:rsidRPr="004D0E58">
        <w:t>нию и интеграции.</w:t>
      </w:r>
    </w:p>
    <w:p w:rsidR="004D0E58" w:rsidRPr="004D0E58" w:rsidRDefault="004D0E58" w:rsidP="002A61A0">
      <w:pPr>
        <w:spacing w:afterLines="100" w:after="240" w:line="360" w:lineRule="auto"/>
        <w:ind w:firstLine="709"/>
        <w:contextualSpacing/>
      </w:pPr>
      <w:r w:rsidRPr="004D0E58">
        <w:t>Опираясь же на представленную классификацию, слияния и поглощения можно разбить на две основные группы: объективные и субъективные.</w:t>
      </w:r>
      <w:r w:rsidRPr="004D0E58">
        <w:rPr>
          <w:vertAlign w:val="superscript"/>
        </w:rPr>
        <w:footnoteReference w:id="15"/>
      </w:r>
    </w:p>
    <w:p w:rsidR="004D0E58" w:rsidRPr="004D0E58" w:rsidRDefault="004D0E58" w:rsidP="004D0E58">
      <w:pPr>
        <w:spacing w:line="360" w:lineRule="auto"/>
        <w:ind w:firstLine="709"/>
        <w:contextualSpacing/>
        <w:jc w:val="both"/>
      </w:pPr>
      <w:r w:rsidRPr="004D0E58">
        <w:t>К первой группе можно отнести мотивы, в основе которых лежит та или иная в</w:t>
      </w:r>
      <w:r w:rsidRPr="004D0E58">
        <w:t>ы</w:t>
      </w:r>
      <w:r w:rsidRPr="004D0E58">
        <w:t>года непосредственно для компании. В этом случае все мотивы являются продолжением стратегии развития компании. Субъективные мотивы включают в себя мотивы, где на первое место становятся те или иные интересы частных лиц (в основном менеджеров). Объективные мотивы можно разделить на защитные мотивы, а так же на мотивы, связа</w:t>
      </w:r>
      <w:r w:rsidRPr="004D0E58">
        <w:t>н</w:t>
      </w:r>
      <w:r w:rsidRPr="004D0E58">
        <w:t>ные с синергетическим эффектом.</w:t>
      </w:r>
    </w:p>
    <w:p w:rsidR="004D0E58" w:rsidRPr="004D0E58" w:rsidRDefault="004D0E58" w:rsidP="004D0E58">
      <w:pPr>
        <w:spacing w:line="360" w:lineRule="auto"/>
        <w:ind w:firstLine="709"/>
        <w:contextualSpacing/>
        <w:jc w:val="both"/>
      </w:pPr>
      <w:r w:rsidRPr="004D0E58">
        <w:t>К первой группе относятся мотивы, где  в основе располагаются механизмы защ</w:t>
      </w:r>
      <w:r w:rsidRPr="004D0E58">
        <w:t>и</w:t>
      </w:r>
      <w:r w:rsidRPr="004D0E58">
        <w:t>ты рынка и компании от враждебных поглощений.</w:t>
      </w:r>
    </w:p>
    <w:p w:rsidR="004D0E58" w:rsidRPr="004D0E58" w:rsidRDefault="004D0E58" w:rsidP="004D0E58">
      <w:pPr>
        <w:spacing w:line="360" w:lineRule="auto"/>
        <w:ind w:firstLine="709"/>
        <w:contextualSpacing/>
        <w:jc w:val="both"/>
      </w:pPr>
      <w:r w:rsidRPr="004D0E58">
        <w:t xml:space="preserve">Мотивы второй группы, в основе которых лежит синергетический эффект, в свою очередь можно разделить на две части: </w:t>
      </w:r>
    </w:p>
    <w:p w:rsidR="004D0E58" w:rsidRPr="004D0E58" w:rsidRDefault="004D0E58" w:rsidP="004D0E58">
      <w:pPr>
        <w:numPr>
          <w:ilvl w:val="0"/>
          <w:numId w:val="8"/>
        </w:numPr>
        <w:spacing w:line="360" w:lineRule="auto"/>
        <w:contextualSpacing/>
        <w:jc w:val="both"/>
      </w:pPr>
      <w:r w:rsidRPr="004D0E58">
        <w:t>Мотивы, которые направлены на улучшение ситуации внутри объедини</w:t>
      </w:r>
      <w:r w:rsidRPr="004D0E58">
        <w:t>в</w:t>
      </w:r>
      <w:r w:rsidRPr="004D0E58">
        <w:t>шейся компании, такие как снижение издержек, эффект масштаба, устран</w:t>
      </w:r>
      <w:r w:rsidRPr="004D0E58">
        <w:t>е</w:t>
      </w:r>
      <w:r w:rsidRPr="004D0E58">
        <w:t>ние неэффективных управляющих и т.д.; они выделяются в группу «вну</w:t>
      </w:r>
      <w:r w:rsidRPr="004D0E58">
        <w:t>т</w:t>
      </w:r>
      <w:r w:rsidRPr="004D0E58">
        <w:t>рифирменные мотивы»;</w:t>
      </w:r>
    </w:p>
    <w:p w:rsidR="004D0E58" w:rsidRPr="004D0E58" w:rsidRDefault="004D0E58" w:rsidP="004D0E58">
      <w:pPr>
        <w:numPr>
          <w:ilvl w:val="0"/>
          <w:numId w:val="8"/>
        </w:numPr>
        <w:spacing w:line="360" w:lineRule="auto"/>
        <w:contextualSpacing/>
        <w:jc w:val="both"/>
      </w:pPr>
      <w:r w:rsidRPr="004D0E58">
        <w:t xml:space="preserve">Мотивы </w:t>
      </w:r>
      <w:r w:rsidRPr="004D0E58">
        <w:rPr>
          <w:lang w:val="en-US"/>
        </w:rPr>
        <w:t>M</w:t>
      </w:r>
      <w:r w:rsidRPr="004D0E58">
        <w:t>&amp;</w:t>
      </w:r>
      <w:r w:rsidRPr="004D0E58">
        <w:rPr>
          <w:lang w:val="en-US"/>
        </w:rPr>
        <w:t>A</w:t>
      </w:r>
      <w:r w:rsidRPr="004D0E58">
        <w:t>, синергетический эффект от которых подразумевается в том, что компании будет легче и проще что-либо получать извне; их можно отн</w:t>
      </w:r>
      <w:r w:rsidRPr="004D0E58">
        <w:t>е</w:t>
      </w:r>
      <w:r w:rsidRPr="004D0E58">
        <w:t>сти к группе внешних по отношению к фирме мотивов.</w:t>
      </w:r>
    </w:p>
    <w:p w:rsidR="004D0E58" w:rsidRPr="005B6370" w:rsidRDefault="004D0E58" w:rsidP="004D0E58">
      <w:pPr>
        <w:spacing w:line="360" w:lineRule="auto"/>
        <w:ind w:firstLine="709"/>
        <w:jc w:val="both"/>
      </w:pPr>
      <w:r w:rsidRPr="004D0E58">
        <w:t>Однако, в итоге, об истинных мотивах слияний и поглощений остается лишь дог</w:t>
      </w:r>
      <w:r w:rsidRPr="004D0E58">
        <w:t>а</w:t>
      </w:r>
      <w:r w:rsidRPr="004D0E58">
        <w:t>дываться, поскольку в официальной информации не раскрываются ни детали, ни после</w:t>
      </w:r>
      <w:r w:rsidRPr="004D0E58">
        <w:t>д</w:t>
      </w:r>
      <w:r w:rsidRPr="004D0E58">
        <w:t>ствия сделок. Анализировать сделки возможно лишь по косвенным признакам и факт</w:t>
      </w:r>
      <w:r w:rsidRPr="004D0E58">
        <w:t>о</w:t>
      </w:r>
      <w:r w:rsidRPr="004D0E58">
        <w:t xml:space="preserve">рам, которые указывают на причины и мотивы совершения сделок. Данная классификация </w:t>
      </w:r>
      <w:r w:rsidRPr="004D0E58">
        <w:lastRenderedPageBreak/>
        <w:t>не является исчерпывающей, однако любой новый мотив можно будет с легкостью по</w:t>
      </w:r>
      <w:r w:rsidRPr="004D0E58">
        <w:t>д</w:t>
      </w:r>
      <w:r w:rsidRPr="004D0E58">
        <w:t>ставить в существующую классификацию.</w:t>
      </w:r>
    </w:p>
    <w:p w:rsidR="00F019C3" w:rsidRPr="007A00E8" w:rsidRDefault="00F019C3" w:rsidP="00A70259">
      <w:pPr>
        <w:pStyle w:val="a3"/>
        <w:numPr>
          <w:ilvl w:val="1"/>
          <w:numId w:val="20"/>
        </w:numPr>
        <w:spacing w:line="360" w:lineRule="auto"/>
        <w:ind w:left="851" w:firstLine="0"/>
        <w:jc w:val="both"/>
        <w:outlineLvl w:val="1"/>
        <w:rPr>
          <w:b/>
          <w:bCs/>
        </w:rPr>
      </w:pPr>
      <w:bookmarkStart w:id="8" w:name="_Toc417956305"/>
      <w:bookmarkStart w:id="9" w:name="_Toc513092277"/>
      <w:r w:rsidRPr="007A00E8">
        <w:rPr>
          <w:b/>
          <w:bCs/>
        </w:rPr>
        <w:t xml:space="preserve">Финансовые аспекты </w:t>
      </w:r>
      <w:r w:rsidR="00270DEE" w:rsidRPr="007A00E8">
        <w:rPr>
          <w:b/>
          <w:bCs/>
        </w:rPr>
        <w:t>трансграничных</w:t>
      </w:r>
      <w:r w:rsidR="00270DEE" w:rsidRPr="007A00E8">
        <w:rPr>
          <w:b/>
          <w:bCs/>
          <w:color w:val="FF0000"/>
        </w:rPr>
        <w:t xml:space="preserve"> </w:t>
      </w:r>
      <w:r w:rsidRPr="007A00E8">
        <w:rPr>
          <w:b/>
          <w:bCs/>
        </w:rPr>
        <w:t>слияний и поглощений.</w:t>
      </w:r>
      <w:bookmarkEnd w:id="8"/>
      <w:bookmarkEnd w:id="9"/>
    </w:p>
    <w:p w:rsidR="00F019C3" w:rsidRPr="00F019C3" w:rsidRDefault="00F019C3" w:rsidP="00F019C3">
      <w:pPr>
        <w:spacing w:line="360" w:lineRule="auto"/>
        <w:ind w:firstLine="709"/>
        <w:jc w:val="both"/>
      </w:pPr>
      <w:r w:rsidRPr="00F019C3">
        <w:t>В процессе создания стоимости критически важной становится способность точно измерять и управлять стоимостью</w:t>
      </w:r>
      <w:r w:rsidR="00270DEE">
        <w:t xml:space="preserve"> </w:t>
      </w:r>
      <w:r w:rsidR="00270DEE" w:rsidRPr="00BE26A2">
        <w:t>международн</w:t>
      </w:r>
      <w:r w:rsidR="00BE26A2">
        <w:t>ой</w:t>
      </w:r>
      <w:r w:rsidR="00270DEE">
        <w:rPr>
          <w:color w:val="FF0000"/>
        </w:rPr>
        <w:t xml:space="preserve"> </w:t>
      </w:r>
      <w:r w:rsidRPr="00F019C3">
        <w:t>корпорации или подразделения комп</w:t>
      </w:r>
      <w:r w:rsidRPr="00F019C3">
        <w:t>а</w:t>
      </w:r>
      <w:r w:rsidRPr="00F019C3">
        <w:t>нии. Предприятия различаются по характеру своих операций, обслуживаемым рынкам и имеющимся в распоряжении активам. По этой причине, анализируя совокупность знаний в области оценки бизнеса, было выработано три основных подхода, с помощью которых могут быть оценены комп</w:t>
      </w:r>
      <w:r w:rsidR="00991649">
        <w:t>ании, которые изложены в рисунке 1.1</w:t>
      </w:r>
      <w:r w:rsidRPr="00F019C3">
        <w:t xml:space="preserve">. </w:t>
      </w:r>
    </w:p>
    <w:p w:rsidR="001C05E5" w:rsidRPr="001C05E5" w:rsidRDefault="001C05E5" w:rsidP="001C05E5">
      <w:pPr>
        <w:spacing w:line="360" w:lineRule="auto"/>
        <w:ind w:firstLine="709"/>
        <w:jc w:val="right"/>
        <w:rPr>
          <w:i/>
        </w:rPr>
      </w:pPr>
      <w:r>
        <w:rPr>
          <w:i/>
        </w:rPr>
        <w:t>Рисунок 1.1</w:t>
      </w:r>
      <w:r>
        <w:rPr>
          <w:noProof/>
        </w:rPr>
        <mc:AlternateContent>
          <mc:Choice Requires="wpg">
            <w:drawing>
              <wp:anchor distT="0" distB="0" distL="114300" distR="114300" simplePos="0" relativeHeight="251661312" behindDoc="0" locked="0" layoutInCell="1" allowOverlap="1" wp14:anchorId="039DBC77" wp14:editId="5553C9C4">
                <wp:simplePos x="0" y="0"/>
                <wp:positionH relativeFrom="column">
                  <wp:posOffset>-229235</wp:posOffset>
                </wp:positionH>
                <wp:positionV relativeFrom="paragraph">
                  <wp:posOffset>564515</wp:posOffset>
                </wp:positionV>
                <wp:extent cx="6166485" cy="2123440"/>
                <wp:effectExtent l="0" t="0" r="24765" b="10160"/>
                <wp:wrapTopAndBottom/>
                <wp:docPr id="61"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2123440"/>
                          <a:chOff x="0" y="0"/>
                          <a:chExt cx="68472" cy="25089"/>
                        </a:xfrm>
                      </wpg:grpSpPr>
                      <wps:wsp>
                        <wps:cNvPr id="62" name="Поле 6"/>
                        <wps:cNvSpPr txBox="1">
                          <a:spLocks noChangeArrowheads="1"/>
                        </wps:cNvSpPr>
                        <wps:spPr bwMode="auto">
                          <a:xfrm>
                            <a:off x="52312" y="0"/>
                            <a:ext cx="10522" cy="7219"/>
                          </a:xfrm>
                          <a:prstGeom prst="rect">
                            <a:avLst/>
                          </a:prstGeom>
                          <a:solidFill>
                            <a:schemeClr val="lt1">
                              <a:lumMod val="100000"/>
                              <a:lumOff val="0"/>
                            </a:schemeClr>
                          </a:solidFill>
                          <a:ln w="6350">
                            <a:solidFill>
                              <a:srgbClr val="000000"/>
                            </a:solidFill>
                            <a:miter lim="800000"/>
                            <a:headEnd/>
                            <a:tailEnd/>
                          </a:ln>
                        </wps:spPr>
                        <wps:txbx>
                          <w:txbxContent>
                            <w:p w:rsidR="004C50AA" w:rsidRPr="00F5577E" w:rsidRDefault="004C50AA" w:rsidP="00F019C3">
                              <w:pPr>
                                <w:jc w:val="center"/>
                              </w:pPr>
                              <w:r>
                                <w:t>Подход по активам</w:t>
                              </w:r>
                            </w:p>
                          </w:txbxContent>
                        </wps:txbx>
                        <wps:bodyPr rot="0" vert="horz" wrap="square" lIns="91440" tIns="45720" rIns="91440" bIns="45720" anchor="ctr" anchorCtr="0" upright="1">
                          <a:noAutofit/>
                        </wps:bodyPr>
                      </wps:wsp>
                      <wps:wsp>
                        <wps:cNvPr id="63" name="Поле 22"/>
                        <wps:cNvSpPr txBox="1">
                          <a:spLocks noChangeArrowheads="1"/>
                        </wps:cNvSpPr>
                        <wps:spPr bwMode="auto">
                          <a:xfrm>
                            <a:off x="47102" y="11908"/>
                            <a:ext cx="10312" cy="13075"/>
                          </a:xfrm>
                          <a:prstGeom prst="rect">
                            <a:avLst/>
                          </a:prstGeom>
                          <a:solidFill>
                            <a:schemeClr val="lt1">
                              <a:lumMod val="100000"/>
                              <a:lumOff val="0"/>
                            </a:schemeClr>
                          </a:solidFill>
                          <a:ln w="6350">
                            <a:solidFill>
                              <a:srgbClr val="000000"/>
                            </a:solidFill>
                            <a:miter lim="800000"/>
                            <a:headEnd/>
                            <a:tailEnd/>
                          </a:ln>
                        </wps:spPr>
                        <wps:txbx>
                          <w:txbxContent>
                            <w:p w:rsidR="004C50AA" w:rsidRPr="00F5577E" w:rsidRDefault="004C50AA" w:rsidP="00F019C3">
                              <w:pPr>
                                <w:jc w:val="center"/>
                              </w:pPr>
                              <w:r>
                                <w:t>Метод скоррект</w:t>
                              </w:r>
                              <w:r>
                                <w:t>и</w:t>
                              </w:r>
                              <w:r>
                                <w:t>рованной баланс</w:t>
                              </w:r>
                              <w:r>
                                <w:t>о</w:t>
                              </w:r>
                              <w:r>
                                <w:t>вой сто</w:t>
                              </w:r>
                              <w:r>
                                <w:t>и</w:t>
                              </w:r>
                              <w:r>
                                <w:t>мости</w:t>
                              </w:r>
                            </w:p>
                          </w:txbxContent>
                        </wps:txbx>
                        <wps:bodyPr rot="0" vert="horz" wrap="square" lIns="91440" tIns="45720" rIns="91440" bIns="45720" anchor="ctr" anchorCtr="0" upright="1">
                          <a:noAutofit/>
                        </wps:bodyPr>
                      </wps:wsp>
                      <wps:wsp>
                        <wps:cNvPr id="64" name="Поле 23"/>
                        <wps:cNvSpPr txBox="1">
                          <a:spLocks noChangeArrowheads="1"/>
                        </wps:cNvSpPr>
                        <wps:spPr bwMode="auto">
                          <a:xfrm>
                            <a:off x="58160" y="11908"/>
                            <a:ext cx="10312" cy="13075"/>
                          </a:xfrm>
                          <a:prstGeom prst="rect">
                            <a:avLst/>
                          </a:prstGeom>
                          <a:solidFill>
                            <a:schemeClr val="lt1">
                              <a:lumMod val="100000"/>
                              <a:lumOff val="0"/>
                            </a:schemeClr>
                          </a:solidFill>
                          <a:ln w="6350">
                            <a:solidFill>
                              <a:srgbClr val="000000"/>
                            </a:solidFill>
                            <a:miter lim="800000"/>
                            <a:headEnd/>
                            <a:tailEnd/>
                          </a:ln>
                        </wps:spPr>
                        <wps:txbx>
                          <w:txbxContent>
                            <w:p w:rsidR="004C50AA" w:rsidRPr="00F5577E" w:rsidRDefault="004C50AA" w:rsidP="00F019C3">
                              <w:pPr>
                                <w:jc w:val="center"/>
                              </w:pPr>
                              <w:r>
                                <w:t>Метод ликвид</w:t>
                              </w:r>
                              <w:r>
                                <w:t>а</w:t>
                              </w:r>
                              <w:r>
                                <w:t>ционной стоимости</w:t>
                              </w:r>
                            </w:p>
                          </w:txbxContent>
                        </wps:txbx>
                        <wps:bodyPr rot="0" vert="horz" wrap="square" lIns="91440" tIns="45720" rIns="91440" bIns="45720" anchor="ctr" anchorCtr="0" upright="1">
                          <a:noAutofit/>
                        </wps:bodyPr>
                      </wps:wsp>
                      <wpg:grpSp>
                        <wpg:cNvPr id="65" name="Группа 31"/>
                        <wpg:cNvGrpSpPr>
                          <a:grpSpLocks/>
                        </wpg:cNvGrpSpPr>
                        <wpg:grpSpPr bwMode="auto">
                          <a:xfrm>
                            <a:off x="0" y="0"/>
                            <a:ext cx="45080" cy="25089"/>
                            <a:chOff x="0" y="0"/>
                            <a:chExt cx="45080" cy="25089"/>
                          </a:xfrm>
                        </wpg:grpSpPr>
                        <wps:wsp>
                          <wps:cNvPr id="66" name="Поле 5"/>
                          <wps:cNvSpPr txBox="1">
                            <a:spLocks noChangeArrowheads="1"/>
                          </wps:cNvSpPr>
                          <wps:spPr bwMode="auto">
                            <a:xfrm>
                              <a:off x="29239" y="106"/>
                              <a:ext cx="10522" cy="7220"/>
                            </a:xfrm>
                            <a:prstGeom prst="rect">
                              <a:avLst/>
                            </a:prstGeom>
                            <a:solidFill>
                              <a:schemeClr val="lt1">
                                <a:lumMod val="100000"/>
                                <a:lumOff val="0"/>
                              </a:schemeClr>
                            </a:solidFill>
                            <a:ln w="6350">
                              <a:solidFill>
                                <a:srgbClr val="000000"/>
                              </a:solidFill>
                              <a:miter lim="800000"/>
                              <a:headEnd/>
                              <a:tailEnd/>
                            </a:ln>
                          </wps:spPr>
                          <wps:txbx>
                            <w:txbxContent>
                              <w:p w:rsidR="004C50AA" w:rsidRPr="00F5577E" w:rsidRDefault="004C50AA" w:rsidP="00F019C3">
                                <w:pPr>
                                  <w:jc w:val="center"/>
                                </w:pPr>
                                <w:r w:rsidRPr="00F5577E">
                                  <w:t>Рыночный подход</w:t>
                                </w:r>
                              </w:p>
                            </w:txbxContent>
                          </wps:txbx>
                          <wps:bodyPr rot="0" vert="horz" wrap="square" lIns="91440" tIns="45720" rIns="91440" bIns="45720" anchor="ctr" anchorCtr="0" upright="1">
                            <a:noAutofit/>
                          </wps:bodyPr>
                        </wps:wsp>
                        <wps:wsp>
                          <wps:cNvPr id="67" name="Поле 10"/>
                          <wps:cNvSpPr txBox="1">
                            <a:spLocks noChangeArrowheads="1"/>
                          </wps:cNvSpPr>
                          <wps:spPr bwMode="auto">
                            <a:xfrm>
                              <a:off x="23604" y="12014"/>
                              <a:ext cx="10312" cy="13075"/>
                            </a:xfrm>
                            <a:prstGeom prst="rect">
                              <a:avLst/>
                            </a:prstGeom>
                            <a:solidFill>
                              <a:schemeClr val="lt1">
                                <a:lumMod val="100000"/>
                                <a:lumOff val="0"/>
                              </a:schemeClr>
                            </a:solidFill>
                            <a:ln w="6350">
                              <a:solidFill>
                                <a:srgbClr val="000000"/>
                              </a:solidFill>
                              <a:miter lim="800000"/>
                              <a:headEnd/>
                              <a:tailEnd/>
                            </a:ln>
                          </wps:spPr>
                          <wps:txbx>
                            <w:txbxContent>
                              <w:p w:rsidR="004C50AA" w:rsidRPr="00F5577E" w:rsidRDefault="004C50AA" w:rsidP="00F019C3">
                                <w:pPr>
                                  <w:jc w:val="center"/>
                                </w:pPr>
                                <w:r>
                                  <w:t>Метод публичной компании-аналога</w:t>
                                </w:r>
                              </w:p>
                            </w:txbxContent>
                          </wps:txbx>
                          <wps:bodyPr rot="0" vert="horz" wrap="square" lIns="91440" tIns="45720" rIns="91440" bIns="45720" anchor="ctr" anchorCtr="0" upright="1">
                            <a:noAutofit/>
                          </wps:bodyPr>
                        </wps:wsp>
                        <wps:wsp>
                          <wps:cNvPr id="68" name="Поле 14"/>
                          <wps:cNvSpPr txBox="1">
                            <a:spLocks noChangeArrowheads="1"/>
                          </wps:cNvSpPr>
                          <wps:spPr bwMode="auto">
                            <a:xfrm>
                              <a:off x="34768" y="12014"/>
                              <a:ext cx="10312" cy="13075"/>
                            </a:xfrm>
                            <a:prstGeom prst="rect">
                              <a:avLst/>
                            </a:prstGeom>
                            <a:solidFill>
                              <a:schemeClr val="lt1">
                                <a:lumMod val="100000"/>
                                <a:lumOff val="0"/>
                              </a:schemeClr>
                            </a:solidFill>
                            <a:ln w="6350">
                              <a:solidFill>
                                <a:srgbClr val="000000"/>
                              </a:solidFill>
                              <a:miter lim="800000"/>
                              <a:headEnd/>
                              <a:tailEnd/>
                            </a:ln>
                          </wps:spPr>
                          <wps:txbx>
                            <w:txbxContent>
                              <w:p w:rsidR="004C50AA" w:rsidRPr="00F5577E" w:rsidRDefault="004C50AA" w:rsidP="00F019C3">
                                <w:pPr>
                                  <w:jc w:val="center"/>
                                </w:pPr>
                                <w:r>
                                  <w:t xml:space="preserve">Метод сделок </w:t>
                                </w:r>
                                <w:r>
                                  <w:rPr>
                                    <w:lang w:val="en-US"/>
                                  </w:rPr>
                                  <w:t>M&amp;A</w:t>
                                </w:r>
                              </w:p>
                            </w:txbxContent>
                          </wps:txbx>
                          <wps:bodyPr rot="0" vert="horz" wrap="square" lIns="91440" tIns="45720" rIns="91440" bIns="45720" anchor="ctr" anchorCtr="0" upright="1">
                            <a:noAutofit/>
                          </wps:bodyPr>
                        </wps:wsp>
                        <wpg:grpSp>
                          <wpg:cNvPr id="69" name="Группа 30"/>
                          <wpg:cNvGrpSpPr>
                            <a:grpSpLocks/>
                          </wpg:cNvGrpSpPr>
                          <wpg:grpSpPr bwMode="auto">
                            <a:xfrm>
                              <a:off x="0" y="0"/>
                              <a:ext cx="21689" cy="24983"/>
                              <a:chOff x="0" y="0"/>
                              <a:chExt cx="21689" cy="24983"/>
                            </a:xfrm>
                          </wpg:grpSpPr>
                          <wps:wsp>
                            <wps:cNvPr id="70" name="Поле 4"/>
                            <wps:cNvSpPr txBox="1">
                              <a:spLocks noChangeArrowheads="1"/>
                            </wps:cNvSpPr>
                            <wps:spPr bwMode="auto">
                              <a:xfrm>
                                <a:off x="5635" y="0"/>
                                <a:ext cx="10630" cy="7219"/>
                              </a:xfrm>
                              <a:prstGeom prst="rect">
                                <a:avLst/>
                              </a:prstGeom>
                              <a:solidFill>
                                <a:schemeClr val="lt1">
                                  <a:lumMod val="100000"/>
                                  <a:lumOff val="0"/>
                                </a:schemeClr>
                              </a:solidFill>
                              <a:ln w="6350">
                                <a:solidFill>
                                  <a:srgbClr val="000000"/>
                                </a:solidFill>
                                <a:miter lim="800000"/>
                                <a:headEnd/>
                                <a:tailEnd/>
                              </a:ln>
                            </wps:spPr>
                            <wps:txbx>
                              <w:txbxContent>
                                <w:p w:rsidR="004C50AA" w:rsidRPr="003F209C" w:rsidRDefault="004C50AA" w:rsidP="00F019C3">
                                  <w:pPr>
                                    <w:jc w:val="center"/>
                                  </w:pPr>
                                  <w:r w:rsidRPr="003F209C">
                                    <w:t>Доходный подход</w:t>
                                  </w:r>
                                </w:p>
                              </w:txbxContent>
                            </wps:txbx>
                            <wps:bodyPr rot="0" vert="horz" wrap="square" lIns="91440" tIns="45720" rIns="91440" bIns="45720" anchor="ctr" anchorCtr="0" upright="1">
                              <a:noAutofit/>
                            </wps:bodyPr>
                          </wps:wsp>
                          <wps:wsp>
                            <wps:cNvPr id="71" name="Поле 7"/>
                            <wps:cNvSpPr txBox="1">
                              <a:spLocks noChangeArrowheads="1"/>
                            </wps:cNvSpPr>
                            <wps:spPr bwMode="auto">
                              <a:xfrm>
                                <a:off x="0" y="11908"/>
                                <a:ext cx="10312" cy="13075"/>
                              </a:xfrm>
                              <a:prstGeom prst="rect">
                                <a:avLst/>
                              </a:prstGeom>
                              <a:solidFill>
                                <a:schemeClr val="lt1">
                                  <a:lumMod val="100000"/>
                                  <a:lumOff val="0"/>
                                </a:schemeClr>
                              </a:solidFill>
                              <a:ln w="6350">
                                <a:solidFill>
                                  <a:srgbClr val="000000"/>
                                </a:solidFill>
                                <a:miter lim="800000"/>
                                <a:headEnd/>
                                <a:tailEnd/>
                              </a:ln>
                            </wps:spPr>
                            <wps:txbx>
                              <w:txbxContent>
                                <w:p w:rsidR="004C50AA" w:rsidRPr="00F5577E" w:rsidRDefault="004C50AA" w:rsidP="00F019C3">
                                  <w:pPr>
                                    <w:jc w:val="center"/>
                                  </w:pPr>
                                  <w:r>
                                    <w:t>Метод к</w:t>
                                  </w:r>
                                  <w:r>
                                    <w:t>а</w:t>
                                  </w:r>
                                  <w:r>
                                    <w:t>питализ</w:t>
                                  </w:r>
                                  <w:r>
                                    <w:t>а</w:t>
                                  </w:r>
                                  <w:r>
                                    <w:t>ции</w:t>
                                  </w:r>
                                </w:p>
                              </w:txbxContent>
                            </wps:txbx>
                            <wps:bodyPr rot="0" vert="horz" wrap="square" lIns="91440" tIns="45720" rIns="91440" bIns="45720" anchor="ctr" anchorCtr="0" upright="1">
                              <a:noAutofit/>
                            </wps:bodyPr>
                          </wps:wsp>
                          <wps:wsp>
                            <wps:cNvPr id="72" name="Поле 9"/>
                            <wps:cNvSpPr txBox="1">
                              <a:spLocks noChangeArrowheads="1"/>
                            </wps:cNvSpPr>
                            <wps:spPr bwMode="auto">
                              <a:xfrm>
                                <a:off x="11376" y="11908"/>
                                <a:ext cx="10313" cy="13075"/>
                              </a:xfrm>
                              <a:prstGeom prst="rect">
                                <a:avLst/>
                              </a:prstGeom>
                              <a:solidFill>
                                <a:schemeClr val="lt1">
                                  <a:lumMod val="100000"/>
                                  <a:lumOff val="0"/>
                                </a:schemeClr>
                              </a:solidFill>
                              <a:ln w="6350">
                                <a:solidFill>
                                  <a:srgbClr val="000000"/>
                                </a:solidFill>
                                <a:miter lim="800000"/>
                                <a:headEnd/>
                                <a:tailEnd/>
                              </a:ln>
                            </wps:spPr>
                            <wps:txbx>
                              <w:txbxContent>
                                <w:p w:rsidR="004C50AA" w:rsidRPr="00F5577E" w:rsidRDefault="004C50AA" w:rsidP="00F019C3">
                                  <w:pPr>
                                    <w:jc w:val="center"/>
                                  </w:pPr>
                                  <w:r>
                                    <w:t>Метод дисконт</w:t>
                                  </w:r>
                                  <w:r>
                                    <w:t>и</w:t>
                                  </w:r>
                                  <w:r>
                                    <w:t>рования</w:t>
                                  </w:r>
                                </w:p>
                              </w:txbxContent>
                            </wps:txbx>
                            <wps:bodyPr rot="0" vert="horz" wrap="square" lIns="91440" tIns="45720" rIns="91440" bIns="45720" anchor="ctr" anchorCtr="0" upright="1">
                              <a:noAutofit/>
                            </wps:bodyPr>
                          </wps:wsp>
                          <wps:wsp>
                            <wps:cNvPr id="73" name="Прямая соединительная линия 24"/>
                            <wps:cNvCnPr/>
                            <wps:spPr bwMode="auto">
                              <a:xfrm>
                                <a:off x="6698" y="7336"/>
                                <a:ext cx="0" cy="4572"/>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4" name="Прямая соединительная линия 25"/>
                            <wps:cNvCnPr/>
                            <wps:spPr bwMode="auto">
                              <a:xfrm>
                                <a:off x="14885" y="7230"/>
                                <a:ext cx="0" cy="4572"/>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s:wsp>
                          <wps:cNvPr id="75" name="Прямая соединительная линия 26"/>
                          <wps:cNvCnPr/>
                          <wps:spPr bwMode="auto">
                            <a:xfrm>
                              <a:off x="30409" y="7442"/>
                              <a:ext cx="0" cy="4572"/>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6" name="Прямая соединительная линия 27"/>
                          <wps:cNvCnPr/>
                          <wps:spPr bwMode="auto">
                            <a:xfrm>
                              <a:off x="38596" y="7442"/>
                              <a:ext cx="0" cy="4572"/>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s:wsp>
                        <wps:cNvPr id="77" name="Прямая соединительная линия 28"/>
                        <wps:cNvCnPr/>
                        <wps:spPr bwMode="auto">
                          <a:xfrm>
                            <a:off x="53375" y="7230"/>
                            <a:ext cx="0" cy="4572"/>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8" name="Прямая соединительная линия 29"/>
                        <wps:cNvCnPr/>
                        <wps:spPr bwMode="auto">
                          <a:xfrm>
                            <a:off x="61668" y="7230"/>
                            <a:ext cx="0" cy="4572"/>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0" o:spid="_x0000_s1026" style="position:absolute;left:0;text-align:left;margin-left:-18.05pt;margin-top:44.45pt;width:485.55pt;height:167.2pt;z-index:251661312" coordsize="68472,2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">
                <v:shapetype id="_x0000_t202" coordsize="21600,21600" o:spt="202" path="m,l,21600r21600,l21600,xe">
                  <v:stroke joinstyle="miter"/>
                  <v:path gradientshapeok="t" o:connecttype="rect"/>
                </v:shapetype>
                <v:shape id="Поле 6" o:spid="_x0000_s1027" type="#_x0000_t202" style="position:absolute;left:52312;width:10522;height:7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Dg8MA&#10;AADbAAAADwAAAGRycy9kb3ducmV2LnhtbESPQWsCMRSE70L/Q3iF3mpWKSpbo7SiWPHkant+bF53&#10;g5uXNYm6/fdGKHgcZuYbZjrvbCMu5INxrGDQz0AQl04brhQc9qvXCYgQkTU2jknBHwWYz556U8y1&#10;u/KOLkWsRIJwyFFBHWObSxnKmiyGvmuJk/frvMWYpK+k9nhNcNvIYZaNpEXDaaHGlhY1lcfibBWc&#10;vv3+bWCWP6tmU5jT+Lj9XONYqZfn7uMdRKQuPsL/7S+tYDSE+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Dg8MAAADbAAAADwAAAAAAAAAAAAAAAACYAgAAZHJzL2Rv&#10;d25yZXYueG1sUEsFBgAAAAAEAAQA9QAAAIgDAAAAAA==&#10;" fillcolor="white [3201]" strokeweight=".5pt">
                  <v:textbox>
                    <w:txbxContent>
                      <w:p w:rsidR="004C50AA" w:rsidRPr="00F5577E" w:rsidRDefault="004C50AA" w:rsidP="00F019C3">
                        <w:pPr>
                          <w:jc w:val="center"/>
                        </w:pPr>
                        <w:r>
                          <w:t>Подход по активам</w:t>
                        </w:r>
                      </w:p>
                    </w:txbxContent>
                  </v:textbox>
                </v:shape>
                <v:shape id="Поле 22" o:spid="_x0000_s1028" type="#_x0000_t202" style="position:absolute;left:47102;top:11908;width:10312;height:13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mGMQA&#10;AADbAAAADwAAAGRycy9kb3ducmV2LnhtbESPQWsCMRSE70L/Q3gFb5rVipatUVQqtnhybXt+bF53&#10;g5uXNYm6/fdNoeBxmJlvmPmys424kg/GsYLRMANBXDptuFLwcdwOnkGEiKyxcUwKfijAcvHQm2Ou&#10;3Y0PdC1iJRKEQ44K6hjbXMpQ1mQxDF1LnLxv5y3GJH0ltcdbgttGjrNsKi0aTgs1trSpqTwVF6vg&#10;/OmPk5F5/do274U5z0779Q5nSvUfu9ULiEhdvIf/229awfQJ/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phjEAAAA2wAAAA8AAAAAAAAAAAAAAAAAmAIAAGRycy9k&#10;b3ducmV2LnhtbFBLBQYAAAAABAAEAPUAAACJAwAAAAA=&#10;" fillcolor="white [3201]" strokeweight=".5pt">
                  <v:textbox>
                    <w:txbxContent>
                      <w:p w:rsidR="004C50AA" w:rsidRPr="00F5577E" w:rsidRDefault="004C50AA" w:rsidP="00F019C3">
                        <w:pPr>
                          <w:jc w:val="center"/>
                        </w:pPr>
                        <w:r>
                          <w:t>Метод скоррект</w:t>
                        </w:r>
                        <w:r>
                          <w:t>и</w:t>
                        </w:r>
                        <w:r>
                          <w:t>рованной баланс</w:t>
                        </w:r>
                        <w:r>
                          <w:t>о</w:t>
                        </w:r>
                        <w:r>
                          <w:t>вой сто</w:t>
                        </w:r>
                        <w:r>
                          <w:t>и</w:t>
                        </w:r>
                        <w:r>
                          <w:t>мости</w:t>
                        </w:r>
                      </w:p>
                    </w:txbxContent>
                  </v:textbox>
                </v:shape>
                <v:shape id="Поле 23" o:spid="_x0000_s1029" type="#_x0000_t202" style="position:absolute;left:58160;top:11908;width:10312;height:13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bMMA&#10;AADbAAAADwAAAGRycy9kb3ducmV2LnhtbESPQWsCMRSE70L/Q3iF3jSriMrWKK1UWvHkant+bF53&#10;g5uXNUl1+++NIHgcZuYbZr7sbCPO5INxrGA4yEAQl04brhQc9uv+DESIyBobx6TgnwIsF0+9Oeba&#10;XXhH5yJWIkE45KigjrHNpQxlTRbDwLXEyft13mJM0ldSe7wkuG3kKMsm0qLhtFBjS6uaymPxZxWc&#10;vv1+PDQfP+tmU5jT9Lh9/8SpUi/P3dsriEhdfITv7S+tYDKG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E+bMMAAADbAAAADwAAAAAAAAAAAAAAAACYAgAAZHJzL2Rv&#10;d25yZXYueG1sUEsFBgAAAAAEAAQA9QAAAIgDAAAAAA==&#10;" fillcolor="white [3201]" strokeweight=".5pt">
                  <v:textbox>
                    <w:txbxContent>
                      <w:p w:rsidR="004C50AA" w:rsidRPr="00F5577E" w:rsidRDefault="004C50AA" w:rsidP="00F019C3">
                        <w:pPr>
                          <w:jc w:val="center"/>
                        </w:pPr>
                        <w:r>
                          <w:t>Метод ликвид</w:t>
                        </w:r>
                        <w:r>
                          <w:t>а</w:t>
                        </w:r>
                        <w:r>
                          <w:t>ционной стоимости</w:t>
                        </w:r>
                      </w:p>
                    </w:txbxContent>
                  </v:textbox>
                </v:shape>
                <v:group id="Группа 31" o:spid="_x0000_s1030" style="position:absolute;width:45080;height:25089" coordsize="45080,25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Поле 5" o:spid="_x0000_s1031" type="#_x0000_t202" style="position:absolute;left:29239;top:106;width:10522;height:7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8FgMQA&#10;AADbAAAADwAAAGRycy9kb3ducmV2LnhtbESPQWsCMRSE70L/Q3iF3jRrKatsjdKWSi2eXLXnx+Z1&#10;N7h5WZNU13/fCILHYWa+YWaL3rbiRD4YxwrGowwEceW04VrBbrscTkGEiKyxdUwKLhRgMX8YzLDQ&#10;7swbOpWxFgnCoUAFTYxdIWWoGrIYRq4jTt6v8xZjkr6W2uM5wW0rn7MslxYNp4UGO/poqDqUf1bB&#10;ce+3L2Pz+bNsv0tznBzW7184UerpsX97BRGpj/fwrb3SCvIcrl/S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fBYDEAAAA2wAAAA8AAAAAAAAAAAAAAAAAmAIAAGRycy9k&#10;b3ducmV2LnhtbFBLBQYAAAAABAAEAPUAAACJAwAAAAA=&#10;" fillcolor="white [3201]" strokeweight=".5pt">
                    <v:textbox>
                      <w:txbxContent>
                        <w:p w:rsidR="004C50AA" w:rsidRPr="00F5577E" w:rsidRDefault="004C50AA" w:rsidP="00F019C3">
                          <w:pPr>
                            <w:jc w:val="center"/>
                          </w:pPr>
                          <w:r w:rsidRPr="00F5577E">
                            <w:t>Рыночный подход</w:t>
                          </w:r>
                        </w:p>
                      </w:txbxContent>
                    </v:textbox>
                  </v:shape>
                  <v:shape id="Поле 10" o:spid="_x0000_s1032" type="#_x0000_t202" style="position:absolute;left:23604;top:12014;width:10312;height:13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OgG8QA&#10;AADbAAAADwAAAGRycy9kb3ducmV2LnhtbESPQWsCMRSE74X+h/AKvWnWUlzZGqUtFZWeXLXnx+Z1&#10;N7h5WZOo6783BaHHYWa+Yabz3rbiTD4YxwpGwwwEceW04VrBbrsYTECEiKyxdUwKrhRgPnt8mGKh&#10;3YU3dC5jLRKEQ4EKmhi7QspQNWQxDF1HnLxf5y3GJH0ttcdLgttWvmTZWFo0nBYa7OizoepQnqyC&#10;495vX0fm62fRrktzzA/fH0vMlXp+6t/fQETq43/43l5pBeMc/r6k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oBvEAAAA2wAAAA8AAAAAAAAAAAAAAAAAmAIAAGRycy9k&#10;b3ducmV2LnhtbFBLBQYAAAAABAAEAPUAAACJAwAAAAA=&#10;" fillcolor="white [3201]" strokeweight=".5pt">
                    <v:textbox>
                      <w:txbxContent>
                        <w:p w:rsidR="004C50AA" w:rsidRPr="00F5577E" w:rsidRDefault="004C50AA" w:rsidP="00F019C3">
                          <w:pPr>
                            <w:jc w:val="center"/>
                          </w:pPr>
                          <w:r>
                            <w:t>Метод публичной компании-аналога</w:t>
                          </w:r>
                        </w:p>
                      </w:txbxContent>
                    </v:textbox>
                  </v:shape>
                  <v:shape id="Поле 14" o:spid="_x0000_s1033" type="#_x0000_t202" style="position:absolute;left:34768;top:12014;width:10312;height:13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0acAA&#10;AADbAAAADwAAAGRycy9kb3ducmV2LnhtbERPTWsCMRC9F/wPYYTeNKsULatRVCpaPLlWz8Nm3A1u&#10;JmuS6vbfN4dCj4/3PV92thEP8sE4VjAaZiCIS6cNVwq+TtvBO4gQkTU2jknBDwVYLnovc8y1e/KR&#10;HkWsRArhkKOCOsY2lzKUNVkMQ9cSJ+7qvMWYoK+k9vhM4baR4yybSIuGU0ONLW1qKm/Ft1VwP/vT&#10;28h8XLbNZ2Hu09thvcOpUq/9bjUDEamL/+I/914rmKSx6Uv6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w0acAAAADbAAAADwAAAAAAAAAAAAAAAACYAgAAZHJzL2Rvd25y&#10;ZXYueG1sUEsFBgAAAAAEAAQA9QAAAIUDAAAAAA==&#10;" fillcolor="white [3201]" strokeweight=".5pt">
                    <v:textbox>
                      <w:txbxContent>
                        <w:p w:rsidR="004C50AA" w:rsidRPr="00F5577E" w:rsidRDefault="004C50AA" w:rsidP="00F019C3">
                          <w:pPr>
                            <w:jc w:val="center"/>
                          </w:pPr>
                          <w:r>
                            <w:t xml:space="preserve">Метод сделок </w:t>
                          </w:r>
                          <w:r>
                            <w:rPr>
                              <w:lang w:val="en-US"/>
                            </w:rPr>
                            <w:t>M&amp;A</w:t>
                          </w:r>
                        </w:p>
                      </w:txbxContent>
                    </v:textbox>
                  </v:shape>
                  <v:group id="Группа 30" o:spid="_x0000_s1034" style="position:absolute;width:21689;height:24983" coordsize="21689,24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Поле 4" o:spid="_x0000_s1035" type="#_x0000_t202" style="position:absolute;left:5635;width:10630;height:7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OussEA&#10;AADbAAAADwAAAGRycy9kb3ducmV2LnhtbERPz2vCMBS+D/wfwhN2m6ky7KhGmaKo7LS6eX40b22w&#10;ealJ1O6/Xw7Cjh/f7/myt624kQ/GsYLxKANBXDltuFbwddy+vIEIEVlj65gU/FKA5WLwNMdCuzt/&#10;0q2MtUghHApU0MTYFVKGqiGLYeQ64sT9OG8xJuhrqT3eU7ht5STLptKi4dTQYEfrhqpzebUKLt/+&#10;+Do2m9O2PZTmkp8/VjvMlXoe9u8zEJH6+C9+uPdaQZ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jrrLBAAAA2wAAAA8AAAAAAAAAAAAAAAAAmAIAAGRycy9kb3du&#10;cmV2LnhtbFBLBQYAAAAABAAEAPUAAACGAwAAAAA=&#10;" fillcolor="white [3201]" strokeweight=".5pt">
                      <v:textbox>
                        <w:txbxContent>
                          <w:p w:rsidR="004C50AA" w:rsidRPr="003F209C" w:rsidRDefault="004C50AA" w:rsidP="00F019C3">
                            <w:pPr>
                              <w:jc w:val="center"/>
                            </w:pPr>
                            <w:r w:rsidRPr="003F209C">
                              <w:t>Доходный подход</w:t>
                            </w:r>
                          </w:p>
                        </w:txbxContent>
                      </v:textbox>
                    </v:shape>
                    <v:shape id="Поле 7" o:spid="_x0000_s1036" type="#_x0000_t202" style="position:absolute;top:11908;width:10312;height:13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8LKcQA&#10;AADbAAAADwAAAGRycy9kb3ducmV2LnhtbESPQWsCMRSE74X+h/AK3jS7pbiyGqUtlbb05Gp7fmye&#10;u8HNy5pEXf99UxB6HGbmG2axGmwnzuSDcawgn2QgiGunDTcKdtv1eAYiRGSNnWNScKUAq+X93QJL&#10;7S68oXMVG5EgHEpU0MbYl1KGuiWLYeJ64uTtnbcYk/SN1B4vCW47+ZhlU2nRcFposafXlupDdbIK&#10;jt9++5Sbt59191mZY3H4ennHQqnRw/A8BxFpiP/hW/tDKyhy+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ynEAAAA2wAAAA8AAAAAAAAAAAAAAAAAmAIAAGRycy9k&#10;b3ducmV2LnhtbFBLBQYAAAAABAAEAPUAAACJAwAAAAA=&#10;" fillcolor="white [3201]" strokeweight=".5pt">
                      <v:textbox>
                        <w:txbxContent>
                          <w:p w:rsidR="004C50AA" w:rsidRPr="00F5577E" w:rsidRDefault="004C50AA" w:rsidP="00F019C3">
                            <w:pPr>
                              <w:jc w:val="center"/>
                            </w:pPr>
                            <w:r>
                              <w:t>Метод к</w:t>
                            </w:r>
                            <w:r>
                              <w:t>а</w:t>
                            </w:r>
                            <w:r>
                              <w:t>питализ</w:t>
                            </w:r>
                            <w:r>
                              <w:t>а</w:t>
                            </w:r>
                            <w:r>
                              <w:t>ции</w:t>
                            </w:r>
                          </w:p>
                        </w:txbxContent>
                      </v:textbox>
                    </v:shape>
                    <v:shape id="Поле 9" o:spid="_x0000_s1037" type="#_x0000_t202" style="position:absolute;left:11376;top:11908;width:10313;height:13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2VXsQA&#10;AADbAAAADwAAAGRycy9kb3ducmV2LnhtbESPQWsCMRSE74X+h/AKvWlWka5sjdIWpRVPrtrzY/O6&#10;G9y8rEmq239vBKHHYWa+YWaL3rbiTD4YxwpGwwwEceW04VrBfrcaTEGEiKyxdUwK/ijAYv74MMNC&#10;uwtv6VzGWiQIhwIVNDF2hZShashiGLqOOHk/zluMSfpaao+XBLetHGfZi7RoOC002NFHQ9Wx/LUK&#10;Tge/m4zM8nvVrktzyo+b90/MlXp+6t9eQUTq43/43v7SCvIx3L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9lV7EAAAA2wAAAA8AAAAAAAAAAAAAAAAAmAIAAGRycy9k&#10;b3ducmV2LnhtbFBLBQYAAAAABAAEAPUAAACJAwAAAAA=&#10;" fillcolor="white [3201]" strokeweight=".5pt">
                      <v:textbox>
                        <w:txbxContent>
                          <w:p w:rsidR="004C50AA" w:rsidRPr="00F5577E" w:rsidRDefault="004C50AA" w:rsidP="00F019C3">
                            <w:pPr>
                              <w:jc w:val="center"/>
                            </w:pPr>
                            <w:r>
                              <w:t>Метод дисконт</w:t>
                            </w:r>
                            <w:r>
                              <w:t>и</w:t>
                            </w:r>
                            <w:r>
                              <w:t>рования</w:t>
                            </w:r>
                          </w:p>
                        </w:txbxContent>
                      </v:textbox>
                    </v:shape>
                    <v:line id="Прямая соединительная линия 24" o:spid="_x0000_s1038" style="position:absolute;visibility:visible;mso-wrap-style:square" from="6698,7336" to="6698,1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n2q8IAAADbAAAADwAAAGRycy9kb3ducmV2LnhtbESPT2sCMRTE7wW/Q3hCb5pVqdXVKFIq&#10;Fj3VP/fH5rm7uHlZk1TTb98IQo/DzPyGmS+jacSNnK8tKxj0MxDEhdU1lwqOh3VvAsIHZI2NZVLw&#10;Sx6Wi87LHHNt7/xNt30oRYKwz1FBFUKbS+mLigz6vm2Jk3e2zmBI0pVSO7wnuGnkMMvG0mDNaaHC&#10;lj4qKi77H5Mog9PVyM1liqet27nP0Ti+xatSr924moEIFMN/+Nn+0greR/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n2q8IAAADbAAAADwAAAAAAAAAAAAAA&#10;AAChAgAAZHJzL2Rvd25yZXYueG1sUEsFBgAAAAAEAAQA+QAAAJADAAAAAA==&#10;" strokecolor="black [3040]"/>
                    <v:line id="Прямая соединительная линия 25" o:spid="_x0000_s1039" style="position:absolute;visibility:visible;mso-wrap-style:square" from="14885,7230" to="14885,1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u38IAAADbAAAADwAAAGRycy9kb3ducmV2LnhtbESPW2sCMRSE3wv9D+EU+laz2npbjSKl&#10;paJP3t4Pm+Pu4uZkTVJN/30jCD4OM/MNM51H04gLOV9bVtDtZCCIC6trLhXsd99vIxA+IGtsLJOC&#10;P/Iwnz0/TTHX9sobumxDKRKEfY4KqhDaXEpfVGTQd2xLnLyjdQZDkq6U2uE1wU0je1k2kAZrTgsV&#10;tvRZUXHa/ppE6R7ORv6cxnhYubX7eh/Efjwr9foSFxMQgWJ4hO/tpVYw/ID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Bu38IAAADbAAAADwAAAAAAAAAAAAAA&#10;AAChAgAAZHJzL2Rvd25yZXYueG1sUEsFBgAAAAAEAAQA+QAAAJADAAAAAA==&#10;" strokecolor="black [3040]"/>
                  </v:group>
                  <v:line id="Прямая соединительная линия 26" o:spid="_x0000_s1040" style="position:absolute;visibility:visible;mso-wrap-style:square" from="30409,7442" to="30409,1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LRMIAAADbAAAADwAAAGRycy9kb3ducmV2LnhtbESPT2sCMRTE70K/Q3gFb5q1otWtUYoo&#10;lXqqf+6Pzevu4uZlTaKm394UBI/DzPyGmS2iacSVnK8tKxj0MxDEhdU1lwoO+3VvAsIHZI2NZVLw&#10;Rx4W85fODHNtb/xD110oRYKwz1FBFUKbS+mLigz6vm2Jk/drncGQpCuldnhLcNPItywbS4M1p4UK&#10;W1pWVJx2F5Mog+PZyK/TFI/fbutWw3EcxbNS3df4+QEiUAzP8KO90QreR/D/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zLRMIAAADbAAAADwAAAAAAAAAAAAAA&#10;AAChAgAAZHJzL2Rvd25yZXYueG1sUEsFBgAAAAAEAAQA+QAAAJADAAAAAA==&#10;" strokecolor="black [3040]"/>
                  <v:line id="Прямая соединительная линия 27" o:spid="_x0000_s1041" style="position:absolute;visibility:visible;mso-wrap-style:square" from="38596,7442" to="38596,1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5VM8IAAADbAAAADwAAAGRycy9kb3ducmV2LnhtbESPQWsCMRSE70L/Q3gFb5q10m27NUop&#10;ikVPbuv9sXndXdy8rEnU9N83guBxmJlvmNkimk6cyfnWsoLJOANBXFndcq3g53s1egXhA7LGzjIp&#10;+CMPi/nDYIaFthfe0bkMtUgQ9gUqaELoCyl91ZBBP7Y9cfJ+rTMYknS11A4vCW46+ZRluTTYclpo&#10;sKfPhqpDeTKJMtkfjVwf3nC/cVu3nObxOR6VGj7Gj3cQgWK4h2/tL63gJYfrl/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35VM8IAAADbAAAADwAAAAAAAAAAAAAA&#10;AAChAgAAZHJzL2Rvd25yZXYueG1sUEsFBgAAAAAEAAQA+QAAAJADAAAAAA==&#10;" strokecolor="black [3040]"/>
                </v:group>
                <v:line id="Прямая соединительная линия 28" o:spid="_x0000_s1042" style="position:absolute;visibility:visible;mso-wrap-style:square" from="53375,7230" to="53375,1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LwqMIAAADbAAAADwAAAGRycy9kb3ducmV2LnhtbESPT2sCMRTE70K/Q3gFbzWr4r/VKEUU&#10;Sz3V6v2xed1d3LysSdT47ZtCweMwM79hFqtoGnEj52vLCvq9DARxYXXNpYLj9/ZtCsIHZI2NZVLw&#10;IA+r5Utngbm2d/6i2yGUIkHY56igCqHNpfRFRQZ9z7bEyfuxzmBI0pVSO7wnuGnkIMvG0mDNaaHC&#10;ltYVFefD1SRK/3Qxcnee4enT7d1mOI6jeFGq+xrf5yACxfAM/7c/tILJBP6+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LwqMIAAADbAAAADwAAAAAAAAAAAAAA&#10;AAChAgAAZHJzL2Rvd25yZXYueG1sUEsFBgAAAAAEAAQA+QAAAJADAAAAAA==&#10;" strokecolor="black [3040]"/>
                <v:line id="Прямая соединительная линия 29" o:spid="_x0000_s1043" style="position:absolute;visibility:visible;mso-wrap-style:square" from="61668,7230" to="61668,1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1k2sMAAADbAAAADwAAAGRycy9kb3ducmV2LnhtbESPwU4CMRCG7yS+QzMm3qSLRpCVQgzB&#10;aOQEwn2yHXc3bKdLW6G8PXMw4Tj55/9mvtkiu06dKMTWs4HRsABFXHnbcm1g9/Px+AoqJmSLnWcy&#10;cKEIi/ndYIal9Wfe0GmbaiUQjiUaaFLqS61j1ZDDOPQ9sWS/PjhMMoZa24BngbtOPxXFWDtsWS40&#10;2NOyoeqw/XNCGe2PTn8eprj/Duuweh7nl3w05uE+v7+BSpTTbfm//WUNTORZcREP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ZNrDAAAA2wAAAA8AAAAAAAAAAAAA&#10;AAAAoQIAAGRycy9kb3ducmV2LnhtbFBLBQYAAAAABAAEAPkAAACRAwAAAAA=&#10;" strokecolor="black [3040]"/>
                <w10:wrap type="topAndBottom"/>
              </v:group>
            </w:pict>
          </mc:Fallback>
        </mc:AlternateContent>
      </w:r>
    </w:p>
    <w:p w:rsidR="00F019C3" w:rsidRPr="001C05E5" w:rsidRDefault="00F019C3" w:rsidP="007D374E">
      <w:pPr>
        <w:spacing w:line="360" w:lineRule="auto"/>
        <w:jc w:val="center"/>
        <w:rPr>
          <w:b/>
        </w:rPr>
      </w:pPr>
      <w:r w:rsidRPr="001C05E5">
        <w:rPr>
          <w:b/>
        </w:rPr>
        <w:t>Подходы к оценке бизнеса</w:t>
      </w:r>
    </w:p>
    <w:p w:rsidR="001C05E5" w:rsidRDefault="001C05E5" w:rsidP="00A70259">
      <w:pPr>
        <w:spacing w:after="200"/>
        <w:ind w:firstLine="709"/>
        <w:jc w:val="center"/>
      </w:pPr>
      <w:r>
        <w:t>С</w:t>
      </w:r>
      <w:r w:rsidR="006D4E60">
        <w:t xml:space="preserve">оставлено по: </w:t>
      </w:r>
      <w:r w:rsidR="006D4E60" w:rsidRPr="006D4E60">
        <w:t>Эванс Ф., Бишоп Д. Оценка компаний при слияниях и поглощен</w:t>
      </w:r>
      <w:r w:rsidR="006D4E60" w:rsidRPr="006D4E60">
        <w:t>и</w:t>
      </w:r>
      <w:r w:rsidR="006D4E60" w:rsidRPr="006D4E60">
        <w:t>ях. Создание стоимости в частных компаниях. М., 2004, стр. 131-133</w:t>
      </w:r>
    </w:p>
    <w:p w:rsidR="00F019C3" w:rsidRPr="00F019C3" w:rsidRDefault="00F019C3" w:rsidP="00A70259">
      <w:pPr>
        <w:spacing w:after="200" w:line="360" w:lineRule="auto"/>
        <w:ind w:firstLine="709"/>
        <w:jc w:val="both"/>
      </w:pPr>
      <w:r w:rsidRPr="00F019C3">
        <w:t>Данные подходы позволяют определить экономическую стоимость компании, к</w:t>
      </w:r>
      <w:r w:rsidRPr="00F019C3">
        <w:t>о</w:t>
      </w:r>
      <w:r w:rsidRPr="00F019C3">
        <w:t>торую не нужно корректировать, если целью покупателя является приобретение лишь н</w:t>
      </w:r>
      <w:r w:rsidRPr="00F019C3">
        <w:t>е</w:t>
      </w:r>
      <w:r w:rsidRPr="00F019C3">
        <w:t>большой части компании. Но если же целью является установление контроля над комп</w:t>
      </w:r>
      <w:r w:rsidRPr="00F019C3">
        <w:t>а</w:t>
      </w:r>
      <w:r w:rsidRPr="00F019C3">
        <w:t>нией, то для определения цены приобретения к рассчитанной экономической стоимости необходимо прибавить премию за контроль. Классически инвесторы предпочитают пр</w:t>
      </w:r>
      <w:r w:rsidRPr="00F019C3">
        <w:t>и</w:t>
      </w:r>
      <w:r w:rsidRPr="00F019C3">
        <w:t xml:space="preserve">обрести  контрольную, а не миноритарную долю в другой компании, поскольку в таком случае они смогут ей управлять. </w:t>
      </w:r>
    </w:p>
    <w:p w:rsidR="00F019C3" w:rsidRPr="00F019C3" w:rsidRDefault="00F019C3" w:rsidP="00C87CF2">
      <w:pPr>
        <w:spacing w:line="360" w:lineRule="auto"/>
        <w:ind w:firstLine="709"/>
        <w:contextualSpacing/>
        <w:jc w:val="both"/>
        <w:rPr>
          <w:u w:val="single"/>
        </w:rPr>
      </w:pPr>
      <w:r w:rsidRPr="00F019C3">
        <w:rPr>
          <w:u w:val="single"/>
        </w:rPr>
        <w:t>Оценка на основе дисконтированного денежного потока.</w:t>
      </w:r>
    </w:p>
    <w:p w:rsidR="00F019C3" w:rsidRPr="00F019C3" w:rsidRDefault="00F019C3" w:rsidP="00C87CF2">
      <w:pPr>
        <w:spacing w:line="360" w:lineRule="auto"/>
        <w:ind w:firstLine="709"/>
        <w:contextualSpacing/>
        <w:jc w:val="both"/>
      </w:pPr>
      <w:r w:rsidRPr="00F019C3">
        <w:t>Теория доходного подхода состоит в том, что стоимость покупки рассчитывается как текущая стоимость будущих выгод, дисконтированных по норме доходности, отр</w:t>
      </w:r>
      <w:r w:rsidRPr="00F019C3">
        <w:t>а</w:t>
      </w:r>
      <w:r w:rsidRPr="00F019C3">
        <w:t>жающих рискованность инвестиций. Данный подход применяется при расчете стоимости для целей слияний  и поглощений гораздо чаще, чем рыночный подход или подход по а</w:t>
      </w:r>
      <w:r w:rsidRPr="00F019C3">
        <w:t>к</w:t>
      </w:r>
      <w:r w:rsidRPr="00F019C3">
        <w:t xml:space="preserve">тивам. Приобретатель вкладывает капитал при совершении покупки, чтобы получить в </w:t>
      </w:r>
      <w:r w:rsidRPr="00F019C3">
        <w:lastRenderedPageBreak/>
        <w:t>перспективе чистые денежные потоки, которые не являются гарантированными, т.е. по</w:t>
      </w:r>
      <w:r w:rsidRPr="00F019C3">
        <w:t>д</w:t>
      </w:r>
      <w:r w:rsidRPr="00F019C3">
        <w:t>вержены рискам.</w:t>
      </w:r>
      <w:r w:rsidRPr="00F019C3">
        <w:rPr>
          <w:vertAlign w:val="superscript"/>
        </w:rPr>
        <w:footnoteReference w:id="16"/>
      </w:r>
      <w:r w:rsidRPr="00F019C3">
        <w:t xml:space="preserve"> </w:t>
      </w:r>
    </w:p>
    <w:p w:rsidR="00F019C3" w:rsidRPr="00F019C3" w:rsidRDefault="00F019C3" w:rsidP="009B0596">
      <w:pPr>
        <w:spacing w:line="360" w:lineRule="auto"/>
        <w:ind w:firstLine="709"/>
        <w:contextualSpacing/>
        <w:jc w:val="both"/>
      </w:pPr>
      <w:r w:rsidRPr="00F019C3">
        <w:t xml:space="preserve">При оценке могут использоваться прошлые или прогнозируемые данные. </w:t>
      </w:r>
      <w:proofErr w:type="gramStart"/>
      <w:r w:rsidRPr="00F019C3">
        <w:t>В кач</w:t>
      </w:r>
      <w:r w:rsidRPr="00F019C3">
        <w:t>е</w:t>
      </w:r>
      <w:r w:rsidRPr="00F019C3">
        <w:t xml:space="preserve">стве показателя денежного потока можно взять </w:t>
      </w:r>
      <w:r w:rsidRPr="00F019C3">
        <w:rPr>
          <w:lang w:val="en-US"/>
        </w:rPr>
        <w:t>FCFF</w:t>
      </w:r>
      <w:r w:rsidRPr="00F019C3">
        <w:t>(</w:t>
      </w:r>
      <w:r w:rsidRPr="00F019C3">
        <w:rPr>
          <w:lang w:val="en-US"/>
        </w:rPr>
        <w:t>free</w:t>
      </w:r>
      <w:r w:rsidRPr="00F019C3">
        <w:t xml:space="preserve"> </w:t>
      </w:r>
      <w:r w:rsidRPr="00F019C3">
        <w:rPr>
          <w:lang w:val="en-US"/>
        </w:rPr>
        <w:t>cash</w:t>
      </w:r>
      <w:r w:rsidRPr="00F019C3">
        <w:t xml:space="preserve"> </w:t>
      </w:r>
      <w:r w:rsidRPr="00F019C3">
        <w:rPr>
          <w:lang w:val="en-US"/>
        </w:rPr>
        <w:t>flow</w:t>
      </w:r>
      <w:r w:rsidRPr="00F019C3">
        <w:t xml:space="preserve"> </w:t>
      </w:r>
      <w:r w:rsidRPr="00F019C3">
        <w:rPr>
          <w:lang w:val="en-US"/>
        </w:rPr>
        <w:t>for</w:t>
      </w:r>
      <w:r w:rsidRPr="00F019C3">
        <w:t xml:space="preserve"> </w:t>
      </w:r>
      <w:r w:rsidRPr="00F019C3">
        <w:rPr>
          <w:lang w:val="en-US"/>
        </w:rPr>
        <w:t>the</w:t>
      </w:r>
      <w:r w:rsidRPr="00F019C3">
        <w:t xml:space="preserve"> </w:t>
      </w:r>
      <w:r w:rsidRPr="00F019C3">
        <w:rPr>
          <w:lang w:val="en-US"/>
        </w:rPr>
        <w:t>firm</w:t>
      </w:r>
      <w:r w:rsidRPr="00F019C3">
        <w:t>) – свобо</w:t>
      </w:r>
      <w:r w:rsidRPr="00F019C3">
        <w:t>д</w:t>
      </w:r>
      <w:r w:rsidRPr="00F019C3">
        <w:t xml:space="preserve">ный денежный поток фирмы, рассчитанный как поток выгод для всех инвесторов, </w:t>
      </w:r>
      <w:r w:rsidR="000C6804">
        <w:t>б</w:t>
      </w:r>
      <w:r w:rsidRPr="00F019C3">
        <w:t>ез в</w:t>
      </w:r>
      <w:r w:rsidRPr="00F019C3">
        <w:t>ы</w:t>
      </w:r>
      <w:r w:rsidRPr="00F019C3">
        <w:t xml:space="preserve">чета процентов по заемному капиталу из операционной прибыли, или </w:t>
      </w:r>
      <w:r w:rsidRPr="00F019C3">
        <w:rPr>
          <w:lang w:val="en-US"/>
        </w:rPr>
        <w:t>FCFE</w:t>
      </w:r>
      <w:r w:rsidRPr="00F019C3">
        <w:t xml:space="preserve"> (</w:t>
      </w:r>
      <w:r w:rsidRPr="00F019C3">
        <w:rPr>
          <w:lang w:val="en-US"/>
        </w:rPr>
        <w:t>free</w:t>
      </w:r>
      <w:r w:rsidRPr="00F019C3">
        <w:t xml:space="preserve"> </w:t>
      </w:r>
      <w:r w:rsidRPr="00F019C3">
        <w:rPr>
          <w:lang w:val="en-US"/>
        </w:rPr>
        <w:t>cash</w:t>
      </w:r>
      <w:r w:rsidRPr="00F019C3">
        <w:t xml:space="preserve"> </w:t>
      </w:r>
      <w:r w:rsidRPr="00F019C3">
        <w:rPr>
          <w:lang w:val="en-US"/>
        </w:rPr>
        <w:t>flow</w:t>
      </w:r>
      <w:r w:rsidRPr="00F019C3">
        <w:t xml:space="preserve"> </w:t>
      </w:r>
      <w:r w:rsidRPr="00F019C3">
        <w:rPr>
          <w:lang w:val="en-US"/>
        </w:rPr>
        <w:t>to</w:t>
      </w:r>
      <w:r w:rsidRPr="00F019C3">
        <w:t xml:space="preserve"> </w:t>
      </w:r>
      <w:r w:rsidRPr="00F019C3">
        <w:rPr>
          <w:lang w:val="en-US"/>
        </w:rPr>
        <w:t>equity</w:t>
      </w:r>
      <w:r w:rsidRPr="00F019C3">
        <w:t xml:space="preserve"> </w:t>
      </w:r>
      <w:r w:rsidRPr="00F019C3">
        <w:rPr>
          <w:lang w:val="en-US"/>
        </w:rPr>
        <w:t>investors</w:t>
      </w:r>
      <w:r w:rsidRPr="00F019C3">
        <w:t>) – свободный денежный поток у владельцев собственного капитала, к</w:t>
      </w:r>
      <w:r w:rsidRPr="00F019C3">
        <w:t>о</w:t>
      </w:r>
      <w:r w:rsidRPr="00F019C3">
        <w:t>торый остается в их распоряжении после погашения всех операционных обязательств, включая</w:t>
      </w:r>
      <w:proofErr w:type="gramEnd"/>
      <w:r w:rsidRPr="00F019C3">
        <w:t xml:space="preserve"> </w:t>
      </w:r>
      <w:proofErr w:type="gramStart"/>
      <w:r w:rsidRPr="00F019C3">
        <w:t xml:space="preserve">налоги, капитальных обязательств и расчетов с другими поставщиками капитала, а в качестве показателя прибыли – </w:t>
      </w:r>
      <w:proofErr w:type="spellStart"/>
      <w:r w:rsidRPr="00F019C3">
        <w:t>посленалоговую</w:t>
      </w:r>
      <w:proofErr w:type="spellEnd"/>
      <w:r w:rsidRPr="00F019C3">
        <w:t xml:space="preserve"> прибыль (</w:t>
      </w:r>
      <w:r w:rsidRPr="00F019C3">
        <w:rPr>
          <w:lang w:val="en-US"/>
        </w:rPr>
        <w:t>net</w:t>
      </w:r>
      <w:r w:rsidRPr="00F019C3">
        <w:t xml:space="preserve"> </w:t>
      </w:r>
      <w:r w:rsidRPr="00F019C3">
        <w:rPr>
          <w:lang w:val="en-US"/>
        </w:rPr>
        <w:t>income</w:t>
      </w:r>
      <w:r w:rsidRPr="00F019C3">
        <w:t xml:space="preserve">, </w:t>
      </w:r>
      <w:r w:rsidRPr="00F019C3">
        <w:rPr>
          <w:lang w:val="en-US"/>
        </w:rPr>
        <w:t>NI</w:t>
      </w:r>
      <w:r w:rsidRPr="00F019C3">
        <w:t>), операцио</w:t>
      </w:r>
      <w:r w:rsidRPr="00F019C3">
        <w:t>н</w:t>
      </w:r>
      <w:r w:rsidRPr="00F019C3">
        <w:t>ную прибыль или прибыль до вычета процентов и налогов (</w:t>
      </w:r>
      <w:r w:rsidRPr="00F019C3">
        <w:rPr>
          <w:lang w:val="en-US"/>
        </w:rPr>
        <w:t>earnings</w:t>
      </w:r>
      <w:r w:rsidRPr="00F019C3">
        <w:t xml:space="preserve"> </w:t>
      </w:r>
      <w:r w:rsidRPr="00F019C3">
        <w:rPr>
          <w:lang w:val="en-US"/>
        </w:rPr>
        <w:t>before</w:t>
      </w:r>
      <w:r w:rsidRPr="00F019C3">
        <w:t xml:space="preserve"> </w:t>
      </w:r>
      <w:r w:rsidRPr="00F019C3">
        <w:rPr>
          <w:lang w:val="en-US"/>
        </w:rPr>
        <w:t>interests</w:t>
      </w:r>
      <w:r w:rsidRPr="00F019C3">
        <w:t xml:space="preserve"> </w:t>
      </w:r>
      <w:r w:rsidRPr="00F019C3">
        <w:rPr>
          <w:lang w:val="en-US"/>
        </w:rPr>
        <w:t>and</w:t>
      </w:r>
      <w:r w:rsidRPr="00F019C3">
        <w:t xml:space="preserve"> </w:t>
      </w:r>
      <w:r w:rsidRPr="00F019C3">
        <w:rPr>
          <w:lang w:val="en-US"/>
        </w:rPr>
        <w:t>taxes</w:t>
      </w:r>
      <w:r w:rsidRPr="00F019C3">
        <w:t xml:space="preserve">, </w:t>
      </w:r>
      <w:r w:rsidRPr="00F019C3">
        <w:rPr>
          <w:lang w:val="en-US"/>
        </w:rPr>
        <w:t>EBIT</w:t>
      </w:r>
      <w:r w:rsidRPr="00F019C3">
        <w:t>) или же прибыль до вычета процентов, налогов, амортизации и износа (</w:t>
      </w:r>
      <w:r w:rsidRPr="00F019C3">
        <w:rPr>
          <w:lang w:val="en-US"/>
        </w:rPr>
        <w:t>ear</w:t>
      </w:r>
      <w:r w:rsidRPr="00F019C3">
        <w:rPr>
          <w:lang w:val="en-US"/>
        </w:rPr>
        <w:t>n</w:t>
      </w:r>
      <w:r w:rsidRPr="00F019C3">
        <w:rPr>
          <w:lang w:val="en-US"/>
        </w:rPr>
        <w:t>ings</w:t>
      </w:r>
      <w:r w:rsidRPr="00F019C3">
        <w:t xml:space="preserve"> </w:t>
      </w:r>
      <w:r w:rsidRPr="00F019C3">
        <w:rPr>
          <w:lang w:val="en-US"/>
        </w:rPr>
        <w:t>before</w:t>
      </w:r>
      <w:r w:rsidRPr="00F019C3">
        <w:t xml:space="preserve"> </w:t>
      </w:r>
      <w:r w:rsidRPr="00F019C3">
        <w:rPr>
          <w:lang w:val="en-US"/>
        </w:rPr>
        <w:t>interests</w:t>
      </w:r>
      <w:r w:rsidRPr="00F019C3">
        <w:t xml:space="preserve">, </w:t>
      </w:r>
      <w:r w:rsidRPr="00F019C3">
        <w:rPr>
          <w:lang w:val="en-US"/>
        </w:rPr>
        <w:t>taxes</w:t>
      </w:r>
      <w:r w:rsidRPr="00F019C3">
        <w:t xml:space="preserve">, </w:t>
      </w:r>
      <w:r w:rsidRPr="00F019C3">
        <w:rPr>
          <w:lang w:val="en-US"/>
        </w:rPr>
        <w:t>depreciation</w:t>
      </w:r>
      <w:r w:rsidRPr="00F019C3">
        <w:t xml:space="preserve"> </w:t>
      </w:r>
      <w:r w:rsidRPr="00F019C3">
        <w:rPr>
          <w:lang w:val="en-US"/>
        </w:rPr>
        <w:t>and</w:t>
      </w:r>
      <w:r w:rsidRPr="00F019C3">
        <w:t xml:space="preserve"> </w:t>
      </w:r>
      <w:r w:rsidRPr="00F019C3">
        <w:rPr>
          <w:lang w:val="en-US"/>
        </w:rPr>
        <w:t>amortization</w:t>
      </w:r>
      <w:r w:rsidRPr="00F019C3">
        <w:t xml:space="preserve">, </w:t>
      </w:r>
      <w:r w:rsidRPr="00F019C3">
        <w:rPr>
          <w:lang w:val="en-US"/>
        </w:rPr>
        <w:t>EBITDA</w:t>
      </w:r>
      <w:r w:rsidRPr="00F019C3">
        <w:t>).</w:t>
      </w:r>
      <w:proofErr w:type="gramEnd"/>
      <w:r w:rsidRPr="00F019C3">
        <w:t xml:space="preserve"> FCFF это </w:t>
      </w:r>
      <w:proofErr w:type="spellStart"/>
      <w:r w:rsidRPr="00F019C3">
        <w:t>посленалог</w:t>
      </w:r>
      <w:r w:rsidRPr="00F019C3">
        <w:t>о</w:t>
      </w:r>
      <w:r w:rsidRPr="00F019C3">
        <w:t>вый</w:t>
      </w:r>
      <w:proofErr w:type="spellEnd"/>
      <w:r w:rsidRPr="00F019C3">
        <w:t xml:space="preserve"> денежный поток от операционной деятельности фирмы за вычетом чистых инвест</w:t>
      </w:r>
      <w:r w:rsidRPr="00F019C3">
        <w:t>и</w:t>
      </w:r>
      <w:r w:rsidRPr="00F019C3">
        <w:t>ций в основной и оборотный капитал, доступный инвесторам (кредиторам и собственн</w:t>
      </w:r>
      <w:r w:rsidRPr="00F019C3">
        <w:t>и</w:t>
      </w:r>
      <w:r w:rsidRPr="00F019C3">
        <w:t>кам). Так как FCFF это денежный поток, полученный в результате эксплуатации активов, который направлен инвесторам, то его величина должна быть равна сумме выплат, и о</w:t>
      </w:r>
      <w:r w:rsidRPr="00F019C3">
        <w:t>б</w:t>
      </w:r>
      <w:r w:rsidRPr="00F019C3">
        <w:t xml:space="preserve">ратно. Разница между </w:t>
      </w:r>
      <w:r w:rsidRPr="00F019C3">
        <w:rPr>
          <w:lang w:val="en-US"/>
        </w:rPr>
        <w:t>FCFF</w:t>
      </w:r>
      <w:r w:rsidRPr="00F019C3">
        <w:t xml:space="preserve"> и </w:t>
      </w:r>
      <w:r w:rsidRPr="00F019C3">
        <w:rPr>
          <w:lang w:val="en-US"/>
        </w:rPr>
        <w:t>FCFE</w:t>
      </w:r>
      <w:r w:rsidRPr="00F019C3">
        <w:t xml:space="preserve"> – это денежный поток, связанный с долгом компании плюс требования, не относящиеся к обыкновенным акциям. Процентные платежи умн</w:t>
      </w:r>
      <w:r w:rsidRPr="00F019C3">
        <w:t>о</w:t>
      </w:r>
      <w:r w:rsidRPr="00F019C3">
        <w:t xml:space="preserve">жают на коэффициент, равный (1 – налоговая ставка), чтобы скорректировать </w:t>
      </w:r>
      <w:r w:rsidRPr="00F019C3">
        <w:rPr>
          <w:lang w:val="en-US"/>
        </w:rPr>
        <w:t>FCFF</w:t>
      </w:r>
      <w:r w:rsidRPr="00F019C3">
        <w:t xml:space="preserve"> на ту часть процентов, выплаченных владельцам акций, которая невозместима для акционеров в связи с тем, что проценты вычитаются из налогооблагаемой базы.</w:t>
      </w:r>
      <w:r w:rsidRPr="00F019C3">
        <w:rPr>
          <w:vertAlign w:val="superscript"/>
        </w:rPr>
        <w:footnoteReference w:id="17"/>
      </w:r>
    </w:p>
    <w:p w:rsidR="00F019C3" w:rsidRPr="00F019C3" w:rsidRDefault="00F019C3" w:rsidP="009B0596">
      <w:pPr>
        <w:spacing w:line="360" w:lineRule="auto"/>
        <w:ind w:firstLine="709"/>
        <w:contextualSpacing/>
        <w:jc w:val="both"/>
      </w:pPr>
      <w:r w:rsidRPr="00F019C3">
        <w:t xml:space="preserve">Широко применяется метод </w:t>
      </w:r>
      <w:proofErr w:type="gramStart"/>
      <w:r w:rsidRPr="00F019C3">
        <w:t>оценки</w:t>
      </w:r>
      <w:proofErr w:type="gramEnd"/>
      <w:r w:rsidRPr="00F019C3">
        <w:t xml:space="preserve"> </w:t>
      </w:r>
      <w:r w:rsidR="003B39C0">
        <w:t xml:space="preserve">такой как </w:t>
      </w:r>
      <w:r w:rsidRPr="00F019C3">
        <w:t>метод дисконтирования денежного потока (</w:t>
      </w:r>
      <w:r w:rsidRPr="00F019C3">
        <w:rPr>
          <w:lang w:val="en-US"/>
        </w:rPr>
        <w:t>discount</w:t>
      </w:r>
      <w:r w:rsidRPr="00F019C3">
        <w:t xml:space="preserve"> </w:t>
      </w:r>
      <w:r w:rsidRPr="00F019C3">
        <w:rPr>
          <w:lang w:val="en-US"/>
        </w:rPr>
        <w:t>cash</w:t>
      </w:r>
      <w:r w:rsidRPr="00F019C3">
        <w:t xml:space="preserve"> </w:t>
      </w:r>
      <w:r w:rsidRPr="00F019C3">
        <w:rPr>
          <w:lang w:val="en-US"/>
        </w:rPr>
        <w:t>flow</w:t>
      </w:r>
      <w:r w:rsidRPr="00F019C3">
        <w:t xml:space="preserve">, </w:t>
      </w:r>
      <w:r w:rsidRPr="00F019C3">
        <w:rPr>
          <w:lang w:val="en-US"/>
        </w:rPr>
        <w:t>DCF</w:t>
      </w:r>
      <w:r w:rsidRPr="00F019C3">
        <w:t xml:space="preserve">), который базируется на </w:t>
      </w:r>
      <w:r w:rsidR="003B39C0">
        <w:t xml:space="preserve">положении, что </w:t>
      </w:r>
      <w:r w:rsidRPr="00F019C3">
        <w:t xml:space="preserve"> стоимость акт</w:t>
      </w:r>
      <w:r w:rsidRPr="00F019C3">
        <w:t>и</w:t>
      </w:r>
      <w:r w:rsidRPr="00F019C3">
        <w:t>вов на данный момент – это текущая стоимость денежных потоков, которые будут пол</w:t>
      </w:r>
      <w:r w:rsidRPr="00F019C3">
        <w:t>у</w:t>
      </w:r>
      <w:r w:rsidRPr="00F019C3">
        <w:t>чены от этих активов в течени</w:t>
      </w:r>
      <w:r w:rsidR="003B39C0">
        <w:t>е</w:t>
      </w:r>
      <w:r w:rsidRPr="00F019C3">
        <w:t xml:space="preserve"> их экономической жизни, дисконтированных по опред</w:t>
      </w:r>
      <w:r w:rsidRPr="00F019C3">
        <w:t>е</w:t>
      </w:r>
      <w:r w:rsidRPr="00F019C3">
        <w:t>ленной ставке, соответствующей рискам этой компании.</w:t>
      </w:r>
      <w:r w:rsidRPr="00F019C3">
        <w:rPr>
          <w:vertAlign w:val="superscript"/>
        </w:rPr>
        <w:footnoteReference w:id="18"/>
      </w:r>
      <w:r w:rsidRPr="00F019C3">
        <w:t xml:space="preserve"> Он предусматривает прогноз</w:t>
      </w:r>
      <w:r w:rsidRPr="00F019C3">
        <w:t>и</w:t>
      </w:r>
      <w:r w:rsidRPr="00F019C3">
        <w:t xml:space="preserve">рование результатов работы компании за ряд последовательных </w:t>
      </w:r>
      <w:proofErr w:type="gramStart"/>
      <w:r w:rsidRPr="00F019C3">
        <w:t>лет</w:t>
      </w:r>
      <w:proofErr w:type="gramEnd"/>
      <w:r w:rsidRPr="00F019C3">
        <w:t xml:space="preserve"> и затем расчёт прив</w:t>
      </w:r>
      <w:r w:rsidRPr="00F019C3">
        <w:t>е</w:t>
      </w:r>
      <w:r w:rsidRPr="00F019C3">
        <w:t>денной стоимости (</w:t>
      </w:r>
      <w:r w:rsidRPr="00F019C3">
        <w:rPr>
          <w:lang w:val="en-US"/>
        </w:rPr>
        <w:t>PV</w:t>
      </w:r>
      <w:r w:rsidRPr="00F019C3">
        <w:t>) этих годовых прогнозных показателей путем деления каждого из них на ставку дисконтирования. Ставка дисконтирования или ставка капитализации отр</w:t>
      </w:r>
      <w:r w:rsidRPr="00F019C3">
        <w:t>а</w:t>
      </w:r>
      <w:r w:rsidRPr="00F019C3">
        <w:t xml:space="preserve">жает доходность, требуемую для того, чтобы инвестор купил активы, с которыми связан </w:t>
      </w:r>
      <w:r w:rsidRPr="00F019C3">
        <w:lastRenderedPageBreak/>
        <w:t>данный уровень риска. В конце прогнозного периода определяется продленная стоимость компании, называемая так же ее устойчивой стоимостью, или стоимостью устойчивого роста, которая представляет собой расчетную стоимость ее будущих денежных потоков на этот момент. Затем эта продленная стоимость дисконтируется к приведенной стоимости и прибавляется к сумме дисконтированных прогнозных годовых показателей денежного п</w:t>
      </w:r>
      <w:r w:rsidRPr="00F019C3">
        <w:t>о</w:t>
      </w:r>
      <w:r w:rsidRPr="00F019C3">
        <w:t xml:space="preserve">тока. </w:t>
      </w:r>
      <w:proofErr w:type="gramStart"/>
      <w:r w:rsidRPr="00F019C3">
        <w:t>Рассчитанную</w:t>
      </w:r>
      <w:proofErr w:type="gramEnd"/>
      <w:r w:rsidRPr="00F019C3">
        <w:t xml:space="preserve"> таким образом </w:t>
      </w:r>
      <w:r w:rsidRPr="00F019C3">
        <w:rPr>
          <w:lang w:val="en-US"/>
        </w:rPr>
        <w:t>PV</w:t>
      </w:r>
      <w:r w:rsidRPr="00F019C3">
        <w:t xml:space="preserve"> фирмы иногда называют подлинной или внутре</w:t>
      </w:r>
      <w:r w:rsidRPr="00F019C3">
        <w:t>н</w:t>
      </w:r>
      <w:r w:rsidRPr="00F019C3">
        <w:t xml:space="preserve">ней стоимостью компании. Когда метод </w:t>
      </w:r>
      <w:r w:rsidRPr="00F019C3">
        <w:rPr>
          <w:lang w:val="en-US"/>
        </w:rPr>
        <w:t>DFC</w:t>
      </w:r>
      <w:r w:rsidRPr="00F019C3">
        <w:t xml:space="preserve"> применяется к свободному денежному пот</w:t>
      </w:r>
      <w:r w:rsidRPr="00F019C3">
        <w:t>о</w:t>
      </w:r>
      <w:r w:rsidRPr="00F019C3">
        <w:t>ку для компании (</w:t>
      </w:r>
      <w:r w:rsidRPr="00F019C3">
        <w:rPr>
          <w:lang w:val="en-US"/>
        </w:rPr>
        <w:t>FCFF</w:t>
      </w:r>
      <w:r w:rsidRPr="00F019C3">
        <w:t>), то этот метод называется методом коммерческого предприятия, а когда к свободному денежному потоку для акционеров (</w:t>
      </w:r>
      <w:r w:rsidRPr="00F019C3">
        <w:rPr>
          <w:lang w:val="en-US"/>
        </w:rPr>
        <w:t>FCFE</w:t>
      </w:r>
      <w:r w:rsidRPr="00F019C3">
        <w:t xml:space="preserve">), то методом собственного капитала.  </w:t>
      </w:r>
    </w:p>
    <w:p w:rsidR="00F019C3" w:rsidRPr="00F019C3" w:rsidRDefault="00F019C3" w:rsidP="00C87CF2">
      <w:pPr>
        <w:spacing w:line="360" w:lineRule="auto"/>
        <w:ind w:firstLine="709"/>
        <w:contextualSpacing/>
        <w:jc w:val="both"/>
      </w:pPr>
      <w:r w:rsidRPr="00F019C3">
        <w:t xml:space="preserve">Однако данный метод обладает </w:t>
      </w:r>
      <w:proofErr w:type="gramStart"/>
      <w:r w:rsidRPr="00F019C3">
        <w:t>определенным</w:t>
      </w:r>
      <w:proofErr w:type="gramEnd"/>
      <w:r w:rsidRPr="00F019C3">
        <w:t xml:space="preserve"> рядом недостатков. Прежде всего, он требует прогнозирования денежных потоков для каждого периода, продленной сто</w:t>
      </w:r>
      <w:r w:rsidRPr="00F019C3">
        <w:t>и</w:t>
      </w:r>
      <w:r w:rsidRPr="00F019C3">
        <w:t>мости компании и ставки дисконтирования или капитализации на основе ограниченной или ненадежной информации. К тому же, он не пригоден для оценки стоимости компаний, которые систематически терпят убытки, из-за отсутствия предмета дисконтирования. Нужно отметить, что при выборе данного метода оценки отсутствует возможность прие</w:t>
      </w:r>
      <w:r w:rsidRPr="00F019C3">
        <w:t>м</w:t>
      </w:r>
      <w:r w:rsidRPr="00F019C3">
        <w:t xml:space="preserve">лемой оценки активов, которые не перманентно генерируют денежные потоки и </w:t>
      </w:r>
      <w:proofErr w:type="gramStart"/>
      <w:r w:rsidRPr="00F019C3">
        <w:t>не ож</w:t>
      </w:r>
      <w:r w:rsidRPr="00F019C3">
        <w:t>и</w:t>
      </w:r>
      <w:r w:rsidRPr="00F019C3">
        <w:t>дают</w:t>
      </w:r>
      <w:proofErr w:type="gramEnd"/>
      <w:r w:rsidRPr="00F019C3">
        <w:t xml:space="preserve"> их поступления в ближайшем будущем, но которые представляют ценность из-за их потенциала повышения стоимости. Так же метод крайне чувствителен к точности прогн</w:t>
      </w:r>
      <w:r w:rsidRPr="00F019C3">
        <w:t>о</w:t>
      </w:r>
      <w:r w:rsidRPr="00F019C3">
        <w:t>зирования денежного потока и выбору ставки дисконтирования. При использовании ра</w:t>
      </w:r>
      <w:r w:rsidRPr="00F019C3">
        <w:t>з</w:t>
      </w:r>
      <w:r w:rsidRPr="00F019C3">
        <w:t xml:space="preserve">личных ставок дисконтирования можно столкнуться с такими проблемами, как завышение показателя синергии, в случае, если доходность компании переоценена. Доля продленной стоимости в совокупной стоимости может быть непропорционально большой. </w:t>
      </w:r>
      <w:r w:rsidRPr="00F019C3">
        <w:rPr>
          <w:vertAlign w:val="superscript"/>
        </w:rPr>
        <w:footnoteReference w:id="19"/>
      </w:r>
      <w:r w:rsidRPr="00F019C3">
        <w:t xml:space="preserve"> </w:t>
      </w:r>
    </w:p>
    <w:p w:rsidR="00F019C3" w:rsidRPr="00F019C3" w:rsidRDefault="00F019C3" w:rsidP="00C87CF2">
      <w:pPr>
        <w:spacing w:line="360" w:lineRule="auto"/>
        <w:ind w:firstLine="709"/>
        <w:contextualSpacing/>
        <w:jc w:val="both"/>
        <w:rPr>
          <w:u w:val="single"/>
        </w:rPr>
      </w:pPr>
      <w:r w:rsidRPr="00F019C3">
        <w:rPr>
          <w:u w:val="single"/>
        </w:rPr>
        <w:t>Оценка на основе рыночных показателей, или относительная оценка</w:t>
      </w:r>
    </w:p>
    <w:p w:rsidR="00F019C3" w:rsidRPr="00F019C3" w:rsidRDefault="00F019C3" w:rsidP="00C87CF2">
      <w:pPr>
        <w:spacing w:line="360" w:lineRule="auto"/>
        <w:ind w:firstLine="709"/>
        <w:contextualSpacing/>
        <w:jc w:val="both"/>
      </w:pPr>
      <w:r w:rsidRPr="00F019C3">
        <w:t>Рыночный подход основан на принципе замещения (</w:t>
      </w:r>
      <w:r w:rsidRPr="00F019C3">
        <w:rPr>
          <w:lang w:val="en-US"/>
        </w:rPr>
        <w:t>principle</w:t>
      </w:r>
      <w:r w:rsidRPr="00F019C3">
        <w:t xml:space="preserve"> </w:t>
      </w:r>
      <w:r w:rsidRPr="00F019C3">
        <w:rPr>
          <w:lang w:val="en-US"/>
        </w:rPr>
        <w:t>of</w:t>
      </w:r>
      <w:r w:rsidRPr="00F019C3">
        <w:t xml:space="preserve"> </w:t>
      </w:r>
      <w:r w:rsidRPr="00F019C3">
        <w:rPr>
          <w:lang w:val="en-US"/>
        </w:rPr>
        <w:t>substitution</w:t>
      </w:r>
      <w:r w:rsidRPr="00F019C3">
        <w:t xml:space="preserve">), </w:t>
      </w:r>
      <w:proofErr w:type="gramStart"/>
      <w:r w:rsidRPr="00F019C3">
        <w:t>исходя из которого следует</w:t>
      </w:r>
      <w:proofErr w:type="gramEnd"/>
      <w:r w:rsidRPr="00F019C3">
        <w:t>, что стоимость определяется на основе цен, которые были уплачены за схожие объекты на соответствующем рынке. Стоимость, определяемая рыночным по</w:t>
      </w:r>
      <w:r w:rsidRPr="00F019C3">
        <w:t>д</w:t>
      </w:r>
      <w:r w:rsidRPr="00F019C3">
        <w:t>ходом, как и в доходном подходе, учитывает стоимость материальных активов, использ</w:t>
      </w:r>
      <w:r w:rsidRPr="00F019C3">
        <w:t>у</w:t>
      </w:r>
      <w:r w:rsidRPr="00F019C3">
        <w:t>емых компанией в ее деятельности. Если у бизнеса есть избыточные операционные или неработающие активы, они могут быть оценены отдельно, а их стоимость добавлена к стоимости основной деятельности, чтобы определить стоимость предприятия в целом.</w:t>
      </w:r>
      <w:r w:rsidRPr="00F019C3">
        <w:rPr>
          <w:vertAlign w:val="superscript"/>
        </w:rPr>
        <w:footnoteReference w:id="20"/>
      </w:r>
    </w:p>
    <w:p w:rsidR="00F019C3" w:rsidRPr="00F019C3" w:rsidRDefault="00F019C3" w:rsidP="00867818">
      <w:pPr>
        <w:spacing w:line="360" w:lineRule="auto"/>
        <w:ind w:firstLine="709"/>
        <w:contextualSpacing/>
        <w:jc w:val="both"/>
      </w:pPr>
      <w:r w:rsidRPr="00F019C3">
        <w:lastRenderedPageBreak/>
        <w:t>В рамках данного подхода выделяют метод публичной компании аналога. Этот м</w:t>
      </w:r>
      <w:r w:rsidRPr="00F019C3">
        <w:t>е</w:t>
      </w:r>
      <w:r w:rsidRPr="00F019C3">
        <w:t>тод исходит из того, что рынки совершенны, т.е. определяемая рынком текущая стоимость компании отражается всю информацию, имеющуюся о ней на данный момент. Текущей стоимостью, в данном случае, можно назвать то, за что приобретатель заплатил, а прод</w:t>
      </w:r>
      <w:r w:rsidRPr="00F019C3">
        <w:t>а</w:t>
      </w:r>
      <w:r w:rsidRPr="00F019C3">
        <w:t>вец выручил бы за совершение сделки по продаже компании, если бы они располагали одной и той же информацией. При этом методе стоимость компании рассчитывается п</w:t>
      </w:r>
      <w:r w:rsidRPr="00F019C3">
        <w:t>у</w:t>
      </w:r>
      <w:r w:rsidRPr="00F019C3">
        <w:t xml:space="preserve">тем умножения определенных рынком коэффициентов (к примеру, таких как </w:t>
      </w:r>
      <w:proofErr w:type="gramStart"/>
      <w:r w:rsidRPr="00F019C3">
        <w:t>ц</w:t>
      </w:r>
      <w:r w:rsidRPr="00F019C3">
        <w:t>е</w:t>
      </w:r>
      <w:r w:rsidRPr="00F019C3">
        <w:t>на</w:t>
      </w:r>
      <w:proofErr w:type="gramEnd"/>
      <w:r w:rsidRPr="00F019C3">
        <w:t xml:space="preserve">/прибыль, или </w:t>
      </w:r>
      <w:r w:rsidRPr="00F019C3">
        <w:rPr>
          <w:lang w:val="en-US"/>
        </w:rPr>
        <w:t>P</w:t>
      </w:r>
      <w:r w:rsidRPr="00F019C3">
        <w:t>/</w:t>
      </w:r>
      <w:r w:rsidRPr="00F019C3">
        <w:rPr>
          <w:lang w:val="en-US"/>
        </w:rPr>
        <w:t>E</w:t>
      </w:r>
      <w:r w:rsidRPr="00F019C3">
        <w:t>, цена/балансовая стоимость, цена/объем продаж для других фирм той же отрасли, сопоставимых отраслей или же для сопоставимых недавних продаж сходных фирм) на прибыль, балансовую стоимость, или объем продаж оцениваемой компании. Р</w:t>
      </w:r>
      <w:r w:rsidRPr="00F019C3">
        <w:t>е</w:t>
      </w:r>
      <w:r w:rsidRPr="00F019C3">
        <w:t>зультатом расчёта является стоимость фирмы на ликвидно миноритарном уровне, п</w:t>
      </w:r>
      <w:r w:rsidRPr="00F019C3">
        <w:t>о</w:t>
      </w:r>
      <w:r w:rsidRPr="00F019C3">
        <w:t>скольку торгуемые акции компании аналога представляют собой миноритарные интересы.</w:t>
      </w:r>
    </w:p>
    <w:p w:rsidR="00F019C3" w:rsidRPr="00F019C3" w:rsidRDefault="00F019C3" w:rsidP="00867818">
      <w:pPr>
        <w:spacing w:line="360" w:lineRule="auto"/>
        <w:ind w:firstLine="709"/>
        <w:contextualSpacing/>
        <w:jc w:val="both"/>
      </w:pPr>
      <w:r w:rsidRPr="00F019C3">
        <w:t xml:space="preserve">Помимо метода публичной компании аналога так же применяют метод сделок </w:t>
      </w:r>
      <w:r w:rsidRPr="00F019C3">
        <w:rPr>
          <w:lang w:val="en-US"/>
        </w:rPr>
        <w:t>M</w:t>
      </w:r>
      <w:r w:rsidRPr="00F019C3">
        <w:t>&amp;</w:t>
      </w:r>
      <w:r w:rsidRPr="00F019C3">
        <w:rPr>
          <w:lang w:val="en-US"/>
        </w:rPr>
        <w:t>A</w:t>
      </w:r>
      <w:r w:rsidRPr="00F019C3">
        <w:t>, при использовании которого рассматриваются цены, обычно уплачиваемые пу</w:t>
      </w:r>
      <w:r w:rsidRPr="00F019C3">
        <w:t>б</w:t>
      </w:r>
      <w:r w:rsidRPr="00F019C3">
        <w:t>личными компаниями за приобретение контроля над бизнесом. Такие сделки зачастую н</w:t>
      </w:r>
      <w:r w:rsidRPr="00F019C3">
        <w:t>о</w:t>
      </w:r>
      <w:r w:rsidRPr="00F019C3">
        <w:t xml:space="preserve">сят стратегический характер, когда покупатель приобретает в той же или сходной отрасли, чтобы достичь различных синергетических эффектов или других выгод интеграции. </w:t>
      </w:r>
      <w:proofErr w:type="gramStart"/>
      <w:r w:rsidRPr="00F019C3">
        <w:t>Т</w:t>
      </w:r>
      <w:r w:rsidRPr="00F019C3">
        <w:t>а</w:t>
      </w:r>
      <w:r w:rsidRPr="00F019C3">
        <w:t>ким образом, уплачиваемая цена чаще всего отражает инвестиционную стоимость для этого конкретного покупателя, а не справедливую рыночную стоимость, принимающую такие допущения, которые участники рынка использовали бы при определении стоимости актива или обязательства, включая допущения о риске.. Чтобы метод сделок слияний и поглощений приводил к достоверному результату стоимости, данные о совершенных сделках должны относиться к компаниям, которые в разумной степени схожи</w:t>
      </w:r>
      <w:proofErr w:type="gramEnd"/>
      <w:r w:rsidRPr="00F019C3">
        <w:t xml:space="preserve"> с оценива</w:t>
      </w:r>
      <w:r w:rsidRPr="00F019C3">
        <w:t>е</w:t>
      </w:r>
      <w:r w:rsidRPr="00F019C3">
        <w:t xml:space="preserve">мой компанией целью. </w:t>
      </w:r>
    </w:p>
    <w:p w:rsidR="00F019C3" w:rsidRPr="00F019C3" w:rsidRDefault="00F019C3" w:rsidP="00867818">
      <w:pPr>
        <w:spacing w:line="360" w:lineRule="auto"/>
        <w:ind w:firstLine="709"/>
        <w:contextualSpacing/>
        <w:jc w:val="both"/>
      </w:pPr>
      <w:r w:rsidRPr="00F019C3">
        <w:t>Одним из главных недостатков данного подхода является вероятность большой д</w:t>
      </w:r>
      <w:r w:rsidRPr="00F019C3">
        <w:t>о</w:t>
      </w:r>
      <w:r w:rsidRPr="00F019C3">
        <w:t>ли погрешности в результатах оценки, что является результатом быстроты оценки. О</w:t>
      </w:r>
      <w:r w:rsidRPr="00F019C3">
        <w:t>с</w:t>
      </w:r>
      <w:r w:rsidRPr="00F019C3">
        <w:t>новными причинами могут являться трудности в нахождении действительно сопостав</w:t>
      </w:r>
      <w:r w:rsidRPr="00F019C3">
        <w:t>и</w:t>
      </w:r>
      <w:r w:rsidRPr="00F019C3">
        <w:t>мых открытых акционерных компаний. Результат может исказить текущая ситуация на рынке, ведь используются прошлые данные учета, поэтому необходим фундаментальный анализ ситуации на рынке. Кроме того, результат нужно будет скорректировать на пр</w:t>
      </w:r>
      <w:r w:rsidRPr="00F019C3">
        <w:t>е</w:t>
      </w:r>
      <w:r w:rsidRPr="00F019C3">
        <w:t>мию за контроль.</w:t>
      </w:r>
      <w:r w:rsidRPr="00F019C3">
        <w:rPr>
          <w:vertAlign w:val="superscript"/>
        </w:rPr>
        <w:footnoteReference w:id="21"/>
      </w:r>
    </w:p>
    <w:p w:rsidR="00F019C3" w:rsidRPr="00F019C3" w:rsidRDefault="00F019C3" w:rsidP="00C87CF2">
      <w:pPr>
        <w:spacing w:line="360" w:lineRule="auto"/>
        <w:ind w:firstLine="709"/>
        <w:contextualSpacing/>
        <w:jc w:val="both"/>
      </w:pPr>
      <w:r w:rsidRPr="00F019C3">
        <w:t>Несмотря на то, что при анализе используются самые точные рыночные показатели на текущее время, таких сопоставимых сделок может быть немного или возникает ряд проблем с нахождением конкретных данных, относящихся к ним.</w:t>
      </w:r>
    </w:p>
    <w:p w:rsidR="00F019C3" w:rsidRPr="00F019C3" w:rsidRDefault="00F019C3" w:rsidP="00C87CF2">
      <w:pPr>
        <w:spacing w:line="360" w:lineRule="auto"/>
        <w:ind w:firstLine="709"/>
        <w:contextualSpacing/>
        <w:jc w:val="both"/>
        <w:rPr>
          <w:u w:val="single"/>
        </w:rPr>
      </w:pPr>
      <w:r w:rsidRPr="00F019C3">
        <w:rPr>
          <w:u w:val="single"/>
        </w:rPr>
        <w:lastRenderedPageBreak/>
        <w:t>Методы оценки на основе стоимости активов</w:t>
      </w:r>
    </w:p>
    <w:p w:rsidR="00F019C3" w:rsidRPr="00F019C3" w:rsidRDefault="00F019C3" w:rsidP="00C87CF2">
      <w:pPr>
        <w:spacing w:line="360" w:lineRule="auto"/>
        <w:ind w:firstLine="709"/>
        <w:contextualSpacing/>
        <w:jc w:val="both"/>
      </w:pPr>
      <w:r w:rsidRPr="00F019C3">
        <w:t>При оценке бизнеса для целей слияний и поглощений в первую очередь использ</w:t>
      </w:r>
      <w:r w:rsidRPr="00F019C3">
        <w:t>у</w:t>
      </w:r>
      <w:r w:rsidRPr="00F019C3">
        <w:t>ется подход по активам, когда главная задача приобретателя состоит в приобретении определенных материальных или нематериальных активов. Так же данный подход нере</w:t>
      </w:r>
      <w:r w:rsidRPr="00F019C3">
        <w:t>д</w:t>
      </w:r>
      <w:r w:rsidRPr="00F019C3">
        <w:t xml:space="preserve">ко применяется </w:t>
      </w:r>
      <w:proofErr w:type="spellStart"/>
      <w:r w:rsidRPr="00F019C3">
        <w:t>конъюктурными</w:t>
      </w:r>
      <w:proofErr w:type="spellEnd"/>
      <w:r w:rsidRPr="00F019C3">
        <w:t xml:space="preserve"> покупателями, находящимися в поиске владельцев, кот</w:t>
      </w:r>
      <w:r w:rsidRPr="00F019C3">
        <w:t>о</w:t>
      </w:r>
      <w:r w:rsidRPr="00F019C3">
        <w:t>рые выставляют свой бизнес на продажу, ввиду неблагоприятных обстоятельств.</w:t>
      </w:r>
      <w:r w:rsidRPr="00F019C3">
        <w:rPr>
          <w:vertAlign w:val="superscript"/>
        </w:rPr>
        <w:footnoteReference w:id="22"/>
      </w:r>
    </w:p>
    <w:p w:rsidR="00F019C3" w:rsidRPr="00F019C3" w:rsidRDefault="00F019C3" w:rsidP="00867818">
      <w:pPr>
        <w:spacing w:line="360" w:lineRule="auto"/>
        <w:ind w:firstLine="709"/>
        <w:contextualSpacing/>
        <w:jc w:val="both"/>
      </w:pPr>
      <w:r w:rsidRPr="00F019C3">
        <w:t>Следственно, методы оценки на основе стоимости активов, например балансовой стоимости или ликвидационной стоимости компании, обычно используют в особых сит</w:t>
      </w:r>
      <w:r w:rsidRPr="00F019C3">
        <w:t>у</w:t>
      </w:r>
      <w:r w:rsidRPr="00F019C3">
        <w:t>ациях. Такие показатели как балансовая стоимость материальных активов на акцию или балансовая стоимость минус деловая репутация, полезно рассчитывать при оценке комп</w:t>
      </w:r>
      <w:r w:rsidRPr="00F019C3">
        <w:t>а</w:t>
      </w:r>
      <w:r w:rsidRPr="00F019C3">
        <w:t>нии по оказанию финансовых услуг или дистрибьюторских фирм, где с</w:t>
      </w:r>
      <w:r w:rsidR="00054918">
        <w:t>ущественную долю активов</w:t>
      </w:r>
      <w:r w:rsidRPr="00F019C3">
        <w:t xml:space="preserve"> составляют высоколиквидные активы. Или же можно определить стоимость </w:t>
      </w:r>
      <w:proofErr w:type="spellStart"/>
      <w:r w:rsidRPr="00F019C3">
        <w:t>д</w:t>
      </w:r>
      <w:r w:rsidRPr="00F019C3">
        <w:t>и</w:t>
      </w:r>
      <w:r w:rsidRPr="00F019C3">
        <w:t>версификационной</w:t>
      </w:r>
      <w:proofErr w:type="spellEnd"/>
      <w:r w:rsidRPr="00F019C3">
        <w:t xml:space="preserve"> компании, состоящей из множества подразделений, или произво</w:t>
      </w:r>
      <w:r w:rsidRPr="00F019C3">
        <w:t>д</w:t>
      </w:r>
      <w:r w:rsidRPr="00F019C3">
        <w:t xml:space="preserve">ственных линий, путем суммирования </w:t>
      </w:r>
      <w:r w:rsidRPr="00F019C3">
        <w:rPr>
          <w:lang w:val="en-US"/>
        </w:rPr>
        <w:t>PV</w:t>
      </w:r>
      <w:r w:rsidRPr="00F019C3">
        <w:t xml:space="preserve"> каждого подразделения или производственной линии, как будто бы они были самостоятельными. Аналогично, чтобы найти стоимость дробления компании, нужно рассчитать </w:t>
      </w:r>
      <w:proofErr w:type="spellStart"/>
      <w:r w:rsidRPr="00F019C3">
        <w:t>посленалоговые</w:t>
      </w:r>
      <w:proofErr w:type="spellEnd"/>
      <w:r w:rsidRPr="00F019C3">
        <w:t xml:space="preserve"> поступления от реализации ее подразделений  и вычесть из нее </w:t>
      </w:r>
      <w:r w:rsidRPr="00F019C3">
        <w:rPr>
          <w:lang w:val="en-US"/>
        </w:rPr>
        <w:t>PV</w:t>
      </w:r>
      <w:r w:rsidRPr="00F019C3">
        <w:t xml:space="preserve"> обязательств и затраты, понесенные при продаже компании по частям. </w:t>
      </w:r>
    </w:p>
    <w:p w:rsidR="00F019C3" w:rsidRPr="00F019C3" w:rsidRDefault="00F019C3" w:rsidP="00867818">
      <w:pPr>
        <w:spacing w:line="360" w:lineRule="auto"/>
        <w:ind w:firstLine="709"/>
        <w:contextualSpacing/>
        <w:jc w:val="both"/>
      </w:pPr>
      <w:r w:rsidRPr="00F019C3">
        <w:t>К недостаткам приемов данного подхода можно отнести то, что методы определ</w:t>
      </w:r>
      <w:r w:rsidRPr="00F019C3">
        <w:t>е</w:t>
      </w:r>
      <w:r w:rsidRPr="00F019C3">
        <w:t>ния стоимости компании на основе стоимости ее активов не учитывают возможность с</w:t>
      </w:r>
      <w:r w:rsidRPr="00F019C3">
        <w:t>и</w:t>
      </w:r>
      <w:r w:rsidRPr="00F019C3">
        <w:t>нергии между ее различными подразделениями. При расчете балансовой или ликвидац</w:t>
      </w:r>
      <w:r w:rsidRPr="00F019C3">
        <w:t>и</w:t>
      </w:r>
      <w:r w:rsidRPr="00F019C3">
        <w:t xml:space="preserve">онной стоимости компании стоит учитывать, что балансовая стоимость может отличаться от рыночной, либо же что </w:t>
      </w:r>
      <w:proofErr w:type="gramStart"/>
      <w:r w:rsidRPr="00F019C3">
        <w:t>имеющееся</w:t>
      </w:r>
      <w:proofErr w:type="gramEnd"/>
      <w:r w:rsidRPr="00F019C3">
        <w:t xml:space="preserve"> рынки зачастую неликвидны. Так же присутствует распространенная проблема ограниченности доступа к требуемой информации и принятия в учет лишь ретроспективной информации.</w:t>
      </w:r>
      <w:r w:rsidRPr="00F019C3">
        <w:rPr>
          <w:vertAlign w:val="superscript"/>
        </w:rPr>
        <w:footnoteReference w:id="23"/>
      </w:r>
    </w:p>
    <w:p w:rsidR="00F019C3" w:rsidRPr="00F019C3" w:rsidRDefault="00F019C3" w:rsidP="00C87CF2">
      <w:pPr>
        <w:spacing w:line="360" w:lineRule="auto"/>
        <w:ind w:firstLine="709"/>
        <w:contextualSpacing/>
        <w:jc w:val="both"/>
      </w:pPr>
      <w:r w:rsidRPr="00F019C3">
        <w:t>В итоге, исходя из критического анализа литературы и практических примеров, с моей точки зрения, можно отметить три основных подхода к созданию стоимости комп</w:t>
      </w:r>
      <w:r w:rsidRPr="00F019C3">
        <w:t>а</w:t>
      </w:r>
      <w:r w:rsidRPr="00F019C3">
        <w:t>нии: на основе прибыли или дисконтированного денежного потока, на основе рыночных показателей и методы оценки на основе стоимости активов. Рассмотренные методы л</w:t>
      </w:r>
      <w:r w:rsidRPr="00F019C3">
        <w:t>о</w:t>
      </w:r>
      <w:r w:rsidRPr="00F019C3">
        <w:t xml:space="preserve">жатся в основу расчётов стоимости компаний, принимающих участие в сделках слияния и поглощения. Метод дисконтирования денежного потока является основным методом предварительной или базовой оценки стоимости компании-мишени, другие же методы </w:t>
      </w:r>
      <w:r w:rsidRPr="00F019C3">
        <w:lastRenderedPageBreak/>
        <w:t xml:space="preserve">могут использоваться для подтверждения результата, полученного с помощью метода </w:t>
      </w:r>
      <w:r w:rsidRPr="00F019C3">
        <w:rPr>
          <w:lang w:val="en-US"/>
        </w:rPr>
        <w:t>DFC</w:t>
      </w:r>
      <w:r w:rsidRPr="00F019C3">
        <w:t xml:space="preserve">. </w:t>
      </w:r>
    </w:p>
    <w:p w:rsidR="00F019C3" w:rsidRPr="00BE26A2" w:rsidRDefault="00F019C3" w:rsidP="00A63C98">
      <w:pPr>
        <w:pStyle w:val="a3"/>
        <w:numPr>
          <w:ilvl w:val="1"/>
          <w:numId w:val="19"/>
        </w:numPr>
        <w:spacing w:after="200" w:line="360" w:lineRule="auto"/>
        <w:ind w:left="709"/>
        <w:jc w:val="both"/>
        <w:outlineLvl w:val="1"/>
        <w:rPr>
          <w:b/>
          <w:bCs/>
        </w:rPr>
      </w:pPr>
      <w:bookmarkStart w:id="10" w:name="_Toc417956306"/>
      <w:bookmarkStart w:id="11" w:name="_Toc513092278"/>
      <w:r w:rsidRPr="00BE26A2">
        <w:rPr>
          <w:b/>
          <w:bCs/>
        </w:rPr>
        <w:t>Проблемы, возникающие в процессе консолидации компаний</w:t>
      </w:r>
      <w:r w:rsidR="00270DEE" w:rsidRPr="00BE26A2">
        <w:rPr>
          <w:b/>
          <w:bCs/>
        </w:rPr>
        <w:t xml:space="preserve"> </w:t>
      </w:r>
      <w:bookmarkEnd w:id="10"/>
      <w:r w:rsidR="00BE26A2" w:rsidRPr="00BE26A2">
        <w:rPr>
          <w:b/>
          <w:bCs/>
        </w:rPr>
        <w:t>на опыте зар</w:t>
      </w:r>
      <w:r w:rsidR="00BE26A2" w:rsidRPr="00BE26A2">
        <w:rPr>
          <w:b/>
          <w:bCs/>
        </w:rPr>
        <w:t>у</w:t>
      </w:r>
      <w:r w:rsidR="00BE26A2" w:rsidRPr="00BE26A2">
        <w:rPr>
          <w:b/>
          <w:bCs/>
        </w:rPr>
        <w:t>бежных компаний</w:t>
      </w:r>
      <w:bookmarkEnd w:id="11"/>
    </w:p>
    <w:p w:rsidR="00F019C3" w:rsidRPr="00F019C3" w:rsidRDefault="00A63C98" w:rsidP="00A63C98">
      <w:pPr>
        <w:spacing w:after="200" w:line="360" w:lineRule="auto"/>
        <w:ind w:firstLine="709"/>
        <w:contextualSpacing/>
        <w:jc w:val="both"/>
      </w:pPr>
      <w:r>
        <w:t>Тем не менее,</w:t>
      </w:r>
      <w:r w:rsidR="00F019C3" w:rsidRPr="00F019C3">
        <w:t xml:space="preserve"> опытные старшие менеджеры раз за разом терпят неудачи при с</w:t>
      </w:r>
      <w:r w:rsidR="00F019C3" w:rsidRPr="00F019C3">
        <w:t>о</w:t>
      </w:r>
      <w:r w:rsidR="00F019C3" w:rsidRPr="00F019C3">
        <w:t xml:space="preserve">вершении сделок </w:t>
      </w:r>
      <w:r w:rsidR="00F019C3" w:rsidRPr="00F019C3">
        <w:rPr>
          <w:lang w:val="en-US"/>
        </w:rPr>
        <w:t>M</w:t>
      </w:r>
      <w:r w:rsidR="00F019C3" w:rsidRPr="00F019C3">
        <w:t>&amp;</w:t>
      </w:r>
      <w:r w:rsidR="00F019C3" w:rsidRPr="00F019C3">
        <w:rPr>
          <w:lang w:val="en-US"/>
        </w:rPr>
        <w:t>A</w:t>
      </w:r>
      <w:r>
        <w:t>.</w:t>
      </w:r>
      <w:r w:rsidR="00F019C3" w:rsidRPr="00F019C3">
        <w:t xml:space="preserve"> К примеру, в задокументированном случае, когда в 2007 году </w:t>
      </w:r>
      <w:r w:rsidR="00F019C3" w:rsidRPr="00F019C3">
        <w:rPr>
          <w:lang w:val="en-US"/>
        </w:rPr>
        <w:t>Daimler</w:t>
      </w:r>
      <w:r w:rsidR="00F019C3" w:rsidRPr="00F019C3">
        <w:t xml:space="preserve"> пришлось расстаться с </w:t>
      </w:r>
      <w:r w:rsidR="00F019C3" w:rsidRPr="00F019C3">
        <w:rPr>
          <w:lang w:val="en-US"/>
        </w:rPr>
        <w:t>Chrysler</w:t>
      </w:r>
      <w:r w:rsidR="00F019C3" w:rsidRPr="00F019C3">
        <w:t>, который она приобрела примерно за 10 лет до этого, после непрерывных потерь миллиардов долларов.</w:t>
      </w:r>
      <w:r w:rsidR="00F019C3" w:rsidRPr="00F019C3">
        <w:rPr>
          <w:vertAlign w:val="superscript"/>
        </w:rPr>
        <w:footnoteReference w:id="24"/>
      </w:r>
      <w:r w:rsidR="00F019C3" w:rsidRPr="00F019C3">
        <w:t xml:space="preserve"> Либо в другом случае, широко освещавшемся прессой, в октябре 2007 года </w:t>
      </w:r>
      <w:r w:rsidR="00F019C3" w:rsidRPr="00F019C3">
        <w:rPr>
          <w:lang w:val="en-US"/>
        </w:rPr>
        <w:t>CEO</w:t>
      </w:r>
      <w:r w:rsidR="00F019C3" w:rsidRPr="00F019C3">
        <w:t xml:space="preserve"> объединения </w:t>
      </w:r>
      <w:r w:rsidR="00F019C3" w:rsidRPr="00F019C3">
        <w:rPr>
          <w:lang w:val="en-US"/>
        </w:rPr>
        <w:t>Alcatel</w:t>
      </w:r>
      <w:r w:rsidR="00F019C3" w:rsidRPr="00F019C3">
        <w:t>-</w:t>
      </w:r>
      <w:r w:rsidR="00F019C3" w:rsidRPr="00F019C3">
        <w:rPr>
          <w:lang w:val="en-US"/>
        </w:rPr>
        <w:t>Lucent</w:t>
      </w:r>
      <w:r w:rsidR="00F019C3" w:rsidRPr="00F019C3">
        <w:t xml:space="preserve">, </w:t>
      </w:r>
      <w:proofErr w:type="spellStart"/>
      <w:r w:rsidR="00F019C3" w:rsidRPr="00F019C3">
        <w:t>Патрисия</w:t>
      </w:r>
      <w:proofErr w:type="spellEnd"/>
      <w:r w:rsidR="00F019C3" w:rsidRPr="00F019C3">
        <w:t xml:space="preserve"> Руссо, призналась, что после трех последовательных прибыльных периодов, результаты слияния были ниже, чем предполагалось.</w:t>
      </w:r>
      <w:r w:rsidR="00F019C3" w:rsidRPr="00F019C3">
        <w:rPr>
          <w:vertAlign w:val="superscript"/>
        </w:rPr>
        <w:footnoteReference w:id="25"/>
      </w:r>
    </w:p>
    <w:p w:rsidR="00F019C3" w:rsidRPr="00F019C3" w:rsidRDefault="00F019C3" w:rsidP="00C87CF2">
      <w:pPr>
        <w:spacing w:line="360" w:lineRule="auto"/>
        <w:ind w:firstLine="709"/>
        <w:contextualSpacing/>
        <w:jc w:val="both"/>
      </w:pPr>
      <w:r w:rsidRPr="00F019C3">
        <w:t>Основными причинами неудач является то, что оплатить сделку легко, но правил</w:t>
      </w:r>
      <w:r w:rsidRPr="00F019C3">
        <w:t>ь</w:t>
      </w:r>
      <w:r w:rsidRPr="00F019C3">
        <w:t>но ее провести весьма затруднительно. В целом, многие слияния и поглощения характер</w:t>
      </w:r>
      <w:r w:rsidRPr="00F019C3">
        <w:t>и</w:t>
      </w:r>
      <w:r w:rsidRPr="00F019C3">
        <w:t>зуются отсутствием планирования, ограниченностью взаимодействия, различиями в орг</w:t>
      </w:r>
      <w:r w:rsidRPr="00F019C3">
        <w:t>а</w:t>
      </w:r>
      <w:r w:rsidRPr="00F019C3">
        <w:t>низационной/управленческой/интернациональной культуры, ошибками при оценке сто</w:t>
      </w:r>
      <w:r w:rsidRPr="00F019C3">
        <w:t>и</w:t>
      </w:r>
      <w:r w:rsidRPr="00F019C3">
        <w:t>мости компаний, и трудности в реализации стратегии после неправильного подхода к и</w:t>
      </w:r>
      <w:r w:rsidRPr="00F019C3">
        <w:t>н</w:t>
      </w:r>
      <w:r w:rsidRPr="00F019C3">
        <w:t xml:space="preserve">теграции со стороны объединяющихся организаций после подписания соглашения. </w:t>
      </w:r>
    </w:p>
    <w:p w:rsidR="00F019C3" w:rsidRPr="00F019C3" w:rsidRDefault="00F019C3" w:rsidP="00C87CF2">
      <w:pPr>
        <w:spacing w:line="360" w:lineRule="auto"/>
        <w:ind w:firstLine="709"/>
        <w:contextualSpacing/>
        <w:jc w:val="both"/>
        <w:rPr>
          <w:u w:val="single"/>
        </w:rPr>
      </w:pPr>
      <w:r w:rsidRPr="00F019C3">
        <w:rPr>
          <w:u w:val="single"/>
        </w:rPr>
        <w:t>Менеджеризм</w:t>
      </w:r>
    </w:p>
    <w:p w:rsidR="00F019C3" w:rsidRPr="00F019C3" w:rsidRDefault="00F019C3" w:rsidP="00C87CF2">
      <w:pPr>
        <w:spacing w:line="360" w:lineRule="auto"/>
        <w:ind w:firstLine="709"/>
        <w:contextualSpacing/>
        <w:jc w:val="both"/>
      </w:pPr>
      <w:r w:rsidRPr="00F019C3">
        <w:t>Одна из превалирующих причин неудач связана с самоуверенностью управля</w:t>
      </w:r>
      <w:r w:rsidRPr="00F019C3">
        <w:t>ю</w:t>
      </w:r>
      <w:r w:rsidRPr="00F019C3">
        <w:t>щих; ошибка заключается в том, что у таких менеджеров есть уверенность, что под их р</w:t>
      </w:r>
      <w:r w:rsidRPr="00F019C3">
        <w:t>у</w:t>
      </w:r>
      <w:r w:rsidRPr="00F019C3">
        <w:t xml:space="preserve">ководством и с помощью объединения организаций, эффективность увеличится в краткие сроки и преимущества слияний будут реализованы. Следует отметить, что существуют случаи, когда переплата оправдала возложенные надежды, к примеру, когда </w:t>
      </w:r>
      <w:r w:rsidRPr="00F019C3">
        <w:rPr>
          <w:lang w:val="en-US"/>
        </w:rPr>
        <w:t>Electra</w:t>
      </w:r>
      <w:r w:rsidRPr="00F019C3">
        <w:t xml:space="preserve"> была приобретена </w:t>
      </w:r>
      <w:proofErr w:type="spellStart"/>
      <w:r w:rsidRPr="00F019C3">
        <w:rPr>
          <w:lang w:val="en-US"/>
        </w:rPr>
        <w:t>Elco</w:t>
      </w:r>
      <w:proofErr w:type="spellEnd"/>
      <w:r w:rsidRPr="00F019C3">
        <w:t xml:space="preserve"> с переплатой примерно в 30%, согласно стоимости акций, однако со временем выяснилось, что приобретение было весьма выгодным, по крайней</w:t>
      </w:r>
      <w:r w:rsidR="00212F64">
        <w:t xml:space="preserve"> </w:t>
      </w:r>
      <w:proofErr w:type="gramStart"/>
      <w:r w:rsidRPr="00F019C3">
        <w:t>мере</w:t>
      </w:r>
      <w:proofErr w:type="gramEnd"/>
      <w:r w:rsidRPr="00F019C3">
        <w:t xml:space="preserve"> в обл</w:t>
      </w:r>
      <w:r w:rsidRPr="00F019C3">
        <w:t>а</w:t>
      </w:r>
      <w:r w:rsidRPr="00F019C3">
        <w:t>сти производства и продажи кондиционеров.</w:t>
      </w:r>
      <w:r w:rsidRPr="00F019C3">
        <w:rPr>
          <w:vertAlign w:val="superscript"/>
        </w:rPr>
        <w:footnoteReference w:id="26"/>
      </w:r>
      <w:r w:rsidRPr="00F019C3">
        <w:t xml:space="preserve"> В любом случае, не смотря на отсутствие рентабельности приобретающих компаний, сделки такого рода продолжают совершаться. Можно выделить несколько причин происходящего:</w:t>
      </w:r>
    </w:p>
    <w:p w:rsidR="00F019C3" w:rsidRPr="00F019C3" w:rsidRDefault="00F019C3" w:rsidP="00EE5F6B">
      <w:pPr>
        <w:numPr>
          <w:ilvl w:val="0"/>
          <w:numId w:val="13"/>
        </w:numPr>
        <w:spacing w:line="360" w:lineRule="auto"/>
        <w:ind w:left="709" w:hanging="283"/>
        <w:contextualSpacing/>
        <w:jc w:val="both"/>
      </w:pPr>
      <w:r w:rsidRPr="00F019C3">
        <w:t>Если отсутствует потенциал для получения прибыли, деятельность продолжается потому что:</w:t>
      </w:r>
    </w:p>
    <w:p w:rsidR="00F019C3" w:rsidRPr="00F019C3" w:rsidRDefault="00F019C3" w:rsidP="00EE5F6B">
      <w:pPr>
        <w:numPr>
          <w:ilvl w:val="0"/>
          <w:numId w:val="14"/>
        </w:numPr>
        <w:spacing w:line="360" w:lineRule="auto"/>
        <w:ind w:hanging="357"/>
        <w:contextualSpacing/>
        <w:jc w:val="both"/>
      </w:pPr>
      <w:r w:rsidRPr="00F019C3">
        <w:lastRenderedPageBreak/>
        <w:t>Менеджеры делают ошибки в оценке стоимости.</w:t>
      </w:r>
    </w:p>
    <w:p w:rsidR="00F019C3" w:rsidRPr="00F019C3" w:rsidRDefault="00F019C3" w:rsidP="00EE5F6B">
      <w:pPr>
        <w:numPr>
          <w:ilvl w:val="0"/>
          <w:numId w:val="14"/>
        </w:numPr>
        <w:spacing w:line="360" w:lineRule="auto"/>
        <w:ind w:hanging="357"/>
        <w:contextualSpacing/>
        <w:jc w:val="both"/>
      </w:pPr>
      <w:r w:rsidRPr="00F019C3">
        <w:t>Управляющие стремятся максимизировать свою прибыль, даже за счет а</w:t>
      </w:r>
      <w:r w:rsidRPr="00F019C3">
        <w:t>к</w:t>
      </w:r>
      <w:r w:rsidRPr="00F019C3">
        <w:t>ционеров.</w:t>
      </w:r>
    </w:p>
    <w:p w:rsidR="00F019C3" w:rsidRPr="00F019C3" w:rsidRDefault="00F019C3" w:rsidP="00EE5F6B">
      <w:pPr>
        <w:numPr>
          <w:ilvl w:val="0"/>
          <w:numId w:val="14"/>
        </w:numPr>
        <w:spacing w:line="360" w:lineRule="auto"/>
        <w:ind w:hanging="357"/>
        <w:contextualSpacing/>
        <w:jc w:val="both"/>
      </w:pPr>
      <w:r w:rsidRPr="00F019C3">
        <w:t>Менеджеры действуют под давлением совета директоров и акционеров, ж</w:t>
      </w:r>
      <w:r w:rsidRPr="00F019C3">
        <w:t>е</w:t>
      </w:r>
      <w:r w:rsidRPr="00F019C3">
        <w:t>лая показать непрерывный рост.</w:t>
      </w:r>
    </w:p>
    <w:p w:rsidR="00F019C3" w:rsidRPr="00F019C3" w:rsidRDefault="00F019C3" w:rsidP="00EE5F6B">
      <w:pPr>
        <w:numPr>
          <w:ilvl w:val="0"/>
          <w:numId w:val="13"/>
        </w:numPr>
        <w:spacing w:line="360" w:lineRule="auto"/>
        <w:ind w:left="709" w:hanging="283"/>
        <w:contextualSpacing/>
        <w:jc w:val="both"/>
      </w:pPr>
      <w:r w:rsidRPr="00F019C3">
        <w:t>Потенциал существует, однако:</w:t>
      </w:r>
    </w:p>
    <w:p w:rsidR="00F019C3" w:rsidRPr="00F019C3" w:rsidRDefault="00F019C3" w:rsidP="00EE5F6B">
      <w:pPr>
        <w:numPr>
          <w:ilvl w:val="0"/>
          <w:numId w:val="15"/>
        </w:numPr>
        <w:spacing w:line="360" w:lineRule="auto"/>
        <w:ind w:hanging="357"/>
        <w:contextualSpacing/>
        <w:jc w:val="both"/>
      </w:pPr>
      <w:r w:rsidRPr="00F019C3">
        <w:t>Существуют организационные проблемы, возникающие после сделки, вл</w:t>
      </w:r>
      <w:r w:rsidRPr="00F019C3">
        <w:t>е</w:t>
      </w:r>
      <w:r w:rsidRPr="00F019C3">
        <w:t>кут за собой много расходов, которые сводят на нет потенциальную пр</w:t>
      </w:r>
      <w:r w:rsidRPr="00F019C3">
        <w:t>и</w:t>
      </w:r>
      <w:r w:rsidRPr="00F019C3">
        <w:t xml:space="preserve">быль, и не позволяют реализоваться </w:t>
      </w:r>
      <w:r w:rsidRPr="00F019C3">
        <w:rPr>
          <w:lang w:val="en-US"/>
        </w:rPr>
        <w:t>M</w:t>
      </w:r>
      <w:r w:rsidRPr="00F019C3">
        <w:t>&amp;</w:t>
      </w:r>
      <w:r w:rsidRPr="00F019C3">
        <w:rPr>
          <w:lang w:val="en-US"/>
        </w:rPr>
        <w:t>A</w:t>
      </w:r>
      <w:r w:rsidRPr="00F019C3">
        <w:t>.</w:t>
      </w:r>
    </w:p>
    <w:p w:rsidR="00F019C3" w:rsidRPr="00F019C3" w:rsidRDefault="00F019C3" w:rsidP="0013588D">
      <w:pPr>
        <w:numPr>
          <w:ilvl w:val="0"/>
          <w:numId w:val="15"/>
        </w:numPr>
        <w:spacing w:line="360" w:lineRule="auto"/>
        <w:ind w:hanging="357"/>
        <w:contextualSpacing/>
        <w:jc w:val="both"/>
      </w:pPr>
      <w:r w:rsidRPr="00F019C3">
        <w:t>Существует методологическая проблема с расчетом успешности и прибыл</w:t>
      </w:r>
      <w:r w:rsidRPr="00F019C3">
        <w:t>ь</w:t>
      </w:r>
      <w:r w:rsidRPr="00F019C3">
        <w:t>ности слияний и поглощений, и, следовательно, возможные преимущества не очевидны.</w:t>
      </w:r>
    </w:p>
    <w:p w:rsidR="00F019C3" w:rsidRDefault="00F019C3" w:rsidP="0013588D">
      <w:pPr>
        <w:numPr>
          <w:ilvl w:val="0"/>
          <w:numId w:val="15"/>
        </w:numPr>
        <w:spacing w:line="360" w:lineRule="auto"/>
        <w:ind w:hanging="357"/>
        <w:contextualSpacing/>
        <w:jc w:val="both"/>
      </w:pPr>
      <w:r w:rsidRPr="00F019C3">
        <w:rPr>
          <w:lang w:val="en-US"/>
        </w:rPr>
        <w:t>M</w:t>
      </w:r>
      <w:r w:rsidRPr="00F019C3">
        <w:t>&amp;</w:t>
      </w:r>
      <w:r w:rsidRPr="00F019C3">
        <w:rPr>
          <w:lang w:val="en-US"/>
        </w:rPr>
        <w:t>A</w:t>
      </w:r>
      <w:r w:rsidRPr="00F019C3">
        <w:t xml:space="preserve"> вызывает реакцию у внешних заинтересованных сторон, в результате которых возможные положительные последствия исчезают. К примеру, п</w:t>
      </w:r>
      <w:r w:rsidRPr="00F019C3">
        <w:t>о</w:t>
      </w:r>
      <w:r w:rsidRPr="00F019C3">
        <w:t>купатели решают изменить свои предпочтения при покупке, в то время как денежный поток средств от этих клиентов был частью оценки приобрета</w:t>
      </w:r>
      <w:r w:rsidRPr="00F019C3">
        <w:t>е</w:t>
      </w:r>
      <w:r w:rsidRPr="00F019C3">
        <w:t>мой партии.</w:t>
      </w:r>
      <w:r w:rsidRPr="00F019C3">
        <w:rPr>
          <w:vertAlign w:val="superscript"/>
        </w:rPr>
        <w:footnoteReference w:id="27"/>
      </w:r>
    </w:p>
    <w:p w:rsidR="00387352" w:rsidRPr="00F019C3" w:rsidRDefault="00387352" w:rsidP="00387352">
      <w:pPr>
        <w:spacing w:line="360" w:lineRule="auto"/>
        <w:ind w:firstLine="567"/>
        <w:contextualSpacing/>
        <w:jc w:val="both"/>
      </w:pPr>
      <w:r w:rsidRPr="00F019C3">
        <w:t>Причины первого раздела ведут к двум другим областям, которые по-разному об</w:t>
      </w:r>
      <w:r w:rsidRPr="00F019C3">
        <w:t>ъ</w:t>
      </w:r>
      <w:r w:rsidRPr="00F019C3">
        <w:t xml:space="preserve">ясняют причины неудач слияний и поглощений, а именно: стратегическое управление и организационное поведение. Так же необходимо отметить проблематику оценки </w:t>
      </w:r>
      <w:r w:rsidRPr="00F019C3">
        <w:rPr>
          <w:lang w:val="en-US"/>
        </w:rPr>
        <w:t>M</w:t>
      </w:r>
      <w:r w:rsidRPr="00F019C3">
        <w:t>&amp;</w:t>
      </w:r>
      <w:r w:rsidRPr="00F019C3">
        <w:rPr>
          <w:lang w:val="en-US"/>
        </w:rPr>
        <w:t>A</w:t>
      </w:r>
      <w:r w:rsidRPr="00F019C3">
        <w:t>.</w:t>
      </w:r>
    </w:p>
    <w:p w:rsidR="00F019C3" w:rsidRPr="00F019C3" w:rsidRDefault="00F019C3" w:rsidP="00C87CF2">
      <w:pPr>
        <w:spacing w:line="360" w:lineRule="auto"/>
        <w:ind w:firstLine="709"/>
        <w:contextualSpacing/>
        <w:jc w:val="both"/>
        <w:rPr>
          <w:u w:val="single"/>
        </w:rPr>
      </w:pPr>
      <w:r w:rsidRPr="00F019C3">
        <w:rPr>
          <w:u w:val="single"/>
        </w:rPr>
        <w:t>Проблемы оценки частных компаний</w:t>
      </w:r>
    </w:p>
    <w:p w:rsidR="00F019C3" w:rsidRPr="00F019C3" w:rsidRDefault="00F019C3" w:rsidP="00C87CF2">
      <w:pPr>
        <w:spacing w:line="360" w:lineRule="auto"/>
        <w:ind w:firstLine="709"/>
        <w:contextualSpacing/>
        <w:jc w:val="both"/>
      </w:pPr>
      <w:r w:rsidRPr="00F019C3">
        <w:t>В связи с необходимостью соответствовать требованиям и акционеров, и регул</w:t>
      </w:r>
      <w:r w:rsidRPr="00F019C3">
        <w:t>и</w:t>
      </w:r>
      <w:r w:rsidRPr="00F019C3">
        <w:t>рующих органов открытым компания приходится искать баланс между желанием мин</w:t>
      </w:r>
      <w:r w:rsidRPr="00F019C3">
        <w:t>и</w:t>
      </w:r>
      <w:r w:rsidRPr="00F019C3">
        <w:t>мизировать налоги и стремлением обеспечить квартальную прибыль на уровне ожиданий инвесторов. Если установить баланс не удается, то зачастую это моментально сказывается на их рыночной стоимости. Существование таких органов как Ком</w:t>
      </w:r>
      <w:r w:rsidR="00D448B1">
        <w:t>иссия по ценным бум</w:t>
      </w:r>
      <w:r w:rsidR="00D448B1">
        <w:t>а</w:t>
      </w:r>
      <w:r w:rsidR="00D448B1">
        <w:t>гам</w:t>
      </w:r>
      <w:r w:rsidRPr="00F019C3">
        <w:t xml:space="preserve"> и биржам, ограничивает возможности открытых компаний манипулировать финанс</w:t>
      </w:r>
      <w:r w:rsidRPr="00F019C3">
        <w:t>о</w:t>
      </w:r>
      <w:r w:rsidRPr="00F019C3">
        <w:t>вой информацией, в то время как частные компании, наоборот, обладают такими возмо</w:t>
      </w:r>
      <w:r w:rsidRPr="00F019C3">
        <w:t>ж</w:t>
      </w:r>
      <w:r w:rsidRPr="00F019C3">
        <w:t>ностями, особенно их деятельность не подлежит постоянному регулированию. Анони</w:t>
      </w:r>
      <w:r w:rsidRPr="00F019C3">
        <w:t>м</w:t>
      </w:r>
      <w:r w:rsidRPr="00F019C3">
        <w:t xml:space="preserve">ность многих </w:t>
      </w:r>
      <w:r w:rsidR="00C87CF2">
        <w:t xml:space="preserve">международных </w:t>
      </w:r>
      <w:r w:rsidRPr="00F019C3">
        <w:t xml:space="preserve">компаний, просто для манипулирования информацией, проблемы, характерные для мелких фирм, и склонность владельцев управлять ими так, </w:t>
      </w:r>
      <w:r w:rsidRPr="00F019C3">
        <w:lastRenderedPageBreak/>
        <w:t>чтобы минимизировать налоги, создают ряд существенных рисков при определении их стоимости. Можно выделить несколько групп таких рисков.</w:t>
      </w:r>
      <w:r w:rsidRPr="00F019C3">
        <w:rPr>
          <w:vertAlign w:val="superscript"/>
        </w:rPr>
        <w:footnoteReference w:id="28"/>
      </w:r>
    </w:p>
    <w:p w:rsidR="00F019C3" w:rsidRDefault="00F019C3" w:rsidP="00EE5F6B">
      <w:pPr>
        <w:spacing w:line="360" w:lineRule="auto"/>
        <w:ind w:firstLine="709"/>
        <w:contextualSpacing/>
        <w:jc w:val="both"/>
      </w:pPr>
      <w:r w:rsidRPr="00F019C3">
        <w:rPr>
          <w:i/>
        </w:rPr>
        <w:t>Отсутствие информации из внешних источников.</w:t>
      </w:r>
      <w:r w:rsidRPr="00F019C3">
        <w:t xml:space="preserve"> Как правило, результаты анал</w:t>
      </w:r>
      <w:r w:rsidRPr="00F019C3">
        <w:t>и</w:t>
      </w:r>
      <w:r w:rsidRPr="00F019C3">
        <w:t>за положения частных фирм внешними специалистами найти практически не возможно. Сторонние специалисты мало заинтересованы в том, чтобы освещать работу таких фирм из-за отсутствия открытого рынка для их ценных бумаг, поэтому классически можно найти только прогнозы деятельности, составленные их собственными управляющими. Освещение в прессе тоже очень ограничено, следовательно, единственным источником данных, предоставленных даже самыми солидными компаниями-провайдерами статист</w:t>
      </w:r>
      <w:r w:rsidRPr="00F019C3">
        <w:t>и</w:t>
      </w:r>
      <w:r w:rsidRPr="00F019C3">
        <w:t>ческой и финансовой информации о мелких частных фирмах,</w:t>
      </w:r>
      <w:r w:rsidR="00D448B1">
        <w:t xml:space="preserve"> </w:t>
      </w:r>
      <w:r w:rsidRPr="00F019C3">
        <w:t xml:space="preserve">–  редкие и поверхностные опросы управляющих </w:t>
      </w:r>
      <w:r w:rsidR="00D448B1">
        <w:t>э</w:t>
      </w:r>
      <w:r w:rsidRPr="00F019C3">
        <w:t>тих фирм.</w:t>
      </w:r>
    </w:p>
    <w:p w:rsidR="00424B79" w:rsidRPr="00F019C3" w:rsidRDefault="00424B79" w:rsidP="00424B79">
      <w:pPr>
        <w:spacing w:line="360" w:lineRule="auto"/>
        <w:ind w:firstLine="709"/>
        <w:contextualSpacing/>
        <w:jc w:val="both"/>
      </w:pPr>
      <w:r w:rsidRPr="00F019C3">
        <w:rPr>
          <w:i/>
        </w:rPr>
        <w:t>Отсутствие информации из внешних источников.</w:t>
      </w:r>
      <w:r w:rsidRPr="00F019C3">
        <w:t xml:space="preserve"> Как правило, результаты анал</w:t>
      </w:r>
      <w:r w:rsidRPr="00F019C3">
        <w:t>и</w:t>
      </w:r>
      <w:r w:rsidRPr="00F019C3">
        <w:t>за положения частных фирм внешними специалистами найти практически не возможно. Сторонние специалисты мало заинтересованы в том, чтобы освещать работу таких фирм из-за отсутствия открытого рынка для их ценных бумаг, поэтому классически можно найти только прогнозы деятельности, составленные их собственными управляющими. Освещение в прессе тоже очень ограничено, следовательно, единственным источником данных, предоставленных даже самыми солидными компаниями-провайдерами статист</w:t>
      </w:r>
      <w:r w:rsidRPr="00F019C3">
        <w:t>и</w:t>
      </w:r>
      <w:r w:rsidRPr="00F019C3">
        <w:t>ческой и финансовой информации о мелких частных фирмах,</w:t>
      </w:r>
      <w:r>
        <w:t xml:space="preserve"> </w:t>
      </w:r>
      <w:r w:rsidRPr="00F019C3">
        <w:t xml:space="preserve">–  редкие и поверхностные опросы управляющих </w:t>
      </w:r>
      <w:r>
        <w:t>э</w:t>
      </w:r>
      <w:r w:rsidRPr="00F019C3">
        <w:t>тих фирм.</w:t>
      </w:r>
    </w:p>
    <w:p w:rsidR="00424B79" w:rsidRPr="00F019C3" w:rsidRDefault="00424B79" w:rsidP="00424B79">
      <w:pPr>
        <w:spacing w:line="360" w:lineRule="auto"/>
        <w:ind w:firstLine="709"/>
        <w:contextualSpacing/>
        <w:jc w:val="both"/>
      </w:pPr>
      <w:r w:rsidRPr="00F019C3">
        <w:rPr>
          <w:i/>
        </w:rPr>
        <w:t>Отсутствие внутреннего контроля и приемлемой системы отчетности.</w:t>
      </w:r>
      <w:r w:rsidRPr="00F019C3">
        <w:t xml:space="preserve"> Зач</w:t>
      </w:r>
      <w:r w:rsidRPr="00F019C3">
        <w:t>а</w:t>
      </w:r>
      <w:r w:rsidRPr="00F019C3">
        <w:t>стую в частных фирмах нет такой строгой системы отчетности и внутреннего контроля, как в открытых компаниях. Системы отёчности в мелких фирмах либо несовершенны, л</w:t>
      </w:r>
      <w:r w:rsidRPr="00F019C3">
        <w:t>и</w:t>
      </w:r>
      <w:r w:rsidRPr="00F019C3">
        <w:t>бо не существуют вовсе, отсутствие формальных средств контроля, например систем, по</w:t>
      </w:r>
      <w:r w:rsidRPr="00F019C3">
        <w:t>з</w:t>
      </w:r>
      <w:r w:rsidRPr="00F019C3">
        <w:t>воляющих следить за расходованием средств, и процедуры согласования, гарантирующей использование средств по назначению, создает возможность для мошенничества и растр</w:t>
      </w:r>
      <w:r w:rsidRPr="00F019C3">
        <w:t>а</w:t>
      </w:r>
      <w:r w:rsidRPr="00F019C3">
        <w:t>ты ресурсов компании. Другая серьезная проблема – отсутствие документации. Сущ</w:t>
      </w:r>
      <w:r w:rsidRPr="00F019C3">
        <w:t>е</w:t>
      </w:r>
      <w:r w:rsidRPr="00F019C3">
        <w:t xml:space="preserve">ственную часть многих частных компаний составляет интеллектуальная собственность, например программное обеспечение, химические формулы и т.д. Более того, частные фирмы зачастую не занимаются </w:t>
      </w:r>
      <w:r w:rsidRPr="00F019C3">
        <w:rPr>
          <w:lang w:val="en-US"/>
        </w:rPr>
        <w:t>CRM</w:t>
      </w:r>
      <w:r w:rsidRPr="00F019C3">
        <w:t>-менеджментом и не имеют письменных контрактов с основными клиентами, что создаёт условия для возникновения споров с ними при смене собственника компании. Кроме того, существует возможность манипулирования и дох</w:t>
      </w:r>
      <w:r w:rsidRPr="00F019C3">
        <w:t>о</w:t>
      </w:r>
      <w:r w:rsidRPr="00F019C3">
        <w:t>дами, и затратами предприятия частной фирмы для того, чтобы минимизировать ее нал</w:t>
      </w:r>
      <w:r w:rsidRPr="00F019C3">
        <w:t>о</w:t>
      </w:r>
      <w:r w:rsidRPr="00F019C3">
        <w:lastRenderedPageBreak/>
        <w:t>говые обязательства или сделать ее более привлекательной для покупателя. Нередко вл</w:t>
      </w:r>
      <w:r w:rsidRPr="00F019C3">
        <w:t>а</w:t>
      </w:r>
      <w:r w:rsidRPr="00F019C3">
        <w:t xml:space="preserve">дельцы, которые хотят ее продать, склонны завышать ее доходы. </w:t>
      </w:r>
    </w:p>
    <w:p w:rsidR="00F019C3" w:rsidRDefault="00F019C3" w:rsidP="00C87CF2">
      <w:pPr>
        <w:spacing w:line="360" w:lineRule="auto"/>
        <w:ind w:firstLine="709"/>
        <w:contextualSpacing/>
        <w:jc w:val="both"/>
      </w:pPr>
      <w:r w:rsidRPr="00F019C3">
        <w:rPr>
          <w:i/>
        </w:rPr>
        <w:t>Особенности отдельных компаний.</w:t>
      </w:r>
      <w:r w:rsidRPr="00F019C3">
        <w:t xml:space="preserve"> На практике с большой долей вероятности </w:t>
      </w:r>
      <w:r w:rsidR="0011428C">
        <w:t xml:space="preserve">международные </w:t>
      </w:r>
      <w:r w:rsidRPr="00F019C3">
        <w:t>частные компании могут обладать присущими только им особенностями, которые осложняют определение их стоимости. К примеру, компания очень чувствител</w:t>
      </w:r>
      <w:r w:rsidRPr="00F019C3">
        <w:t>ь</w:t>
      </w:r>
      <w:r w:rsidRPr="00F019C3">
        <w:t>на к колебаниям спроса из-за больших постоянных затрат, либо компания располагает рентабельной продуктовой линией, но данная марка не может пройти барьер и стать бре</w:t>
      </w:r>
      <w:r w:rsidRPr="00F019C3">
        <w:t>н</w:t>
      </w:r>
      <w:r w:rsidRPr="00F019C3">
        <w:t>дом. Обычно подобные факторы снижают стоимости компании из-за того, что предсказать ее денежные потоки очень сложно. Однако благодаря тем же особенностям частной фи</w:t>
      </w:r>
      <w:r w:rsidRPr="00F019C3">
        <w:t>р</w:t>
      </w:r>
      <w:r w:rsidRPr="00F019C3">
        <w:t>мы прозорливый покупатель может реализовать синергию, объединив ее с такой компан</w:t>
      </w:r>
      <w:r w:rsidRPr="00F019C3">
        <w:t>и</w:t>
      </w:r>
      <w:r w:rsidRPr="00F019C3">
        <w:t xml:space="preserve">ей, которая восполнит все ее недостатки. </w:t>
      </w:r>
    </w:p>
    <w:p w:rsidR="001209D8" w:rsidRPr="00F019C3" w:rsidRDefault="001209D8" w:rsidP="001209D8">
      <w:pPr>
        <w:spacing w:line="360" w:lineRule="auto"/>
        <w:ind w:firstLine="709"/>
        <w:jc w:val="both"/>
        <w:rPr>
          <w:u w:val="single"/>
        </w:rPr>
      </w:pPr>
      <w:r w:rsidRPr="00F019C3">
        <w:rPr>
          <w:u w:val="single"/>
        </w:rPr>
        <w:t>Проблемы стратегического управления</w:t>
      </w:r>
    </w:p>
    <w:p w:rsidR="001209D8" w:rsidRPr="00F019C3" w:rsidRDefault="001209D8" w:rsidP="001209D8">
      <w:pPr>
        <w:spacing w:line="360" w:lineRule="auto"/>
        <w:ind w:firstLine="709"/>
        <w:contextualSpacing/>
        <w:jc w:val="both"/>
      </w:pPr>
      <w:r w:rsidRPr="00F019C3">
        <w:t>Согласно опыту стратегического менеджмента, стратегии слияний и поглощений варьируются в связи с частыми изменениями окружающей экономической среды и посл</w:t>
      </w:r>
      <w:r w:rsidRPr="00F019C3">
        <w:t>е</w:t>
      </w:r>
      <w:r w:rsidRPr="00F019C3">
        <w:t>дующими трудностями реализации. Таким образом, будущий денежный поток, который представляет собой основу оценки стоимости, трудно предсказать. Кроме того, исслед</w:t>
      </w:r>
      <w:r w:rsidRPr="00F019C3">
        <w:t>о</w:t>
      </w:r>
      <w:r w:rsidRPr="00F019C3">
        <w:t>вания в области стратегического менеджмента показывают, что возможности внутреннего повышения эффективности организации ограничены, а на каком-то этапе, это может о</w:t>
      </w:r>
      <w:r w:rsidRPr="00F019C3">
        <w:t>т</w:t>
      </w:r>
      <w:r w:rsidRPr="00F019C3">
        <w:t>рицательно повлиять на ее конкурентоспособность.</w:t>
      </w:r>
      <w:r w:rsidRPr="00F019C3">
        <w:rPr>
          <w:vertAlign w:val="superscript"/>
        </w:rPr>
        <w:footnoteReference w:id="29"/>
      </w:r>
      <w:r w:rsidRPr="00F019C3">
        <w:t xml:space="preserve"> </w:t>
      </w:r>
    </w:p>
    <w:p w:rsidR="001209D8" w:rsidRPr="00F019C3" w:rsidRDefault="001209D8" w:rsidP="001209D8">
      <w:pPr>
        <w:spacing w:line="360" w:lineRule="auto"/>
        <w:ind w:firstLine="709"/>
        <w:contextualSpacing/>
        <w:jc w:val="both"/>
      </w:pPr>
      <w:r w:rsidRPr="00F019C3">
        <w:t>Стратегический подход к управлению рассматривает значительное количество п</w:t>
      </w:r>
      <w:r w:rsidRPr="00F019C3">
        <w:t>а</w:t>
      </w:r>
      <w:r w:rsidRPr="00F019C3">
        <w:t>раметров успеха, в том числе от размера продаж, увеличение доли рынка, улучшение ко</w:t>
      </w:r>
      <w:r w:rsidRPr="00F019C3">
        <w:t>н</w:t>
      </w:r>
      <w:r w:rsidRPr="00F019C3">
        <w:t>курентных способностей, и, конечно, изменения в доходности после слияния в отношении периода до М&amp;A. Данные параметры влияют в зависимости от стратегического соотве</w:t>
      </w:r>
      <w:r w:rsidRPr="00F019C3">
        <w:t>т</w:t>
      </w:r>
      <w:r w:rsidRPr="00F019C3">
        <w:t>ствия между двумя компаниями, и, следовательно, являются основными факторами усп</w:t>
      </w:r>
      <w:r w:rsidRPr="00F019C3">
        <w:t>е</w:t>
      </w:r>
      <w:r w:rsidRPr="00F019C3">
        <w:t>хов и неудач в результате слияний и поглощений. Стратегическое соответствие выражае</w:t>
      </w:r>
      <w:r w:rsidRPr="00F019C3">
        <w:t>т</w:t>
      </w:r>
      <w:r w:rsidRPr="00F019C3">
        <w:t>ся в синергии потенциала слияния. Тем не менее, даже в смежных слияни</w:t>
      </w:r>
      <w:r>
        <w:t>ях</w:t>
      </w:r>
      <w:r w:rsidRPr="00F019C3">
        <w:t>, число неудач довольно высоко.</w:t>
      </w:r>
    </w:p>
    <w:p w:rsidR="001209D8" w:rsidRPr="00F019C3" w:rsidRDefault="001209D8" w:rsidP="001209D8">
      <w:pPr>
        <w:spacing w:line="360" w:lineRule="auto"/>
        <w:ind w:firstLine="709"/>
        <w:contextualSpacing/>
        <w:jc w:val="both"/>
      </w:pPr>
      <w:r w:rsidRPr="00F019C3">
        <w:t>Объяснить столь низкие результат можно тем, что потенциал взаимодействия не всегда проявляется в реализации. Существует две причины отсутствия реализации сине</w:t>
      </w:r>
      <w:r w:rsidRPr="00F019C3">
        <w:t>р</w:t>
      </w:r>
      <w:r w:rsidRPr="00F019C3">
        <w:t>гии:</w:t>
      </w:r>
    </w:p>
    <w:p w:rsidR="001209D8" w:rsidRPr="00F019C3" w:rsidRDefault="001209D8" w:rsidP="001209D8">
      <w:pPr>
        <w:numPr>
          <w:ilvl w:val="0"/>
          <w:numId w:val="16"/>
        </w:numPr>
        <w:spacing w:after="200" w:line="360" w:lineRule="auto"/>
        <w:ind w:hanging="357"/>
        <w:contextualSpacing/>
        <w:jc w:val="both"/>
      </w:pPr>
      <w:r w:rsidRPr="00F019C3">
        <w:t>Синергетический эффект может не проявиться из-за отсутствия предвар</w:t>
      </w:r>
      <w:r w:rsidRPr="00F019C3">
        <w:t>и</w:t>
      </w:r>
      <w:r w:rsidRPr="00F019C3">
        <w:t>тельного планирования. Проведя предварительное планирование, можно и</w:t>
      </w:r>
      <w:r w:rsidRPr="00F019C3">
        <w:t>з</w:t>
      </w:r>
      <w:r w:rsidRPr="00F019C3">
        <w:lastRenderedPageBreak/>
        <w:t>бежать лишних затрат, выявив основные источники синергии, и актуализ</w:t>
      </w:r>
      <w:r w:rsidRPr="00F019C3">
        <w:t>и</w:t>
      </w:r>
      <w:r w:rsidRPr="00F019C3">
        <w:t>ровав потенциал синергии в относительно короткий промежуток времени. Без определенного плана, потенциал синергии тает в длинных и сложных организационных процессах, которые не приносят плодов.</w:t>
      </w:r>
    </w:p>
    <w:p w:rsidR="001209D8" w:rsidRPr="00F019C3" w:rsidRDefault="001209D8" w:rsidP="001209D8">
      <w:pPr>
        <w:numPr>
          <w:ilvl w:val="0"/>
          <w:numId w:val="16"/>
        </w:numPr>
        <w:spacing w:after="200" w:line="360" w:lineRule="auto"/>
        <w:ind w:hanging="357"/>
        <w:contextualSpacing/>
        <w:jc w:val="both"/>
      </w:pPr>
      <w:r w:rsidRPr="00F019C3">
        <w:t>Отсутствие реализации синергии в смежных слияни</w:t>
      </w:r>
      <w:r>
        <w:t>ях</w:t>
      </w:r>
      <w:r w:rsidRPr="00F019C3">
        <w:t xml:space="preserve"> связаны с недоста</w:t>
      </w:r>
      <w:r w:rsidRPr="00F019C3">
        <w:t>т</w:t>
      </w:r>
      <w:r w:rsidRPr="00F019C3">
        <w:t>ком внимания к человеческим факторам, а именно, менеджерам и рабочим, в особенности к человеческим ресурсам приобретенной компании.</w:t>
      </w:r>
    </w:p>
    <w:p w:rsidR="001209D8" w:rsidRDefault="001209D8" w:rsidP="001209D8">
      <w:pPr>
        <w:spacing w:line="360" w:lineRule="auto"/>
        <w:ind w:firstLine="709"/>
        <w:jc w:val="both"/>
      </w:pPr>
      <w:r w:rsidRPr="00F019C3">
        <w:t>Данная причина рассматривается областью организационного поведения.</w:t>
      </w:r>
    </w:p>
    <w:p w:rsidR="001209D8" w:rsidRPr="00F019C3" w:rsidRDefault="001209D8" w:rsidP="001209D8">
      <w:pPr>
        <w:spacing w:line="360" w:lineRule="auto"/>
        <w:ind w:firstLine="709"/>
        <w:jc w:val="both"/>
      </w:pPr>
    </w:p>
    <w:p w:rsidR="00F019C3" w:rsidRPr="00F019C3" w:rsidRDefault="00F019C3" w:rsidP="00C87CF2">
      <w:pPr>
        <w:spacing w:line="360" w:lineRule="auto"/>
        <w:ind w:firstLine="709"/>
        <w:contextualSpacing/>
        <w:jc w:val="both"/>
        <w:rPr>
          <w:u w:val="single"/>
        </w:rPr>
      </w:pPr>
      <w:r w:rsidRPr="00F019C3">
        <w:rPr>
          <w:u w:val="single"/>
        </w:rPr>
        <w:t>Проблемы организационного управления</w:t>
      </w:r>
    </w:p>
    <w:p w:rsidR="00F019C3" w:rsidRPr="00F019C3" w:rsidRDefault="00F019C3" w:rsidP="00C87CF2">
      <w:pPr>
        <w:spacing w:line="360" w:lineRule="auto"/>
        <w:ind w:firstLine="709"/>
        <w:contextualSpacing/>
        <w:jc w:val="both"/>
      </w:pPr>
      <w:r w:rsidRPr="00F019C3">
        <w:t>Исследователи и консультанты по вопросам организационного поведения утве</w:t>
      </w:r>
      <w:r w:rsidRPr="00F019C3">
        <w:t>р</w:t>
      </w:r>
      <w:r w:rsidRPr="00F019C3">
        <w:t>ждают, что основной причиной неудач в сфере слияний и поглощений является отсу</w:t>
      </w:r>
      <w:r w:rsidRPr="00F019C3">
        <w:t>т</w:t>
      </w:r>
      <w:r w:rsidRPr="00F019C3">
        <w:t xml:space="preserve">ствие учета человеческого фактора в процессе планирования и осуществления </w:t>
      </w:r>
      <w:r w:rsidR="0011428C">
        <w:t>междун</w:t>
      </w:r>
      <w:r w:rsidR="0011428C">
        <w:t>а</w:t>
      </w:r>
      <w:r w:rsidR="0011428C">
        <w:t xml:space="preserve">родных сделок </w:t>
      </w:r>
      <w:r w:rsidRPr="00F019C3">
        <w:t xml:space="preserve">слияния. Другими словами, даже учитывая специфические условия успеха в соответствии с первыми двумя областями, а именно, оплатой целесообразно стоимости приобретенной компании, и проведением </w:t>
      </w:r>
      <w:r w:rsidRPr="00F019C3">
        <w:rPr>
          <w:lang w:val="en-US"/>
        </w:rPr>
        <w:t>M</w:t>
      </w:r>
      <w:r w:rsidRPr="00F019C3">
        <w:t>&amp;</w:t>
      </w:r>
      <w:r w:rsidRPr="00F019C3">
        <w:rPr>
          <w:lang w:val="en-US"/>
        </w:rPr>
        <w:t>A</w:t>
      </w:r>
      <w:r w:rsidRPr="00F019C3">
        <w:t xml:space="preserve"> между двумя смежными организациями с потенциалом для синергии, человеческий фактор может привести к провалу. Руководит</w:t>
      </w:r>
      <w:r w:rsidRPr="00F019C3">
        <w:t>е</w:t>
      </w:r>
      <w:r w:rsidRPr="00F019C3">
        <w:t>ли и работники, которые не приспосабливаются к слиянию, сознательно или подсозн</w:t>
      </w:r>
      <w:r w:rsidRPr="00F019C3">
        <w:t>а</w:t>
      </w:r>
      <w:r w:rsidRPr="00F019C3">
        <w:t>тельно, вследствие различий культурных или в стиле управления, вызывают значительные расходы и смещают потенциал синергии.</w:t>
      </w:r>
      <w:r w:rsidRPr="00F019C3">
        <w:rPr>
          <w:vertAlign w:val="superscript"/>
        </w:rPr>
        <w:footnoteReference w:id="30"/>
      </w:r>
      <w:r w:rsidRPr="00F019C3">
        <w:t xml:space="preserve"> </w:t>
      </w:r>
    </w:p>
    <w:p w:rsidR="00F019C3" w:rsidRPr="00F019C3" w:rsidRDefault="00F019C3" w:rsidP="00EE5F6B">
      <w:pPr>
        <w:spacing w:line="360" w:lineRule="auto"/>
        <w:ind w:firstLine="709"/>
        <w:contextualSpacing/>
        <w:jc w:val="both"/>
      </w:pPr>
      <w:r w:rsidRPr="00F019C3">
        <w:t>После всестороннего исследования, проводившегося в последние годы и накопле</w:t>
      </w:r>
      <w:r w:rsidRPr="00F019C3">
        <w:t>н</w:t>
      </w:r>
      <w:r w:rsidRPr="00F019C3">
        <w:t>ного опыта во многих слияниях, известно, что, по сути, основным фактором, который влияет на менеджеров и рабочих, прежде всего, в приобретенной компании, является ст</w:t>
      </w:r>
      <w:r w:rsidRPr="00F019C3">
        <w:t>е</w:t>
      </w:r>
      <w:r w:rsidRPr="00F019C3">
        <w:t>пень управления/организационных различий культуры между двумя сливающихся орг</w:t>
      </w:r>
      <w:r w:rsidRPr="00F019C3">
        <w:t>а</w:t>
      </w:r>
      <w:r w:rsidRPr="00F019C3">
        <w:t>низациями. Когда разница в культуре управления значительна, слияние обречено на пр</w:t>
      </w:r>
      <w:r w:rsidRPr="00F019C3">
        <w:t>о</w:t>
      </w:r>
      <w:r w:rsidRPr="00F019C3">
        <w:t xml:space="preserve">вал. Таким образом, генеральный директор </w:t>
      </w:r>
      <w:proofErr w:type="spellStart"/>
      <w:r w:rsidRPr="00F019C3">
        <w:t>Daimler-Chrysler</w:t>
      </w:r>
      <w:proofErr w:type="spellEnd"/>
      <w:r w:rsidRPr="00F019C3">
        <w:t xml:space="preserve">, немец, Юрген </w:t>
      </w:r>
      <w:proofErr w:type="spellStart"/>
      <w:r w:rsidRPr="00F019C3">
        <w:t>Шремпп</w:t>
      </w:r>
      <w:proofErr w:type="spellEnd"/>
      <w:r w:rsidRPr="00F019C3">
        <w:t xml:space="preserve">, утверждал, что </w:t>
      </w:r>
      <w:proofErr w:type="spellStart"/>
      <w:r w:rsidRPr="00F019C3">
        <w:t>американецу</w:t>
      </w:r>
      <w:proofErr w:type="spellEnd"/>
      <w:r w:rsidRPr="00F019C3">
        <w:t xml:space="preserve">,  Джеймсу </w:t>
      </w:r>
      <w:proofErr w:type="spellStart"/>
      <w:r w:rsidRPr="00F019C3">
        <w:t>Холдену</w:t>
      </w:r>
      <w:proofErr w:type="spellEnd"/>
      <w:r w:rsidRPr="00F019C3">
        <w:t>,  не удалось приспособиться к его подх</w:t>
      </w:r>
      <w:r w:rsidRPr="00F019C3">
        <w:t>о</w:t>
      </w:r>
      <w:r w:rsidRPr="00F019C3">
        <w:t>ду к управлению, который включает, например, политику сокращения расходов и тек</w:t>
      </w:r>
      <w:r w:rsidRPr="00F019C3">
        <w:t>у</w:t>
      </w:r>
      <w:r w:rsidRPr="00F019C3">
        <w:t xml:space="preserve">щую отчетность о важных событиях в </w:t>
      </w:r>
      <w:proofErr w:type="spellStart"/>
      <w:r w:rsidRPr="00F019C3">
        <w:t>Chrysler</w:t>
      </w:r>
      <w:proofErr w:type="spellEnd"/>
      <w:r w:rsidRPr="00F019C3">
        <w:t xml:space="preserve"> и, таким образом, индуцировал сохраня</w:t>
      </w:r>
      <w:r w:rsidRPr="00F019C3">
        <w:t>ю</w:t>
      </w:r>
      <w:r w:rsidRPr="00F019C3">
        <w:t>щуюся неопределенность.</w:t>
      </w:r>
      <w:r w:rsidRPr="00F019C3">
        <w:rPr>
          <w:vertAlign w:val="superscript"/>
        </w:rPr>
        <w:footnoteReference w:id="31"/>
      </w:r>
      <w:r w:rsidRPr="00F019C3">
        <w:t xml:space="preserve"> Зависимость успеха слияний и поглощений от культурных </w:t>
      </w:r>
      <w:r w:rsidRPr="00F019C3">
        <w:lastRenderedPageBreak/>
        <w:t xml:space="preserve">различий </w:t>
      </w:r>
      <w:r w:rsidR="008C3364">
        <w:t>можно проследить в Приложении 1</w:t>
      </w:r>
      <w:r w:rsidRPr="00F019C3">
        <w:t>.</w:t>
      </w:r>
      <w:r w:rsidRPr="00F019C3">
        <w:rPr>
          <w:vertAlign w:val="superscript"/>
        </w:rPr>
        <w:footnoteReference w:id="32"/>
      </w:r>
      <w:r w:rsidRPr="00F019C3">
        <w:t xml:space="preserve"> Данная таблица показывает, что различия культур взывают напряженность/давление и негативное отношение среди руководителей и работников, в первую очередь тех, кто работал приобретенной компании. В результате негативного отношения к приобретающей организации, приверженность руководителей к успеху слияния обесценивается, что негативно отражается на эффективности. Таким обр</w:t>
      </w:r>
      <w:r w:rsidRPr="00F019C3">
        <w:t>а</w:t>
      </w:r>
      <w:r w:rsidRPr="00F019C3">
        <w:t xml:space="preserve">зом, </w:t>
      </w:r>
      <w:proofErr w:type="gramStart"/>
      <w:r w:rsidRPr="00F019C3">
        <w:t>топ-менеджеры</w:t>
      </w:r>
      <w:proofErr w:type="gramEnd"/>
      <w:r w:rsidRPr="00F019C3">
        <w:t xml:space="preserve"> приобретенной компании покидают компанию и переходят к конк</w:t>
      </w:r>
      <w:r w:rsidRPr="00F019C3">
        <w:t>у</w:t>
      </w:r>
      <w:r w:rsidRPr="00F019C3">
        <w:t>рентам или в другие фирмы, вследствие чего фирма теряет человеческий капитал.</w:t>
      </w:r>
    </w:p>
    <w:p w:rsidR="0070355E" w:rsidRDefault="00F019C3" w:rsidP="00B90C99">
      <w:pPr>
        <w:spacing w:line="360" w:lineRule="auto"/>
        <w:ind w:firstLine="567"/>
        <w:contextualSpacing/>
        <w:jc w:val="both"/>
      </w:pPr>
      <w:r w:rsidRPr="00F019C3">
        <w:t xml:space="preserve">В итоге, опираясь на опыт и знания различных сфер, изучающих процессы </w:t>
      </w:r>
      <w:r w:rsidRPr="00F019C3">
        <w:rPr>
          <w:lang w:val="en-US"/>
        </w:rPr>
        <w:t>M</w:t>
      </w:r>
      <w:r w:rsidRPr="00F019C3">
        <w:t>&amp;</w:t>
      </w:r>
      <w:r w:rsidRPr="00F019C3">
        <w:rPr>
          <w:lang w:val="en-US"/>
        </w:rPr>
        <w:t>A</w:t>
      </w:r>
      <w:r w:rsidRPr="00F019C3">
        <w:t>, а так же на факторы, оказывающие на них непосредственное влияние, необходимо отм</w:t>
      </w:r>
      <w:r w:rsidRPr="00F019C3">
        <w:t>е</w:t>
      </w:r>
      <w:r w:rsidRPr="00F019C3">
        <w:t>тить, что проблемы могут возникнуть на любом этапе консолидации компаний. Однако если рассматривать общий массив проваленных сделок, то можно выявить 4 основных момента, ошибившись в которых, компания, несомненно, не сумеет оправиться от после</w:t>
      </w:r>
      <w:r w:rsidRPr="00F019C3">
        <w:t>д</w:t>
      </w:r>
      <w:r w:rsidRPr="00F019C3">
        <w:t>ствий, а именно: менеджеризм, проблемы оценки компаний, проблемы стратегического управления и, наконец, проблемы организационного управления. Принимая во внимание все аспекты проведения сделок слияний и поглощений, для их успешного завершения, всегда необходимо помнить о рисках, с которыми придется столкнутьс</w:t>
      </w:r>
      <w:r w:rsidR="0070355E">
        <w:t>я компании.</w:t>
      </w:r>
    </w:p>
    <w:p w:rsidR="0070355E" w:rsidRPr="0070355E" w:rsidRDefault="0070355E" w:rsidP="00B90C99">
      <w:pPr>
        <w:spacing w:line="360" w:lineRule="auto"/>
        <w:ind w:firstLine="567"/>
        <w:contextualSpacing/>
        <w:jc w:val="both"/>
      </w:pPr>
      <w:r w:rsidRPr="0070355E">
        <w:t>Подводя черту, можно отметить, что слияния и поглощения представляют собой важный инструмент интеграции хозяйственных образований, реструктуризации и выте</w:t>
      </w:r>
      <w:r w:rsidRPr="0070355E">
        <w:t>с</w:t>
      </w:r>
      <w:r w:rsidRPr="0070355E">
        <w:t xml:space="preserve">нения с </w:t>
      </w:r>
      <w:r w:rsidR="004A0F03">
        <w:t xml:space="preserve">международного </w:t>
      </w:r>
      <w:r w:rsidRPr="0070355E">
        <w:t>рынка неконкурентоспособных фирм. Само по себе понятие сд</w:t>
      </w:r>
      <w:r w:rsidRPr="0070355E">
        <w:t>е</w:t>
      </w:r>
      <w:r w:rsidRPr="0070355E">
        <w:t xml:space="preserve">лок </w:t>
      </w:r>
      <w:r w:rsidRPr="0070355E">
        <w:rPr>
          <w:lang w:val="en-US"/>
        </w:rPr>
        <w:t>M</w:t>
      </w:r>
      <w:r w:rsidRPr="0070355E">
        <w:t>&amp;</w:t>
      </w:r>
      <w:r w:rsidRPr="0070355E">
        <w:rPr>
          <w:lang w:val="en-US"/>
        </w:rPr>
        <w:t>A</w:t>
      </w:r>
      <w:r w:rsidRPr="0070355E">
        <w:t xml:space="preserve"> может быть рассмотрено с различных позиций, что задает последующее разн</w:t>
      </w:r>
      <w:r w:rsidRPr="0070355E">
        <w:t>о</w:t>
      </w:r>
      <w:r w:rsidRPr="0070355E">
        <w:t>образие сфер и областей, прилегающих к изучению слияний и поглощений.</w:t>
      </w:r>
    </w:p>
    <w:p w:rsidR="0070355E" w:rsidRPr="0070355E" w:rsidRDefault="0070355E" w:rsidP="004A0F03">
      <w:pPr>
        <w:spacing w:line="360" w:lineRule="auto"/>
        <w:ind w:firstLine="709"/>
        <w:contextualSpacing/>
        <w:jc w:val="both"/>
      </w:pPr>
      <w:r w:rsidRPr="0070355E">
        <w:t>Прежде всего, необходимо заняться определением и выделением основных мот</w:t>
      </w:r>
      <w:r w:rsidRPr="0070355E">
        <w:t>и</w:t>
      </w:r>
      <w:r w:rsidRPr="0070355E">
        <w:t xml:space="preserve">вационных аспектов, побуждающих </w:t>
      </w:r>
      <w:r w:rsidR="004A0F03">
        <w:t xml:space="preserve">международные </w:t>
      </w:r>
      <w:r w:rsidRPr="0070355E">
        <w:t>компании совершать сделки по сл</w:t>
      </w:r>
      <w:r w:rsidRPr="0070355E">
        <w:t>и</w:t>
      </w:r>
      <w:r w:rsidRPr="0070355E">
        <w:t>янию и поглощению. Наиболее распространенными причинами являются достижение с</w:t>
      </w:r>
      <w:r w:rsidRPr="0070355E">
        <w:t>и</w:t>
      </w:r>
      <w:r w:rsidRPr="0070355E">
        <w:t>нергетического эффекта, диверсификация, а так же корректировка стратегии. Однако при этом стоит отметить, что синергия в качестве мотива рыночной транзакции не особо ра</w:t>
      </w:r>
      <w:r w:rsidRPr="0070355E">
        <w:t>с</w:t>
      </w:r>
      <w:r w:rsidRPr="0070355E">
        <w:t>пространена в российской практике.</w:t>
      </w:r>
    </w:p>
    <w:p w:rsidR="0070355E" w:rsidRPr="0070355E" w:rsidRDefault="0070355E" w:rsidP="004A0F03">
      <w:pPr>
        <w:spacing w:line="360" w:lineRule="auto"/>
        <w:ind w:firstLine="709"/>
        <w:contextualSpacing/>
        <w:jc w:val="both"/>
      </w:pPr>
      <w:r w:rsidRPr="0070355E">
        <w:t xml:space="preserve"> Следующим этапом является разработка основных подходов к созданию стоим</w:t>
      </w:r>
      <w:r w:rsidRPr="0070355E">
        <w:t>о</w:t>
      </w:r>
      <w:r w:rsidRPr="0070355E">
        <w:t>сти сливающихся компаний. В общей сложности их всего 3, но наиболее распростране</w:t>
      </w:r>
      <w:r w:rsidRPr="0070355E">
        <w:t>н</w:t>
      </w:r>
      <w:r w:rsidRPr="0070355E">
        <w:t>ным является доходный поход, а именно метод дисконтирования денежного потока. Остальные не так часто используются в виду некоторых недостатков, к примеру, нед</w:t>
      </w:r>
      <w:r w:rsidRPr="0070355E">
        <w:t>о</w:t>
      </w:r>
      <w:r w:rsidRPr="0070355E">
        <w:t>ступность необходимой открытой информации.</w:t>
      </w:r>
    </w:p>
    <w:p w:rsidR="0070355E" w:rsidRPr="0070355E" w:rsidRDefault="0070355E" w:rsidP="004A0F03">
      <w:pPr>
        <w:spacing w:line="360" w:lineRule="auto"/>
        <w:ind w:firstLine="709"/>
        <w:contextualSpacing/>
        <w:jc w:val="both"/>
      </w:pPr>
      <w:r w:rsidRPr="0070355E">
        <w:lastRenderedPageBreak/>
        <w:t>Всегда необходимо помнить о рисках, связанных с объединением компаний, след</w:t>
      </w:r>
      <w:r w:rsidRPr="0070355E">
        <w:t>о</w:t>
      </w:r>
      <w:r w:rsidRPr="0070355E">
        <w:t>вательно, целесообразно рассмотреть проблемы, возникающие на различных этапах ко</w:t>
      </w:r>
      <w:r w:rsidRPr="0070355E">
        <w:t>н</w:t>
      </w:r>
      <w:r w:rsidRPr="0070355E">
        <w:t>солидации. Анализ рассмотренн</w:t>
      </w:r>
      <w:r w:rsidR="004A0F03">
        <w:t>ой</w:t>
      </w:r>
      <w:r w:rsidRPr="0070355E">
        <w:t xml:space="preserve"> области показал, что зачастую </w:t>
      </w:r>
      <w:r w:rsidR="004A0F03">
        <w:t>международные фирмы</w:t>
      </w:r>
      <w:r w:rsidRPr="0070355E">
        <w:t xml:space="preserve"> сталкиваются с проблемами управления и оценки предстоящей сделки, однако </w:t>
      </w:r>
      <w:proofErr w:type="gramStart"/>
      <w:r w:rsidRPr="0070355E">
        <w:t>ошибиться</w:t>
      </w:r>
      <w:proofErr w:type="gramEnd"/>
      <w:r w:rsidRPr="0070355E">
        <w:t xml:space="preserve"> возможно на любой стадии проведения </w:t>
      </w:r>
      <w:r w:rsidRPr="0070355E">
        <w:rPr>
          <w:lang w:val="en-US"/>
        </w:rPr>
        <w:t>M</w:t>
      </w:r>
      <w:r w:rsidRPr="0070355E">
        <w:t>&amp;</w:t>
      </w:r>
      <w:r w:rsidRPr="0070355E">
        <w:rPr>
          <w:lang w:val="en-US"/>
        </w:rPr>
        <w:t>A</w:t>
      </w:r>
      <w:r w:rsidRPr="0070355E">
        <w:t>.</w:t>
      </w:r>
    </w:p>
    <w:p w:rsidR="0070355E" w:rsidRDefault="0070355E" w:rsidP="004A0F03">
      <w:pPr>
        <w:spacing w:line="360" w:lineRule="auto"/>
        <w:ind w:firstLine="709"/>
        <w:contextualSpacing/>
        <w:jc w:val="both"/>
      </w:pPr>
      <w:r w:rsidRPr="0070355E">
        <w:t>Изучение данных областей продолжается и на данный момент, в связи с планоме</w:t>
      </w:r>
      <w:r w:rsidRPr="0070355E">
        <w:t>р</w:t>
      </w:r>
      <w:r w:rsidRPr="0070355E">
        <w:t xml:space="preserve">ным расширением рынка сделок </w:t>
      </w:r>
      <w:r w:rsidRPr="0070355E">
        <w:rPr>
          <w:lang w:val="en-US"/>
        </w:rPr>
        <w:t>M</w:t>
      </w:r>
      <w:r w:rsidRPr="0070355E">
        <w:t>&amp;</w:t>
      </w:r>
      <w:r w:rsidRPr="0070355E">
        <w:rPr>
          <w:lang w:val="en-US"/>
        </w:rPr>
        <w:t>A</w:t>
      </w:r>
      <w:r>
        <w:t xml:space="preserve">. </w:t>
      </w:r>
    </w:p>
    <w:p w:rsidR="0070355E" w:rsidRPr="0070355E" w:rsidRDefault="0070355E" w:rsidP="0070355E">
      <w:pPr>
        <w:spacing w:line="360" w:lineRule="auto"/>
        <w:jc w:val="both"/>
        <w:sectPr w:rsidR="0070355E" w:rsidRPr="0070355E" w:rsidSect="002D3256">
          <w:footerReference w:type="default" r:id="rId9"/>
          <w:pgSz w:w="11906" w:h="16838"/>
          <w:pgMar w:top="1134" w:right="850" w:bottom="1134" w:left="1701" w:header="708" w:footer="708" w:gutter="0"/>
          <w:cols w:space="708"/>
          <w:titlePg/>
          <w:docGrid w:linePitch="360"/>
        </w:sectPr>
      </w:pPr>
    </w:p>
    <w:p w:rsidR="005B6370" w:rsidRDefault="005B6370" w:rsidP="0070355E">
      <w:pPr>
        <w:pStyle w:val="1"/>
        <w:spacing w:before="200" w:afterLines="100" w:after="240"/>
        <w:ind w:firstLine="567"/>
        <w:rPr>
          <w:rFonts w:ascii="Times New Roman" w:hAnsi="Times New Roman" w:cs="Times New Roman"/>
          <w:color w:val="auto"/>
        </w:rPr>
      </w:pPr>
      <w:bookmarkStart w:id="12" w:name="_Toc417956307"/>
      <w:bookmarkStart w:id="13" w:name="_Toc513092279"/>
      <w:r w:rsidRPr="0001374F">
        <w:rPr>
          <w:rFonts w:ascii="Times New Roman" w:hAnsi="Times New Roman" w:cs="Times New Roman"/>
          <w:color w:val="auto"/>
        </w:rPr>
        <w:lastRenderedPageBreak/>
        <w:t xml:space="preserve">Глава 2. </w:t>
      </w:r>
      <w:r>
        <w:rPr>
          <w:rFonts w:ascii="Times New Roman" w:hAnsi="Times New Roman" w:cs="Times New Roman"/>
          <w:color w:val="auto"/>
        </w:rPr>
        <w:t>Анализ</w:t>
      </w:r>
      <w:r w:rsidR="00D5532B">
        <w:rPr>
          <w:rFonts w:ascii="Times New Roman" w:hAnsi="Times New Roman" w:cs="Times New Roman"/>
          <w:color w:val="auto"/>
        </w:rPr>
        <w:t xml:space="preserve"> трендов</w:t>
      </w:r>
      <w:r w:rsidR="004A4D43">
        <w:rPr>
          <w:rFonts w:ascii="Times New Roman" w:hAnsi="Times New Roman" w:cs="Times New Roman"/>
          <w:color w:val="auto"/>
        </w:rPr>
        <w:t xml:space="preserve"> сделок</w:t>
      </w:r>
      <w:r w:rsidRPr="0001374F">
        <w:rPr>
          <w:rFonts w:ascii="Times New Roman" w:hAnsi="Times New Roman" w:cs="Times New Roman"/>
          <w:color w:val="auto"/>
        </w:rPr>
        <w:t xml:space="preserve"> </w:t>
      </w:r>
      <w:r w:rsidRPr="0001374F">
        <w:rPr>
          <w:rFonts w:ascii="Times New Roman" w:hAnsi="Times New Roman" w:cs="Times New Roman"/>
          <w:color w:val="auto"/>
          <w:lang w:val="en-US"/>
        </w:rPr>
        <w:t>M</w:t>
      </w:r>
      <w:r w:rsidRPr="0001374F">
        <w:rPr>
          <w:rFonts w:ascii="Times New Roman" w:hAnsi="Times New Roman" w:cs="Times New Roman"/>
          <w:color w:val="auto"/>
        </w:rPr>
        <w:t>&amp;</w:t>
      </w:r>
      <w:r w:rsidRPr="0001374F">
        <w:rPr>
          <w:rFonts w:ascii="Times New Roman" w:hAnsi="Times New Roman" w:cs="Times New Roman"/>
          <w:color w:val="auto"/>
          <w:lang w:val="en-US"/>
        </w:rPr>
        <w:t>A</w:t>
      </w:r>
      <w:r w:rsidRPr="0001374F">
        <w:rPr>
          <w:rFonts w:ascii="Times New Roman" w:hAnsi="Times New Roman" w:cs="Times New Roman"/>
          <w:color w:val="auto"/>
        </w:rPr>
        <w:t>.</w:t>
      </w:r>
      <w:bookmarkEnd w:id="12"/>
      <w:bookmarkEnd w:id="13"/>
      <w:r w:rsidRPr="0001374F">
        <w:rPr>
          <w:rFonts w:ascii="Times New Roman" w:hAnsi="Times New Roman" w:cs="Times New Roman"/>
          <w:color w:val="auto"/>
        </w:rPr>
        <w:t xml:space="preserve"> </w:t>
      </w:r>
    </w:p>
    <w:p w:rsidR="009C2920" w:rsidRPr="009C2920" w:rsidRDefault="00F50F76" w:rsidP="009C2920">
      <w:pPr>
        <w:pStyle w:val="3"/>
        <w:numPr>
          <w:ilvl w:val="1"/>
          <w:numId w:val="16"/>
        </w:numPr>
        <w:spacing w:after="200"/>
        <w:rPr>
          <w:rFonts w:ascii="Times New Roman" w:hAnsi="Times New Roman" w:cs="Times New Roman"/>
          <w:color w:val="000000" w:themeColor="text1"/>
        </w:rPr>
      </w:pPr>
      <w:bookmarkStart w:id="14" w:name="_Toc513092280"/>
      <w:bookmarkStart w:id="15" w:name="_Toc417956308"/>
      <w:r w:rsidRPr="005D6F53">
        <w:rPr>
          <w:rFonts w:ascii="Times New Roman" w:hAnsi="Times New Roman" w:cs="Times New Roman"/>
          <w:color w:val="000000" w:themeColor="text1"/>
        </w:rPr>
        <w:t>Современная международная практика процессов слияний поглощ</w:t>
      </w:r>
      <w:r w:rsidRPr="005D6F53">
        <w:rPr>
          <w:rFonts w:ascii="Times New Roman" w:hAnsi="Times New Roman" w:cs="Times New Roman"/>
          <w:color w:val="000000" w:themeColor="text1"/>
        </w:rPr>
        <w:t>е</w:t>
      </w:r>
      <w:r w:rsidRPr="005D6F53">
        <w:rPr>
          <w:rFonts w:ascii="Times New Roman" w:hAnsi="Times New Roman" w:cs="Times New Roman"/>
          <w:color w:val="000000" w:themeColor="text1"/>
        </w:rPr>
        <w:t>ний.</w:t>
      </w:r>
      <w:bookmarkEnd w:id="14"/>
    </w:p>
    <w:p w:rsidR="00210971" w:rsidRDefault="00C87CF2" w:rsidP="009C2920">
      <w:pPr>
        <w:spacing w:line="360" w:lineRule="auto"/>
        <w:ind w:firstLine="709"/>
        <w:contextualSpacing/>
        <w:jc w:val="both"/>
      </w:pPr>
      <w:r>
        <w:t>Сделки</w:t>
      </w:r>
      <w:r w:rsidR="002D649C" w:rsidRPr="00C87CF2">
        <w:t xml:space="preserve"> сли</w:t>
      </w:r>
      <w:r w:rsidRPr="00C87CF2">
        <w:t>яни</w:t>
      </w:r>
      <w:r w:rsidR="002D649C" w:rsidRPr="00C87CF2">
        <w:t>й</w:t>
      </w:r>
      <w:r w:rsidR="002D649C">
        <w:t xml:space="preserve"> и поглощений </w:t>
      </w:r>
      <w:r w:rsidR="00EC4A0C">
        <w:t xml:space="preserve">крайне </w:t>
      </w:r>
      <w:proofErr w:type="spellStart"/>
      <w:r w:rsidR="00EC4A0C">
        <w:t>волатил</w:t>
      </w:r>
      <w:r>
        <w:t>ьны</w:t>
      </w:r>
      <w:proofErr w:type="spellEnd"/>
      <w:r w:rsidR="00EC4A0C">
        <w:t xml:space="preserve"> к изменениям на тех или иных рынках, различным отраслевым шокам и изменениям в законодательстве. Каждое</w:t>
      </w:r>
      <w:r w:rsidR="00AE5A5E">
        <w:t xml:space="preserve"> </w:t>
      </w:r>
      <w:r w:rsidR="00EC4A0C">
        <w:t>измен</w:t>
      </w:r>
      <w:r w:rsidR="00EC4A0C">
        <w:t>е</w:t>
      </w:r>
      <w:r w:rsidR="00EC4A0C">
        <w:t xml:space="preserve">ние сопровождалось </w:t>
      </w:r>
      <w:r w:rsidR="00AE5A5E">
        <w:t>вол</w:t>
      </w:r>
      <w:r w:rsidR="00EC4A0C">
        <w:t>ной</w:t>
      </w:r>
      <w:r w:rsidR="00AE5A5E">
        <w:t xml:space="preserve"> слияний</w:t>
      </w:r>
      <w:r w:rsidR="00EC4A0C">
        <w:t xml:space="preserve">, которые </w:t>
      </w:r>
      <w:r w:rsidR="00AE5A5E">
        <w:t>был</w:t>
      </w:r>
      <w:r w:rsidR="00EC4A0C">
        <w:t>и</w:t>
      </w:r>
      <w:r w:rsidR="00AE5A5E">
        <w:t xml:space="preserve"> связан</w:t>
      </w:r>
      <w:r w:rsidR="00EC4A0C">
        <w:t>ы</w:t>
      </w:r>
      <w:r w:rsidR="00AE5A5E">
        <w:t xml:space="preserve"> с появлением какого-нибудь нового важного экономического фактора, например, с подъемом на фондовом рынке, п</w:t>
      </w:r>
      <w:r w:rsidR="00AE5A5E">
        <w:t>а</w:t>
      </w:r>
      <w:r w:rsidR="00AE5A5E">
        <w:t xml:space="preserve">дением процентных ставок или с техническим прогрессом. </w:t>
      </w:r>
      <w:r w:rsidR="00F74B60" w:rsidRPr="00F74B60">
        <w:t xml:space="preserve">Размер и длина волны </w:t>
      </w:r>
      <w:r w:rsidR="00F74B60">
        <w:t>в знач</w:t>
      </w:r>
      <w:r w:rsidR="00F74B60">
        <w:t>и</w:t>
      </w:r>
      <w:r w:rsidR="00F74B60">
        <w:t xml:space="preserve">тельной части </w:t>
      </w:r>
      <w:r w:rsidR="00F74B60" w:rsidRPr="00F74B60">
        <w:t>зависят от масштабов влияни</w:t>
      </w:r>
      <w:r w:rsidR="00F74B60">
        <w:t>я</w:t>
      </w:r>
      <w:r w:rsidR="00F74B60" w:rsidRPr="00F74B60">
        <w:t>, а также</w:t>
      </w:r>
      <w:r w:rsidR="00F74B60">
        <w:t xml:space="preserve"> от того, на</w:t>
      </w:r>
      <w:r w:rsidR="00F74B60" w:rsidRPr="00F74B60">
        <w:t>сколько эти потрясения затрону</w:t>
      </w:r>
      <w:r w:rsidR="00F74B60">
        <w:t>ли</w:t>
      </w:r>
      <w:r w:rsidR="00F74B60" w:rsidRPr="00F74B60">
        <w:t xml:space="preserve"> отрасл</w:t>
      </w:r>
      <w:r w:rsidR="00F74B60">
        <w:t>и</w:t>
      </w:r>
      <w:r w:rsidR="00F74B60" w:rsidRPr="00F74B60">
        <w:t>. Некоторые потрясения, такие как появление Интернета,</w:t>
      </w:r>
      <w:r w:rsidR="004833DD">
        <w:t xml:space="preserve"> оказали</w:t>
      </w:r>
      <w:r w:rsidR="00F74B60" w:rsidRPr="00F74B60">
        <w:t xml:space="preserve"> ш</w:t>
      </w:r>
      <w:r w:rsidR="00F74B60" w:rsidRPr="00F74B60">
        <w:t>и</w:t>
      </w:r>
      <w:r w:rsidR="00F74B60" w:rsidRPr="00F74B60">
        <w:t>роко</w:t>
      </w:r>
      <w:r w:rsidR="004833DD">
        <w:t>е</w:t>
      </w:r>
      <w:r w:rsidR="00F74B60" w:rsidRPr="00F74B60">
        <w:t xml:space="preserve"> </w:t>
      </w:r>
      <w:r w:rsidR="004833DD">
        <w:t>влияние на все сферы и отрасли, в то время как</w:t>
      </w:r>
      <w:r w:rsidR="00F74B60" w:rsidRPr="00F74B60">
        <w:t xml:space="preserve"> другие </w:t>
      </w:r>
      <w:r w:rsidR="004833DD">
        <w:t xml:space="preserve">были </w:t>
      </w:r>
      <w:r w:rsidR="00F74B60" w:rsidRPr="00F74B60">
        <w:t>более кон</w:t>
      </w:r>
      <w:r w:rsidR="004833DD">
        <w:t>кретны, к примеру</w:t>
      </w:r>
      <w:r w:rsidR="00F74B60" w:rsidRPr="00F74B60">
        <w:t xml:space="preserve">, </w:t>
      </w:r>
      <w:proofErr w:type="spellStart"/>
      <w:r w:rsidR="00F74B60" w:rsidRPr="00F74B60">
        <w:t>дерегулирование</w:t>
      </w:r>
      <w:proofErr w:type="spellEnd"/>
      <w:r w:rsidR="00F74B60" w:rsidRPr="00F74B60">
        <w:t xml:space="preserve"> коммунальных услуг или быстро растущие цены на сырьевые товары.</w:t>
      </w:r>
      <w:r w:rsidR="00F74B60">
        <w:rPr>
          <w:rStyle w:val="a6"/>
        </w:rPr>
        <w:footnoteReference w:id="33"/>
      </w:r>
      <w:r w:rsidR="00F74B60">
        <w:t xml:space="preserve"> </w:t>
      </w:r>
      <w:r w:rsidR="00210971" w:rsidRPr="00210971">
        <w:t xml:space="preserve">В ответ на потрясения, </w:t>
      </w:r>
      <w:r w:rsidR="00210971">
        <w:t>компании</w:t>
      </w:r>
      <w:r w:rsidR="00210971" w:rsidRPr="00210971">
        <w:t xml:space="preserve"> в отрасли часто приобретают либо </w:t>
      </w:r>
      <w:r w:rsidR="00210971">
        <w:t>полностью</w:t>
      </w:r>
      <w:r w:rsidR="00210971" w:rsidRPr="00210971">
        <w:t>, либо части</w:t>
      </w:r>
      <w:r w:rsidR="00210971">
        <w:t>чно</w:t>
      </w:r>
      <w:r w:rsidR="00210971" w:rsidRPr="00210971">
        <w:t xml:space="preserve"> други</w:t>
      </w:r>
      <w:r w:rsidR="00210971">
        <w:t>е</w:t>
      </w:r>
      <w:r w:rsidR="00210971" w:rsidRPr="00210971">
        <w:t xml:space="preserve"> фирм</w:t>
      </w:r>
      <w:r w:rsidR="00210971">
        <w:t>ы</w:t>
      </w:r>
      <w:r w:rsidR="00210971" w:rsidRPr="00210971">
        <w:t xml:space="preserve">. </w:t>
      </w:r>
    </w:p>
    <w:p w:rsidR="00EB6772" w:rsidRPr="00991649" w:rsidRDefault="00210971" w:rsidP="009C2920">
      <w:pPr>
        <w:spacing w:line="360" w:lineRule="auto"/>
        <w:ind w:firstLine="709"/>
        <w:contextualSpacing/>
        <w:jc w:val="both"/>
      </w:pPr>
      <w:r w:rsidRPr="00210971">
        <w:t xml:space="preserve">Второй аргумент основан на идее ошибочной оценки, </w:t>
      </w:r>
      <w:proofErr w:type="spellStart"/>
      <w:r w:rsidR="00BE325E">
        <w:t>обсуждавше</w:t>
      </w:r>
      <w:r w:rsidR="00BE325E" w:rsidRPr="00210971">
        <w:t>йся</w:t>
      </w:r>
      <w:proofErr w:type="spellEnd"/>
      <w:r w:rsidR="00ED368D">
        <w:t xml:space="preserve"> ранее, он</w:t>
      </w:r>
      <w:r w:rsidRPr="00210971">
        <w:t xml:space="preserve"> предполагает, что менеджеры используют переоцененные акции для покупки активов б</w:t>
      </w:r>
      <w:r w:rsidRPr="00210971">
        <w:t>о</w:t>
      </w:r>
      <w:r w:rsidRPr="00210971">
        <w:t xml:space="preserve">лее дешевых компаний. Менеджеры, чьи акции </w:t>
      </w:r>
      <w:r w:rsidR="005906BD">
        <w:t xml:space="preserve">на рынке </w:t>
      </w:r>
      <w:r w:rsidRPr="00210971">
        <w:t>считаются завышенными, пер</w:t>
      </w:r>
      <w:r w:rsidRPr="00210971">
        <w:t>е</w:t>
      </w:r>
      <w:r w:rsidRPr="00210971">
        <w:t xml:space="preserve">ходят к приобретению компаний, </w:t>
      </w:r>
      <w:proofErr w:type="gramStart"/>
      <w:r w:rsidRPr="00210971">
        <w:t>це</w:t>
      </w:r>
      <w:r w:rsidR="005906BD">
        <w:t>ны</w:t>
      </w:r>
      <w:proofErr w:type="gramEnd"/>
      <w:r w:rsidR="005906BD">
        <w:t xml:space="preserve"> на акции которых менее ценны</w:t>
      </w:r>
      <w:r w:rsidRPr="00210971">
        <w:t>.</w:t>
      </w:r>
      <w:r w:rsidR="005906BD">
        <w:rPr>
          <w:rStyle w:val="a6"/>
        </w:rPr>
        <w:footnoteReference w:id="34"/>
      </w:r>
      <w:r w:rsidR="005906BD">
        <w:t xml:space="preserve"> </w:t>
      </w:r>
      <w:r w:rsidR="00DC392E">
        <w:t xml:space="preserve">Всего в истории было зафиксировано </w:t>
      </w:r>
      <w:r w:rsidR="00F74B60">
        <w:t>шесть</w:t>
      </w:r>
      <w:r w:rsidR="00C51A1D">
        <w:t xml:space="preserve"> волн, последняя из которых была зафиксирована в 2003-2007 гг. На данный момент наблюдается как количественный, так и стоимостн</w:t>
      </w:r>
      <w:r w:rsidR="00090DC4">
        <w:t>ы</w:t>
      </w:r>
      <w:r w:rsidR="00C51A1D">
        <w:t xml:space="preserve">й рост, тем не </w:t>
      </w:r>
      <w:r w:rsidR="00090DC4">
        <w:t>менее,</w:t>
      </w:r>
      <w:r w:rsidR="00C51A1D">
        <w:t xml:space="preserve"> </w:t>
      </w:r>
      <w:r w:rsidR="00090DC4">
        <w:t>утверждать,</w:t>
      </w:r>
      <w:r w:rsidR="00C51A1D">
        <w:t xml:space="preserve"> что на рынке </w:t>
      </w:r>
      <w:r w:rsidR="00090DC4">
        <w:t>происходит</w:t>
      </w:r>
      <w:r w:rsidR="00C51A1D">
        <w:t xml:space="preserve"> новая волна </w:t>
      </w:r>
      <w:r w:rsidR="00090DC4">
        <w:t xml:space="preserve">сделок </w:t>
      </w:r>
      <w:r w:rsidR="00090DC4">
        <w:rPr>
          <w:lang w:val="en-US"/>
        </w:rPr>
        <w:t>M</w:t>
      </w:r>
      <w:r w:rsidR="00090DC4" w:rsidRPr="00090DC4">
        <w:t>&amp;</w:t>
      </w:r>
      <w:r w:rsidR="00090DC4">
        <w:rPr>
          <w:lang w:val="en-US"/>
        </w:rPr>
        <w:t>A</w:t>
      </w:r>
      <w:r w:rsidR="00090DC4" w:rsidRPr="00090DC4">
        <w:t xml:space="preserve"> </w:t>
      </w:r>
      <w:r w:rsidR="00C51A1D">
        <w:t>затруднительно.</w:t>
      </w:r>
    </w:p>
    <w:p w:rsidR="00C51A1D" w:rsidRDefault="009C2920" w:rsidP="00C51A1D">
      <w:pPr>
        <w:spacing w:line="360" w:lineRule="auto"/>
        <w:ind w:firstLine="709"/>
        <w:contextualSpacing/>
        <w:jc w:val="both"/>
      </w:pPr>
      <w:r w:rsidRPr="009C2920">
        <w:t xml:space="preserve">После </w:t>
      </w:r>
      <w:r w:rsidR="00EC0A03">
        <w:t>значительного</w:t>
      </w:r>
      <w:r w:rsidRPr="009C2920">
        <w:t xml:space="preserve"> роста в </w:t>
      </w:r>
      <w:r w:rsidR="00BE325E" w:rsidRPr="009C2920">
        <w:t>2015 году</w:t>
      </w:r>
      <w:r w:rsidRPr="009C2920">
        <w:t xml:space="preserve"> глобальные потоки ПИИ в </w:t>
      </w:r>
      <w:r w:rsidR="00BE325E" w:rsidRPr="009C2920">
        <w:t>2016 году</w:t>
      </w:r>
      <w:r w:rsidRPr="009C2920">
        <w:t xml:space="preserve"> стали терять динамик</w:t>
      </w:r>
      <w:r>
        <w:t>у и</w:t>
      </w:r>
      <w:r w:rsidRPr="009C2920">
        <w:t xml:space="preserve"> </w:t>
      </w:r>
      <w:r w:rsidR="00BE325E">
        <w:t xml:space="preserve">упали </w:t>
      </w:r>
      <w:r w:rsidR="00BE325E" w:rsidRPr="009C2920">
        <w:t>примерно</w:t>
      </w:r>
      <w:r w:rsidRPr="009C2920">
        <w:t xml:space="preserve"> на 2%. Инвестиции в развивающиеся страны сократ</w:t>
      </w:r>
      <w:r w:rsidRPr="009C2920">
        <w:t>и</w:t>
      </w:r>
      <w:r w:rsidRPr="009C2920">
        <w:t>лись еще больше, на 14%, а их потоки в страны со слабой в структурном отношении эк</w:t>
      </w:r>
      <w:r w:rsidRPr="009C2920">
        <w:t>о</w:t>
      </w:r>
      <w:r w:rsidRPr="009C2920">
        <w:t>номикой по-прежнему отличались нестабильностью, оставаясь на низком уровне.</w:t>
      </w:r>
      <w:r w:rsidR="00C51A1D" w:rsidRPr="00C51A1D">
        <w:t xml:space="preserve"> </w:t>
      </w:r>
    </w:p>
    <w:p w:rsidR="00C51A1D" w:rsidRDefault="00C51A1D" w:rsidP="00C51A1D">
      <w:pPr>
        <w:spacing w:line="360" w:lineRule="auto"/>
        <w:ind w:firstLine="709"/>
        <w:contextualSpacing/>
        <w:jc w:val="both"/>
      </w:pPr>
      <w:r>
        <w:t>С</w:t>
      </w:r>
      <w:r w:rsidRPr="00ED7DA8">
        <w:t xml:space="preserve">двиг </w:t>
      </w:r>
      <w:r>
        <w:t xml:space="preserve">потоков инвестиций </w:t>
      </w:r>
      <w:r w:rsidRPr="00ED7DA8">
        <w:t xml:space="preserve">в сторону развитых </w:t>
      </w:r>
      <w:proofErr w:type="gramStart"/>
      <w:r w:rsidRPr="00ED7DA8">
        <w:t>странах</w:t>
      </w:r>
      <w:proofErr w:type="gramEnd"/>
      <w:r w:rsidRPr="00ED7DA8">
        <w:t xml:space="preserve"> связан с </w:t>
      </w:r>
      <w:r>
        <w:t>трансграничными сделками</w:t>
      </w:r>
      <w:r w:rsidRPr="00ED7DA8">
        <w:t xml:space="preserve"> </w:t>
      </w:r>
      <w:r>
        <w:rPr>
          <w:lang w:val="en-US"/>
        </w:rPr>
        <w:t>M</w:t>
      </w:r>
      <w:r w:rsidRPr="002D3256">
        <w:t>&amp;</w:t>
      </w:r>
      <w:r>
        <w:rPr>
          <w:lang w:val="en-US"/>
        </w:rPr>
        <w:t>A</w:t>
      </w:r>
      <w:r w:rsidRPr="00ED7DA8">
        <w:t xml:space="preserve">, стоимостной объем которых вырос на 67% до 721 млрд. долл. – самого высокого уровня с 2007 года. </w:t>
      </w:r>
      <w:r>
        <w:t>Наибольший</w:t>
      </w:r>
      <w:r w:rsidRPr="00ED7DA8">
        <w:t xml:space="preserve"> </w:t>
      </w:r>
      <w:r>
        <w:t xml:space="preserve">объем сделок наблюдался в </w:t>
      </w:r>
      <w:r w:rsidRPr="00ED7DA8">
        <w:t>С</w:t>
      </w:r>
      <w:r>
        <w:t>ША</w:t>
      </w:r>
      <w:r w:rsidRPr="00ED7DA8">
        <w:t xml:space="preserve">, где их </w:t>
      </w:r>
      <w:r>
        <w:t>сто</w:t>
      </w:r>
      <w:r>
        <w:t>и</w:t>
      </w:r>
      <w:r>
        <w:t>мость</w:t>
      </w:r>
      <w:r w:rsidRPr="00ED7DA8">
        <w:t xml:space="preserve"> выросла с 17 млрд. долл. в 2014 году до 299 млрд. долларов</w:t>
      </w:r>
      <w:r>
        <w:t xml:space="preserve">, в сравнении с Европой, где общий объем </w:t>
      </w:r>
      <w:r>
        <w:rPr>
          <w:lang w:val="en-US"/>
        </w:rPr>
        <w:t>M</w:t>
      </w:r>
      <w:r w:rsidRPr="008F1E67">
        <w:t>&amp;</w:t>
      </w:r>
      <w:r>
        <w:rPr>
          <w:lang w:val="en-US"/>
        </w:rPr>
        <w:t>A</w:t>
      </w:r>
      <w:r>
        <w:t xml:space="preserve"> вырос на 36%.</w:t>
      </w:r>
      <w:r>
        <w:rPr>
          <w:rStyle w:val="a6"/>
        </w:rPr>
        <w:footnoteReference w:id="35"/>
      </w:r>
    </w:p>
    <w:p w:rsidR="00680846" w:rsidRPr="00991649" w:rsidRDefault="00680846" w:rsidP="00C51A1D">
      <w:pPr>
        <w:spacing w:line="360" w:lineRule="auto"/>
        <w:ind w:firstLine="709"/>
        <w:contextualSpacing/>
        <w:jc w:val="both"/>
      </w:pPr>
    </w:p>
    <w:p w:rsidR="00CE647E" w:rsidRDefault="00BE325E" w:rsidP="00680846">
      <w:pPr>
        <w:tabs>
          <w:tab w:val="left" w:pos="3900"/>
        </w:tabs>
        <w:spacing w:line="360" w:lineRule="auto"/>
        <w:ind w:firstLine="709"/>
        <w:contextualSpacing/>
        <w:jc w:val="right"/>
        <w:rPr>
          <w:i/>
        </w:rPr>
      </w:pPr>
      <w:r>
        <w:lastRenderedPageBreak/>
        <w:tab/>
      </w:r>
      <w:r w:rsidR="00680846" w:rsidRPr="00680846">
        <w:rPr>
          <w:i/>
        </w:rPr>
        <w:t>Рисунок 2.1</w:t>
      </w:r>
    </w:p>
    <w:p w:rsidR="00680846" w:rsidRPr="00680846" w:rsidRDefault="00680846" w:rsidP="00680846">
      <w:pPr>
        <w:tabs>
          <w:tab w:val="left" w:pos="3900"/>
        </w:tabs>
        <w:spacing w:line="360" w:lineRule="auto"/>
        <w:ind w:firstLine="709"/>
        <w:contextualSpacing/>
        <w:jc w:val="center"/>
        <w:rPr>
          <w:b/>
          <w:i/>
        </w:rPr>
      </w:pPr>
      <w:r w:rsidRPr="00680846">
        <w:rPr>
          <w:b/>
          <w:color w:val="282828"/>
          <w:shd w:val="clear" w:color="auto" w:fill="FFFFFF"/>
        </w:rPr>
        <w:t>Динамика мирового рынка слияний и поглощений в 2011-201</w:t>
      </w:r>
      <w:r>
        <w:rPr>
          <w:b/>
          <w:color w:val="282828"/>
          <w:shd w:val="clear" w:color="auto" w:fill="FFFFFF"/>
        </w:rPr>
        <w:t>7</w:t>
      </w:r>
      <w:r w:rsidRPr="00680846">
        <w:rPr>
          <w:b/>
          <w:color w:val="282828"/>
          <w:shd w:val="clear" w:color="auto" w:fill="FFFFFF"/>
        </w:rPr>
        <w:t xml:space="preserve"> гг.</w:t>
      </w:r>
    </w:p>
    <w:p w:rsidR="00680846" w:rsidRDefault="00680846" w:rsidP="005F48DE">
      <w:pPr>
        <w:spacing w:line="360" w:lineRule="auto"/>
        <w:contextualSpacing/>
        <w:jc w:val="center"/>
      </w:pPr>
      <w:r>
        <w:rPr>
          <w:noProof/>
        </w:rPr>
        <w:drawing>
          <wp:inline distT="0" distB="0" distL="0" distR="0" wp14:anchorId="0A704850" wp14:editId="1092CBF4">
            <wp:extent cx="5635256" cy="2466754"/>
            <wp:effectExtent l="0" t="0" r="22860" b="10160"/>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0846" w:rsidRDefault="00F27E20" w:rsidP="00F27E20">
      <w:pPr>
        <w:spacing w:line="360" w:lineRule="auto"/>
        <w:ind w:firstLine="709"/>
        <w:contextualSpacing/>
        <w:jc w:val="center"/>
      </w:pPr>
      <w:r>
        <w:t xml:space="preserve">Составлено по: </w:t>
      </w:r>
      <w:r w:rsidRPr="00CE1AD1">
        <w:t xml:space="preserve">2016 </w:t>
      </w:r>
      <w:r w:rsidRPr="00974A4E">
        <w:rPr>
          <w:lang w:val="en-US"/>
        </w:rPr>
        <w:t>M</w:t>
      </w:r>
      <w:r w:rsidRPr="00CE1AD1">
        <w:t>&amp;</w:t>
      </w:r>
      <w:r w:rsidRPr="00974A4E">
        <w:rPr>
          <w:lang w:val="en-US"/>
        </w:rPr>
        <w:t>A</w:t>
      </w:r>
      <w:r w:rsidRPr="00CE1AD1">
        <w:t xml:space="preserve"> </w:t>
      </w:r>
      <w:r w:rsidRPr="00974A4E">
        <w:rPr>
          <w:lang w:val="en-US"/>
        </w:rPr>
        <w:t>Outlook</w:t>
      </w:r>
      <w:r w:rsidRPr="00CE1AD1">
        <w:t xml:space="preserve"> </w:t>
      </w:r>
      <w:r w:rsidRPr="00974A4E">
        <w:rPr>
          <w:lang w:val="en-US"/>
        </w:rPr>
        <w:t>Survey</w:t>
      </w:r>
      <w:r w:rsidRPr="00CE1AD1">
        <w:t xml:space="preserve"> </w:t>
      </w:r>
      <w:r>
        <w:rPr>
          <w:lang w:val="en-US"/>
        </w:rPr>
        <w:t>KPMG</w:t>
      </w:r>
    </w:p>
    <w:p w:rsidR="00D34E9C" w:rsidRDefault="003C1E1A" w:rsidP="001379D6">
      <w:pPr>
        <w:spacing w:line="360" w:lineRule="auto"/>
        <w:ind w:firstLine="709"/>
        <w:contextualSpacing/>
        <w:jc w:val="both"/>
      </w:pPr>
      <w:r w:rsidRPr="003C1E1A">
        <w:t>Снижение общей стоимости сделки, наблюдаемой в 201</w:t>
      </w:r>
      <w:r w:rsidR="00F02C3F">
        <w:t>7</w:t>
      </w:r>
      <w:r w:rsidRPr="003C1E1A">
        <w:t xml:space="preserve"> году, отражает уменьш</w:t>
      </w:r>
      <w:r w:rsidRPr="003C1E1A">
        <w:t>е</w:t>
      </w:r>
      <w:r w:rsidRPr="003C1E1A">
        <w:t xml:space="preserve">ние количества </w:t>
      </w:r>
      <w:proofErr w:type="spellStart"/>
      <w:r w:rsidR="00F02C3F">
        <w:t>мега</w:t>
      </w:r>
      <w:r w:rsidRPr="003C1E1A">
        <w:t>сделок</w:t>
      </w:r>
      <w:proofErr w:type="spellEnd"/>
      <w:r w:rsidRPr="003C1E1A">
        <w:t xml:space="preserve">. </w:t>
      </w:r>
      <w:r w:rsidR="00F27E20">
        <w:t xml:space="preserve">(Рис. 2.1) </w:t>
      </w:r>
      <w:r w:rsidRPr="003C1E1A">
        <w:t>Всего в 201</w:t>
      </w:r>
      <w:r w:rsidR="00F02C3F">
        <w:t>7</w:t>
      </w:r>
      <w:r w:rsidRPr="003C1E1A">
        <w:t xml:space="preserve"> году было объявлено только 35 сделок стоимостью </w:t>
      </w:r>
      <w:r w:rsidR="00F02C3F" w:rsidRPr="003C1E1A">
        <w:t>10</w:t>
      </w:r>
      <w:r w:rsidR="00F02C3F" w:rsidRPr="00F02C3F">
        <w:t xml:space="preserve"> $ </w:t>
      </w:r>
      <w:r w:rsidRPr="003C1E1A">
        <w:t>млрд. или более, что на 40% меньше по сравнению с 201</w:t>
      </w:r>
      <w:r w:rsidR="00F02C3F" w:rsidRPr="00F02C3F">
        <w:t>6</w:t>
      </w:r>
      <w:r w:rsidRPr="003C1E1A">
        <w:t xml:space="preserve"> годом. </w:t>
      </w:r>
      <w:r w:rsidR="00787F99" w:rsidRPr="00787F99">
        <w:t xml:space="preserve">Хотя количество </w:t>
      </w:r>
      <w:proofErr w:type="spellStart"/>
      <w:r w:rsidR="00787F99">
        <w:t>мегасделок</w:t>
      </w:r>
      <w:proofErr w:type="spellEnd"/>
      <w:r w:rsidR="00787F99">
        <w:t xml:space="preserve"> </w:t>
      </w:r>
      <w:r w:rsidR="00787F99" w:rsidRPr="00787F99">
        <w:t>уменьшилось, в 201</w:t>
      </w:r>
      <w:r w:rsidR="00F02C3F" w:rsidRPr="00F02C3F">
        <w:t>7</w:t>
      </w:r>
      <w:r w:rsidR="00787F99" w:rsidRPr="00787F99">
        <w:t xml:space="preserve"> году сохранилась важная характеристика рынка слияний и поглощений с 2014 года: это был рынок продавца.</w:t>
      </w:r>
      <w:r w:rsidR="002E2B7D">
        <w:rPr>
          <w:rStyle w:val="a6"/>
        </w:rPr>
        <w:footnoteReference w:id="36"/>
      </w:r>
      <w:r w:rsidR="00787F99" w:rsidRPr="00787F99">
        <w:t xml:space="preserve"> На рынке слияний и поглощений в 201</w:t>
      </w:r>
      <w:r w:rsidR="00D4643A">
        <w:t>7</w:t>
      </w:r>
      <w:r w:rsidR="00787F99" w:rsidRPr="00787F99">
        <w:t xml:space="preserve"> году по-прежнему доминировали стратегические покупатели, которые в большей степени способны участвовать в крупных транзакциях, чем финансовые пок</w:t>
      </w:r>
      <w:r w:rsidR="00787F99" w:rsidRPr="00787F99">
        <w:t>у</w:t>
      </w:r>
      <w:r w:rsidR="00787F99" w:rsidRPr="00787F99">
        <w:t>патели. Четырнадцать из 15 крупнейших сделок, объявленных в 2016 году, включали стратегических покупателей, в то время как активность финансового спонсора на стороне покупки составляла всего 11,9% от общего объема слияний и поглощений в 201</w:t>
      </w:r>
      <w:r w:rsidR="00D4643A">
        <w:t>7</w:t>
      </w:r>
      <w:r w:rsidR="00787F99" w:rsidRPr="00787F99">
        <w:t xml:space="preserve"> году.</w:t>
      </w:r>
      <w:r w:rsidR="00787F99">
        <w:rPr>
          <w:rStyle w:val="a6"/>
        </w:rPr>
        <w:footnoteReference w:id="37"/>
      </w:r>
      <w:r w:rsidR="00787F99" w:rsidRPr="00787F99">
        <w:t xml:space="preserve"> В результате, активность в отношении участия в акционерном капитале впервые снизилась за семь лет, при этом общая стоимость сделок с частным капиталом упала ниже уровней, наблюдавшихся в 201</w:t>
      </w:r>
      <w:r w:rsidR="00D4643A">
        <w:t>6</w:t>
      </w:r>
      <w:r w:rsidR="00787F99" w:rsidRPr="00787F99">
        <w:t xml:space="preserve"> и 201</w:t>
      </w:r>
      <w:r w:rsidR="00D4643A">
        <w:t>5</w:t>
      </w:r>
      <w:r w:rsidR="00787F99" w:rsidRPr="00787F99">
        <w:t xml:space="preserve"> год</w:t>
      </w:r>
      <w:r w:rsidR="00D34E9C">
        <w:t>ах</w:t>
      </w:r>
      <w:r w:rsidR="00787F99" w:rsidRPr="00787F99">
        <w:t>.</w:t>
      </w:r>
      <w:r w:rsidR="001379D6">
        <w:t xml:space="preserve"> </w:t>
      </w:r>
    </w:p>
    <w:p w:rsidR="005F48DE" w:rsidRDefault="005F48DE" w:rsidP="005F48DE">
      <w:pPr>
        <w:spacing w:line="360" w:lineRule="auto"/>
        <w:ind w:firstLine="709"/>
        <w:contextualSpacing/>
        <w:jc w:val="right"/>
        <w:rPr>
          <w:i/>
        </w:rPr>
      </w:pPr>
      <w:r w:rsidRPr="005F48DE">
        <w:rPr>
          <w:i/>
        </w:rPr>
        <w:t>Рисунок 2.2</w:t>
      </w:r>
    </w:p>
    <w:p w:rsidR="005F48DE" w:rsidRPr="005F48DE" w:rsidRDefault="005F48DE" w:rsidP="005F48DE">
      <w:pPr>
        <w:spacing w:line="360" w:lineRule="auto"/>
        <w:ind w:firstLine="709"/>
        <w:contextualSpacing/>
        <w:jc w:val="center"/>
        <w:rPr>
          <w:b/>
        </w:rPr>
      </w:pPr>
      <w:r w:rsidRPr="005F48DE">
        <w:rPr>
          <w:b/>
          <w:color w:val="282828"/>
          <w:shd w:val="clear" w:color="auto" w:fill="FFFFFF"/>
        </w:rPr>
        <w:t xml:space="preserve">Динамика </w:t>
      </w:r>
      <w:r w:rsidRPr="005F48DE">
        <w:rPr>
          <w:b/>
          <w:color w:val="282828"/>
          <w:shd w:val="clear" w:color="auto" w:fill="FFFFFF"/>
          <w:lang w:val="en-US"/>
        </w:rPr>
        <w:t>Cross</w:t>
      </w:r>
      <w:r w:rsidRPr="005F48DE">
        <w:rPr>
          <w:b/>
          <w:color w:val="282828"/>
          <w:shd w:val="clear" w:color="auto" w:fill="FFFFFF"/>
        </w:rPr>
        <w:t>-</w:t>
      </w:r>
      <w:r w:rsidRPr="005F48DE">
        <w:rPr>
          <w:b/>
          <w:color w:val="282828"/>
          <w:shd w:val="clear" w:color="auto" w:fill="FFFFFF"/>
          <w:lang w:val="en-US"/>
        </w:rPr>
        <w:t>border</w:t>
      </w:r>
      <w:r w:rsidRPr="005F48DE">
        <w:rPr>
          <w:b/>
          <w:color w:val="282828"/>
          <w:shd w:val="clear" w:color="auto" w:fill="FFFFFF"/>
        </w:rPr>
        <w:t xml:space="preserve"> сделок мирового рынка </w:t>
      </w:r>
      <w:r w:rsidRPr="005F48DE">
        <w:rPr>
          <w:b/>
          <w:color w:val="282828"/>
          <w:shd w:val="clear" w:color="auto" w:fill="FFFFFF"/>
          <w:lang w:val="en-US"/>
        </w:rPr>
        <w:t>M</w:t>
      </w:r>
      <w:r w:rsidRPr="005F48DE">
        <w:rPr>
          <w:b/>
          <w:color w:val="282828"/>
          <w:shd w:val="clear" w:color="auto" w:fill="FFFFFF"/>
        </w:rPr>
        <w:t>&amp;</w:t>
      </w:r>
      <w:r w:rsidRPr="005F48DE">
        <w:rPr>
          <w:b/>
          <w:color w:val="282828"/>
          <w:shd w:val="clear" w:color="auto" w:fill="FFFFFF"/>
          <w:lang w:val="en-US"/>
        </w:rPr>
        <w:t>A</w:t>
      </w:r>
      <w:r w:rsidRPr="005F48DE">
        <w:rPr>
          <w:b/>
          <w:color w:val="282828"/>
          <w:shd w:val="clear" w:color="auto" w:fill="FFFFFF"/>
        </w:rPr>
        <w:t xml:space="preserve"> в 2011-2017 гг.</w:t>
      </w:r>
    </w:p>
    <w:p w:rsidR="009238D8" w:rsidRDefault="009238D8" w:rsidP="009238D8">
      <w:pPr>
        <w:spacing w:line="360" w:lineRule="auto"/>
        <w:ind w:left="-851" w:firstLine="709"/>
        <w:contextualSpacing/>
        <w:jc w:val="center"/>
      </w:pPr>
      <w:r>
        <w:rPr>
          <w:noProof/>
        </w:rPr>
        <w:lastRenderedPageBreak/>
        <w:drawing>
          <wp:inline distT="0" distB="0" distL="0" distR="0" wp14:anchorId="6AA70D87" wp14:editId="25BEF599">
            <wp:extent cx="5560827" cy="2392326"/>
            <wp:effectExtent l="0" t="0" r="20955" b="27305"/>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38D8" w:rsidRPr="00991649" w:rsidRDefault="00CE1AD1" w:rsidP="00CE1AD1">
      <w:pPr>
        <w:spacing w:line="360" w:lineRule="auto"/>
        <w:ind w:firstLine="709"/>
        <w:contextualSpacing/>
        <w:jc w:val="center"/>
      </w:pPr>
      <w:r>
        <w:t xml:space="preserve">Составлено </w:t>
      </w:r>
      <w:r w:rsidR="005F48DE">
        <w:t xml:space="preserve">по: </w:t>
      </w:r>
      <w:r>
        <w:t>данн</w:t>
      </w:r>
      <w:r w:rsidR="005F48DE">
        <w:t>ые</w:t>
      </w:r>
      <w:r>
        <w:t xml:space="preserve"> </w:t>
      </w:r>
      <w:proofErr w:type="spellStart"/>
      <w:r w:rsidR="009469FE">
        <w:rPr>
          <w:lang w:val="en-US"/>
        </w:rPr>
        <w:t>imaa</w:t>
      </w:r>
      <w:proofErr w:type="spellEnd"/>
      <w:r w:rsidR="009469FE" w:rsidRPr="00CE1AD1">
        <w:t xml:space="preserve"> </w:t>
      </w:r>
      <w:r w:rsidR="009469FE">
        <w:rPr>
          <w:lang w:val="en-US"/>
        </w:rPr>
        <w:t>statistics</w:t>
      </w:r>
    </w:p>
    <w:p w:rsidR="007C0FD3" w:rsidRPr="007C0FD3" w:rsidRDefault="007C0FD3" w:rsidP="007C0FD3">
      <w:pPr>
        <w:spacing w:line="360" w:lineRule="auto"/>
        <w:ind w:firstLine="709"/>
        <w:contextualSpacing/>
        <w:jc w:val="both"/>
      </w:pPr>
      <w:r w:rsidRPr="007C0FD3">
        <w:t>Деятельность в сфере слияний и поглощений в 201</w:t>
      </w:r>
      <w:r>
        <w:t>7</w:t>
      </w:r>
      <w:r w:rsidRPr="007C0FD3">
        <w:t xml:space="preserve"> году отражает сбалансирова</w:t>
      </w:r>
      <w:r w:rsidRPr="007C0FD3">
        <w:t>н</w:t>
      </w:r>
      <w:r w:rsidRPr="007C0FD3">
        <w:t>ное распределение по секторам бизнеса. Наибольшие отрасли с точки зрения деятельн</w:t>
      </w:r>
      <w:r w:rsidRPr="007C0FD3">
        <w:t>о</w:t>
      </w:r>
      <w:r w:rsidRPr="007C0FD3">
        <w:t>сти по слияниям и поглощениям на 201</w:t>
      </w:r>
      <w:r>
        <w:t>7</w:t>
      </w:r>
      <w:r w:rsidRPr="007C0FD3">
        <w:t xml:space="preserve"> год - это </w:t>
      </w:r>
      <w:r>
        <w:t>энергетика</w:t>
      </w:r>
      <w:r w:rsidRPr="007C0FD3">
        <w:t>, на котор</w:t>
      </w:r>
      <w:r>
        <w:t>ую</w:t>
      </w:r>
      <w:r w:rsidRPr="007C0FD3">
        <w:t xml:space="preserve"> приходилось 16,6 процен</w:t>
      </w:r>
      <w:r>
        <w:t>та стоимости сделок</w:t>
      </w:r>
      <w:r w:rsidRPr="007C0FD3">
        <w:t>, за ней следуют технологи</w:t>
      </w:r>
      <w:r>
        <w:t>ческая отрасль</w:t>
      </w:r>
      <w:r w:rsidRPr="007C0FD3">
        <w:t>, материалы, промышленн</w:t>
      </w:r>
      <w:r>
        <w:t>ость</w:t>
      </w:r>
      <w:r w:rsidRPr="007C0FD3">
        <w:t>, недвижимость и финансы, каждая из которых составля</w:t>
      </w:r>
      <w:r>
        <w:t>ла</w:t>
      </w:r>
      <w:r w:rsidR="00714B34" w:rsidRPr="00714B34">
        <w:t xml:space="preserve"> </w:t>
      </w:r>
      <w:r>
        <w:t>13,3</w:t>
      </w:r>
      <w:r w:rsidR="00986A7F">
        <w:t xml:space="preserve"> проце</w:t>
      </w:r>
      <w:r w:rsidR="00986A7F">
        <w:t>н</w:t>
      </w:r>
      <w:r w:rsidR="00986A7F">
        <w:t>тов, 10,7 процентов, 10 процентов, 9,8 процентов и 9,6 процентов</w:t>
      </w:r>
      <w:r w:rsidRPr="007C0FD3">
        <w:t>, соответствен</w:t>
      </w:r>
      <w:r>
        <w:t>но</w:t>
      </w:r>
      <w:r w:rsidRPr="007C0FD3">
        <w:t>. Десять из 15 крупнейших объявленных сделок 201</w:t>
      </w:r>
      <w:r>
        <w:t>7</w:t>
      </w:r>
      <w:r w:rsidRPr="007C0FD3">
        <w:t xml:space="preserve"> года включали цель в одну из этих отраслей. Кроме того, трансграничные слияния и поглощения были заметной особенностью рынка слияний и поглощений.</w:t>
      </w:r>
      <w:r w:rsidR="00BE325E">
        <w:t xml:space="preserve"> (Рис</w:t>
      </w:r>
      <w:r w:rsidR="00147CAC">
        <w:t>.</w:t>
      </w:r>
      <w:r w:rsidR="000E234E">
        <w:t xml:space="preserve"> 2.</w:t>
      </w:r>
      <w:r w:rsidR="00147CAC">
        <w:t>2</w:t>
      </w:r>
      <w:r w:rsidR="000E234E">
        <w:t>)</w:t>
      </w:r>
      <w:r w:rsidRPr="007C0FD3">
        <w:t xml:space="preserve"> Объем трансграничных сделок снизился всего на 3 пр</w:t>
      </w:r>
      <w:r w:rsidRPr="007C0FD3">
        <w:t>о</w:t>
      </w:r>
      <w:r w:rsidRPr="007C0FD3">
        <w:t>цента по сравнению с объемом трансграничной торговли в 201</w:t>
      </w:r>
      <w:r>
        <w:t>6</w:t>
      </w:r>
      <w:r w:rsidRPr="007C0FD3">
        <w:t xml:space="preserve"> году и составил 38 пр</w:t>
      </w:r>
      <w:r w:rsidRPr="007C0FD3">
        <w:t>о</w:t>
      </w:r>
      <w:r w:rsidRPr="007C0FD3">
        <w:t>центов от общего объема слияний и поглощений, что является самым высоким показат</w:t>
      </w:r>
      <w:r w:rsidRPr="007C0FD3">
        <w:t>е</w:t>
      </w:r>
      <w:r w:rsidRPr="007C0FD3">
        <w:t xml:space="preserve">лем с 2008 года. Девять из 15 </w:t>
      </w:r>
      <w:proofErr w:type="gramStart"/>
      <w:r w:rsidRPr="007C0FD3">
        <w:t>крупнейших транзакций, объявленных в 201</w:t>
      </w:r>
      <w:r>
        <w:t>7</w:t>
      </w:r>
      <w:r w:rsidRPr="007C0FD3">
        <w:t xml:space="preserve"> были</w:t>
      </w:r>
      <w:proofErr w:type="gramEnd"/>
      <w:r w:rsidRPr="007C0FD3">
        <w:t xml:space="preserve"> тран</w:t>
      </w:r>
      <w:r w:rsidRPr="007C0FD3">
        <w:t>с</w:t>
      </w:r>
      <w:r w:rsidRPr="007C0FD3">
        <w:t>граничные операции.</w:t>
      </w:r>
    </w:p>
    <w:p w:rsidR="00E16747" w:rsidRPr="00CE1AD1" w:rsidRDefault="00F21814" w:rsidP="00F86A08">
      <w:pPr>
        <w:spacing w:line="360" w:lineRule="auto"/>
        <w:ind w:firstLine="709"/>
        <w:contextualSpacing/>
        <w:jc w:val="both"/>
      </w:pPr>
      <w:r>
        <w:t>Учитывая активность по регионам,</w:t>
      </w:r>
      <w:r w:rsidR="007C0FD3" w:rsidRPr="007C0FD3">
        <w:t xml:space="preserve"> деятельность в Северной и Южной Америке, обусловленная деятельностью в Соединенных Штатах, привела к глобальному рынку сл</w:t>
      </w:r>
      <w:r w:rsidR="007C0FD3" w:rsidRPr="007C0FD3">
        <w:t>и</w:t>
      </w:r>
      <w:r w:rsidR="007C0FD3" w:rsidRPr="007C0FD3">
        <w:t xml:space="preserve">яний и поглощений с 2,2 </w:t>
      </w:r>
      <w:r w:rsidRPr="00F21814">
        <w:t xml:space="preserve">$ </w:t>
      </w:r>
      <w:r w:rsidR="007C0FD3" w:rsidRPr="007C0FD3">
        <w:t xml:space="preserve">трлн. по активности с 17 146 объявленных сделок. Только на акции, предназначенные для США, приходилось 46 </w:t>
      </w:r>
      <w:r w:rsidRPr="00F21814">
        <w:t>%</w:t>
      </w:r>
      <w:r w:rsidR="007C0FD3" w:rsidRPr="007C0FD3">
        <w:t xml:space="preserve"> объема глобальных сделок. Десять из 15 крупнейших транзакций, объявленных в 201</w:t>
      </w:r>
      <w:r w:rsidRPr="00F21814">
        <w:t>7</w:t>
      </w:r>
      <w:r w:rsidR="007C0FD3" w:rsidRPr="007C0FD3">
        <w:t xml:space="preserve"> году, были связаны с </w:t>
      </w:r>
      <w:r>
        <w:t>компаниями</w:t>
      </w:r>
      <w:r w:rsidR="007C0FD3" w:rsidRPr="007C0FD3">
        <w:t xml:space="preserve"> США. Несмотря на то, что стоимость акций, ориентированных на США, снизилась на 16,8 процента по сравнению с 201</w:t>
      </w:r>
      <w:r>
        <w:t>6 годом</w:t>
      </w:r>
      <w:r w:rsidR="007C0FD3" w:rsidRPr="007C0FD3">
        <w:t xml:space="preserve">, рынок США </w:t>
      </w:r>
      <w:r>
        <w:t>в основном двигался за счет</w:t>
      </w:r>
      <w:r w:rsidR="001B3D63">
        <w:br/>
      </w:r>
      <w:r>
        <w:t>трансграничных сделок.</w:t>
      </w:r>
      <w:r>
        <w:rPr>
          <w:rStyle w:val="a6"/>
        </w:rPr>
        <w:footnoteReference w:id="38"/>
      </w:r>
    </w:p>
    <w:p w:rsidR="00851DBA" w:rsidRDefault="00486FE2" w:rsidP="00486FE2">
      <w:pPr>
        <w:spacing w:line="360" w:lineRule="auto"/>
        <w:ind w:firstLine="709"/>
        <w:contextualSpacing/>
        <w:jc w:val="both"/>
      </w:pPr>
      <w:r w:rsidRPr="00486FE2">
        <w:lastRenderedPageBreak/>
        <w:t>В</w:t>
      </w:r>
      <w:r w:rsidRPr="00486FE2">
        <w:rPr>
          <w:lang w:val="en-US"/>
        </w:rPr>
        <w:t> </w:t>
      </w:r>
      <w:r>
        <w:t xml:space="preserve"> 2015 году приток ПИИ </w:t>
      </w:r>
      <w:r w:rsidRPr="00486FE2">
        <w:t>в Северной Америке достиг 429</w:t>
      </w:r>
      <w:r>
        <w:t xml:space="preserve"> млрд. долл., превысив рекордно </w:t>
      </w:r>
      <w:r w:rsidR="007C0FD3">
        <w:t>высокий уровень 2000 году, несколько снизившись в 2016.</w:t>
      </w:r>
      <w:r w:rsidR="0000768A">
        <w:rPr>
          <w:rStyle w:val="a6"/>
        </w:rPr>
        <w:footnoteReference w:id="39"/>
      </w:r>
      <w:r>
        <w:t xml:space="preserve"> </w:t>
      </w:r>
    </w:p>
    <w:p w:rsidR="00147CAC" w:rsidRDefault="00147CAC" w:rsidP="00147CAC">
      <w:pPr>
        <w:spacing w:line="360" w:lineRule="auto"/>
        <w:ind w:firstLine="709"/>
        <w:contextualSpacing/>
        <w:jc w:val="right"/>
        <w:rPr>
          <w:i/>
        </w:rPr>
      </w:pPr>
      <w:r w:rsidRPr="00147CAC">
        <w:rPr>
          <w:i/>
        </w:rPr>
        <w:t>Рисунок 2.3</w:t>
      </w:r>
    </w:p>
    <w:p w:rsidR="00147CAC" w:rsidRDefault="00147CAC" w:rsidP="00147CAC">
      <w:pPr>
        <w:spacing w:line="360" w:lineRule="auto"/>
        <w:ind w:firstLine="709"/>
        <w:contextualSpacing/>
        <w:jc w:val="center"/>
        <w:rPr>
          <w:b/>
        </w:rPr>
      </w:pPr>
      <w:r w:rsidRPr="00147CAC">
        <w:rPr>
          <w:b/>
        </w:rPr>
        <w:t>Динамика рынка слияний и поглощений США в 2011-2017 гг.</w:t>
      </w:r>
    </w:p>
    <w:p w:rsidR="00147CAC" w:rsidRDefault="00147CAC" w:rsidP="00147CAC">
      <w:pPr>
        <w:spacing w:line="360" w:lineRule="auto"/>
        <w:contextualSpacing/>
        <w:jc w:val="center"/>
        <w:rPr>
          <w:b/>
        </w:rPr>
      </w:pPr>
      <w:r>
        <w:rPr>
          <w:noProof/>
        </w:rPr>
        <w:drawing>
          <wp:inline distT="0" distB="0" distL="0" distR="0" wp14:anchorId="29E0A43B" wp14:editId="2A09475F">
            <wp:extent cx="5688418" cy="2445489"/>
            <wp:effectExtent l="0" t="0" r="26670" b="12065"/>
            <wp:docPr id="87" name="Диаграмма 87" descr="Number and Value of Mergers &amp; Acquisitions (M&amp;A) for the United States since 19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7CAC" w:rsidRPr="00147CAC" w:rsidRDefault="00147CAC" w:rsidP="00F86A08">
      <w:pPr>
        <w:spacing w:line="360" w:lineRule="auto"/>
        <w:ind w:firstLine="709"/>
        <w:contextualSpacing/>
        <w:jc w:val="center"/>
      </w:pPr>
      <w:r>
        <w:t xml:space="preserve">Составлено по: данные </w:t>
      </w:r>
      <w:proofErr w:type="spellStart"/>
      <w:r>
        <w:rPr>
          <w:lang w:val="en-US"/>
        </w:rPr>
        <w:t>imaa</w:t>
      </w:r>
      <w:proofErr w:type="spellEnd"/>
      <w:r w:rsidRPr="00CE1AD1">
        <w:t xml:space="preserve"> </w:t>
      </w:r>
      <w:r>
        <w:rPr>
          <w:lang w:val="en-US"/>
        </w:rPr>
        <w:t>statistics</w:t>
      </w:r>
    </w:p>
    <w:p w:rsidR="00F21814" w:rsidRDefault="00572D14" w:rsidP="00F86A08">
      <w:pPr>
        <w:spacing w:line="360" w:lineRule="auto"/>
        <w:ind w:firstLine="709"/>
        <w:contextualSpacing/>
        <w:jc w:val="both"/>
      </w:pPr>
      <w:proofErr w:type="gramStart"/>
      <w:r>
        <w:t xml:space="preserve">Крупнейшей отраслью </w:t>
      </w:r>
      <w:r w:rsidR="00F21814" w:rsidRPr="00F21814">
        <w:t>с точки зрения стоимости транзакций был</w:t>
      </w:r>
      <w:r>
        <w:t>о</w:t>
      </w:r>
      <w:r w:rsidR="00F21814" w:rsidRPr="00F21814">
        <w:t xml:space="preserve"> </w:t>
      </w:r>
      <w:r>
        <w:t>здравоохран</w:t>
      </w:r>
      <w:r>
        <w:t>е</w:t>
      </w:r>
      <w:r>
        <w:t>ние</w:t>
      </w:r>
      <w:r w:rsidR="00F21814" w:rsidRPr="00F21814">
        <w:t xml:space="preserve">, </w:t>
      </w:r>
      <w:r w:rsidR="00F21814">
        <w:t>доля которо</w:t>
      </w:r>
      <w:r>
        <w:t>го</w:t>
      </w:r>
      <w:r w:rsidR="00F21814">
        <w:t xml:space="preserve"> составила </w:t>
      </w:r>
      <w:r w:rsidR="00F21814" w:rsidRPr="00F21814">
        <w:t xml:space="preserve">14,2% общей стоимостью 3 292 </w:t>
      </w:r>
      <w:r w:rsidR="00F21814" w:rsidRPr="00572D14">
        <w:t xml:space="preserve">$ </w:t>
      </w:r>
      <w:r w:rsidR="00F21814">
        <w:t>млрд</w:t>
      </w:r>
      <w:r w:rsidR="00F21814" w:rsidRPr="00F21814">
        <w:t>. Втор</w:t>
      </w:r>
      <w:r>
        <w:t>ым</w:t>
      </w:r>
      <w:r w:rsidR="00F21814" w:rsidRPr="00F21814">
        <w:t xml:space="preserve"> по стоим</w:t>
      </w:r>
      <w:r w:rsidR="00F21814" w:rsidRPr="00F21814">
        <w:t>о</w:t>
      </w:r>
      <w:r w:rsidR="00F21814" w:rsidRPr="00F21814">
        <w:t xml:space="preserve">сти </w:t>
      </w:r>
      <w:r>
        <w:t>стал секто</w:t>
      </w:r>
      <w:r w:rsidR="00F21814" w:rsidRPr="00F21814">
        <w:t>р энергетики с 3</w:t>
      </w:r>
      <w:r>
        <w:t>,</w:t>
      </w:r>
      <w:r w:rsidR="00F21814" w:rsidRPr="00F21814">
        <w:t xml:space="preserve">078 </w:t>
      </w:r>
      <w:r w:rsidRPr="00572D14">
        <w:t xml:space="preserve">$ </w:t>
      </w:r>
      <w:r>
        <w:t>млрд</w:t>
      </w:r>
      <w:r w:rsidR="00F21814" w:rsidRPr="00F21814">
        <w:t xml:space="preserve">. </w:t>
      </w:r>
      <w:r w:rsidR="00BE325E" w:rsidRPr="00F21814">
        <w:t>Финансов</w:t>
      </w:r>
      <w:r w:rsidR="00BE325E">
        <w:t xml:space="preserve">ый </w:t>
      </w:r>
      <w:r w:rsidR="00BE325E" w:rsidRPr="00F21814">
        <w:t>сектор</w:t>
      </w:r>
      <w:r w:rsidR="00F21814" w:rsidRPr="00F21814">
        <w:t xml:space="preserve"> </w:t>
      </w:r>
      <w:r>
        <w:t>занял третье место</w:t>
      </w:r>
      <w:r w:rsidR="00F21814" w:rsidRPr="00F21814">
        <w:t xml:space="preserve"> с 2</w:t>
      </w:r>
      <w:r>
        <w:t>,</w:t>
      </w:r>
      <w:r w:rsidR="00F21814" w:rsidRPr="00F21814">
        <w:t xml:space="preserve">807 </w:t>
      </w:r>
      <w:r w:rsidRPr="00572D14">
        <w:t xml:space="preserve">$ </w:t>
      </w:r>
      <w:r>
        <w:t>млрд</w:t>
      </w:r>
      <w:r w:rsidR="00F21814" w:rsidRPr="00F21814">
        <w:t xml:space="preserve">. </w:t>
      </w:r>
      <w:r w:rsidR="00B43969">
        <w:t>О</w:t>
      </w:r>
      <w:r w:rsidR="00B43969" w:rsidRPr="00B43969">
        <w:t>трасл</w:t>
      </w:r>
      <w:r w:rsidR="00B43969">
        <w:t>ью</w:t>
      </w:r>
      <w:r w:rsidR="00B43969" w:rsidRPr="00B43969">
        <w:t xml:space="preserve"> с наибольшим количеством транзакций </w:t>
      </w:r>
      <w:r w:rsidR="00B43969">
        <w:t>стал сектор</w:t>
      </w:r>
      <w:r w:rsidR="00B43969" w:rsidRPr="00B43969">
        <w:t xml:space="preserve"> </w:t>
      </w:r>
      <w:r w:rsidR="00B43969">
        <w:rPr>
          <w:lang w:val="en-US"/>
        </w:rPr>
        <w:t>IT</w:t>
      </w:r>
      <w:r w:rsidR="00B43969" w:rsidRPr="00B43969">
        <w:t xml:space="preserve">, </w:t>
      </w:r>
      <w:r w:rsidR="00B43969">
        <w:t xml:space="preserve">он </w:t>
      </w:r>
      <w:r w:rsidR="00B43969" w:rsidRPr="00B43969">
        <w:t>состав</w:t>
      </w:r>
      <w:r w:rsidR="00B43969">
        <w:t>ил</w:t>
      </w:r>
      <w:r w:rsidR="00B43969" w:rsidRPr="00B43969">
        <w:t xml:space="preserve"> п</w:t>
      </w:r>
      <w:r w:rsidR="00B43969" w:rsidRPr="00B43969">
        <w:t>о</w:t>
      </w:r>
      <w:r w:rsidR="00B43969" w:rsidRPr="00B43969">
        <w:t>чти одну пятую всех сделок (19,9%), общая сумма которых составляет более 38</w:t>
      </w:r>
      <w:r w:rsidR="00B43969">
        <w:t xml:space="preserve"> </w:t>
      </w:r>
      <w:r w:rsidR="00B43969" w:rsidRPr="00B43969">
        <w:t>350 тра</w:t>
      </w:r>
      <w:r w:rsidR="00B43969" w:rsidRPr="00B43969">
        <w:t>н</w:t>
      </w:r>
      <w:r w:rsidR="00B43969" w:rsidRPr="00B43969">
        <w:t>закций.</w:t>
      </w:r>
      <w:proofErr w:type="gramEnd"/>
      <w:r w:rsidR="00B43969" w:rsidRPr="00B43969">
        <w:t xml:space="preserve"> Вторым наиболее активным приобретателем являются компании из финансового сектора с 22</w:t>
      </w:r>
      <w:r w:rsidR="00B43969">
        <w:t xml:space="preserve"> </w:t>
      </w:r>
      <w:r w:rsidR="00B43969" w:rsidRPr="00B43969">
        <w:t xml:space="preserve">049 </w:t>
      </w:r>
      <w:r w:rsidR="00680B86" w:rsidRPr="00B43969">
        <w:t>сдело</w:t>
      </w:r>
      <w:r w:rsidR="00680B86">
        <w:t>к</w:t>
      </w:r>
      <w:r w:rsidR="00B43969" w:rsidRPr="00B43969">
        <w:t>, которые составляют 11,4% транзакций. Потребительские проду</w:t>
      </w:r>
      <w:r w:rsidR="00B43969" w:rsidRPr="00B43969">
        <w:t>к</w:t>
      </w:r>
      <w:r w:rsidR="00B43969" w:rsidRPr="00B43969">
        <w:t xml:space="preserve">ты и услуги являются третьей наиболее распространенной отраслью по консолидации с 11,3% всех сделок. </w:t>
      </w:r>
      <w:r w:rsidR="009246C6">
        <w:t>(</w:t>
      </w:r>
      <w:r w:rsidR="006B1913">
        <w:t>Приложение 3</w:t>
      </w:r>
      <w:r w:rsidR="009246C6">
        <w:t>)</w:t>
      </w:r>
    </w:p>
    <w:p w:rsidR="0046794B" w:rsidRDefault="0046794B" w:rsidP="0046794B">
      <w:pPr>
        <w:spacing w:line="360" w:lineRule="auto"/>
        <w:ind w:firstLine="709"/>
        <w:contextualSpacing/>
        <w:jc w:val="right"/>
        <w:rPr>
          <w:i/>
        </w:rPr>
      </w:pPr>
      <w:r w:rsidRPr="0046794B">
        <w:rPr>
          <w:i/>
        </w:rPr>
        <w:t>Рисунок 2.4</w:t>
      </w:r>
    </w:p>
    <w:p w:rsidR="0046794B" w:rsidRPr="00F86A08" w:rsidRDefault="006B1913" w:rsidP="00F86A08">
      <w:pPr>
        <w:spacing w:line="360" w:lineRule="auto"/>
        <w:ind w:firstLine="709"/>
        <w:contextualSpacing/>
        <w:jc w:val="center"/>
        <w:rPr>
          <w:b/>
          <w:color w:val="282828"/>
          <w:shd w:val="clear" w:color="auto" w:fill="FFFFFF"/>
        </w:rPr>
      </w:pPr>
      <w:r w:rsidRPr="006B1913">
        <w:rPr>
          <w:b/>
          <w:color w:val="282828"/>
          <w:shd w:val="clear" w:color="auto" w:fill="FFFFFF"/>
        </w:rPr>
        <w:t>Динамика сегментов рынка слияний и поглощений США в 2011-2017 гг.</w:t>
      </w:r>
    </w:p>
    <w:p w:rsidR="009F0D5D" w:rsidRDefault="00B72BBA" w:rsidP="00B72BBA">
      <w:pPr>
        <w:spacing w:line="360" w:lineRule="auto"/>
        <w:ind w:left="-426" w:firstLine="426"/>
        <w:contextualSpacing/>
        <w:jc w:val="center"/>
      </w:pPr>
      <w:r>
        <w:rPr>
          <w:noProof/>
        </w:rPr>
        <w:drawing>
          <wp:inline distT="0" distB="0" distL="0" distR="0" wp14:anchorId="4103DC7B" wp14:editId="4C2E33C6">
            <wp:extent cx="5092995" cy="1850065"/>
            <wp:effectExtent l="0" t="0" r="12700" b="17145"/>
            <wp:docPr id="86"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2BBA" w:rsidRPr="00BE325E" w:rsidRDefault="00CE1AD1" w:rsidP="000B64F0">
      <w:pPr>
        <w:spacing w:line="360" w:lineRule="auto"/>
        <w:ind w:left="-426" w:firstLine="709"/>
        <w:contextualSpacing/>
        <w:jc w:val="center"/>
      </w:pPr>
      <w:r>
        <w:lastRenderedPageBreak/>
        <w:t xml:space="preserve">Составлено </w:t>
      </w:r>
      <w:r w:rsidR="0078630D">
        <w:t>по:</w:t>
      </w:r>
      <w:r>
        <w:t xml:space="preserve"> данны</w:t>
      </w:r>
      <w:r w:rsidR="0078630D">
        <w:t>е</w:t>
      </w:r>
      <w:r w:rsidR="000B64F0" w:rsidRPr="000B64F0">
        <w:t xml:space="preserve"> </w:t>
      </w:r>
      <w:proofErr w:type="spellStart"/>
      <w:r w:rsidR="000B64F0">
        <w:rPr>
          <w:lang w:val="en-US"/>
        </w:rPr>
        <w:t>imaa</w:t>
      </w:r>
      <w:proofErr w:type="spellEnd"/>
      <w:r w:rsidR="000B64F0" w:rsidRPr="000B64F0">
        <w:t xml:space="preserve"> </w:t>
      </w:r>
      <w:r w:rsidR="000B64F0">
        <w:rPr>
          <w:lang w:val="en-US"/>
        </w:rPr>
        <w:t>statistics</w:t>
      </w:r>
    </w:p>
    <w:p w:rsidR="00EF2D4B" w:rsidRDefault="00D1713C" w:rsidP="00BC3309">
      <w:pPr>
        <w:spacing w:line="360" w:lineRule="auto"/>
        <w:ind w:firstLine="709"/>
        <w:contextualSpacing/>
        <w:jc w:val="both"/>
      </w:pPr>
      <w:r w:rsidRPr="00D1713C">
        <w:t xml:space="preserve">В целом, исходя из </w:t>
      </w:r>
      <w:proofErr w:type="spellStart"/>
      <w:r w:rsidR="00BE325E">
        <w:t>Рисунок</w:t>
      </w:r>
      <w:r w:rsidR="001379D6">
        <w:t>а</w:t>
      </w:r>
      <w:proofErr w:type="spellEnd"/>
      <w:r>
        <w:t xml:space="preserve"> 2.4</w:t>
      </w:r>
      <w:r w:rsidRPr="00D1713C">
        <w:t xml:space="preserve">, </w:t>
      </w:r>
      <w:r>
        <w:t>экспортные</w:t>
      </w:r>
      <w:r w:rsidRPr="00D1713C">
        <w:t xml:space="preserve"> транзакци</w:t>
      </w:r>
      <w:r>
        <w:t>и</w:t>
      </w:r>
      <w:r w:rsidRPr="00D1713C">
        <w:t xml:space="preserve"> в США по сравнению с </w:t>
      </w:r>
      <w:r>
        <w:t>тем же периодом прошлого года возросли и составили 14</w:t>
      </w:r>
      <w:r w:rsidRPr="00D1713C">
        <w:t>5,5 $ млрд. по 359 сделкам.</w:t>
      </w:r>
      <w:r>
        <w:t xml:space="preserve"> В то же время, и</w:t>
      </w:r>
      <w:r w:rsidR="008D35B3">
        <w:t>мпортные</w:t>
      </w:r>
      <w:r w:rsidR="007032E6" w:rsidRPr="007032E6">
        <w:t xml:space="preserve"> сделк</w:t>
      </w:r>
      <w:r w:rsidR="008D35B3">
        <w:t>и</w:t>
      </w:r>
      <w:r w:rsidR="007032E6" w:rsidRPr="007032E6">
        <w:t xml:space="preserve"> со стороны иностранных покупателей, ищущих активы в США, </w:t>
      </w:r>
      <w:r w:rsidR="008D35B3">
        <w:t>несколько сократились</w:t>
      </w:r>
      <w:r w:rsidR="007032E6" w:rsidRPr="007032E6">
        <w:t>. Стоимость сделки за 201</w:t>
      </w:r>
      <w:r w:rsidR="008D35B3">
        <w:t>7</w:t>
      </w:r>
      <w:r w:rsidR="007032E6" w:rsidRPr="007032E6">
        <w:t xml:space="preserve"> год по Q3 составляет </w:t>
      </w:r>
      <w:r w:rsidR="008D35B3">
        <w:t xml:space="preserve">244,5 </w:t>
      </w:r>
      <w:proofErr w:type="gramStart"/>
      <w:r w:rsidR="008D35B3">
        <w:t>млрд</w:t>
      </w:r>
      <w:proofErr w:type="gramEnd"/>
      <w:r w:rsidR="008D35B3">
        <w:t xml:space="preserve"> долларов США</w:t>
      </w:r>
      <w:r w:rsidR="007032E6" w:rsidRPr="007032E6">
        <w:t xml:space="preserve">. </w:t>
      </w:r>
      <w:r w:rsidR="00EF2D4B" w:rsidRPr="00EF2D4B">
        <w:t xml:space="preserve">Входящие сделки в значительной степени </w:t>
      </w:r>
      <w:r w:rsidR="001379D6">
        <w:t>возросли</w:t>
      </w:r>
      <w:r w:rsidR="007032E6">
        <w:t xml:space="preserve"> в стоимости </w:t>
      </w:r>
      <w:r w:rsidR="00EF2D4B">
        <w:t>за счет покупателей из Британии</w:t>
      </w:r>
      <w:r w:rsidR="00EF2D4B" w:rsidRPr="00EF2D4B">
        <w:t xml:space="preserve">. Самая большая сделка в этом квартале заключалась в том, что </w:t>
      </w:r>
      <w:proofErr w:type="spellStart"/>
      <w:r w:rsidR="00EF2D4B" w:rsidRPr="00EF2D4B">
        <w:t>British</w:t>
      </w:r>
      <w:proofErr w:type="spellEnd"/>
      <w:r w:rsidR="00EF2D4B" w:rsidRPr="00EF2D4B">
        <w:t xml:space="preserve"> </w:t>
      </w:r>
      <w:proofErr w:type="spellStart"/>
      <w:r w:rsidR="00EF2D4B" w:rsidRPr="00EF2D4B">
        <w:t>American</w:t>
      </w:r>
      <w:proofErr w:type="spellEnd"/>
      <w:r w:rsidR="00EF2D4B" w:rsidRPr="00EF2D4B">
        <w:t xml:space="preserve"> </w:t>
      </w:r>
      <w:proofErr w:type="spellStart"/>
      <w:r w:rsidR="00EF2D4B" w:rsidRPr="00EF2D4B">
        <w:t>Tobacco</w:t>
      </w:r>
      <w:proofErr w:type="spellEnd"/>
      <w:r w:rsidR="00EF2D4B" w:rsidRPr="00EF2D4B">
        <w:t xml:space="preserve"> согласился приобрести 57,8% своего американског</w:t>
      </w:r>
      <w:r w:rsidR="00EF2D4B">
        <w:t xml:space="preserve">о конкурента </w:t>
      </w:r>
      <w:proofErr w:type="spellStart"/>
      <w:r w:rsidR="00EF2D4B">
        <w:t>Reynolds</w:t>
      </w:r>
      <w:proofErr w:type="spellEnd"/>
      <w:r w:rsidR="00EF2D4B">
        <w:t xml:space="preserve"> </w:t>
      </w:r>
      <w:proofErr w:type="spellStart"/>
      <w:r w:rsidR="00EF2D4B">
        <w:t>American</w:t>
      </w:r>
      <w:proofErr w:type="spellEnd"/>
      <w:r w:rsidR="00EF2D4B">
        <w:t xml:space="preserve"> на сумму 60,7 </w:t>
      </w:r>
      <w:r w:rsidR="00EF2D4B" w:rsidRPr="00EF2D4B">
        <w:t xml:space="preserve">$ </w:t>
      </w:r>
      <w:r w:rsidR="00EF2D4B">
        <w:t>млрд</w:t>
      </w:r>
      <w:r w:rsidR="00EF2D4B" w:rsidRPr="00EF2D4B">
        <w:t xml:space="preserve">. </w:t>
      </w:r>
      <w:r w:rsidR="00EF2D4B">
        <w:t>Так же</w:t>
      </w:r>
      <w:r w:rsidR="00EF2D4B" w:rsidRPr="00EF2D4B">
        <w:t xml:space="preserve"> месяц спустя британский потребител</w:t>
      </w:r>
      <w:r w:rsidR="00EF2D4B" w:rsidRPr="00EF2D4B">
        <w:t>ь</w:t>
      </w:r>
      <w:r w:rsidR="00EF2D4B" w:rsidRPr="00EF2D4B">
        <w:t xml:space="preserve">ский гигант </w:t>
      </w:r>
      <w:proofErr w:type="spellStart"/>
      <w:r w:rsidR="00EF2D4B" w:rsidRPr="00EF2D4B">
        <w:t>Reckitt</w:t>
      </w:r>
      <w:proofErr w:type="spellEnd"/>
      <w:r w:rsidR="00EF2D4B" w:rsidRPr="00EF2D4B">
        <w:t xml:space="preserve"> </w:t>
      </w:r>
      <w:proofErr w:type="spellStart"/>
      <w:r w:rsidR="00EF2D4B" w:rsidRPr="00EF2D4B">
        <w:t>Bencki</w:t>
      </w:r>
      <w:r w:rsidR="00EF2D4B">
        <w:t>ser</w:t>
      </w:r>
      <w:proofErr w:type="spellEnd"/>
      <w:r w:rsidR="00EF2D4B">
        <w:t xml:space="preserve">, объявив о сделке на сумму </w:t>
      </w:r>
      <w:r w:rsidR="00EF2D4B" w:rsidRPr="00EF2D4B">
        <w:t>17,8 $ млрд</w:t>
      </w:r>
      <w:r w:rsidR="00EF2D4B">
        <w:t>.</w:t>
      </w:r>
      <w:r w:rsidR="00EF2D4B" w:rsidRPr="00EF2D4B">
        <w:t xml:space="preserve"> </w:t>
      </w:r>
      <w:r w:rsidR="00EF2D4B">
        <w:t xml:space="preserve">с производителем </w:t>
      </w:r>
      <w:r w:rsidR="001379D6">
        <w:t>детских</w:t>
      </w:r>
      <w:r w:rsidR="00EF2D4B">
        <w:t xml:space="preserve"> товаров </w:t>
      </w:r>
      <w:proofErr w:type="spellStart"/>
      <w:r w:rsidR="00EF2D4B" w:rsidRPr="00EF2D4B">
        <w:t>Mead</w:t>
      </w:r>
      <w:proofErr w:type="spellEnd"/>
      <w:r w:rsidR="00EF2D4B" w:rsidRPr="00EF2D4B">
        <w:t xml:space="preserve"> </w:t>
      </w:r>
      <w:proofErr w:type="spellStart"/>
      <w:r w:rsidR="00EF2D4B" w:rsidRPr="00EF2D4B">
        <w:t>Johnson</w:t>
      </w:r>
      <w:proofErr w:type="spellEnd"/>
      <w:r w:rsidR="00EF2D4B" w:rsidRPr="00EF2D4B">
        <w:t xml:space="preserve">. Эти две сделки </w:t>
      </w:r>
      <w:proofErr w:type="gramStart"/>
      <w:r w:rsidR="00EF2D4B" w:rsidRPr="00EF2D4B">
        <w:t>обеспечили</w:t>
      </w:r>
      <w:proofErr w:type="gramEnd"/>
      <w:r w:rsidR="00EF2D4B">
        <w:t xml:space="preserve"> составили значительную часть транзакций</w:t>
      </w:r>
      <w:r w:rsidR="00EF2D4B" w:rsidRPr="00EF2D4B">
        <w:t>.</w:t>
      </w:r>
      <w:r w:rsidR="00EF2D4B">
        <w:t xml:space="preserve"> </w:t>
      </w:r>
      <w:r w:rsidR="009A0730">
        <w:t>Так же значительными были</w:t>
      </w:r>
      <w:r w:rsidR="00EF2D4B" w:rsidRPr="00EF2D4B">
        <w:t xml:space="preserve"> </w:t>
      </w:r>
      <w:r w:rsidR="009A0730">
        <w:t>потоки</w:t>
      </w:r>
      <w:r w:rsidR="00EF2D4B" w:rsidRPr="00EF2D4B">
        <w:t xml:space="preserve"> из Японии, которые внесли более 10 </w:t>
      </w:r>
      <w:r w:rsidR="009A0730" w:rsidRPr="009A0730">
        <w:t xml:space="preserve">$ </w:t>
      </w:r>
      <w:r w:rsidR="00EF2D4B" w:rsidRPr="00EF2D4B">
        <w:t xml:space="preserve">млрд. в США на рынок слияний и поглощений в первом квартале. Почти половина из них </w:t>
      </w:r>
      <w:r w:rsidR="00770DD9">
        <w:t>пришли от</w:t>
      </w:r>
      <w:r w:rsidR="00EF2D4B" w:rsidRPr="00EF2D4B">
        <w:t xml:space="preserve"> </w:t>
      </w:r>
      <w:r w:rsidR="00770DD9" w:rsidRPr="00EF2D4B">
        <w:t>компани</w:t>
      </w:r>
      <w:r w:rsidR="00770DD9">
        <w:t>и</w:t>
      </w:r>
      <w:r w:rsidR="00EF2D4B" w:rsidRPr="00EF2D4B">
        <w:t xml:space="preserve"> </w:t>
      </w:r>
      <w:proofErr w:type="spellStart"/>
      <w:r w:rsidR="00EF2D4B" w:rsidRPr="00EF2D4B">
        <w:t>Takeda</w:t>
      </w:r>
      <w:proofErr w:type="spellEnd"/>
      <w:r w:rsidR="00EF2D4B" w:rsidRPr="00EF2D4B">
        <w:t xml:space="preserve"> </w:t>
      </w:r>
      <w:proofErr w:type="spellStart"/>
      <w:r w:rsidR="00EF2D4B" w:rsidRPr="00EF2D4B">
        <w:t>Pharmaceutical</w:t>
      </w:r>
      <w:proofErr w:type="spellEnd"/>
      <w:r w:rsidR="00770DD9">
        <w:t>,</w:t>
      </w:r>
      <w:r w:rsidR="00EF2D4B" w:rsidRPr="00EF2D4B">
        <w:t xml:space="preserve"> </w:t>
      </w:r>
      <w:r w:rsidR="00770DD9">
        <w:t xml:space="preserve">покупающей </w:t>
      </w:r>
      <w:r w:rsidR="00EF2D4B" w:rsidRPr="00EF2D4B">
        <w:t>американск</w:t>
      </w:r>
      <w:r w:rsidR="00770DD9">
        <w:t>ую</w:t>
      </w:r>
      <w:r w:rsidR="00EF2D4B" w:rsidRPr="00EF2D4B">
        <w:t xml:space="preserve"> биотехнологич</w:t>
      </w:r>
      <w:r w:rsidR="00EF2D4B" w:rsidRPr="00EF2D4B">
        <w:t>е</w:t>
      </w:r>
      <w:r w:rsidR="00EF2D4B" w:rsidRPr="00EF2D4B">
        <w:t>ск</w:t>
      </w:r>
      <w:r w:rsidR="00770DD9">
        <w:t>ую</w:t>
      </w:r>
      <w:r w:rsidR="00EF2D4B" w:rsidRPr="00EF2D4B">
        <w:t xml:space="preserve"> компани</w:t>
      </w:r>
      <w:r w:rsidR="00770DD9">
        <w:t>ю</w:t>
      </w:r>
      <w:r w:rsidR="00EF2D4B" w:rsidRPr="00EF2D4B">
        <w:t xml:space="preserve"> </w:t>
      </w:r>
      <w:proofErr w:type="spellStart"/>
      <w:r w:rsidR="00EF2D4B" w:rsidRPr="00EF2D4B">
        <w:t>Ariad</w:t>
      </w:r>
      <w:proofErr w:type="spellEnd"/>
      <w:r w:rsidR="00770DD9" w:rsidRPr="00770DD9">
        <w:t xml:space="preserve"> </w:t>
      </w:r>
      <w:r w:rsidR="00770DD9" w:rsidRPr="00EF2D4B">
        <w:t xml:space="preserve">стоимостью 4,9 </w:t>
      </w:r>
      <w:r w:rsidR="00770DD9" w:rsidRPr="009A0730">
        <w:t xml:space="preserve">$ </w:t>
      </w:r>
      <w:r w:rsidR="00770DD9" w:rsidRPr="00EF2D4B">
        <w:t>млрд</w:t>
      </w:r>
      <w:r w:rsidR="00EF2D4B" w:rsidRPr="00EF2D4B">
        <w:t>.</w:t>
      </w:r>
      <w:r w:rsidR="007032E6">
        <w:rPr>
          <w:rStyle w:val="a6"/>
        </w:rPr>
        <w:footnoteReference w:id="40"/>
      </w:r>
    </w:p>
    <w:p w:rsidR="007F4773" w:rsidRDefault="007F4773" w:rsidP="007F4773">
      <w:pPr>
        <w:spacing w:line="360" w:lineRule="auto"/>
        <w:ind w:firstLine="709"/>
        <w:contextualSpacing/>
        <w:jc w:val="right"/>
        <w:rPr>
          <w:i/>
        </w:rPr>
      </w:pPr>
      <w:r w:rsidRPr="007F4773">
        <w:rPr>
          <w:i/>
        </w:rPr>
        <w:t>Рисунок 2.5</w:t>
      </w:r>
    </w:p>
    <w:p w:rsidR="007F4773" w:rsidRPr="007F4773" w:rsidRDefault="007F4773" w:rsidP="007F4773">
      <w:pPr>
        <w:spacing w:line="360" w:lineRule="auto"/>
        <w:ind w:firstLine="709"/>
        <w:contextualSpacing/>
        <w:jc w:val="center"/>
        <w:rPr>
          <w:b/>
        </w:rPr>
      </w:pPr>
      <w:r w:rsidRPr="007F4773">
        <w:rPr>
          <w:b/>
        </w:rPr>
        <w:t>Динамика волн слияний и поглощений в США в циклах</w:t>
      </w:r>
    </w:p>
    <w:p w:rsidR="00F11C65" w:rsidRDefault="00F11C65" w:rsidP="00F11C65">
      <w:pPr>
        <w:spacing w:line="360" w:lineRule="auto"/>
        <w:ind w:left="-426" w:firstLine="142"/>
        <w:contextualSpacing/>
        <w:jc w:val="center"/>
      </w:pPr>
      <w:r>
        <w:rPr>
          <w:noProof/>
        </w:rPr>
        <w:drawing>
          <wp:inline distT="0" distB="0" distL="0" distR="0" wp14:anchorId="23850BA6" wp14:editId="421C952E">
            <wp:extent cx="4997303" cy="2052083"/>
            <wp:effectExtent l="0" t="0" r="13335" b="24765"/>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0527" w:rsidRPr="000F0527" w:rsidRDefault="00CE1AD1" w:rsidP="000F0527">
      <w:pPr>
        <w:spacing w:line="360" w:lineRule="auto"/>
        <w:ind w:left="-426" w:firstLine="709"/>
        <w:contextualSpacing/>
        <w:jc w:val="center"/>
      </w:pPr>
      <w:r>
        <w:t xml:space="preserve">Рассчитано </w:t>
      </w:r>
      <w:r w:rsidR="007F4773">
        <w:t>по:</w:t>
      </w:r>
      <w:r>
        <w:t xml:space="preserve"> данны</w:t>
      </w:r>
      <w:r w:rsidR="007F4773">
        <w:t>е</w:t>
      </w:r>
      <w:r>
        <w:t xml:space="preserve"> </w:t>
      </w:r>
      <w:proofErr w:type="spellStart"/>
      <w:r w:rsidR="004D6660">
        <w:rPr>
          <w:lang w:val="en-US"/>
        </w:rPr>
        <w:t>imaa</w:t>
      </w:r>
      <w:proofErr w:type="spellEnd"/>
      <w:r w:rsidR="004D6660" w:rsidRPr="00CE1AD1">
        <w:t xml:space="preserve"> </w:t>
      </w:r>
      <w:r w:rsidR="004D6660">
        <w:rPr>
          <w:lang w:val="en-US"/>
        </w:rPr>
        <w:t>statistics</w:t>
      </w:r>
    </w:p>
    <w:p w:rsidR="00E17A6B" w:rsidRPr="00D93AEE" w:rsidRDefault="00202B89" w:rsidP="0066635B">
      <w:pPr>
        <w:spacing w:line="360" w:lineRule="auto"/>
        <w:ind w:firstLine="709"/>
        <w:contextualSpacing/>
        <w:jc w:val="both"/>
      </w:pPr>
      <w:r>
        <w:t xml:space="preserve">Анализируя исследования зависимости развития процессов </w:t>
      </w:r>
      <w:r>
        <w:rPr>
          <w:lang w:val="en-US"/>
        </w:rPr>
        <w:t>M</w:t>
      </w:r>
      <w:r w:rsidRPr="00202B89">
        <w:t>&amp;</w:t>
      </w:r>
      <w:r>
        <w:rPr>
          <w:lang w:val="en-US"/>
        </w:rPr>
        <w:t>A</w:t>
      </w:r>
      <w:r w:rsidRPr="00202B89">
        <w:t xml:space="preserve"> </w:t>
      </w:r>
      <w:r w:rsidR="009B5F22">
        <w:t>от макроэкон</w:t>
      </w:r>
      <w:r w:rsidR="009B5F22">
        <w:t>о</w:t>
      </w:r>
      <w:r w:rsidR="009B5F22">
        <w:t xml:space="preserve">мических показателей, можно выделить несколько основных факторов, которые влияют на развитие рынка слияний и поглощений, а именно динамика ВВП, анализ </w:t>
      </w:r>
      <w:proofErr w:type="spellStart"/>
      <w:r w:rsidR="009B5F22">
        <w:t>Чанга</w:t>
      </w:r>
      <w:proofErr w:type="spellEnd"/>
      <w:r w:rsidR="009B5F22">
        <w:t xml:space="preserve"> и </w:t>
      </w:r>
      <w:proofErr w:type="spellStart"/>
      <w:r w:rsidR="009B5F22">
        <w:t>Уэ</w:t>
      </w:r>
      <w:r w:rsidR="009B5F22">
        <w:t>с</w:t>
      </w:r>
      <w:r w:rsidR="009B5F22">
        <w:t>тона</w:t>
      </w:r>
      <w:proofErr w:type="spellEnd"/>
      <w:r w:rsidR="009B5F22">
        <w:t xml:space="preserve">, </w:t>
      </w:r>
      <w:r w:rsidR="00D93AEE">
        <w:t xml:space="preserve">процентная ставка, исследование </w:t>
      </w:r>
      <w:proofErr w:type="spellStart"/>
      <w:r w:rsidR="00D93AEE">
        <w:t>Бекетти</w:t>
      </w:r>
      <w:proofErr w:type="spellEnd"/>
      <w:r w:rsidR="00D93AEE">
        <w:t xml:space="preserve">, а так же коэффициент </w:t>
      </w:r>
      <w:r w:rsidR="00D93AEE">
        <w:rPr>
          <w:lang w:val="en-US"/>
        </w:rPr>
        <w:t>Q</w:t>
      </w:r>
      <w:r w:rsidR="00D93AEE">
        <w:t xml:space="preserve"> – </w:t>
      </w:r>
      <w:proofErr w:type="spellStart"/>
      <w:r w:rsidR="00D93AEE">
        <w:t>Тобина</w:t>
      </w:r>
      <w:proofErr w:type="spellEnd"/>
      <w:r w:rsidR="00D93AEE">
        <w:t>, а кот</w:t>
      </w:r>
      <w:r w:rsidR="00D93AEE">
        <w:t>о</w:t>
      </w:r>
      <w:r w:rsidR="00D93AEE">
        <w:t>ром упоминалось ранее.</w:t>
      </w:r>
      <w:r w:rsidR="00D93AEE">
        <w:rPr>
          <w:rStyle w:val="a6"/>
        </w:rPr>
        <w:footnoteReference w:id="41"/>
      </w:r>
      <w:r w:rsidR="000F0527">
        <w:t xml:space="preserve"> Волны слияний и поглощений в США в разные периоды врем</w:t>
      </w:r>
      <w:r w:rsidR="000F0527">
        <w:t>е</w:t>
      </w:r>
      <w:r w:rsidR="000F0527">
        <w:t>ни находились под воздействием всех этих факторов, в различной степени влияния. Пр</w:t>
      </w:r>
      <w:r w:rsidR="000F0527">
        <w:t>о</w:t>
      </w:r>
      <w:r w:rsidR="000F0527">
        <w:lastRenderedPageBreak/>
        <w:t>должительность волн по сравнению с прочими рассматриваемыми странами и регионами ма</w:t>
      </w:r>
      <w:r w:rsidR="00110E05">
        <w:t xml:space="preserve">ксимальная и составляет 12 </w:t>
      </w:r>
      <w:r w:rsidR="00BE325E">
        <w:t>лет. (Рис</w:t>
      </w:r>
      <w:r w:rsidR="00475CE2">
        <w:t>.</w:t>
      </w:r>
      <w:r w:rsidR="00B15915">
        <w:t xml:space="preserve"> 2.</w:t>
      </w:r>
      <w:r w:rsidR="00475CE2">
        <w:t>5</w:t>
      </w:r>
      <w:r w:rsidR="00B15915">
        <w:t>)</w:t>
      </w:r>
      <w:r w:rsidR="00110E05">
        <w:t xml:space="preserve"> </w:t>
      </w:r>
      <w:r w:rsidR="000F0527">
        <w:t xml:space="preserve">Крупнейшей по объемам активности волной является 4, однако 7, то есть последняя, ей не на много уступает, что характеризуется крайне благоприятными условиями на рынке. </w:t>
      </w:r>
      <w:r w:rsidR="00BE325E">
        <w:t>(</w:t>
      </w:r>
      <w:r w:rsidR="007E2E4E">
        <w:t>Прилож</w:t>
      </w:r>
      <w:r w:rsidR="00475CE2">
        <w:t>.</w:t>
      </w:r>
      <w:r w:rsidR="007E2E4E">
        <w:t xml:space="preserve"> </w:t>
      </w:r>
      <w:r w:rsidR="00475CE2">
        <w:t>3</w:t>
      </w:r>
      <w:r w:rsidR="00110E05">
        <w:t>)</w:t>
      </w:r>
    </w:p>
    <w:p w:rsidR="0066635B" w:rsidRDefault="00F1317F" w:rsidP="0066635B">
      <w:pPr>
        <w:spacing w:line="360" w:lineRule="auto"/>
        <w:ind w:firstLine="709"/>
        <w:contextualSpacing/>
        <w:jc w:val="both"/>
      </w:pPr>
      <w:r>
        <w:t>Так же, о</w:t>
      </w:r>
      <w:r w:rsidR="0066635B">
        <w:t>дним из важнейших факторов, влияющим на волны слияний и поглощ</w:t>
      </w:r>
      <w:r w:rsidR="0066635B">
        <w:t>е</w:t>
      </w:r>
      <w:r w:rsidR="0066635B">
        <w:t xml:space="preserve">ний является законодательство, что можно заметить на динамике волн в США.  В целом, нормы регулирующие деятельность компаний в области сделок </w:t>
      </w:r>
      <w:r w:rsidR="0066635B">
        <w:rPr>
          <w:lang w:val="en-US"/>
        </w:rPr>
        <w:t>M</w:t>
      </w:r>
      <w:r w:rsidR="0066635B" w:rsidRPr="0084605F">
        <w:t>&amp;</w:t>
      </w:r>
      <w:r w:rsidR="0066635B">
        <w:rPr>
          <w:lang w:val="en-US"/>
        </w:rPr>
        <w:t>A</w:t>
      </w:r>
      <w:r w:rsidR="0066635B" w:rsidRPr="0084605F">
        <w:t xml:space="preserve"> </w:t>
      </w:r>
      <w:r w:rsidR="0066635B">
        <w:t>можно разделить на законы о федеральных ценных бумагах, федеральное антимонопольное законодательство и специфические отраслевые нормы, например, Федеральная комиссия по связи должна дать разрешение на передачу лицензии на услуги связи.</w:t>
      </w:r>
      <w:r w:rsidR="0066635B">
        <w:rPr>
          <w:rStyle w:val="a6"/>
        </w:rPr>
        <w:footnoteReference w:id="42"/>
      </w:r>
      <w:proofErr w:type="gramStart"/>
      <w:r w:rsidR="0066635B">
        <w:t>Основными регулирующими а</w:t>
      </w:r>
      <w:r w:rsidR="0066635B">
        <w:t>к</w:t>
      </w:r>
      <w:r w:rsidR="0066635B">
        <w:t>тами в данном блоке являются Закон о ценных бумагах 1933 и 1934 годов, который з</w:t>
      </w:r>
      <w:r w:rsidR="0066635B">
        <w:t>а</w:t>
      </w:r>
      <w:r w:rsidR="0066635B">
        <w:t>прещает публичное предложение ценных бумаг без составления регистрационного бюлл</w:t>
      </w:r>
      <w:r w:rsidR="0066635B">
        <w:t>е</w:t>
      </w:r>
      <w:r w:rsidR="0066635B">
        <w:t>теня, а так же определяет минимальные требования к раскрываемым сведениям</w:t>
      </w:r>
      <w:r w:rsidR="0066635B" w:rsidRPr="00477CE5">
        <w:t>;</w:t>
      </w:r>
      <w:r w:rsidR="0066635B">
        <w:t xml:space="preserve"> Закон Уильямса 1968 г., регулирующий тендерные предложения, а так же разделы 13,14 и 16, определяющие периодичность раскрытия информации, определение и права инвестора.</w:t>
      </w:r>
      <w:r w:rsidR="0066635B" w:rsidRPr="00E743AE">
        <w:t xml:space="preserve"> </w:t>
      </w:r>
      <w:proofErr w:type="gramEnd"/>
    </w:p>
    <w:p w:rsidR="0066635B" w:rsidRDefault="0066635B" w:rsidP="0066635B">
      <w:pPr>
        <w:spacing w:line="360" w:lineRule="auto"/>
        <w:ind w:firstLine="709"/>
        <w:contextualSpacing/>
        <w:jc w:val="both"/>
      </w:pPr>
      <w:r w:rsidRPr="00E743AE">
        <w:t>Федеральные антимонопольные законы существуют для того, чтобы не позволить отдельным корпорациям приобретать</w:t>
      </w:r>
      <w:r>
        <w:t xml:space="preserve"> излишне</w:t>
      </w:r>
      <w:r w:rsidRPr="00E743AE">
        <w:t xml:space="preserve"> много рыночной власти, </w:t>
      </w:r>
      <w:r>
        <w:t>которая позволит им</w:t>
      </w:r>
      <w:r w:rsidRPr="00E743AE">
        <w:t xml:space="preserve"> ограничи</w:t>
      </w:r>
      <w:r>
        <w:t>вать</w:t>
      </w:r>
      <w:r w:rsidRPr="00E743AE">
        <w:t xml:space="preserve"> выпуск и повышать цены, не беспокоясь о какой-либо реакции конк</w:t>
      </w:r>
      <w:r w:rsidRPr="00E743AE">
        <w:t>у</w:t>
      </w:r>
      <w:r w:rsidRPr="00E743AE">
        <w:t xml:space="preserve">рентов. </w:t>
      </w:r>
      <w:r>
        <w:t>Министерство Юстиции</w:t>
      </w:r>
      <w:r w:rsidRPr="00E743AE">
        <w:t xml:space="preserve"> и </w:t>
      </w:r>
      <w:r>
        <w:t>Федеральная Торговая Комиссия</w:t>
      </w:r>
      <w:r w:rsidRPr="00E743AE">
        <w:t xml:space="preserve"> несут основную о</w:t>
      </w:r>
      <w:r w:rsidRPr="00E743AE">
        <w:t>т</w:t>
      </w:r>
      <w:r w:rsidRPr="00E743AE">
        <w:t>ветственность за применение федеральных антимонопольных законов.</w:t>
      </w:r>
      <w:r>
        <w:t xml:space="preserve"> </w:t>
      </w:r>
      <w:proofErr w:type="gramStart"/>
      <w:r>
        <w:t>В числе регулир</w:t>
      </w:r>
      <w:r>
        <w:t>у</w:t>
      </w:r>
      <w:r>
        <w:t xml:space="preserve">ющих актов следует выделить Закон </w:t>
      </w:r>
      <w:proofErr w:type="spellStart"/>
      <w:r>
        <w:t>Шермана</w:t>
      </w:r>
      <w:proofErr w:type="spellEnd"/>
      <w:r>
        <w:t xml:space="preserve"> 1890 г., который устанавливает наказания за действия по «необоснованному» ограничению конкуренции, Закон </w:t>
      </w:r>
      <w:proofErr w:type="spellStart"/>
      <w:r>
        <w:t>Клейтона</w:t>
      </w:r>
      <w:proofErr w:type="spellEnd"/>
      <w:r>
        <w:t xml:space="preserve"> 1914 г., определяющий гражданско-правовые санкции за незаконное ограничение торговли, Закон </w:t>
      </w:r>
      <w:proofErr w:type="spellStart"/>
      <w:r>
        <w:t>Селлера-Кефовера</w:t>
      </w:r>
      <w:proofErr w:type="spellEnd"/>
      <w:r>
        <w:t xml:space="preserve"> 1950 г., распространяющий Закон </w:t>
      </w:r>
      <w:proofErr w:type="spellStart"/>
      <w:r>
        <w:t>Клейтона</w:t>
      </w:r>
      <w:proofErr w:type="spellEnd"/>
      <w:r>
        <w:t xml:space="preserve"> не только на покупку а</w:t>
      </w:r>
      <w:r>
        <w:t>к</w:t>
      </w:r>
      <w:r>
        <w:t xml:space="preserve">ций, но и активов, а так же закон </w:t>
      </w:r>
      <w:proofErr w:type="spellStart"/>
      <w:r>
        <w:t>Харта</w:t>
      </w:r>
      <w:proofErr w:type="spellEnd"/>
      <w:r>
        <w:t>-Скотта-Родино 1976 г., вводящий период ожид</w:t>
      </w:r>
      <w:r>
        <w:t>а</w:t>
      </w:r>
      <w:r>
        <w:t>ния до завершения сделки и определяющий</w:t>
      </w:r>
      <w:proofErr w:type="gramEnd"/>
      <w:r>
        <w:t xml:space="preserve"> требования к сведениям, предоставляемым в регулирующие органы. </w:t>
      </w:r>
    </w:p>
    <w:p w:rsidR="0066635B" w:rsidRPr="0066635B" w:rsidRDefault="0066635B" w:rsidP="0066635B">
      <w:pPr>
        <w:spacing w:line="360" w:lineRule="auto"/>
        <w:ind w:firstLine="709"/>
        <w:contextualSpacing/>
        <w:jc w:val="both"/>
      </w:pPr>
      <w:r>
        <w:t>В качестве специфических норм выделяют законодательство штатов против захвата компаний, антимонопольное законодательство штатов, природоохранное законодател</w:t>
      </w:r>
      <w:r>
        <w:t>ь</w:t>
      </w:r>
      <w:r>
        <w:t>ство, трудовое и пенсионное законодательство, и з</w:t>
      </w:r>
      <w:r w:rsidRPr="00D67A08">
        <w:t>акон о реформе и защите прав потреб</w:t>
      </w:r>
      <w:r w:rsidRPr="00D67A08">
        <w:t>и</w:t>
      </w:r>
      <w:r w:rsidRPr="00D67A08">
        <w:t>телей</w:t>
      </w:r>
      <w:r>
        <w:t xml:space="preserve"> 2010 г., р</w:t>
      </w:r>
      <w:r w:rsidRPr="00D67A08">
        <w:t>еформиру</w:t>
      </w:r>
      <w:r>
        <w:t>ющий</w:t>
      </w:r>
      <w:r w:rsidRPr="00D67A08">
        <w:t xml:space="preserve"> исполнительную компенсацию</w:t>
      </w:r>
      <w:r>
        <w:t>, и</w:t>
      </w:r>
      <w:r w:rsidRPr="00D67A08">
        <w:t xml:space="preserve"> ввод</w:t>
      </w:r>
      <w:r>
        <w:t>ящий</w:t>
      </w:r>
      <w:r w:rsidRPr="00D67A08">
        <w:t xml:space="preserve"> новые треб</w:t>
      </w:r>
      <w:r w:rsidRPr="00D67A08">
        <w:t>о</w:t>
      </w:r>
      <w:r w:rsidRPr="00D67A08">
        <w:t>вания к регистрации хеджирования / фонда прямых инвестиций</w:t>
      </w:r>
      <w:r>
        <w:t>.</w:t>
      </w:r>
    </w:p>
    <w:p w:rsidR="00435991" w:rsidRDefault="005D69C1" w:rsidP="00435991">
      <w:pPr>
        <w:spacing w:line="360" w:lineRule="auto"/>
        <w:ind w:firstLine="709"/>
        <w:contextualSpacing/>
        <w:jc w:val="both"/>
      </w:pPr>
      <w:r>
        <w:lastRenderedPageBreak/>
        <w:t>Помимо динамики ВВП, размера процентной ставки и изменений в законодател</w:t>
      </w:r>
      <w:r>
        <w:t>ь</w:t>
      </w:r>
      <w:r>
        <w:t>стве,  з</w:t>
      </w:r>
      <w:r w:rsidR="00435991">
        <w:t xml:space="preserve">ависимость развития рынка </w:t>
      </w:r>
      <w:r w:rsidR="00435991">
        <w:rPr>
          <w:lang w:val="en-US"/>
        </w:rPr>
        <w:t>M</w:t>
      </w:r>
      <w:r w:rsidR="00435991" w:rsidRPr="00435991">
        <w:t>&amp;</w:t>
      </w:r>
      <w:r w:rsidR="00435991">
        <w:rPr>
          <w:lang w:val="en-US"/>
        </w:rPr>
        <w:t>A</w:t>
      </w:r>
      <w:r w:rsidR="00435991" w:rsidRPr="00435991">
        <w:t xml:space="preserve"> </w:t>
      </w:r>
      <w:r>
        <w:t xml:space="preserve">наблюдается в изменениях </w:t>
      </w:r>
      <w:r w:rsidR="00435991">
        <w:t>фондового рынка и его капитализации</w:t>
      </w:r>
      <w:r>
        <w:t xml:space="preserve">, и </w:t>
      </w:r>
      <w:r w:rsidR="00435991">
        <w:t xml:space="preserve"> заключается в том, что одной из основных схем поглощения являе</w:t>
      </w:r>
      <w:r w:rsidR="00435991">
        <w:t>т</w:t>
      </w:r>
      <w:r w:rsidR="00435991">
        <w:t xml:space="preserve">ся приобретение акций компании-цели на бирже. Исходя из этого, многие исследователи утверждают, что корреляция между этими показателями будет существенна. </w:t>
      </w:r>
    </w:p>
    <w:p w:rsidR="0066635B" w:rsidRDefault="0066635B" w:rsidP="00435991">
      <w:pPr>
        <w:spacing w:line="360" w:lineRule="auto"/>
        <w:ind w:firstLine="709"/>
        <w:contextualSpacing/>
        <w:jc w:val="both"/>
      </w:pPr>
      <w:r>
        <w:t>Наблюдается положительная корреляция капитализации фондового рынка и акти</w:t>
      </w:r>
      <w:r>
        <w:t>в</w:t>
      </w:r>
      <w:r>
        <w:t>ности на рынке</w:t>
      </w:r>
      <w:r w:rsidR="00BE325E">
        <w:t xml:space="preserve"> слияний и поглощений (</w:t>
      </w:r>
      <w:r w:rsidR="00137EB3">
        <w:t>Рисунок</w:t>
      </w:r>
      <w:r>
        <w:t xml:space="preserve"> 2.</w:t>
      </w:r>
      <w:r w:rsidR="002E409F">
        <w:t>7</w:t>
      </w:r>
      <w:r>
        <w:t xml:space="preserve">), с </w:t>
      </w:r>
      <w:r w:rsidR="00BE325E">
        <w:t>коэффициентом 0</w:t>
      </w:r>
      <w:r>
        <w:t xml:space="preserve">,59, а </w:t>
      </w:r>
      <w:r w:rsidR="00DA0FA0">
        <w:t>также</w:t>
      </w:r>
      <w:r>
        <w:t xml:space="preserve"> к</w:t>
      </w:r>
      <w:r>
        <w:t>а</w:t>
      </w:r>
      <w:r>
        <w:t xml:space="preserve">питализации фондов и стоимостных показателей активности </w:t>
      </w:r>
      <w:r>
        <w:rPr>
          <w:lang w:val="en-US"/>
        </w:rPr>
        <w:t>M</w:t>
      </w:r>
      <w:r w:rsidRPr="00F82025">
        <w:t>&amp;</w:t>
      </w:r>
      <w:r>
        <w:rPr>
          <w:lang w:val="en-US"/>
        </w:rPr>
        <w:t>A</w:t>
      </w:r>
      <w:r w:rsidRPr="00F82025">
        <w:t>,</w:t>
      </w:r>
      <w:r>
        <w:t xml:space="preserve"> с коэффициентом 0,71. Рынок </w:t>
      </w:r>
      <w:r>
        <w:rPr>
          <w:lang w:val="en-US"/>
        </w:rPr>
        <w:t>M</w:t>
      </w:r>
      <w:r w:rsidRPr="0066635B">
        <w:t>&amp;</w:t>
      </w:r>
      <w:r>
        <w:rPr>
          <w:lang w:val="en-US"/>
        </w:rPr>
        <w:t>A</w:t>
      </w:r>
      <w:r w:rsidRPr="0066635B">
        <w:t xml:space="preserve"> </w:t>
      </w:r>
      <w:r>
        <w:t>очень быстро реагирует на малейшие изменения, что может быть обусловл</w:t>
      </w:r>
      <w:r>
        <w:t>е</w:t>
      </w:r>
      <w:r>
        <w:t>но популярностью стратегии выкупа акций компаний с биржи</w:t>
      </w:r>
      <w:r w:rsidRPr="0066635B">
        <w:t xml:space="preserve"> (</w:t>
      </w:r>
      <w:r>
        <w:rPr>
          <w:lang w:val="en-US"/>
        </w:rPr>
        <w:t>buyout</w:t>
      </w:r>
      <w:r>
        <w:t xml:space="preserve">). </w:t>
      </w:r>
      <w:r w:rsidRPr="0066635B">
        <w:t>(</w:t>
      </w:r>
      <w:r w:rsidR="00DA0FA0">
        <w:t>Рисунок</w:t>
      </w:r>
      <w:r>
        <w:t xml:space="preserve"> 2.</w:t>
      </w:r>
      <w:r w:rsidR="002E409F">
        <w:t>8</w:t>
      </w:r>
      <w:r>
        <w:t>)</w:t>
      </w:r>
      <w:r w:rsidR="002E409F">
        <w:t xml:space="preserve"> </w:t>
      </w:r>
      <w:r w:rsidR="00F54501">
        <w:t>Я</w:t>
      </w:r>
      <w:r w:rsidR="00F54501">
        <w:t>р</w:t>
      </w:r>
      <w:r w:rsidR="00F54501">
        <w:t xml:space="preserve">ко выраженная зависимость </w:t>
      </w:r>
      <w:r w:rsidR="008F67E2">
        <w:t>проявляется</w:t>
      </w:r>
      <w:r w:rsidR="00F54501">
        <w:t xml:space="preserve"> с 6 волны </w:t>
      </w:r>
      <w:r w:rsidR="00F54501">
        <w:rPr>
          <w:lang w:val="en-US"/>
        </w:rPr>
        <w:t>M</w:t>
      </w:r>
      <w:r w:rsidR="00F54501" w:rsidRPr="00F54501">
        <w:t>&amp;</w:t>
      </w:r>
      <w:r w:rsidR="00F54501">
        <w:rPr>
          <w:lang w:val="en-US"/>
        </w:rPr>
        <w:t>A</w:t>
      </w:r>
      <w:r w:rsidR="00F54501">
        <w:t xml:space="preserve">, так как именно в это время началось активное развитие фондового рынка, и его капитализация превысила стоимость сделок </w:t>
      </w:r>
      <w:proofErr w:type="spellStart"/>
      <w:r w:rsidR="00F54501">
        <w:t>СиП</w:t>
      </w:r>
      <w:proofErr w:type="spellEnd"/>
      <w:r w:rsidR="00F54501">
        <w:t xml:space="preserve">. </w:t>
      </w:r>
    </w:p>
    <w:p w:rsidR="00EB0593" w:rsidRDefault="00EB0593" w:rsidP="00EB0593">
      <w:pPr>
        <w:spacing w:line="360" w:lineRule="auto"/>
        <w:ind w:firstLine="709"/>
        <w:contextualSpacing/>
        <w:jc w:val="right"/>
        <w:rPr>
          <w:i/>
        </w:rPr>
      </w:pPr>
      <w:r w:rsidRPr="00EB0593">
        <w:rPr>
          <w:i/>
        </w:rPr>
        <w:t>Рисунок 2.7</w:t>
      </w:r>
    </w:p>
    <w:p w:rsidR="00EB0593" w:rsidRPr="00EB0593" w:rsidRDefault="00EB0593" w:rsidP="00EB0593">
      <w:pPr>
        <w:spacing w:line="360" w:lineRule="auto"/>
        <w:contextualSpacing/>
        <w:jc w:val="center"/>
        <w:rPr>
          <w:b/>
        </w:rPr>
      </w:pPr>
      <w:r w:rsidRPr="00EB0593">
        <w:rPr>
          <w:b/>
        </w:rPr>
        <w:t xml:space="preserve">Корреляция капитализации фондового рынка </w:t>
      </w:r>
      <w:proofErr w:type="gramStart"/>
      <w:r w:rsidRPr="00EB0593">
        <w:rPr>
          <w:b/>
        </w:rPr>
        <w:t>с</w:t>
      </w:r>
      <w:proofErr w:type="gramEnd"/>
      <w:r w:rsidRPr="00EB0593">
        <w:rPr>
          <w:b/>
        </w:rPr>
        <w:t xml:space="preserve"> стоимостным и количественным п</w:t>
      </w:r>
      <w:r w:rsidRPr="00EB0593">
        <w:rPr>
          <w:b/>
        </w:rPr>
        <w:t>о</w:t>
      </w:r>
      <w:r w:rsidRPr="00EB0593">
        <w:rPr>
          <w:b/>
        </w:rPr>
        <w:t>казателем в США</w:t>
      </w:r>
    </w:p>
    <w:p w:rsidR="005C33F3" w:rsidRPr="009F22C7" w:rsidRDefault="005C33F3" w:rsidP="0000768A">
      <w:pPr>
        <w:spacing w:line="360" w:lineRule="auto"/>
        <w:ind w:left="-567" w:right="-284" w:hanging="142"/>
        <w:contextualSpacing/>
        <w:jc w:val="center"/>
        <w:rPr>
          <w:shd w:val="clear" w:color="auto" w:fill="FFFFFF"/>
          <w:lang w:val="en-US"/>
        </w:rPr>
      </w:pPr>
      <w:r>
        <w:rPr>
          <w:noProof/>
        </w:rPr>
        <w:drawing>
          <wp:inline distT="0" distB="0" distL="0" distR="0" wp14:anchorId="5D93D030" wp14:editId="0AA6B069">
            <wp:extent cx="2838893" cy="2094614"/>
            <wp:effectExtent l="0" t="0" r="19050" b="20320"/>
            <wp:docPr id="107" name="Диаграмма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9F22C7">
        <w:rPr>
          <w:shd w:val="clear" w:color="auto" w:fill="FFFFFF"/>
          <w:lang w:val="en-US"/>
        </w:rPr>
        <w:t xml:space="preserve">  </w:t>
      </w:r>
      <w:r>
        <w:rPr>
          <w:noProof/>
        </w:rPr>
        <w:drawing>
          <wp:inline distT="0" distB="0" distL="0" distR="0" wp14:anchorId="37CA5FFF" wp14:editId="69D187C9">
            <wp:extent cx="2977117" cy="2105247"/>
            <wp:effectExtent l="0" t="0" r="13970" b="9525"/>
            <wp:docPr id="108" name="Диаграмма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33F3" w:rsidRPr="00A969DE" w:rsidRDefault="00F9496A" w:rsidP="00F9496A">
      <w:pPr>
        <w:spacing w:line="360" w:lineRule="auto"/>
        <w:ind w:left="-426" w:firstLine="709"/>
        <w:contextualSpacing/>
        <w:jc w:val="center"/>
        <w:rPr>
          <w:lang w:val="en-US"/>
        </w:rPr>
      </w:pPr>
      <w:r>
        <w:t>Рассчитано</w:t>
      </w:r>
      <w:r w:rsidRPr="00EB0593">
        <w:rPr>
          <w:lang w:val="en-US"/>
        </w:rPr>
        <w:t xml:space="preserve"> </w:t>
      </w:r>
      <w:r w:rsidR="00EB0593">
        <w:t>по</w:t>
      </w:r>
      <w:r w:rsidR="00EB0593" w:rsidRPr="00EB0593">
        <w:rPr>
          <w:lang w:val="en-US"/>
        </w:rPr>
        <w:t>:</w:t>
      </w:r>
      <w:r w:rsidRPr="00EB0593">
        <w:rPr>
          <w:lang w:val="en-US"/>
        </w:rPr>
        <w:t xml:space="preserve"> </w:t>
      </w:r>
      <w:r>
        <w:t>данны</w:t>
      </w:r>
      <w:r w:rsidR="00EB0593">
        <w:t>е</w:t>
      </w:r>
      <w:r w:rsidRPr="00EB0593">
        <w:rPr>
          <w:lang w:val="en-US"/>
        </w:rPr>
        <w:t xml:space="preserve"> </w:t>
      </w:r>
      <w:proofErr w:type="spellStart"/>
      <w:r>
        <w:rPr>
          <w:lang w:val="en-US"/>
        </w:rPr>
        <w:t>imaa</w:t>
      </w:r>
      <w:proofErr w:type="spellEnd"/>
      <w:r w:rsidRPr="00EB0593">
        <w:rPr>
          <w:lang w:val="en-US"/>
        </w:rPr>
        <w:t xml:space="preserve"> </w:t>
      </w:r>
      <w:r>
        <w:rPr>
          <w:lang w:val="en-US"/>
        </w:rPr>
        <w:t>statistics</w:t>
      </w:r>
      <w:r w:rsidRPr="00EB0593">
        <w:rPr>
          <w:lang w:val="en-US"/>
        </w:rPr>
        <w:t xml:space="preserve">, </w:t>
      </w:r>
      <w:r>
        <w:rPr>
          <w:lang w:val="en-US"/>
        </w:rPr>
        <w:t>World</w:t>
      </w:r>
      <w:r w:rsidRPr="00EB0593">
        <w:rPr>
          <w:lang w:val="en-US"/>
        </w:rPr>
        <w:t xml:space="preserve"> </w:t>
      </w:r>
      <w:r>
        <w:rPr>
          <w:lang w:val="en-US"/>
        </w:rPr>
        <w:t>Bank</w:t>
      </w:r>
      <w:r w:rsidRPr="00EB0593">
        <w:rPr>
          <w:lang w:val="en-US"/>
        </w:rPr>
        <w:t xml:space="preserve"> </w:t>
      </w:r>
      <w:r>
        <w:rPr>
          <w:lang w:val="en-US"/>
        </w:rPr>
        <w:t>Data</w:t>
      </w:r>
    </w:p>
    <w:p w:rsidR="00A969DE" w:rsidRDefault="00A969DE" w:rsidP="00A969DE">
      <w:pPr>
        <w:spacing w:line="360" w:lineRule="auto"/>
        <w:ind w:left="-426" w:firstLine="709"/>
        <w:contextualSpacing/>
        <w:jc w:val="right"/>
        <w:rPr>
          <w:i/>
        </w:rPr>
      </w:pPr>
      <w:r w:rsidRPr="00A969DE">
        <w:rPr>
          <w:i/>
        </w:rPr>
        <w:t>Рисунок 2.8</w:t>
      </w:r>
    </w:p>
    <w:p w:rsidR="00A969DE" w:rsidRPr="00A969DE" w:rsidRDefault="00A969DE" w:rsidP="00A969DE">
      <w:pPr>
        <w:spacing w:line="360" w:lineRule="auto"/>
        <w:ind w:left="-426" w:firstLine="709"/>
        <w:contextualSpacing/>
        <w:jc w:val="center"/>
        <w:rPr>
          <w:b/>
        </w:rPr>
      </w:pPr>
      <w:r w:rsidRPr="00A969DE">
        <w:rPr>
          <w:b/>
        </w:rPr>
        <w:t>Корреляция капитализации фондового рынка с количеством сделок в США</w:t>
      </w:r>
    </w:p>
    <w:p w:rsidR="005C33F3" w:rsidRDefault="005C33F3" w:rsidP="004A4D43">
      <w:pPr>
        <w:spacing w:line="360" w:lineRule="auto"/>
        <w:ind w:left="-426" w:firstLine="426"/>
        <w:contextualSpacing/>
        <w:jc w:val="center"/>
        <w:rPr>
          <w:lang w:val="en-US"/>
        </w:rPr>
      </w:pPr>
      <w:r>
        <w:rPr>
          <w:noProof/>
        </w:rPr>
        <w:drawing>
          <wp:inline distT="0" distB="0" distL="0" distR="0" wp14:anchorId="2653152B" wp14:editId="5C5FE2B8">
            <wp:extent cx="5007935" cy="1765005"/>
            <wp:effectExtent l="0" t="0" r="21590" b="26035"/>
            <wp:docPr id="106"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3495" w:rsidRPr="00A969DE" w:rsidRDefault="00A73495" w:rsidP="00C8728E">
      <w:pPr>
        <w:spacing w:line="264" w:lineRule="auto"/>
        <w:ind w:left="-425" w:firstLine="709"/>
        <w:contextualSpacing/>
        <w:jc w:val="center"/>
        <w:rPr>
          <w:lang w:val="en-US"/>
        </w:rPr>
      </w:pPr>
      <w:r>
        <w:lastRenderedPageBreak/>
        <w:t>Рассчитано</w:t>
      </w:r>
      <w:r w:rsidRPr="00A969DE">
        <w:rPr>
          <w:lang w:val="en-US"/>
        </w:rPr>
        <w:t xml:space="preserve"> </w:t>
      </w:r>
      <w:r w:rsidR="00A969DE">
        <w:t>по</w:t>
      </w:r>
      <w:r w:rsidR="00A969DE" w:rsidRPr="00A969DE">
        <w:rPr>
          <w:lang w:val="en-US"/>
        </w:rPr>
        <w:t>:</w:t>
      </w:r>
      <w:r w:rsidRPr="00A969DE">
        <w:rPr>
          <w:lang w:val="en-US"/>
        </w:rPr>
        <w:t xml:space="preserve"> </w:t>
      </w:r>
      <w:r>
        <w:t>данны</w:t>
      </w:r>
      <w:r w:rsidR="00A969DE">
        <w:t>е</w:t>
      </w:r>
      <w:r w:rsidRPr="00A969DE">
        <w:rPr>
          <w:lang w:val="en-US"/>
        </w:rPr>
        <w:t xml:space="preserve"> </w:t>
      </w:r>
      <w:proofErr w:type="spellStart"/>
      <w:r>
        <w:rPr>
          <w:lang w:val="en-US"/>
        </w:rPr>
        <w:t>imaa</w:t>
      </w:r>
      <w:proofErr w:type="spellEnd"/>
      <w:r w:rsidRPr="00A969DE">
        <w:rPr>
          <w:lang w:val="en-US"/>
        </w:rPr>
        <w:t xml:space="preserve"> </w:t>
      </w:r>
      <w:r>
        <w:rPr>
          <w:lang w:val="en-US"/>
        </w:rPr>
        <w:t>statistics</w:t>
      </w:r>
      <w:r w:rsidRPr="00A969DE">
        <w:rPr>
          <w:lang w:val="en-US"/>
        </w:rPr>
        <w:t xml:space="preserve">, </w:t>
      </w:r>
      <w:r>
        <w:rPr>
          <w:lang w:val="en-US"/>
        </w:rPr>
        <w:t>World</w:t>
      </w:r>
      <w:r w:rsidRPr="00A969DE">
        <w:rPr>
          <w:lang w:val="en-US"/>
        </w:rPr>
        <w:t xml:space="preserve"> </w:t>
      </w:r>
      <w:r>
        <w:rPr>
          <w:lang w:val="en-US"/>
        </w:rPr>
        <w:t>Bank</w:t>
      </w:r>
      <w:r w:rsidRPr="00A969DE">
        <w:rPr>
          <w:lang w:val="en-US"/>
        </w:rPr>
        <w:t xml:space="preserve"> </w:t>
      </w:r>
      <w:r>
        <w:rPr>
          <w:lang w:val="en-US"/>
        </w:rPr>
        <w:t>Data</w:t>
      </w:r>
    </w:p>
    <w:p w:rsidR="00A969DE" w:rsidRPr="00A969DE" w:rsidRDefault="00A969DE" w:rsidP="00A969DE">
      <w:pPr>
        <w:spacing w:line="264" w:lineRule="auto"/>
        <w:ind w:left="-425" w:firstLine="709"/>
        <w:contextualSpacing/>
        <w:jc w:val="right"/>
        <w:rPr>
          <w:i/>
        </w:rPr>
      </w:pPr>
      <w:r w:rsidRPr="00A969DE">
        <w:rPr>
          <w:i/>
        </w:rPr>
        <w:t>Рисунок 2.</w:t>
      </w:r>
      <w:r>
        <w:rPr>
          <w:i/>
        </w:rPr>
        <w:t>9</w:t>
      </w:r>
    </w:p>
    <w:p w:rsidR="00A969DE" w:rsidRPr="00A969DE" w:rsidRDefault="00A969DE" w:rsidP="00A969DE">
      <w:pPr>
        <w:spacing w:line="264" w:lineRule="auto"/>
        <w:ind w:left="-425" w:firstLine="709"/>
        <w:contextualSpacing/>
        <w:jc w:val="center"/>
        <w:rPr>
          <w:b/>
        </w:rPr>
      </w:pPr>
      <w:r w:rsidRPr="00A969DE">
        <w:rPr>
          <w:b/>
        </w:rPr>
        <w:t>Корреляция капитализации фондового рынка со стоимостью сделок в США</w:t>
      </w:r>
    </w:p>
    <w:p w:rsidR="0050767C" w:rsidRDefault="004829C7" w:rsidP="004A4D43">
      <w:pPr>
        <w:spacing w:line="360" w:lineRule="auto"/>
        <w:ind w:left="-426" w:firstLine="426"/>
        <w:contextualSpacing/>
        <w:jc w:val="center"/>
      </w:pPr>
      <w:r>
        <w:rPr>
          <w:noProof/>
        </w:rPr>
        <w:drawing>
          <wp:inline distT="0" distB="0" distL="0" distR="0" wp14:anchorId="65898D59" wp14:editId="69008DBC">
            <wp:extent cx="5571460" cy="2477386"/>
            <wp:effectExtent l="0" t="0" r="10795" b="18415"/>
            <wp:docPr id="116" name="Диаграмма 116" descr="Number and Value of Mergers &amp; Acquisitions (M&amp;A) for the United States since 19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73495" w:rsidRPr="00A969DE" w:rsidRDefault="00A73495" w:rsidP="001379D6">
      <w:pPr>
        <w:spacing w:line="288" w:lineRule="auto"/>
        <w:ind w:left="-425" w:firstLine="709"/>
        <w:contextualSpacing/>
        <w:jc w:val="center"/>
        <w:rPr>
          <w:lang w:val="en-US"/>
        </w:rPr>
      </w:pPr>
      <w:r>
        <w:t>Рассчитано</w:t>
      </w:r>
      <w:r w:rsidRPr="00A969DE">
        <w:rPr>
          <w:lang w:val="en-US"/>
        </w:rPr>
        <w:t xml:space="preserve"> </w:t>
      </w:r>
      <w:r w:rsidR="00A969DE">
        <w:t>по</w:t>
      </w:r>
      <w:r w:rsidR="00A969DE" w:rsidRPr="00A969DE">
        <w:rPr>
          <w:lang w:val="en-US"/>
        </w:rPr>
        <w:t>:</w:t>
      </w:r>
      <w:r w:rsidRPr="00A969DE">
        <w:rPr>
          <w:lang w:val="en-US"/>
        </w:rPr>
        <w:t xml:space="preserve"> </w:t>
      </w:r>
      <w:r>
        <w:t>данны</w:t>
      </w:r>
      <w:r w:rsidR="00A969DE">
        <w:t>е</w:t>
      </w:r>
      <w:r w:rsidRPr="00A969DE">
        <w:rPr>
          <w:lang w:val="en-US"/>
        </w:rPr>
        <w:t xml:space="preserve"> </w:t>
      </w:r>
      <w:proofErr w:type="spellStart"/>
      <w:r>
        <w:rPr>
          <w:lang w:val="en-US"/>
        </w:rPr>
        <w:t>imaa</w:t>
      </w:r>
      <w:proofErr w:type="spellEnd"/>
      <w:r w:rsidRPr="00A969DE">
        <w:rPr>
          <w:lang w:val="en-US"/>
        </w:rPr>
        <w:t xml:space="preserve"> </w:t>
      </w:r>
      <w:r>
        <w:rPr>
          <w:lang w:val="en-US"/>
        </w:rPr>
        <w:t>statistics</w:t>
      </w:r>
      <w:r w:rsidRPr="00A969DE">
        <w:rPr>
          <w:lang w:val="en-US"/>
        </w:rPr>
        <w:t xml:space="preserve">, </w:t>
      </w:r>
      <w:r>
        <w:rPr>
          <w:lang w:val="en-US"/>
        </w:rPr>
        <w:t>World</w:t>
      </w:r>
      <w:r w:rsidRPr="00A969DE">
        <w:rPr>
          <w:lang w:val="en-US"/>
        </w:rPr>
        <w:t xml:space="preserve"> </w:t>
      </w:r>
      <w:r>
        <w:rPr>
          <w:lang w:val="en-US"/>
        </w:rPr>
        <w:t>Bank</w:t>
      </w:r>
      <w:r w:rsidRPr="00A969DE">
        <w:rPr>
          <w:lang w:val="en-US"/>
        </w:rPr>
        <w:t xml:space="preserve"> </w:t>
      </w:r>
      <w:r>
        <w:rPr>
          <w:lang w:val="en-US"/>
        </w:rPr>
        <w:t>Data</w:t>
      </w:r>
    </w:p>
    <w:p w:rsidR="00D2014D" w:rsidRDefault="00530C43" w:rsidP="004D6660">
      <w:pPr>
        <w:spacing w:line="360" w:lineRule="auto"/>
        <w:ind w:firstLine="709"/>
        <w:contextualSpacing/>
        <w:jc w:val="both"/>
      </w:pPr>
      <w:r>
        <w:t>В свою очередь,</w:t>
      </w:r>
      <w:r w:rsidR="00A2089E">
        <w:t xml:space="preserve"> второй по размеру рынок </w:t>
      </w:r>
      <w:r w:rsidR="00A2089E">
        <w:rPr>
          <w:lang w:val="en-US"/>
        </w:rPr>
        <w:t>M</w:t>
      </w:r>
      <w:r w:rsidR="00A2089E" w:rsidRPr="00A2089E">
        <w:t>&amp;</w:t>
      </w:r>
      <w:r w:rsidR="00A2089E">
        <w:rPr>
          <w:lang w:val="en-US"/>
        </w:rPr>
        <w:t>A</w:t>
      </w:r>
      <w:r w:rsidR="00A2089E" w:rsidRPr="00A2089E">
        <w:t xml:space="preserve"> </w:t>
      </w:r>
      <w:r w:rsidR="00A2089E">
        <w:t>–</w:t>
      </w:r>
      <w:r>
        <w:t xml:space="preserve"> </w:t>
      </w:r>
      <w:r w:rsidR="009E179F">
        <w:t>Европа</w:t>
      </w:r>
      <w:r w:rsidR="00A2089E" w:rsidRPr="00A2089E">
        <w:t>,</w:t>
      </w:r>
      <w:r w:rsidR="009E179F">
        <w:t xml:space="preserve"> стала крупнейшим в м</w:t>
      </w:r>
      <w:r w:rsidR="009E179F">
        <w:t>и</w:t>
      </w:r>
      <w:r w:rsidR="009E179F">
        <w:t xml:space="preserve">ре </w:t>
      </w:r>
      <w:r w:rsidR="009E179F" w:rsidRPr="009E179F">
        <w:t>регионом-</w:t>
      </w:r>
      <w:r w:rsidR="009E179F" w:rsidRPr="00A2089E">
        <w:t xml:space="preserve">инвестором благодаря масштабному развороту динамики международных сделок </w:t>
      </w:r>
      <w:r w:rsidR="009E179F" w:rsidRPr="00A2089E">
        <w:rPr>
          <w:lang w:val="en-US"/>
        </w:rPr>
        <w:t>M</w:t>
      </w:r>
      <w:r w:rsidR="009E179F" w:rsidRPr="00A2089E">
        <w:t>&amp;</w:t>
      </w:r>
      <w:r w:rsidR="009E179F" w:rsidRPr="00A2089E">
        <w:rPr>
          <w:lang w:val="en-US"/>
        </w:rPr>
        <w:t>A</w:t>
      </w:r>
      <w:r w:rsidR="009E179F" w:rsidRPr="00A2089E">
        <w:t>.</w:t>
      </w:r>
      <w:r w:rsidR="00D2014D" w:rsidRPr="00A2089E">
        <w:t xml:space="preserve"> </w:t>
      </w:r>
      <w:r w:rsidR="00DA0FA0">
        <w:t>(</w:t>
      </w:r>
      <w:r w:rsidR="00D71181">
        <w:t>Приложение 5</w:t>
      </w:r>
      <w:r w:rsidR="00926934">
        <w:t xml:space="preserve">) </w:t>
      </w:r>
      <w:r w:rsidR="00A2089E">
        <w:t>Одними из наиболее весомых</w:t>
      </w:r>
      <w:r w:rsidR="00D2014D" w:rsidRPr="00A2089E">
        <w:t xml:space="preserve"> приобретений европейских компаний </w:t>
      </w:r>
      <w:r w:rsidR="004E627B">
        <w:t xml:space="preserve">в 2017г. </w:t>
      </w:r>
      <w:r w:rsidR="00A2089E">
        <w:t>стали</w:t>
      </w:r>
      <w:r w:rsidR="004E627B" w:rsidRPr="004E627B">
        <w:t xml:space="preserve"> </w:t>
      </w:r>
      <w:r w:rsidR="004E627B">
        <w:t>сделки в секторе</w:t>
      </w:r>
      <w:r w:rsidR="004E627B" w:rsidRPr="004E627B">
        <w:t xml:space="preserve"> </w:t>
      </w:r>
      <w:r w:rsidR="004E627B">
        <w:rPr>
          <w:lang w:val="en-US"/>
        </w:rPr>
        <w:t>Domestic</w:t>
      </w:r>
      <w:r w:rsidR="004E627B">
        <w:t>, а именно</w:t>
      </w:r>
      <w:r w:rsidR="00A2089E">
        <w:t>:</w:t>
      </w:r>
      <w:r w:rsidR="00D2014D" w:rsidRPr="00A2089E">
        <w:t xml:space="preserve"> покупка испанского доро</w:t>
      </w:r>
      <w:r w:rsidR="00D2014D" w:rsidRPr="00A2089E">
        <w:t>ж</w:t>
      </w:r>
      <w:r w:rsidR="00D2014D" w:rsidRPr="00A2089E">
        <w:t xml:space="preserve">ного оператора </w:t>
      </w:r>
      <w:proofErr w:type="spellStart"/>
      <w:r w:rsidR="00D2014D" w:rsidRPr="00A2089E">
        <w:t>Abertis</w:t>
      </w:r>
      <w:proofErr w:type="spellEnd"/>
      <w:r w:rsidR="00D2014D" w:rsidRPr="00A2089E">
        <w:t xml:space="preserve"> немецкой строительной компани</w:t>
      </w:r>
      <w:r w:rsidR="00A2089E">
        <w:t xml:space="preserve">ей </w:t>
      </w:r>
      <w:proofErr w:type="spellStart"/>
      <w:r w:rsidR="00A2089E">
        <w:t>Hochtief</w:t>
      </w:r>
      <w:proofErr w:type="spellEnd"/>
      <w:r w:rsidR="00A2089E">
        <w:t xml:space="preserve">, стоимость сделки оценивается в </w:t>
      </w:r>
      <w:r w:rsidR="00D2014D" w:rsidRPr="00A2089E">
        <w:t xml:space="preserve">$41,7 </w:t>
      </w:r>
      <w:proofErr w:type="gramStart"/>
      <w:r w:rsidR="00D2014D" w:rsidRPr="00A2089E">
        <w:t>млрд</w:t>
      </w:r>
      <w:proofErr w:type="gramEnd"/>
      <w:r w:rsidR="00D2014D" w:rsidRPr="00A2089E">
        <w:t>,</w:t>
      </w:r>
      <w:r w:rsidR="00A2089E">
        <w:rPr>
          <w:rStyle w:val="a6"/>
        </w:rPr>
        <w:footnoteReference w:id="43"/>
      </w:r>
      <w:r w:rsidR="00D2014D" w:rsidRPr="00A2089E">
        <w:t xml:space="preserve"> слияние итальянского производителя солнечных очков </w:t>
      </w:r>
      <w:proofErr w:type="spellStart"/>
      <w:r w:rsidR="00D2014D" w:rsidRPr="00A2089E">
        <w:t>Luxottica</w:t>
      </w:r>
      <w:proofErr w:type="spellEnd"/>
      <w:r w:rsidR="00D2014D" w:rsidRPr="00A2089E">
        <w:t xml:space="preserve"> с француз</w:t>
      </w:r>
      <w:r w:rsidR="00A2089E">
        <w:t xml:space="preserve">ской </w:t>
      </w:r>
      <w:proofErr w:type="spellStart"/>
      <w:r w:rsidR="00A2089E">
        <w:t>Essilor</w:t>
      </w:r>
      <w:proofErr w:type="spellEnd"/>
      <w:r w:rsidR="00A2089E">
        <w:t xml:space="preserve">, стоимостью </w:t>
      </w:r>
      <w:r w:rsidR="00D2014D" w:rsidRPr="00A2089E">
        <w:t>$25,6 млрд,</w:t>
      </w:r>
      <w:r w:rsidR="002B6B69">
        <w:rPr>
          <w:rStyle w:val="a6"/>
        </w:rPr>
        <w:footnoteReference w:id="44"/>
      </w:r>
      <w:r w:rsidR="00D2014D" w:rsidRPr="00A2089E">
        <w:t xml:space="preserve"> а также приобретение немецким концерном </w:t>
      </w:r>
      <w:proofErr w:type="spellStart"/>
      <w:r w:rsidR="00D2014D" w:rsidRPr="00A2089E">
        <w:t>Siemens</w:t>
      </w:r>
      <w:proofErr w:type="spellEnd"/>
      <w:r w:rsidR="00D2014D" w:rsidRPr="00A2089E">
        <w:t xml:space="preserve"> французской машиностроительной ком</w:t>
      </w:r>
      <w:r w:rsidR="00A2089E">
        <w:t xml:space="preserve">пании </w:t>
      </w:r>
      <w:proofErr w:type="spellStart"/>
      <w:r w:rsidR="00A2089E">
        <w:t>Alstom</w:t>
      </w:r>
      <w:proofErr w:type="spellEnd"/>
      <w:r w:rsidR="00A2089E">
        <w:t xml:space="preserve">, стоимостью </w:t>
      </w:r>
      <w:r w:rsidR="00D2014D" w:rsidRPr="00A2089E">
        <w:t>$8,7 млрд.</w:t>
      </w:r>
      <w:r w:rsidR="00621D8A">
        <w:rPr>
          <w:rStyle w:val="a6"/>
        </w:rPr>
        <w:footnoteReference w:id="45"/>
      </w:r>
    </w:p>
    <w:p w:rsidR="004E627B" w:rsidRPr="00E743AE" w:rsidRDefault="004E627B" w:rsidP="004D6660">
      <w:pPr>
        <w:spacing w:line="360" w:lineRule="auto"/>
        <w:ind w:firstLine="709"/>
        <w:contextualSpacing/>
        <w:jc w:val="both"/>
      </w:pPr>
      <w:r w:rsidRPr="004E627B">
        <w:t>За последние 3 месяца</w:t>
      </w:r>
      <w:r>
        <w:t xml:space="preserve"> наибольший рост </w:t>
      </w:r>
      <w:r w:rsidRPr="004E627B">
        <w:t>активности сделок слияний и поглощений по сравнению с тем же трехмесячным периодом год назад</w:t>
      </w:r>
      <w:r>
        <w:t xml:space="preserve">  наблюдался в</w:t>
      </w:r>
      <w:r w:rsidRPr="004E627B">
        <w:t xml:space="preserve"> сектор</w:t>
      </w:r>
      <w:r>
        <w:t>е</w:t>
      </w:r>
      <w:r w:rsidRPr="004E627B">
        <w:t xml:space="preserve"> </w:t>
      </w:r>
      <w:r>
        <w:t>т</w:t>
      </w:r>
      <w:r w:rsidRPr="004E627B">
        <w:t>ехнол</w:t>
      </w:r>
      <w:r w:rsidRPr="004E627B">
        <w:t>о</w:t>
      </w:r>
      <w:r w:rsidRPr="004E627B">
        <w:t>ги</w:t>
      </w:r>
      <w:r>
        <w:t xml:space="preserve">й </w:t>
      </w:r>
      <w:r w:rsidRPr="004E627B">
        <w:t>(442 против 413</w:t>
      </w:r>
      <w:r>
        <w:t xml:space="preserve"> в прошлом году</w:t>
      </w:r>
      <w:r w:rsidRPr="004E627B">
        <w:t xml:space="preserve">), </w:t>
      </w:r>
      <w:r>
        <w:t>п</w:t>
      </w:r>
      <w:r w:rsidRPr="004E627B">
        <w:t>отребительски</w:t>
      </w:r>
      <w:r>
        <w:t>х</w:t>
      </w:r>
      <w:r w:rsidRPr="004E627B">
        <w:t xml:space="preserve"> товар</w:t>
      </w:r>
      <w:r>
        <w:t>ов</w:t>
      </w:r>
      <w:r w:rsidRPr="004E627B">
        <w:t xml:space="preserve"> длительного пользования (183 про</w:t>
      </w:r>
      <w:r>
        <w:t>тив</w:t>
      </w:r>
      <w:r w:rsidRPr="004E627B">
        <w:t xml:space="preserve"> 166) и транспорт</w:t>
      </w:r>
      <w:r>
        <w:t>а</w:t>
      </w:r>
      <w:r w:rsidRPr="004E627B">
        <w:t xml:space="preserve"> (140 против 133). </w:t>
      </w:r>
      <w:r>
        <w:t xml:space="preserve">Кроме того, </w:t>
      </w:r>
      <w:r w:rsidRPr="004E627B">
        <w:t>6 секторов опубликовали п</w:t>
      </w:r>
      <w:r w:rsidRPr="004E627B">
        <w:t>о</w:t>
      </w:r>
      <w:r w:rsidRPr="004E627B">
        <w:t xml:space="preserve">ложительное движение в потоке сделок по сравнению с тем же периодом в три месяца за один год до этого, </w:t>
      </w:r>
      <w:r>
        <w:t>и показали рост</w:t>
      </w:r>
      <w:r w:rsidRPr="004E627B">
        <w:t xml:space="preserve"> на 62 сделки.</w:t>
      </w:r>
      <w:r>
        <w:rPr>
          <w:rStyle w:val="a6"/>
        </w:rPr>
        <w:footnoteReference w:id="46"/>
      </w:r>
    </w:p>
    <w:p w:rsidR="00E71A0B" w:rsidRDefault="00926934" w:rsidP="00926934">
      <w:pPr>
        <w:spacing w:line="360" w:lineRule="auto"/>
        <w:ind w:firstLine="709"/>
        <w:contextualSpacing/>
        <w:jc w:val="both"/>
      </w:pPr>
      <w:proofErr w:type="gramStart"/>
      <w:r>
        <w:t xml:space="preserve">Тем не менее, стоит учитывать </w:t>
      </w:r>
      <w:r w:rsidRPr="00926934">
        <w:t xml:space="preserve">сектора, </w:t>
      </w:r>
      <w:r>
        <w:t xml:space="preserve">в </w:t>
      </w:r>
      <w:r w:rsidRPr="00926934">
        <w:t>которы</w:t>
      </w:r>
      <w:r>
        <w:t>х</w:t>
      </w:r>
      <w:r w:rsidRPr="00926934">
        <w:t xml:space="preserve"> наблюдал</w:t>
      </w:r>
      <w:r>
        <w:t>ось</w:t>
      </w:r>
      <w:r w:rsidRPr="00926934">
        <w:t xml:space="preserve"> наибольшее сн</w:t>
      </w:r>
      <w:r w:rsidRPr="00926934">
        <w:t>и</w:t>
      </w:r>
      <w:r w:rsidRPr="00926934">
        <w:t>жение объема сде</w:t>
      </w:r>
      <w:r>
        <w:t>лок M&amp;</w:t>
      </w:r>
      <w:r w:rsidRPr="00926934">
        <w:t xml:space="preserve">A по сравнению с тем же трехмесячным периодом год назад, </w:t>
      </w:r>
      <w:r>
        <w:t xml:space="preserve">в </w:t>
      </w:r>
      <w:r>
        <w:lastRenderedPageBreak/>
        <w:t xml:space="preserve">связи с тем, что </w:t>
      </w:r>
      <w:r w:rsidRPr="00926934">
        <w:t>опубликова</w:t>
      </w:r>
      <w:r>
        <w:t>нные</w:t>
      </w:r>
      <w:r w:rsidRPr="00926934">
        <w:t xml:space="preserve"> относительные потери в потоке сделок за последние три месяца </w:t>
      </w:r>
      <w:r w:rsidR="00DA0FA0" w:rsidRPr="00926934">
        <w:t>привел</w:t>
      </w:r>
      <w:r w:rsidR="00DA0FA0">
        <w:t xml:space="preserve">и </w:t>
      </w:r>
      <w:r w:rsidR="00DA0FA0" w:rsidRPr="00926934">
        <w:t>к</w:t>
      </w:r>
      <w:r w:rsidRPr="00926934">
        <w:t xml:space="preserve"> совокупной </w:t>
      </w:r>
      <w:r>
        <w:t xml:space="preserve">отрицательный динамике, сокращение оценивается в </w:t>
      </w:r>
      <w:r w:rsidRPr="00926934">
        <w:t>466 сделок.</w:t>
      </w:r>
      <w:proofErr w:type="gramEnd"/>
      <w:r>
        <w:t xml:space="preserve"> Такой спад наблюдается в секторе</w:t>
      </w:r>
      <w:r w:rsidRPr="00926934">
        <w:t xml:space="preserve"> </w:t>
      </w:r>
      <w:r>
        <w:t>к</w:t>
      </w:r>
      <w:r w:rsidRPr="00926934">
        <w:t>оммерчески</w:t>
      </w:r>
      <w:r>
        <w:t>х</w:t>
      </w:r>
      <w:r w:rsidRPr="00926934">
        <w:t xml:space="preserve"> услуги (469 против 564</w:t>
      </w:r>
      <w:r>
        <w:t xml:space="preserve"> сделок</w:t>
      </w:r>
      <w:r w:rsidRPr="00926934">
        <w:t xml:space="preserve">), </w:t>
      </w:r>
      <w:r>
        <w:t>ритейл</w:t>
      </w:r>
      <w:r w:rsidRPr="00926934">
        <w:t xml:space="preserve"> (118 против 196) и </w:t>
      </w:r>
      <w:r>
        <w:t>в промышленности</w:t>
      </w:r>
      <w:r w:rsidRPr="00926934">
        <w:t xml:space="preserve"> (256 против 30). </w:t>
      </w:r>
    </w:p>
    <w:p w:rsidR="00BE205C" w:rsidRDefault="00BE205C" w:rsidP="00BE205C">
      <w:pPr>
        <w:spacing w:line="360" w:lineRule="auto"/>
        <w:ind w:firstLine="709"/>
        <w:contextualSpacing/>
        <w:jc w:val="right"/>
        <w:rPr>
          <w:i/>
        </w:rPr>
      </w:pPr>
      <w:r w:rsidRPr="00BE205C">
        <w:rPr>
          <w:i/>
        </w:rPr>
        <w:t>Рисунок. 2.10</w:t>
      </w:r>
    </w:p>
    <w:p w:rsidR="00BE205C" w:rsidRDefault="00BE205C" w:rsidP="00BE205C">
      <w:pPr>
        <w:spacing w:line="360" w:lineRule="auto"/>
        <w:ind w:firstLine="709"/>
        <w:contextualSpacing/>
        <w:jc w:val="center"/>
        <w:rPr>
          <w:b/>
        </w:rPr>
      </w:pPr>
      <w:r w:rsidRPr="00BE205C">
        <w:rPr>
          <w:b/>
        </w:rPr>
        <w:t>Динамика рынка слияний и поглощений Европы в 2011-2017 гг.</w:t>
      </w:r>
    </w:p>
    <w:p w:rsidR="00BE205C" w:rsidRDefault="00BE205C" w:rsidP="00BE205C">
      <w:pPr>
        <w:spacing w:line="360" w:lineRule="auto"/>
        <w:contextualSpacing/>
        <w:jc w:val="center"/>
        <w:rPr>
          <w:b/>
        </w:rPr>
      </w:pPr>
      <w:r>
        <w:rPr>
          <w:noProof/>
        </w:rPr>
        <w:drawing>
          <wp:inline distT="0" distB="0" distL="0" distR="0" wp14:anchorId="554A4F8B" wp14:editId="1EDA7711">
            <wp:extent cx="5720316" cy="2456120"/>
            <wp:effectExtent l="0" t="0" r="13970" b="20955"/>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205C" w:rsidRPr="00BE205C" w:rsidRDefault="00BE205C" w:rsidP="00BE205C">
      <w:pPr>
        <w:spacing w:line="360" w:lineRule="auto"/>
        <w:ind w:left="-426" w:firstLine="709"/>
        <w:contextualSpacing/>
        <w:jc w:val="center"/>
      </w:pPr>
      <w:r>
        <w:t>Составлено по: данные</w:t>
      </w:r>
      <w:r w:rsidRPr="000B64F0">
        <w:t xml:space="preserve"> </w:t>
      </w:r>
      <w:proofErr w:type="spellStart"/>
      <w:r>
        <w:rPr>
          <w:lang w:val="en-US"/>
        </w:rPr>
        <w:t>imaa</w:t>
      </w:r>
      <w:proofErr w:type="spellEnd"/>
      <w:r w:rsidRPr="000B64F0">
        <w:t xml:space="preserve"> </w:t>
      </w:r>
      <w:r>
        <w:rPr>
          <w:lang w:val="en-US"/>
        </w:rPr>
        <w:t>statistics</w:t>
      </w:r>
    </w:p>
    <w:p w:rsidR="00926934" w:rsidRDefault="00926934" w:rsidP="00926934">
      <w:pPr>
        <w:spacing w:line="360" w:lineRule="auto"/>
        <w:ind w:firstLine="709"/>
        <w:contextualSpacing/>
        <w:jc w:val="both"/>
      </w:pPr>
      <w:r>
        <w:t>В целом, в</w:t>
      </w:r>
      <w:r w:rsidRPr="00926934">
        <w:t xml:space="preserve"> 3</w:t>
      </w:r>
      <w:r>
        <w:t xml:space="preserve"> квартале 2017 г.</w:t>
      </w:r>
      <w:r w:rsidRPr="00926934">
        <w:t xml:space="preserve"> европейский рынок прямых инвестиций продемо</w:t>
      </w:r>
      <w:r w:rsidRPr="00926934">
        <w:t>н</w:t>
      </w:r>
      <w:r w:rsidRPr="00926934">
        <w:t xml:space="preserve">стрировал </w:t>
      </w:r>
      <w:r w:rsidR="00546FD0" w:rsidRPr="00926934">
        <w:t>снижение,</w:t>
      </w:r>
      <w:r w:rsidRPr="00926934">
        <w:t xml:space="preserve"> как </w:t>
      </w:r>
      <w:r w:rsidR="00546FD0">
        <w:t>стоимости</w:t>
      </w:r>
      <w:r w:rsidRPr="00926934">
        <w:t>, так и активности сделок. Расходы частного акци</w:t>
      </w:r>
      <w:r w:rsidRPr="00926934">
        <w:t>о</w:t>
      </w:r>
      <w:r w:rsidRPr="00926934">
        <w:t>нерн</w:t>
      </w:r>
      <w:r w:rsidR="00546FD0">
        <w:t>ого капитала сократились на 38,4%, то есть</w:t>
      </w:r>
      <w:r w:rsidRPr="00926934">
        <w:t xml:space="preserve"> более чем 41,4 млрд. </w:t>
      </w:r>
      <w:r w:rsidR="00546FD0">
        <w:t>е</w:t>
      </w:r>
      <w:r w:rsidRPr="00926934">
        <w:t>вро в совокупной стоимо</w:t>
      </w:r>
      <w:r w:rsidR="00546FD0">
        <w:t>сти. В сравнении, во 2 квартале 2017 г. расходы составляли</w:t>
      </w:r>
      <w:r w:rsidRPr="00926934">
        <w:t xml:space="preserve"> 76,7 млрд. Евро. А</w:t>
      </w:r>
      <w:r w:rsidRPr="00926934">
        <w:t>к</w:t>
      </w:r>
      <w:r w:rsidRPr="00926934">
        <w:t xml:space="preserve">тивность прямых инвестиций сократилась на 17,4%, 537 </w:t>
      </w:r>
      <w:r w:rsidR="00546FD0">
        <w:t xml:space="preserve">заключенных </w:t>
      </w:r>
      <w:r w:rsidRPr="00926934">
        <w:t>сделок в этом ква</w:t>
      </w:r>
      <w:r w:rsidRPr="00926934">
        <w:t>р</w:t>
      </w:r>
      <w:r w:rsidRPr="00926934">
        <w:t xml:space="preserve">тале против 650 сделок в </w:t>
      </w:r>
      <w:r w:rsidR="00546FD0">
        <w:t>прошлом</w:t>
      </w:r>
      <w:r w:rsidRPr="00926934">
        <w:t>.</w:t>
      </w:r>
    </w:p>
    <w:p w:rsidR="00546FD0" w:rsidRPr="00E71A0B" w:rsidRDefault="00546FD0" w:rsidP="00926934">
      <w:pPr>
        <w:spacing w:line="360" w:lineRule="auto"/>
        <w:ind w:firstLine="709"/>
        <w:contextualSpacing/>
        <w:jc w:val="both"/>
      </w:pPr>
      <w:r w:rsidRPr="00546FD0">
        <w:t xml:space="preserve">Общий объем сделок в крупнейших экономиках Европы </w:t>
      </w:r>
      <w:r>
        <w:t>показывает</w:t>
      </w:r>
      <w:r w:rsidRPr="00546FD0">
        <w:t xml:space="preserve"> понижател</w:t>
      </w:r>
      <w:r w:rsidRPr="00546FD0">
        <w:t>ь</w:t>
      </w:r>
      <w:r w:rsidRPr="00546FD0">
        <w:t>ну</w:t>
      </w:r>
      <w:r>
        <w:t>ю</w:t>
      </w:r>
      <w:r w:rsidRPr="00546FD0">
        <w:t xml:space="preserve"> тенденци</w:t>
      </w:r>
      <w:r>
        <w:t>ю</w:t>
      </w:r>
      <w:r w:rsidRPr="00546FD0">
        <w:t xml:space="preserve">, </w:t>
      </w:r>
      <w:r>
        <w:t>упав</w:t>
      </w:r>
      <w:r w:rsidRPr="00546FD0">
        <w:t xml:space="preserve"> на 10,1%</w:t>
      </w:r>
      <w:r>
        <w:t xml:space="preserve"> в 3м квартале</w:t>
      </w:r>
      <w:r w:rsidRPr="00546FD0">
        <w:t xml:space="preserve">. На рынках Германии и Великобритании произошло снижение на 16,1% и 11,2% соответственно. Рынок слияний и поглощений Франции также снизился на 2,4%, из которых 647 сделок в </w:t>
      </w:r>
      <w:r>
        <w:t>3 квартале составляют приме</w:t>
      </w:r>
      <w:r>
        <w:t>р</w:t>
      </w:r>
      <w:r>
        <w:t>но равную величину</w:t>
      </w:r>
      <w:r w:rsidRPr="00546FD0">
        <w:t xml:space="preserve"> по сравнению с </w:t>
      </w:r>
      <w:r>
        <w:t>показателем</w:t>
      </w:r>
      <w:r w:rsidRPr="00546FD0">
        <w:t xml:space="preserve"> предыдуще</w:t>
      </w:r>
      <w:r>
        <w:t>го</w:t>
      </w:r>
      <w:r w:rsidRPr="00546FD0">
        <w:t xml:space="preserve"> квартал</w:t>
      </w:r>
      <w:r>
        <w:t>а (663 сделки)</w:t>
      </w:r>
      <w:r w:rsidRPr="00546FD0">
        <w:t>.</w:t>
      </w:r>
      <w:r w:rsidR="00DF3D05">
        <w:rPr>
          <w:rStyle w:val="a6"/>
        </w:rPr>
        <w:footnoteReference w:id="47"/>
      </w:r>
    </w:p>
    <w:p w:rsidR="00154BA6" w:rsidRDefault="00AE710C" w:rsidP="0015217A">
      <w:pPr>
        <w:spacing w:line="360" w:lineRule="auto"/>
        <w:ind w:firstLine="709"/>
        <w:contextualSpacing/>
        <w:jc w:val="both"/>
      </w:pPr>
      <w:r>
        <w:t xml:space="preserve">За последние несколько лет произошел существенный рост </w:t>
      </w:r>
      <w:r w:rsidR="00154BA6">
        <w:t xml:space="preserve">сектора </w:t>
      </w:r>
      <w:r w:rsidR="00154BA6">
        <w:rPr>
          <w:lang w:val="en-US"/>
        </w:rPr>
        <w:t>Cross</w:t>
      </w:r>
      <w:r w:rsidR="00154BA6" w:rsidRPr="00154BA6">
        <w:t>-</w:t>
      </w:r>
      <w:r w:rsidR="00154BA6">
        <w:rPr>
          <w:lang w:val="en-US"/>
        </w:rPr>
        <w:t>border</w:t>
      </w:r>
      <w:r w:rsidR="00154BA6">
        <w:t xml:space="preserve"> на рынке Европы. </w:t>
      </w:r>
      <w:r w:rsidR="00BE205C">
        <w:t xml:space="preserve">(Рис. 2.11) </w:t>
      </w:r>
      <w:r w:rsidR="00154BA6">
        <w:t xml:space="preserve">Общая стоимость сделок как </w:t>
      </w:r>
      <w:r w:rsidR="00154BA6">
        <w:rPr>
          <w:lang w:val="en-US"/>
        </w:rPr>
        <w:t>inbound</w:t>
      </w:r>
      <w:r w:rsidR="00154BA6">
        <w:t>,</w:t>
      </w:r>
      <w:r w:rsidR="00154BA6" w:rsidRPr="00154BA6">
        <w:t xml:space="preserve"> </w:t>
      </w:r>
      <w:r w:rsidR="00154BA6">
        <w:t xml:space="preserve">так и </w:t>
      </w:r>
      <w:r w:rsidR="00154BA6">
        <w:rPr>
          <w:lang w:val="en-US"/>
        </w:rPr>
        <w:t>outbound</w:t>
      </w:r>
      <w:r w:rsidR="00154BA6" w:rsidRPr="00154BA6">
        <w:t xml:space="preserve"> </w:t>
      </w:r>
      <w:r w:rsidR="00154BA6">
        <w:t xml:space="preserve">остается примерно на одном уровне. </w:t>
      </w:r>
      <w:r w:rsidR="00002276">
        <w:t>Экспортные</w:t>
      </w:r>
      <w:r w:rsidR="00154BA6">
        <w:t xml:space="preserve"> потоки в 2016 г. в страны Северной Америки с</w:t>
      </w:r>
      <w:r w:rsidR="00154BA6">
        <w:t>о</w:t>
      </w:r>
      <w:r w:rsidR="00154BA6">
        <w:t xml:space="preserve">ставили 819.7 </w:t>
      </w:r>
      <w:r w:rsidR="00154BA6" w:rsidRPr="00154BA6">
        <w:t>$</w:t>
      </w:r>
      <w:r w:rsidR="00154BA6">
        <w:t xml:space="preserve"> млрд., в то время как </w:t>
      </w:r>
      <w:proofErr w:type="gramStart"/>
      <w:r w:rsidR="00154BA6">
        <w:t>как</w:t>
      </w:r>
      <w:proofErr w:type="gramEnd"/>
      <w:r w:rsidR="00154BA6">
        <w:t xml:space="preserve"> количество сделок превысило 7 400. Вторым крупнейшим </w:t>
      </w:r>
      <w:r w:rsidR="00154BA6" w:rsidRPr="00154BA6">
        <w:t xml:space="preserve">направлением </w:t>
      </w:r>
      <w:r w:rsidR="00002276">
        <w:t xml:space="preserve">притекающих </w:t>
      </w:r>
      <w:r w:rsidR="00154BA6" w:rsidRPr="00154BA6">
        <w:t xml:space="preserve">потоков ПИИ стали страны Азии, стоимость </w:t>
      </w:r>
      <w:r w:rsidR="00154BA6" w:rsidRPr="00154BA6">
        <w:lastRenderedPageBreak/>
        <w:t>потоков составила 271.2 $ млрд. при количестве в 2</w:t>
      </w:r>
      <w:r w:rsidR="0015217A">
        <w:t>.</w:t>
      </w:r>
      <w:r w:rsidR="00154BA6" w:rsidRPr="00154BA6">
        <w:t xml:space="preserve">333 сделки. </w:t>
      </w:r>
      <w:r w:rsidR="00154BA6">
        <w:t>Третьим крупнейшем направлением стали страны Латинской Америки (</w:t>
      </w:r>
      <w:r w:rsidR="00154BA6" w:rsidRPr="00154BA6">
        <w:t xml:space="preserve">226 </w:t>
      </w:r>
      <w:r w:rsidR="00154BA6">
        <w:t xml:space="preserve">сделок </w:t>
      </w:r>
      <w:r w:rsidR="00002276">
        <w:t>общей</w:t>
      </w:r>
      <w:r w:rsidR="00154BA6">
        <w:t xml:space="preserve"> </w:t>
      </w:r>
      <w:r w:rsidR="00002276">
        <w:t>стоимостью</w:t>
      </w:r>
      <w:r w:rsidR="00154BA6">
        <w:t xml:space="preserve"> в</w:t>
      </w:r>
      <w:r w:rsidR="00154BA6" w:rsidRPr="00154BA6">
        <w:t xml:space="preserve"> 1</w:t>
      </w:r>
      <w:r w:rsidR="00154BA6" w:rsidRPr="00002276">
        <w:t xml:space="preserve">7.9 $ </w:t>
      </w:r>
      <w:proofErr w:type="gramStart"/>
      <w:r w:rsidR="00154BA6" w:rsidRPr="00002276">
        <w:t>млрд</w:t>
      </w:r>
      <w:proofErr w:type="gramEnd"/>
      <w:r w:rsidR="00154BA6" w:rsidRPr="00002276">
        <w:t xml:space="preserve">). Для </w:t>
      </w:r>
      <w:r w:rsidR="00002276" w:rsidRPr="00002276">
        <w:t>импортных</w:t>
      </w:r>
      <w:r w:rsidR="00154BA6" w:rsidRPr="00002276">
        <w:t xml:space="preserve"> потоков так же </w:t>
      </w:r>
      <w:r w:rsidR="00002276" w:rsidRPr="00002276">
        <w:t>ключевым направлением стала Северная Америка (4,110 с</w:t>
      </w:r>
      <w:r w:rsidR="0015217A">
        <w:t>делок  стоимостью 786.3 $ млрд.), на втором месте страны Азии (</w:t>
      </w:r>
      <w:r w:rsidR="0015217A" w:rsidRPr="0015217A">
        <w:t xml:space="preserve">2,366 </w:t>
      </w:r>
      <w:r w:rsidR="0015217A">
        <w:t>сделок ст</w:t>
      </w:r>
      <w:r w:rsidR="0015217A">
        <w:t>о</w:t>
      </w:r>
      <w:r w:rsidR="0015217A">
        <w:t xml:space="preserve">имостью </w:t>
      </w:r>
      <w:r w:rsidR="0015217A" w:rsidRPr="0015217A">
        <w:t>144.3</w:t>
      </w:r>
      <w:r w:rsidR="0015217A">
        <w:t xml:space="preserve"> </w:t>
      </w:r>
      <w:r w:rsidR="0015217A" w:rsidRPr="00154BA6">
        <w:t>$</w:t>
      </w:r>
      <w:r w:rsidR="0015217A">
        <w:t xml:space="preserve"> млрд.), а так же страны Латинской Америки (</w:t>
      </w:r>
      <w:r w:rsidR="0015217A" w:rsidRPr="0015217A">
        <w:t xml:space="preserve">1,395 </w:t>
      </w:r>
      <w:r w:rsidR="0015217A">
        <w:t xml:space="preserve">сделок суммой </w:t>
      </w:r>
      <w:r w:rsidR="0015217A" w:rsidRPr="0015217A">
        <w:t>114.6</w:t>
      </w:r>
      <w:r w:rsidR="0015217A">
        <w:t xml:space="preserve"> </w:t>
      </w:r>
      <w:r w:rsidR="0015217A" w:rsidRPr="00154BA6">
        <w:t>$</w:t>
      </w:r>
      <w:r w:rsidR="0015217A">
        <w:t xml:space="preserve"> млрд.)</w:t>
      </w:r>
    </w:p>
    <w:p w:rsidR="00BE205C" w:rsidRDefault="00BE205C" w:rsidP="00BE205C">
      <w:pPr>
        <w:spacing w:line="360" w:lineRule="auto"/>
        <w:ind w:firstLine="709"/>
        <w:contextualSpacing/>
        <w:jc w:val="right"/>
        <w:rPr>
          <w:i/>
        </w:rPr>
      </w:pPr>
      <w:r w:rsidRPr="00BE205C">
        <w:rPr>
          <w:i/>
        </w:rPr>
        <w:t>Рисунок 2.11</w:t>
      </w:r>
    </w:p>
    <w:p w:rsidR="00BE205C" w:rsidRDefault="00BE205C" w:rsidP="00BE205C">
      <w:pPr>
        <w:spacing w:line="360" w:lineRule="auto"/>
        <w:ind w:firstLine="709"/>
        <w:contextualSpacing/>
        <w:jc w:val="center"/>
        <w:rPr>
          <w:b/>
          <w:color w:val="282828"/>
          <w:shd w:val="clear" w:color="auto" w:fill="FFFFFF"/>
        </w:rPr>
      </w:pPr>
      <w:r w:rsidRPr="00BE205C">
        <w:rPr>
          <w:b/>
          <w:color w:val="282828"/>
          <w:shd w:val="clear" w:color="auto" w:fill="FFFFFF"/>
        </w:rPr>
        <w:t xml:space="preserve">Динамика сегментов рынка </w:t>
      </w:r>
      <w:r w:rsidRPr="00BE205C">
        <w:rPr>
          <w:b/>
          <w:color w:val="282828"/>
          <w:shd w:val="clear" w:color="auto" w:fill="FFFFFF"/>
          <w:lang w:val="en-US"/>
        </w:rPr>
        <w:t>M</w:t>
      </w:r>
      <w:r w:rsidRPr="00BE205C">
        <w:rPr>
          <w:b/>
          <w:color w:val="282828"/>
          <w:shd w:val="clear" w:color="auto" w:fill="FFFFFF"/>
        </w:rPr>
        <w:t>&amp;</w:t>
      </w:r>
      <w:r w:rsidRPr="00BE205C">
        <w:rPr>
          <w:b/>
          <w:color w:val="282828"/>
          <w:shd w:val="clear" w:color="auto" w:fill="FFFFFF"/>
          <w:lang w:val="en-US"/>
        </w:rPr>
        <w:t>A</w:t>
      </w:r>
      <w:r w:rsidRPr="00BE205C">
        <w:rPr>
          <w:b/>
          <w:color w:val="282828"/>
          <w:shd w:val="clear" w:color="auto" w:fill="FFFFFF"/>
        </w:rPr>
        <w:t xml:space="preserve"> Европы в 2011-2016 гг.</w:t>
      </w:r>
    </w:p>
    <w:p w:rsidR="00BE205C" w:rsidRDefault="00BE205C" w:rsidP="00BE205C">
      <w:pPr>
        <w:spacing w:line="360" w:lineRule="auto"/>
        <w:ind w:firstLine="709"/>
        <w:contextualSpacing/>
        <w:jc w:val="center"/>
        <w:rPr>
          <w:b/>
        </w:rPr>
      </w:pPr>
      <w:r>
        <w:rPr>
          <w:noProof/>
        </w:rPr>
        <w:drawing>
          <wp:inline distT="0" distB="0" distL="0" distR="0" wp14:anchorId="3E168C69" wp14:editId="02156BB2">
            <wp:extent cx="4791075" cy="1762125"/>
            <wp:effectExtent l="0" t="0" r="9525" b="9525"/>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E205C" w:rsidRPr="00BE205C" w:rsidRDefault="00BE205C" w:rsidP="00BE205C">
      <w:pPr>
        <w:spacing w:line="360" w:lineRule="auto"/>
        <w:ind w:left="-426" w:firstLine="709"/>
        <w:contextualSpacing/>
        <w:jc w:val="center"/>
      </w:pPr>
      <w:r>
        <w:t>Составлено по: данные</w:t>
      </w:r>
      <w:r w:rsidRPr="000B64F0">
        <w:t xml:space="preserve"> </w:t>
      </w:r>
      <w:proofErr w:type="spellStart"/>
      <w:r>
        <w:rPr>
          <w:lang w:val="en-US"/>
        </w:rPr>
        <w:t>imaa</w:t>
      </w:r>
      <w:proofErr w:type="spellEnd"/>
      <w:r w:rsidRPr="000B64F0">
        <w:t xml:space="preserve"> </w:t>
      </w:r>
      <w:r>
        <w:rPr>
          <w:lang w:val="en-US"/>
        </w:rPr>
        <w:t>statistics</w:t>
      </w:r>
    </w:p>
    <w:p w:rsidR="002E72A6" w:rsidRPr="00DD4ED8" w:rsidRDefault="000F7BB5" w:rsidP="00DD4ED8">
      <w:pPr>
        <w:spacing w:line="360" w:lineRule="auto"/>
        <w:ind w:firstLine="709"/>
        <w:contextualSpacing/>
        <w:jc w:val="both"/>
      </w:pPr>
      <w:r>
        <w:t xml:space="preserve">Выявить долю сектора </w:t>
      </w:r>
      <w:r>
        <w:rPr>
          <w:lang w:val="en-US"/>
        </w:rPr>
        <w:t>Domestic</w:t>
      </w:r>
      <w:r w:rsidRPr="000F7BB5">
        <w:t xml:space="preserve"> </w:t>
      </w:r>
      <w:r>
        <w:t>в Евросоюзе крайне сложно, так как данные пре</w:t>
      </w:r>
      <w:r>
        <w:t>д</w:t>
      </w:r>
      <w:r>
        <w:t>ставляются отдельно по странам, и в основном упоминаются крупные сделки, как напр</w:t>
      </w:r>
      <w:r>
        <w:t>и</w:t>
      </w:r>
      <w:r>
        <w:t>мер</w:t>
      </w:r>
      <w:r w:rsidRPr="000F7BB5">
        <w:t xml:space="preserve"> покупка </w:t>
      </w:r>
      <w:proofErr w:type="spellStart"/>
      <w:r w:rsidRPr="000F7BB5">
        <w:t>Bayer</w:t>
      </w:r>
      <w:proofErr w:type="spellEnd"/>
      <w:r w:rsidRPr="000F7BB5">
        <w:t xml:space="preserve"> AG </w:t>
      </w:r>
      <w:r>
        <w:t>компании</w:t>
      </w:r>
      <w:r w:rsidRPr="000F7BB5">
        <w:t xml:space="preserve"> </w:t>
      </w:r>
      <w:proofErr w:type="spellStart"/>
      <w:r w:rsidRPr="000F7BB5">
        <w:t>Monsanto</w:t>
      </w:r>
      <w:proofErr w:type="spellEnd"/>
      <w:r w:rsidRPr="000F7BB5">
        <w:t xml:space="preserve"> </w:t>
      </w:r>
      <w:proofErr w:type="spellStart"/>
      <w:r w:rsidRPr="000F7BB5">
        <w:t>Co</w:t>
      </w:r>
      <w:proofErr w:type="spellEnd"/>
      <w:r>
        <w:t xml:space="preserve">, занимающейся </w:t>
      </w:r>
      <w:r w:rsidRPr="000F7BB5">
        <w:t>переработк</w:t>
      </w:r>
      <w:r>
        <w:t>ой в</w:t>
      </w:r>
      <w:r w:rsidRPr="000F7BB5">
        <w:t xml:space="preserve"> агрохим</w:t>
      </w:r>
      <w:r w:rsidRPr="000F7BB5">
        <w:t>и</w:t>
      </w:r>
      <w:r w:rsidRPr="000F7BB5">
        <w:t>ческой отрасли.</w:t>
      </w:r>
      <w:r>
        <w:t xml:space="preserve"> </w:t>
      </w:r>
      <w:r w:rsidR="00DD4ED8">
        <w:t xml:space="preserve">Тем не менее, внутренне законодательство Евросоюза, регулирующее проведение сделок довольно жесткое, в </w:t>
      </w:r>
      <w:proofErr w:type="gramStart"/>
      <w:r w:rsidR="00DD4ED8">
        <w:t>связи</w:t>
      </w:r>
      <w:proofErr w:type="gramEnd"/>
      <w:r w:rsidR="00DD4ED8">
        <w:t xml:space="preserve"> с чем </w:t>
      </w:r>
      <w:proofErr w:type="spellStart"/>
      <w:r w:rsidR="00DD4ED8" w:rsidRPr="00DD4ED8">
        <w:t>Bayer</w:t>
      </w:r>
      <w:proofErr w:type="spellEnd"/>
      <w:r w:rsidR="00DD4ED8" w:rsidRPr="00DD4ED8">
        <w:t xml:space="preserve"> AG обратилась к Европейскому союзу с просьбой одобрить комбинацию в размере $ 66 млрд. </w:t>
      </w:r>
      <w:r w:rsidR="00DD4ED8">
        <w:t xml:space="preserve">Главный </w:t>
      </w:r>
      <w:r w:rsidR="00DD4ED8" w:rsidRPr="00DD4ED8">
        <w:t xml:space="preserve">представитель ЕС по слияниям </w:t>
      </w:r>
      <w:r w:rsidR="00DD4ED8">
        <w:t>заявил, что основным условиям является недопущение возникновения 3-4 глобальных игроков. Поэтому дальнейшее развитие сделки откладывается еще на 4 мес</w:t>
      </w:r>
      <w:r w:rsidR="00DD4ED8">
        <w:t>я</w:t>
      </w:r>
      <w:r w:rsidR="00DD4ED8">
        <w:t>ца.</w:t>
      </w:r>
      <w:r w:rsidR="00DD4ED8">
        <w:rPr>
          <w:rStyle w:val="a6"/>
        </w:rPr>
        <w:footnoteReference w:id="48"/>
      </w:r>
    </w:p>
    <w:p w:rsidR="008D6739" w:rsidRDefault="008C6F37" w:rsidP="008D6739">
      <w:pPr>
        <w:spacing w:line="360" w:lineRule="auto"/>
        <w:ind w:firstLine="709"/>
        <w:contextualSpacing/>
        <w:jc w:val="both"/>
      </w:pPr>
      <w:r w:rsidRPr="008C6F37">
        <w:t>В Европейском союзе предусмотрено два способа слияний, закрепленных в Дире</w:t>
      </w:r>
      <w:r w:rsidRPr="008C6F37">
        <w:t>к</w:t>
      </w:r>
      <w:r>
        <w:t xml:space="preserve">тиве </w:t>
      </w:r>
      <w:r w:rsidRPr="008C6F37">
        <w:t>Европейского Парламента и Совета Европейского Союза 2011/35/ЕС от 5 апреля 2011 г.: слияние</w:t>
      </w:r>
      <w:r>
        <w:t xml:space="preserve"> </w:t>
      </w:r>
      <w:r w:rsidRPr="008C6F37">
        <w:t>путем поглощения и слияние путем создания новой компа</w:t>
      </w:r>
      <w:r w:rsidR="003B0E07">
        <w:t>нии</w:t>
      </w:r>
      <w:r>
        <w:t xml:space="preserve">. </w:t>
      </w:r>
      <w:r w:rsidR="00A628D0" w:rsidRPr="00A628D0">
        <w:t xml:space="preserve">Каждая из Директив о слияниях и поглощениях предусматривает наличие органов, осуществляющих </w:t>
      </w:r>
      <w:proofErr w:type="gramStart"/>
      <w:r w:rsidR="00A628D0" w:rsidRPr="00A628D0">
        <w:t>контроль за</w:t>
      </w:r>
      <w:proofErr w:type="gramEnd"/>
      <w:r w:rsidR="00A628D0" w:rsidRPr="00A628D0">
        <w:t xml:space="preserve"> такими сделками, описывает их основные функции, более детально закрепл</w:t>
      </w:r>
      <w:r w:rsidR="00A628D0" w:rsidRPr="00A628D0">
        <w:t>я</w:t>
      </w:r>
      <w:r w:rsidR="00A628D0" w:rsidRPr="00A628D0">
        <w:t xml:space="preserve">емые в национальных законодательствах. Помимо </w:t>
      </w:r>
      <w:proofErr w:type="gramStart"/>
      <w:r w:rsidR="00A628D0" w:rsidRPr="00A628D0">
        <w:t>контроля за</w:t>
      </w:r>
      <w:proofErr w:type="gramEnd"/>
      <w:r w:rsidR="00A628D0" w:rsidRPr="00A628D0">
        <w:t xml:space="preserve"> законностью, осуществл</w:t>
      </w:r>
      <w:r w:rsidR="00A628D0" w:rsidRPr="00A628D0">
        <w:t>я</w:t>
      </w:r>
      <w:r w:rsidR="00A628D0" w:rsidRPr="00A628D0">
        <w:t xml:space="preserve">емого органами государств-членов, важным в данной сфере является антимонопольное регулирование ЕС, </w:t>
      </w:r>
      <w:r w:rsidR="00A628D0">
        <w:t>так как</w:t>
      </w:r>
      <w:r w:rsidR="00A628D0" w:rsidRPr="00A628D0">
        <w:t xml:space="preserve"> конкуренция является важным элементом для функциониров</w:t>
      </w:r>
      <w:r w:rsidR="00A628D0" w:rsidRPr="00A628D0">
        <w:t>а</w:t>
      </w:r>
      <w:r w:rsidR="00A628D0" w:rsidRPr="00A628D0">
        <w:lastRenderedPageBreak/>
        <w:t>ния рынка. Основные положения, регулирующие конкуренцию, содержатся в Договоре о ЕС.</w:t>
      </w:r>
      <w:r w:rsidR="008D6739">
        <w:rPr>
          <w:rStyle w:val="a6"/>
        </w:rPr>
        <w:footnoteReference w:id="49"/>
      </w:r>
    </w:p>
    <w:p w:rsidR="00DB4CC6" w:rsidRDefault="008D6739" w:rsidP="008D6739">
      <w:pPr>
        <w:spacing w:line="360" w:lineRule="auto"/>
        <w:ind w:firstLine="709"/>
        <w:contextualSpacing/>
        <w:jc w:val="both"/>
      </w:pPr>
      <w:r w:rsidRPr="008D6739">
        <w:t xml:space="preserve">Несмотря на отсутствие прямого упоминания </w:t>
      </w:r>
      <w:proofErr w:type="gramStart"/>
      <w:r w:rsidRPr="008D6739">
        <w:t>слияний</w:t>
      </w:r>
      <w:proofErr w:type="gramEnd"/>
      <w:r w:rsidRPr="008D6739">
        <w:t xml:space="preserve"> и пог</w:t>
      </w:r>
      <w:r>
        <w:t xml:space="preserve">лощений в положениях Договора о </w:t>
      </w:r>
      <w:r w:rsidRPr="008D6739">
        <w:t>ЕС, посвященных конкурентному регулированию, они применяются европе</w:t>
      </w:r>
      <w:r w:rsidRPr="008D6739">
        <w:t>й</w:t>
      </w:r>
      <w:r w:rsidRPr="008D6739">
        <w:t>ским судом к таким</w:t>
      </w:r>
      <w:r>
        <w:t xml:space="preserve"> </w:t>
      </w:r>
      <w:r w:rsidRPr="008D6739">
        <w:t>сделкам</w:t>
      </w:r>
      <w:r>
        <w:t xml:space="preserve">. </w:t>
      </w:r>
      <w:r w:rsidR="00A628D0">
        <w:t xml:space="preserve">Кроме того, </w:t>
      </w:r>
      <w:r w:rsidR="00DB4CC6" w:rsidRPr="00DB4CC6">
        <w:t xml:space="preserve">Регламент </w:t>
      </w:r>
      <w:r w:rsidR="0049057F">
        <w:t>Совета ЕС указывает на то, что сде</w:t>
      </w:r>
      <w:r w:rsidR="0049057F">
        <w:t>л</w:t>
      </w:r>
      <w:r w:rsidR="0049057F">
        <w:t xml:space="preserve">ки </w:t>
      </w:r>
      <w:r w:rsidR="0049057F">
        <w:rPr>
          <w:lang w:val="en-US"/>
        </w:rPr>
        <w:t>M</w:t>
      </w:r>
      <w:r w:rsidR="0049057F" w:rsidRPr="002D3256">
        <w:t>&amp;</w:t>
      </w:r>
      <w:r w:rsidR="0049057F">
        <w:rPr>
          <w:lang w:val="en-US"/>
        </w:rPr>
        <w:t>A</w:t>
      </w:r>
      <w:r w:rsidR="0049057F" w:rsidRPr="00DB4CC6">
        <w:t xml:space="preserve"> </w:t>
      </w:r>
      <w:r w:rsidR="00DB4CC6" w:rsidRPr="00DB4CC6">
        <w:t xml:space="preserve">могут </w:t>
      </w:r>
      <w:r w:rsidR="0049057F">
        <w:t>производиться в рамках</w:t>
      </w:r>
      <w:r w:rsidR="00DB4CC6" w:rsidRPr="00DB4CC6">
        <w:t xml:space="preserve"> концен</w:t>
      </w:r>
      <w:r w:rsidR="00DB4CC6">
        <w:t xml:space="preserve">трации, </w:t>
      </w:r>
      <w:r w:rsidR="0049057F">
        <w:t xml:space="preserve">а </w:t>
      </w:r>
      <w:r w:rsidR="00DB4CC6" w:rsidRPr="00DB4CC6">
        <w:t xml:space="preserve">концентрация </w:t>
      </w:r>
      <w:r w:rsidR="003F4FBB">
        <w:t>может происходить</w:t>
      </w:r>
      <w:r w:rsidR="0049057F">
        <w:t xml:space="preserve"> до тех пор, пока не перераспредел</w:t>
      </w:r>
      <w:r w:rsidR="003F4FBB">
        <w:t>ятся</w:t>
      </w:r>
      <w:r w:rsidR="0049057F">
        <w:t xml:space="preserve"> </w:t>
      </w:r>
      <w:r w:rsidR="00DB4CC6" w:rsidRPr="00DB4CC6">
        <w:t>конкурентоспособност</w:t>
      </w:r>
      <w:r w:rsidR="003F4FBB">
        <w:t>ь</w:t>
      </w:r>
      <w:r w:rsidR="0049057F">
        <w:t xml:space="preserve"> и</w:t>
      </w:r>
      <w:r w:rsidR="00DB4CC6" w:rsidRPr="00DB4CC6">
        <w:t xml:space="preserve"> у</w:t>
      </w:r>
      <w:r w:rsidR="0049057F">
        <w:t>худш</w:t>
      </w:r>
      <w:r w:rsidR="003F4FBB">
        <w:t xml:space="preserve">аются </w:t>
      </w:r>
      <w:r w:rsidR="003F4FBB" w:rsidRPr="00DB4CC6">
        <w:t>услов</w:t>
      </w:r>
      <w:r w:rsidR="003F4FBB">
        <w:t>ия</w:t>
      </w:r>
      <w:r w:rsidR="00DB4CC6">
        <w:t xml:space="preserve"> </w:t>
      </w:r>
      <w:r w:rsidR="00DB4CC6" w:rsidRPr="00DB4CC6">
        <w:t>р</w:t>
      </w:r>
      <w:r w:rsidR="00DB4CC6" w:rsidRPr="00DB4CC6">
        <w:t>о</w:t>
      </w:r>
      <w:r w:rsidR="00DB4CC6" w:rsidRPr="00DB4CC6">
        <w:t>ста уровня жизни.</w:t>
      </w:r>
      <w:r>
        <w:t xml:space="preserve"> </w:t>
      </w:r>
      <w:r w:rsidRPr="008D6739">
        <w:t>Регламент концентраци</w:t>
      </w:r>
      <w:r>
        <w:t xml:space="preserve">и указывает, что признаки </w:t>
      </w:r>
      <w:r w:rsidRPr="008D6739">
        <w:t>проявля</w:t>
      </w:r>
      <w:r>
        <w:t>ю</w:t>
      </w:r>
      <w:r w:rsidRPr="008D6739">
        <w:t>тся при и</w:t>
      </w:r>
      <w:r w:rsidRPr="008D6739">
        <w:t>з</w:t>
      </w:r>
      <w:r w:rsidRPr="008D6739">
        <w:t>мене</w:t>
      </w:r>
      <w:r>
        <w:t xml:space="preserve">нии контроля в результате </w:t>
      </w:r>
      <w:r w:rsidRPr="008D6739">
        <w:t>слияния ранее независимых компаний,</w:t>
      </w:r>
      <w:r>
        <w:t xml:space="preserve"> при</w:t>
      </w:r>
      <w:r w:rsidRPr="008D6739">
        <w:t xml:space="preserve"> приобретени</w:t>
      </w:r>
      <w:r>
        <w:t>и</w:t>
      </w:r>
      <w:r w:rsidRPr="008D6739">
        <w:t xml:space="preserve"> контроля </w:t>
      </w:r>
      <w:proofErr w:type="gramStart"/>
      <w:r w:rsidRPr="008D6739">
        <w:t>над</w:t>
      </w:r>
      <w:proofErr w:type="gramEnd"/>
      <w:r w:rsidRPr="008D6739">
        <w:t xml:space="preserve"> компаний, уже контролирующей</w:t>
      </w:r>
      <w:r>
        <w:t xml:space="preserve"> </w:t>
      </w:r>
      <w:r w:rsidRPr="008D6739">
        <w:t xml:space="preserve">одну или более компаний. </w:t>
      </w:r>
      <w:r>
        <w:t>Следовательно</w:t>
      </w:r>
      <w:r w:rsidRPr="008D6739">
        <w:t>, главным критерием является перераспределение контроля</w:t>
      </w:r>
      <w:r>
        <w:t xml:space="preserve"> </w:t>
      </w:r>
      <w:r w:rsidRPr="008D6739">
        <w:t>любыми способами.</w:t>
      </w:r>
    </w:p>
    <w:p w:rsidR="00DD4ED8" w:rsidRDefault="00116DC4" w:rsidP="00116DC4">
      <w:pPr>
        <w:spacing w:line="360" w:lineRule="auto"/>
        <w:ind w:firstLine="709"/>
        <w:contextualSpacing/>
        <w:jc w:val="both"/>
      </w:pPr>
      <w:r w:rsidRPr="00116DC4">
        <w:t xml:space="preserve">До проведения слияний и поглощений участники сделки должны уведомить </w:t>
      </w:r>
      <w:r>
        <w:t>Евр</w:t>
      </w:r>
      <w:r>
        <w:t>о</w:t>
      </w:r>
      <w:r>
        <w:t xml:space="preserve">пейскую </w:t>
      </w:r>
      <w:r w:rsidRPr="00116DC4">
        <w:t>Комиссию.</w:t>
      </w:r>
      <w:r>
        <w:t xml:space="preserve"> </w:t>
      </w:r>
      <w:r w:rsidRPr="00116DC4">
        <w:t>Комиссия вправе проводить расследования и запрашивать необход</w:t>
      </w:r>
      <w:r w:rsidRPr="00116DC4">
        <w:t>и</w:t>
      </w:r>
      <w:r w:rsidRPr="00116DC4">
        <w:t>мую информацию у</w:t>
      </w:r>
      <w:r>
        <w:t xml:space="preserve"> </w:t>
      </w:r>
      <w:r w:rsidRPr="00116DC4">
        <w:t>заинтересованных лиц самостоятельно и с помощью национальных органов, налагать штрафы,</w:t>
      </w:r>
      <w:r>
        <w:t xml:space="preserve"> </w:t>
      </w:r>
      <w:r w:rsidRPr="00116DC4">
        <w:t>проводить обыски. При необходимости проведения проверки на территории государства-члена, это</w:t>
      </w:r>
      <w:r>
        <w:t xml:space="preserve"> </w:t>
      </w:r>
      <w:r w:rsidRPr="00116DC4">
        <w:t>может быть поручено национальному органу</w:t>
      </w:r>
      <w:r>
        <w:t>.</w:t>
      </w:r>
      <w:r w:rsidR="00AD2488">
        <w:rPr>
          <w:rStyle w:val="a6"/>
        </w:rPr>
        <w:footnoteReference w:id="50"/>
      </w:r>
      <w:r>
        <w:t xml:space="preserve"> </w:t>
      </w:r>
    </w:p>
    <w:p w:rsidR="00116DC4" w:rsidRDefault="00DD4ED8" w:rsidP="00116DC4">
      <w:pPr>
        <w:spacing w:line="360" w:lineRule="auto"/>
        <w:ind w:firstLine="709"/>
        <w:contextualSpacing/>
        <w:jc w:val="both"/>
      </w:pPr>
      <w:r>
        <w:t>В целом, пристальное наблюдение за европейским рынком слияний и поглощений началось в 80х, на которые пришлас</w:t>
      </w:r>
      <w:r w:rsidR="00DA0FA0">
        <w:t>ь 4 волна активности. (Рис</w:t>
      </w:r>
      <w:r w:rsidR="00C21520">
        <w:t>.</w:t>
      </w:r>
      <w:r>
        <w:t xml:space="preserve"> 2.12) Как и на рынке США, основными детерминантами выступают ВВП, капитализация фондовых рынков, а так же законодательство, которое начало формироваться в начале 90х.</w:t>
      </w:r>
    </w:p>
    <w:p w:rsidR="00C21520" w:rsidRDefault="00C21520" w:rsidP="00C21520">
      <w:pPr>
        <w:spacing w:line="360" w:lineRule="auto"/>
        <w:ind w:firstLine="709"/>
        <w:contextualSpacing/>
        <w:jc w:val="right"/>
        <w:rPr>
          <w:i/>
        </w:rPr>
      </w:pPr>
      <w:r w:rsidRPr="00C21520">
        <w:rPr>
          <w:i/>
        </w:rPr>
        <w:t>Рисунок 2.12</w:t>
      </w:r>
    </w:p>
    <w:p w:rsidR="00C21520" w:rsidRPr="00C21520" w:rsidRDefault="00C21520" w:rsidP="00C21520">
      <w:pPr>
        <w:spacing w:line="360" w:lineRule="auto"/>
        <w:ind w:firstLine="709"/>
        <w:contextualSpacing/>
        <w:jc w:val="center"/>
        <w:rPr>
          <w:b/>
        </w:rPr>
      </w:pPr>
      <w:r w:rsidRPr="00C21520">
        <w:rPr>
          <w:b/>
        </w:rPr>
        <w:t>Динамика волн слияний и поглощений в Европе в циклах</w:t>
      </w:r>
    </w:p>
    <w:p w:rsidR="00D160F6" w:rsidRDefault="00D160F6" w:rsidP="007E2E4E">
      <w:pPr>
        <w:spacing w:line="360" w:lineRule="auto"/>
        <w:ind w:firstLine="709"/>
        <w:contextualSpacing/>
        <w:jc w:val="both"/>
        <w:rPr>
          <w:lang w:val="en-US"/>
        </w:rPr>
      </w:pPr>
      <w:r>
        <w:rPr>
          <w:noProof/>
        </w:rPr>
        <w:drawing>
          <wp:inline distT="0" distB="0" distL="0" distR="0" wp14:anchorId="0AD12D16" wp14:editId="15BB58EC">
            <wp:extent cx="5348177" cy="2094614"/>
            <wp:effectExtent l="0" t="0" r="24130" b="20320"/>
            <wp:docPr id="89" name="Диаграмма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A2A03" w:rsidRDefault="00CE1AD1" w:rsidP="003A2A03">
      <w:pPr>
        <w:spacing w:line="360" w:lineRule="auto"/>
        <w:ind w:firstLine="851"/>
        <w:contextualSpacing/>
        <w:jc w:val="center"/>
      </w:pPr>
      <w:r>
        <w:t>Рассчитано</w:t>
      </w:r>
      <w:r w:rsidR="00C21520">
        <w:t xml:space="preserve"> по: </w:t>
      </w:r>
      <w:r>
        <w:t>данны</w:t>
      </w:r>
      <w:r w:rsidR="00C21520">
        <w:t>е</w:t>
      </w:r>
      <w:r w:rsidR="00D160F6" w:rsidRPr="00CE1AD1">
        <w:t xml:space="preserve"> </w:t>
      </w:r>
      <w:proofErr w:type="spellStart"/>
      <w:r w:rsidR="00D160F6">
        <w:rPr>
          <w:lang w:val="en-US"/>
        </w:rPr>
        <w:t>imaa</w:t>
      </w:r>
      <w:proofErr w:type="spellEnd"/>
      <w:r w:rsidR="00D160F6" w:rsidRPr="00CE1AD1">
        <w:t xml:space="preserve"> </w:t>
      </w:r>
      <w:r w:rsidR="00D160F6">
        <w:rPr>
          <w:lang w:val="en-US"/>
        </w:rPr>
        <w:t>statistics</w:t>
      </w:r>
    </w:p>
    <w:p w:rsidR="003A2A03" w:rsidRDefault="003A2A03" w:rsidP="00FA010D">
      <w:pPr>
        <w:spacing w:line="360" w:lineRule="auto"/>
        <w:ind w:firstLine="709"/>
        <w:contextualSpacing/>
        <w:jc w:val="both"/>
      </w:pPr>
      <w:r>
        <w:lastRenderedPageBreak/>
        <w:t xml:space="preserve">Следует отметить, что </w:t>
      </w:r>
      <w:r w:rsidR="00383FF4">
        <w:t>средняя длина волны короче, чем на рынке США, и соста</w:t>
      </w:r>
      <w:r w:rsidR="00383FF4">
        <w:t>в</w:t>
      </w:r>
      <w:r w:rsidR="00383FF4">
        <w:t>ляет порядка 8 лет, против 12. Активность на рынке в меньшей степени зависит от зак</w:t>
      </w:r>
      <w:r w:rsidR="00383FF4">
        <w:t>о</w:t>
      </w:r>
      <w:r w:rsidR="00383FF4">
        <w:t xml:space="preserve">нодательства, и реагирует на </w:t>
      </w:r>
      <w:r w:rsidR="006A114A">
        <w:t>изменения</w:t>
      </w:r>
      <w:r w:rsidR="00383FF4">
        <w:t xml:space="preserve"> </w:t>
      </w:r>
      <w:proofErr w:type="gramStart"/>
      <w:r w:rsidR="00383FF4">
        <w:t>с</w:t>
      </w:r>
      <w:proofErr w:type="gramEnd"/>
      <w:r w:rsidR="00383FF4">
        <w:t xml:space="preserve"> </w:t>
      </w:r>
      <w:proofErr w:type="gramStart"/>
      <w:r w:rsidR="00383FF4">
        <w:t>нескольким</w:t>
      </w:r>
      <w:proofErr w:type="gramEnd"/>
      <w:r w:rsidR="00383FF4">
        <w:t xml:space="preserve"> за</w:t>
      </w:r>
      <w:r w:rsidR="006A114A">
        <w:t xml:space="preserve">позданием, что и обуславливает меньшую продолжительность волн. </w:t>
      </w:r>
      <w:r w:rsidR="00DA0FA0">
        <w:t>(Рисунок</w:t>
      </w:r>
      <w:r w:rsidR="00B70459">
        <w:t xml:space="preserve"> 2.13)</w:t>
      </w:r>
    </w:p>
    <w:p w:rsidR="00762696" w:rsidRDefault="00F82025" w:rsidP="00FA010D">
      <w:pPr>
        <w:spacing w:line="360" w:lineRule="auto"/>
        <w:ind w:firstLine="709"/>
        <w:contextualSpacing/>
        <w:jc w:val="both"/>
      </w:pPr>
      <w:r>
        <w:t>Наблюдается корреляция капитализации фондового рынка и активности на рынке</w:t>
      </w:r>
      <w:r w:rsidR="00DA0FA0">
        <w:t xml:space="preserve"> слияний и поглощений (Рисунок</w:t>
      </w:r>
      <w:r>
        <w:t xml:space="preserve"> 2.14), с </w:t>
      </w:r>
      <w:r w:rsidR="00680B86">
        <w:t>коэффициентом 0</w:t>
      </w:r>
      <w:r>
        <w:t xml:space="preserve">,74, а </w:t>
      </w:r>
      <w:r w:rsidR="00680B86">
        <w:t>также</w:t>
      </w:r>
      <w:r>
        <w:t xml:space="preserve"> капитализации фондов и стоимостных показателей активности </w:t>
      </w:r>
      <w:r>
        <w:rPr>
          <w:lang w:val="en-US"/>
        </w:rPr>
        <w:t>M</w:t>
      </w:r>
      <w:r w:rsidRPr="00F82025">
        <w:t>&amp;</w:t>
      </w:r>
      <w:r>
        <w:rPr>
          <w:lang w:val="en-US"/>
        </w:rPr>
        <w:t>A</w:t>
      </w:r>
      <w:r w:rsidRPr="00F82025">
        <w:t>,</w:t>
      </w:r>
      <w:r>
        <w:t xml:space="preserve"> с коэффициенто</w:t>
      </w:r>
      <w:r w:rsidR="00DA0FA0">
        <w:t xml:space="preserve">м 0,725. Как видно </w:t>
      </w:r>
      <w:proofErr w:type="gramStart"/>
      <w:r w:rsidR="00DA0FA0">
        <w:t>из</w:t>
      </w:r>
      <w:proofErr w:type="gramEnd"/>
      <w:r w:rsidR="00DA0FA0">
        <w:t xml:space="preserve"> </w:t>
      </w:r>
      <w:proofErr w:type="gramStart"/>
      <w:r w:rsidR="00DA0FA0">
        <w:t>Рисунок</w:t>
      </w:r>
      <w:proofErr w:type="gramEnd"/>
      <w:r w:rsidR="00DA0FA0">
        <w:t xml:space="preserve"> </w:t>
      </w:r>
      <w:r>
        <w:t xml:space="preserve">2.15, рынок </w:t>
      </w:r>
      <w:r w:rsidR="00FA010D">
        <w:rPr>
          <w:lang w:val="en-US"/>
        </w:rPr>
        <w:t>M</w:t>
      </w:r>
      <w:r w:rsidR="00FA010D" w:rsidRPr="00FA010D">
        <w:t>&amp;</w:t>
      </w:r>
      <w:r w:rsidR="00FA010D">
        <w:rPr>
          <w:lang w:val="en-US"/>
        </w:rPr>
        <w:t>A</w:t>
      </w:r>
      <w:r w:rsidR="00FA010D" w:rsidRPr="00FA010D">
        <w:t xml:space="preserve"> </w:t>
      </w:r>
      <w:r>
        <w:t>начал реагировать на изменения, с небольшим лагом нач</w:t>
      </w:r>
      <w:r>
        <w:t>и</w:t>
      </w:r>
      <w:r>
        <w:t>ная с 6 волны, что не удивительно, так как именно в 2007-2008 году капитализация фо</w:t>
      </w:r>
      <w:r>
        <w:t>н</w:t>
      </w:r>
      <w:r>
        <w:t>дового рынка была крайне высока и превысила 18 триллионов долларов.</w:t>
      </w:r>
      <w:r w:rsidR="00FA010D">
        <w:rPr>
          <w:rStyle w:val="a6"/>
        </w:rPr>
        <w:footnoteReference w:id="51"/>
      </w:r>
      <w:r>
        <w:t xml:space="preserve"> </w:t>
      </w:r>
      <w:r w:rsidR="00435991">
        <w:t>Рынок Европы реагирует на изменения несколько иначе, чем рынок США, в частности это характериз</w:t>
      </w:r>
      <w:r w:rsidR="00435991">
        <w:t>у</w:t>
      </w:r>
      <w:r w:rsidR="00435991">
        <w:t>ется тем что, активность на рынке слияний и поглощения в США практически моментал</w:t>
      </w:r>
      <w:r w:rsidR="00435991">
        <w:t>ь</w:t>
      </w:r>
      <w:r w:rsidR="00435991">
        <w:t xml:space="preserve">но реагирует на колебания фондового рынка.  </w:t>
      </w:r>
    </w:p>
    <w:p w:rsidR="00257349" w:rsidRDefault="00257349" w:rsidP="00257349">
      <w:pPr>
        <w:spacing w:line="360" w:lineRule="auto"/>
        <w:ind w:firstLine="709"/>
        <w:contextualSpacing/>
        <w:jc w:val="right"/>
        <w:rPr>
          <w:i/>
        </w:rPr>
      </w:pPr>
      <w:r w:rsidRPr="00257349">
        <w:rPr>
          <w:i/>
        </w:rPr>
        <w:t>Рисунок 2.13</w:t>
      </w:r>
    </w:p>
    <w:p w:rsidR="00257349" w:rsidRPr="00257349" w:rsidRDefault="00257349" w:rsidP="00257349">
      <w:pPr>
        <w:contextualSpacing/>
        <w:jc w:val="center"/>
        <w:rPr>
          <w:b/>
        </w:rPr>
      </w:pPr>
      <w:r w:rsidRPr="00257349">
        <w:rPr>
          <w:b/>
        </w:rPr>
        <w:t xml:space="preserve">Корреляция капитализации фондового рынка </w:t>
      </w:r>
      <w:proofErr w:type="gramStart"/>
      <w:r w:rsidRPr="00257349">
        <w:rPr>
          <w:b/>
        </w:rPr>
        <w:t>с</w:t>
      </w:r>
      <w:proofErr w:type="gramEnd"/>
      <w:r w:rsidRPr="00257349">
        <w:rPr>
          <w:b/>
        </w:rPr>
        <w:t xml:space="preserve"> стоимостным и количественным п</w:t>
      </w:r>
      <w:r w:rsidRPr="00257349">
        <w:rPr>
          <w:b/>
        </w:rPr>
        <w:t>о</w:t>
      </w:r>
      <w:r w:rsidRPr="00257349">
        <w:rPr>
          <w:b/>
        </w:rPr>
        <w:t>казателем в Европе</w:t>
      </w:r>
    </w:p>
    <w:p w:rsidR="00E002DB" w:rsidRPr="009F22C7" w:rsidRDefault="00E002DB" w:rsidP="00E002DB">
      <w:pPr>
        <w:spacing w:line="360" w:lineRule="auto"/>
        <w:ind w:left="-567" w:right="-284" w:firstLine="141"/>
        <w:contextualSpacing/>
        <w:jc w:val="center"/>
        <w:rPr>
          <w:shd w:val="clear" w:color="auto" w:fill="FFFFFF"/>
          <w:lang w:val="en-US"/>
        </w:rPr>
      </w:pPr>
      <w:r>
        <w:rPr>
          <w:noProof/>
        </w:rPr>
        <w:drawing>
          <wp:inline distT="0" distB="0" distL="0" distR="0" wp14:anchorId="4F4F1B7C" wp14:editId="28DE32C3">
            <wp:extent cx="2902688" cy="2094614"/>
            <wp:effectExtent l="0" t="0" r="12065" b="20320"/>
            <wp:docPr id="114" name="Диаграмма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F22C7">
        <w:rPr>
          <w:shd w:val="clear" w:color="auto" w:fill="FFFFFF"/>
          <w:lang w:val="en-US"/>
        </w:rPr>
        <w:t xml:space="preserve">  </w:t>
      </w:r>
      <w:r>
        <w:rPr>
          <w:noProof/>
        </w:rPr>
        <w:drawing>
          <wp:inline distT="0" distB="0" distL="0" distR="0" wp14:anchorId="6F4E2260" wp14:editId="2389BE47">
            <wp:extent cx="3062176" cy="2073349"/>
            <wp:effectExtent l="0" t="0" r="24130" b="22225"/>
            <wp:docPr id="115" name="Диаграмма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C33F3" w:rsidRPr="00257349" w:rsidRDefault="002D49D3" w:rsidP="00BC3309">
      <w:pPr>
        <w:spacing w:line="360" w:lineRule="auto"/>
        <w:ind w:left="-426" w:firstLine="709"/>
        <w:contextualSpacing/>
        <w:jc w:val="center"/>
        <w:rPr>
          <w:lang w:val="en-US"/>
        </w:rPr>
      </w:pPr>
      <w:r>
        <w:t>Рассчитано</w:t>
      </w:r>
      <w:r w:rsidRPr="00257349">
        <w:rPr>
          <w:lang w:val="en-US"/>
        </w:rPr>
        <w:t xml:space="preserve"> </w:t>
      </w:r>
      <w:r w:rsidR="00257349">
        <w:t>по</w:t>
      </w:r>
      <w:r w:rsidR="00257349" w:rsidRPr="00257349">
        <w:rPr>
          <w:lang w:val="en-US"/>
        </w:rPr>
        <w:t>:</w:t>
      </w:r>
      <w:r w:rsidRPr="00257349">
        <w:rPr>
          <w:lang w:val="en-US"/>
        </w:rPr>
        <w:t xml:space="preserve"> </w:t>
      </w:r>
      <w:r>
        <w:t>данны</w:t>
      </w:r>
      <w:r w:rsidR="00257349">
        <w:t>е</w:t>
      </w:r>
      <w:r w:rsidRPr="00257349">
        <w:rPr>
          <w:lang w:val="en-US"/>
        </w:rPr>
        <w:t xml:space="preserve"> </w:t>
      </w:r>
      <w:proofErr w:type="spellStart"/>
      <w:r>
        <w:rPr>
          <w:lang w:val="en-US"/>
        </w:rPr>
        <w:t>imaa</w:t>
      </w:r>
      <w:proofErr w:type="spellEnd"/>
      <w:r w:rsidRPr="00257349">
        <w:rPr>
          <w:lang w:val="en-US"/>
        </w:rPr>
        <w:t xml:space="preserve"> </w:t>
      </w:r>
      <w:r>
        <w:rPr>
          <w:lang w:val="en-US"/>
        </w:rPr>
        <w:t>statistics</w:t>
      </w:r>
      <w:r w:rsidRPr="00257349">
        <w:rPr>
          <w:lang w:val="en-US"/>
        </w:rPr>
        <w:t xml:space="preserve">, </w:t>
      </w:r>
      <w:r>
        <w:rPr>
          <w:lang w:val="en-US"/>
        </w:rPr>
        <w:t>World</w:t>
      </w:r>
      <w:r w:rsidRPr="00257349">
        <w:rPr>
          <w:lang w:val="en-US"/>
        </w:rPr>
        <w:t xml:space="preserve"> </w:t>
      </w:r>
      <w:r>
        <w:rPr>
          <w:lang w:val="en-US"/>
        </w:rPr>
        <w:t>Bank</w:t>
      </w:r>
      <w:r w:rsidRPr="00257349">
        <w:rPr>
          <w:lang w:val="en-US"/>
        </w:rPr>
        <w:t xml:space="preserve"> </w:t>
      </w:r>
      <w:r>
        <w:rPr>
          <w:lang w:val="en-US"/>
        </w:rPr>
        <w:t>Data</w:t>
      </w:r>
    </w:p>
    <w:p w:rsidR="00257349" w:rsidRDefault="00257349" w:rsidP="00257349">
      <w:pPr>
        <w:spacing w:line="360" w:lineRule="auto"/>
        <w:ind w:left="-425" w:firstLine="709"/>
        <w:contextualSpacing/>
        <w:jc w:val="right"/>
        <w:rPr>
          <w:i/>
        </w:rPr>
      </w:pPr>
      <w:r w:rsidRPr="00257349">
        <w:rPr>
          <w:i/>
        </w:rPr>
        <w:t>Рисунок 2.14</w:t>
      </w:r>
    </w:p>
    <w:p w:rsidR="00257349" w:rsidRPr="00257349" w:rsidRDefault="00257349" w:rsidP="00257349">
      <w:pPr>
        <w:spacing w:line="360" w:lineRule="auto"/>
        <w:ind w:left="-426" w:firstLine="709"/>
        <w:contextualSpacing/>
        <w:jc w:val="center"/>
        <w:rPr>
          <w:b/>
        </w:rPr>
      </w:pPr>
      <w:r w:rsidRPr="00257349">
        <w:rPr>
          <w:b/>
        </w:rPr>
        <w:t>Корреляция капитализации фондового рынка с количеством сделок в Европе</w:t>
      </w:r>
    </w:p>
    <w:p w:rsidR="005C33F3" w:rsidRPr="005C33F3" w:rsidRDefault="005C33F3" w:rsidP="00D160F6">
      <w:pPr>
        <w:spacing w:line="360" w:lineRule="auto"/>
        <w:ind w:left="-426" w:firstLine="709"/>
        <w:contextualSpacing/>
        <w:jc w:val="center"/>
      </w:pPr>
      <w:r>
        <w:rPr>
          <w:noProof/>
        </w:rPr>
        <w:drawing>
          <wp:inline distT="0" distB="0" distL="0" distR="0" wp14:anchorId="765577F1" wp14:editId="47E743B3">
            <wp:extent cx="4962525" cy="1790700"/>
            <wp:effectExtent l="0" t="0" r="9525" b="19050"/>
            <wp:docPr id="103" name="Диаграмма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D49D3" w:rsidRPr="002C6557" w:rsidRDefault="002D49D3" w:rsidP="002D49D3">
      <w:pPr>
        <w:spacing w:line="288" w:lineRule="auto"/>
        <w:ind w:left="-425" w:firstLine="709"/>
        <w:contextualSpacing/>
        <w:jc w:val="center"/>
        <w:rPr>
          <w:lang w:val="en-US"/>
        </w:rPr>
      </w:pPr>
      <w:r>
        <w:lastRenderedPageBreak/>
        <w:t>Рассчитано</w:t>
      </w:r>
      <w:r w:rsidRPr="002C6557">
        <w:rPr>
          <w:lang w:val="en-US"/>
        </w:rPr>
        <w:t xml:space="preserve"> </w:t>
      </w:r>
      <w:r w:rsidR="002C6557">
        <w:t>по</w:t>
      </w:r>
      <w:r w:rsidR="002C6557" w:rsidRPr="002C6557">
        <w:rPr>
          <w:lang w:val="en-US"/>
        </w:rPr>
        <w:t xml:space="preserve">: </w:t>
      </w:r>
      <w:r>
        <w:t>данны</w:t>
      </w:r>
      <w:r w:rsidR="002C6557">
        <w:t>е</w:t>
      </w:r>
      <w:r w:rsidRPr="002C6557">
        <w:rPr>
          <w:lang w:val="en-US"/>
        </w:rPr>
        <w:t xml:space="preserve"> </w:t>
      </w:r>
      <w:proofErr w:type="spellStart"/>
      <w:r>
        <w:rPr>
          <w:lang w:val="en-US"/>
        </w:rPr>
        <w:t>imaa</w:t>
      </w:r>
      <w:proofErr w:type="spellEnd"/>
      <w:r w:rsidRPr="002C6557">
        <w:rPr>
          <w:lang w:val="en-US"/>
        </w:rPr>
        <w:t xml:space="preserve"> </w:t>
      </w:r>
      <w:r>
        <w:rPr>
          <w:lang w:val="en-US"/>
        </w:rPr>
        <w:t>statistics</w:t>
      </w:r>
      <w:r w:rsidRPr="002C6557">
        <w:rPr>
          <w:lang w:val="en-US"/>
        </w:rPr>
        <w:t xml:space="preserve">, </w:t>
      </w:r>
      <w:r>
        <w:rPr>
          <w:lang w:val="en-US"/>
        </w:rPr>
        <w:t>World</w:t>
      </w:r>
      <w:r w:rsidRPr="002C6557">
        <w:rPr>
          <w:lang w:val="en-US"/>
        </w:rPr>
        <w:t xml:space="preserve"> </w:t>
      </w:r>
      <w:r>
        <w:rPr>
          <w:lang w:val="en-US"/>
        </w:rPr>
        <w:t>Bank</w:t>
      </w:r>
      <w:r w:rsidRPr="002C6557">
        <w:rPr>
          <w:lang w:val="en-US"/>
        </w:rPr>
        <w:t xml:space="preserve"> </w:t>
      </w:r>
      <w:r>
        <w:rPr>
          <w:lang w:val="en-US"/>
        </w:rPr>
        <w:t>Data</w:t>
      </w:r>
    </w:p>
    <w:p w:rsidR="002C6557" w:rsidRDefault="002C6557" w:rsidP="002C6557">
      <w:pPr>
        <w:spacing w:line="288" w:lineRule="auto"/>
        <w:ind w:left="-425" w:firstLine="709"/>
        <w:contextualSpacing/>
        <w:jc w:val="right"/>
        <w:rPr>
          <w:i/>
        </w:rPr>
      </w:pPr>
      <w:r w:rsidRPr="002C6557">
        <w:rPr>
          <w:i/>
        </w:rPr>
        <w:t>Рисунок 2.15</w:t>
      </w:r>
    </w:p>
    <w:p w:rsidR="002C6557" w:rsidRPr="002C6557" w:rsidRDefault="002C6557" w:rsidP="002C6557">
      <w:pPr>
        <w:spacing w:line="288" w:lineRule="auto"/>
        <w:ind w:left="-425" w:firstLine="709"/>
        <w:contextualSpacing/>
        <w:jc w:val="center"/>
        <w:rPr>
          <w:b/>
        </w:rPr>
      </w:pPr>
      <w:r w:rsidRPr="002C6557">
        <w:rPr>
          <w:b/>
        </w:rPr>
        <w:t>Корреляция капитализации фондового рынка со стоимостью сделок в Европе</w:t>
      </w:r>
    </w:p>
    <w:p w:rsidR="0050767C" w:rsidRDefault="009815F0" w:rsidP="00BC3309">
      <w:pPr>
        <w:spacing w:line="360" w:lineRule="auto"/>
        <w:ind w:left="-426" w:firstLine="568"/>
        <w:contextualSpacing/>
        <w:jc w:val="center"/>
      </w:pPr>
      <w:r>
        <w:rPr>
          <w:noProof/>
        </w:rPr>
        <w:drawing>
          <wp:inline distT="0" distB="0" distL="0" distR="0" wp14:anchorId="0E1CFA47" wp14:editId="08BA3DE1">
            <wp:extent cx="5645889" cy="2371060"/>
            <wp:effectExtent l="0" t="0" r="12065" b="10795"/>
            <wp:docPr id="117" name="Диаграмма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815F0" w:rsidRPr="002C6557" w:rsidRDefault="009815F0" w:rsidP="009815F0">
      <w:pPr>
        <w:spacing w:line="288" w:lineRule="auto"/>
        <w:ind w:left="-425" w:firstLine="709"/>
        <w:contextualSpacing/>
        <w:jc w:val="center"/>
        <w:rPr>
          <w:lang w:val="en-US"/>
        </w:rPr>
      </w:pPr>
      <w:r>
        <w:t>Рассчитано</w:t>
      </w:r>
      <w:r w:rsidRPr="002C6557">
        <w:rPr>
          <w:lang w:val="en-US"/>
        </w:rPr>
        <w:t xml:space="preserve"> </w:t>
      </w:r>
      <w:r w:rsidR="002C6557">
        <w:t>по</w:t>
      </w:r>
      <w:r w:rsidR="002C6557" w:rsidRPr="002C6557">
        <w:rPr>
          <w:lang w:val="en-US"/>
        </w:rPr>
        <w:t>:</w:t>
      </w:r>
      <w:r w:rsidRPr="002C6557">
        <w:rPr>
          <w:lang w:val="en-US"/>
        </w:rPr>
        <w:t xml:space="preserve"> </w:t>
      </w:r>
      <w:r>
        <w:t>данны</w:t>
      </w:r>
      <w:r w:rsidR="002C6557">
        <w:t>е</w:t>
      </w:r>
      <w:r w:rsidRPr="002C6557">
        <w:rPr>
          <w:lang w:val="en-US"/>
        </w:rPr>
        <w:t xml:space="preserve"> </w:t>
      </w:r>
      <w:proofErr w:type="spellStart"/>
      <w:r>
        <w:rPr>
          <w:lang w:val="en-US"/>
        </w:rPr>
        <w:t>imaa</w:t>
      </w:r>
      <w:proofErr w:type="spellEnd"/>
      <w:r w:rsidRPr="002C6557">
        <w:rPr>
          <w:lang w:val="en-US"/>
        </w:rPr>
        <w:t xml:space="preserve"> </w:t>
      </w:r>
      <w:r>
        <w:rPr>
          <w:lang w:val="en-US"/>
        </w:rPr>
        <w:t>statistics</w:t>
      </w:r>
      <w:r w:rsidRPr="002C6557">
        <w:rPr>
          <w:lang w:val="en-US"/>
        </w:rPr>
        <w:t xml:space="preserve">, </w:t>
      </w:r>
      <w:r>
        <w:rPr>
          <w:lang w:val="en-US"/>
        </w:rPr>
        <w:t>World</w:t>
      </w:r>
      <w:r w:rsidRPr="002C6557">
        <w:rPr>
          <w:lang w:val="en-US"/>
        </w:rPr>
        <w:t xml:space="preserve"> </w:t>
      </w:r>
      <w:r>
        <w:rPr>
          <w:lang w:val="en-US"/>
        </w:rPr>
        <w:t>Bank</w:t>
      </w:r>
      <w:r w:rsidRPr="002C6557">
        <w:rPr>
          <w:lang w:val="en-US"/>
        </w:rPr>
        <w:t xml:space="preserve"> </w:t>
      </w:r>
      <w:r>
        <w:rPr>
          <w:lang w:val="en-US"/>
        </w:rPr>
        <w:t>Data</w:t>
      </w:r>
    </w:p>
    <w:p w:rsidR="00680B86" w:rsidRPr="00137EB3" w:rsidRDefault="00680B86" w:rsidP="00137EB3">
      <w:pPr>
        <w:spacing w:line="360" w:lineRule="auto"/>
        <w:ind w:firstLine="706"/>
        <w:contextualSpacing/>
        <w:jc w:val="both"/>
      </w:pPr>
      <w:r>
        <w:t xml:space="preserve">В целом, </w:t>
      </w:r>
      <w:r w:rsidR="007065ED">
        <w:t>мировой рынок слияний и поглощ</w:t>
      </w:r>
      <w:r w:rsidR="002C19D1">
        <w:t xml:space="preserve">ений наблюдает легкий нисходящий тренд </w:t>
      </w:r>
      <w:r w:rsidR="007065ED">
        <w:t xml:space="preserve">по количественному и стоимостному </w:t>
      </w:r>
      <w:r w:rsidR="00D71181">
        <w:t>показателям,</w:t>
      </w:r>
      <w:r w:rsidR="007065ED">
        <w:t xml:space="preserve"> как в общем массиве, так и в се</w:t>
      </w:r>
      <w:r w:rsidR="007065ED">
        <w:t>к</w:t>
      </w:r>
      <w:r w:rsidR="007065ED">
        <w:t xml:space="preserve">торе </w:t>
      </w:r>
      <w:r w:rsidR="007065ED">
        <w:rPr>
          <w:lang w:val="en-US"/>
        </w:rPr>
        <w:t>Cross</w:t>
      </w:r>
      <w:r w:rsidR="007065ED" w:rsidRPr="007065ED">
        <w:t>-</w:t>
      </w:r>
      <w:r w:rsidR="007065ED">
        <w:rPr>
          <w:lang w:val="en-US"/>
        </w:rPr>
        <w:t>border</w:t>
      </w:r>
      <w:r w:rsidR="007065ED" w:rsidRPr="007065ED">
        <w:t xml:space="preserve">. </w:t>
      </w:r>
      <w:proofErr w:type="gramStart"/>
      <w:r w:rsidR="007065ED">
        <w:t>Основными р</w:t>
      </w:r>
      <w:r w:rsidR="00D71181">
        <w:t>егионами</w:t>
      </w:r>
      <w:r w:rsidR="007065ED">
        <w:t>, проявляющими наибольшую активность явл</w:t>
      </w:r>
      <w:r w:rsidR="007065ED">
        <w:t>я</w:t>
      </w:r>
      <w:r w:rsidR="007065ED">
        <w:t>ются</w:t>
      </w:r>
      <w:proofErr w:type="gramEnd"/>
      <w:r w:rsidR="007065ED">
        <w:t xml:space="preserve"> рынок Северной Америки, в основном за счет транзакций с Соединенными Штат</w:t>
      </w:r>
      <w:r w:rsidR="007065ED">
        <w:t>а</w:t>
      </w:r>
      <w:r w:rsidR="007065ED">
        <w:t xml:space="preserve">ми, и рынок Европы, где ключевыми игроками являются Великобритания, Франция и Германия. </w:t>
      </w:r>
      <w:r w:rsidR="00137EB3">
        <w:t>На обоих рынках</w:t>
      </w:r>
      <w:r w:rsidR="00137EB3" w:rsidRPr="00137EB3">
        <w:t xml:space="preserve"> </w:t>
      </w:r>
      <w:r w:rsidR="00137EB3">
        <w:t>присутствует глобальный тренд увеличения количества вх</w:t>
      </w:r>
      <w:r w:rsidR="00137EB3">
        <w:t>о</w:t>
      </w:r>
      <w:r w:rsidR="00137EB3">
        <w:t>дящих потоков ПИИ и уменьшения исходящих. На все рынки оказывали воздействие н</w:t>
      </w:r>
      <w:r w:rsidR="00137EB3">
        <w:t>е</w:t>
      </w:r>
      <w:r w:rsidR="00137EB3">
        <w:t>сколько групп макроэкономических показателей, в особой степени в последние годы з</w:t>
      </w:r>
      <w:r w:rsidR="00137EB3">
        <w:t>а</w:t>
      </w:r>
      <w:r w:rsidR="00137EB3">
        <w:t xml:space="preserve">метно влияние капитализации фондовых рынков. </w:t>
      </w:r>
      <w:r w:rsidR="00757774">
        <w:t>Европейский рынок менее активно ада</w:t>
      </w:r>
      <w:r w:rsidR="00757774">
        <w:t>п</w:t>
      </w:r>
      <w:r w:rsidR="00757774">
        <w:t xml:space="preserve">тируется под флуктуации фондовых рынков по сравнению с рынком США, что в свою очередь отражается на длине волн </w:t>
      </w:r>
      <w:r w:rsidR="00757774">
        <w:rPr>
          <w:lang w:val="en-US"/>
        </w:rPr>
        <w:t>M</w:t>
      </w:r>
      <w:r w:rsidR="00757774" w:rsidRPr="00137EB3">
        <w:t>&amp;</w:t>
      </w:r>
      <w:r w:rsidR="00757774">
        <w:rPr>
          <w:lang w:val="en-US"/>
        </w:rPr>
        <w:t>A</w:t>
      </w:r>
      <w:r w:rsidR="00757774" w:rsidRPr="00137EB3">
        <w:t>.</w:t>
      </w:r>
      <w:r w:rsidR="00445FF1">
        <w:t xml:space="preserve"> </w:t>
      </w:r>
    </w:p>
    <w:p w:rsidR="005B6370" w:rsidRDefault="005D6F53" w:rsidP="002A61A0">
      <w:pPr>
        <w:pStyle w:val="3"/>
        <w:spacing w:afterLines="100" w:after="240"/>
        <w:ind w:left="1069"/>
        <w:rPr>
          <w:rFonts w:ascii="Times New Roman" w:hAnsi="Times New Roman" w:cs="Times New Roman"/>
          <w:color w:val="auto"/>
        </w:rPr>
      </w:pPr>
      <w:bookmarkStart w:id="16" w:name="_Toc513092281"/>
      <w:r>
        <w:rPr>
          <w:rFonts w:ascii="Times New Roman" w:hAnsi="Times New Roman" w:cs="Times New Roman"/>
          <w:color w:val="auto"/>
        </w:rPr>
        <w:t xml:space="preserve">2.2 </w:t>
      </w:r>
      <w:r w:rsidR="005B6370">
        <w:rPr>
          <w:rFonts w:ascii="Times New Roman" w:hAnsi="Times New Roman" w:cs="Times New Roman"/>
          <w:color w:val="auto"/>
        </w:rPr>
        <w:t>Особенности российск</w:t>
      </w:r>
      <w:r w:rsidR="008F6C35">
        <w:rPr>
          <w:rFonts w:ascii="Times New Roman" w:hAnsi="Times New Roman" w:cs="Times New Roman"/>
          <w:color w:val="auto"/>
        </w:rPr>
        <w:t xml:space="preserve">их </w:t>
      </w:r>
      <w:r w:rsidR="005B6370">
        <w:rPr>
          <w:rFonts w:ascii="Times New Roman" w:hAnsi="Times New Roman" w:cs="Times New Roman"/>
          <w:color w:val="auto"/>
        </w:rPr>
        <w:t>слияний и поглощений.</w:t>
      </w:r>
      <w:bookmarkEnd w:id="15"/>
      <w:bookmarkEnd w:id="16"/>
    </w:p>
    <w:p w:rsidR="005D6F53" w:rsidRDefault="005D6F53" w:rsidP="00137EB3">
      <w:pPr>
        <w:spacing w:line="360" w:lineRule="auto"/>
        <w:ind w:firstLine="706"/>
        <w:contextualSpacing/>
        <w:jc w:val="both"/>
      </w:pPr>
      <w:r w:rsidRPr="00534707">
        <w:t xml:space="preserve">Российский рынок </w:t>
      </w:r>
      <w:r w:rsidR="002D3256">
        <w:rPr>
          <w:lang w:val="en-US"/>
        </w:rPr>
        <w:t>M</w:t>
      </w:r>
      <w:r w:rsidR="002D3256" w:rsidRPr="002D3256">
        <w:t>&amp;</w:t>
      </w:r>
      <w:r w:rsidR="002D3256">
        <w:rPr>
          <w:lang w:val="en-US"/>
        </w:rPr>
        <w:t>A</w:t>
      </w:r>
      <w:r w:rsidRPr="00534707">
        <w:t xml:space="preserve"> </w:t>
      </w:r>
      <w:r w:rsidR="002D3256">
        <w:t>обладает</w:t>
      </w:r>
      <w:r w:rsidRPr="00534707">
        <w:t xml:space="preserve"> ряд</w:t>
      </w:r>
      <w:r w:rsidR="002D3256">
        <w:t>ом</w:t>
      </w:r>
      <w:r w:rsidRPr="00534707">
        <w:t xml:space="preserve"> </w:t>
      </w:r>
      <w:r w:rsidR="002D3256">
        <w:t xml:space="preserve">особенностей, </w:t>
      </w:r>
      <w:r w:rsidRPr="00534707">
        <w:t>отлич</w:t>
      </w:r>
      <w:r w:rsidR="002D3256">
        <w:t>ающих его</w:t>
      </w:r>
      <w:r w:rsidRPr="00534707">
        <w:t xml:space="preserve"> от зар</w:t>
      </w:r>
      <w:r w:rsidRPr="00534707">
        <w:t>у</w:t>
      </w:r>
      <w:r w:rsidRPr="00534707">
        <w:t xml:space="preserve">бежной практики. </w:t>
      </w:r>
      <w:r>
        <w:t xml:space="preserve">Его, по сути, можно назвать уникальным, поскольку </w:t>
      </w:r>
      <w:r w:rsidR="002D3256">
        <w:t>за краткий време</w:t>
      </w:r>
      <w:r w:rsidR="002D3256">
        <w:t>н</w:t>
      </w:r>
      <w:r w:rsidR="002D3256">
        <w:t xml:space="preserve">ной промежуток </w:t>
      </w:r>
      <w:r>
        <w:t xml:space="preserve">он </w:t>
      </w:r>
      <w:r w:rsidR="002D3256">
        <w:t>развился из</w:t>
      </w:r>
      <w:r>
        <w:t xml:space="preserve"> первых единичных, иногда нелегальных, сделок </w:t>
      </w:r>
      <w:r w:rsidR="002D3256">
        <w:t>в</w:t>
      </w:r>
      <w:r>
        <w:t xml:space="preserve"> </w:t>
      </w:r>
      <w:r w:rsidR="002D3256">
        <w:t>масси</w:t>
      </w:r>
      <w:r w:rsidR="002D3256">
        <w:t>в</w:t>
      </w:r>
      <w:r w:rsidR="002D3256">
        <w:t>ный объем</w:t>
      </w:r>
      <w:r>
        <w:t xml:space="preserve"> трансграничных слияний и поглощений, где покупател</w:t>
      </w:r>
      <w:r w:rsidR="002D3256">
        <w:t>я</w:t>
      </w:r>
      <w:r w:rsidR="00053F2A">
        <w:t>ми</w:t>
      </w:r>
      <w:r>
        <w:t xml:space="preserve"> </w:t>
      </w:r>
      <w:r w:rsidR="00053F2A">
        <w:t>фигурируют</w:t>
      </w:r>
      <w:r w:rsidR="002D3256">
        <w:t xml:space="preserve"> </w:t>
      </w:r>
      <w:r>
        <w:t>ро</w:t>
      </w:r>
      <w:r>
        <w:t>с</w:t>
      </w:r>
      <w:r>
        <w:t xml:space="preserve">сийские компании. </w:t>
      </w:r>
      <w:r w:rsidR="002D3256">
        <w:t xml:space="preserve">Сделки </w:t>
      </w:r>
      <w:r w:rsidR="00053F2A">
        <w:rPr>
          <w:lang w:val="en-US"/>
        </w:rPr>
        <w:t>M</w:t>
      </w:r>
      <w:r w:rsidR="00053F2A" w:rsidRPr="002D3256">
        <w:t>&amp;</w:t>
      </w:r>
      <w:r w:rsidR="00053F2A">
        <w:rPr>
          <w:lang w:val="en-US"/>
        </w:rPr>
        <w:t>A</w:t>
      </w:r>
      <w:r w:rsidR="002D3256">
        <w:t xml:space="preserve">, проходящие в РФ, в </w:t>
      </w:r>
      <w:r w:rsidR="000A20B8">
        <w:t>целом</w:t>
      </w:r>
      <w:r>
        <w:t xml:space="preserve"> </w:t>
      </w:r>
      <w:r w:rsidR="002D3256">
        <w:t>выделяются</w:t>
      </w:r>
      <w:r>
        <w:t xml:space="preserve"> рядом сущ</w:t>
      </w:r>
      <w:r>
        <w:t>е</w:t>
      </w:r>
      <w:r>
        <w:t>ственных отличий от нормальной</w:t>
      </w:r>
      <w:r w:rsidR="00CC0DC5">
        <w:t xml:space="preserve"> международной</w:t>
      </w:r>
      <w:r>
        <w:t xml:space="preserve"> практики проведения </w:t>
      </w:r>
      <w:r w:rsidR="002D3256">
        <w:t>данного типа сд</w:t>
      </w:r>
      <w:r w:rsidR="002D3256">
        <w:t>е</w:t>
      </w:r>
      <w:r w:rsidR="002D3256">
        <w:t>лок</w:t>
      </w:r>
      <w:r>
        <w:t xml:space="preserve"> в развитой рыночной экономике.</w:t>
      </w:r>
    </w:p>
    <w:p w:rsidR="005D6F53" w:rsidRDefault="005D6F53" w:rsidP="00930538">
      <w:pPr>
        <w:spacing w:line="360" w:lineRule="auto"/>
        <w:ind w:firstLine="709"/>
        <w:contextualSpacing/>
        <w:jc w:val="both"/>
      </w:pPr>
      <w:r w:rsidRPr="00534707">
        <w:t>Прежде всего, следует отметить политизированность многих сделок, которые в</w:t>
      </w:r>
      <w:r w:rsidRPr="00534707">
        <w:t>ы</w:t>
      </w:r>
      <w:r w:rsidRPr="00534707">
        <w:t>ража</w:t>
      </w:r>
      <w:r w:rsidR="00A917BF">
        <w:t>ли</w:t>
      </w:r>
      <w:r w:rsidRPr="00534707">
        <w:t xml:space="preserve"> интересы местного административного управления, вследствие чего </w:t>
      </w:r>
      <w:r w:rsidR="00A917BF">
        <w:t xml:space="preserve">они </w:t>
      </w:r>
      <w:r w:rsidRPr="00534707">
        <w:t>мог</w:t>
      </w:r>
      <w:r w:rsidR="00A917BF">
        <w:t>ли</w:t>
      </w:r>
      <w:r w:rsidRPr="00534707">
        <w:t xml:space="preserve"> </w:t>
      </w:r>
      <w:r w:rsidRPr="00534707">
        <w:lastRenderedPageBreak/>
        <w:t xml:space="preserve">идти в разрез с интересами акционеров. Так же российские предприниматели </w:t>
      </w:r>
      <w:r w:rsidR="00A917BF">
        <w:t xml:space="preserve">до сих пор </w:t>
      </w:r>
      <w:r w:rsidRPr="00534707">
        <w:t>предпочитают покупать контрольный пакет акций (50-75%), который позволит им прин</w:t>
      </w:r>
      <w:r w:rsidRPr="00534707">
        <w:t>и</w:t>
      </w:r>
      <w:r w:rsidRPr="00534707">
        <w:t>мать большинство управленческих решений, либо полностью поглощать актив.</w:t>
      </w:r>
      <w:r>
        <w:rPr>
          <w:rStyle w:val="a6"/>
        </w:rPr>
        <w:footnoteReference w:id="52"/>
      </w:r>
      <w:r w:rsidR="00930538" w:rsidRPr="00930538">
        <w:t xml:space="preserve"> Для ро</w:t>
      </w:r>
      <w:r w:rsidR="00930538" w:rsidRPr="00930538">
        <w:t>с</w:t>
      </w:r>
      <w:r w:rsidR="00930538" w:rsidRPr="00930538">
        <w:t>сийского рынка слияний и поглощений по-прежнему характерны сделки по недруж</w:t>
      </w:r>
      <w:r w:rsidR="00930538" w:rsidRPr="00930538">
        <w:t>е</w:t>
      </w:r>
      <w:r w:rsidR="00930538" w:rsidRPr="00930538">
        <w:t xml:space="preserve">ственному поглощению, которые планомерно переместились из </w:t>
      </w:r>
      <w:proofErr w:type="gramStart"/>
      <w:r w:rsidR="00930538" w:rsidRPr="00930538">
        <w:t>бизнес-</w:t>
      </w:r>
      <w:r w:rsidR="00DA0FA0" w:rsidRPr="00930538">
        <w:t>центров</w:t>
      </w:r>
      <w:proofErr w:type="gramEnd"/>
      <w:r w:rsidR="00DA0FA0" w:rsidRPr="00930538">
        <w:t xml:space="preserve"> регионы</w:t>
      </w:r>
      <w:r w:rsidR="00930538" w:rsidRPr="00930538">
        <w:t>.</w:t>
      </w:r>
    </w:p>
    <w:p w:rsidR="00AE6EB4" w:rsidRPr="00BE0D24" w:rsidRDefault="00A917BF" w:rsidP="00AE6EB4">
      <w:pPr>
        <w:spacing w:line="360" w:lineRule="auto"/>
        <w:ind w:firstLine="709"/>
        <w:contextualSpacing/>
        <w:jc w:val="both"/>
      </w:pPr>
      <w:r>
        <w:t>С</w:t>
      </w:r>
      <w:r w:rsidR="00AE6EB4">
        <w:t xml:space="preserve">тоит </w:t>
      </w:r>
      <w:r>
        <w:t>выделить тот факт</w:t>
      </w:r>
      <w:r w:rsidR="00AE6EB4">
        <w:t xml:space="preserve">, что российский рынок </w:t>
      </w:r>
      <w:r w:rsidR="00AE6EB4">
        <w:rPr>
          <w:lang w:val="en-US"/>
        </w:rPr>
        <w:t>M</w:t>
      </w:r>
      <w:r w:rsidR="00AE6EB4" w:rsidRPr="006A6F8E">
        <w:t>&amp;</w:t>
      </w:r>
      <w:r w:rsidR="00AE6EB4">
        <w:rPr>
          <w:lang w:val="en-US"/>
        </w:rPr>
        <w:t>A</w:t>
      </w:r>
      <w:r w:rsidR="00AE6EB4" w:rsidRPr="006A6F8E">
        <w:t xml:space="preserve"> </w:t>
      </w:r>
      <w:r w:rsidR="00AE6EB4">
        <w:t xml:space="preserve">– рынок </w:t>
      </w:r>
      <w:proofErr w:type="spellStart"/>
      <w:r w:rsidR="00AE6EB4">
        <w:t>супермажорита</w:t>
      </w:r>
      <w:r w:rsidR="00AE6EB4">
        <w:t>р</w:t>
      </w:r>
      <w:r w:rsidR="00AE6EB4">
        <w:t>ных</w:t>
      </w:r>
      <w:proofErr w:type="spellEnd"/>
      <w:r w:rsidR="00AE6EB4">
        <w:t xml:space="preserve"> пакетов. В большинстве средних компаний есть, как правило, только один выгод</w:t>
      </w:r>
      <w:r w:rsidR="00AE6EB4">
        <w:t>о</w:t>
      </w:r>
      <w:r w:rsidR="00AE6EB4">
        <w:t>приобретатель, который принимает стратегические решения, в том числе о продаже би</w:t>
      </w:r>
      <w:r w:rsidR="00AE6EB4">
        <w:t>з</w:t>
      </w:r>
      <w:r w:rsidR="00AE6EB4">
        <w:t>неса единолично, при этом практически отсутствует акционерная демократия.</w:t>
      </w:r>
      <w:r w:rsidR="00F03671" w:rsidRPr="00F03671">
        <w:t xml:space="preserve"> </w:t>
      </w:r>
      <w:r w:rsidR="00F03671" w:rsidRPr="00F862EA">
        <w:t>Покупки непрофильных активов за рубежом означают лишь вывод капитала из российской юри</w:t>
      </w:r>
      <w:r w:rsidR="00F03671" w:rsidRPr="00F862EA">
        <w:t>с</w:t>
      </w:r>
      <w:r w:rsidR="00F03671" w:rsidRPr="00F862EA">
        <w:t>дикции.</w:t>
      </w:r>
      <w:r w:rsidR="00F03671" w:rsidRPr="00F862EA">
        <w:rPr>
          <w:vertAlign w:val="superscript"/>
        </w:rPr>
        <w:footnoteReference w:id="53"/>
      </w:r>
    </w:p>
    <w:p w:rsidR="00DD2BE3" w:rsidRDefault="00575B35" w:rsidP="00DD2BE3">
      <w:pPr>
        <w:spacing w:line="360" w:lineRule="auto"/>
        <w:ind w:firstLine="709"/>
        <w:contextualSpacing/>
        <w:jc w:val="both"/>
      </w:pPr>
      <w:r>
        <w:t>Слабый рубль</w:t>
      </w:r>
      <w:r w:rsidR="00053F2A" w:rsidRPr="00053F2A">
        <w:t xml:space="preserve">, сокращение потребительского спроса и низкие мировые цены на нефть </w:t>
      </w:r>
      <w:r>
        <w:t>представляли собой</w:t>
      </w:r>
      <w:r w:rsidR="00053F2A" w:rsidRPr="00053F2A">
        <w:t xml:space="preserve"> основны</w:t>
      </w:r>
      <w:r>
        <w:t>е</w:t>
      </w:r>
      <w:r w:rsidR="00053F2A" w:rsidRPr="00053F2A">
        <w:t xml:space="preserve"> фактор</w:t>
      </w:r>
      <w:r>
        <w:t>ы</w:t>
      </w:r>
      <w:r w:rsidR="00053F2A" w:rsidRPr="00053F2A">
        <w:t xml:space="preserve">, </w:t>
      </w:r>
      <w:r>
        <w:t>препятствующие</w:t>
      </w:r>
      <w:r w:rsidR="00053F2A" w:rsidRPr="00053F2A">
        <w:t xml:space="preserve"> развити</w:t>
      </w:r>
      <w:r>
        <w:t>ю</w:t>
      </w:r>
      <w:r w:rsidR="00053F2A" w:rsidRPr="00053F2A">
        <w:t xml:space="preserve"> российского рынка слияний и поглощений. </w:t>
      </w:r>
      <w:r>
        <w:t>Тем не менее</w:t>
      </w:r>
      <w:r w:rsidR="00053F2A" w:rsidRPr="00053F2A">
        <w:t xml:space="preserve">, </w:t>
      </w:r>
      <w:r w:rsidR="00053F2A">
        <w:t>согласно</w:t>
      </w:r>
      <w:r w:rsidR="00053F2A" w:rsidRPr="00053F2A">
        <w:t xml:space="preserve"> с</w:t>
      </w:r>
      <w:r w:rsidR="00053F2A">
        <w:t>татистическим данным</w:t>
      </w:r>
      <w:r w:rsidR="00053F2A" w:rsidRPr="00053F2A">
        <w:t xml:space="preserve"> агентства AK&amp;M, период спада на рынке M&amp;A закончился и рынок, наконец, перешел к росту. </w:t>
      </w:r>
      <w:r w:rsidR="00F862EA" w:rsidRPr="00F862EA">
        <w:t>(</w:t>
      </w:r>
      <w:r w:rsidR="002054EC">
        <w:t>Таб. 2.1</w:t>
      </w:r>
      <w:r w:rsidR="00823BFC">
        <w:t xml:space="preserve">). </w:t>
      </w:r>
    </w:p>
    <w:p w:rsidR="002054EC" w:rsidRPr="002054EC" w:rsidRDefault="002054EC" w:rsidP="002054EC">
      <w:pPr>
        <w:spacing w:line="360" w:lineRule="auto"/>
        <w:ind w:firstLine="709"/>
        <w:contextualSpacing/>
        <w:jc w:val="right"/>
        <w:rPr>
          <w:i/>
        </w:rPr>
      </w:pPr>
      <w:r w:rsidRPr="002054EC">
        <w:rPr>
          <w:i/>
        </w:rPr>
        <w:t>Таблица 2.1</w:t>
      </w:r>
    </w:p>
    <w:p w:rsidR="002054EC" w:rsidRDefault="002054EC" w:rsidP="002054EC">
      <w:pPr>
        <w:spacing w:line="360" w:lineRule="auto"/>
        <w:ind w:firstLine="709"/>
        <w:contextualSpacing/>
        <w:jc w:val="center"/>
        <w:rPr>
          <w:b/>
          <w:color w:val="282828"/>
          <w:shd w:val="clear" w:color="auto" w:fill="FFFFFF"/>
        </w:rPr>
      </w:pPr>
      <w:r w:rsidRPr="002054EC">
        <w:rPr>
          <w:b/>
          <w:color w:val="282828"/>
          <w:shd w:val="clear" w:color="auto" w:fill="FFFFFF"/>
        </w:rPr>
        <w:t>Динамика российского рынка слияний и поглощений в 2013-2017 гг.</w:t>
      </w:r>
    </w:p>
    <w:tbl>
      <w:tblPr>
        <w:tblStyle w:val="12"/>
        <w:tblpPr w:leftFromText="180" w:rightFromText="180" w:vertAnchor="text" w:horzAnchor="margin" w:tblpXSpec="center" w:tblpY="72"/>
        <w:tblW w:w="9998" w:type="dxa"/>
        <w:tblLook w:val="04A0" w:firstRow="1" w:lastRow="0" w:firstColumn="1" w:lastColumn="0" w:noHBand="0" w:noVBand="1"/>
      </w:tblPr>
      <w:tblGrid>
        <w:gridCol w:w="2802"/>
        <w:gridCol w:w="1701"/>
        <w:gridCol w:w="850"/>
        <w:gridCol w:w="992"/>
        <w:gridCol w:w="851"/>
        <w:gridCol w:w="1134"/>
        <w:gridCol w:w="1668"/>
      </w:tblGrid>
      <w:tr w:rsidR="002054EC" w:rsidRPr="00DA61E2" w:rsidTr="002054EC">
        <w:trPr>
          <w:trHeight w:val="455"/>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tcPr>
          <w:p w:rsidR="002054EC" w:rsidRPr="002054EC" w:rsidRDefault="002054EC" w:rsidP="00D102F8">
            <w:pPr>
              <w:spacing w:after="200" w:line="276" w:lineRule="auto"/>
              <w:contextualSpacing/>
              <w:jc w:val="center"/>
              <w:rPr>
                <w:b/>
                <w:color w:val="282828"/>
                <w:sz w:val="22"/>
                <w:szCs w:val="22"/>
                <w:shd w:val="clear" w:color="auto" w:fill="FFFFFF"/>
              </w:rPr>
            </w:pPr>
            <w:r w:rsidRPr="002054EC">
              <w:rPr>
                <w:b/>
                <w:color w:val="282828"/>
                <w:sz w:val="22"/>
                <w:szCs w:val="22"/>
                <w:shd w:val="clear" w:color="auto" w:fill="FFFFFF"/>
              </w:rPr>
              <w:t>Динамика  сделок</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2054EC" w:rsidRPr="002054EC" w:rsidRDefault="002054EC" w:rsidP="00D102F8">
            <w:pPr>
              <w:spacing w:after="200" w:line="276" w:lineRule="auto"/>
              <w:contextualSpacing/>
              <w:jc w:val="center"/>
              <w:rPr>
                <w:b/>
                <w:color w:val="282828"/>
                <w:sz w:val="22"/>
                <w:szCs w:val="22"/>
                <w:shd w:val="clear" w:color="auto" w:fill="FFFFFF"/>
              </w:rPr>
            </w:pPr>
            <w:r w:rsidRPr="002054EC">
              <w:rPr>
                <w:b/>
                <w:color w:val="282828"/>
                <w:sz w:val="22"/>
                <w:szCs w:val="22"/>
                <w:shd w:val="clear" w:color="auto" w:fill="FFFFFF"/>
              </w:rPr>
              <w:t>2013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2054EC" w:rsidRPr="002054EC" w:rsidRDefault="002054EC" w:rsidP="00D102F8">
            <w:pPr>
              <w:spacing w:after="200" w:line="276" w:lineRule="auto"/>
              <w:contextualSpacing/>
              <w:jc w:val="center"/>
              <w:rPr>
                <w:b/>
                <w:color w:val="282828"/>
                <w:sz w:val="22"/>
                <w:szCs w:val="22"/>
                <w:shd w:val="clear" w:color="auto" w:fill="FFFFFF"/>
              </w:rPr>
            </w:pPr>
            <w:r w:rsidRPr="002054EC">
              <w:rPr>
                <w:b/>
                <w:color w:val="282828"/>
                <w:sz w:val="22"/>
                <w:szCs w:val="22"/>
                <w:shd w:val="clear" w:color="auto" w:fill="FFFFFF"/>
              </w:rPr>
              <w:t>2014</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2054EC" w:rsidRPr="002054EC" w:rsidRDefault="002054EC" w:rsidP="00D102F8">
            <w:pPr>
              <w:spacing w:after="200" w:line="276" w:lineRule="auto"/>
              <w:contextualSpacing/>
              <w:jc w:val="center"/>
              <w:rPr>
                <w:b/>
                <w:color w:val="282828"/>
                <w:sz w:val="22"/>
                <w:szCs w:val="22"/>
                <w:shd w:val="clear" w:color="auto" w:fill="FFFFFF"/>
              </w:rPr>
            </w:pPr>
            <w:r w:rsidRPr="002054EC">
              <w:rPr>
                <w:b/>
                <w:color w:val="282828"/>
                <w:sz w:val="22"/>
                <w:szCs w:val="22"/>
                <w:shd w:val="clear" w:color="auto" w:fill="FFFFFF"/>
              </w:rPr>
              <w:t>2015</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2054EC" w:rsidRPr="002054EC" w:rsidRDefault="002054EC" w:rsidP="00D102F8">
            <w:pPr>
              <w:spacing w:after="200" w:line="276" w:lineRule="auto"/>
              <w:contextualSpacing/>
              <w:jc w:val="center"/>
              <w:rPr>
                <w:b/>
                <w:color w:val="282828"/>
                <w:sz w:val="22"/>
                <w:szCs w:val="22"/>
                <w:shd w:val="clear" w:color="auto" w:fill="FFFFFF"/>
              </w:rPr>
            </w:pPr>
            <w:r w:rsidRPr="002054EC">
              <w:rPr>
                <w:b/>
                <w:color w:val="282828"/>
                <w:sz w:val="22"/>
                <w:szCs w:val="22"/>
                <w:shd w:val="clear" w:color="auto" w:fill="FFFFFF"/>
              </w:rPr>
              <w:t xml:space="preserve">2016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2054EC" w:rsidRPr="002054EC" w:rsidRDefault="002054EC" w:rsidP="00D102F8">
            <w:pPr>
              <w:spacing w:after="200" w:line="276" w:lineRule="auto"/>
              <w:contextualSpacing/>
              <w:jc w:val="center"/>
              <w:rPr>
                <w:b/>
                <w:color w:val="282828"/>
                <w:sz w:val="22"/>
                <w:szCs w:val="22"/>
                <w:shd w:val="clear" w:color="auto" w:fill="FFFFFF"/>
              </w:rPr>
            </w:pPr>
            <w:r w:rsidRPr="002054EC">
              <w:rPr>
                <w:b/>
                <w:color w:val="282828"/>
                <w:sz w:val="22"/>
                <w:szCs w:val="22"/>
                <w:shd w:val="clear" w:color="auto" w:fill="FFFFFF"/>
              </w:rPr>
              <w:t>(Январь-ноябрь) 2017</w:t>
            </w:r>
          </w:p>
        </w:tc>
        <w:tc>
          <w:tcPr>
            <w:tcW w:w="1668" w:type="dxa"/>
            <w:tcBorders>
              <w:top w:val="single" w:sz="8" w:space="0" w:color="auto"/>
              <w:left w:val="single" w:sz="8" w:space="0" w:color="auto"/>
              <w:bottom w:val="single" w:sz="8" w:space="0" w:color="auto"/>
              <w:right w:val="single" w:sz="8" w:space="0" w:color="auto"/>
            </w:tcBorders>
            <w:shd w:val="clear" w:color="auto" w:fill="auto"/>
            <w:vAlign w:val="center"/>
          </w:tcPr>
          <w:p w:rsidR="002054EC" w:rsidRPr="002054EC" w:rsidRDefault="002054EC" w:rsidP="00D102F8">
            <w:pPr>
              <w:spacing w:after="200" w:line="276" w:lineRule="auto"/>
              <w:contextualSpacing/>
              <w:jc w:val="center"/>
              <w:rPr>
                <w:b/>
                <w:color w:val="282828"/>
                <w:sz w:val="22"/>
                <w:szCs w:val="22"/>
                <w:shd w:val="clear" w:color="auto" w:fill="FFFFFF"/>
              </w:rPr>
            </w:pPr>
            <w:r w:rsidRPr="002054EC">
              <w:rPr>
                <w:b/>
                <w:color w:val="282828"/>
                <w:sz w:val="22"/>
                <w:szCs w:val="22"/>
                <w:shd w:val="clear" w:color="auto" w:fill="FFFFFF"/>
              </w:rPr>
              <w:t>2017(Прогноз)</w:t>
            </w:r>
          </w:p>
        </w:tc>
      </w:tr>
      <w:tr w:rsidR="002054EC" w:rsidRPr="00DA61E2" w:rsidTr="002054EC">
        <w:trPr>
          <w:trHeight w:val="595"/>
        </w:trPr>
        <w:tc>
          <w:tcPr>
            <w:tcW w:w="2802" w:type="dxa"/>
            <w:tcBorders>
              <w:top w:val="single" w:sz="8" w:space="0" w:color="auto"/>
            </w:tcBorders>
            <w:vAlign w:val="center"/>
          </w:tcPr>
          <w:p w:rsidR="002054EC" w:rsidRPr="002054EC" w:rsidRDefault="002054EC" w:rsidP="00D102F8">
            <w:pPr>
              <w:spacing w:after="200" w:line="276" w:lineRule="auto"/>
              <w:contextualSpacing/>
              <w:jc w:val="center"/>
              <w:rPr>
                <w:color w:val="282828"/>
                <w:sz w:val="22"/>
                <w:szCs w:val="22"/>
                <w:shd w:val="clear" w:color="auto" w:fill="FFFFFF"/>
              </w:rPr>
            </w:pPr>
            <w:r w:rsidRPr="002054EC">
              <w:rPr>
                <w:color w:val="282828"/>
                <w:sz w:val="22"/>
                <w:szCs w:val="22"/>
                <w:shd w:val="clear" w:color="auto" w:fill="FFFFFF"/>
              </w:rPr>
              <w:t>по сумме, $ млрд.</w:t>
            </w:r>
          </w:p>
        </w:tc>
        <w:tc>
          <w:tcPr>
            <w:tcW w:w="1701" w:type="dxa"/>
            <w:tcBorders>
              <w:top w:val="single" w:sz="8" w:space="0" w:color="auto"/>
            </w:tcBorders>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64,21 (без уч</w:t>
            </w:r>
            <w:r w:rsidRPr="002054EC">
              <w:rPr>
                <w:color w:val="282828"/>
                <w:sz w:val="22"/>
                <w:szCs w:val="22"/>
                <w:shd w:val="clear" w:color="auto" w:fill="FFFFFF"/>
              </w:rPr>
              <w:t>е</w:t>
            </w:r>
            <w:r w:rsidRPr="002054EC">
              <w:rPr>
                <w:color w:val="282828"/>
                <w:sz w:val="22"/>
                <w:szCs w:val="22"/>
                <w:shd w:val="clear" w:color="auto" w:fill="FFFFFF"/>
              </w:rPr>
              <w:t>та ТНК-ВР)</w:t>
            </w:r>
          </w:p>
        </w:tc>
        <w:tc>
          <w:tcPr>
            <w:tcW w:w="850" w:type="dxa"/>
            <w:tcBorders>
              <w:top w:val="single" w:sz="8" w:space="0" w:color="auto"/>
            </w:tcBorders>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46,39</w:t>
            </w:r>
          </w:p>
        </w:tc>
        <w:tc>
          <w:tcPr>
            <w:tcW w:w="992" w:type="dxa"/>
            <w:tcBorders>
              <w:top w:val="single" w:sz="8" w:space="0" w:color="auto"/>
            </w:tcBorders>
            <w:vAlign w:val="center"/>
          </w:tcPr>
          <w:p w:rsidR="002054EC" w:rsidRPr="002054EC" w:rsidRDefault="002054EC" w:rsidP="00D102F8">
            <w:pPr>
              <w:spacing w:after="200" w:line="276" w:lineRule="auto"/>
              <w:contextualSpacing/>
              <w:jc w:val="center"/>
              <w:rPr>
                <w:color w:val="282828"/>
                <w:sz w:val="22"/>
                <w:szCs w:val="22"/>
                <w:highlight w:val="lightGray"/>
                <w:shd w:val="clear" w:color="auto" w:fill="FFFFFF"/>
              </w:rPr>
            </w:pPr>
            <w:r w:rsidRPr="002054EC">
              <w:rPr>
                <w:color w:val="282828"/>
                <w:sz w:val="22"/>
                <w:szCs w:val="22"/>
                <w:shd w:val="clear" w:color="auto" w:fill="FFFFFF"/>
              </w:rPr>
              <w:t>47,01</w:t>
            </w:r>
          </w:p>
        </w:tc>
        <w:tc>
          <w:tcPr>
            <w:tcW w:w="851" w:type="dxa"/>
            <w:tcBorders>
              <w:top w:val="single" w:sz="8" w:space="0" w:color="auto"/>
            </w:tcBorders>
            <w:vAlign w:val="center"/>
          </w:tcPr>
          <w:p w:rsidR="002054EC" w:rsidRPr="002054EC" w:rsidRDefault="002054EC" w:rsidP="00D102F8">
            <w:pPr>
              <w:spacing w:after="200" w:line="276" w:lineRule="auto"/>
              <w:contextualSpacing/>
              <w:jc w:val="center"/>
              <w:rPr>
                <w:color w:val="282828"/>
                <w:sz w:val="22"/>
                <w:szCs w:val="22"/>
                <w:highlight w:val="lightGray"/>
                <w:shd w:val="clear" w:color="auto" w:fill="FFFFFF"/>
              </w:rPr>
            </w:pPr>
            <w:r w:rsidRPr="002054EC">
              <w:rPr>
                <w:color w:val="282828"/>
                <w:sz w:val="22"/>
                <w:szCs w:val="22"/>
                <w:shd w:val="clear" w:color="auto" w:fill="FFFFFF"/>
              </w:rPr>
              <w:t xml:space="preserve">41,02 </w:t>
            </w:r>
          </w:p>
        </w:tc>
        <w:tc>
          <w:tcPr>
            <w:tcW w:w="1134" w:type="dxa"/>
            <w:tcBorders>
              <w:top w:val="single" w:sz="8" w:space="0" w:color="auto"/>
            </w:tcBorders>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 xml:space="preserve">37,6 </w:t>
            </w:r>
          </w:p>
        </w:tc>
        <w:tc>
          <w:tcPr>
            <w:tcW w:w="1668" w:type="dxa"/>
            <w:tcBorders>
              <w:top w:val="single" w:sz="8" w:space="0" w:color="auto"/>
            </w:tcBorders>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42,00</w:t>
            </w:r>
          </w:p>
        </w:tc>
      </w:tr>
      <w:tr w:rsidR="002054EC" w:rsidRPr="00DA61E2" w:rsidTr="002054EC">
        <w:trPr>
          <w:trHeight w:val="314"/>
        </w:trPr>
        <w:tc>
          <w:tcPr>
            <w:tcW w:w="2802" w:type="dxa"/>
            <w:vAlign w:val="center"/>
          </w:tcPr>
          <w:p w:rsidR="002054EC" w:rsidRPr="002054EC" w:rsidRDefault="002054EC" w:rsidP="00D102F8">
            <w:pPr>
              <w:spacing w:after="200" w:line="276" w:lineRule="auto"/>
              <w:contextualSpacing/>
              <w:jc w:val="center"/>
              <w:rPr>
                <w:color w:val="282828"/>
                <w:sz w:val="22"/>
                <w:szCs w:val="22"/>
                <w:shd w:val="clear" w:color="auto" w:fill="FFFFFF"/>
              </w:rPr>
            </w:pPr>
            <w:r w:rsidRPr="002054EC">
              <w:rPr>
                <w:color w:val="282828"/>
                <w:sz w:val="22"/>
                <w:szCs w:val="22"/>
                <w:shd w:val="clear" w:color="auto" w:fill="FFFFFF"/>
              </w:rPr>
              <w:t>по числу</w:t>
            </w:r>
          </w:p>
        </w:tc>
        <w:tc>
          <w:tcPr>
            <w:tcW w:w="1701"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538</w:t>
            </w:r>
          </w:p>
        </w:tc>
        <w:tc>
          <w:tcPr>
            <w:tcW w:w="850"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492</w:t>
            </w:r>
          </w:p>
        </w:tc>
        <w:tc>
          <w:tcPr>
            <w:tcW w:w="992" w:type="dxa"/>
            <w:vAlign w:val="center"/>
          </w:tcPr>
          <w:p w:rsidR="002054EC" w:rsidRPr="002054EC" w:rsidRDefault="002054EC" w:rsidP="00D102F8">
            <w:pPr>
              <w:spacing w:after="200" w:line="276" w:lineRule="auto"/>
              <w:contextualSpacing/>
              <w:jc w:val="center"/>
              <w:rPr>
                <w:color w:val="282828"/>
                <w:sz w:val="22"/>
                <w:szCs w:val="22"/>
                <w:highlight w:val="lightGray"/>
                <w:shd w:val="clear" w:color="auto" w:fill="FFFFFF"/>
              </w:rPr>
            </w:pPr>
            <w:r w:rsidRPr="002054EC">
              <w:rPr>
                <w:color w:val="282828"/>
                <w:sz w:val="22"/>
                <w:szCs w:val="22"/>
                <w:shd w:val="clear" w:color="auto" w:fill="FFFFFF"/>
              </w:rPr>
              <w:t>448</w:t>
            </w:r>
          </w:p>
        </w:tc>
        <w:tc>
          <w:tcPr>
            <w:tcW w:w="851" w:type="dxa"/>
            <w:vAlign w:val="center"/>
          </w:tcPr>
          <w:p w:rsidR="002054EC" w:rsidRPr="002054EC" w:rsidRDefault="002054EC" w:rsidP="00D102F8">
            <w:pPr>
              <w:spacing w:after="200" w:line="276" w:lineRule="auto"/>
              <w:contextualSpacing/>
              <w:jc w:val="center"/>
              <w:rPr>
                <w:color w:val="282828"/>
                <w:sz w:val="22"/>
                <w:szCs w:val="22"/>
                <w:highlight w:val="lightGray"/>
                <w:shd w:val="clear" w:color="auto" w:fill="FFFFFF"/>
              </w:rPr>
            </w:pPr>
            <w:r w:rsidRPr="002054EC">
              <w:rPr>
                <w:color w:val="282828"/>
                <w:sz w:val="22"/>
                <w:szCs w:val="22"/>
                <w:shd w:val="clear" w:color="auto" w:fill="FFFFFF"/>
              </w:rPr>
              <w:t>452</w:t>
            </w:r>
            <w:r w:rsidRPr="002054EC">
              <w:rPr>
                <w:color w:val="282828"/>
                <w:sz w:val="22"/>
                <w:szCs w:val="22"/>
                <w:highlight w:val="lightGray"/>
                <w:shd w:val="clear" w:color="auto" w:fill="FFFFFF"/>
              </w:rPr>
              <w:t xml:space="preserve"> </w:t>
            </w:r>
          </w:p>
        </w:tc>
        <w:tc>
          <w:tcPr>
            <w:tcW w:w="1134"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472</w:t>
            </w:r>
          </w:p>
        </w:tc>
        <w:tc>
          <w:tcPr>
            <w:tcW w:w="1668"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490</w:t>
            </w:r>
          </w:p>
        </w:tc>
      </w:tr>
      <w:tr w:rsidR="002054EC" w:rsidRPr="00DA61E2" w:rsidTr="002054EC">
        <w:trPr>
          <w:trHeight w:val="732"/>
        </w:trPr>
        <w:tc>
          <w:tcPr>
            <w:tcW w:w="2802" w:type="dxa"/>
            <w:vAlign w:val="center"/>
          </w:tcPr>
          <w:p w:rsidR="002054EC" w:rsidRPr="002054EC" w:rsidRDefault="002054EC" w:rsidP="00D102F8">
            <w:pPr>
              <w:spacing w:after="200" w:line="276" w:lineRule="auto"/>
              <w:contextualSpacing/>
              <w:jc w:val="center"/>
              <w:rPr>
                <w:color w:val="282828"/>
                <w:sz w:val="22"/>
                <w:szCs w:val="22"/>
                <w:shd w:val="clear" w:color="auto" w:fill="FFFFFF"/>
              </w:rPr>
            </w:pPr>
            <w:r w:rsidRPr="002054EC">
              <w:rPr>
                <w:color w:val="282828"/>
                <w:sz w:val="22"/>
                <w:szCs w:val="22"/>
                <w:shd w:val="clear" w:color="auto" w:fill="FFFFFF"/>
              </w:rPr>
              <w:t>Сделки российских инв</w:t>
            </w:r>
            <w:r w:rsidRPr="002054EC">
              <w:rPr>
                <w:color w:val="282828"/>
                <w:sz w:val="22"/>
                <w:szCs w:val="22"/>
                <w:shd w:val="clear" w:color="auto" w:fill="FFFFFF"/>
              </w:rPr>
              <w:t>е</w:t>
            </w:r>
            <w:r w:rsidRPr="002054EC">
              <w:rPr>
                <w:color w:val="282828"/>
                <w:sz w:val="22"/>
                <w:szCs w:val="22"/>
                <w:shd w:val="clear" w:color="auto" w:fill="FFFFFF"/>
              </w:rPr>
              <w:t>сторов за рубежом (по сумме, $ млрд.)</w:t>
            </w:r>
          </w:p>
        </w:tc>
        <w:tc>
          <w:tcPr>
            <w:tcW w:w="1701"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5,95</w:t>
            </w:r>
          </w:p>
        </w:tc>
        <w:tc>
          <w:tcPr>
            <w:tcW w:w="850"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11,39</w:t>
            </w:r>
          </w:p>
        </w:tc>
        <w:tc>
          <w:tcPr>
            <w:tcW w:w="992"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10,36</w:t>
            </w:r>
          </w:p>
        </w:tc>
        <w:tc>
          <w:tcPr>
            <w:tcW w:w="851"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10,44</w:t>
            </w:r>
          </w:p>
        </w:tc>
        <w:tc>
          <w:tcPr>
            <w:tcW w:w="1134"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10,9</w:t>
            </w:r>
          </w:p>
        </w:tc>
        <w:tc>
          <w:tcPr>
            <w:tcW w:w="1668"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w:t>
            </w:r>
          </w:p>
        </w:tc>
      </w:tr>
      <w:tr w:rsidR="002054EC" w:rsidRPr="00DA61E2" w:rsidTr="002054EC">
        <w:trPr>
          <w:trHeight w:val="637"/>
        </w:trPr>
        <w:tc>
          <w:tcPr>
            <w:tcW w:w="2802" w:type="dxa"/>
            <w:vAlign w:val="center"/>
          </w:tcPr>
          <w:p w:rsidR="002054EC" w:rsidRPr="002054EC" w:rsidRDefault="002054EC" w:rsidP="00D102F8">
            <w:pPr>
              <w:spacing w:after="200" w:line="276" w:lineRule="auto"/>
              <w:contextualSpacing/>
              <w:jc w:val="center"/>
              <w:rPr>
                <w:color w:val="282828"/>
                <w:sz w:val="22"/>
                <w:szCs w:val="22"/>
                <w:shd w:val="clear" w:color="auto" w:fill="FFFFFF"/>
              </w:rPr>
            </w:pPr>
            <w:r w:rsidRPr="002054EC">
              <w:rPr>
                <w:color w:val="282828"/>
                <w:sz w:val="22"/>
                <w:szCs w:val="22"/>
                <w:shd w:val="clear" w:color="auto" w:fill="FFFFFF"/>
              </w:rPr>
              <w:t>Сделки российских инв</w:t>
            </w:r>
            <w:r w:rsidRPr="002054EC">
              <w:rPr>
                <w:color w:val="282828"/>
                <w:sz w:val="22"/>
                <w:szCs w:val="22"/>
                <w:shd w:val="clear" w:color="auto" w:fill="FFFFFF"/>
              </w:rPr>
              <w:t>е</w:t>
            </w:r>
            <w:r w:rsidRPr="002054EC">
              <w:rPr>
                <w:color w:val="282828"/>
                <w:sz w:val="22"/>
                <w:szCs w:val="22"/>
                <w:shd w:val="clear" w:color="auto" w:fill="FFFFFF"/>
              </w:rPr>
              <w:t>сторов за рубежом (по числу)</w:t>
            </w:r>
          </w:p>
        </w:tc>
        <w:tc>
          <w:tcPr>
            <w:tcW w:w="1701"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56</w:t>
            </w:r>
          </w:p>
        </w:tc>
        <w:tc>
          <w:tcPr>
            <w:tcW w:w="850"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42</w:t>
            </w:r>
          </w:p>
        </w:tc>
        <w:tc>
          <w:tcPr>
            <w:tcW w:w="992"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35</w:t>
            </w:r>
          </w:p>
        </w:tc>
        <w:tc>
          <w:tcPr>
            <w:tcW w:w="851"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38</w:t>
            </w:r>
          </w:p>
        </w:tc>
        <w:tc>
          <w:tcPr>
            <w:tcW w:w="1134"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40</w:t>
            </w:r>
          </w:p>
        </w:tc>
        <w:tc>
          <w:tcPr>
            <w:tcW w:w="1668"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w:t>
            </w:r>
          </w:p>
        </w:tc>
      </w:tr>
      <w:tr w:rsidR="002054EC" w:rsidRPr="002054EC" w:rsidTr="002054EC">
        <w:trPr>
          <w:trHeight w:val="247"/>
        </w:trPr>
        <w:tc>
          <w:tcPr>
            <w:tcW w:w="2802" w:type="dxa"/>
            <w:vAlign w:val="center"/>
          </w:tcPr>
          <w:p w:rsidR="002054EC" w:rsidRPr="002054EC" w:rsidRDefault="002054EC" w:rsidP="00D102F8">
            <w:pPr>
              <w:spacing w:after="200" w:line="276" w:lineRule="auto"/>
              <w:contextualSpacing/>
              <w:jc w:val="center"/>
              <w:rPr>
                <w:color w:val="282828"/>
                <w:sz w:val="22"/>
                <w:szCs w:val="22"/>
                <w:shd w:val="clear" w:color="auto" w:fill="FFFFFF"/>
              </w:rPr>
            </w:pPr>
            <w:r w:rsidRPr="002054EC">
              <w:rPr>
                <w:color w:val="282828"/>
                <w:sz w:val="22"/>
                <w:szCs w:val="22"/>
                <w:shd w:val="clear" w:color="auto" w:fill="FFFFFF"/>
              </w:rPr>
              <w:t>Сделки иностранных инв</w:t>
            </w:r>
            <w:r w:rsidRPr="002054EC">
              <w:rPr>
                <w:color w:val="282828"/>
                <w:sz w:val="22"/>
                <w:szCs w:val="22"/>
                <w:shd w:val="clear" w:color="auto" w:fill="FFFFFF"/>
              </w:rPr>
              <w:t>е</w:t>
            </w:r>
            <w:r w:rsidRPr="002054EC">
              <w:rPr>
                <w:color w:val="282828"/>
                <w:sz w:val="22"/>
                <w:szCs w:val="22"/>
                <w:shd w:val="clear" w:color="auto" w:fill="FFFFFF"/>
              </w:rPr>
              <w:t>сторов с российскими а</w:t>
            </w:r>
            <w:r w:rsidRPr="002054EC">
              <w:rPr>
                <w:color w:val="282828"/>
                <w:sz w:val="22"/>
                <w:szCs w:val="22"/>
                <w:shd w:val="clear" w:color="auto" w:fill="FFFFFF"/>
              </w:rPr>
              <w:t>к</w:t>
            </w:r>
            <w:r w:rsidRPr="002054EC">
              <w:rPr>
                <w:color w:val="282828"/>
                <w:sz w:val="22"/>
                <w:szCs w:val="22"/>
                <w:shd w:val="clear" w:color="auto" w:fill="FFFFFF"/>
              </w:rPr>
              <w:t>тивами (по сумме, $ млрд.)</w:t>
            </w:r>
          </w:p>
        </w:tc>
        <w:tc>
          <w:tcPr>
            <w:tcW w:w="1701"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5,35</w:t>
            </w:r>
          </w:p>
        </w:tc>
        <w:tc>
          <w:tcPr>
            <w:tcW w:w="850"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12,04</w:t>
            </w:r>
          </w:p>
        </w:tc>
        <w:tc>
          <w:tcPr>
            <w:tcW w:w="992"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12,2</w:t>
            </w:r>
          </w:p>
        </w:tc>
        <w:tc>
          <w:tcPr>
            <w:tcW w:w="851"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10,69</w:t>
            </w:r>
          </w:p>
        </w:tc>
        <w:tc>
          <w:tcPr>
            <w:tcW w:w="1134"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9,93</w:t>
            </w:r>
          </w:p>
        </w:tc>
        <w:tc>
          <w:tcPr>
            <w:tcW w:w="1668"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w:t>
            </w:r>
          </w:p>
        </w:tc>
      </w:tr>
      <w:tr w:rsidR="002054EC" w:rsidRPr="002054EC" w:rsidTr="002054EC">
        <w:trPr>
          <w:trHeight w:val="771"/>
        </w:trPr>
        <w:tc>
          <w:tcPr>
            <w:tcW w:w="2802" w:type="dxa"/>
            <w:vAlign w:val="center"/>
          </w:tcPr>
          <w:p w:rsidR="002054EC" w:rsidRPr="002054EC" w:rsidRDefault="002054EC" w:rsidP="00D102F8">
            <w:pPr>
              <w:spacing w:after="200" w:line="276" w:lineRule="auto"/>
              <w:contextualSpacing/>
              <w:jc w:val="center"/>
              <w:rPr>
                <w:color w:val="282828"/>
                <w:sz w:val="22"/>
                <w:szCs w:val="22"/>
                <w:shd w:val="clear" w:color="auto" w:fill="FFFFFF"/>
              </w:rPr>
            </w:pPr>
            <w:r w:rsidRPr="002054EC">
              <w:rPr>
                <w:color w:val="282828"/>
                <w:sz w:val="22"/>
                <w:szCs w:val="22"/>
                <w:shd w:val="clear" w:color="auto" w:fill="FFFFFF"/>
              </w:rPr>
              <w:t>Сделки иностранных инв</w:t>
            </w:r>
            <w:r w:rsidRPr="002054EC">
              <w:rPr>
                <w:color w:val="282828"/>
                <w:sz w:val="22"/>
                <w:szCs w:val="22"/>
                <w:shd w:val="clear" w:color="auto" w:fill="FFFFFF"/>
              </w:rPr>
              <w:t>е</w:t>
            </w:r>
            <w:r w:rsidRPr="002054EC">
              <w:rPr>
                <w:color w:val="282828"/>
                <w:sz w:val="22"/>
                <w:szCs w:val="22"/>
                <w:shd w:val="clear" w:color="auto" w:fill="FFFFFF"/>
              </w:rPr>
              <w:t>сторов с российскими а</w:t>
            </w:r>
            <w:r w:rsidRPr="002054EC">
              <w:rPr>
                <w:color w:val="282828"/>
                <w:sz w:val="22"/>
                <w:szCs w:val="22"/>
                <w:shd w:val="clear" w:color="auto" w:fill="FFFFFF"/>
              </w:rPr>
              <w:t>к</w:t>
            </w:r>
            <w:r w:rsidRPr="002054EC">
              <w:rPr>
                <w:color w:val="282828"/>
                <w:sz w:val="22"/>
                <w:szCs w:val="22"/>
                <w:shd w:val="clear" w:color="auto" w:fill="FFFFFF"/>
              </w:rPr>
              <w:t>тивами (по числу)</w:t>
            </w:r>
          </w:p>
        </w:tc>
        <w:tc>
          <w:tcPr>
            <w:tcW w:w="1701"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57</w:t>
            </w:r>
          </w:p>
        </w:tc>
        <w:tc>
          <w:tcPr>
            <w:tcW w:w="850"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61</w:t>
            </w:r>
          </w:p>
        </w:tc>
        <w:tc>
          <w:tcPr>
            <w:tcW w:w="992"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53</w:t>
            </w:r>
          </w:p>
        </w:tc>
        <w:tc>
          <w:tcPr>
            <w:tcW w:w="851"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57</w:t>
            </w:r>
          </w:p>
        </w:tc>
        <w:tc>
          <w:tcPr>
            <w:tcW w:w="1134"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60</w:t>
            </w:r>
          </w:p>
        </w:tc>
        <w:tc>
          <w:tcPr>
            <w:tcW w:w="1668" w:type="dxa"/>
            <w:vAlign w:val="center"/>
          </w:tcPr>
          <w:p w:rsidR="002054EC" w:rsidRPr="002054EC" w:rsidRDefault="002054EC" w:rsidP="00D102F8">
            <w:pPr>
              <w:spacing w:after="200" w:line="360" w:lineRule="auto"/>
              <w:contextualSpacing/>
              <w:jc w:val="center"/>
              <w:rPr>
                <w:color w:val="282828"/>
                <w:sz w:val="22"/>
                <w:szCs w:val="22"/>
                <w:shd w:val="clear" w:color="auto" w:fill="FFFFFF"/>
              </w:rPr>
            </w:pPr>
            <w:r w:rsidRPr="002054EC">
              <w:rPr>
                <w:color w:val="282828"/>
                <w:sz w:val="22"/>
                <w:szCs w:val="22"/>
                <w:shd w:val="clear" w:color="auto" w:fill="FFFFFF"/>
              </w:rPr>
              <w:t>-</w:t>
            </w:r>
          </w:p>
        </w:tc>
      </w:tr>
    </w:tbl>
    <w:p w:rsidR="002054EC" w:rsidRPr="002054EC" w:rsidRDefault="002054EC" w:rsidP="002054EC">
      <w:pPr>
        <w:spacing w:line="360" w:lineRule="auto"/>
        <w:contextualSpacing/>
        <w:jc w:val="center"/>
      </w:pPr>
      <w:r w:rsidRPr="002054EC">
        <w:lastRenderedPageBreak/>
        <w:t xml:space="preserve">Составлено по: Статистика </w:t>
      </w:r>
      <w:r w:rsidRPr="002054EC">
        <w:rPr>
          <w:lang w:val="en-US"/>
        </w:rPr>
        <w:t>M</w:t>
      </w:r>
      <w:r w:rsidRPr="002054EC">
        <w:t>&amp;</w:t>
      </w:r>
      <w:r w:rsidRPr="002054EC">
        <w:rPr>
          <w:lang w:val="en-US"/>
        </w:rPr>
        <w:t>A</w:t>
      </w:r>
      <w:r w:rsidRPr="002054EC">
        <w:t xml:space="preserve"> за 2014 год // http://www.akm.ru/rus/ma/stat/2014/11.htm</w:t>
      </w:r>
    </w:p>
    <w:p w:rsidR="00AB0517" w:rsidRPr="00DD2BE3" w:rsidRDefault="00CD22F4" w:rsidP="00DD2BE3">
      <w:pPr>
        <w:spacing w:line="360" w:lineRule="auto"/>
        <w:ind w:firstLine="709"/>
        <w:contextualSpacing/>
        <w:jc w:val="both"/>
      </w:pPr>
      <w:r w:rsidRPr="00CD22F4">
        <w:rPr>
          <w:shd w:val="clear" w:color="auto" w:fill="FFFFFF"/>
        </w:rPr>
        <w:t xml:space="preserve">Как показывает анализ показателей динамики российского рынка </w:t>
      </w:r>
      <w:r w:rsidRPr="00CD22F4">
        <w:rPr>
          <w:shd w:val="clear" w:color="auto" w:fill="FFFFFF"/>
          <w:lang w:val="en-US"/>
        </w:rPr>
        <w:t>M</w:t>
      </w:r>
      <w:r w:rsidRPr="00CD22F4">
        <w:rPr>
          <w:shd w:val="clear" w:color="auto" w:fill="FFFFFF"/>
        </w:rPr>
        <w:t>&amp;</w:t>
      </w:r>
      <w:r w:rsidRPr="00CD22F4">
        <w:rPr>
          <w:shd w:val="clear" w:color="auto" w:fill="FFFFFF"/>
          <w:lang w:val="en-US"/>
        </w:rPr>
        <w:t>A</w:t>
      </w:r>
      <w:r w:rsidRPr="00CD22F4">
        <w:rPr>
          <w:shd w:val="clear" w:color="auto" w:fill="FFFFFF"/>
        </w:rPr>
        <w:t>, 2017 г. п</w:t>
      </w:r>
      <w:r w:rsidRPr="00CD22F4">
        <w:rPr>
          <w:shd w:val="clear" w:color="auto" w:fill="FFFFFF"/>
        </w:rPr>
        <w:t>о</w:t>
      </w:r>
      <w:r w:rsidRPr="00CD22F4">
        <w:rPr>
          <w:shd w:val="clear" w:color="auto" w:fill="FFFFFF"/>
        </w:rPr>
        <w:t>казывает впечатляющую динамику M&amp;A активности. В рублевом выражении рынок в я</w:t>
      </w:r>
      <w:r w:rsidRPr="00CD22F4">
        <w:rPr>
          <w:shd w:val="clear" w:color="auto" w:fill="FFFFFF"/>
        </w:rPr>
        <w:t>н</w:t>
      </w:r>
      <w:r w:rsidRPr="00CD22F4">
        <w:rPr>
          <w:shd w:val="clear" w:color="auto" w:fill="FFFFFF"/>
        </w:rPr>
        <w:t xml:space="preserve">варе-марте 2017 года вырос в 1,5 раза, до 509,56 млрд. руб. по сравнению с аналогичным периодом прошлого года. Ожидается, что прирост рынка M&amp;A </w:t>
      </w:r>
      <w:r>
        <w:rPr>
          <w:shd w:val="clear" w:color="auto" w:fill="FFFFFF"/>
        </w:rPr>
        <w:t>в дальнейшем</w:t>
      </w:r>
      <w:r w:rsidRPr="00CD22F4">
        <w:rPr>
          <w:shd w:val="clear" w:color="auto" w:fill="FFFFFF"/>
        </w:rPr>
        <w:t xml:space="preserve"> может с</w:t>
      </w:r>
      <w:r w:rsidRPr="00CD22F4">
        <w:rPr>
          <w:shd w:val="clear" w:color="auto" w:fill="FFFFFF"/>
        </w:rPr>
        <w:t>о</w:t>
      </w:r>
      <w:r w:rsidRPr="00CD22F4">
        <w:rPr>
          <w:shd w:val="clear" w:color="auto" w:fill="FFFFFF"/>
        </w:rPr>
        <w:t xml:space="preserve">ставить 40-45% по суммарной </w:t>
      </w:r>
      <w:r w:rsidRPr="00AB0517">
        <w:rPr>
          <w:shd w:val="clear" w:color="auto" w:fill="FFFFFF"/>
        </w:rPr>
        <w:t>стоимости сделок и 15-20% по числу транзакций по сравн</w:t>
      </w:r>
      <w:r w:rsidRPr="00AB0517">
        <w:rPr>
          <w:shd w:val="clear" w:color="auto" w:fill="FFFFFF"/>
        </w:rPr>
        <w:t>е</w:t>
      </w:r>
      <w:r w:rsidRPr="00AB0517">
        <w:rPr>
          <w:shd w:val="clear" w:color="auto" w:fill="FFFFFF"/>
        </w:rPr>
        <w:t xml:space="preserve">нию с первым полугодием этого года. </w:t>
      </w:r>
      <w:r w:rsidR="00AB0517" w:rsidRPr="00AB0517">
        <w:rPr>
          <w:shd w:val="clear" w:color="auto" w:fill="FFFFFF"/>
        </w:rPr>
        <w:t>В 201</w:t>
      </w:r>
      <w:r w:rsidR="00AB0517">
        <w:rPr>
          <w:shd w:val="clear" w:color="auto" w:fill="FFFFFF"/>
        </w:rPr>
        <w:t>4</w:t>
      </w:r>
      <w:r w:rsidR="00AB0517" w:rsidRPr="00AB0517">
        <w:rPr>
          <w:shd w:val="clear" w:color="auto" w:fill="FFFFFF"/>
        </w:rPr>
        <w:t xml:space="preserve"> году наблюдался резкий </w:t>
      </w:r>
      <w:r w:rsidR="00AB0517">
        <w:rPr>
          <w:shd w:val="clear" w:color="auto" w:fill="FFFFFF"/>
        </w:rPr>
        <w:t>спад</w:t>
      </w:r>
      <w:r w:rsidR="00AB0517" w:rsidRPr="00AB0517">
        <w:rPr>
          <w:shd w:val="clear" w:color="auto" w:fill="FFFFFF"/>
        </w:rPr>
        <w:t xml:space="preserve"> сделок по сл</w:t>
      </w:r>
      <w:r w:rsidR="00AB0517" w:rsidRPr="00AB0517">
        <w:rPr>
          <w:shd w:val="clear" w:color="auto" w:fill="FFFFFF"/>
        </w:rPr>
        <w:t>и</w:t>
      </w:r>
      <w:r w:rsidR="00AB0517" w:rsidRPr="00AB0517">
        <w:rPr>
          <w:shd w:val="clear" w:color="auto" w:fill="FFFFFF"/>
        </w:rPr>
        <w:t>яниям и поглощениям по сравнению с 201</w:t>
      </w:r>
      <w:r w:rsidR="00580CB2">
        <w:rPr>
          <w:shd w:val="clear" w:color="auto" w:fill="FFFFFF"/>
        </w:rPr>
        <w:t>3</w:t>
      </w:r>
      <w:r w:rsidR="00AB0517" w:rsidRPr="00AB0517">
        <w:rPr>
          <w:shd w:val="clear" w:color="auto" w:fill="FFFFFF"/>
        </w:rPr>
        <w:t xml:space="preserve"> годом</w:t>
      </w:r>
      <w:r w:rsidR="00E03FED">
        <w:rPr>
          <w:shd w:val="clear" w:color="auto" w:fill="FFFFFF"/>
        </w:rPr>
        <w:t>, который в дальнейшем отразился на результатах 2015 года</w:t>
      </w:r>
      <w:r w:rsidR="00AB0517" w:rsidRPr="00AB0517">
        <w:rPr>
          <w:shd w:val="clear" w:color="auto" w:fill="FFFFFF"/>
        </w:rPr>
        <w:t>: у</w:t>
      </w:r>
      <w:r w:rsidR="00580CB2">
        <w:rPr>
          <w:shd w:val="clear" w:color="auto" w:fill="FFFFFF"/>
        </w:rPr>
        <w:t>меньш</w:t>
      </w:r>
      <w:r w:rsidR="00AB0517" w:rsidRPr="00AB0517">
        <w:rPr>
          <w:shd w:val="clear" w:color="auto" w:fill="FFFFFF"/>
        </w:rPr>
        <w:t xml:space="preserve">ение </w:t>
      </w:r>
      <w:r w:rsidR="00580CB2">
        <w:rPr>
          <w:shd w:val="clear" w:color="auto" w:fill="FFFFFF"/>
        </w:rPr>
        <w:t>примерно на 1/3</w:t>
      </w:r>
      <w:r w:rsidR="00AB0517" w:rsidRPr="00AB0517">
        <w:rPr>
          <w:shd w:val="clear" w:color="auto" w:fill="FFFFFF"/>
        </w:rPr>
        <w:t xml:space="preserve"> с </w:t>
      </w:r>
      <w:r w:rsidR="00580CB2">
        <w:rPr>
          <w:shd w:val="clear" w:color="auto" w:fill="FFFFFF"/>
        </w:rPr>
        <w:t>64</w:t>
      </w:r>
      <w:r w:rsidR="00AB0517" w:rsidRPr="00AB0517">
        <w:rPr>
          <w:shd w:val="clear" w:color="auto" w:fill="FFFFFF"/>
        </w:rPr>
        <w:t>,2</w:t>
      </w:r>
      <w:r w:rsidR="00580CB2">
        <w:rPr>
          <w:shd w:val="clear" w:color="auto" w:fill="FFFFFF"/>
        </w:rPr>
        <w:t>1</w:t>
      </w:r>
      <w:r w:rsidR="00AB0517" w:rsidRPr="00AB0517">
        <w:rPr>
          <w:shd w:val="clear" w:color="auto" w:fill="FFFFFF"/>
        </w:rPr>
        <w:t xml:space="preserve"> миллиардов долларов до </w:t>
      </w:r>
      <w:r w:rsidR="00580CB2">
        <w:rPr>
          <w:shd w:val="clear" w:color="auto" w:fill="FFFFFF"/>
        </w:rPr>
        <w:t>4</w:t>
      </w:r>
      <w:r w:rsidR="00AB0517" w:rsidRPr="00AB0517">
        <w:rPr>
          <w:shd w:val="clear" w:color="auto" w:fill="FFFFFF"/>
        </w:rPr>
        <w:t>6,3</w:t>
      </w:r>
      <w:r w:rsidR="00580CB2">
        <w:rPr>
          <w:shd w:val="clear" w:color="auto" w:fill="FFFFFF"/>
        </w:rPr>
        <w:t>9</w:t>
      </w:r>
      <w:r w:rsidR="00AB0517" w:rsidRPr="00AB0517">
        <w:rPr>
          <w:shd w:val="clear" w:color="auto" w:fill="FFFFFF"/>
        </w:rPr>
        <w:t xml:space="preserve"> миллиардов долларов</w:t>
      </w:r>
      <w:r w:rsidR="00E03FED">
        <w:rPr>
          <w:shd w:val="clear" w:color="auto" w:fill="FFFFFF"/>
        </w:rPr>
        <w:t>.</w:t>
      </w:r>
      <w:r w:rsidR="00AB0517" w:rsidRPr="00AB0517">
        <w:rPr>
          <w:shd w:val="clear" w:color="auto" w:fill="FFFFFF"/>
        </w:rPr>
        <w:t xml:space="preserve"> Причем, существенной чертой 201</w:t>
      </w:r>
      <w:r w:rsidR="00E03FED">
        <w:rPr>
          <w:shd w:val="clear" w:color="auto" w:fill="FFFFFF"/>
        </w:rPr>
        <w:t>5</w:t>
      </w:r>
      <w:r w:rsidR="00AB0517" w:rsidRPr="00AB0517">
        <w:rPr>
          <w:shd w:val="clear" w:color="auto" w:fill="FFFFFF"/>
        </w:rPr>
        <w:t xml:space="preserve"> года является то, что в период с января по октябрь прошлого года сумма сделок M&amp;A </w:t>
      </w:r>
      <w:r w:rsidR="00E03FED">
        <w:rPr>
          <w:shd w:val="clear" w:color="auto" w:fill="FFFFFF"/>
        </w:rPr>
        <w:t>едва</w:t>
      </w:r>
      <w:r w:rsidR="00AB0517" w:rsidRPr="00AB0517">
        <w:rPr>
          <w:shd w:val="clear" w:color="auto" w:fill="FFFFFF"/>
        </w:rPr>
        <w:t xml:space="preserve"> превысила отметку в </w:t>
      </w:r>
      <w:r w:rsidR="00E03FED">
        <w:rPr>
          <w:shd w:val="clear" w:color="auto" w:fill="FFFFFF"/>
        </w:rPr>
        <w:t>22</w:t>
      </w:r>
      <w:r w:rsidR="00AB0517" w:rsidRPr="00AB0517">
        <w:rPr>
          <w:shd w:val="clear" w:color="auto" w:fill="FFFFFF"/>
        </w:rPr>
        <w:t xml:space="preserve"> милл</w:t>
      </w:r>
      <w:r w:rsidR="00AB0517" w:rsidRPr="00AB0517">
        <w:rPr>
          <w:shd w:val="clear" w:color="auto" w:fill="FFFFFF"/>
        </w:rPr>
        <w:t>и</w:t>
      </w:r>
      <w:r w:rsidR="00AB0517" w:rsidRPr="00AB0517">
        <w:rPr>
          <w:shd w:val="clear" w:color="auto" w:fill="FFFFFF"/>
        </w:rPr>
        <w:t>ардов долларов. Если для сравнения рассмотреть тот же временной период, но уже в 201</w:t>
      </w:r>
      <w:r w:rsidR="00E03FED">
        <w:rPr>
          <w:shd w:val="clear" w:color="auto" w:fill="FFFFFF"/>
        </w:rPr>
        <w:t>3</w:t>
      </w:r>
      <w:r w:rsidR="00AB0517" w:rsidRPr="00AB0517">
        <w:rPr>
          <w:shd w:val="clear" w:color="auto" w:fill="FFFFFF"/>
        </w:rPr>
        <w:t xml:space="preserve"> году, то сумма сделок тогда была в 2 раза </w:t>
      </w:r>
      <w:r w:rsidR="00E03FED">
        <w:rPr>
          <w:shd w:val="clear" w:color="auto" w:fill="FFFFFF"/>
        </w:rPr>
        <w:t>больше</w:t>
      </w:r>
      <w:r w:rsidR="00AB0517" w:rsidRPr="00AB0517">
        <w:rPr>
          <w:shd w:val="clear" w:color="auto" w:fill="FFFFFF"/>
        </w:rPr>
        <w:t>.</w:t>
      </w:r>
      <w:r w:rsidR="000D04A6" w:rsidRPr="000D04A6">
        <w:rPr>
          <w:rStyle w:val="a6"/>
          <w:shd w:val="clear" w:color="auto" w:fill="FFFFFF"/>
        </w:rPr>
        <w:t xml:space="preserve"> </w:t>
      </w:r>
      <w:r w:rsidR="00AB0517" w:rsidRPr="00AB0517">
        <w:rPr>
          <w:shd w:val="clear" w:color="auto" w:fill="FFFFFF"/>
        </w:rPr>
        <w:t>Стремитель</w:t>
      </w:r>
      <w:r w:rsidR="00E03FED">
        <w:rPr>
          <w:shd w:val="clear" w:color="auto" w:fill="FFFFFF"/>
        </w:rPr>
        <w:t>ный спад</w:t>
      </w:r>
      <w:r w:rsidR="00AB0517" w:rsidRPr="00AB0517">
        <w:rPr>
          <w:shd w:val="clear" w:color="auto" w:fill="FFFFFF"/>
        </w:rPr>
        <w:t xml:space="preserve"> на российском рынке M&amp;A</w:t>
      </w:r>
      <w:r w:rsidR="00A6094F">
        <w:rPr>
          <w:shd w:val="clear" w:color="auto" w:fill="FFFFFF"/>
        </w:rPr>
        <w:t>, который длился вплоть до 2016 года</w:t>
      </w:r>
      <w:r w:rsidR="00D76ABE">
        <w:rPr>
          <w:shd w:val="clear" w:color="auto" w:fill="FFFFFF"/>
        </w:rPr>
        <w:t>,</w:t>
      </w:r>
      <w:r w:rsidR="00AB0517" w:rsidRPr="00AB0517">
        <w:rPr>
          <w:shd w:val="clear" w:color="auto" w:fill="FFFFFF"/>
        </w:rPr>
        <w:t xml:space="preserve"> </w:t>
      </w:r>
      <w:r w:rsidR="00AB0517" w:rsidRPr="00D76ABE">
        <w:rPr>
          <w:shd w:val="clear" w:color="auto" w:fill="FFFFFF"/>
        </w:rPr>
        <w:t xml:space="preserve">объясняется </w:t>
      </w:r>
      <w:r w:rsidR="00D76ABE" w:rsidRPr="00D76ABE">
        <w:rPr>
          <w:shd w:val="clear" w:color="auto" w:fill="FFFFFF"/>
        </w:rPr>
        <w:t>внешнеполитическ</w:t>
      </w:r>
      <w:r w:rsidR="00D76ABE">
        <w:rPr>
          <w:shd w:val="clear" w:color="auto" w:fill="FFFFFF"/>
        </w:rPr>
        <w:t>ой</w:t>
      </w:r>
      <w:r w:rsidR="00D76ABE" w:rsidRPr="00D76ABE">
        <w:rPr>
          <w:shd w:val="clear" w:color="auto" w:fill="FFFFFF"/>
        </w:rPr>
        <w:t xml:space="preserve"> н</w:t>
      </w:r>
      <w:r w:rsidR="00D76ABE" w:rsidRPr="00D76ABE">
        <w:rPr>
          <w:shd w:val="clear" w:color="auto" w:fill="FFFFFF"/>
        </w:rPr>
        <w:t>е</w:t>
      </w:r>
      <w:r w:rsidR="00D76ABE" w:rsidRPr="00D76ABE">
        <w:rPr>
          <w:shd w:val="clear" w:color="auto" w:fill="FFFFFF"/>
        </w:rPr>
        <w:t xml:space="preserve">стабильностью, </w:t>
      </w:r>
      <w:r w:rsidR="009C25DB" w:rsidRPr="00D76ABE">
        <w:rPr>
          <w:shd w:val="clear" w:color="auto" w:fill="FFFFFF"/>
        </w:rPr>
        <w:t>ослаблением рубля и общей стагнац</w:t>
      </w:r>
      <w:r w:rsidR="009C25DB">
        <w:rPr>
          <w:shd w:val="clear" w:color="auto" w:fill="FFFFFF"/>
        </w:rPr>
        <w:t>ией экономического роста</w:t>
      </w:r>
      <w:r w:rsidR="00AB0517" w:rsidRPr="00AB0517">
        <w:rPr>
          <w:shd w:val="clear" w:color="auto" w:fill="FFFFFF"/>
        </w:rPr>
        <w:t>.</w:t>
      </w:r>
      <w:r w:rsidR="00D76ABE" w:rsidRPr="00D76ABE">
        <w:rPr>
          <w:rStyle w:val="a6"/>
          <w:shd w:val="clear" w:color="auto" w:fill="FFFFFF"/>
        </w:rPr>
        <w:footnoteReference w:id="54"/>
      </w:r>
      <w:r w:rsidR="00D76ABE" w:rsidRPr="00D76ABE">
        <w:t xml:space="preserve"> </w:t>
      </w:r>
      <w:r w:rsidR="00AB0517" w:rsidRPr="000D04A6">
        <w:rPr>
          <w:shd w:val="clear" w:color="auto" w:fill="FFFFFF"/>
        </w:rPr>
        <w:t>Однако</w:t>
      </w:r>
      <w:r w:rsidR="00CB0FE4" w:rsidRPr="00CB0FE4">
        <w:rPr>
          <w:shd w:val="clear" w:color="auto" w:fill="FFFFFF"/>
        </w:rPr>
        <w:t xml:space="preserve"> </w:t>
      </w:r>
      <w:proofErr w:type="gramStart"/>
      <w:r w:rsidR="00CB0FE4">
        <w:rPr>
          <w:shd w:val="clear" w:color="auto" w:fill="FFFFFF"/>
        </w:rPr>
        <w:t>рынок</w:t>
      </w:r>
      <w:proofErr w:type="gramEnd"/>
      <w:r w:rsidR="00CB0FE4">
        <w:rPr>
          <w:shd w:val="clear" w:color="auto" w:fill="FFFFFF"/>
        </w:rPr>
        <w:t xml:space="preserve"> наконец преодолел </w:t>
      </w:r>
      <w:r w:rsidR="00744164">
        <w:rPr>
          <w:shd w:val="clear" w:color="auto" w:fill="FFFFFF"/>
        </w:rPr>
        <w:t>кризисный момент</w:t>
      </w:r>
      <w:r w:rsidR="00D6264A">
        <w:rPr>
          <w:shd w:val="clear" w:color="auto" w:fill="FFFFFF"/>
        </w:rPr>
        <w:t>,</w:t>
      </w:r>
      <w:r w:rsidR="00CB0FE4">
        <w:rPr>
          <w:shd w:val="clear" w:color="auto" w:fill="FFFFFF"/>
        </w:rPr>
        <w:t xml:space="preserve"> и</w:t>
      </w:r>
      <w:r w:rsidR="00AB0517" w:rsidRPr="000D04A6">
        <w:rPr>
          <w:shd w:val="clear" w:color="auto" w:fill="FFFFFF"/>
        </w:rPr>
        <w:t xml:space="preserve"> в 201</w:t>
      </w:r>
      <w:r w:rsidR="000D04A6" w:rsidRPr="000D04A6">
        <w:rPr>
          <w:shd w:val="clear" w:color="auto" w:fill="FFFFFF"/>
        </w:rPr>
        <w:t>7</w:t>
      </w:r>
      <w:r w:rsidR="00AB0517" w:rsidRPr="000D04A6">
        <w:rPr>
          <w:shd w:val="clear" w:color="auto" w:fill="FFFFFF"/>
        </w:rPr>
        <w:t xml:space="preserve"> году объем рынка </w:t>
      </w:r>
      <w:r w:rsidR="000D04A6" w:rsidRPr="000D04A6">
        <w:rPr>
          <w:shd w:val="clear" w:color="auto" w:fill="FFFFFF"/>
        </w:rPr>
        <w:t>вырос</w:t>
      </w:r>
      <w:r w:rsidR="00AB0517" w:rsidRPr="000D04A6">
        <w:rPr>
          <w:shd w:val="clear" w:color="auto" w:fill="FFFFFF"/>
        </w:rPr>
        <w:t xml:space="preserve"> как по стоимостному, так и по количественному показателям.</w:t>
      </w:r>
      <w:r w:rsidR="00D76ABE" w:rsidRPr="00D76ABE">
        <w:rPr>
          <w:shd w:val="clear" w:color="auto" w:fill="FFFFFF"/>
        </w:rPr>
        <w:t xml:space="preserve"> </w:t>
      </w:r>
      <w:r w:rsidR="00D76ABE" w:rsidRPr="00CD22F4">
        <w:rPr>
          <w:shd w:val="clear" w:color="auto" w:fill="FFFFFF"/>
        </w:rPr>
        <w:t>В число перспективных отраслей, опережающих по темпам роста остальные, вошли сельское хозяйство, ритейл, IT и фарм</w:t>
      </w:r>
      <w:r w:rsidR="00D76ABE" w:rsidRPr="00CD22F4">
        <w:rPr>
          <w:shd w:val="clear" w:color="auto" w:fill="FFFFFF"/>
        </w:rPr>
        <w:t>а</w:t>
      </w:r>
      <w:r w:rsidR="00D76ABE" w:rsidRPr="00CD22F4">
        <w:rPr>
          <w:shd w:val="clear" w:color="auto" w:fill="FFFFFF"/>
        </w:rPr>
        <w:t>цевтика.</w:t>
      </w:r>
    </w:p>
    <w:p w:rsidR="008F3574" w:rsidRDefault="00D6264A" w:rsidP="002A6FF1">
      <w:pPr>
        <w:spacing w:line="360" w:lineRule="auto"/>
        <w:ind w:firstLine="709"/>
        <w:contextualSpacing/>
        <w:jc w:val="both"/>
        <w:rPr>
          <w:noProof/>
        </w:rPr>
      </w:pPr>
      <w:proofErr w:type="gramStart"/>
      <w:r w:rsidRPr="00D6264A">
        <w:rPr>
          <w:shd w:val="clear" w:color="auto" w:fill="FFFFFF"/>
        </w:rPr>
        <w:t>Касательно сделок иностранных инвесторов с российскими активами, ввиду резк</w:t>
      </w:r>
      <w:r w:rsidRPr="00D6264A">
        <w:rPr>
          <w:shd w:val="clear" w:color="auto" w:fill="FFFFFF"/>
        </w:rPr>
        <w:t>о</w:t>
      </w:r>
      <w:r w:rsidRPr="00D6264A">
        <w:rPr>
          <w:shd w:val="clear" w:color="auto" w:fill="FFFFFF"/>
        </w:rPr>
        <w:t xml:space="preserve">го </w:t>
      </w:r>
      <w:r w:rsidRPr="00484D2C">
        <w:rPr>
          <w:shd w:val="clear" w:color="auto" w:fill="FFFFFF"/>
        </w:rPr>
        <w:t xml:space="preserve">прироста в III квартале, который стал одним из лучших за последние годы, их общая сумма составила за </w:t>
      </w:r>
      <w:r w:rsidR="00096A68" w:rsidRPr="00484D2C">
        <w:rPr>
          <w:shd w:val="clear" w:color="auto" w:fill="FFFFFF"/>
        </w:rPr>
        <w:t>десять</w:t>
      </w:r>
      <w:r w:rsidRPr="00484D2C">
        <w:rPr>
          <w:shd w:val="clear" w:color="auto" w:fill="FFFFFF"/>
        </w:rPr>
        <w:t xml:space="preserve"> месяцев 201</w:t>
      </w:r>
      <w:r w:rsidR="00096A68" w:rsidRPr="00484D2C">
        <w:rPr>
          <w:shd w:val="clear" w:color="auto" w:fill="FFFFFF"/>
        </w:rPr>
        <w:t>7</w:t>
      </w:r>
      <w:r w:rsidRPr="00484D2C">
        <w:rPr>
          <w:shd w:val="clear" w:color="auto" w:fill="FFFFFF"/>
        </w:rPr>
        <w:t xml:space="preserve"> года $12,04 млрд. — в 2,2 раза больше, чем р</w:t>
      </w:r>
      <w:r w:rsidRPr="00484D2C">
        <w:rPr>
          <w:shd w:val="clear" w:color="auto" w:fill="FFFFFF"/>
        </w:rPr>
        <w:t>е</w:t>
      </w:r>
      <w:r w:rsidRPr="00484D2C">
        <w:rPr>
          <w:shd w:val="clear" w:color="auto" w:fill="FFFFFF"/>
        </w:rPr>
        <w:t>зультат всего предыдущего года ($5,35 млрд.), и больше, чем за любой год за последние пять лет.</w:t>
      </w:r>
      <w:r w:rsidRPr="00484D2C">
        <w:rPr>
          <w:rStyle w:val="a6"/>
          <w:shd w:val="clear" w:color="auto" w:fill="FFFFFF"/>
        </w:rPr>
        <w:footnoteReference w:id="55"/>
      </w:r>
      <w:r w:rsidR="008F3574" w:rsidRPr="008F3574">
        <w:rPr>
          <w:noProof/>
        </w:rPr>
        <w:t xml:space="preserve"> </w:t>
      </w:r>
      <w:proofErr w:type="gramEnd"/>
    </w:p>
    <w:p w:rsidR="009A5168" w:rsidRDefault="009A5168" w:rsidP="009A5168">
      <w:pPr>
        <w:ind w:firstLine="709"/>
        <w:contextualSpacing/>
        <w:jc w:val="right"/>
        <w:rPr>
          <w:i/>
          <w:noProof/>
        </w:rPr>
      </w:pPr>
      <w:r w:rsidRPr="009A5168">
        <w:rPr>
          <w:i/>
          <w:noProof/>
        </w:rPr>
        <w:t>Рисунок 2.16</w:t>
      </w:r>
    </w:p>
    <w:p w:rsidR="009A5168" w:rsidRPr="009A5168" w:rsidRDefault="009A5168" w:rsidP="009A5168">
      <w:pPr>
        <w:contextualSpacing/>
        <w:jc w:val="center"/>
        <w:rPr>
          <w:b/>
          <w:noProof/>
        </w:rPr>
      </w:pPr>
      <w:r w:rsidRPr="009A5168">
        <w:rPr>
          <w:b/>
          <w:color w:val="282828"/>
          <w:shd w:val="clear" w:color="auto" w:fill="FFFFFF"/>
        </w:rPr>
        <w:t xml:space="preserve">Динамика сегментов слияний и поглощений </w:t>
      </w:r>
      <w:r>
        <w:rPr>
          <w:b/>
          <w:color w:val="282828"/>
          <w:shd w:val="clear" w:color="auto" w:fill="FFFFFF"/>
        </w:rPr>
        <w:t xml:space="preserve">в РФ </w:t>
      </w:r>
      <w:r w:rsidRPr="009A5168">
        <w:rPr>
          <w:b/>
          <w:color w:val="282828"/>
          <w:shd w:val="clear" w:color="auto" w:fill="FFFFFF"/>
        </w:rPr>
        <w:t xml:space="preserve">в 2013-2016 </w:t>
      </w:r>
      <w:proofErr w:type="spellStart"/>
      <w:proofErr w:type="gramStart"/>
      <w:r w:rsidRPr="009A5168">
        <w:rPr>
          <w:b/>
          <w:color w:val="282828"/>
          <w:shd w:val="clear" w:color="auto" w:fill="FFFFFF"/>
        </w:rPr>
        <w:t>гг</w:t>
      </w:r>
      <w:proofErr w:type="spellEnd"/>
      <w:proofErr w:type="gramEnd"/>
      <w:r w:rsidRPr="009A5168">
        <w:rPr>
          <w:b/>
          <w:color w:val="282828"/>
          <w:shd w:val="clear" w:color="auto" w:fill="FFFFFF"/>
        </w:rPr>
        <w:t xml:space="preserve"> (м</w:t>
      </w:r>
      <w:r>
        <w:rPr>
          <w:b/>
          <w:color w:val="282828"/>
          <w:shd w:val="clear" w:color="auto" w:fill="FFFFFF"/>
        </w:rPr>
        <w:t>лн</w:t>
      </w:r>
      <w:r w:rsidRPr="009A5168">
        <w:rPr>
          <w:b/>
          <w:color w:val="282828"/>
          <w:shd w:val="clear" w:color="auto" w:fill="FFFFFF"/>
        </w:rPr>
        <w:t xml:space="preserve">. </w:t>
      </w:r>
      <w:r>
        <w:rPr>
          <w:b/>
          <w:color w:val="282828"/>
          <w:shd w:val="clear" w:color="auto" w:fill="FFFFFF"/>
        </w:rPr>
        <w:t>€</w:t>
      </w:r>
      <w:r w:rsidRPr="009A5168">
        <w:rPr>
          <w:b/>
          <w:color w:val="282828"/>
          <w:shd w:val="clear" w:color="auto" w:fill="FFFFFF"/>
        </w:rPr>
        <w:t>)</w:t>
      </w:r>
    </w:p>
    <w:p w:rsidR="008F3574" w:rsidRPr="008F3574" w:rsidRDefault="008F3574" w:rsidP="005C6F02">
      <w:pPr>
        <w:spacing w:line="360" w:lineRule="auto"/>
        <w:ind w:left="-284" w:firstLine="993"/>
        <w:contextualSpacing/>
        <w:jc w:val="both"/>
        <w:rPr>
          <w:shd w:val="clear" w:color="auto" w:fill="FFFFFF"/>
        </w:rPr>
      </w:pPr>
      <w:r>
        <w:rPr>
          <w:noProof/>
        </w:rPr>
        <w:drawing>
          <wp:inline distT="0" distB="0" distL="0" distR="0" wp14:anchorId="6BE48A2C" wp14:editId="3995A4FC">
            <wp:extent cx="5220586" cy="1807535"/>
            <wp:effectExtent l="0" t="0" r="18415" b="21590"/>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F3574" w:rsidRPr="00DE0F0F" w:rsidRDefault="008F3574" w:rsidP="00DA06DD">
      <w:pPr>
        <w:spacing w:line="360" w:lineRule="auto"/>
        <w:contextualSpacing/>
        <w:jc w:val="center"/>
      </w:pPr>
      <w:r>
        <w:lastRenderedPageBreak/>
        <w:t xml:space="preserve">Составлено </w:t>
      </w:r>
      <w:r w:rsidR="00DA06DD">
        <w:t xml:space="preserve">по: </w:t>
      </w:r>
      <w:r>
        <w:t>данны</w:t>
      </w:r>
      <w:r w:rsidR="00DA06DD">
        <w:t>е</w:t>
      </w:r>
      <w:r w:rsidRPr="00DE0F0F">
        <w:t xml:space="preserve"> </w:t>
      </w:r>
      <w:r>
        <w:rPr>
          <w:lang w:val="en-US"/>
        </w:rPr>
        <w:t>Zephyr</w:t>
      </w:r>
    </w:p>
    <w:p w:rsidR="00D6264A" w:rsidRDefault="008044C9" w:rsidP="00D6264A">
      <w:pPr>
        <w:spacing w:line="360" w:lineRule="auto"/>
        <w:ind w:firstLine="709"/>
        <w:contextualSpacing/>
        <w:jc w:val="both"/>
        <w:rPr>
          <w:rStyle w:val="ae"/>
          <w:i w:val="0"/>
          <w:color w:val="000000"/>
        </w:rPr>
      </w:pPr>
      <w:r>
        <w:rPr>
          <w:shd w:val="clear" w:color="auto" w:fill="FFFFFF"/>
        </w:rPr>
        <w:t>На дынный момент, основной массив сделок составляют транзакции внутри стр</w:t>
      </w:r>
      <w:r>
        <w:rPr>
          <w:shd w:val="clear" w:color="auto" w:fill="FFFFFF"/>
        </w:rPr>
        <w:t>а</w:t>
      </w:r>
      <w:r>
        <w:rPr>
          <w:shd w:val="clear" w:color="auto" w:fill="FFFFFF"/>
        </w:rPr>
        <w:t xml:space="preserve">ны, активность </w:t>
      </w:r>
      <w:r>
        <w:rPr>
          <w:shd w:val="clear" w:color="auto" w:fill="FFFFFF"/>
          <w:lang w:val="en-US"/>
        </w:rPr>
        <w:t>Cross</w:t>
      </w:r>
      <w:r w:rsidRPr="008044C9">
        <w:rPr>
          <w:shd w:val="clear" w:color="auto" w:fill="FFFFFF"/>
        </w:rPr>
        <w:t>-</w:t>
      </w:r>
      <w:r>
        <w:rPr>
          <w:shd w:val="clear" w:color="auto" w:fill="FFFFFF"/>
          <w:lang w:val="en-US"/>
        </w:rPr>
        <w:t>border</w:t>
      </w:r>
      <w:r w:rsidRPr="008044C9">
        <w:rPr>
          <w:shd w:val="clear" w:color="auto" w:fill="FFFFFF"/>
        </w:rPr>
        <w:t xml:space="preserve"> </w:t>
      </w:r>
      <w:r>
        <w:rPr>
          <w:shd w:val="clear" w:color="auto" w:fill="FFFFFF"/>
        </w:rPr>
        <w:t>сектора крайне низка. Тем не менее, можно выделить н</w:t>
      </w:r>
      <w:r>
        <w:rPr>
          <w:shd w:val="clear" w:color="auto" w:fill="FFFFFF"/>
        </w:rPr>
        <w:t>е</w:t>
      </w:r>
      <w:r>
        <w:rPr>
          <w:shd w:val="clear" w:color="auto" w:fill="FFFFFF"/>
        </w:rPr>
        <w:t>сколько крупных сделок в данном секторе за 1 полугодие 2017 г. К</w:t>
      </w:r>
      <w:r w:rsidRPr="008044C9">
        <w:rPr>
          <w:shd w:val="clear" w:color="auto" w:fill="FFFFFF"/>
        </w:rPr>
        <w:t>онсорциум во главе с «</w:t>
      </w:r>
      <w:proofErr w:type="spellStart"/>
      <w:r w:rsidRPr="008044C9">
        <w:rPr>
          <w:shd w:val="clear" w:color="auto" w:fill="FFFFFF"/>
        </w:rPr>
        <w:t>Qatar</w:t>
      </w:r>
      <w:proofErr w:type="spellEnd"/>
      <w:r w:rsidRPr="008044C9">
        <w:rPr>
          <w:shd w:val="clear" w:color="auto" w:fill="FFFFFF"/>
        </w:rPr>
        <w:t xml:space="preserve"> </w:t>
      </w:r>
      <w:proofErr w:type="spellStart"/>
      <w:r w:rsidRPr="008044C9">
        <w:rPr>
          <w:shd w:val="clear" w:color="auto" w:fill="FFFFFF"/>
        </w:rPr>
        <w:t>Investment</w:t>
      </w:r>
      <w:proofErr w:type="spellEnd"/>
      <w:r w:rsidRPr="008044C9">
        <w:rPr>
          <w:shd w:val="clear" w:color="auto" w:fill="FFFFFF"/>
        </w:rPr>
        <w:t xml:space="preserve"> </w:t>
      </w:r>
      <w:proofErr w:type="spellStart"/>
      <w:r w:rsidRPr="008044C9">
        <w:rPr>
          <w:shd w:val="clear" w:color="auto" w:fill="FFFFFF"/>
        </w:rPr>
        <w:t>Authority</w:t>
      </w:r>
      <w:proofErr w:type="spellEnd"/>
      <w:r w:rsidRPr="008044C9">
        <w:rPr>
          <w:shd w:val="clear" w:color="auto" w:fill="FFFFFF"/>
        </w:rPr>
        <w:t>»</w:t>
      </w:r>
      <w:r>
        <w:rPr>
          <w:shd w:val="clear" w:color="auto" w:fill="FFFFFF"/>
        </w:rPr>
        <w:t xml:space="preserve"> приобрел 19,5% «НК «Роснефть» на сумму </w:t>
      </w:r>
      <w:r w:rsidRPr="008044C9">
        <w:rPr>
          <w:shd w:val="clear" w:color="auto" w:fill="FFFFFF"/>
        </w:rPr>
        <w:t xml:space="preserve">$11 270 </w:t>
      </w:r>
      <w:proofErr w:type="gramStart"/>
      <w:r w:rsidRPr="008044C9">
        <w:rPr>
          <w:shd w:val="clear" w:color="auto" w:fill="FFFFFF"/>
        </w:rPr>
        <w:t>млн</w:t>
      </w:r>
      <w:proofErr w:type="gramEnd"/>
      <w:r>
        <w:rPr>
          <w:shd w:val="clear" w:color="auto" w:fill="FFFFFF"/>
        </w:rPr>
        <w:t xml:space="preserve">, </w:t>
      </w:r>
      <w:r w:rsidRPr="008044C9">
        <w:rPr>
          <w:rStyle w:val="ae"/>
          <w:i w:val="0"/>
          <w:color w:val="000000"/>
        </w:rPr>
        <w:t>в р</w:t>
      </w:r>
      <w:r w:rsidRPr="008044C9">
        <w:rPr>
          <w:rStyle w:val="ae"/>
          <w:i w:val="0"/>
          <w:color w:val="000000"/>
        </w:rPr>
        <w:t>е</w:t>
      </w:r>
      <w:r w:rsidRPr="008044C9">
        <w:rPr>
          <w:rStyle w:val="ae"/>
          <w:i w:val="0"/>
          <w:color w:val="000000"/>
        </w:rPr>
        <w:t>зультате ее заключения Россия получит необходимые ей валютные средства в обмен на пакет акций одной из самых ценных своих компаний. При этом Россия сохранила за собой контрольный пакет Роснефти, часть акций которой принадлежит британской нефтяной корп</w:t>
      </w:r>
      <w:r>
        <w:rPr>
          <w:rStyle w:val="ae"/>
          <w:i w:val="0"/>
          <w:color w:val="000000"/>
        </w:rPr>
        <w:t>орации BP.</w:t>
      </w:r>
      <w:r>
        <w:rPr>
          <w:rStyle w:val="a6"/>
          <w:iCs/>
          <w:color w:val="000000"/>
        </w:rPr>
        <w:footnoteReference w:id="56"/>
      </w:r>
      <w:r w:rsidRPr="008044C9">
        <w:rPr>
          <w:rStyle w:val="ae"/>
          <w:i w:val="0"/>
          <w:color w:val="000000"/>
        </w:rPr>
        <w:t xml:space="preserve"> </w:t>
      </w:r>
      <w:r>
        <w:rPr>
          <w:rStyle w:val="ae"/>
          <w:i w:val="0"/>
          <w:color w:val="000000"/>
        </w:rPr>
        <w:t>А</w:t>
      </w:r>
      <w:r w:rsidRPr="008044C9">
        <w:rPr>
          <w:rStyle w:val="ae"/>
          <w:i w:val="0"/>
          <w:color w:val="000000"/>
        </w:rPr>
        <w:t>встрийская вертикально-интегрированная нефтяная компания</w:t>
      </w:r>
      <w:r>
        <w:rPr>
          <w:rStyle w:val="ae"/>
          <w:i w:val="0"/>
          <w:color w:val="000000"/>
        </w:rPr>
        <w:t xml:space="preserve"> </w:t>
      </w:r>
      <w:r w:rsidRPr="008044C9">
        <w:rPr>
          <w:rStyle w:val="ae"/>
          <w:i w:val="0"/>
          <w:color w:val="000000"/>
        </w:rPr>
        <w:t>OMV AG</w:t>
      </w:r>
      <w:r>
        <w:rPr>
          <w:rStyle w:val="ae"/>
          <w:i w:val="0"/>
          <w:color w:val="000000"/>
        </w:rPr>
        <w:t xml:space="preserve"> приобрела 24.99% акций АО «</w:t>
      </w:r>
      <w:proofErr w:type="spellStart"/>
      <w:r>
        <w:rPr>
          <w:rStyle w:val="ae"/>
          <w:i w:val="0"/>
          <w:color w:val="000000"/>
        </w:rPr>
        <w:t>Севернефтегазпром</w:t>
      </w:r>
      <w:proofErr w:type="spellEnd"/>
      <w:r>
        <w:rPr>
          <w:rStyle w:val="ae"/>
          <w:i w:val="0"/>
          <w:color w:val="000000"/>
        </w:rPr>
        <w:t xml:space="preserve">» на сумму </w:t>
      </w:r>
      <w:r w:rsidRPr="008044C9">
        <w:rPr>
          <w:rStyle w:val="ae"/>
          <w:i w:val="0"/>
          <w:color w:val="000000"/>
        </w:rPr>
        <w:t>$1,850 млн</w:t>
      </w:r>
      <w:r>
        <w:rPr>
          <w:rStyle w:val="ae"/>
          <w:i w:val="0"/>
          <w:color w:val="000000"/>
        </w:rPr>
        <w:t xml:space="preserve">. Для OMV </w:t>
      </w:r>
      <w:r w:rsidRPr="008044C9">
        <w:rPr>
          <w:rStyle w:val="ae"/>
          <w:i w:val="0"/>
          <w:color w:val="000000"/>
        </w:rPr>
        <w:t>Россия теперь будет приоритетным регионом добычи, а сама компания имеет шанс стать одним из крупнейших инвесторов в российскую газовую отрасль.</w:t>
      </w:r>
      <w:r>
        <w:rPr>
          <w:rStyle w:val="a6"/>
          <w:iCs/>
          <w:color w:val="000000"/>
        </w:rPr>
        <w:footnoteReference w:id="57"/>
      </w:r>
      <w:r w:rsidR="002A6FF1">
        <w:rPr>
          <w:rStyle w:val="ae"/>
          <w:i w:val="0"/>
          <w:color w:val="000000"/>
        </w:rPr>
        <w:t xml:space="preserve"> А так же слияние </w:t>
      </w:r>
      <w:r w:rsidR="002A6FF1">
        <w:rPr>
          <w:rStyle w:val="ae"/>
          <w:i w:val="0"/>
          <w:color w:val="000000"/>
          <w:lang w:val="en-US"/>
        </w:rPr>
        <w:t>Uber</w:t>
      </w:r>
      <w:r w:rsidR="002A6FF1" w:rsidRPr="002A6FF1">
        <w:rPr>
          <w:rStyle w:val="ae"/>
          <w:i w:val="0"/>
          <w:color w:val="000000"/>
        </w:rPr>
        <w:t xml:space="preserve"> </w:t>
      </w:r>
      <w:r w:rsidR="002A6FF1">
        <w:rPr>
          <w:rStyle w:val="ae"/>
          <w:i w:val="0"/>
          <w:color w:val="000000"/>
        </w:rPr>
        <w:t xml:space="preserve">и </w:t>
      </w:r>
      <w:proofErr w:type="spellStart"/>
      <w:r w:rsidR="002A6FF1">
        <w:rPr>
          <w:rStyle w:val="ae"/>
          <w:i w:val="0"/>
          <w:color w:val="000000"/>
        </w:rPr>
        <w:t>Яндекс</w:t>
      </w:r>
      <w:proofErr w:type="gramStart"/>
      <w:r w:rsidR="002A6FF1">
        <w:rPr>
          <w:rStyle w:val="ae"/>
          <w:i w:val="0"/>
          <w:color w:val="000000"/>
        </w:rPr>
        <w:t>.Т</w:t>
      </w:r>
      <w:proofErr w:type="gramEnd"/>
      <w:r w:rsidR="002A6FF1">
        <w:rPr>
          <w:rStyle w:val="ae"/>
          <w:i w:val="0"/>
          <w:color w:val="000000"/>
        </w:rPr>
        <w:t>акси</w:t>
      </w:r>
      <w:proofErr w:type="spellEnd"/>
      <w:r w:rsidR="002A6FF1">
        <w:rPr>
          <w:rStyle w:val="ae"/>
          <w:i w:val="0"/>
          <w:color w:val="000000"/>
        </w:rPr>
        <w:t xml:space="preserve"> на рынке России, </w:t>
      </w:r>
      <w:r w:rsidR="00DA0FA0">
        <w:rPr>
          <w:rStyle w:val="ae"/>
          <w:i w:val="0"/>
          <w:color w:val="000000"/>
        </w:rPr>
        <w:t xml:space="preserve">стоимостью </w:t>
      </w:r>
      <w:r w:rsidR="00DA0FA0" w:rsidRPr="002A6FF1">
        <w:rPr>
          <w:rStyle w:val="ae"/>
          <w:i w:val="0"/>
          <w:color w:val="000000"/>
        </w:rPr>
        <w:t>$</w:t>
      </w:r>
      <w:r w:rsidR="002A6FF1" w:rsidRPr="002A6FF1">
        <w:rPr>
          <w:rStyle w:val="ae"/>
          <w:i w:val="0"/>
          <w:color w:val="000000"/>
        </w:rPr>
        <w:t>3,725 млрд</w:t>
      </w:r>
      <w:r w:rsidR="002A6FF1">
        <w:rPr>
          <w:rStyle w:val="ae"/>
          <w:i w:val="0"/>
          <w:color w:val="000000"/>
        </w:rPr>
        <w:t xml:space="preserve">. </w:t>
      </w:r>
      <w:r w:rsidR="002A6FF1" w:rsidRPr="002A6FF1">
        <w:rPr>
          <w:rStyle w:val="ae"/>
          <w:i w:val="0"/>
          <w:color w:val="000000"/>
        </w:rPr>
        <w:t xml:space="preserve">Ожидается, что объединенный бизнес будет использовать технологии Яндекса и глобальный опыт </w:t>
      </w:r>
      <w:proofErr w:type="spellStart"/>
      <w:r w:rsidR="002A6FF1" w:rsidRPr="002A6FF1">
        <w:rPr>
          <w:rStyle w:val="ae"/>
          <w:i w:val="0"/>
          <w:color w:val="000000"/>
        </w:rPr>
        <w:t>Uber</w:t>
      </w:r>
      <w:proofErr w:type="spellEnd"/>
      <w:r w:rsidR="002A6FF1" w:rsidRPr="002A6FF1">
        <w:rPr>
          <w:rStyle w:val="ae"/>
          <w:i w:val="0"/>
          <w:color w:val="000000"/>
        </w:rPr>
        <w:t xml:space="preserve"> как мирового л</w:t>
      </w:r>
      <w:r w:rsidR="002A6FF1" w:rsidRPr="002A6FF1">
        <w:rPr>
          <w:rStyle w:val="ae"/>
          <w:i w:val="0"/>
          <w:color w:val="000000"/>
        </w:rPr>
        <w:t>и</w:t>
      </w:r>
      <w:r w:rsidR="002A6FF1" w:rsidRPr="002A6FF1">
        <w:rPr>
          <w:rStyle w:val="ae"/>
          <w:i w:val="0"/>
          <w:color w:val="000000"/>
        </w:rPr>
        <w:t>дера среди онлайн-сервисов для заказа перевозок.</w:t>
      </w:r>
      <w:r w:rsidR="002A6FF1">
        <w:rPr>
          <w:rStyle w:val="ae"/>
          <w:i w:val="0"/>
          <w:color w:val="000000"/>
        </w:rPr>
        <w:t xml:space="preserve"> После слияния, компания будет зан</w:t>
      </w:r>
      <w:r w:rsidR="002A6FF1">
        <w:rPr>
          <w:rStyle w:val="ae"/>
          <w:i w:val="0"/>
          <w:color w:val="000000"/>
        </w:rPr>
        <w:t>и</w:t>
      </w:r>
      <w:r w:rsidR="002A6FF1">
        <w:rPr>
          <w:rStyle w:val="ae"/>
          <w:i w:val="0"/>
          <w:color w:val="000000"/>
        </w:rPr>
        <w:t>мать более ¼ рынка перевозок, тем не менее, антимонопольная служба пропустила да</w:t>
      </w:r>
      <w:r w:rsidR="002A6FF1">
        <w:rPr>
          <w:rStyle w:val="ae"/>
          <w:i w:val="0"/>
          <w:color w:val="000000"/>
        </w:rPr>
        <w:t>н</w:t>
      </w:r>
      <w:r w:rsidR="002A6FF1">
        <w:rPr>
          <w:rStyle w:val="ae"/>
          <w:i w:val="0"/>
          <w:color w:val="000000"/>
        </w:rPr>
        <w:t>ную сделку, что свидетельствует о благоприятных законодательных условиях для пров</w:t>
      </w:r>
      <w:r w:rsidR="002A6FF1">
        <w:rPr>
          <w:rStyle w:val="ae"/>
          <w:i w:val="0"/>
          <w:color w:val="000000"/>
        </w:rPr>
        <w:t>е</w:t>
      </w:r>
      <w:r w:rsidR="002A6FF1">
        <w:rPr>
          <w:rStyle w:val="ae"/>
          <w:i w:val="0"/>
          <w:color w:val="000000"/>
        </w:rPr>
        <w:t xml:space="preserve">дения сделок. </w:t>
      </w:r>
      <w:r w:rsidR="002A6FF1">
        <w:rPr>
          <w:rStyle w:val="a6"/>
          <w:iCs/>
          <w:color w:val="000000"/>
        </w:rPr>
        <w:footnoteReference w:id="58"/>
      </w:r>
    </w:p>
    <w:p w:rsidR="00540E1C" w:rsidRDefault="00540E1C" w:rsidP="00540E1C">
      <w:pPr>
        <w:spacing w:line="360" w:lineRule="auto"/>
        <w:ind w:firstLine="709"/>
        <w:contextualSpacing/>
        <w:jc w:val="right"/>
        <w:rPr>
          <w:rStyle w:val="ae"/>
          <w:color w:val="000000"/>
        </w:rPr>
      </w:pPr>
      <w:r w:rsidRPr="00540E1C">
        <w:rPr>
          <w:rStyle w:val="ae"/>
          <w:color w:val="000000"/>
        </w:rPr>
        <w:t>Рисунок 2.17</w:t>
      </w:r>
    </w:p>
    <w:p w:rsidR="00540E1C" w:rsidRPr="00540E1C" w:rsidRDefault="00540E1C" w:rsidP="00540E1C">
      <w:pPr>
        <w:spacing w:line="360" w:lineRule="auto"/>
        <w:ind w:firstLine="709"/>
        <w:contextualSpacing/>
        <w:jc w:val="center"/>
        <w:rPr>
          <w:b/>
          <w:shd w:val="clear" w:color="auto" w:fill="FFFFFF"/>
        </w:rPr>
      </w:pPr>
      <w:r w:rsidRPr="00540E1C">
        <w:rPr>
          <w:b/>
          <w:shd w:val="clear" w:color="auto" w:fill="FFFFFF"/>
        </w:rPr>
        <w:t>Динамика волн слияний и поглощений в России в циклах</w:t>
      </w:r>
    </w:p>
    <w:p w:rsidR="003A3B12" w:rsidRDefault="00CE1AD1" w:rsidP="00C17E3C">
      <w:pPr>
        <w:spacing w:line="360" w:lineRule="auto"/>
        <w:contextualSpacing/>
        <w:jc w:val="center"/>
        <w:rPr>
          <w:shd w:val="clear" w:color="auto" w:fill="FFFFFF"/>
        </w:rPr>
      </w:pPr>
      <w:r>
        <w:rPr>
          <w:noProof/>
        </w:rPr>
        <w:drawing>
          <wp:inline distT="0" distB="0" distL="0" distR="0" wp14:anchorId="3CE719B6" wp14:editId="08D21D82">
            <wp:extent cx="4876800" cy="2028825"/>
            <wp:effectExtent l="0" t="0" r="19050" b="9525"/>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E1AD1" w:rsidRDefault="00CE1AD1" w:rsidP="00CE1AD1">
      <w:pPr>
        <w:spacing w:line="360" w:lineRule="auto"/>
        <w:contextualSpacing/>
        <w:jc w:val="center"/>
        <w:rPr>
          <w:shd w:val="clear" w:color="auto" w:fill="FFFFFF"/>
        </w:rPr>
      </w:pPr>
      <w:r w:rsidRPr="00CE1AD1">
        <w:rPr>
          <w:shd w:val="clear" w:color="auto" w:fill="FFFFFF"/>
        </w:rPr>
        <w:t xml:space="preserve">Рассчитано </w:t>
      </w:r>
      <w:r w:rsidR="00540E1C">
        <w:rPr>
          <w:shd w:val="clear" w:color="auto" w:fill="FFFFFF"/>
        </w:rPr>
        <w:t>по:</w:t>
      </w:r>
      <w:r w:rsidRPr="00CE1AD1">
        <w:rPr>
          <w:shd w:val="clear" w:color="auto" w:fill="FFFFFF"/>
        </w:rPr>
        <w:t xml:space="preserve"> данны</w:t>
      </w:r>
      <w:r w:rsidR="00540E1C">
        <w:rPr>
          <w:shd w:val="clear" w:color="auto" w:fill="FFFFFF"/>
        </w:rPr>
        <w:t>е</w:t>
      </w:r>
      <w:r w:rsidRPr="00CE1AD1">
        <w:rPr>
          <w:shd w:val="clear" w:color="auto" w:fill="FFFFFF"/>
        </w:rPr>
        <w:t xml:space="preserve"> </w:t>
      </w:r>
      <w:proofErr w:type="spellStart"/>
      <w:r w:rsidRPr="00CE1AD1">
        <w:rPr>
          <w:shd w:val="clear" w:color="auto" w:fill="FFFFFF"/>
        </w:rPr>
        <w:t>imaa</w:t>
      </w:r>
      <w:proofErr w:type="spellEnd"/>
      <w:r w:rsidRPr="00CE1AD1">
        <w:rPr>
          <w:shd w:val="clear" w:color="auto" w:fill="FFFFFF"/>
        </w:rPr>
        <w:t xml:space="preserve"> </w:t>
      </w:r>
      <w:proofErr w:type="spellStart"/>
      <w:r w:rsidRPr="00CE1AD1">
        <w:rPr>
          <w:shd w:val="clear" w:color="auto" w:fill="FFFFFF"/>
        </w:rPr>
        <w:t>statistics</w:t>
      </w:r>
      <w:proofErr w:type="spellEnd"/>
    </w:p>
    <w:p w:rsidR="007E6A5E" w:rsidRDefault="008F3574" w:rsidP="00517EA0">
      <w:pPr>
        <w:spacing w:line="360" w:lineRule="auto"/>
        <w:ind w:firstLine="709"/>
        <w:contextualSpacing/>
        <w:jc w:val="both"/>
        <w:rPr>
          <w:shd w:val="clear" w:color="auto" w:fill="FFFFFF"/>
        </w:rPr>
      </w:pPr>
      <w:r>
        <w:rPr>
          <w:shd w:val="clear" w:color="auto" w:fill="FFFFFF"/>
        </w:rPr>
        <w:t>Российский рынок слияний и поглощений начал развиваться только в начале 90х, поэтому он застал т</w:t>
      </w:r>
      <w:r w:rsidR="00DA0FA0">
        <w:rPr>
          <w:shd w:val="clear" w:color="auto" w:fill="FFFFFF"/>
        </w:rPr>
        <w:t>олько начало 5 волны. (Рисунок</w:t>
      </w:r>
      <w:r>
        <w:rPr>
          <w:shd w:val="clear" w:color="auto" w:fill="FFFFFF"/>
        </w:rPr>
        <w:t xml:space="preserve"> 2.1</w:t>
      </w:r>
      <w:r w:rsidR="00540E1C">
        <w:rPr>
          <w:shd w:val="clear" w:color="auto" w:fill="FFFFFF"/>
        </w:rPr>
        <w:t>7</w:t>
      </w:r>
      <w:r>
        <w:rPr>
          <w:shd w:val="clear" w:color="auto" w:fill="FFFFFF"/>
        </w:rPr>
        <w:t>) Основными детерминантами я</w:t>
      </w:r>
      <w:r>
        <w:rPr>
          <w:shd w:val="clear" w:color="auto" w:fill="FFFFFF"/>
        </w:rPr>
        <w:t>в</w:t>
      </w:r>
      <w:r>
        <w:rPr>
          <w:shd w:val="clear" w:color="auto" w:fill="FFFFFF"/>
        </w:rPr>
        <w:lastRenderedPageBreak/>
        <w:t>лялись ВВП и процентная ставка, законодательство не особо влияет на динамику, как например в США. Вплоть до 6 волны активность на рынке была кране низкой, в связи с объективными причинами, самый пик активности пришелся как раз на 2010 год, после ч</w:t>
      </w:r>
      <w:r>
        <w:rPr>
          <w:shd w:val="clear" w:color="auto" w:fill="FFFFFF"/>
        </w:rPr>
        <w:t>е</w:t>
      </w:r>
      <w:r>
        <w:rPr>
          <w:shd w:val="clear" w:color="auto" w:fill="FFFFFF"/>
        </w:rPr>
        <w:t>го рынок с трудом пытается оправиться от событий 2014 года. Средняя длина волны крайне коротка, всего 6 лет, однако, ситуация меняется с течением времени, увеличивае</w:t>
      </w:r>
      <w:r>
        <w:rPr>
          <w:shd w:val="clear" w:color="auto" w:fill="FFFFFF"/>
        </w:rPr>
        <w:t>т</w:t>
      </w:r>
      <w:r>
        <w:rPr>
          <w:shd w:val="clear" w:color="auto" w:fill="FFFFFF"/>
        </w:rPr>
        <w:t>ся как длительность, так и об</w:t>
      </w:r>
      <w:r w:rsidR="00DA0FA0">
        <w:rPr>
          <w:shd w:val="clear" w:color="auto" w:fill="FFFFFF"/>
        </w:rPr>
        <w:t>ъем сделок.</w:t>
      </w:r>
    </w:p>
    <w:p w:rsidR="00517EA0" w:rsidRDefault="00517EA0" w:rsidP="00517EA0">
      <w:pPr>
        <w:spacing w:line="360" w:lineRule="auto"/>
        <w:ind w:firstLine="709"/>
        <w:contextualSpacing/>
        <w:jc w:val="both"/>
        <w:rPr>
          <w:shd w:val="clear" w:color="auto" w:fill="FFFFFF"/>
        </w:rPr>
      </w:pPr>
      <w:r>
        <w:rPr>
          <w:shd w:val="clear" w:color="auto" w:fill="FFFFFF"/>
        </w:rPr>
        <w:t>Хотя в России большинство компаний не представлены на биржевом рынке, корр</w:t>
      </w:r>
      <w:r>
        <w:rPr>
          <w:shd w:val="clear" w:color="auto" w:fill="FFFFFF"/>
        </w:rPr>
        <w:t>е</w:t>
      </w:r>
      <w:r>
        <w:rPr>
          <w:shd w:val="clear" w:color="auto" w:fill="FFFFFF"/>
        </w:rPr>
        <w:t xml:space="preserve">ляция между капитализацией фондового рынка и активностью на рынке </w:t>
      </w:r>
      <w:r>
        <w:rPr>
          <w:shd w:val="clear" w:color="auto" w:fill="FFFFFF"/>
          <w:lang w:val="en-US"/>
        </w:rPr>
        <w:t>M</w:t>
      </w:r>
      <w:r w:rsidRPr="00517EA0">
        <w:rPr>
          <w:shd w:val="clear" w:color="auto" w:fill="FFFFFF"/>
        </w:rPr>
        <w:t>&amp;</w:t>
      </w:r>
      <w:r>
        <w:rPr>
          <w:shd w:val="clear" w:color="auto" w:fill="FFFFFF"/>
          <w:lang w:val="en-US"/>
        </w:rPr>
        <w:t>A</w:t>
      </w:r>
      <w:r>
        <w:rPr>
          <w:shd w:val="clear" w:color="auto" w:fill="FFFFFF"/>
        </w:rPr>
        <w:t xml:space="preserve"> составила 0,755 и 0,725 соответственно, что обусловлено активным ростом фондового рынка</w:t>
      </w:r>
      <w:r w:rsidR="00DA0FA0">
        <w:rPr>
          <w:shd w:val="clear" w:color="auto" w:fill="FFFFFF"/>
        </w:rPr>
        <w:t xml:space="preserve"> (Рис</w:t>
      </w:r>
      <w:r w:rsidR="00DA0FA0">
        <w:rPr>
          <w:shd w:val="clear" w:color="auto" w:fill="FFFFFF"/>
        </w:rPr>
        <w:t>у</w:t>
      </w:r>
      <w:r w:rsidR="00DA0FA0">
        <w:rPr>
          <w:shd w:val="clear" w:color="auto" w:fill="FFFFFF"/>
        </w:rPr>
        <w:t>нок</w:t>
      </w:r>
      <w:r w:rsidR="008E3A7C">
        <w:rPr>
          <w:shd w:val="clear" w:color="auto" w:fill="FFFFFF"/>
        </w:rPr>
        <w:t xml:space="preserve"> 2.</w:t>
      </w:r>
      <w:r w:rsidR="00BD7935">
        <w:rPr>
          <w:shd w:val="clear" w:color="auto" w:fill="FFFFFF"/>
        </w:rPr>
        <w:t>19</w:t>
      </w:r>
      <w:r w:rsidR="008E3A7C">
        <w:rPr>
          <w:shd w:val="clear" w:color="auto" w:fill="FFFFFF"/>
        </w:rPr>
        <w:t>)</w:t>
      </w:r>
      <w:r w:rsidR="0047252A" w:rsidRPr="0047252A">
        <w:rPr>
          <w:shd w:val="clear" w:color="auto" w:fill="FFFFFF"/>
        </w:rPr>
        <w:t xml:space="preserve">; </w:t>
      </w:r>
      <w:r w:rsidR="0047252A">
        <w:rPr>
          <w:shd w:val="clear" w:color="auto" w:fill="FFFFFF"/>
        </w:rPr>
        <w:t>так как российские активы в основном недооценены, это делает их привлек</w:t>
      </w:r>
      <w:r w:rsidR="0047252A">
        <w:rPr>
          <w:shd w:val="clear" w:color="auto" w:fill="FFFFFF"/>
        </w:rPr>
        <w:t>а</w:t>
      </w:r>
      <w:r w:rsidR="0047252A">
        <w:rPr>
          <w:shd w:val="clear" w:color="auto" w:fill="FFFFFF"/>
        </w:rPr>
        <w:t xml:space="preserve">тельными со стороны покупателя. Тем не менее, капитализация </w:t>
      </w:r>
      <w:r w:rsidR="008E3A7C">
        <w:rPr>
          <w:shd w:val="clear" w:color="auto" w:fill="FFFFFF"/>
        </w:rPr>
        <w:t xml:space="preserve">рынка </w:t>
      </w:r>
      <w:r w:rsidR="0047252A">
        <w:rPr>
          <w:shd w:val="clear" w:color="auto" w:fill="FFFFFF"/>
        </w:rPr>
        <w:t xml:space="preserve">все еще </w:t>
      </w:r>
      <w:r w:rsidR="008E3A7C">
        <w:rPr>
          <w:shd w:val="clear" w:color="auto" w:fill="FFFFFF"/>
        </w:rPr>
        <w:t xml:space="preserve">с трудом </w:t>
      </w:r>
      <w:r w:rsidR="0047252A">
        <w:rPr>
          <w:shd w:val="clear" w:color="auto" w:fill="FFFFFF"/>
        </w:rPr>
        <w:t>превы</w:t>
      </w:r>
      <w:r w:rsidR="008E3A7C">
        <w:rPr>
          <w:shd w:val="clear" w:color="auto" w:fill="FFFFFF"/>
        </w:rPr>
        <w:t>шает</w:t>
      </w:r>
      <w:r w:rsidR="0047252A">
        <w:rPr>
          <w:shd w:val="clear" w:color="auto" w:fill="FFFFFF"/>
        </w:rPr>
        <w:t xml:space="preserve"> общую стоимость прове</w:t>
      </w:r>
      <w:r w:rsidR="008E3A7C">
        <w:rPr>
          <w:shd w:val="clear" w:color="auto" w:fill="FFFFFF"/>
        </w:rPr>
        <w:t>денных сделок на год, следовательно, зависимость хоть и выявлена, не может использоваться в пр</w:t>
      </w:r>
      <w:r w:rsidR="00DA0FA0">
        <w:rPr>
          <w:shd w:val="clear" w:color="auto" w:fill="FFFFFF"/>
        </w:rPr>
        <w:t>огнозных показателях. (Рисунок</w:t>
      </w:r>
      <w:r w:rsidR="008E3A7C">
        <w:rPr>
          <w:shd w:val="clear" w:color="auto" w:fill="FFFFFF"/>
        </w:rPr>
        <w:t xml:space="preserve"> 2.2</w:t>
      </w:r>
      <w:r w:rsidR="00BD7935">
        <w:rPr>
          <w:shd w:val="clear" w:color="auto" w:fill="FFFFFF"/>
        </w:rPr>
        <w:t>0</w:t>
      </w:r>
      <w:r w:rsidR="008E3A7C">
        <w:rPr>
          <w:shd w:val="clear" w:color="auto" w:fill="FFFFFF"/>
        </w:rPr>
        <w:t xml:space="preserve">) </w:t>
      </w:r>
    </w:p>
    <w:p w:rsidR="00563BE0" w:rsidRDefault="00563BE0" w:rsidP="00BD7935">
      <w:pPr>
        <w:ind w:firstLine="709"/>
        <w:contextualSpacing/>
        <w:jc w:val="right"/>
        <w:rPr>
          <w:i/>
          <w:shd w:val="clear" w:color="auto" w:fill="FFFFFF"/>
        </w:rPr>
      </w:pPr>
      <w:r w:rsidRPr="00563BE0">
        <w:rPr>
          <w:i/>
          <w:shd w:val="clear" w:color="auto" w:fill="FFFFFF"/>
        </w:rPr>
        <w:t>Рисунок 2.18</w:t>
      </w:r>
    </w:p>
    <w:p w:rsidR="00563BE0" w:rsidRPr="00563BE0" w:rsidRDefault="00563BE0" w:rsidP="00BD7935">
      <w:pPr>
        <w:contextualSpacing/>
        <w:jc w:val="center"/>
        <w:rPr>
          <w:b/>
          <w:shd w:val="clear" w:color="auto" w:fill="FFFFFF"/>
        </w:rPr>
      </w:pPr>
      <w:r w:rsidRPr="00563BE0">
        <w:rPr>
          <w:b/>
        </w:rPr>
        <w:t xml:space="preserve">Корреляция капитализации фондового рынка </w:t>
      </w:r>
      <w:proofErr w:type="gramStart"/>
      <w:r w:rsidRPr="00563BE0">
        <w:rPr>
          <w:b/>
        </w:rPr>
        <w:t>с</w:t>
      </w:r>
      <w:proofErr w:type="gramEnd"/>
      <w:r w:rsidRPr="00563BE0">
        <w:rPr>
          <w:b/>
        </w:rPr>
        <w:t xml:space="preserve"> стоимостным и количественным п</w:t>
      </w:r>
      <w:r w:rsidRPr="00563BE0">
        <w:rPr>
          <w:b/>
        </w:rPr>
        <w:t>о</w:t>
      </w:r>
      <w:r w:rsidRPr="00563BE0">
        <w:rPr>
          <w:b/>
        </w:rPr>
        <w:t>казателем в России</w:t>
      </w:r>
    </w:p>
    <w:p w:rsidR="00E002DB" w:rsidRPr="009F22C7" w:rsidRDefault="00E002DB" w:rsidP="00E002DB">
      <w:pPr>
        <w:spacing w:line="360" w:lineRule="auto"/>
        <w:ind w:left="-426" w:right="-284"/>
        <w:contextualSpacing/>
        <w:jc w:val="center"/>
        <w:rPr>
          <w:noProof/>
          <w:lang w:val="en-US"/>
        </w:rPr>
      </w:pPr>
      <w:r>
        <w:rPr>
          <w:noProof/>
        </w:rPr>
        <w:drawing>
          <wp:inline distT="0" distB="0" distL="0" distR="0" wp14:anchorId="7FC2B527" wp14:editId="6BAC8A75">
            <wp:extent cx="2857500" cy="2057400"/>
            <wp:effectExtent l="0" t="0" r="0" b="0"/>
            <wp:docPr id="112" name="Диаграмма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9F22C7">
        <w:rPr>
          <w:noProof/>
          <w:lang w:val="en-US"/>
        </w:rPr>
        <w:t xml:space="preserve"> </w:t>
      </w:r>
      <w:r>
        <w:rPr>
          <w:noProof/>
        </w:rPr>
        <w:drawing>
          <wp:inline distT="0" distB="0" distL="0" distR="0" wp14:anchorId="55489CEB" wp14:editId="5DB8CB4C">
            <wp:extent cx="2876550" cy="2066925"/>
            <wp:effectExtent l="0" t="0" r="0" b="9525"/>
            <wp:docPr id="113" name="Диаграмма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C33F3" w:rsidRPr="009F22C7" w:rsidRDefault="008D60EB" w:rsidP="0085403A">
      <w:pPr>
        <w:spacing w:line="264" w:lineRule="auto"/>
        <w:ind w:left="-425" w:firstLine="709"/>
        <w:contextualSpacing/>
        <w:jc w:val="center"/>
        <w:rPr>
          <w:lang w:val="en-US"/>
        </w:rPr>
      </w:pPr>
      <w:r>
        <w:t>Рассчитано</w:t>
      </w:r>
      <w:r w:rsidRPr="00BD7935">
        <w:rPr>
          <w:lang w:val="en-US"/>
        </w:rPr>
        <w:t xml:space="preserve"> </w:t>
      </w:r>
      <w:r w:rsidR="00BD7935">
        <w:t>по</w:t>
      </w:r>
      <w:r w:rsidR="00BD7935" w:rsidRPr="00BD7935">
        <w:rPr>
          <w:lang w:val="en-US"/>
        </w:rPr>
        <w:t xml:space="preserve">: </w:t>
      </w:r>
      <w:r>
        <w:t>данны</w:t>
      </w:r>
      <w:r w:rsidR="00BD7935">
        <w:t>е</w:t>
      </w:r>
      <w:r w:rsidRPr="00BD7935">
        <w:rPr>
          <w:lang w:val="en-US"/>
        </w:rPr>
        <w:t xml:space="preserve"> </w:t>
      </w:r>
      <w:proofErr w:type="spellStart"/>
      <w:r>
        <w:rPr>
          <w:lang w:val="en-US"/>
        </w:rPr>
        <w:t>imaa</w:t>
      </w:r>
      <w:proofErr w:type="spellEnd"/>
      <w:r w:rsidRPr="00BD7935">
        <w:rPr>
          <w:lang w:val="en-US"/>
        </w:rPr>
        <w:t xml:space="preserve"> </w:t>
      </w:r>
      <w:r>
        <w:rPr>
          <w:lang w:val="en-US"/>
        </w:rPr>
        <w:t>statistics</w:t>
      </w:r>
      <w:r w:rsidRPr="00BD7935">
        <w:rPr>
          <w:lang w:val="en-US"/>
        </w:rPr>
        <w:t xml:space="preserve">, </w:t>
      </w:r>
      <w:r>
        <w:rPr>
          <w:lang w:val="en-US"/>
        </w:rPr>
        <w:t>World</w:t>
      </w:r>
      <w:r w:rsidRPr="00BD7935">
        <w:rPr>
          <w:lang w:val="en-US"/>
        </w:rPr>
        <w:t xml:space="preserve"> </w:t>
      </w:r>
      <w:r>
        <w:rPr>
          <w:lang w:val="en-US"/>
        </w:rPr>
        <w:t>Bank</w:t>
      </w:r>
      <w:r w:rsidRPr="00BD7935">
        <w:rPr>
          <w:lang w:val="en-US"/>
        </w:rPr>
        <w:t xml:space="preserve"> </w:t>
      </w:r>
      <w:r>
        <w:rPr>
          <w:lang w:val="en-US"/>
        </w:rPr>
        <w:t>Data</w:t>
      </w:r>
    </w:p>
    <w:p w:rsidR="00BD7935" w:rsidRDefault="00BD7935" w:rsidP="00BD7935">
      <w:pPr>
        <w:spacing w:line="264" w:lineRule="auto"/>
        <w:ind w:left="-425" w:firstLine="709"/>
        <w:contextualSpacing/>
        <w:jc w:val="right"/>
        <w:rPr>
          <w:i/>
        </w:rPr>
      </w:pPr>
      <w:r w:rsidRPr="00BD7935">
        <w:rPr>
          <w:i/>
        </w:rPr>
        <w:t>Рисунок 2.19</w:t>
      </w:r>
    </w:p>
    <w:p w:rsidR="00BD7935" w:rsidRPr="00BD7935" w:rsidRDefault="00BD7935" w:rsidP="00BD7935">
      <w:pPr>
        <w:spacing w:line="264" w:lineRule="auto"/>
        <w:ind w:left="-425" w:firstLine="709"/>
        <w:contextualSpacing/>
        <w:jc w:val="center"/>
        <w:rPr>
          <w:b/>
        </w:rPr>
      </w:pPr>
      <w:r w:rsidRPr="00BD7935">
        <w:rPr>
          <w:b/>
        </w:rPr>
        <w:t>Корреляция капитализации фондового рынка с количеством сделок в России</w:t>
      </w:r>
    </w:p>
    <w:p w:rsidR="008C3135" w:rsidRDefault="008C3135" w:rsidP="00CE1AD1">
      <w:pPr>
        <w:spacing w:line="360" w:lineRule="auto"/>
        <w:contextualSpacing/>
        <w:jc w:val="center"/>
        <w:rPr>
          <w:shd w:val="clear" w:color="auto" w:fill="FFFFFF"/>
        </w:rPr>
      </w:pPr>
      <w:r>
        <w:rPr>
          <w:noProof/>
        </w:rPr>
        <w:drawing>
          <wp:inline distT="0" distB="0" distL="0" distR="0" wp14:anchorId="155BF9FB" wp14:editId="0491BDB9">
            <wp:extent cx="4943475" cy="1857375"/>
            <wp:effectExtent l="0" t="0" r="9525" b="9525"/>
            <wp:docPr id="100" name="Диаграмма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5403A" w:rsidRPr="009F22C7" w:rsidRDefault="0085403A" w:rsidP="00A46AB9">
      <w:pPr>
        <w:spacing w:line="288" w:lineRule="auto"/>
        <w:ind w:left="-425" w:firstLine="709"/>
        <w:contextualSpacing/>
        <w:jc w:val="center"/>
        <w:rPr>
          <w:lang w:val="en-US"/>
        </w:rPr>
      </w:pPr>
      <w:r>
        <w:t>Рассчитано</w:t>
      </w:r>
      <w:r w:rsidRPr="00BD7935">
        <w:rPr>
          <w:lang w:val="en-US"/>
        </w:rPr>
        <w:t xml:space="preserve"> </w:t>
      </w:r>
      <w:r w:rsidR="00BD7935">
        <w:t>по</w:t>
      </w:r>
      <w:r w:rsidR="00BD7935" w:rsidRPr="00BD7935">
        <w:rPr>
          <w:lang w:val="en-US"/>
        </w:rPr>
        <w:t xml:space="preserve">: </w:t>
      </w:r>
      <w:r>
        <w:t>данны</w:t>
      </w:r>
      <w:r w:rsidR="00BD7935">
        <w:t>е</w:t>
      </w:r>
      <w:r w:rsidRPr="00BD7935">
        <w:rPr>
          <w:lang w:val="en-US"/>
        </w:rPr>
        <w:t xml:space="preserve"> </w:t>
      </w:r>
      <w:proofErr w:type="spellStart"/>
      <w:r>
        <w:rPr>
          <w:lang w:val="en-US"/>
        </w:rPr>
        <w:t>imaa</w:t>
      </w:r>
      <w:proofErr w:type="spellEnd"/>
      <w:r w:rsidRPr="00BD7935">
        <w:rPr>
          <w:lang w:val="en-US"/>
        </w:rPr>
        <w:t xml:space="preserve"> </w:t>
      </w:r>
      <w:r>
        <w:rPr>
          <w:lang w:val="en-US"/>
        </w:rPr>
        <w:t>statistics</w:t>
      </w:r>
      <w:r w:rsidRPr="00BD7935">
        <w:rPr>
          <w:lang w:val="en-US"/>
        </w:rPr>
        <w:t xml:space="preserve">, </w:t>
      </w:r>
      <w:r>
        <w:rPr>
          <w:lang w:val="en-US"/>
        </w:rPr>
        <w:t>World</w:t>
      </w:r>
      <w:r w:rsidRPr="00BD7935">
        <w:rPr>
          <w:lang w:val="en-US"/>
        </w:rPr>
        <w:t xml:space="preserve"> </w:t>
      </w:r>
      <w:r>
        <w:rPr>
          <w:lang w:val="en-US"/>
        </w:rPr>
        <w:t>Bank</w:t>
      </w:r>
      <w:r w:rsidRPr="00BD7935">
        <w:rPr>
          <w:lang w:val="en-US"/>
        </w:rPr>
        <w:t xml:space="preserve"> </w:t>
      </w:r>
      <w:r>
        <w:rPr>
          <w:lang w:val="en-US"/>
        </w:rPr>
        <w:t>Data</w:t>
      </w:r>
    </w:p>
    <w:p w:rsidR="00BD7935" w:rsidRPr="009F22C7" w:rsidRDefault="00BD7935" w:rsidP="00A46AB9">
      <w:pPr>
        <w:spacing w:line="288" w:lineRule="auto"/>
        <w:ind w:left="-425" w:firstLine="709"/>
        <w:contextualSpacing/>
        <w:jc w:val="center"/>
        <w:rPr>
          <w:lang w:val="en-US"/>
        </w:rPr>
      </w:pPr>
    </w:p>
    <w:p w:rsidR="00BD7935" w:rsidRDefault="00BD7935" w:rsidP="00BD7935">
      <w:pPr>
        <w:spacing w:line="288" w:lineRule="auto"/>
        <w:ind w:left="-425" w:firstLine="709"/>
        <w:contextualSpacing/>
        <w:jc w:val="right"/>
        <w:rPr>
          <w:i/>
        </w:rPr>
      </w:pPr>
      <w:r w:rsidRPr="00BD7935">
        <w:rPr>
          <w:i/>
        </w:rPr>
        <w:lastRenderedPageBreak/>
        <w:t>Рисунок 2.20</w:t>
      </w:r>
    </w:p>
    <w:p w:rsidR="00BD7935" w:rsidRPr="00BD7935" w:rsidRDefault="00BD7935" w:rsidP="00BD7935">
      <w:pPr>
        <w:spacing w:line="288" w:lineRule="auto"/>
        <w:ind w:left="-425" w:firstLine="709"/>
        <w:contextualSpacing/>
        <w:jc w:val="center"/>
        <w:rPr>
          <w:b/>
        </w:rPr>
      </w:pPr>
      <w:r w:rsidRPr="00BD7935">
        <w:rPr>
          <w:b/>
        </w:rPr>
        <w:t>Корреляция капитализации фондового рынка со стоимостью сделок в России</w:t>
      </w:r>
    </w:p>
    <w:p w:rsidR="00CE1AD1" w:rsidRDefault="000F2BC1" w:rsidP="00CE1AD1">
      <w:pPr>
        <w:spacing w:line="360" w:lineRule="auto"/>
        <w:contextualSpacing/>
        <w:jc w:val="center"/>
        <w:rPr>
          <w:shd w:val="clear" w:color="auto" w:fill="FFFFFF"/>
        </w:rPr>
      </w:pPr>
      <w:r>
        <w:rPr>
          <w:noProof/>
        </w:rPr>
        <w:drawing>
          <wp:inline distT="0" distB="0" distL="0" distR="0" wp14:anchorId="662803C6" wp14:editId="2825AB28">
            <wp:extent cx="5486400" cy="2371060"/>
            <wp:effectExtent l="0" t="0" r="19050" b="10795"/>
            <wp:docPr id="98" name="Диаграмма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46AB9" w:rsidRPr="00BD7935" w:rsidRDefault="00A46AB9" w:rsidP="00054918">
      <w:pPr>
        <w:spacing w:line="360" w:lineRule="auto"/>
        <w:ind w:left="-425" w:firstLine="709"/>
        <w:contextualSpacing/>
        <w:jc w:val="center"/>
        <w:rPr>
          <w:lang w:val="en-US"/>
        </w:rPr>
      </w:pPr>
      <w:r>
        <w:t>Рассчитано</w:t>
      </w:r>
      <w:r w:rsidRPr="00BD7935">
        <w:rPr>
          <w:lang w:val="en-US"/>
        </w:rPr>
        <w:t xml:space="preserve"> </w:t>
      </w:r>
      <w:r w:rsidR="00BD7935">
        <w:t>по</w:t>
      </w:r>
      <w:r w:rsidR="00BD7935" w:rsidRPr="00BD7935">
        <w:rPr>
          <w:lang w:val="en-US"/>
        </w:rPr>
        <w:t xml:space="preserve">: </w:t>
      </w:r>
      <w:r>
        <w:t>данны</w:t>
      </w:r>
      <w:r w:rsidR="00BD7935">
        <w:t>е</w:t>
      </w:r>
      <w:r w:rsidR="00BD7935" w:rsidRPr="00C32947">
        <w:rPr>
          <w:lang w:val="en-US"/>
        </w:rPr>
        <w:t xml:space="preserve"> </w:t>
      </w:r>
      <w:proofErr w:type="spellStart"/>
      <w:r>
        <w:rPr>
          <w:lang w:val="en-US"/>
        </w:rPr>
        <w:t>imaa</w:t>
      </w:r>
      <w:proofErr w:type="spellEnd"/>
      <w:r w:rsidRPr="00BD7935">
        <w:rPr>
          <w:lang w:val="en-US"/>
        </w:rPr>
        <w:t xml:space="preserve"> </w:t>
      </w:r>
      <w:r>
        <w:rPr>
          <w:lang w:val="en-US"/>
        </w:rPr>
        <w:t>statistics</w:t>
      </w:r>
      <w:r w:rsidRPr="00BD7935">
        <w:rPr>
          <w:lang w:val="en-US"/>
        </w:rPr>
        <w:t xml:space="preserve">, </w:t>
      </w:r>
      <w:r>
        <w:rPr>
          <w:lang w:val="en-US"/>
        </w:rPr>
        <w:t>World</w:t>
      </w:r>
      <w:r w:rsidRPr="00BD7935">
        <w:rPr>
          <w:lang w:val="en-US"/>
        </w:rPr>
        <w:t xml:space="preserve"> </w:t>
      </w:r>
      <w:r>
        <w:rPr>
          <w:lang w:val="en-US"/>
        </w:rPr>
        <w:t>Bank</w:t>
      </w:r>
      <w:r w:rsidRPr="00BD7935">
        <w:rPr>
          <w:lang w:val="en-US"/>
        </w:rPr>
        <w:t xml:space="preserve"> </w:t>
      </w:r>
      <w:r>
        <w:rPr>
          <w:lang w:val="en-US"/>
        </w:rPr>
        <w:t>Data</w:t>
      </w:r>
    </w:p>
    <w:p w:rsidR="00C32947" w:rsidRDefault="002A6FF1" w:rsidP="00054918">
      <w:pPr>
        <w:spacing w:line="360" w:lineRule="auto"/>
        <w:ind w:firstLine="709"/>
        <w:contextualSpacing/>
      </w:pPr>
      <w:r>
        <w:t>В целом</w:t>
      </w:r>
      <w:r w:rsidRPr="00EA2E72">
        <w:t xml:space="preserve"> ожидае</w:t>
      </w:r>
      <w:r>
        <w:t>тся</w:t>
      </w:r>
      <w:r w:rsidRPr="00EA2E72">
        <w:t xml:space="preserve"> однозначн</w:t>
      </w:r>
      <w:r>
        <w:t>ый</w:t>
      </w:r>
      <w:r w:rsidRPr="00EA2E72">
        <w:t xml:space="preserve"> </w:t>
      </w:r>
      <w:r>
        <w:t xml:space="preserve">рост </w:t>
      </w:r>
      <w:r w:rsidRPr="00EA2E72">
        <w:t xml:space="preserve">активности российского рынка </w:t>
      </w:r>
      <w:r>
        <w:t>слияний и поглощений</w:t>
      </w:r>
      <w:r w:rsidRPr="00EA2E72">
        <w:t xml:space="preserve"> в 201</w:t>
      </w:r>
      <w:r w:rsidRPr="002A6FF1">
        <w:t>7</w:t>
      </w:r>
      <w:r>
        <w:t>-2018</w:t>
      </w:r>
      <w:r w:rsidRPr="00EA2E72">
        <w:t xml:space="preserve"> г</w:t>
      </w:r>
      <w:r>
        <w:t>г</w:t>
      </w:r>
      <w:r w:rsidRPr="00EA2E72">
        <w:t>.:</w:t>
      </w:r>
      <w:r>
        <w:t xml:space="preserve"> </w:t>
      </w:r>
      <w:proofErr w:type="gramStart"/>
      <w:r>
        <w:t>рынок</w:t>
      </w:r>
      <w:proofErr w:type="gramEnd"/>
      <w:r>
        <w:t xml:space="preserve"> наконец выходит из стагнации, рост активности пр</w:t>
      </w:r>
      <w:r>
        <w:t>о</w:t>
      </w:r>
      <w:r>
        <w:t xml:space="preserve">гнозируется во всех </w:t>
      </w:r>
      <w:r w:rsidR="00E42820">
        <w:t>сегментах рынка, в разном объеме.</w:t>
      </w:r>
      <w:r>
        <w:t xml:space="preserve"> </w:t>
      </w:r>
      <w:r w:rsidR="004A4D43">
        <w:t>(</w:t>
      </w:r>
      <w:r w:rsidR="00C32947">
        <w:t>Табл. 2.2</w:t>
      </w:r>
      <w:r w:rsidR="004A4D43">
        <w:t>)</w:t>
      </w:r>
    </w:p>
    <w:p w:rsidR="00C32947" w:rsidRDefault="00C32947" w:rsidP="00C32947">
      <w:pPr>
        <w:ind w:firstLine="709"/>
        <w:contextualSpacing/>
        <w:jc w:val="right"/>
        <w:rPr>
          <w:i/>
        </w:rPr>
      </w:pPr>
      <w:r w:rsidRPr="00C32947">
        <w:rPr>
          <w:i/>
        </w:rPr>
        <w:t>Таблица 2.2</w:t>
      </w:r>
    </w:p>
    <w:p w:rsidR="00C32947" w:rsidRDefault="00C32947" w:rsidP="00C32947">
      <w:pPr>
        <w:contextualSpacing/>
        <w:jc w:val="center"/>
        <w:rPr>
          <w:b/>
        </w:rPr>
      </w:pPr>
      <w:r w:rsidRPr="00C32947">
        <w:rPr>
          <w:b/>
        </w:rPr>
        <w:t>Тенденции развития различных сегментов российского рынка слияний и поглощ</w:t>
      </w:r>
      <w:r w:rsidRPr="00C32947">
        <w:rPr>
          <w:b/>
        </w:rPr>
        <w:t>е</w:t>
      </w:r>
      <w:r w:rsidRPr="00C32947">
        <w:rPr>
          <w:b/>
        </w:rPr>
        <w:t>ний в краткосрочной перспективе</w:t>
      </w:r>
    </w:p>
    <w:tbl>
      <w:tblPr>
        <w:tblStyle w:val="a7"/>
        <w:tblW w:w="9631" w:type="dxa"/>
        <w:tblLook w:val="04A0" w:firstRow="1" w:lastRow="0" w:firstColumn="1" w:lastColumn="0" w:noHBand="0" w:noVBand="1"/>
      </w:tblPr>
      <w:tblGrid>
        <w:gridCol w:w="3210"/>
        <w:gridCol w:w="3210"/>
        <w:gridCol w:w="3211"/>
      </w:tblGrid>
      <w:tr w:rsidR="00C32947" w:rsidTr="00D102F8">
        <w:trPr>
          <w:trHeight w:val="657"/>
        </w:trPr>
        <w:tc>
          <w:tcPr>
            <w:tcW w:w="3210" w:type="dxa"/>
            <w:vAlign w:val="center"/>
          </w:tcPr>
          <w:p w:rsidR="00C32947" w:rsidRPr="00C32947" w:rsidRDefault="00C32947" w:rsidP="00D102F8">
            <w:pPr>
              <w:contextualSpacing/>
              <w:jc w:val="center"/>
            </w:pPr>
            <w:r w:rsidRPr="00C32947">
              <w:t>Сегмент рынка</w:t>
            </w:r>
          </w:p>
        </w:tc>
        <w:tc>
          <w:tcPr>
            <w:tcW w:w="3210" w:type="dxa"/>
            <w:vAlign w:val="center"/>
          </w:tcPr>
          <w:p w:rsidR="00C32947" w:rsidRPr="00C32947" w:rsidRDefault="00C32947" w:rsidP="00D102F8">
            <w:pPr>
              <w:contextualSpacing/>
              <w:jc w:val="center"/>
            </w:pPr>
            <w:r w:rsidRPr="00C32947">
              <w:t>Тенденции</w:t>
            </w:r>
          </w:p>
        </w:tc>
        <w:tc>
          <w:tcPr>
            <w:tcW w:w="3211" w:type="dxa"/>
            <w:vAlign w:val="center"/>
          </w:tcPr>
          <w:p w:rsidR="00C32947" w:rsidRPr="00C32947" w:rsidRDefault="00C32947" w:rsidP="00D102F8">
            <w:pPr>
              <w:contextualSpacing/>
              <w:jc w:val="center"/>
            </w:pPr>
            <w:r w:rsidRPr="00C32947">
              <w:t>Отрасли промышленности, характерные для данного сегмента</w:t>
            </w:r>
          </w:p>
        </w:tc>
      </w:tr>
      <w:tr w:rsidR="00C32947" w:rsidTr="00D102F8">
        <w:trPr>
          <w:trHeight w:val="450"/>
        </w:trPr>
        <w:tc>
          <w:tcPr>
            <w:tcW w:w="3210" w:type="dxa"/>
          </w:tcPr>
          <w:p w:rsidR="00C32947" w:rsidRPr="00C32947" w:rsidRDefault="00C32947" w:rsidP="00C32947">
            <w:pPr>
              <w:contextualSpacing/>
              <w:jc w:val="center"/>
            </w:pPr>
            <w:proofErr w:type="spellStart"/>
            <w:r w:rsidRPr="00C32947">
              <w:t>Мегасделки</w:t>
            </w:r>
            <w:proofErr w:type="spellEnd"/>
          </w:p>
        </w:tc>
        <w:tc>
          <w:tcPr>
            <w:tcW w:w="3210" w:type="dxa"/>
            <w:vAlign w:val="center"/>
          </w:tcPr>
          <w:p w:rsidR="00C32947" w:rsidRPr="00C32947" w:rsidRDefault="00C32947" w:rsidP="00D102F8">
            <w:pPr>
              <w:contextualSpacing/>
              <w:jc w:val="center"/>
            </w:pPr>
            <w:r w:rsidRPr="00C32947">
              <w:t>Оживление активности</w:t>
            </w:r>
          </w:p>
        </w:tc>
        <w:tc>
          <w:tcPr>
            <w:tcW w:w="3211" w:type="dxa"/>
            <w:vAlign w:val="center"/>
          </w:tcPr>
          <w:p w:rsidR="00C32947" w:rsidRPr="00C32947" w:rsidRDefault="00C32947" w:rsidP="00D102F8">
            <w:pPr>
              <w:contextualSpacing/>
              <w:jc w:val="center"/>
            </w:pPr>
            <w:r w:rsidRPr="00C32947">
              <w:t>ТЭК, металлургия, электр</w:t>
            </w:r>
            <w:r w:rsidRPr="00C32947">
              <w:t>о</w:t>
            </w:r>
            <w:r w:rsidRPr="00C32947">
              <w:t>энергетика</w:t>
            </w:r>
          </w:p>
        </w:tc>
      </w:tr>
      <w:tr w:rsidR="00C32947" w:rsidTr="00D102F8">
        <w:trPr>
          <w:trHeight w:val="889"/>
        </w:trPr>
        <w:tc>
          <w:tcPr>
            <w:tcW w:w="3210" w:type="dxa"/>
          </w:tcPr>
          <w:p w:rsidR="00C32947" w:rsidRPr="00C32947" w:rsidRDefault="00C32947" w:rsidP="00C32947">
            <w:pPr>
              <w:contextualSpacing/>
              <w:jc w:val="center"/>
            </w:pPr>
            <w:r w:rsidRPr="00C32947">
              <w:t>Крупные сделки</w:t>
            </w:r>
          </w:p>
        </w:tc>
        <w:tc>
          <w:tcPr>
            <w:tcW w:w="3210" w:type="dxa"/>
            <w:vAlign w:val="center"/>
          </w:tcPr>
          <w:p w:rsidR="00C32947" w:rsidRPr="00C32947" w:rsidRDefault="00C32947" w:rsidP="00D102F8">
            <w:pPr>
              <w:contextualSpacing/>
              <w:jc w:val="center"/>
            </w:pPr>
            <w:r w:rsidRPr="00C32947">
              <w:t>Растущий тренд</w:t>
            </w:r>
          </w:p>
        </w:tc>
        <w:tc>
          <w:tcPr>
            <w:tcW w:w="3211" w:type="dxa"/>
            <w:vAlign w:val="center"/>
          </w:tcPr>
          <w:p w:rsidR="00C32947" w:rsidRPr="00C32947" w:rsidRDefault="00C32947" w:rsidP="00D102F8">
            <w:pPr>
              <w:contextualSpacing/>
              <w:jc w:val="center"/>
            </w:pPr>
            <w:r w:rsidRPr="00C32947">
              <w:t>Химическая промышле</w:t>
            </w:r>
            <w:r w:rsidRPr="00C32947">
              <w:t>н</w:t>
            </w:r>
            <w:r w:rsidRPr="00C32947">
              <w:t>ность, машиностроение, строительство, связь, фина</w:t>
            </w:r>
            <w:r w:rsidRPr="00C32947">
              <w:t>н</w:t>
            </w:r>
            <w:r w:rsidRPr="00C32947">
              <w:t>сы и страхование</w:t>
            </w:r>
          </w:p>
        </w:tc>
      </w:tr>
      <w:tr w:rsidR="00C32947" w:rsidTr="00D102F8">
        <w:trPr>
          <w:trHeight w:val="1119"/>
        </w:trPr>
        <w:tc>
          <w:tcPr>
            <w:tcW w:w="3210" w:type="dxa"/>
          </w:tcPr>
          <w:p w:rsidR="00C32947" w:rsidRPr="00C32947" w:rsidRDefault="00C32947" w:rsidP="00C32947">
            <w:pPr>
              <w:contextualSpacing/>
              <w:jc w:val="center"/>
            </w:pPr>
            <w:r w:rsidRPr="00C32947">
              <w:t>Средние сделки</w:t>
            </w:r>
          </w:p>
        </w:tc>
        <w:tc>
          <w:tcPr>
            <w:tcW w:w="3210" w:type="dxa"/>
            <w:vAlign w:val="center"/>
          </w:tcPr>
          <w:p w:rsidR="00C32947" w:rsidRPr="00C32947" w:rsidRDefault="00C32947" w:rsidP="00D102F8">
            <w:pPr>
              <w:contextualSpacing/>
              <w:jc w:val="center"/>
            </w:pPr>
            <w:r w:rsidRPr="00C32947">
              <w:t>Небольшое оживление за счет инвестиций в недоф</w:t>
            </w:r>
            <w:r w:rsidRPr="00C32947">
              <w:t>и</w:t>
            </w:r>
            <w:r w:rsidRPr="00C32947">
              <w:t>нансированные сегменты</w:t>
            </w:r>
          </w:p>
        </w:tc>
        <w:tc>
          <w:tcPr>
            <w:tcW w:w="3211" w:type="dxa"/>
            <w:vAlign w:val="center"/>
          </w:tcPr>
          <w:p w:rsidR="00C32947" w:rsidRPr="00C32947" w:rsidRDefault="00C32947" w:rsidP="00D102F8">
            <w:pPr>
              <w:contextualSpacing/>
              <w:jc w:val="center"/>
            </w:pPr>
            <w:r w:rsidRPr="00C32947">
              <w:rPr>
                <w:lang w:val="en-US"/>
              </w:rPr>
              <w:t>IT</w:t>
            </w:r>
            <w:r w:rsidRPr="00C32947">
              <w:t>, текстиль, реклама, транспорт, сельское хозя</w:t>
            </w:r>
            <w:r w:rsidRPr="00C32947">
              <w:t>й</w:t>
            </w:r>
            <w:r w:rsidRPr="00C32947">
              <w:t>ство, пищевая промышле</w:t>
            </w:r>
            <w:r w:rsidRPr="00C32947">
              <w:t>н</w:t>
            </w:r>
            <w:r w:rsidRPr="00C32947">
              <w:t>ность лесопромышленный комплекс</w:t>
            </w:r>
          </w:p>
        </w:tc>
      </w:tr>
      <w:tr w:rsidR="00C32947" w:rsidTr="00D102F8">
        <w:trPr>
          <w:trHeight w:val="562"/>
        </w:trPr>
        <w:tc>
          <w:tcPr>
            <w:tcW w:w="3210" w:type="dxa"/>
          </w:tcPr>
          <w:p w:rsidR="00C32947" w:rsidRPr="00C32947" w:rsidRDefault="00C32947" w:rsidP="00C32947">
            <w:pPr>
              <w:contextualSpacing/>
              <w:jc w:val="center"/>
            </w:pPr>
            <w:r w:rsidRPr="00C32947">
              <w:t>Небольшие сделки</w:t>
            </w:r>
          </w:p>
        </w:tc>
        <w:tc>
          <w:tcPr>
            <w:tcW w:w="3210" w:type="dxa"/>
            <w:vAlign w:val="center"/>
          </w:tcPr>
          <w:p w:rsidR="00C32947" w:rsidRPr="00C32947" w:rsidRDefault="00C32947" w:rsidP="00D102F8">
            <w:pPr>
              <w:contextualSpacing/>
              <w:jc w:val="center"/>
            </w:pPr>
            <w:r w:rsidRPr="00C32947">
              <w:t>Увеличение количества за счет сравнительной деш</w:t>
            </w:r>
            <w:r w:rsidRPr="00C32947">
              <w:t>е</w:t>
            </w:r>
            <w:r w:rsidRPr="00C32947">
              <w:t>визны активов в отрасли</w:t>
            </w:r>
          </w:p>
        </w:tc>
        <w:tc>
          <w:tcPr>
            <w:tcW w:w="3211" w:type="dxa"/>
            <w:vAlign w:val="center"/>
          </w:tcPr>
          <w:p w:rsidR="00C32947" w:rsidRPr="00C32947" w:rsidRDefault="00C32947" w:rsidP="00D102F8">
            <w:pPr>
              <w:contextualSpacing/>
              <w:jc w:val="center"/>
            </w:pPr>
            <w:r w:rsidRPr="00C32947">
              <w:t>Розничная торговля, общ</w:t>
            </w:r>
            <w:r w:rsidRPr="00C32947">
              <w:t>е</w:t>
            </w:r>
            <w:r w:rsidRPr="00C32947">
              <w:t>ственное питание</w:t>
            </w:r>
          </w:p>
        </w:tc>
      </w:tr>
    </w:tbl>
    <w:p w:rsidR="00C32947" w:rsidRPr="00C32947" w:rsidRDefault="00C32947" w:rsidP="00C32947">
      <w:pPr>
        <w:spacing w:line="360" w:lineRule="auto"/>
        <w:contextualSpacing/>
        <w:jc w:val="center"/>
      </w:pPr>
      <w:r>
        <w:t>Составлено автором</w:t>
      </w:r>
    </w:p>
    <w:p w:rsidR="006D6586" w:rsidRPr="004A4D43" w:rsidRDefault="002A6BD9" w:rsidP="00C32947">
      <w:pPr>
        <w:spacing w:line="360" w:lineRule="auto"/>
        <w:ind w:firstLine="709"/>
        <w:contextualSpacing/>
        <w:jc w:val="both"/>
        <w:rPr>
          <w:shd w:val="clear" w:color="auto" w:fill="FFFFFF"/>
        </w:rPr>
      </w:pPr>
      <w:r>
        <w:rPr>
          <w:shd w:val="clear" w:color="auto" w:fill="FFFFFF"/>
        </w:rPr>
        <w:t xml:space="preserve"> </w:t>
      </w:r>
      <w:r w:rsidR="006D6586" w:rsidRPr="004A4D43">
        <w:rPr>
          <w:shd w:val="clear" w:color="auto" w:fill="FFFFFF"/>
        </w:rPr>
        <w:t>Из-за особенностей развития фондового рынка в России наблюдаются нехаракте</w:t>
      </w:r>
      <w:r w:rsidR="006D6586" w:rsidRPr="004A4D43">
        <w:rPr>
          <w:shd w:val="clear" w:color="auto" w:fill="FFFFFF"/>
        </w:rPr>
        <w:t>р</w:t>
      </w:r>
      <w:r w:rsidR="006D6586" w:rsidRPr="004A4D43">
        <w:rPr>
          <w:shd w:val="clear" w:color="auto" w:fill="FFFFFF"/>
        </w:rPr>
        <w:t xml:space="preserve">ные для западного рынка </w:t>
      </w:r>
      <w:r w:rsidR="006D6586" w:rsidRPr="004A4D43">
        <w:rPr>
          <w:shd w:val="clear" w:color="auto" w:fill="FFFFFF"/>
          <w:lang w:val="en-US"/>
        </w:rPr>
        <w:t>M</w:t>
      </w:r>
      <w:r w:rsidR="006D6586" w:rsidRPr="004A4D43">
        <w:rPr>
          <w:shd w:val="clear" w:color="auto" w:fill="FFFFFF"/>
        </w:rPr>
        <w:t>&amp;</w:t>
      </w:r>
      <w:r w:rsidR="006D6586" w:rsidRPr="004A4D43">
        <w:rPr>
          <w:shd w:val="clear" w:color="auto" w:fill="FFFFFF"/>
          <w:lang w:val="en-US"/>
        </w:rPr>
        <w:t>A</w:t>
      </w:r>
      <w:r w:rsidR="006D6586" w:rsidRPr="004A4D43">
        <w:rPr>
          <w:shd w:val="clear" w:color="auto" w:fill="FFFFFF"/>
        </w:rPr>
        <w:t xml:space="preserve"> пропорции денежного и бумажного финансирования. Если обратиться к статистике, то можно отметить, что более 90% всех сделок на рынке </w:t>
      </w:r>
      <w:r w:rsidR="006D6586" w:rsidRPr="004A4D43">
        <w:rPr>
          <w:shd w:val="clear" w:color="auto" w:fill="FFFFFF"/>
          <w:lang w:val="en-US"/>
        </w:rPr>
        <w:t>M</w:t>
      </w:r>
      <w:r w:rsidR="006D6586" w:rsidRPr="004A4D43">
        <w:rPr>
          <w:shd w:val="clear" w:color="auto" w:fill="FFFFFF"/>
        </w:rPr>
        <w:t>&amp;</w:t>
      </w:r>
      <w:r w:rsidR="006D6586" w:rsidRPr="004A4D43">
        <w:rPr>
          <w:shd w:val="clear" w:color="auto" w:fill="FFFFFF"/>
          <w:lang w:val="en-US"/>
        </w:rPr>
        <w:t>A</w:t>
      </w:r>
      <w:r w:rsidR="006D6586" w:rsidRPr="004A4D43">
        <w:rPr>
          <w:shd w:val="clear" w:color="auto" w:fill="FFFFFF"/>
        </w:rPr>
        <w:t xml:space="preserve"> </w:t>
      </w:r>
      <w:r w:rsidR="006D6586" w:rsidRPr="004A4D43">
        <w:rPr>
          <w:shd w:val="clear" w:color="auto" w:fill="FFFFFF"/>
        </w:rPr>
        <w:lastRenderedPageBreak/>
        <w:t>финансируются за счет денежных средств.</w:t>
      </w:r>
      <w:r w:rsidR="006D6586" w:rsidRPr="004A4D43">
        <w:rPr>
          <w:rStyle w:val="a6"/>
          <w:shd w:val="clear" w:color="auto" w:fill="FFFFFF"/>
        </w:rPr>
        <w:footnoteReference w:id="59"/>
      </w:r>
      <w:r w:rsidR="006D6586" w:rsidRPr="004A4D43">
        <w:rPr>
          <w:shd w:val="clear" w:color="auto" w:fill="FFFFFF"/>
        </w:rPr>
        <w:t xml:space="preserve"> Данный факт можно считать одной из наци</w:t>
      </w:r>
      <w:r w:rsidR="006D6586" w:rsidRPr="004A4D43">
        <w:rPr>
          <w:shd w:val="clear" w:color="auto" w:fill="FFFFFF"/>
        </w:rPr>
        <w:t>о</w:t>
      </w:r>
      <w:r w:rsidR="006D6586" w:rsidRPr="004A4D43">
        <w:rPr>
          <w:shd w:val="clear" w:color="auto" w:fill="FFFFFF"/>
        </w:rPr>
        <w:t>нальных особенностей российского рынка корпоративного контроля, что, в свою очередь, обуславливается следующими основными причинами:</w:t>
      </w:r>
    </w:p>
    <w:p w:rsidR="006D6586" w:rsidRPr="004A4D43" w:rsidRDefault="006D6586" w:rsidP="006D6586">
      <w:pPr>
        <w:pStyle w:val="a3"/>
        <w:numPr>
          <w:ilvl w:val="0"/>
          <w:numId w:val="18"/>
        </w:numPr>
        <w:spacing w:line="360" w:lineRule="auto"/>
        <w:ind w:left="709" w:hanging="283"/>
        <w:jc w:val="both"/>
        <w:rPr>
          <w:shd w:val="clear" w:color="auto" w:fill="FFFFFF"/>
        </w:rPr>
      </w:pPr>
      <w:r w:rsidRPr="004A4D43">
        <w:rPr>
          <w:shd w:val="clear" w:color="auto" w:fill="FFFFFF"/>
        </w:rPr>
        <w:t xml:space="preserve">Общий уровень развития фондового рынка можно характеризовать как низкий по сравнению с </w:t>
      </w:r>
      <w:proofErr w:type="gramStart"/>
      <w:r w:rsidRPr="004A4D43">
        <w:rPr>
          <w:shd w:val="clear" w:color="auto" w:fill="FFFFFF"/>
        </w:rPr>
        <w:t>западными</w:t>
      </w:r>
      <w:proofErr w:type="gramEnd"/>
      <w:r w:rsidRPr="004A4D43">
        <w:rPr>
          <w:shd w:val="clear" w:color="auto" w:fill="FFFFFF"/>
        </w:rPr>
        <w:t>. На российском рынке далеко не все акции представляют собой устойчивый, в долгосрочной перспективе, ликвидный платежный инстр</w:t>
      </w:r>
      <w:r w:rsidRPr="004A4D43">
        <w:rPr>
          <w:shd w:val="clear" w:color="auto" w:fill="FFFFFF"/>
        </w:rPr>
        <w:t>у</w:t>
      </w:r>
      <w:r w:rsidRPr="004A4D43">
        <w:rPr>
          <w:shd w:val="clear" w:color="auto" w:fill="FFFFFF"/>
        </w:rPr>
        <w:t>мент.</w:t>
      </w:r>
    </w:p>
    <w:p w:rsidR="006D6586" w:rsidRPr="004A4D43" w:rsidRDefault="006D6586" w:rsidP="006D6586">
      <w:pPr>
        <w:pStyle w:val="a3"/>
        <w:numPr>
          <w:ilvl w:val="0"/>
          <w:numId w:val="18"/>
        </w:numPr>
        <w:spacing w:line="360" w:lineRule="auto"/>
        <w:ind w:left="709" w:hanging="283"/>
        <w:jc w:val="both"/>
        <w:rPr>
          <w:shd w:val="clear" w:color="auto" w:fill="FFFFFF"/>
        </w:rPr>
      </w:pPr>
      <w:r w:rsidRPr="004A4D43">
        <w:rPr>
          <w:shd w:val="clear" w:color="auto" w:fill="FFFFFF"/>
        </w:rPr>
        <w:t>Немаловажную роль играет менталитет собственников, все еще ориентированный на краткосрочное планирование.</w:t>
      </w:r>
    </w:p>
    <w:p w:rsidR="00C621FA" w:rsidRPr="00054918" w:rsidRDefault="006D6586" w:rsidP="00054918">
      <w:pPr>
        <w:pStyle w:val="a3"/>
        <w:numPr>
          <w:ilvl w:val="0"/>
          <w:numId w:val="18"/>
        </w:numPr>
        <w:spacing w:after="120" w:line="360" w:lineRule="auto"/>
        <w:ind w:left="709" w:hanging="283"/>
        <w:jc w:val="both"/>
        <w:rPr>
          <w:shd w:val="clear" w:color="auto" w:fill="FFFFFF"/>
        </w:rPr>
      </w:pPr>
      <w:r w:rsidRPr="004A4D43">
        <w:rPr>
          <w:shd w:val="clear" w:color="auto" w:fill="FFFFFF"/>
        </w:rPr>
        <w:t xml:space="preserve">Проявляет себя структура рынка </w:t>
      </w:r>
      <w:r w:rsidRPr="004A4D43">
        <w:rPr>
          <w:shd w:val="clear" w:color="auto" w:fill="FFFFFF"/>
          <w:lang w:val="en-US"/>
        </w:rPr>
        <w:t>M</w:t>
      </w:r>
      <w:r w:rsidRPr="004A4D43">
        <w:rPr>
          <w:shd w:val="clear" w:color="auto" w:fill="FFFFFF"/>
        </w:rPr>
        <w:t>&amp;</w:t>
      </w:r>
      <w:r w:rsidRPr="004A4D43">
        <w:rPr>
          <w:shd w:val="clear" w:color="auto" w:fill="FFFFFF"/>
          <w:lang w:val="en-US"/>
        </w:rPr>
        <w:t>A</w:t>
      </w:r>
      <w:r w:rsidRPr="004A4D43">
        <w:rPr>
          <w:shd w:val="clear" w:color="auto" w:fill="FFFFFF"/>
        </w:rPr>
        <w:t>, для которой характерны именно поглощ</w:t>
      </w:r>
      <w:r w:rsidRPr="004A4D43">
        <w:rPr>
          <w:shd w:val="clear" w:color="auto" w:fill="FFFFFF"/>
        </w:rPr>
        <w:t>е</w:t>
      </w:r>
      <w:r w:rsidRPr="004A4D43">
        <w:rPr>
          <w:shd w:val="clear" w:color="auto" w:fill="FFFFFF"/>
        </w:rPr>
        <w:t>ния. Равноправных слияний на российском рынке относительно мало, для крупных слияний характерна оплата акциями, другими ценными бумагами.</w:t>
      </w:r>
    </w:p>
    <w:p w:rsidR="00E25203" w:rsidRDefault="00552D8D" w:rsidP="00054918">
      <w:pPr>
        <w:spacing w:after="120" w:line="360" w:lineRule="auto"/>
        <w:ind w:firstLine="709"/>
        <w:contextualSpacing/>
        <w:jc w:val="both"/>
      </w:pPr>
      <w:r w:rsidRPr="008E23E3">
        <w:t xml:space="preserve">Суммируя все вышесказанное, </w:t>
      </w:r>
      <w:r w:rsidR="00E470CD">
        <w:t xml:space="preserve">следует </w:t>
      </w:r>
      <w:r w:rsidR="00830A86">
        <w:t>отметить,</w:t>
      </w:r>
      <w:r w:rsidR="009255E3">
        <w:t xml:space="preserve"> что общее развитие </w:t>
      </w:r>
      <w:r w:rsidR="009255E3" w:rsidRPr="007A00E8">
        <w:t>рынка сли</w:t>
      </w:r>
      <w:r w:rsidR="009255E3" w:rsidRPr="007A00E8">
        <w:t>я</w:t>
      </w:r>
      <w:r w:rsidR="009255E3" w:rsidRPr="007A00E8">
        <w:t>ний</w:t>
      </w:r>
      <w:r w:rsidR="009255E3">
        <w:t xml:space="preserve"> и поглощений происходит волнообразно. На данный момент насчитывается порядка 7ми волн, тем не </w:t>
      </w:r>
      <w:proofErr w:type="gramStart"/>
      <w:r w:rsidR="009255E3">
        <w:t>менее</w:t>
      </w:r>
      <w:proofErr w:type="gramEnd"/>
      <w:r w:rsidR="009255E3">
        <w:t xml:space="preserve"> не все рынки засвидетельствовали их развитие с самого начала, в связи с тем, что в разных регионах зарождение и развитие происходило в разные периоды. Самым полным рынком из всех исследуемых является рынок Соединенных Штатов (з</w:t>
      </w:r>
      <w:r w:rsidR="009255E3">
        <w:t>а</w:t>
      </w:r>
      <w:r w:rsidR="009255E3">
        <w:t>фиксированы все 7 волн), в то время как рынок России представляется наименее разв</w:t>
      </w:r>
      <w:r w:rsidR="009255E3">
        <w:t>и</w:t>
      </w:r>
      <w:r w:rsidR="009255E3">
        <w:t>тым, начав свое развитие в 90х (зафиксированы 3 волны, включая последнюю).</w:t>
      </w:r>
    </w:p>
    <w:p w:rsidR="00E470CD" w:rsidRDefault="009255E3" w:rsidP="00552D8D">
      <w:pPr>
        <w:spacing w:line="360" w:lineRule="auto"/>
        <w:ind w:firstLine="709"/>
        <w:contextualSpacing/>
        <w:jc w:val="both"/>
      </w:pPr>
      <w:r>
        <w:t>Так же необходимо указа</w:t>
      </w:r>
      <w:r w:rsidR="00552D8D" w:rsidRPr="008E23E3">
        <w:t>ть, что на функционирование рынка слияний и поглощ</w:t>
      </w:r>
      <w:r w:rsidR="00552D8D" w:rsidRPr="008E23E3">
        <w:t>е</w:t>
      </w:r>
      <w:r w:rsidR="00552D8D" w:rsidRPr="008E23E3">
        <w:t xml:space="preserve">ний, в течение всего времени его развития и становления оказывает </w:t>
      </w:r>
      <w:r w:rsidR="00552D8D">
        <w:t xml:space="preserve">влияние </w:t>
      </w:r>
      <w:r w:rsidR="00552D8D" w:rsidRPr="008E23E3">
        <w:t>госуда</w:t>
      </w:r>
      <w:r w:rsidR="00552D8D" w:rsidRPr="008E23E3">
        <w:t>р</w:t>
      </w:r>
      <w:r w:rsidR="00552D8D" w:rsidRPr="008E23E3">
        <w:t>ственное регулирование</w:t>
      </w:r>
      <w:r w:rsidR="00E470CD">
        <w:t xml:space="preserve"> в связи с четырьмя основными макроэкономическими показат</w:t>
      </w:r>
      <w:r w:rsidR="00E470CD">
        <w:t>е</w:t>
      </w:r>
      <w:r w:rsidR="00E470CD">
        <w:t>лями</w:t>
      </w:r>
      <w:r w:rsidR="00552D8D" w:rsidRPr="008E23E3">
        <w:t>, что, по сути, является одной из его ключевых особенностей.</w:t>
      </w:r>
      <w:r>
        <w:t xml:space="preserve"> В последние 2 волны (2003-2009</w:t>
      </w:r>
      <w:r w:rsidR="009724C2">
        <w:t xml:space="preserve"> </w:t>
      </w:r>
      <w:r>
        <w:t>гг</w:t>
      </w:r>
      <w:r w:rsidR="009724C2">
        <w:t>.</w:t>
      </w:r>
      <w:r>
        <w:t xml:space="preserve"> – 2012 – сейчас) была зафиксирована наибольшая корреляция с капитализ</w:t>
      </w:r>
      <w:r>
        <w:t>а</w:t>
      </w:r>
      <w:r>
        <w:t xml:space="preserve">цией фондовых рынков, причем, что любопытно, корреляция </w:t>
      </w:r>
      <w:r w:rsidR="002C19D1">
        <w:t>присутствует даже на ро</w:t>
      </w:r>
      <w:r w:rsidR="002C19D1">
        <w:t>с</w:t>
      </w:r>
      <w:r w:rsidR="002C19D1">
        <w:t>сийском рынке, несмотря на тот факт, что публичными являются не так много российских компаний, следовательно, данная зависимость отражает крупные и особо крупные тра</w:t>
      </w:r>
      <w:r w:rsidR="002C19D1">
        <w:t>н</w:t>
      </w:r>
      <w:r w:rsidR="002C19D1">
        <w:t>закции.</w:t>
      </w:r>
    </w:p>
    <w:p w:rsidR="00552D8D" w:rsidRDefault="00552D8D" w:rsidP="002C19D1">
      <w:pPr>
        <w:spacing w:line="360" w:lineRule="auto"/>
        <w:ind w:firstLine="709"/>
        <w:contextualSpacing/>
        <w:jc w:val="both"/>
      </w:pPr>
      <w:r w:rsidRPr="008E23E3">
        <w:t xml:space="preserve">Крупный российский бизнес в принципе характеризуется высокой долей участия государства </w:t>
      </w:r>
      <w:proofErr w:type="gramStart"/>
      <w:r w:rsidRPr="008E23E3">
        <w:t>в</w:t>
      </w:r>
      <w:proofErr w:type="gramEnd"/>
      <w:r w:rsidRPr="008E23E3">
        <w:t xml:space="preserve"> </w:t>
      </w:r>
      <w:proofErr w:type="gramStart"/>
      <w:r w:rsidRPr="008E23E3">
        <w:t>различного</w:t>
      </w:r>
      <w:proofErr w:type="gramEnd"/>
      <w:r w:rsidRPr="008E23E3">
        <w:t xml:space="preserve"> рода проектах. Так же можно отметить вертикальных характер интеграций и денежный характер финансирования сделок по слиянию и поглощению в качестве </w:t>
      </w:r>
      <w:proofErr w:type="spellStart"/>
      <w:r w:rsidRPr="008E23E3">
        <w:t>ярковыраженных</w:t>
      </w:r>
      <w:proofErr w:type="spellEnd"/>
      <w:r w:rsidRPr="008E23E3">
        <w:t xml:space="preserve"> черт, присущих в своей основе российскому рынку M&amp;A.</w:t>
      </w:r>
    </w:p>
    <w:p w:rsidR="005C1C31" w:rsidRDefault="00552D8D" w:rsidP="005C6F02">
      <w:pPr>
        <w:spacing w:afterLines="100" w:after="240" w:line="360" w:lineRule="auto"/>
        <w:ind w:firstLine="709"/>
        <w:contextualSpacing/>
        <w:jc w:val="both"/>
      </w:pPr>
      <w:r>
        <w:lastRenderedPageBreak/>
        <w:t>В настоящий момент,</w:t>
      </w:r>
      <w:r w:rsidR="00445FF1">
        <w:t xml:space="preserve"> </w:t>
      </w:r>
      <w:r w:rsidR="002C19D1">
        <w:t xml:space="preserve">хоть на мировом рынке был зафиксирован кратковременный спад активности, некоторые рынки показывают рост (США и Россия, </w:t>
      </w:r>
      <w:proofErr w:type="gramStart"/>
      <w:r w:rsidR="002C19D1">
        <w:t>среди</w:t>
      </w:r>
      <w:proofErr w:type="gramEnd"/>
      <w:r w:rsidR="002C19D1">
        <w:t xml:space="preserve"> исследуемых)</w:t>
      </w:r>
      <w:r>
        <w:t xml:space="preserve">. Учитывая количество, стоимость и объемы совершаемых операций можно, как считают эксперты, утверждать, что будет наблюдаться </w:t>
      </w:r>
      <w:r w:rsidR="00445FF1">
        <w:t>увеличение</w:t>
      </w:r>
      <w:r>
        <w:t xml:space="preserve"> активности на рынке </w:t>
      </w:r>
      <w:r>
        <w:rPr>
          <w:lang w:val="en-US"/>
        </w:rPr>
        <w:t>M</w:t>
      </w:r>
      <w:r w:rsidRPr="001A70E2">
        <w:t>&amp;</w:t>
      </w:r>
      <w:r>
        <w:rPr>
          <w:lang w:val="en-US"/>
        </w:rPr>
        <w:t>A</w:t>
      </w:r>
      <w:r>
        <w:t>, при этом возобновление крупномасштабных сделок по покупке иностранными корпорациями р</w:t>
      </w:r>
      <w:r w:rsidR="00445FF1">
        <w:t>оссийских активов перейдет в активную фазу</w:t>
      </w:r>
      <w:r>
        <w:t>.</w:t>
      </w:r>
    </w:p>
    <w:p w:rsidR="00F35E81" w:rsidRPr="00F35E81" w:rsidRDefault="00F35E81" w:rsidP="005C6F02">
      <w:pPr>
        <w:spacing w:afterLines="100" w:after="240" w:line="360" w:lineRule="auto"/>
        <w:ind w:firstLine="709"/>
        <w:contextualSpacing/>
        <w:jc w:val="both"/>
      </w:pPr>
      <w:r>
        <w:t xml:space="preserve">На данный момент наблюдается повышение активности в секторе продуктового ритейла, так, в 2016 году в данном секторе было совершено сделок более чем на 30 млрд. рублей. </w:t>
      </w:r>
      <w:proofErr w:type="gramStart"/>
      <w:r>
        <w:t>Рассмотрим крупнейшую из них</w:t>
      </w:r>
      <w:r w:rsidR="00736CDF">
        <w:t xml:space="preserve"> -</w:t>
      </w:r>
      <w:r>
        <w:t xml:space="preserve"> поглощение активов финского </w:t>
      </w:r>
      <w:proofErr w:type="spellStart"/>
      <w:r>
        <w:t>ритейлера</w:t>
      </w:r>
      <w:proofErr w:type="spellEnd"/>
      <w:r>
        <w:t xml:space="preserve"> ко</w:t>
      </w:r>
      <w:r>
        <w:t>м</w:t>
      </w:r>
      <w:r>
        <w:t>пани</w:t>
      </w:r>
      <w:r w:rsidR="00E24365">
        <w:t>е</w:t>
      </w:r>
      <w:r>
        <w:t xml:space="preserve">й </w:t>
      </w:r>
      <w:proofErr w:type="spellStart"/>
      <w:r>
        <w:rPr>
          <w:lang w:val="en-US"/>
        </w:rPr>
        <w:t>Lenta</w:t>
      </w:r>
      <w:proofErr w:type="spellEnd"/>
      <w:r w:rsidRPr="00F35E81">
        <w:t xml:space="preserve"> </w:t>
      </w:r>
      <w:r>
        <w:rPr>
          <w:lang w:val="en-US"/>
        </w:rPr>
        <w:t>Ltd</w:t>
      </w:r>
      <w:r w:rsidRPr="00F35E81">
        <w:t xml:space="preserve">. </w:t>
      </w:r>
      <w:proofErr w:type="gramEnd"/>
    </w:p>
    <w:p w:rsidR="0081191C" w:rsidRDefault="0081191C">
      <w:r>
        <w:br w:type="page"/>
      </w:r>
    </w:p>
    <w:p w:rsidR="00786CC3" w:rsidRPr="00556835" w:rsidRDefault="00786CC3" w:rsidP="007D571D">
      <w:pPr>
        <w:pStyle w:val="1"/>
        <w:ind w:firstLine="567"/>
        <w:rPr>
          <w:rFonts w:ascii="Times New Roman" w:hAnsi="Times New Roman" w:cs="Times New Roman"/>
          <w:color w:val="auto"/>
        </w:rPr>
      </w:pPr>
      <w:bookmarkStart w:id="17" w:name="_Toc513092282"/>
      <w:r w:rsidRPr="00556835">
        <w:rPr>
          <w:rFonts w:ascii="Times New Roman" w:hAnsi="Times New Roman" w:cs="Times New Roman"/>
          <w:color w:val="auto"/>
        </w:rPr>
        <w:lastRenderedPageBreak/>
        <w:t xml:space="preserve">Глава 3. </w:t>
      </w:r>
      <w:r w:rsidR="00B32683" w:rsidRPr="00556835">
        <w:rPr>
          <w:rFonts w:ascii="Times New Roman" w:hAnsi="Times New Roman" w:cs="Times New Roman"/>
          <w:color w:val="auto"/>
        </w:rPr>
        <w:t xml:space="preserve">Оценка эффективности сделок </w:t>
      </w:r>
      <w:r w:rsidR="00205D45" w:rsidRPr="00205D45">
        <w:rPr>
          <w:rFonts w:ascii="Times New Roman" w:hAnsi="Times New Roman" w:cs="Times New Roman"/>
          <w:color w:val="auto"/>
        </w:rPr>
        <w:t>M&amp;A</w:t>
      </w:r>
      <w:bookmarkStart w:id="18" w:name="_GoBack"/>
      <w:bookmarkEnd w:id="18"/>
      <w:r w:rsidR="00601E5D">
        <w:rPr>
          <w:rFonts w:ascii="Times New Roman" w:hAnsi="Times New Roman" w:cs="Times New Roman"/>
          <w:color w:val="auto"/>
        </w:rPr>
        <w:t xml:space="preserve"> </w:t>
      </w:r>
      <w:r w:rsidR="00B32683" w:rsidRPr="00556835">
        <w:rPr>
          <w:rFonts w:ascii="Times New Roman" w:hAnsi="Times New Roman" w:cs="Times New Roman"/>
          <w:color w:val="auto"/>
        </w:rPr>
        <w:t>на основе а</w:t>
      </w:r>
      <w:r w:rsidRPr="00556835">
        <w:rPr>
          <w:rFonts w:ascii="Times New Roman" w:hAnsi="Times New Roman" w:cs="Times New Roman"/>
          <w:color w:val="auto"/>
        </w:rPr>
        <w:t>нализ</w:t>
      </w:r>
      <w:r w:rsidR="00B32683" w:rsidRPr="00556835">
        <w:rPr>
          <w:rFonts w:ascii="Times New Roman" w:hAnsi="Times New Roman" w:cs="Times New Roman"/>
          <w:color w:val="auto"/>
        </w:rPr>
        <w:t>а</w:t>
      </w:r>
      <w:r w:rsidRPr="00556835">
        <w:rPr>
          <w:rFonts w:ascii="Times New Roman" w:hAnsi="Times New Roman" w:cs="Times New Roman"/>
          <w:color w:val="auto"/>
        </w:rPr>
        <w:t xml:space="preserve"> ф</w:t>
      </w:r>
      <w:r w:rsidRPr="00556835">
        <w:rPr>
          <w:rFonts w:ascii="Times New Roman" w:hAnsi="Times New Roman" w:cs="Times New Roman"/>
          <w:color w:val="auto"/>
        </w:rPr>
        <w:t>и</w:t>
      </w:r>
      <w:r w:rsidRPr="00556835">
        <w:rPr>
          <w:rFonts w:ascii="Times New Roman" w:hAnsi="Times New Roman" w:cs="Times New Roman"/>
          <w:color w:val="auto"/>
        </w:rPr>
        <w:t xml:space="preserve">нансового состояния </w:t>
      </w:r>
      <w:proofErr w:type="spellStart"/>
      <w:r w:rsidRPr="00556835">
        <w:rPr>
          <w:rFonts w:ascii="Times New Roman" w:hAnsi="Times New Roman" w:cs="Times New Roman"/>
          <w:color w:val="auto"/>
          <w:lang w:val="en-US"/>
        </w:rPr>
        <w:t>Lenta</w:t>
      </w:r>
      <w:proofErr w:type="spellEnd"/>
      <w:r w:rsidRPr="00556835">
        <w:rPr>
          <w:rFonts w:ascii="Times New Roman" w:hAnsi="Times New Roman" w:cs="Times New Roman"/>
          <w:color w:val="auto"/>
        </w:rPr>
        <w:t xml:space="preserve"> </w:t>
      </w:r>
      <w:r w:rsidRPr="00556835">
        <w:rPr>
          <w:rFonts w:ascii="Times New Roman" w:hAnsi="Times New Roman" w:cs="Times New Roman"/>
          <w:color w:val="auto"/>
          <w:lang w:val="en-US"/>
        </w:rPr>
        <w:t>Ltd</w:t>
      </w:r>
      <w:r w:rsidR="00B32683" w:rsidRPr="00556835">
        <w:rPr>
          <w:rFonts w:ascii="Times New Roman" w:hAnsi="Times New Roman" w:cs="Times New Roman"/>
          <w:color w:val="auto"/>
        </w:rPr>
        <w:t>.</w:t>
      </w:r>
      <w:bookmarkEnd w:id="17"/>
    </w:p>
    <w:p w:rsidR="00556835" w:rsidRDefault="00D9540C" w:rsidP="00992EC5">
      <w:pPr>
        <w:pStyle w:val="2"/>
        <w:spacing w:line="360" w:lineRule="auto"/>
        <w:ind w:firstLine="567"/>
        <w:contextualSpacing/>
        <w:rPr>
          <w:rFonts w:ascii="Times New Roman" w:hAnsi="Times New Roman" w:cs="Times New Roman"/>
          <w:color w:val="auto"/>
          <w:sz w:val="28"/>
          <w:szCs w:val="28"/>
        </w:rPr>
      </w:pPr>
      <w:bookmarkStart w:id="19" w:name="_Toc513092283"/>
      <w:r w:rsidRPr="00556835">
        <w:rPr>
          <w:rFonts w:ascii="Times New Roman" w:hAnsi="Times New Roman" w:cs="Times New Roman"/>
          <w:color w:val="auto"/>
          <w:sz w:val="28"/>
          <w:szCs w:val="28"/>
        </w:rPr>
        <w:t>3</w:t>
      </w:r>
      <w:r w:rsidRPr="00556835">
        <w:rPr>
          <w:rFonts w:ascii="Times New Roman" w:hAnsi="Times New Roman" w:cs="Times New Roman"/>
          <w:color w:val="auto"/>
          <w:sz w:val="24"/>
          <w:szCs w:val="24"/>
        </w:rPr>
        <w:t xml:space="preserve">.1 Организационный </w:t>
      </w:r>
      <w:r w:rsidR="00B90C99">
        <w:rPr>
          <w:rFonts w:ascii="Times New Roman" w:hAnsi="Times New Roman" w:cs="Times New Roman"/>
          <w:color w:val="auto"/>
          <w:sz w:val="24"/>
          <w:szCs w:val="24"/>
        </w:rPr>
        <w:t>анализ</w:t>
      </w:r>
      <w:r w:rsidRPr="00556835">
        <w:rPr>
          <w:rFonts w:ascii="Times New Roman" w:hAnsi="Times New Roman" w:cs="Times New Roman"/>
          <w:color w:val="auto"/>
          <w:sz w:val="24"/>
          <w:szCs w:val="24"/>
        </w:rPr>
        <w:t xml:space="preserve"> деятельности предприятия</w:t>
      </w:r>
      <w:r w:rsidRPr="00556835">
        <w:rPr>
          <w:rFonts w:ascii="Times New Roman" w:hAnsi="Times New Roman" w:cs="Times New Roman"/>
          <w:color w:val="auto"/>
          <w:sz w:val="28"/>
          <w:szCs w:val="28"/>
        </w:rPr>
        <w:t>.</w:t>
      </w:r>
      <w:bookmarkEnd w:id="19"/>
    </w:p>
    <w:p w:rsidR="00355C85" w:rsidRPr="008C284A" w:rsidRDefault="00355C85" w:rsidP="00992EC5">
      <w:pPr>
        <w:spacing w:line="360" w:lineRule="auto"/>
        <w:ind w:firstLine="567"/>
        <w:contextualSpacing/>
        <w:jc w:val="both"/>
      </w:pPr>
      <w:r>
        <w:t xml:space="preserve">Компания </w:t>
      </w:r>
      <w:r w:rsidR="00C57963">
        <w:t>ООО «Лента»</w:t>
      </w:r>
      <w:r>
        <w:t xml:space="preserve"> является одним из крупнейших </w:t>
      </w:r>
      <w:proofErr w:type="spellStart"/>
      <w:r>
        <w:t>ритейлеров</w:t>
      </w:r>
      <w:proofErr w:type="spellEnd"/>
      <w:r>
        <w:t xml:space="preserve">, она занимает первое место среди гипермаркетов и четвертое </w:t>
      </w:r>
      <w:r w:rsidR="00411EFB">
        <w:t xml:space="preserve">место </w:t>
      </w:r>
      <w:r>
        <w:t>среди розничных сетей на росси</w:t>
      </w:r>
      <w:r>
        <w:t>й</w:t>
      </w:r>
      <w:r>
        <w:t>ском рынке.</w:t>
      </w:r>
      <w:r w:rsidR="00150BD4">
        <w:t xml:space="preserve"> Материнская</w:t>
      </w:r>
      <w:r w:rsidR="00411EFB">
        <w:t xml:space="preserve"> компания</w:t>
      </w:r>
      <w:r w:rsidR="00C57963">
        <w:t xml:space="preserve"> </w:t>
      </w:r>
      <w:proofErr w:type="spellStart"/>
      <w:r w:rsidR="00C57963">
        <w:rPr>
          <w:lang w:val="en-US"/>
        </w:rPr>
        <w:t>Lenta</w:t>
      </w:r>
      <w:proofErr w:type="spellEnd"/>
      <w:r w:rsidR="00C57963" w:rsidRPr="00C57963">
        <w:t xml:space="preserve"> </w:t>
      </w:r>
      <w:r w:rsidR="00C57963">
        <w:rPr>
          <w:lang w:val="en-US"/>
        </w:rPr>
        <w:t>Ltd</w:t>
      </w:r>
      <w:r w:rsidR="00C57963" w:rsidRPr="00C57963">
        <w:t xml:space="preserve"> </w:t>
      </w:r>
      <w:r w:rsidR="00C57963">
        <w:t>зарегистрирована на Британских Вирги</w:t>
      </w:r>
      <w:r w:rsidR="00C57963">
        <w:t>н</w:t>
      </w:r>
      <w:r w:rsidR="00C57963">
        <w:t>ских островах</w:t>
      </w:r>
      <w:r w:rsidR="00150BD4">
        <w:t xml:space="preserve">: </w:t>
      </w:r>
      <w:r w:rsidR="00D0660E">
        <w:t>около</w:t>
      </w:r>
      <w:r w:rsidR="00C57963">
        <w:t xml:space="preserve"> 3</w:t>
      </w:r>
      <w:r w:rsidR="009E27F9">
        <w:t>3,97</w:t>
      </w:r>
      <w:r w:rsidR="00C57963">
        <w:t xml:space="preserve">% </w:t>
      </w:r>
      <w:r w:rsidR="00150BD4">
        <w:t xml:space="preserve">ее </w:t>
      </w:r>
      <w:r w:rsidR="00C57963">
        <w:t xml:space="preserve">акций находится во владении группы </w:t>
      </w:r>
      <w:r w:rsidR="00C57963">
        <w:rPr>
          <w:lang w:val="en-US"/>
        </w:rPr>
        <w:t>TPG</w:t>
      </w:r>
      <w:r w:rsidR="00C57963" w:rsidRPr="009E27F9">
        <w:t xml:space="preserve"> </w:t>
      </w:r>
      <w:r w:rsidR="00C57963">
        <w:rPr>
          <w:lang w:val="en-US"/>
        </w:rPr>
        <w:t>Capital</w:t>
      </w:r>
      <w:r w:rsidR="00C57963" w:rsidRPr="009E27F9">
        <w:t xml:space="preserve">, </w:t>
      </w:r>
      <w:r w:rsidR="009E27F9" w:rsidRPr="009E27F9">
        <w:t>7,</w:t>
      </w:r>
      <w:r w:rsidR="009E27F9">
        <w:t>37</w:t>
      </w:r>
      <w:r w:rsidR="009E27F9" w:rsidRPr="009E27F9">
        <w:t xml:space="preserve">% </w:t>
      </w:r>
      <w:r w:rsidR="009E27F9">
        <w:t xml:space="preserve">акций приобретено Европейским Банком Реконструкции и Развития, 1,16% принадлежат директорам и менеджменту, и оставшиеся 57,51% акций находится в свободном общении. </w:t>
      </w:r>
      <w:r w:rsidR="007C6B6F">
        <w:t xml:space="preserve">На данный момент «Лента» занимает 5 место среди российских продуктовых </w:t>
      </w:r>
      <w:proofErr w:type="spellStart"/>
      <w:r w:rsidR="007C6B6F">
        <w:t>ритейлеров</w:t>
      </w:r>
      <w:proofErr w:type="spellEnd"/>
      <w:r w:rsidR="007C6B6F">
        <w:t xml:space="preserve"> по </w:t>
      </w:r>
      <w:r w:rsidR="008C284A">
        <w:t xml:space="preserve">объем продаж, уступив </w:t>
      </w:r>
      <w:r w:rsidR="008C284A">
        <w:rPr>
          <w:lang w:val="en-US"/>
        </w:rPr>
        <w:t>X</w:t>
      </w:r>
      <w:r w:rsidR="008C284A" w:rsidRPr="008C284A">
        <w:t xml:space="preserve">5 </w:t>
      </w:r>
      <w:r w:rsidR="008C284A">
        <w:rPr>
          <w:lang w:val="en-US"/>
        </w:rPr>
        <w:t>Retail</w:t>
      </w:r>
      <w:r w:rsidR="008C284A" w:rsidRPr="008C284A">
        <w:t xml:space="preserve"> </w:t>
      </w:r>
      <w:r w:rsidR="008C284A">
        <w:rPr>
          <w:lang w:val="en-US"/>
        </w:rPr>
        <w:t>Group</w:t>
      </w:r>
      <w:r w:rsidR="008C284A" w:rsidRPr="008C284A">
        <w:t xml:space="preserve">, </w:t>
      </w:r>
      <w:r w:rsidR="008C284A">
        <w:t xml:space="preserve">Магнит, Ашан и </w:t>
      </w:r>
      <w:proofErr w:type="spellStart"/>
      <w:r w:rsidR="008C284A">
        <w:t>Дикси</w:t>
      </w:r>
      <w:proofErr w:type="spellEnd"/>
      <w:r w:rsidR="008C284A">
        <w:t xml:space="preserve">, однако лидирует среди прочих по уровню прироста, составившего </w:t>
      </w:r>
      <w:r w:rsidR="0000665F">
        <w:t>21</w:t>
      </w:r>
      <w:r w:rsidR="008C284A">
        <w:t>,</w:t>
      </w:r>
      <w:r w:rsidR="0000665F">
        <w:t>7</w:t>
      </w:r>
      <w:r w:rsidR="008C284A">
        <w:t>% за 201</w:t>
      </w:r>
      <w:r w:rsidR="0000665F">
        <w:t>5</w:t>
      </w:r>
      <w:r w:rsidR="008C284A">
        <w:t xml:space="preserve"> год.</w:t>
      </w:r>
      <w:r w:rsidR="0000665F">
        <w:rPr>
          <w:rStyle w:val="a6"/>
        </w:rPr>
        <w:footnoteReference w:id="60"/>
      </w:r>
    </w:p>
    <w:p w:rsidR="00FE26CB" w:rsidRDefault="00FE26CB" w:rsidP="00FE26CB">
      <w:pPr>
        <w:spacing w:line="360" w:lineRule="auto"/>
        <w:ind w:firstLine="567"/>
        <w:contextualSpacing/>
        <w:jc w:val="both"/>
      </w:pPr>
      <w:r>
        <w:t>Основополагающими целями стратегического развития компании в долгосрочном периоде являются</w:t>
      </w:r>
      <w:r w:rsidR="008C284A">
        <w:t>:</w:t>
      </w:r>
      <w:r w:rsidR="00DA0229">
        <w:rPr>
          <w:rStyle w:val="a6"/>
        </w:rPr>
        <w:footnoteReference w:id="61"/>
      </w:r>
    </w:p>
    <w:p w:rsidR="00FE26CB" w:rsidRDefault="00FE26CB" w:rsidP="00F265E1">
      <w:pPr>
        <w:pStyle w:val="a3"/>
        <w:numPr>
          <w:ilvl w:val="0"/>
          <w:numId w:val="13"/>
        </w:numPr>
        <w:spacing w:line="360" w:lineRule="auto"/>
        <w:jc w:val="both"/>
      </w:pPr>
      <w:r>
        <w:t xml:space="preserve">Ориентация на прибыльный рост, </w:t>
      </w:r>
      <w:r w:rsidR="00A27030">
        <w:t xml:space="preserve">упор на </w:t>
      </w:r>
      <w:r w:rsidR="004C2673">
        <w:t xml:space="preserve">равновесие </w:t>
      </w:r>
      <w:r w:rsidR="00A27030">
        <w:t xml:space="preserve">между капитальными </w:t>
      </w:r>
      <w:r w:rsidR="004C2673">
        <w:t>затратами</w:t>
      </w:r>
      <w:r w:rsidR="00A27030">
        <w:t xml:space="preserve"> и возвратом инвестиций (ставка </w:t>
      </w:r>
      <w:r w:rsidR="00A27030">
        <w:rPr>
          <w:lang w:val="en-US"/>
        </w:rPr>
        <w:t>IRR</w:t>
      </w:r>
      <w:r w:rsidR="00A27030" w:rsidRPr="00A27030">
        <w:t xml:space="preserve"> </w:t>
      </w:r>
      <w:r w:rsidR="004C2673">
        <w:t>на уровне двадцати проце</w:t>
      </w:r>
      <w:r w:rsidR="004C2673">
        <w:t>н</w:t>
      </w:r>
      <w:r w:rsidR="004C2673">
        <w:t>тов);</w:t>
      </w:r>
    </w:p>
    <w:p w:rsidR="00A27030" w:rsidRDefault="004C2673" w:rsidP="00F265E1">
      <w:pPr>
        <w:pStyle w:val="a3"/>
        <w:numPr>
          <w:ilvl w:val="0"/>
          <w:numId w:val="13"/>
        </w:numPr>
        <w:spacing w:line="360" w:lineRule="auto"/>
        <w:jc w:val="both"/>
      </w:pPr>
      <w:r>
        <w:t xml:space="preserve">Задача выйти на 3 место среди российских </w:t>
      </w:r>
      <w:proofErr w:type="spellStart"/>
      <w:r>
        <w:t>ритейлеров</w:t>
      </w:r>
      <w:proofErr w:type="spellEnd"/>
      <w:r>
        <w:t xml:space="preserve"> для оптимизации и</w:t>
      </w:r>
      <w:r>
        <w:t>з</w:t>
      </w:r>
      <w:r>
        <w:t>держек (экономия на масштабе);</w:t>
      </w:r>
    </w:p>
    <w:p w:rsidR="004C2673" w:rsidRDefault="004C2673" w:rsidP="00FE26CB">
      <w:pPr>
        <w:pStyle w:val="a3"/>
        <w:numPr>
          <w:ilvl w:val="0"/>
          <w:numId w:val="13"/>
        </w:numPr>
        <w:spacing w:line="360" w:lineRule="auto"/>
      </w:pPr>
      <w:r>
        <w:t>Увеличение торговых площадей в два раза в пятилетней перспективе.</w:t>
      </w:r>
    </w:p>
    <w:p w:rsidR="00150BD4" w:rsidRDefault="00150BD4" w:rsidP="00F265E1">
      <w:pPr>
        <w:spacing w:line="360" w:lineRule="auto"/>
        <w:ind w:firstLine="567"/>
        <w:jc w:val="both"/>
      </w:pPr>
      <w:r>
        <w:t xml:space="preserve">Стратегия устойчивого </w:t>
      </w:r>
      <w:r w:rsidR="007C6B6F">
        <w:t xml:space="preserve">органического </w:t>
      </w:r>
      <w:r>
        <w:t>роста и «быстрого сетевого развития» реал</w:t>
      </w:r>
      <w:r>
        <w:t>и</w:t>
      </w:r>
      <w:r>
        <w:t xml:space="preserve">зуется на протяжении нескольких лет, особенно интенсивно в последние </w:t>
      </w:r>
      <w:r w:rsidR="007C6B6F">
        <w:t>два</w:t>
      </w:r>
      <w:r>
        <w:t xml:space="preserve"> года</w:t>
      </w:r>
      <w:r w:rsidR="007C6B6F">
        <w:t xml:space="preserve"> комп</w:t>
      </w:r>
      <w:r w:rsidR="007C6B6F">
        <w:t>а</w:t>
      </w:r>
      <w:r w:rsidR="007C6B6F">
        <w:t>ния делала упор на развитие сети Урале, а так же реализовала новый для себя формат - супермаркеты</w:t>
      </w:r>
      <w:r>
        <w:t>. Только за последний 2017 год было открыто 40 новых гипермаркетов и 52 супермаркета на территории РФ  (</w:t>
      </w:r>
      <w:r w:rsidR="009545C0">
        <w:t>табл</w:t>
      </w:r>
      <w:r>
        <w:t xml:space="preserve">. </w:t>
      </w:r>
      <w:r w:rsidR="00992EC5">
        <w:t>3.1</w:t>
      </w:r>
      <w:r>
        <w:t>) Лента ориентир</w:t>
      </w:r>
      <w:r w:rsidR="0000665F">
        <w:t>ована на развитие гипермарк</w:t>
      </w:r>
      <w:r w:rsidR="0000665F">
        <w:t>е</w:t>
      </w:r>
      <w:r w:rsidR="0000665F">
        <w:t>тов, так как они дают больший средний чек и, соответственно, выручку,</w:t>
      </w:r>
      <w:r w:rsidR="00373816">
        <w:t xml:space="preserve"> (рис. </w:t>
      </w:r>
      <w:r w:rsidR="00992EC5">
        <w:t>3.1</w:t>
      </w:r>
      <w:r w:rsidR="00373816">
        <w:t>)</w:t>
      </w:r>
      <w:r w:rsidR="0000665F">
        <w:t xml:space="preserve"> тем не </w:t>
      </w:r>
      <w:proofErr w:type="gramStart"/>
      <w:r w:rsidR="0000665F">
        <w:t>менее</w:t>
      </w:r>
      <w:proofErr w:type="gramEnd"/>
      <w:r w:rsidR="0000665F">
        <w:t xml:space="preserve"> с появлением супермаркетов компания рассчитывает увеличить присутствие на рынке, что соответствует ее долгосрочной стратегии развития.</w:t>
      </w:r>
      <w:r w:rsidR="00373816">
        <w:t xml:space="preserve"> </w:t>
      </w:r>
      <w:r w:rsidR="00D70B7B">
        <w:t>Р</w:t>
      </w:r>
      <w:r w:rsidR="00F265E1">
        <w:t>ынком, приносящим наибольший доход, является СПб и област</w:t>
      </w:r>
      <w:r w:rsidR="00D70B7B">
        <w:t>ь</w:t>
      </w:r>
      <w:r w:rsidR="00F265E1">
        <w:t>, следовательно</w:t>
      </w:r>
      <w:r w:rsidR="00D70B7B">
        <w:t>,</w:t>
      </w:r>
      <w:r w:rsidR="00F265E1">
        <w:t xml:space="preserve"> компания </w:t>
      </w:r>
      <w:proofErr w:type="gramStart"/>
      <w:r w:rsidR="00F265E1">
        <w:t>стремится</w:t>
      </w:r>
      <w:proofErr w:type="gramEnd"/>
      <w:r w:rsidR="00F265E1">
        <w:t xml:space="preserve"> как з</w:t>
      </w:r>
      <w:r w:rsidR="00F265E1">
        <w:t>а</w:t>
      </w:r>
      <w:r w:rsidR="00F265E1">
        <w:t>крепить сво</w:t>
      </w:r>
      <w:r w:rsidR="00D70B7B">
        <w:t>е присутствие и удержать позиции.</w:t>
      </w:r>
    </w:p>
    <w:p w:rsidR="00150BD4" w:rsidRPr="002175E3" w:rsidRDefault="00150BD4" w:rsidP="00150BD4">
      <w:pPr>
        <w:spacing w:line="360" w:lineRule="auto"/>
        <w:ind w:firstLine="567"/>
        <w:contextualSpacing/>
        <w:jc w:val="right"/>
        <w:rPr>
          <w:i/>
        </w:rPr>
      </w:pPr>
      <w:r>
        <w:t xml:space="preserve"> </w:t>
      </w:r>
      <w:r w:rsidR="00992EC5">
        <w:rPr>
          <w:i/>
        </w:rPr>
        <w:t>Таблица 3.1</w:t>
      </w:r>
    </w:p>
    <w:p w:rsidR="00150BD4" w:rsidRPr="002175E3" w:rsidRDefault="00150BD4" w:rsidP="00150BD4">
      <w:pPr>
        <w:spacing w:line="360" w:lineRule="auto"/>
        <w:ind w:firstLine="567"/>
        <w:contextualSpacing/>
        <w:jc w:val="center"/>
        <w:rPr>
          <w:b/>
        </w:rPr>
      </w:pPr>
      <w:r w:rsidRPr="002175E3">
        <w:rPr>
          <w:b/>
        </w:rPr>
        <w:t xml:space="preserve">Количество </w:t>
      </w:r>
      <w:proofErr w:type="gramStart"/>
      <w:r w:rsidRPr="002175E3">
        <w:rPr>
          <w:b/>
        </w:rPr>
        <w:t>бизнес-единиц</w:t>
      </w:r>
      <w:proofErr w:type="gramEnd"/>
      <w:r w:rsidRPr="002175E3">
        <w:rPr>
          <w:b/>
        </w:rPr>
        <w:t xml:space="preserve"> (БЕ) «Ленты» в 2017 году. </w:t>
      </w:r>
    </w:p>
    <w:tbl>
      <w:tblPr>
        <w:tblStyle w:val="a7"/>
        <w:tblW w:w="0" w:type="auto"/>
        <w:tblLayout w:type="fixed"/>
        <w:tblLook w:val="04A0" w:firstRow="1" w:lastRow="0" w:firstColumn="1" w:lastColumn="0" w:noHBand="0" w:noVBand="1"/>
      </w:tblPr>
      <w:tblGrid>
        <w:gridCol w:w="1242"/>
        <w:gridCol w:w="709"/>
        <w:gridCol w:w="709"/>
        <w:gridCol w:w="793"/>
        <w:gridCol w:w="650"/>
        <w:gridCol w:w="682"/>
        <w:gridCol w:w="708"/>
        <w:gridCol w:w="813"/>
        <w:gridCol w:w="617"/>
        <w:gridCol w:w="729"/>
        <w:gridCol w:w="642"/>
        <w:gridCol w:w="653"/>
        <w:gridCol w:w="624"/>
      </w:tblGrid>
      <w:tr w:rsidR="00150BD4" w:rsidRPr="004A3E84" w:rsidTr="00863AD2">
        <w:trPr>
          <w:trHeight w:val="300"/>
        </w:trPr>
        <w:tc>
          <w:tcPr>
            <w:tcW w:w="1242" w:type="dxa"/>
            <w:noWrap/>
            <w:hideMark/>
          </w:tcPr>
          <w:p w:rsidR="00150BD4" w:rsidRPr="008F5EE2" w:rsidRDefault="00150BD4" w:rsidP="00863AD2">
            <w:pPr>
              <w:pStyle w:val="2"/>
              <w:outlineLvl w:val="1"/>
              <w:rPr>
                <w:rFonts w:ascii="Times New Roman" w:hAnsi="Times New Roman" w:cs="Times New Roman"/>
                <w:b w:val="0"/>
                <w:i/>
                <w:color w:val="auto"/>
                <w:sz w:val="24"/>
                <w:szCs w:val="24"/>
              </w:rPr>
            </w:pPr>
            <w:bookmarkStart w:id="20" w:name="_Toc513092284"/>
            <w:proofErr w:type="gramStart"/>
            <w:r w:rsidRPr="008F5EE2">
              <w:rPr>
                <w:rFonts w:ascii="Times New Roman" w:hAnsi="Times New Roman" w:cs="Times New Roman"/>
                <w:b w:val="0"/>
                <w:i/>
                <w:color w:val="auto"/>
                <w:sz w:val="24"/>
                <w:szCs w:val="24"/>
              </w:rPr>
              <w:lastRenderedPageBreak/>
              <w:t>Бизнес-единицы</w:t>
            </w:r>
            <w:bookmarkEnd w:id="20"/>
            <w:proofErr w:type="gramEnd"/>
          </w:p>
        </w:tc>
        <w:tc>
          <w:tcPr>
            <w:tcW w:w="709" w:type="dxa"/>
            <w:hideMark/>
          </w:tcPr>
          <w:p w:rsidR="00150BD4" w:rsidRPr="008F5EE2" w:rsidRDefault="00150BD4" w:rsidP="00863AD2">
            <w:pPr>
              <w:pStyle w:val="2"/>
              <w:outlineLvl w:val="1"/>
              <w:rPr>
                <w:rFonts w:ascii="Times New Roman" w:hAnsi="Times New Roman" w:cs="Times New Roman"/>
                <w:b w:val="0"/>
                <w:i/>
                <w:color w:val="auto"/>
                <w:sz w:val="24"/>
                <w:szCs w:val="24"/>
              </w:rPr>
            </w:pPr>
            <w:bookmarkStart w:id="21" w:name="_Toc513092285"/>
            <w:r w:rsidRPr="008F5EE2">
              <w:rPr>
                <w:rFonts w:ascii="Times New Roman" w:hAnsi="Times New Roman" w:cs="Times New Roman"/>
                <w:b w:val="0"/>
                <w:i/>
                <w:color w:val="auto"/>
                <w:sz w:val="24"/>
                <w:szCs w:val="24"/>
              </w:rPr>
              <w:t>Янв-17</w:t>
            </w:r>
            <w:bookmarkEnd w:id="21"/>
          </w:p>
        </w:tc>
        <w:tc>
          <w:tcPr>
            <w:tcW w:w="709" w:type="dxa"/>
            <w:hideMark/>
          </w:tcPr>
          <w:p w:rsidR="00150BD4" w:rsidRPr="008F5EE2" w:rsidRDefault="00150BD4" w:rsidP="00863AD2">
            <w:pPr>
              <w:pStyle w:val="2"/>
              <w:outlineLvl w:val="1"/>
              <w:rPr>
                <w:rFonts w:ascii="Times New Roman" w:hAnsi="Times New Roman" w:cs="Times New Roman"/>
                <w:b w:val="0"/>
                <w:i/>
                <w:color w:val="auto"/>
                <w:sz w:val="24"/>
                <w:szCs w:val="24"/>
              </w:rPr>
            </w:pPr>
            <w:bookmarkStart w:id="22" w:name="_Toc513092286"/>
            <w:r w:rsidRPr="008F5EE2">
              <w:rPr>
                <w:rFonts w:ascii="Times New Roman" w:hAnsi="Times New Roman" w:cs="Times New Roman"/>
                <w:b w:val="0"/>
                <w:i/>
                <w:color w:val="auto"/>
                <w:sz w:val="24"/>
                <w:szCs w:val="24"/>
              </w:rPr>
              <w:t>Фев-17</w:t>
            </w:r>
            <w:bookmarkEnd w:id="22"/>
          </w:p>
        </w:tc>
        <w:tc>
          <w:tcPr>
            <w:tcW w:w="793" w:type="dxa"/>
            <w:hideMark/>
          </w:tcPr>
          <w:p w:rsidR="00150BD4" w:rsidRPr="008F5EE2" w:rsidRDefault="00150BD4" w:rsidP="00863AD2">
            <w:pPr>
              <w:pStyle w:val="2"/>
              <w:jc w:val="center"/>
              <w:outlineLvl w:val="1"/>
              <w:rPr>
                <w:rFonts w:ascii="Times New Roman" w:hAnsi="Times New Roman" w:cs="Times New Roman"/>
                <w:b w:val="0"/>
                <w:i/>
                <w:color w:val="auto"/>
                <w:sz w:val="24"/>
                <w:szCs w:val="24"/>
              </w:rPr>
            </w:pPr>
            <w:bookmarkStart w:id="23" w:name="_Toc513092287"/>
            <w:r w:rsidRPr="008F5EE2">
              <w:rPr>
                <w:rFonts w:ascii="Times New Roman" w:hAnsi="Times New Roman" w:cs="Times New Roman"/>
                <w:b w:val="0"/>
                <w:i/>
                <w:color w:val="auto"/>
                <w:sz w:val="24"/>
                <w:szCs w:val="24"/>
              </w:rPr>
              <w:t>Мар-17</w:t>
            </w:r>
            <w:bookmarkEnd w:id="23"/>
          </w:p>
        </w:tc>
        <w:tc>
          <w:tcPr>
            <w:tcW w:w="650" w:type="dxa"/>
            <w:hideMark/>
          </w:tcPr>
          <w:p w:rsidR="00150BD4" w:rsidRPr="008F5EE2" w:rsidRDefault="00150BD4" w:rsidP="00863AD2">
            <w:pPr>
              <w:pStyle w:val="2"/>
              <w:jc w:val="center"/>
              <w:outlineLvl w:val="1"/>
              <w:rPr>
                <w:rFonts w:ascii="Times New Roman" w:hAnsi="Times New Roman" w:cs="Times New Roman"/>
                <w:b w:val="0"/>
                <w:i/>
                <w:color w:val="auto"/>
                <w:sz w:val="24"/>
                <w:szCs w:val="24"/>
              </w:rPr>
            </w:pPr>
            <w:bookmarkStart w:id="24" w:name="_Toc513092288"/>
            <w:r w:rsidRPr="008F5EE2">
              <w:rPr>
                <w:rFonts w:ascii="Times New Roman" w:hAnsi="Times New Roman" w:cs="Times New Roman"/>
                <w:b w:val="0"/>
                <w:i/>
                <w:color w:val="auto"/>
                <w:sz w:val="24"/>
                <w:szCs w:val="24"/>
              </w:rPr>
              <w:t>Апр-17</w:t>
            </w:r>
            <w:bookmarkEnd w:id="24"/>
          </w:p>
        </w:tc>
        <w:tc>
          <w:tcPr>
            <w:tcW w:w="682" w:type="dxa"/>
            <w:hideMark/>
          </w:tcPr>
          <w:p w:rsidR="00150BD4" w:rsidRPr="008F5EE2" w:rsidRDefault="00150BD4" w:rsidP="00863AD2">
            <w:pPr>
              <w:pStyle w:val="2"/>
              <w:jc w:val="center"/>
              <w:outlineLvl w:val="1"/>
              <w:rPr>
                <w:rFonts w:ascii="Times New Roman" w:hAnsi="Times New Roman" w:cs="Times New Roman"/>
                <w:b w:val="0"/>
                <w:i/>
                <w:color w:val="auto"/>
                <w:sz w:val="24"/>
                <w:szCs w:val="24"/>
              </w:rPr>
            </w:pPr>
            <w:bookmarkStart w:id="25" w:name="_Toc513092289"/>
            <w:r w:rsidRPr="008F5EE2">
              <w:rPr>
                <w:rFonts w:ascii="Times New Roman" w:hAnsi="Times New Roman" w:cs="Times New Roman"/>
                <w:b w:val="0"/>
                <w:i/>
                <w:color w:val="auto"/>
                <w:sz w:val="24"/>
                <w:szCs w:val="24"/>
              </w:rPr>
              <w:t>Май-17</w:t>
            </w:r>
            <w:bookmarkEnd w:id="25"/>
          </w:p>
        </w:tc>
        <w:tc>
          <w:tcPr>
            <w:tcW w:w="708" w:type="dxa"/>
            <w:hideMark/>
          </w:tcPr>
          <w:p w:rsidR="00150BD4" w:rsidRPr="008F5EE2" w:rsidRDefault="00150BD4" w:rsidP="00863AD2">
            <w:pPr>
              <w:pStyle w:val="2"/>
              <w:jc w:val="center"/>
              <w:outlineLvl w:val="1"/>
              <w:rPr>
                <w:rFonts w:ascii="Times New Roman" w:hAnsi="Times New Roman" w:cs="Times New Roman"/>
                <w:b w:val="0"/>
                <w:i/>
                <w:color w:val="auto"/>
                <w:sz w:val="24"/>
                <w:szCs w:val="24"/>
              </w:rPr>
            </w:pPr>
            <w:bookmarkStart w:id="26" w:name="_Toc513092290"/>
            <w:r w:rsidRPr="008F5EE2">
              <w:rPr>
                <w:rFonts w:ascii="Times New Roman" w:hAnsi="Times New Roman" w:cs="Times New Roman"/>
                <w:b w:val="0"/>
                <w:i/>
                <w:color w:val="auto"/>
                <w:sz w:val="24"/>
                <w:szCs w:val="24"/>
              </w:rPr>
              <w:t>Июн-17</w:t>
            </w:r>
            <w:bookmarkEnd w:id="26"/>
          </w:p>
        </w:tc>
        <w:tc>
          <w:tcPr>
            <w:tcW w:w="813" w:type="dxa"/>
            <w:hideMark/>
          </w:tcPr>
          <w:p w:rsidR="00150BD4" w:rsidRPr="008F5EE2" w:rsidRDefault="00150BD4" w:rsidP="00863AD2">
            <w:pPr>
              <w:pStyle w:val="2"/>
              <w:jc w:val="center"/>
              <w:outlineLvl w:val="1"/>
              <w:rPr>
                <w:rFonts w:ascii="Times New Roman" w:hAnsi="Times New Roman" w:cs="Times New Roman"/>
                <w:b w:val="0"/>
                <w:i/>
                <w:color w:val="auto"/>
                <w:sz w:val="24"/>
                <w:szCs w:val="24"/>
              </w:rPr>
            </w:pPr>
            <w:bookmarkStart w:id="27" w:name="_Toc513092291"/>
            <w:r w:rsidRPr="008F5EE2">
              <w:rPr>
                <w:rFonts w:ascii="Times New Roman" w:hAnsi="Times New Roman" w:cs="Times New Roman"/>
                <w:b w:val="0"/>
                <w:i/>
                <w:color w:val="auto"/>
                <w:sz w:val="24"/>
                <w:szCs w:val="24"/>
              </w:rPr>
              <w:t>Июль-17</w:t>
            </w:r>
            <w:bookmarkEnd w:id="27"/>
          </w:p>
        </w:tc>
        <w:tc>
          <w:tcPr>
            <w:tcW w:w="617" w:type="dxa"/>
            <w:hideMark/>
          </w:tcPr>
          <w:p w:rsidR="00150BD4" w:rsidRPr="008F5EE2" w:rsidRDefault="00150BD4" w:rsidP="00863AD2">
            <w:pPr>
              <w:pStyle w:val="2"/>
              <w:jc w:val="center"/>
              <w:outlineLvl w:val="1"/>
              <w:rPr>
                <w:rFonts w:ascii="Times New Roman" w:hAnsi="Times New Roman" w:cs="Times New Roman"/>
                <w:b w:val="0"/>
                <w:i/>
                <w:color w:val="auto"/>
                <w:sz w:val="24"/>
                <w:szCs w:val="24"/>
              </w:rPr>
            </w:pPr>
            <w:bookmarkStart w:id="28" w:name="_Toc513092292"/>
            <w:r w:rsidRPr="008F5EE2">
              <w:rPr>
                <w:rFonts w:ascii="Times New Roman" w:hAnsi="Times New Roman" w:cs="Times New Roman"/>
                <w:b w:val="0"/>
                <w:i/>
                <w:color w:val="auto"/>
                <w:sz w:val="24"/>
                <w:szCs w:val="24"/>
              </w:rPr>
              <w:t>Авг-17</w:t>
            </w:r>
            <w:bookmarkEnd w:id="28"/>
          </w:p>
        </w:tc>
        <w:tc>
          <w:tcPr>
            <w:tcW w:w="729" w:type="dxa"/>
            <w:hideMark/>
          </w:tcPr>
          <w:p w:rsidR="00150BD4" w:rsidRPr="008F5EE2" w:rsidRDefault="00150BD4" w:rsidP="00863AD2">
            <w:pPr>
              <w:pStyle w:val="2"/>
              <w:jc w:val="center"/>
              <w:outlineLvl w:val="1"/>
              <w:rPr>
                <w:rFonts w:ascii="Times New Roman" w:hAnsi="Times New Roman" w:cs="Times New Roman"/>
                <w:b w:val="0"/>
                <w:i/>
                <w:color w:val="auto"/>
                <w:sz w:val="24"/>
                <w:szCs w:val="24"/>
              </w:rPr>
            </w:pPr>
            <w:bookmarkStart w:id="29" w:name="_Toc513092293"/>
            <w:r w:rsidRPr="008F5EE2">
              <w:rPr>
                <w:rFonts w:ascii="Times New Roman" w:hAnsi="Times New Roman" w:cs="Times New Roman"/>
                <w:b w:val="0"/>
                <w:i/>
                <w:color w:val="auto"/>
                <w:sz w:val="24"/>
                <w:szCs w:val="24"/>
              </w:rPr>
              <w:t>Сент-17</w:t>
            </w:r>
            <w:bookmarkEnd w:id="29"/>
          </w:p>
        </w:tc>
        <w:tc>
          <w:tcPr>
            <w:tcW w:w="642" w:type="dxa"/>
            <w:hideMark/>
          </w:tcPr>
          <w:p w:rsidR="00150BD4" w:rsidRPr="008F5EE2" w:rsidRDefault="008F5EE2" w:rsidP="00863AD2">
            <w:pPr>
              <w:pStyle w:val="2"/>
              <w:jc w:val="center"/>
              <w:outlineLvl w:val="1"/>
              <w:rPr>
                <w:rFonts w:ascii="Times New Roman" w:hAnsi="Times New Roman" w:cs="Times New Roman"/>
                <w:b w:val="0"/>
                <w:i/>
                <w:color w:val="auto"/>
                <w:sz w:val="24"/>
                <w:szCs w:val="24"/>
              </w:rPr>
            </w:pPr>
            <w:bookmarkStart w:id="30" w:name="_Toc513092294"/>
            <w:r w:rsidRPr="008F5EE2">
              <w:rPr>
                <w:rFonts w:ascii="Times New Roman" w:hAnsi="Times New Roman" w:cs="Times New Roman"/>
                <w:b w:val="0"/>
                <w:i/>
                <w:color w:val="auto"/>
                <w:sz w:val="24"/>
                <w:szCs w:val="24"/>
              </w:rPr>
              <w:t>Окт</w:t>
            </w:r>
            <w:r w:rsidR="00150BD4" w:rsidRPr="008F5EE2">
              <w:rPr>
                <w:rFonts w:ascii="Times New Roman" w:hAnsi="Times New Roman" w:cs="Times New Roman"/>
                <w:b w:val="0"/>
                <w:i/>
                <w:color w:val="auto"/>
                <w:sz w:val="24"/>
                <w:szCs w:val="24"/>
              </w:rPr>
              <w:t>17</w:t>
            </w:r>
            <w:bookmarkEnd w:id="30"/>
          </w:p>
        </w:tc>
        <w:tc>
          <w:tcPr>
            <w:tcW w:w="653" w:type="dxa"/>
            <w:hideMark/>
          </w:tcPr>
          <w:p w:rsidR="00150BD4" w:rsidRPr="008F5EE2" w:rsidRDefault="00150BD4" w:rsidP="00863AD2">
            <w:pPr>
              <w:pStyle w:val="2"/>
              <w:jc w:val="center"/>
              <w:outlineLvl w:val="1"/>
              <w:rPr>
                <w:rFonts w:ascii="Times New Roman" w:hAnsi="Times New Roman" w:cs="Times New Roman"/>
                <w:b w:val="0"/>
                <w:i/>
                <w:color w:val="auto"/>
                <w:sz w:val="24"/>
                <w:szCs w:val="24"/>
              </w:rPr>
            </w:pPr>
            <w:bookmarkStart w:id="31" w:name="_Toc513092295"/>
            <w:r w:rsidRPr="008F5EE2">
              <w:rPr>
                <w:rFonts w:ascii="Times New Roman" w:hAnsi="Times New Roman" w:cs="Times New Roman"/>
                <w:b w:val="0"/>
                <w:i/>
                <w:color w:val="auto"/>
                <w:sz w:val="24"/>
                <w:szCs w:val="24"/>
              </w:rPr>
              <w:t>Ноя-17</w:t>
            </w:r>
            <w:bookmarkEnd w:id="31"/>
          </w:p>
        </w:tc>
        <w:tc>
          <w:tcPr>
            <w:tcW w:w="624" w:type="dxa"/>
            <w:hideMark/>
          </w:tcPr>
          <w:p w:rsidR="00150BD4" w:rsidRPr="008F5EE2" w:rsidRDefault="00150BD4" w:rsidP="00863AD2">
            <w:pPr>
              <w:pStyle w:val="2"/>
              <w:jc w:val="center"/>
              <w:outlineLvl w:val="1"/>
              <w:rPr>
                <w:rFonts w:ascii="Times New Roman" w:hAnsi="Times New Roman" w:cs="Times New Roman"/>
                <w:b w:val="0"/>
                <w:i/>
                <w:color w:val="auto"/>
                <w:sz w:val="24"/>
                <w:szCs w:val="24"/>
              </w:rPr>
            </w:pPr>
            <w:bookmarkStart w:id="32" w:name="_Toc513092296"/>
            <w:r w:rsidRPr="008F5EE2">
              <w:rPr>
                <w:rFonts w:ascii="Times New Roman" w:hAnsi="Times New Roman" w:cs="Times New Roman"/>
                <w:b w:val="0"/>
                <w:i/>
                <w:color w:val="auto"/>
                <w:sz w:val="24"/>
                <w:szCs w:val="24"/>
              </w:rPr>
              <w:t>Дек-17</w:t>
            </w:r>
            <w:bookmarkEnd w:id="32"/>
          </w:p>
        </w:tc>
      </w:tr>
      <w:tr w:rsidR="00150BD4" w:rsidRPr="004A3E84" w:rsidTr="00863AD2">
        <w:trPr>
          <w:trHeight w:val="300"/>
        </w:trPr>
        <w:tc>
          <w:tcPr>
            <w:tcW w:w="1242" w:type="dxa"/>
            <w:noWrap/>
            <w:hideMark/>
          </w:tcPr>
          <w:p w:rsidR="00150BD4" w:rsidRPr="004A3E84" w:rsidRDefault="00150BD4" w:rsidP="00863AD2">
            <w:pPr>
              <w:pStyle w:val="2"/>
              <w:spacing w:before="0"/>
              <w:outlineLvl w:val="1"/>
              <w:rPr>
                <w:rFonts w:ascii="Times New Roman" w:hAnsi="Times New Roman" w:cs="Times New Roman"/>
                <w:b w:val="0"/>
                <w:color w:val="auto"/>
                <w:sz w:val="24"/>
                <w:szCs w:val="24"/>
              </w:rPr>
            </w:pPr>
            <w:bookmarkStart w:id="33" w:name="_Toc513092297"/>
            <w:r w:rsidRPr="004A3E84">
              <w:rPr>
                <w:rFonts w:ascii="Times New Roman" w:hAnsi="Times New Roman" w:cs="Times New Roman"/>
                <w:b w:val="0"/>
                <w:color w:val="auto"/>
                <w:sz w:val="24"/>
                <w:szCs w:val="24"/>
              </w:rPr>
              <w:t>Всего БЕ</w:t>
            </w:r>
            <w:bookmarkEnd w:id="33"/>
          </w:p>
        </w:tc>
        <w:tc>
          <w:tcPr>
            <w:tcW w:w="709"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34" w:name="_Toc513092298"/>
            <w:r w:rsidRPr="004A3E84">
              <w:rPr>
                <w:rFonts w:ascii="Times New Roman" w:hAnsi="Times New Roman" w:cs="Times New Roman"/>
                <w:b w:val="0"/>
                <w:color w:val="auto"/>
                <w:sz w:val="24"/>
                <w:szCs w:val="24"/>
              </w:rPr>
              <w:t>241</w:t>
            </w:r>
            <w:bookmarkEnd w:id="34"/>
          </w:p>
        </w:tc>
        <w:tc>
          <w:tcPr>
            <w:tcW w:w="709"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35" w:name="_Toc513092299"/>
            <w:r w:rsidRPr="004A3E84">
              <w:rPr>
                <w:rFonts w:ascii="Times New Roman" w:hAnsi="Times New Roman" w:cs="Times New Roman"/>
                <w:b w:val="0"/>
                <w:color w:val="auto"/>
                <w:sz w:val="24"/>
                <w:szCs w:val="24"/>
              </w:rPr>
              <w:t>247</w:t>
            </w:r>
            <w:bookmarkEnd w:id="35"/>
          </w:p>
        </w:tc>
        <w:tc>
          <w:tcPr>
            <w:tcW w:w="793"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36" w:name="_Toc513092300"/>
            <w:r w:rsidRPr="004A3E84">
              <w:rPr>
                <w:rFonts w:ascii="Times New Roman" w:hAnsi="Times New Roman" w:cs="Times New Roman"/>
                <w:b w:val="0"/>
                <w:color w:val="auto"/>
                <w:sz w:val="24"/>
                <w:szCs w:val="24"/>
              </w:rPr>
              <w:t>253</w:t>
            </w:r>
            <w:bookmarkEnd w:id="36"/>
          </w:p>
        </w:tc>
        <w:tc>
          <w:tcPr>
            <w:tcW w:w="650"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37" w:name="_Toc513092301"/>
            <w:r w:rsidRPr="004A3E84">
              <w:rPr>
                <w:rFonts w:ascii="Times New Roman" w:hAnsi="Times New Roman" w:cs="Times New Roman"/>
                <w:b w:val="0"/>
                <w:color w:val="auto"/>
                <w:sz w:val="24"/>
                <w:szCs w:val="24"/>
              </w:rPr>
              <w:t>253</w:t>
            </w:r>
            <w:bookmarkEnd w:id="37"/>
          </w:p>
        </w:tc>
        <w:tc>
          <w:tcPr>
            <w:tcW w:w="682"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38" w:name="_Toc513092302"/>
            <w:r w:rsidRPr="004A3E84">
              <w:rPr>
                <w:rFonts w:ascii="Times New Roman" w:hAnsi="Times New Roman" w:cs="Times New Roman"/>
                <w:b w:val="0"/>
                <w:color w:val="auto"/>
                <w:sz w:val="24"/>
                <w:szCs w:val="24"/>
              </w:rPr>
              <w:t>252</w:t>
            </w:r>
            <w:bookmarkEnd w:id="38"/>
          </w:p>
        </w:tc>
        <w:tc>
          <w:tcPr>
            <w:tcW w:w="708"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39" w:name="_Toc513092303"/>
            <w:r w:rsidRPr="004A3E84">
              <w:rPr>
                <w:rFonts w:ascii="Times New Roman" w:hAnsi="Times New Roman" w:cs="Times New Roman"/>
                <w:b w:val="0"/>
                <w:color w:val="auto"/>
                <w:sz w:val="24"/>
                <w:szCs w:val="24"/>
              </w:rPr>
              <w:t>257</w:t>
            </w:r>
            <w:bookmarkEnd w:id="39"/>
          </w:p>
        </w:tc>
        <w:tc>
          <w:tcPr>
            <w:tcW w:w="813"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40" w:name="_Toc513092304"/>
            <w:r w:rsidRPr="004A3E84">
              <w:rPr>
                <w:rFonts w:ascii="Times New Roman" w:hAnsi="Times New Roman" w:cs="Times New Roman"/>
                <w:b w:val="0"/>
                <w:color w:val="auto"/>
                <w:sz w:val="24"/>
                <w:szCs w:val="24"/>
              </w:rPr>
              <w:t>259</w:t>
            </w:r>
            <w:bookmarkEnd w:id="40"/>
          </w:p>
        </w:tc>
        <w:tc>
          <w:tcPr>
            <w:tcW w:w="617"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41" w:name="_Toc513092305"/>
            <w:r w:rsidRPr="004A3E84">
              <w:rPr>
                <w:rFonts w:ascii="Times New Roman" w:hAnsi="Times New Roman" w:cs="Times New Roman"/>
                <w:b w:val="0"/>
                <w:color w:val="auto"/>
                <w:sz w:val="24"/>
                <w:szCs w:val="24"/>
              </w:rPr>
              <w:t>261</w:t>
            </w:r>
            <w:bookmarkEnd w:id="41"/>
          </w:p>
        </w:tc>
        <w:tc>
          <w:tcPr>
            <w:tcW w:w="729"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42" w:name="_Toc513092306"/>
            <w:r w:rsidRPr="004A3E84">
              <w:rPr>
                <w:rFonts w:ascii="Times New Roman" w:hAnsi="Times New Roman" w:cs="Times New Roman"/>
                <w:b w:val="0"/>
                <w:color w:val="auto"/>
                <w:sz w:val="24"/>
                <w:szCs w:val="24"/>
              </w:rPr>
              <w:t>268</w:t>
            </w:r>
            <w:bookmarkEnd w:id="42"/>
          </w:p>
        </w:tc>
        <w:tc>
          <w:tcPr>
            <w:tcW w:w="642"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43" w:name="_Toc513092307"/>
            <w:r w:rsidRPr="004A3E84">
              <w:rPr>
                <w:rFonts w:ascii="Times New Roman" w:hAnsi="Times New Roman" w:cs="Times New Roman"/>
                <w:b w:val="0"/>
                <w:color w:val="auto"/>
                <w:sz w:val="24"/>
                <w:szCs w:val="24"/>
              </w:rPr>
              <w:t>276</w:t>
            </w:r>
            <w:bookmarkEnd w:id="43"/>
          </w:p>
        </w:tc>
        <w:tc>
          <w:tcPr>
            <w:tcW w:w="653"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44" w:name="_Toc513092308"/>
            <w:r w:rsidRPr="004A3E84">
              <w:rPr>
                <w:rFonts w:ascii="Times New Roman" w:hAnsi="Times New Roman" w:cs="Times New Roman"/>
                <w:b w:val="0"/>
                <w:color w:val="auto"/>
                <w:sz w:val="24"/>
                <w:szCs w:val="24"/>
              </w:rPr>
              <w:t>296</w:t>
            </w:r>
            <w:bookmarkEnd w:id="44"/>
          </w:p>
        </w:tc>
        <w:tc>
          <w:tcPr>
            <w:tcW w:w="624"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45" w:name="_Toc513092309"/>
            <w:r w:rsidRPr="004A3E84">
              <w:rPr>
                <w:rFonts w:ascii="Times New Roman" w:hAnsi="Times New Roman" w:cs="Times New Roman"/>
                <w:b w:val="0"/>
                <w:color w:val="auto"/>
                <w:sz w:val="24"/>
                <w:szCs w:val="24"/>
              </w:rPr>
              <w:t>333</w:t>
            </w:r>
            <w:bookmarkEnd w:id="45"/>
          </w:p>
        </w:tc>
      </w:tr>
      <w:tr w:rsidR="00150BD4" w:rsidRPr="004A3E84" w:rsidTr="00863AD2">
        <w:trPr>
          <w:trHeight w:val="623"/>
        </w:trPr>
        <w:tc>
          <w:tcPr>
            <w:tcW w:w="1242" w:type="dxa"/>
            <w:noWrap/>
            <w:hideMark/>
          </w:tcPr>
          <w:p w:rsidR="00150BD4" w:rsidRPr="004A3E84" w:rsidRDefault="00150BD4" w:rsidP="00863AD2">
            <w:pPr>
              <w:pStyle w:val="2"/>
              <w:spacing w:before="0"/>
              <w:outlineLvl w:val="1"/>
              <w:rPr>
                <w:rFonts w:ascii="Times New Roman" w:hAnsi="Times New Roman" w:cs="Times New Roman"/>
                <w:b w:val="0"/>
                <w:color w:val="auto"/>
                <w:sz w:val="24"/>
                <w:szCs w:val="24"/>
              </w:rPr>
            </w:pPr>
            <w:bookmarkStart w:id="46" w:name="_Toc513092310"/>
            <w:r w:rsidRPr="004A3E84">
              <w:rPr>
                <w:rFonts w:ascii="Times New Roman" w:hAnsi="Times New Roman" w:cs="Times New Roman"/>
                <w:b w:val="0"/>
                <w:color w:val="auto"/>
                <w:sz w:val="24"/>
                <w:szCs w:val="24"/>
              </w:rPr>
              <w:t>Гипе</w:t>
            </w:r>
            <w:r w:rsidRPr="004A3E84">
              <w:rPr>
                <w:rFonts w:ascii="Times New Roman" w:hAnsi="Times New Roman" w:cs="Times New Roman"/>
                <w:b w:val="0"/>
                <w:color w:val="auto"/>
                <w:sz w:val="24"/>
                <w:szCs w:val="24"/>
              </w:rPr>
              <w:t>р</w:t>
            </w:r>
            <w:r w:rsidRPr="004A3E84">
              <w:rPr>
                <w:rFonts w:ascii="Times New Roman" w:hAnsi="Times New Roman" w:cs="Times New Roman"/>
                <w:b w:val="0"/>
                <w:color w:val="auto"/>
                <w:sz w:val="24"/>
                <w:szCs w:val="24"/>
              </w:rPr>
              <w:t>маркеты</w:t>
            </w:r>
            <w:bookmarkEnd w:id="46"/>
          </w:p>
        </w:tc>
        <w:tc>
          <w:tcPr>
            <w:tcW w:w="709"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47" w:name="_Toc513092311"/>
            <w:r w:rsidRPr="004A3E84">
              <w:rPr>
                <w:rFonts w:ascii="Times New Roman" w:hAnsi="Times New Roman" w:cs="Times New Roman"/>
                <w:b w:val="0"/>
                <w:color w:val="auto"/>
                <w:sz w:val="24"/>
                <w:szCs w:val="24"/>
              </w:rPr>
              <w:t>191</w:t>
            </w:r>
            <w:bookmarkEnd w:id="47"/>
          </w:p>
        </w:tc>
        <w:tc>
          <w:tcPr>
            <w:tcW w:w="709"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48" w:name="_Toc513092312"/>
            <w:r w:rsidRPr="004A3E84">
              <w:rPr>
                <w:rFonts w:ascii="Times New Roman" w:hAnsi="Times New Roman" w:cs="Times New Roman"/>
                <w:b w:val="0"/>
                <w:color w:val="auto"/>
                <w:sz w:val="24"/>
                <w:szCs w:val="24"/>
              </w:rPr>
              <w:t>196</w:t>
            </w:r>
            <w:bookmarkEnd w:id="48"/>
          </w:p>
        </w:tc>
        <w:tc>
          <w:tcPr>
            <w:tcW w:w="793"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49" w:name="_Toc513092313"/>
            <w:r w:rsidRPr="004A3E84">
              <w:rPr>
                <w:rFonts w:ascii="Times New Roman" w:hAnsi="Times New Roman" w:cs="Times New Roman"/>
                <w:b w:val="0"/>
                <w:color w:val="auto"/>
                <w:sz w:val="24"/>
                <w:szCs w:val="24"/>
              </w:rPr>
              <w:t>195</w:t>
            </w:r>
            <w:bookmarkEnd w:id="49"/>
          </w:p>
        </w:tc>
        <w:tc>
          <w:tcPr>
            <w:tcW w:w="650"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50" w:name="_Toc513092314"/>
            <w:r w:rsidRPr="004A3E84">
              <w:rPr>
                <w:rFonts w:ascii="Times New Roman" w:hAnsi="Times New Roman" w:cs="Times New Roman"/>
                <w:b w:val="0"/>
                <w:color w:val="auto"/>
                <w:sz w:val="24"/>
                <w:szCs w:val="24"/>
              </w:rPr>
              <w:t>195</w:t>
            </w:r>
            <w:bookmarkEnd w:id="50"/>
          </w:p>
        </w:tc>
        <w:tc>
          <w:tcPr>
            <w:tcW w:w="682"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51" w:name="_Toc513092315"/>
            <w:r w:rsidRPr="004A3E84">
              <w:rPr>
                <w:rFonts w:ascii="Times New Roman" w:hAnsi="Times New Roman" w:cs="Times New Roman"/>
                <w:b w:val="0"/>
                <w:color w:val="auto"/>
                <w:sz w:val="24"/>
                <w:szCs w:val="24"/>
              </w:rPr>
              <w:t>195</w:t>
            </w:r>
            <w:bookmarkEnd w:id="51"/>
          </w:p>
        </w:tc>
        <w:tc>
          <w:tcPr>
            <w:tcW w:w="708"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52" w:name="_Toc513092316"/>
            <w:r w:rsidRPr="004A3E84">
              <w:rPr>
                <w:rFonts w:ascii="Times New Roman" w:hAnsi="Times New Roman" w:cs="Times New Roman"/>
                <w:b w:val="0"/>
                <w:color w:val="auto"/>
                <w:sz w:val="24"/>
                <w:szCs w:val="24"/>
              </w:rPr>
              <w:t>195</w:t>
            </w:r>
            <w:bookmarkEnd w:id="52"/>
          </w:p>
        </w:tc>
        <w:tc>
          <w:tcPr>
            <w:tcW w:w="813"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53" w:name="_Toc513092317"/>
            <w:r w:rsidRPr="004A3E84">
              <w:rPr>
                <w:rFonts w:ascii="Times New Roman" w:hAnsi="Times New Roman" w:cs="Times New Roman"/>
                <w:b w:val="0"/>
                <w:color w:val="auto"/>
                <w:sz w:val="24"/>
                <w:szCs w:val="24"/>
              </w:rPr>
              <w:t>195</w:t>
            </w:r>
            <w:bookmarkEnd w:id="53"/>
          </w:p>
        </w:tc>
        <w:tc>
          <w:tcPr>
            <w:tcW w:w="617"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54" w:name="_Toc513092318"/>
            <w:r w:rsidRPr="004A3E84">
              <w:rPr>
                <w:rFonts w:ascii="Times New Roman" w:hAnsi="Times New Roman" w:cs="Times New Roman"/>
                <w:b w:val="0"/>
                <w:color w:val="auto"/>
                <w:sz w:val="24"/>
                <w:szCs w:val="24"/>
              </w:rPr>
              <w:t>197</w:t>
            </w:r>
            <w:bookmarkEnd w:id="54"/>
          </w:p>
        </w:tc>
        <w:tc>
          <w:tcPr>
            <w:tcW w:w="729"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55" w:name="_Toc513092319"/>
            <w:r w:rsidRPr="004A3E84">
              <w:rPr>
                <w:rFonts w:ascii="Times New Roman" w:hAnsi="Times New Roman" w:cs="Times New Roman"/>
                <w:b w:val="0"/>
                <w:color w:val="auto"/>
                <w:sz w:val="24"/>
                <w:szCs w:val="24"/>
              </w:rPr>
              <w:t>202</w:t>
            </w:r>
            <w:bookmarkEnd w:id="55"/>
          </w:p>
        </w:tc>
        <w:tc>
          <w:tcPr>
            <w:tcW w:w="642"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56" w:name="_Toc513092320"/>
            <w:r w:rsidRPr="004A3E84">
              <w:rPr>
                <w:rFonts w:ascii="Times New Roman" w:hAnsi="Times New Roman" w:cs="Times New Roman"/>
                <w:b w:val="0"/>
                <w:color w:val="auto"/>
                <w:sz w:val="24"/>
                <w:szCs w:val="24"/>
              </w:rPr>
              <w:t>203</w:t>
            </w:r>
            <w:bookmarkEnd w:id="56"/>
          </w:p>
        </w:tc>
        <w:tc>
          <w:tcPr>
            <w:tcW w:w="653"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57" w:name="_Toc513092321"/>
            <w:r w:rsidRPr="004A3E84">
              <w:rPr>
                <w:rFonts w:ascii="Times New Roman" w:hAnsi="Times New Roman" w:cs="Times New Roman"/>
                <w:b w:val="0"/>
                <w:color w:val="auto"/>
                <w:sz w:val="24"/>
                <w:szCs w:val="24"/>
              </w:rPr>
              <w:t>217</w:t>
            </w:r>
            <w:bookmarkEnd w:id="57"/>
          </w:p>
        </w:tc>
        <w:tc>
          <w:tcPr>
            <w:tcW w:w="624"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58" w:name="_Toc513092322"/>
            <w:r w:rsidRPr="004A3E84">
              <w:rPr>
                <w:rFonts w:ascii="Times New Roman" w:hAnsi="Times New Roman" w:cs="Times New Roman"/>
                <w:b w:val="0"/>
                <w:color w:val="auto"/>
                <w:sz w:val="24"/>
                <w:szCs w:val="24"/>
              </w:rPr>
              <w:t>231</w:t>
            </w:r>
            <w:bookmarkEnd w:id="58"/>
          </w:p>
        </w:tc>
      </w:tr>
      <w:tr w:rsidR="00150BD4" w:rsidRPr="004A3E84" w:rsidTr="00863AD2">
        <w:trPr>
          <w:trHeight w:val="293"/>
        </w:trPr>
        <w:tc>
          <w:tcPr>
            <w:tcW w:w="1242" w:type="dxa"/>
            <w:noWrap/>
            <w:hideMark/>
          </w:tcPr>
          <w:p w:rsidR="00150BD4" w:rsidRPr="004A3E84" w:rsidRDefault="00150BD4" w:rsidP="00863AD2">
            <w:pPr>
              <w:pStyle w:val="2"/>
              <w:spacing w:before="0"/>
              <w:contextualSpacing/>
              <w:outlineLvl w:val="1"/>
              <w:rPr>
                <w:rFonts w:ascii="Times New Roman" w:hAnsi="Times New Roman" w:cs="Times New Roman"/>
                <w:b w:val="0"/>
                <w:color w:val="auto"/>
                <w:sz w:val="24"/>
                <w:szCs w:val="24"/>
              </w:rPr>
            </w:pPr>
            <w:bookmarkStart w:id="59" w:name="_Toc513092323"/>
            <w:r w:rsidRPr="004A3E84">
              <w:rPr>
                <w:rFonts w:ascii="Times New Roman" w:hAnsi="Times New Roman" w:cs="Times New Roman"/>
                <w:b w:val="0"/>
                <w:color w:val="auto"/>
                <w:sz w:val="24"/>
                <w:szCs w:val="24"/>
              </w:rPr>
              <w:t>Супе</w:t>
            </w:r>
            <w:r w:rsidRPr="004A3E84">
              <w:rPr>
                <w:rFonts w:ascii="Times New Roman" w:hAnsi="Times New Roman" w:cs="Times New Roman"/>
                <w:b w:val="0"/>
                <w:color w:val="auto"/>
                <w:sz w:val="24"/>
                <w:szCs w:val="24"/>
              </w:rPr>
              <w:t>р</w:t>
            </w:r>
            <w:r w:rsidRPr="004A3E84">
              <w:rPr>
                <w:rFonts w:ascii="Times New Roman" w:hAnsi="Times New Roman" w:cs="Times New Roman"/>
                <w:b w:val="0"/>
                <w:color w:val="auto"/>
                <w:sz w:val="24"/>
                <w:szCs w:val="24"/>
              </w:rPr>
              <w:t>маркеты</w:t>
            </w:r>
            <w:bookmarkEnd w:id="59"/>
          </w:p>
        </w:tc>
        <w:tc>
          <w:tcPr>
            <w:tcW w:w="709"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60" w:name="_Toc513092324"/>
            <w:r w:rsidRPr="004A3E84">
              <w:rPr>
                <w:rFonts w:ascii="Times New Roman" w:hAnsi="Times New Roman" w:cs="Times New Roman"/>
                <w:b w:val="0"/>
                <w:color w:val="auto"/>
                <w:sz w:val="24"/>
                <w:szCs w:val="24"/>
              </w:rPr>
              <w:t>50</w:t>
            </w:r>
            <w:bookmarkEnd w:id="60"/>
          </w:p>
        </w:tc>
        <w:tc>
          <w:tcPr>
            <w:tcW w:w="709"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61" w:name="_Toc513092325"/>
            <w:r w:rsidRPr="004A3E84">
              <w:rPr>
                <w:rFonts w:ascii="Times New Roman" w:hAnsi="Times New Roman" w:cs="Times New Roman"/>
                <w:b w:val="0"/>
                <w:color w:val="auto"/>
                <w:sz w:val="24"/>
                <w:szCs w:val="24"/>
              </w:rPr>
              <w:t>51</w:t>
            </w:r>
            <w:bookmarkEnd w:id="61"/>
          </w:p>
        </w:tc>
        <w:tc>
          <w:tcPr>
            <w:tcW w:w="793"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62" w:name="_Toc513092326"/>
            <w:r w:rsidRPr="004A3E84">
              <w:rPr>
                <w:rFonts w:ascii="Times New Roman" w:hAnsi="Times New Roman" w:cs="Times New Roman"/>
                <w:b w:val="0"/>
                <w:color w:val="auto"/>
                <w:sz w:val="24"/>
                <w:szCs w:val="24"/>
              </w:rPr>
              <w:t>58</w:t>
            </w:r>
            <w:bookmarkEnd w:id="62"/>
          </w:p>
        </w:tc>
        <w:tc>
          <w:tcPr>
            <w:tcW w:w="650"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63" w:name="_Toc513092327"/>
            <w:r w:rsidRPr="004A3E84">
              <w:rPr>
                <w:rFonts w:ascii="Times New Roman" w:hAnsi="Times New Roman" w:cs="Times New Roman"/>
                <w:b w:val="0"/>
                <w:color w:val="auto"/>
                <w:sz w:val="24"/>
                <w:szCs w:val="24"/>
              </w:rPr>
              <w:t>58</w:t>
            </w:r>
            <w:bookmarkEnd w:id="63"/>
          </w:p>
        </w:tc>
        <w:tc>
          <w:tcPr>
            <w:tcW w:w="682"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64" w:name="_Toc513092328"/>
            <w:r w:rsidRPr="004A3E84">
              <w:rPr>
                <w:rFonts w:ascii="Times New Roman" w:hAnsi="Times New Roman" w:cs="Times New Roman"/>
                <w:b w:val="0"/>
                <w:color w:val="auto"/>
                <w:sz w:val="24"/>
                <w:szCs w:val="24"/>
              </w:rPr>
              <w:t>57</w:t>
            </w:r>
            <w:bookmarkEnd w:id="64"/>
          </w:p>
        </w:tc>
        <w:tc>
          <w:tcPr>
            <w:tcW w:w="708"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65" w:name="_Toc513092329"/>
            <w:r w:rsidRPr="004A3E84">
              <w:rPr>
                <w:rFonts w:ascii="Times New Roman" w:hAnsi="Times New Roman" w:cs="Times New Roman"/>
                <w:b w:val="0"/>
                <w:color w:val="auto"/>
                <w:sz w:val="24"/>
                <w:szCs w:val="24"/>
              </w:rPr>
              <w:t>62</w:t>
            </w:r>
            <w:bookmarkEnd w:id="65"/>
          </w:p>
        </w:tc>
        <w:tc>
          <w:tcPr>
            <w:tcW w:w="813"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66" w:name="_Toc513092330"/>
            <w:r w:rsidRPr="004A3E84">
              <w:rPr>
                <w:rFonts w:ascii="Times New Roman" w:hAnsi="Times New Roman" w:cs="Times New Roman"/>
                <w:b w:val="0"/>
                <w:color w:val="auto"/>
                <w:sz w:val="24"/>
                <w:szCs w:val="24"/>
              </w:rPr>
              <w:t>64</w:t>
            </w:r>
            <w:bookmarkEnd w:id="66"/>
          </w:p>
        </w:tc>
        <w:tc>
          <w:tcPr>
            <w:tcW w:w="617"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67" w:name="_Toc513092331"/>
            <w:r w:rsidRPr="004A3E84">
              <w:rPr>
                <w:rFonts w:ascii="Times New Roman" w:hAnsi="Times New Roman" w:cs="Times New Roman"/>
                <w:b w:val="0"/>
                <w:color w:val="auto"/>
                <w:sz w:val="24"/>
                <w:szCs w:val="24"/>
              </w:rPr>
              <w:t>64</w:t>
            </w:r>
            <w:bookmarkEnd w:id="67"/>
          </w:p>
        </w:tc>
        <w:tc>
          <w:tcPr>
            <w:tcW w:w="729"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68" w:name="_Toc513092332"/>
            <w:r w:rsidRPr="004A3E84">
              <w:rPr>
                <w:rFonts w:ascii="Times New Roman" w:hAnsi="Times New Roman" w:cs="Times New Roman"/>
                <w:b w:val="0"/>
                <w:color w:val="auto"/>
                <w:sz w:val="24"/>
                <w:szCs w:val="24"/>
              </w:rPr>
              <w:t>66</w:t>
            </w:r>
            <w:bookmarkEnd w:id="68"/>
          </w:p>
        </w:tc>
        <w:tc>
          <w:tcPr>
            <w:tcW w:w="642"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69" w:name="_Toc513092333"/>
            <w:r w:rsidRPr="004A3E84">
              <w:rPr>
                <w:rFonts w:ascii="Times New Roman" w:hAnsi="Times New Roman" w:cs="Times New Roman"/>
                <w:b w:val="0"/>
                <w:color w:val="auto"/>
                <w:sz w:val="24"/>
                <w:szCs w:val="24"/>
              </w:rPr>
              <w:t>73</w:t>
            </w:r>
            <w:bookmarkEnd w:id="69"/>
          </w:p>
        </w:tc>
        <w:tc>
          <w:tcPr>
            <w:tcW w:w="653"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70" w:name="_Toc513092334"/>
            <w:r w:rsidRPr="004A3E84">
              <w:rPr>
                <w:rFonts w:ascii="Times New Roman" w:hAnsi="Times New Roman" w:cs="Times New Roman"/>
                <w:b w:val="0"/>
                <w:color w:val="auto"/>
                <w:sz w:val="24"/>
                <w:szCs w:val="24"/>
              </w:rPr>
              <w:t>79</w:t>
            </w:r>
            <w:bookmarkEnd w:id="70"/>
          </w:p>
        </w:tc>
        <w:tc>
          <w:tcPr>
            <w:tcW w:w="624" w:type="dxa"/>
            <w:noWrap/>
            <w:hideMark/>
          </w:tcPr>
          <w:p w:rsidR="00150BD4" w:rsidRPr="004A3E84" w:rsidRDefault="00150BD4" w:rsidP="00863AD2">
            <w:pPr>
              <w:pStyle w:val="2"/>
              <w:jc w:val="center"/>
              <w:outlineLvl w:val="1"/>
              <w:rPr>
                <w:rFonts w:ascii="Times New Roman" w:hAnsi="Times New Roman" w:cs="Times New Roman"/>
                <w:b w:val="0"/>
                <w:color w:val="auto"/>
                <w:sz w:val="24"/>
                <w:szCs w:val="24"/>
              </w:rPr>
            </w:pPr>
            <w:bookmarkStart w:id="71" w:name="_Toc513092335"/>
            <w:r w:rsidRPr="004A3E84">
              <w:rPr>
                <w:rFonts w:ascii="Times New Roman" w:hAnsi="Times New Roman" w:cs="Times New Roman"/>
                <w:b w:val="0"/>
                <w:color w:val="auto"/>
                <w:sz w:val="24"/>
                <w:szCs w:val="24"/>
              </w:rPr>
              <w:t>102</w:t>
            </w:r>
            <w:bookmarkEnd w:id="71"/>
          </w:p>
        </w:tc>
      </w:tr>
    </w:tbl>
    <w:p w:rsidR="00150BD4" w:rsidRPr="00150BD4" w:rsidRDefault="00150BD4" w:rsidP="00150BD4">
      <w:pPr>
        <w:contextualSpacing/>
        <w:jc w:val="center"/>
      </w:pPr>
      <w:r>
        <w:t xml:space="preserve">Составлено </w:t>
      </w:r>
      <w:proofErr w:type="gramStart"/>
      <w:r>
        <w:t>по</w:t>
      </w:r>
      <w:proofErr w:type="gramEnd"/>
      <w:r>
        <w:t xml:space="preserve">: </w:t>
      </w:r>
      <w:r w:rsidRPr="00BD2B2D">
        <w:t>внутренняя учетная документация</w:t>
      </w:r>
    </w:p>
    <w:p w:rsidR="008A218E" w:rsidRDefault="008A218E" w:rsidP="008A218E">
      <w:pPr>
        <w:spacing w:line="360" w:lineRule="auto"/>
        <w:ind w:firstLine="567"/>
        <w:contextualSpacing/>
        <w:jc w:val="right"/>
        <w:rPr>
          <w:i/>
        </w:rPr>
      </w:pPr>
      <w:r w:rsidRPr="008A218E">
        <w:rPr>
          <w:i/>
        </w:rPr>
        <w:t xml:space="preserve">Рисунок </w:t>
      </w:r>
      <w:r w:rsidR="00992EC5">
        <w:rPr>
          <w:i/>
        </w:rPr>
        <w:t>3.1</w:t>
      </w:r>
    </w:p>
    <w:p w:rsidR="00B115D8" w:rsidRDefault="00CA2093" w:rsidP="00CA2093">
      <w:pPr>
        <w:spacing w:line="360" w:lineRule="auto"/>
        <w:ind w:firstLine="567"/>
        <w:contextualSpacing/>
        <w:jc w:val="center"/>
        <w:rPr>
          <w:b/>
        </w:rPr>
      </w:pPr>
      <w:r w:rsidRPr="00CA2093">
        <w:rPr>
          <w:b/>
        </w:rPr>
        <w:t xml:space="preserve">Выручка «Ленты» по </w:t>
      </w:r>
      <w:r w:rsidR="00C03067">
        <w:rPr>
          <w:b/>
        </w:rPr>
        <w:t>торговым комплексам</w:t>
      </w:r>
      <w:r w:rsidRPr="00CA2093">
        <w:rPr>
          <w:b/>
        </w:rPr>
        <w:t xml:space="preserve"> в период с 201</w:t>
      </w:r>
      <w:r w:rsidR="00C03067">
        <w:rPr>
          <w:b/>
        </w:rPr>
        <w:t>6</w:t>
      </w:r>
      <w:r w:rsidRPr="00CA2093">
        <w:rPr>
          <w:b/>
        </w:rPr>
        <w:t>-2017 гг.</w:t>
      </w:r>
      <w:r w:rsidR="004F385F">
        <w:rPr>
          <w:b/>
        </w:rPr>
        <w:t>, тыс. руб.</w:t>
      </w:r>
    </w:p>
    <w:p w:rsidR="000A7D70" w:rsidRPr="00CA2093" w:rsidRDefault="004F385F" w:rsidP="002A4B21">
      <w:pPr>
        <w:spacing w:line="360" w:lineRule="auto"/>
        <w:contextualSpacing/>
        <w:jc w:val="center"/>
        <w:rPr>
          <w:b/>
        </w:rPr>
      </w:pPr>
      <w:r>
        <w:rPr>
          <w:noProof/>
        </w:rPr>
        <w:drawing>
          <wp:inline distT="0" distB="0" distL="0" distR="0" wp14:anchorId="4823EA68" wp14:editId="24E47F8F">
            <wp:extent cx="5996763" cy="2679405"/>
            <wp:effectExtent l="0" t="0" r="4445"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C7018" w:rsidRDefault="00442735" w:rsidP="00F265E1">
      <w:pPr>
        <w:jc w:val="center"/>
      </w:pPr>
      <w:r>
        <w:t xml:space="preserve">Составлено </w:t>
      </w:r>
      <w:proofErr w:type="gramStart"/>
      <w:r>
        <w:t>по</w:t>
      </w:r>
      <w:proofErr w:type="gramEnd"/>
      <w:r>
        <w:t xml:space="preserve">: </w:t>
      </w:r>
      <w:r w:rsidRPr="00BD2B2D">
        <w:t>внутренняя учетная документация</w:t>
      </w:r>
    </w:p>
    <w:p w:rsidR="0045405C" w:rsidRPr="000B4120" w:rsidRDefault="00297490" w:rsidP="00F265E1">
      <w:pPr>
        <w:spacing w:line="360" w:lineRule="auto"/>
        <w:ind w:firstLine="567"/>
        <w:contextualSpacing/>
        <w:jc w:val="both"/>
      </w:pPr>
      <w:r>
        <w:t>Реализуя свои долгосрочные цели, в</w:t>
      </w:r>
      <w:r w:rsidR="00853583" w:rsidRPr="00355C85">
        <w:t xml:space="preserve"> </w:t>
      </w:r>
      <w:r w:rsidR="0045405C">
        <w:t xml:space="preserve">декабре </w:t>
      </w:r>
      <w:r w:rsidR="00853583">
        <w:t>2016 год</w:t>
      </w:r>
      <w:r w:rsidR="0045405C">
        <w:t>а</w:t>
      </w:r>
      <w:r w:rsidR="00853583">
        <w:t xml:space="preserve"> компания поглотила 11 маг</w:t>
      </w:r>
      <w:r w:rsidR="00853583">
        <w:t>а</w:t>
      </w:r>
      <w:r w:rsidR="00853583">
        <w:t xml:space="preserve">зинов финского </w:t>
      </w:r>
      <w:proofErr w:type="spellStart"/>
      <w:r w:rsidR="00853583">
        <w:t>ритейлера</w:t>
      </w:r>
      <w:proofErr w:type="spellEnd"/>
      <w:r w:rsidR="00853583">
        <w:t xml:space="preserve"> «</w:t>
      </w:r>
      <w:proofErr w:type="spellStart"/>
      <w:r w:rsidR="00853583">
        <w:t>Кеско</w:t>
      </w:r>
      <w:proofErr w:type="spellEnd"/>
      <w:r w:rsidR="00853583">
        <w:t xml:space="preserve">» </w:t>
      </w:r>
      <w:r w:rsidR="009545C0">
        <w:t>(табл.</w:t>
      </w:r>
      <w:r w:rsidR="00141207">
        <w:t>3.2</w:t>
      </w:r>
      <w:r w:rsidR="009545C0">
        <w:t>)</w:t>
      </w:r>
      <w:r w:rsidR="00534262">
        <w:t>: 10 гипермаркетов и 1 супермаркет,</w:t>
      </w:r>
      <w:r w:rsidR="00863AD2" w:rsidRPr="00863AD2">
        <w:t xml:space="preserve"> </w:t>
      </w:r>
      <w:r w:rsidR="00853583">
        <w:t>общей стоимостью 11,4 млрд. рублей</w:t>
      </w:r>
      <w:r w:rsidR="005C116A">
        <w:t>.</w:t>
      </w:r>
      <w:r w:rsidR="00853583">
        <w:t xml:space="preserve"> </w:t>
      </w:r>
      <w:r w:rsidR="005C116A">
        <w:t>Магазины</w:t>
      </w:r>
      <w:r w:rsidR="00853583">
        <w:t xml:space="preserve"> продолжили свою работу спустя всего неделю под товарным знаком «Лента», так как серьезных трат на ре-</w:t>
      </w:r>
      <w:proofErr w:type="spellStart"/>
      <w:r w:rsidR="00853583">
        <w:t>итеграцию</w:t>
      </w:r>
      <w:proofErr w:type="spellEnd"/>
      <w:r w:rsidR="00853583">
        <w:t xml:space="preserve"> компания не п</w:t>
      </w:r>
      <w:r w:rsidR="00853583">
        <w:t>о</w:t>
      </w:r>
      <w:r w:rsidR="00853583">
        <w:t>несла</w:t>
      </w:r>
      <w:r w:rsidR="004F385F">
        <w:t xml:space="preserve">, все работы вышли приблизительно в 200 </w:t>
      </w:r>
      <w:proofErr w:type="gramStart"/>
      <w:r w:rsidR="004F385F">
        <w:t>млн</w:t>
      </w:r>
      <w:proofErr w:type="gramEnd"/>
      <w:r w:rsidR="004F385F">
        <w:t xml:space="preserve"> рублей</w:t>
      </w:r>
      <w:r w:rsidR="00853583">
        <w:t xml:space="preserve">. </w:t>
      </w:r>
      <w:r w:rsidR="008D269D">
        <w:t xml:space="preserve">Согласно аналитике агентства </w:t>
      </w:r>
      <w:r w:rsidR="008D269D">
        <w:rPr>
          <w:lang w:val="en-US"/>
        </w:rPr>
        <w:t>JPMorgan</w:t>
      </w:r>
      <w:r w:rsidR="008D269D">
        <w:t>,</w:t>
      </w:r>
      <w:r w:rsidR="008D269D" w:rsidRPr="008D269D">
        <w:t xml:space="preserve"> </w:t>
      </w:r>
      <w:r w:rsidR="008D269D">
        <w:t xml:space="preserve">для компании дешевле было бы открыть 11 магазинов самостоятельно, однако </w:t>
      </w:r>
      <w:r w:rsidR="00132CF5">
        <w:t>расширить свое присутствие на конкурентном рынке СПб было бы крайне проблемати</w:t>
      </w:r>
      <w:r w:rsidR="00132CF5">
        <w:t>ч</w:t>
      </w:r>
      <w:r w:rsidR="00132CF5">
        <w:t xml:space="preserve">но, поэтому развитие не органическим, а агрессивным ростом представляется наиболее оптимальным. </w:t>
      </w:r>
      <w:r w:rsidR="00D005E3">
        <w:t xml:space="preserve">Основными работами, которые были произведены в рамках </w:t>
      </w:r>
      <w:r w:rsidR="005C116A">
        <w:t xml:space="preserve">перехода, были смена </w:t>
      </w:r>
      <w:r w:rsidR="005C116A">
        <w:rPr>
          <w:lang w:val="en-US"/>
        </w:rPr>
        <w:t>IT</w:t>
      </w:r>
      <w:r w:rsidR="005C116A" w:rsidRPr="005C116A">
        <w:t>-</w:t>
      </w:r>
      <w:r w:rsidR="005C116A">
        <w:t xml:space="preserve">систем, </w:t>
      </w:r>
      <w:proofErr w:type="spellStart"/>
      <w:r w:rsidR="005C116A">
        <w:t>найм</w:t>
      </w:r>
      <w:proofErr w:type="spellEnd"/>
      <w:r w:rsidR="005C116A">
        <w:t xml:space="preserve"> нового персонала, а так же обновлением внутреннего оформления. </w:t>
      </w:r>
      <w:r w:rsidR="00D005E3">
        <w:t>О</w:t>
      </w:r>
      <w:r w:rsidR="00853583">
        <w:t>пираясь на заявленную группой стратегию «быстрого сетевого развития», компания зн</w:t>
      </w:r>
      <w:r w:rsidR="00853583">
        <w:t>а</w:t>
      </w:r>
      <w:r w:rsidR="00853583">
        <w:t>чительно укрепила свою позицию на рынке, приобретя все гипермаркеты товарно</w:t>
      </w:r>
      <w:r w:rsidR="00092ECB">
        <w:t>го знака «К-</w:t>
      </w:r>
      <w:proofErr w:type="spellStart"/>
      <w:r w:rsidR="00092ECB">
        <w:t>Руока</w:t>
      </w:r>
      <w:proofErr w:type="spellEnd"/>
      <w:r w:rsidR="00092ECB">
        <w:t>», исходя из чего, можно сделать вывод о том, что  ключевым мотивом для с</w:t>
      </w:r>
      <w:r w:rsidR="00092ECB">
        <w:t>о</w:t>
      </w:r>
      <w:r w:rsidR="00092ECB">
        <w:t xml:space="preserve">вершения данной сделки было увеличение «рыночного могущества». </w:t>
      </w:r>
    </w:p>
    <w:p w:rsidR="00853583" w:rsidRDefault="0045405C" w:rsidP="00F265E1">
      <w:pPr>
        <w:spacing w:line="360" w:lineRule="auto"/>
        <w:ind w:firstLine="567"/>
        <w:contextualSpacing/>
        <w:jc w:val="both"/>
      </w:pPr>
      <w:r>
        <w:lastRenderedPageBreak/>
        <w:t xml:space="preserve">Как видно на Рис. </w:t>
      </w:r>
      <w:r w:rsidR="00E708FA">
        <w:t>3.2</w:t>
      </w:r>
      <w:r>
        <w:t xml:space="preserve"> продажи за 12 месяцев 2017 года не имеют значительной ра</w:t>
      </w:r>
      <w:r>
        <w:t>з</w:t>
      </w:r>
      <w:r>
        <w:t xml:space="preserve">ницы с продажами за 12 месяцев 2016 года. </w:t>
      </w:r>
      <w:r w:rsidR="00E96AA2">
        <w:t xml:space="preserve">Рост продаж вызван </w:t>
      </w:r>
      <w:r w:rsidR="00E96AA2" w:rsidRPr="00E96AA2">
        <w:t>увеличением выручки по магазинам, работающим на дату анализа менее 12 месяцев на</w:t>
      </w:r>
      <w:r w:rsidR="00E96AA2">
        <w:t xml:space="preserve"> 21%, </w:t>
      </w:r>
      <w:r w:rsidR="00E96AA2" w:rsidRPr="00E96AA2">
        <w:t>ростом выручки от продаж супермарк</w:t>
      </w:r>
      <w:r w:rsidR="00E96AA2">
        <w:t xml:space="preserve">етов, работающих более 1 года на 1,7 млрд. рублей, </w:t>
      </w:r>
      <w:r w:rsidR="00E96AA2" w:rsidRPr="00E96AA2">
        <w:t>что связано с а</w:t>
      </w:r>
      <w:r w:rsidR="00E96AA2" w:rsidRPr="00E96AA2">
        <w:t>к</w:t>
      </w:r>
      <w:r w:rsidR="00E96AA2" w:rsidRPr="00E96AA2">
        <w:t>тивным развитием формата супермаркетов.</w:t>
      </w:r>
      <w:r w:rsidR="00E96AA2">
        <w:t xml:space="preserve"> </w:t>
      </w:r>
      <w:r w:rsidR="00E96AA2" w:rsidRPr="00E96AA2">
        <w:t xml:space="preserve">Группа на 31 декабря 2017 года открыла </w:t>
      </w:r>
      <w:r w:rsidR="00E96AA2">
        <w:t>102</w:t>
      </w:r>
      <w:r w:rsidR="00E96AA2" w:rsidRPr="00E96AA2">
        <w:t xml:space="preserve"> супермаркет</w:t>
      </w:r>
      <w:r w:rsidR="00E96AA2">
        <w:t>а</w:t>
      </w:r>
      <w:r w:rsidR="00E96AA2" w:rsidRPr="00E96AA2">
        <w:t xml:space="preserve"> в сравнении с открытыми за 12 месяцев 2016 года 50 супермаркетами</w:t>
      </w:r>
      <w:r w:rsidR="00E96AA2">
        <w:t xml:space="preserve"> (табл.</w:t>
      </w:r>
      <w:proofErr w:type="gramStart"/>
      <w:r w:rsidR="00E96AA2">
        <w:t xml:space="preserve"> )</w:t>
      </w:r>
      <w:proofErr w:type="gramEnd"/>
      <w:r w:rsidR="00E96AA2">
        <w:t xml:space="preserve">. </w:t>
      </w:r>
      <w:r w:rsidR="00534262">
        <w:t>В ц</w:t>
      </w:r>
      <w:r w:rsidR="005D0AC0">
        <w:t>елом, после слияния выручка БЕ в Санкт-Петербурге выросла на 11,7%.</w:t>
      </w:r>
    </w:p>
    <w:p w:rsidR="00E96AA2" w:rsidRPr="002175E3" w:rsidRDefault="00E96AA2" w:rsidP="00E96AA2">
      <w:pPr>
        <w:spacing w:line="360" w:lineRule="auto"/>
        <w:ind w:firstLine="567"/>
        <w:contextualSpacing/>
        <w:jc w:val="right"/>
        <w:rPr>
          <w:i/>
        </w:rPr>
      </w:pPr>
      <w:r>
        <w:rPr>
          <w:i/>
        </w:rPr>
        <w:t xml:space="preserve">Таблица </w:t>
      </w:r>
      <w:r w:rsidR="00141207">
        <w:rPr>
          <w:i/>
        </w:rPr>
        <w:t>3.2</w:t>
      </w:r>
    </w:p>
    <w:p w:rsidR="00E96AA2" w:rsidRPr="002175E3" w:rsidRDefault="00E96AA2" w:rsidP="00E96AA2">
      <w:pPr>
        <w:spacing w:line="360" w:lineRule="auto"/>
        <w:ind w:firstLine="567"/>
        <w:contextualSpacing/>
        <w:jc w:val="center"/>
        <w:rPr>
          <w:b/>
        </w:rPr>
      </w:pPr>
      <w:r w:rsidRPr="002175E3">
        <w:rPr>
          <w:b/>
        </w:rPr>
        <w:t xml:space="preserve">Количество </w:t>
      </w:r>
      <w:proofErr w:type="gramStart"/>
      <w:r w:rsidRPr="002175E3">
        <w:rPr>
          <w:b/>
        </w:rPr>
        <w:t>бизнес-единиц</w:t>
      </w:r>
      <w:proofErr w:type="gramEnd"/>
      <w:r w:rsidRPr="002175E3">
        <w:rPr>
          <w:b/>
        </w:rPr>
        <w:t xml:space="preserve"> (БЕ) «Ленты» в 201</w:t>
      </w:r>
      <w:r>
        <w:rPr>
          <w:b/>
        </w:rPr>
        <w:t>6</w:t>
      </w:r>
      <w:r w:rsidRPr="002175E3">
        <w:rPr>
          <w:b/>
        </w:rPr>
        <w:t xml:space="preserve"> году. </w:t>
      </w:r>
    </w:p>
    <w:tbl>
      <w:tblPr>
        <w:tblStyle w:val="a7"/>
        <w:tblW w:w="0" w:type="auto"/>
        <w:tblLook w:val="04A0" w:firstRow="1" w:lastRow="0" w:firstColumn="1" w:lastColumn="0" w:noHBand="0" w:noVBand="1"/>
      </w:tblPr>
      <w:tblGrid>
        <w:gridCol w:w="1521"/>
        <w:gridCol w:w="617"/>
        <w:gridCol w:w="637"/>
        <w:gridCol w:w="668"/>
        <w:gridCol w:w="622"/>
        <w:gridCol w:w="668"/>
        <w:gridCol w:w="782"/>
        <w:gridCol w:w="770"/>
        <w:gridCol w:w="585"/>
        <w:gridCol w:w="771"/>
        <w:gridCol w:w="684"/>
        <w:gridCol w:w="637"/>
        <w:gridCol w:w="609"/>
      </w:tblGrid>
      <w:tr w:rsidR="00E96AA2" w:rsidRPr="00FF6734" w:rsidTr="00E96AA2">
        <w:trPr>
          <w:trHeight w:val="300"/>
        </w:trPr>
        <w:tc>
          <w:tcPr>
            <w:tcW w:w="1509" w:type="dxa"/>
            <w:noWrap/>
            <w:hideMark/>
          </w:tcPr>
          <w:p w:rsidR="00E96AA2" w:rsidRPr="008F5EE2" w:rsidRDefault="00E96AA2" w:rsidP="00863AD2">
            <w:pPr>
              <w:jc w:val="center"/>
              <w:rPr>
                <w:i/>
              </w:rPr>
            </w:pPr>
            <w:r w:rsidRPr="008F5EE2">
              <w:rPr>
                <w:i/>
              </w:rPr>
              <w:t>Бизнес-</w:t>
            </w:r>
            <w:proofErr w:type="spellStart"/>
            <w:r w:rsidRPr="008F5EE2">
              <w:rPr>
                <w:i/>
              </w:rPr>
              <w:t>еденицы</w:t>
            </w:r>
            <w:proofErr w:type="spellEnd"/>
          </w:p>
        </w:tc>
        <w:tc>
          <w:tcPr>
            <w:tcW w:w="630" w:type="dxa"/>
            <w:hideMark/>
          </w:tcPr>
          <w:p w:rsidR="00E96AA2" w:rsidRPr="008F5EE2" w:rsidRDefault="00E96AA2" w:rsidP="00863AD2">
            <w:pPr>
              <w:jc w:val="center"/>
              <w:rPr>
                <w:bCs/>
                <w:i/>
              </w:rPr>
            </w:pPr>
            <w:r w:rsidRPr="008F5EE2">
              <w:rPr>
                <w:bCs/>
                <w:i/>
              </w:rPr>
              <w:t>Янв-16</w:t>
            </w:r>
          </w:p>
        </w:tc>
        <w:tc>
          <w:tcPr>
            <w:tcW w:w="637" w:type="dxa"/>
            <w:hideMark/>
          </w:tcPr>
          <w:p w:rsidR="00E96AA2" w:rsidRPr="008F5EE2" w:rsidRDefault="00E96AA2" w:rsidP="00863AD2">
            <w:pPr>
              <w:jc w:val="center"/>
              <w:rPr>
                <w:bCs/>
                <w:i/>
              </w:rPr>
            </w:pPr>
            <w:r w:rsidRPr="008F5EE2">
              <w:rPr>
                <w:bCs/>
                <w:i/>
              </w:rPr>
              <w:t>Фев-16</w:t>
            </w:r>
          </w:p>
        </w:tc>
        <w:tc>
          <w:tcPr>
            <w:tcW w:w="663" w:type="dxa"/>
            <w:hideMark/>
          </w:tcPr>
          <w:p w:rsidR="00E96AA2" w:rsidRPr="008F5EE2" w:rsidRDefault="00E96AA2" w:rsidP="00863AD2">
            <w:pPr>
              <w:jc w:val="center"/>
              <w:rPr>
                <w:bCs/>
                <w:i/>
              </w:rPr>
            </w:pPr>
            <w:r w:rsidRPr="008F5EE2">
              <w:rPr>
                <w:bCs/>
                <w:i/>
              </w:rPr>
              <w:t>Мар-16</w:t>
            </w:r>
          </w:p>
        </w:tc>
        <w:tc>
          <w:tcPr>
            <w:tcW w:w="647" w:type="dxa"/>
            <w:hideMark/>
          </w:tcPr>
          <w:p w:rsidR="00E96AA2" w:rsidRPr="008F5EE2" w:rsidRDefault="00E96AA2" w:rsidP="00863AD2">
            <w:pPr>
              <w:jc w:val="center"/>
              <w:rPr>
                <w:bCs/>
                <w:i/>
              </w:rPr>
            </w:pPr>
            <w:r w:rsidRPr="008F5EE2">
              <w:rPr>
                <w:bCs/>
                <w:i/>
              </w:rPr>
              <w:t>Апр-16</w:t>
            </w:r>
          </w:p>
        </w:tc>
        <w:tc>
          <w:tcPr>
            <w:tcW w:w="671" w:type="dxa"/>
            <w:hideMark/>
          </w:tcPr>
          <w:p w:rsidR="00E96AA2" w:rsidRPr="008F5EE2" w:rsidRDefault="00E96AA2" w:rsidP="00863AD2">
            <w:pPr>
              <w:jc w:val="center"/>
              <w:rPr>
                <w:bCs/>
                <w:i/>
              </w:rPr>
            </w:pPr>
            <w:r w:rsidRPr="008F5EE2">
              <w:rPr>
                <w:bCs/>
                <w:i/>
              </w:rPr>
              <w:t>Май-16</w:t>
            </w:r>
          </w:p>
        </w:tc>
        <w:tc>
          <w:tcPr>
            <w:tcW w:w="793" w:type="dxa"/>
            <w:hideMark/>
          </w:tcPr>
          <w:p w:rsidR="00E96AA2" w:rsidRPr="008F5EE2" w:rsidRDefault="00E96AA2" w:rsidP="00863AD2">
            <w:pPr>
              <w:jc w:val="center"/>
              <w:rPr>
                <w:bCs/>
                <w:i/>
              </w:rPr>
            </w:pPr>
            <w:r w:rsidRPr="008F5EE2">
              <w:rPr>
                <w:bCs/>
                <w:i/>
              </w:rPr>
              <w:t>Июнь-16</w:t>
            </w:r>
          </w:p>
        </w:tc>
        <w:tc>
          <w:tcPr>
            <w:tcW w:w="785" w:type="dxa"/>
            <w:hideMark/>
          </w:tcPr>
          <w:p w:rsidR="00E96AA2" w:rsidRPr="008F5EE2" w:rsidRDefault="00E96AA2" w:rsidP="00863AD2">
            <w:pPr>
              <w:jc w:val="center"/>
              <w:rPr>
                <w:bCs/>
                <w:i/>
              </w:rPr>
            </w:pPr>
            <w:r w:rsidRPr="008F5EE2">
              <w:rPr>
                <w:bCs/>
                <w:i/>
              </w:rPr>
              <w:t>Июль-16</w:t>
            </w:r>
          </w:p>
        </w:tc>
        <w:tc>
          <w:tcPr>
            <w:tcW w:w="630" w:type="dxa"/>
            <w:hideMark/>
          </w:tcPr>
          <w:p w:rsidR="00E96AA2" w:rsidRPr="008F5EE2" w:rsidRDefault="00E96AA2" w:rsidP="00863AD2">
            <w:pPr>
              <w:jc w:val="center"/>
              <w:rPr>
                <w:bCs/>
                <w:i/>
              </w:rPr>
            </w:pPr>
            <w:r w:rsidRPr="008F5EE2">
              <w:rPr>
                <w:bCs/>
                <w:i/>
              </w:rPr>
              <w:t>Авг-16</w:t>
            </w:r>
          </w:p>
        </w:tc>
        <w:tc>
          <w:tcPr>
            <w:tcW w:w="714" w:type="dxa"/>
            <w:hideMark/>
          </w:tcPr>
          <w:p w:rsidR="00E96AA2" w:rsidRPr="008F5EE2" w:rsidRDefault="00E96AA2" w:rsidP="00863AD2">
            <w:pPr>
              <w:jc w:val="center"/>
              <w:rPr>
                <w:bCs/>
                <w:i/>
              </w:rPr>
            </w:pPr>
            <w:r w:rsidRPr="008F5EE2">
              <w:rPr>
                <w:bCs/>
                <w:i/>
              </w:rPr>
              <w:t>Сент-16</w:t>
            </w:r>
          </w:p>
        </w:tc>
        <w:tc>
          <w:tcPr>
            <w:tcW w:w="630" w:type="dxa"/>
            <w:hideMark/>
          </w:tcPr>
          <w:p w:rsidR="00E96AA2" w:rsidRPr="008F5EE2" w:rsidRDefault="00E96AA2" w:rsidP="00863AD2">
            <w:pPr>
              <w:jc w:val="center"/>
              <w:rPr>
                <w:bCs/>
                <w:i/>
              </w:rPr>
            </w:pPr>
            <w:r w:rsidRPr="008F5EE2">
              <w:rPr>
                <w:bCs/>
                <w:i/>
              </w:rPr>
              <w:t>Окт-16</w:t>
            </w:r>
          </w:p>
        </w:tc>
        <w:tc>
          <w:tcPr>
            <w:tcW w:w="632" w:type="dxa"/>
            <w:hideMark/>
          </w:tcPr>
          <w:p w:rsidR="00E96AA2" w:rsidRPr="008F5EE2" w:rsidRDefault="00E96AA2" w:rsidP="00863AD2">
            <w:pPr>
              <w:jc w:val="center"/>
              <w:rPr>
                <w:bCs/>
                <w:i/>
              </w:rPr>
            </w:pPr>
            <w:r w:rsidRPr="008F5EE2">
              <w:rPr>
                <w:bCs/>
                <w:i/>
              </w:rPr>
              <w:t>Ноя-16</w:t>
            </w:r>
          </w:p>
        </w:tc>
        <w:tc>
          <w:tcPr>
            <w:tcW w:w="630" w:type="dxa"/>
            <w:hideMark/>
          </w:tcPr>
          <w:p w:rsidR="00E96AA2" w:rsidRPr="008F5EE2" w:rsidRDefault="00E96AA2" w:rsidP="00863AD2">
            <w:pPr>
              <w:jc w:val="center"/>
              <w:rPr>
                <w:bCs/>
                <w:i/>
              </w:rPr>
            </w:pPr>
            <w:r w:rsidRPr="008F5EE2">
              <w:rPr>
                <w:bCs/>
                <w:i/>
              </w:rPr>
              <w:t>Дек-16</w:t>
            </w:r>
          </w:p>
        </w:tc>
      </w:tr>
      <w:tr w:rsidR="00E96AA2" w:rsidRPr="00FF6734" w:rsidTr="00E96AA2">
        <w:trPr>
          <w:trHeight w:val="300"/>
        </w:trPr>
        <w:tc>
          <w:tcPr>
            <w:tcW w:w="1509" w:type="dxa"/>
            <w:noWrap/>
            <w:hideMark/>
          </w:tcPr>
          <w:p w:rsidR="00E96AA2" w:rsidRPr="00FF6734" w:rsidRDefault="00E96AA2" w:rsidP="00863AD2">
            <w:pPr>
              <w:contextualSpacing/>
              <w:jc w:val="center"/>
            </w:pPr>
            <w:r w:rsidRPr="00FF6734">
              <w:t>Всего БЕ</w:t>
            </w:r>
          </w:p>
        </w:tc>
        <w:tc>
          <w:tcPr>
            <w:tcW w:w="630" w:type="dxa"/>
            <w:noWrap/>
            <w:hideMark/>
          </w:tcPr>
          <w:p w:rsidR="00E96AA2" w:rsidRPr="00FF6734" w:rsidRDefault="00E96AA2" w:rsidP="00863AD2">
            <w:pPr>
              <w:contextualSpacing/>
              <w:jc w:val="center"/>
            </w:pPr>
            <w:r w:rsidRPr="00FF6734">
              <w:t>172</w:t>
            </w:r>
          </w:p>
        </w:tc>
        <w:tc>
          <w:tcPr>
            <w:tcW w:w="637" w:type="dxa"/>
            <w:noWrap/>
            <w:hideMark/>
          </w:tcPr>
          <w:p w:rsidR="00E96AA2" w:rsidRPr="00FF6734" w:rsidRDefault="00E96AA2" w:rsidP="00863AD2">
            <w:pPr>
              <w:contextualSpacing/>
              <w:jc w:val="center"/>
            </w:pPr>
            <w:r w:rsidRPr="00FF6734">
              <w:t>175</w:t>
            </w:r>
          </w:p>
        </w:tc>
        <w:tc>
          <w:tcPr>
            <w:tcW w:w="663" w:type="dxa"/>
            <w:noWrap/>
            <w:hideMark/>
          </w:tcPr>
          <w:p w:rsidR="00E96AA2" w:rsidRPr="00FF6734" w:rsidRDefault="00E96AA2" w:rsidP="00863AD2">
            <w:pPr>
              <w:contextualSpacing/>
              <w:jc w:val="center"/>
            </w:pPr>
            <w:r w:rsidRPr="00FF6734">
              <w:t>180</w:t>
            </w:r>
          </w:p>
        </w:tc>
        <w:tc>
          <w:tcPr>
            <w:tcW w:w="647" w:type="dxa"/>
            <w:noWrap/>
            <w:hideMark/>
          </w:tcPr>
          <w:p w:rsidR="00E96AA2" w:rsidRPr="00FF6734" w:rsidRDefault="00E96AA2" w:rsidP="00863AD2">
            <w:pPr>
              <w:contextualSpacing/>
              <w:jc w:val="center"/>
            </w:pPr>
            <w:r w:rsidRPr="00FF6734">
              <w:t>183</w:t>
            </w:r>
          </w:p>
        </w:tc>
        <w:tc>
          <w:tcPr>
            <w:tcW w:w="671" w:type="dxa"/>
            <w:noWrap/>
            <w:hideMark/>
          </w:tcPr>
          <w:p w:rsidR="00E96AA2" w:rsidRPr="00FF6734" w:rsidRDefault="00E96AA2" w:rsidP="00863AD2">
            <w:pPr>
              <w:contextualSpacing/>
              <w:jc w:val="center"/>
            </w:pPr>
            <w:r w:rsidRPr="00FF6734">
              <w:t>185</w:t>
            </w:r>
          </w:p>
        </w:tc>
        <w:tc>
          <w:tcPr>
            <w:tcW w:w="793" w:type="dxa"/>
            <w:noWrap/>
            <w:hideMark/>
          </w:tcPr>
          <w:p w:rsidR="00E96AA2" w:rsidRPr="00FF6734" w:rsidRDefault="00E96AA2" w:rsidP="00863AD2">
            <w:pPr>
              <w:contextualSpacing/>
              <w:jc w:val="center"/>
            </w:pPr>
            <w:r w:rsidRPr="00FF6734">
              <w:t>189</w:t>
            </w:r>
          </w:p>
        </w:tc>
        <w:tc>
          <w:tcPr>
            <w:tcW w:w="785" w:type="dxa"/>
            <w:noWrap/>
            <w:hideMark/>
          </w:tcPr>
          <w:p w:rsidR="00E96AA2" w:rsidRPr="00FF6734" w:rsidRDefault="00E96AA2" w:rsidP="00863AD2">
            <w:pPr>
              <w:contextualSpacing/>
              <w:jc w:val="center"/>
            </w:pPr>
            <w:r w:rsidRPr="00FF6734">
              <w:t>189</w:t>
            </w:r>
          </w:p>
        </w:tc>
        <w:tc>
          <w:tcPr>
            <w:tcW w:w="630" w:type="dxa"/>
            <w:noWrap/>
            <w:hideMark/>
          </w:tcPr>
          <w:p w:rsidR="00E96AA2" w:rsidRPr="00FF6734" w:rsidRDefault="00E96AA2" w:rsidP="00863AD2">
            <w:pPr>
              <w:contextualSpacing/>
              <w:jc w:val="center"/>
            </w:pPr>
            <w:r w:rsidRPr="00FF6734">
              <w:t>193</w:t>
            </w:r>
          </w:p>
        </w:tc>
        <w:tc>
          <w:tcPr>
            <w:tcW w:w="714" w:type="dxa"/>
            <w:noWrap/>
            <w:hideMark/>
          </w:tcPr>
          <w:p w:rsidR="00E96AA2" w:rsidRPr="00FF6734" w:rsidRDefault="00E96AA2" w:rsidP="00863AD2">
            <w:pPr>
              <w:contextualSpacing/>
              <w:jc w:val="center"/>
            </w:pPr>
            <w:r w:rsidRPr="00FF6734">
              <w:t>197</w:t>
            </w:r>
          </w:p>
        </w:tc>
        <w:tc>
          <w:tcPr>
            <w:tcW w:w="630" w:type="dxa"/>
            <w:noWrap/>
            <w:hideMark/>
          </w:tcPr>
          <w:p w:rsidR="00E96AA2" w:rsidRPr="00FF6734" w:rsidRDefault="00E96AA2" w:rsidP="00863AD2">
            <w:pPr>
              <w:contextualSpacing/>
              <w:jc w:val="center"/>
            </w:pPr>
            <w:r>
              <w:t>203</w:t>
            </w:r>
          </w:p>
        </w:tc>
        <w:tc>
          <w:tcPr>
            <w:tcW w:w="632" w:type="dxa"/>
            <w:noWrap/>
            <w:hideMark/>
          </w:tcPr>
          <w:p w:rsidR="00E96AA2" w:rsidRPr="00FF6734" w:rsidRDefault="00E96AA2" w:rsidP="00863AD2">
            <w:pPr>
              <w:contextualSpacing/>
              <w:jc w:val="center"/>
            </w:pPr>
            <w:r w:rsidRPr="00FF6734">
              <w:t>214</w:t>
            </w:r>
          </w:p>
        </w:tc>
        <w:tc>
          <w:tcPr>
            <w:tcW w:w="630" w:type="dxa"/>
            <w:noWrap/>
            <w:hideMark/>
          </w:tcPr>
          <w:p w:rsidR="00E96AA2" w:rsidRPr="00FF6734" w:rsidRDefault="00E96AA2" w:rsidP="00863AD2">
            <w:pPr>
              <w:contextualSpacing/>
              <w:jc w:val="center"/>
            </w:pPr>
            <w:r w:rsidRPr="00FF6734">
              <w:t>242</w:t>
            </w:r>
          </w:p>
        </w:tc>
      </w:tr>
      <w:tr w:rsidR="00E96AA2" w:rsidRPr="00FF6734" w:rsidTr="00E96AA2">
        <w:trPr>
          <w:trHeight w:val="300"/>
        </w:trPr>
        <w:tc>
          <w:tcPr>
            <w:tcW w:w="1509" w:type="dxa"/>
            <w:noWrap/>
            <w:hideMark/>
          </w:tcPr>
          <w:p w:rsidR="00E96AA2" w:rsidRPr="00FF6734" w:rsidRDefault="00E96AA2" w:rsidP="00863AD2">
            <w:pPr>
              <w:jc w:val="center"/>
            </w:pPr>
            <w:r w:rsidRPr="00FF6734">
              <w:t>Гиперма</w:t>
            </w:r>
            <w:r w:rsidRPr="00FF6734">
              <w:t>р</w:t>
            </w:r>
            <w:r w:rsidRPr="00FF6734">
              <w:t>кеты</w:t>
            </w:r>
          </w:p>
        </w:tc>
        <w:tc>
          <w:tcPr>
            <w:tcW w:w="630" w:type="dxa"/>
            <w:noWrap/>
            <w:hideMark/>
          </w:tcPr>
          <w:p w:rsidR="00E96AA2" w:rsidRPr="00FF6734" w:rsidRDefault="00E96AA2" w:rsidP="00863AD2">
            <w:pPr>
              <w:jc w:val="center"/>
            </w:pPr>
            <w:r w:rsidRPr="00FF6734">
              <w:t>140</w:t>
            </w:r>
          </w:p>
        </w:tc>
        <w:tc>
          <w:tcPr>
            <w:tcW w:w="637" w:type="dxa"/>
            <w:noWrap/>
            <w:hideMark/>
          </w:tcPr>
          <w:p w:rsidR="00E96AA2" w:rsidRPr="00FF6734" w:rsidRDefault="00E96AA2" w:rsidP="00863AD2">
            <w:pPr>
              <w:jc w:val="center"/>
            </w:pPr>
            <w:r w:rsidRPr="00FF6734">
              <w:t>142</w:t>
            </w:r>
          </w:p>
        </w:tc>
        <w:tc>
          <w:tcPr>
            <w:tcW w:w="663" w:type="dxa"/>
            <w:noWrap/>
            <w:hideMark/>
          </w:tcPr>
          <w:p w:rsidR="00E96AA2" w:rsidRPr="00FF6734" w:rsidRDefault="00E96AA2" w:rsidP="00863AD2">
            <w:pPr>
              <w:jc w:val="center"/>
            </w:pPr>
            <w:r w:rsidRPr="00FF6734">
              <w:t>142</w:t>
            </w:r>
          </w:p>
        </w:tc>
        <w:tc>
          <w:tcPr>
            <w:tcW w:w="647" w:type="dxa"/>
            <w:noWrap/>
            <w:hideMark/>
          </w:tcPr>
          <w:p w:rsidR="00E96AA2" w:rsidRPr="00FF6734" w:rsidRDefault="00E96AA2" w:rsidP="00863AD2">
            <w:pPr>
              <w:jc w:val="center"/>
            </w:pPr>
            <w:r w:rsidRPr="00FF6734">
              <w:t>143</w:t>
            </w:r>
          </w:p>
        </w:tc>
        <w:tc>
          <w:tcPr>
            <w:tcW w:w="671" w:type="dxa"/>
            <w:noWrap/>
            <w:hideMark/>
          </w:tcPr>
          <w:p w:rsidR="00E96AA2" w:rsidRPr="00FF6734" w:rsidRDefault="00E96AA2" w:rsidP="00863AD2">
            <w:pPr>
              <w:jc w:val="center"/>
            </w:pPr>
            <w:r w:rsidRPr="00FF6734">
              <w:t>144</w:t>
            </w:r>
          </w:p>
        </w:tc>
        <w:tc>
          <w:tcPr>
            <w:tcW w:w="793" w:type="dxa"/>
            <w:noWrap/>
            <w:hideMark/>
          </w:tcPr>
          <w:p w:rsidR="00E96AA2" w:rsidRPr="00FF6734" w:rsidRDefault="00E96AA2" w:rsidP="00863AD2">
            <w:pPr>
              <w:jc w:val="center"/>
            </w:pPr>
            <w:r w:rsidRPr="00FF6734">
              <w:t>147</w:t>
            </w:r>
          </w:p>
        </w:tc>
        <w:tc>
          <w:tcPr>
            <w:tcW w:w="785" w:type="dxa"/>
            <w:noWrap/>
            <w:hideMark/>
          </w:tcPr>
          <w:p w:rsidR="00E96AA2" w:rsidRPr="00FF6734" w:rsidRDefault="00E96AA2" w:rsidP="00863AD2">
            <w:pPr>
              <w:jc w:val="center"/>
            </w:pPr>
            <w:r w:rsidRPr="00FF6734">
              <w:t>147</w:t>
            </w:r>
          </w:p>
        </w:tc>
        <w:tc>
          <w:tcPr>
            <w:tcW w:w="630" w:type="dxa"/>
            <w:noWrap/>
            <w:hideMark/>
          </w:tcPr>
          <w:p w:rsidR="00E96AA2" w:rsidRPr="00FF6734" w:rsidRDefault="00E96AA2" w:rsidP="00863AD2">
            <w:pPr>
              <w:jc w:val="center"/>
            </w:pPr>
            <w:r w:rsidRPr="00FF6734">
              <w:t>150</w:t>
            </w:r>
          </w:p>
        </w:tc>
        <w:tc>
          <w:tcPr>
            <w:tcW w:w="714" w:type="dxa"/>
            <w:noWrap/>
            <w:hideMark/>
          </w:tcPr>
          <w:p w:rsidR="00E96AA2" w:rsidRPr="00FF6734" w:rsidRDefault="00E96AA2" w:rsidP="00863AD2">
            <w:pPr>
              <w:jc w:val="center"/>
            </w:pPr>
            <w:r w:rsidRPr="00FF6734">
              <w:t>155</w:t>
            </w:r>
          </w:p>
        </w:tc>
        <w:tc>
          <w:tcPr>
            <w:tcW w:w="630" w:type="dxa"/>
            <w:noWrap/>
            <w:hideMark/>
          </w:tcPr>
          <w:p w:rsidR="00E96AA2" w:rsidRPr="00FF6734" w:rsidRDefault="00E96AA2" w:rsidP="00863AD2">
            <w:pPr>
              <w:jc w:val="center"/>
            </w:pPr>
            <w:r w:rsidRPr="00FF6734">
              <w:t>161</w:t>
            </w:r>
          </w:p>
        </w:tc>
        <w:tc>
          <w:tcPr>
            <w:tcW w:w="632" w:type="dxa"/>
            <w:noWrap/>
            <w:hideMark/>
          </w:tcPr>
          <w:p w:rsidR="00E96AA2" w:rsidRPr="00FF6734" w:rsidRDefault="00E96AA2" w:rsidP="00863AD2">
            <w:pPr>
              <w:jc w:val="center"/>
            </w:pPr>
            <w:r w:rsidRPr="00FF6734">
              <w:t>171</w:t>
            </w:r>
          </w:p>
        </w:tc>
        <w:tc>
          <w:tcPr>
            <w:tcW w:w="630" w:type="dxa"/>
            <w:noWrap/>
            <w:hideMark/>
          </w:tcPr>
          <w:p w:rsidR="00E96AA2" w:rsidRPr="00FF6734" w:rsidRDefault="00E96AA2" w:rsidP="00863AD2">
            <w:pPr>
              <w:jc w:val="center"/>
            </w:pPr>
            <w:r w:rsidRPr="00FF6734">
              <w:t>192</w:t>
            </w:r>
          </w:p>
        </w:tc>
      </w:tr>
      <w:tr w:rsidR="00E96AA2" w:rsidRPr="00FF6734" w:rsidTr="00E96AA2">
        <w:trPr>
          <w:trHeight w:val="300"/>
        </w:trPr>
        <w:tc>
          <w:tcPr>
            <w:tcW w:w="1509" w:type="dxa"/>
            <w:noWrap/>
            <w:hideMark/>
          </w:tcPr>
          <w:p w:rsidR="00E96AA2" w:rsidRPr="00FF6734" w:rsidRDefault="00E96AA2" w:rsidP="00863AD2">
            <w:pPr>
              <w:jc w:val="center"/>
            </w:pPr>
            <w:r w:rsidRPr="00FF6734">
              <w:t>Суперма</w:t>
            </w:r>
            <w:r w:rsidRPr="00FF6734">
              <w:t>р</w:t>
            </w:r>
            <w:r w:rsidRPr="00FF6734">
              <w:t>кеты</w:t>
            </w:r>
          </w:p>
        </w:tc>
        <w:tc>
          <w:tcPr>
            <w:tcW w:w="630" w:type="dxa"/>
            <w:noWrap/>
            <w:hideMark/>
          </w:tcPr>
          <w:p w:rsidR="00E96AA2" w:rsidRPr="00FF6734" w:rsidRDefault="00E96AA2" w:rsidP="00863AD2">
            <w:pPr>
              <w:jc w:val="center"/>
            </w:pPr>
            <w:r w:rsidRPr="00FF6734">
              <w:t>32</w:t>
            </w:r>
          </w:p>
        </w:tc>
        <w:tc>
          <w:tcPr>
            <w:tcW w:w="637" w:type="dxa"/>
            <w:noWrap/>
            <w:hideMark/>
          </w:tcPr>
          <w:p w:rsidR="00E96AA2" w:rsidRPr="00FF6734" w:rsidRDefault="00E96AA2" w:rsidP="00863AD2">
            <w:pPr>
              <w:jc w:val="center"/>
            </w:pPr>
            <w:r w:rsidRPr="00FF6734">
              <w:t>33</w:t>
            </w:r>
          </w:p>
        </w:tc>
        <w:tc>
          <w:tcPr>
            <w:tcW w:w="663" w:type="dxa"/>
            <w:noWrap/>
            <w:hideMark/>
          </w:tcPr>
          <w:p w:rsidR="00E96AA2" w:rsidRPr="00FF6734" w:rsidRDefault="00E96AA2" w:rsidP="00863AD2">
            <w:pPr>
              <w:jc w:val="center"/>
            </w:pPr>
            <w:r w:rsidRPr="00FF6734">
              <w:t>38</w:t>
            </w:r>
          </w:p>
        </w:tc>
        <w:tc>
          <w:tcPr>
            <w:tcW w:w="647" w:type="dxa"/>
            <w:noWrap/>
            <w:hideMark/>
          </w:tcPr>
          <w:p w:rsidR="00E96AA2" w:rsidRPr="00FF6734" w:rsidRDefault="00E96AA2" w:rsidP="00863AD2">
            <w:pPr>
              <w:jc w:val="center"/>
            </w:pPr>
            <w:r w:rsidRPr="00FF6734">
              <w:t>40</w:t>
            </w:r>
          </w:p>
        </w:tc>
        <w:tc>
          <w:tcPr>
            <w:tcW w:w="671" w:type="dxa"/>
            <w:noWrap/>
            <w:hideMark/>
          </w:tcPr>
          <w:p w:rsidR="00E96AA2" w:rsidRPr="00FF6734" w:rsidRDefault="00E96AA2" w:rsidP="00863AD2">
            <w:pPr>
              <w:jc w:val="center"/>
            </w:pPr>
            <w:r w:rsidRPr="00FF6734">
              <w:t>41</w:t>
            </w:r>
          </w:p>
        </w:tc>
        <w:tc>
          <w:tcPr>
            <w:tcW w:w="793" w:type="dxa"/>
            <w:noWrap/>
            <w:hideMark/>
          </w:tcPr>
          <w:p w:rsidR="00E96AA2" w:rsidRPr="00FF6734" w:rsidRDefault="00E96AA2" w:rsidP="00863AD2">
            <w:pPr>
              <w:jc w:val="center"/>
            </w:pPr>
            <w:r w:rsidRPr="00FF6734">
              <w:t>42</w:t>
            </w:r>
          </w:p>
        </w:tc>
        <w:tc>
          <w:tcPr>
            <w:tcW w:w="785" w:type="dxa"/>
            <w:noWrap/>
            <w:hideMark/>
          </w:tcPr>
          <w:p w:rsidR="00E96AA2" w:rsidRPr="00FF6734" w:rsidRDefault="00E96AA2" w:rsidP="00863AD2">
            <w:pPr>
              <w:jc w:val="center"/>
            </w:pPr>
            <w:r w:rsidRPr="00FF6734">
              <w:t>42</w:t>
            </w:r>
          </w:p>
        </w:tc>
        <w:tc>
          <w:tcPr>
            <w:tcW w:w="630" w:type="dxa"/>
            <w:noWrap/>
            <w:hideMark/>
          </w:tcPr>
          <w:p w:rsidR="00E96AA2" w:rsidRPr="00FF6734" w:rsidRDefault="00E96AA2" w:rsidP="00863AD2">
            <w:pPr>
              <w:jc w:val="center"/>
            </w:pPr>
            <w:r w:rsidRPr="00FF6734">
              <w:t>43</w:t>
            </w:r>
          </w:p>
        </w:tc>
        <w:tc>
          <w:tcPr>
            <w:tcW w:w="714" w:type="dxa"/>
            <w:noWrap/>
            <w:hideMark/>
          </w:tcPr>
          <w:p w:rsidR="00E96AA2" w:rsidRPr="00FF6734" w:rsidRDefault="00E96AA2" w:rsidP="00863AD2">
            <w:pPr>
              <w:jc w:val="center"/>
            </w:pPr>
            <w:r w:rsidRPr="00FF6734">
              <w:t>42</w:t>
            </w:r>
          </w:p>
        </w:tc>
        <w:tc>
          <w:tcPr>
            <w:tcW w:w="630" w:type="dxa"/>
            <w:noWrap/>
            <w:hideMark/>
          </w:tcPr>
          <w:p w:rsidR="00E96AA2" w:rsidRPr="00FF6734" w:rsidRDefault="00E96AA2" w:rsidP="00863AD2">
            <w:pPr>
              <w:jc w:val="center"/>
            </w:pPr>
            <w:r w:rsidRPr="00FF6734">
              <w:t>42</w:t>
            </w:r>
          </w:p>
        </w:tc>
        <w:tc>
          <w:tcPr>
            <w:tcW w:w="632" w:type="dxa"/>
            <w:noWrap/>
            <w:hideMark/>
          </w:tcPr>
          <w:p w:rsidR="00E96AA2" w:rsidRPr="00FF6734" w:rsidRDefault="00E96AA2" w:rsidP="00863AD2">
            <w:pPr>
              <w:jc w:val="center"/>
            </w:pPr>
            <w:r w:rsidRPr="00FF6734">
              <w:t>43</w:t>
            </w:r>
          </w:p>
        </w:tc>
        <w:tc>
          <w:tcPr>
            <w:tcW w:w="630" w:type="dxa"/>
            <w:noWrap/>
            <w:hideMark/>
          </w:tcPr>
          <w:p w:rsidR="00E96AA2" w:rsidRPr="00FF6734" w:rsidRDefault="00E96AA2" w:rsidP="00863AD2">
            <w:pPr>
              <w:jc w:val="center"/>
            </w:pPr>
            <w:r w:rsidRPr="00FF6734">
              <w:t>50</w:t>
            </w:r>
          </w:p>
        </w:tc>
      </w:tr>
    </w:tbl>
    <w:p w:rsidR="00E96AA2" w:rsidRDefault="00E96AA2" w:rsidP="00E96AA2">
      <w:pPr>
        <w:jc w:val="center"/>
      </w:pPr>
      <w:r>
        <w:t xml:space="preserve">Составлено </w:t>
      </w:r>
      <w:proofErr w:type="gramStart"/>
      <w:r>
        <w:t>по</w:t>
      </w:r>
      <w:proofErr w:type="gramEnd"/>
      <w:r>
        <w:t xml:space="preserve">: </w:t>
      </w:r>
      <w:r w:rsidRPr="00BD2B2D">
        <w:t>внутренняя учетная документация</w:t>
      </w:r>
    </w:p>
    <w:p w:rsidR="00863AD2" w:rsidRDefault="00863AD2" w:rsidP="00C836A9">
      <w:pPr>
        <w:spacing w:line="360" w:lineRule="auto"/>
        <w:ind w:firstLine="567"/>
        <w:contextualSpacing/>
        <w:jc w:val="both"/>
      </w:pPr>
      <w:r>
        <w:t>Хоть продажи и выросли за счет увеличения количества магазинов, наблюдается ожидаемо</w:t>
      </w:r>
      <w:r w:rsidR="00660AFC">
        <w:t>е уменьшение выручки на магазин, так как «Лента</w:t>
      </w:r>
      <w:r w:rsidR="00090765">
        <w:t>»</w:t>
      </w:r>
      <w:r w:rsidR="00660AFC">
        <w:t xml:space="preserve"> проводит активную экспа</w:t>
      </w:r>
      <w:r w:rsidR="00660AFC">
        <w:t>н</w:t>
      </w:r>
      <w:r w:rsidR="00660AFC">
        <w:t>сию на рынки новых регионов</w:t>
      </w:r>
      <w:r w:rsidR="00262A1A">
        <w:t xml:space="preserve"> (табл.</w:t>
      </w:r>
      <w:r w:rsidR="00E708FA">
        <w:t xml:space="preserve"> 3.2</w:t>
      </w:r>
      <w:r w:rsidR="00262A1A">
        <w:t>)</w:t>
      </w:r>
      <w:r w:rsidR="00660AFC">
        <w:t>.</w:t>
      </w:r>
      <w:r w:rsidR="007122D3">
        <w:t xml:space="preserve"> </w:t>
      </w:r>
      <w:r w:rsidR="007122D3" w:rsidRPr="007122D3">
        <w:t>Для гипермаркета в среднем требуется от 3 лет, чтобы выйти на стабильный у</w:t>
      </w:r>
      <w:r w:rsidR="007122D3">
        <w:t>ровень продаж с ростом 5% в год, поэтому в</w:t>
      </w:r>
      <w:r w:rsidR="007122D3" w:rsidRPr="007122D3">
        <w:t xml:space="preserve"> условиях п</w:t>
      </w:r>
      <w:r w:rsidR="007122D3" w:rsidRPr="007122D3">
        <w:t>о</w:t>
      </w:r>
      <w:r w:rsidR="007122D3" w:rsidRPr="007122D3">
        <w:t>стоянного роста количества магазинов общий показатель выручки на магазин будет п</w:t>
      </w:r>
      <w:r w:rsidR="007122D3" w:rsidRPr="007122D3">
        <w:t>а</w:t>
      </w:r>
      <w:r w:rsidR="007122D3" w:rsidRPr="007122D3">
        <w:t>дать.</w:t>
      </w:r>
      <w:r w:rsidR="003F6117">
        <w:t xml:space="preserve"> </w:t>
      </w:r>
      <w:proofErr w:type="gramStart"/>
      <w:r w:rsidR="003F6117">
        <w:t xml:space="preserve">Согласно статистике роста продаж, в первый год </w:t>
      </w:r>
      <w:r w:rsidR="00381368">
        <w:t>функ</w:t>
      </w:r>
      <w:r w:rsidR="003F6117">
        <w:t>ционирования на рынке маг</w:t>
      </w:r>
      <w:r w:rsidR="003F6117">
        <w:t>а</w:t>
      </w:r>
      <w:r w:rsidR="003F6117">
        <w:t>зин растет в среднем на 50%, во второй год на 20-25%, в третий растет на 10%, и в дал</w:t>
      </w:r>
      <w:r w:rsidR="003F6117">
        <w:t>ь</w:t>
      </w:r>
      <w:r w:rsidR="003F6117">
        <w:t>нейшем на 5%. Тем не менее, некоторые магазины, которые «Лента» приобрела, функц</w:t>
      </w:r>
      <w:r w:rsidR="003F6117">
        <w:t>и</w:t>
      </w:r>
      <w:r w:rsidR="003F6117">
        <w:t>онируют с 2013 года, следовательно</w:t>
      </w:r>
      <w:r w:rsidR="00E708FA">
        <w:t>,</w:t>
      </w:r>
      <w:r w:rsidR="003F6117">
        <w:t xml:space="preserve"> стремительного прироста продаж в дальнейшем не ожидается.  </w:t>
      </w:r>
      <w:proofErr w:type="gramEnd"/>
    </w:p>
    <w:p w:rsidR="00090765" w:rsidRDefault="00090765" w:rsidP="00090765">
      <w:pPr>
        <w:spacing w:line="360" w:lineRule="auto"/>
        <w:ind w:firstLine="567"/>
        <w:contextualSpacing/>
        <w:jc w:val="right"/>
        <w:rPr>
          <w:i/>
        </w:rPr>
      </w:pPr>
      <w:r w:rsidRPr="00090765">
        <w:rPr>
          <w:i/>
        </w:rPr>
        <w:t xml:space="preserve">Таблица </w:t>
      </w:r>
      <w:r w:rsidR="00E708FA">
        <w:rPr>
          <w:i/>
        </w:rPr>
        <w:t>3.3</w:t>
      </w:r>
    </w:p>
    <w:p w:rsidR="00090765" w:rsidRPr="00090765" w:rsidRDefault="00090765" w:rsidP="00090765">
      <w:pPr>
        <w:spacing w:line="360" w:lineRule="auto"/>
        <w:ind w:firstLine="567"/>
        <w:contextualSpacing/>
        <w:jc w:val="center"/>
        <w:rPr>
          <w:b/>
        </w:rPr>
      </w:pPr>
      <w:r w:rsidRPr="00090765">
        <w:rPr>
          <w:b/>
        </w:rPr>
        <w:t xml:space="preserve">Анализ продаж </w:t>
      </w:r>
      <w:r w:rsidR="00661AB3">
        <w:rPr>
          <w:b/>
        </w:rPr>
        <w:t xml:space="preserve">всех </w:t>
      </w:r>
      <w:r w:rsidRPr="00090765">
        <w:rPr>
          <w:b/>
        </w:rPr>
        <w:t>гипермаркетов</w:t>
      </w:r>
      <w:r w:rsidR="00661AB3">
        <w:rPr>
          <w:b/>
        </w:rPr>
        <w:t xml:space="preserve"> «Лента»</w:t>
      </w:r>
      <w:r w:rsidRPr="00090765">
        <w:rPr>
          <w:b/>
        </w:rPr>
        <w:t xml:space="preserve">, тыс. </w:t>
      </w:r>
      <w:proofErr w:type="spellStart"/>
      <w:r w:rsidRPr="00090765">
        <w:rPr>
          <w:b/>
        </w:rPr>
        <w:t>руб</w:t>
      </w:r>
      <w:proofErr w:type="spellEnd"/>
    </w:p>
    <w:tbl>
      <w:tblPr>
        <w:tblW w:w="8678" w:type="dxa"/>
        <w:jc w:val="center"/>
        <w:tblLook w:val="04A0" w:firstRow="1" w:lastRow="0" w:firstColumn="1" w:lastColumn="0" w:noHBand="0" w:noVBand="1"/>
      </w:tblPr>
      <w:tblGrid>
        <w:gridCol w:w="3827"/>
        <w:gridCol w:w="1530"/>
        <w:gridCol w:w="1476"/>
        <w:gridCol w:w="1845"/>
      </w:tblGrid>
      <w:tr w:rsidR="00863AD2" w:rsidRPr="008F5EE2" w:rsidTr="00863AD2">
        <w:trPr>
          <w:trHeight w:val="300"/>
          <w:jc w:val="center"/>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AD2" w:rsidRPr="008F5EE2" w:rsidRDefault="00863AD2" w:rsidP="00863AD2">
            <w:pPr>
              <w:rPr>
                <w:i/>
                <w:color w:val="000000"/>
              </w:rPr>
            </w:pPr>
            <w:r w:rsidRPr="008F5EE2">
              <w:rPr>
                <w:i/>
                <w:color w:val="000000"/>
              </w:rPr>
              <w:t>Выручка от продаж, итого</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63AD2" w:rsidRPr="008F5EE2" w:rsidRDefault="00863AD2" w:rsidP="00863AD2">
            <w:pPr>
              <w:jc w:val="right"/>
              <w:rPr>
                <w:i/>
                <w:color w:val="000000"/>
              </w:rPr>
            </w:pPr>
            <w:r w:rsidRPr="008F5EE2">
              <w:rPr>
                <w:i/>
                <w:color w:val="000000"/>
              </w:rPr>
              <w:t>2017</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863AD2" w:rsidRPr="008F5EE2" w:rsidRDefault="00863AD2" w:rsidP="00863AD2">
            <w:pPr>
              <w:jc w:val="right"/>
              <w:rPr>
                <w:i/>
                <w:color w:val="000000"/>
              </w:rPr>
            </w:pPr>
            <w:r w:rsidRPr="008F5EE2">
              <w:rPr>
                <w:i/>
                <w:color w:val="000000"/>
              </w:rPr>
              <w:t>2016</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863AD2" w:rsidRPr="008F5EE2" w:rsidRDefault="00863AD2" w:rsidP="00863AD2">
            <w:pPr>
              <w:rPr>
                <w:i/>
                <w:color w:val="000000"/>
              </w:rPr>
            </w:pPr>
            <w:r w:rsidRPr="008F5EE2">
              <w:rPr>
                <w:i/>
                <w:color w:val="000000"/>
              </w:rPr>
              <w:t>Изменение, %</w:t>
            </w:r>
          </w:p>
        </w:tc>
      </w:tr>
      <w:tr w:rsidR="00863AD2" w:rsidRPr="00863AD2" w:rsidTr="00863AD2">
        <w:trPr>
          <w:trHeight w:val="359"/>
          <w:jc w:val="center"/>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863AD2" w:rsidRPr="00863AD2" w:rsidRDefault="00863AD2" w:rsidP="00660AFC">
            <w:pPr>
              <w:jc w:val="center"/>
              <w:rPr>
                <w:color w:val="000000"/>
              </w:rPr>
            </w:pPr>
            <w:r>
              <w:rPr>
                <w:color w:val="000000"/>
              </w:rPr>
              <w:t>В</w:t>
            </w:r>
            <w:r w:rsidRPr="00863AD2">
              <w:rPr>
                <w:color w:val="000000"/>
              </w:rPr>
              <w:t>ыручка от продаж гипермаркетов</w:t>
            </w:r>
          </w:p>
        </w:tc>
        <w:tc>
          <w:tcPr>
            <w:tcW w:w="1530" w:type="dxa"/>
            <w:tcBorders>
              <w:top w:val="nil"/>
              <w:left w:val="nil"/>
              <w:bottom w:val="single" w:sz="4" w:space="0" w:color="auto"/>
              <w:right w:val="single" w:sz="4" w:space="0" w:color="auto"/>
            </w:tcBorders>
            <w:shd w:val="clear" w:color="auto" w:fill="auto"/>
            <w:noWrap/>
            <w:hideMark/>
          </w:tcPr>
          <w:p w:rsidR="00863AD2" w:rsidRPr="00863AD2" w:rsidRDefault="00090765" w:rsidP="00863AD2">
            <w:pPr>
              <w:jc w:val="center"/>
            </w:pPr>
            <w:r>
              <w:t>346576472</w:t>
            </w:r>
          </w:p>
        </w:tc>
        <w:tc>
          <w:tcPr>
            <w:tcW w:w="1476" w:type="dxa"/>
            <w:tcBorders>
              <w:top w:val="nil"/>
              <w:left w:val="nil"/>
              <w:bottom w:val="single" w:sz="4" w:space="0" w:color="auto"/>
              <w:right w:val="single" w:sz="4" w:space="0" w:color="auto"/>
            </w:tcBorders>
            <w:shd w:val="clear" w:color="auto" w:fill="auto"/>
            <w:noWrap/>
            <w:hideMark/>
          </w:tcPr>
          <w:p w:rsidR="00863AD2" w:rsidRPr="00863AD2" w:rsidRDefault="00090765" w:rsidP="00863AD2">
            <w:pPr>
              <w:jc w:val="center"/>
            </w:pPr>
            <w:r>
              <w:t>292623243</w:t>
            </w:r>
          </w:p>
        </w:tc>
        <w:tc>
          <w:tcPr>
            <w:tcW w:w="1845" w:type="dxa"/>
            <w:tcBorders>
              <w:top w:val="nil"/>
              <w:left w:val="nil"/>
              <w:bottom w:val="single" w:sz="4" w:space="0" w:color="auto"/>
              <w:right w:val="single" w:sz="4" w:space="0" w:color="auto"/>
            </w:tcBorders>
            <w:shd w:val="clear" w:color="auto" w:fill="auto"/>
            <w:noWrap/>
            <w:vAlign w:val="bottom"/>
            <w:hideMark/>
          </w:tcPr>
          <w:p w:rsidR="00863AD2" w:rsidRPr="00863AD2" w:rsidRDefault="00863AD2" w:rsidP="00863AD2">
            <w:pPr>
              <w:jc w:val="center"/>
              <w:rPr>
                <w:color w:val="000000"/>
              </w:rPr>
            </w:pPr>
            <w:r w:rsidRPr="00863AD2">
              <w:rPr>
                <w:color w:val="000000"/>
              </w:rPr>
              <w:t>0,184378</w:t>
            </w:r>
          </w:p>
        </w:tc>
      </w:tr>
      <w:tr w:rsidR="00863AD2" w:rsidRPr="00863AD2" w:rsidTr="00863AD2">
        <w:trPr>
          <w:trHeight w:val="300"/>
          <w:jc w:val="center"/>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863AD2" w:rsidRPr="00863AD2" w:rsidRDefault="00863AD2" w:rsidP="00863AD2">
            <w:pPr>
              <w:rPr>
                <w:color w:val="000000"/>
              </w:rPr>
            </w:pPr>
            <w:r>
              <w:rPr>
                <w:color w:val="000000"/>
              </w:rPr>
              <w:t>С</w:t>
            </w:r>
            <w:r w:rsidRPr="00863AD2">
              <w:rPr>
                <w:color w:val="000000"/>
              </w:rPr>
              <w:t>реднее кол-во ГМ</w:t>
            </w:r>
          </w:p>
        </w:tc>
        <w:tc>
          <w:tcPr>
            <w:tcW w:w="1530" w:type="dxa"/>
            <w:tcBorders>
              <w:top w:val="nil"/>
              <w:left w:val="nil"/>
              <w:bottom w:val="single" w:sz="4" w:space="0" w:color="auto"/>
              <w:right w:val="single" w:sz="4" w:space="0" w:color="auto"/>
            </w:tcBorders>
            <w:shd w:val="clear" w:color="auto" w:fill="auto"/>
            <w:noWrap/>
            <w:vAlign w:val="bottom"/>
            <w:hideMark/>
          </w:tcPr>
          <w:p w:rsidR="00863AD2" w:rsidRPr="00863AD2" w:rsidRDefault="00863AD2" w:rsidP="00863AD2">
            <w:pPr>
              <w:jc w:val="center"/>
              <w:rPr>
                <w:color w:val="000000"/>
              </w:rPr>
            </w:pPr>
            <w:r w:rsidRPr="00863AD2">
              <w:rPr>
                <w:color w:val="000000"/>
              </w:rPr>
              <w:t>201</w:t>
            </w:r>
          </w:p>
        </w:tc>
        <w:tc>
          <w:tcPr>
            <w:tcW w:w="1476" w:type="dxa"/>
            <w:tcBorders>
              <w:top w:val="nil"/>
              <w:left w:val="nil"/>
              <w:bottom w:val="single" w:sz="4" w:space="0" w:color="auto"/>
              <w:right w:val="single" w:sz="4" w:space="0" w:color="auto"/>
            </w:tcBorders>
            <w:shd w:val="clear" w:color="auto" w:fill="auto"/>
            <w:noWrap/>
            <w:vAlign w:val="bottom"/>
            <w:hideMark/>
          </w:tcPr>
          <w:p w:rsidR="00863AD2" w:rsidRPr="00863AD2" w:rsidRDefault="00863AD2" w:rsidP="00863AD2">
            <w:pPr>
              <w:jc w:val="center"/>
              <w:rPr>
                <w:color w:val="000000"/>
              </w:rPr>
            </w:pPr>
            <w:r w:rsidRPr="00863AD2">
              <w:rPr>
                <w:color w:val="000000"/>
              </w:rPr>
              <w:t>153</w:t>
            </w:r>
          </w:p>
        </w:tc>
        <w:tc>
          <w:tcPr>
            <w:tcW w:w="1845" w:type="dxa"/>
            <w:tcBorders>
              <w:top w:val="nil"/>
              <w:left w:val="nil"/>
              <w:bottom w:val="single" w:sz="4" w:space="0" w:color="auto"/>
              <w:right w:val="single" w:sz="4" w:space="0" w:color="auto"/>
            </w:tcBorders>
            <w:shd w:val="clear" w:color="auto" w:fill="auto"/>
            <w:noWrap/>
            <w:vAlign w:val="bottom"/>
            <w:hideMark/>
          </w:tcPr>
          <w:p w:rsidR="00863AD2" w:rsidRPr="00863AD2" w:rsidRDefault="00863AD2" w:rsidP="00863AD2">
            <w:pPr>
              <w:jc w:val="center"/>
              <w:rPr>
                <w:color w:val="000000"/>
              </w:rPr>
            </w:pPr>
            <w:r w:rsidRPr="00863AD2">
              <w:rPr>
                <w:color w:val="000000"/>
              </w:rPr>
              <w:t>0,313725</w:t>
            </w:r>
          </w:p>
        </w:tc>
      </w:tr>
      <w:tr w:rsidR="00863AD2" w:rsidRPr="00863AD2" w:rsidTr="00863AD2">
        <w:trPr>
          <w:trHeight w:val="300"/>
          <w:jc w:val="center"/>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863AD2" w:rsidRPr="00863AD2" w:rsidRDefault="00863AD2" w:rsidP="00863AD2">
            <w:pPr>
              <w:rPr>
                <w:color w:val="000000"/>
              </w:rPr>
            </w:pPr>
            <w:r>
              <w:rPr>
                <w:color w:val="000000"/>
              </w:rPr>
              <w:t>В</w:t>
            </w:r>
            <w:r w:rsidRPr="00863AD2">
              <w:rPr>
                <w:color w:val="000000"/>
              </w:rPr>
              <w:t>ыручка на 1 гипермаркет</w:t>
            </w:r>
          </w:p>
        </w:tc>
        <w:tc>
          <w:tcPr>
            <w:tcW w:w="1530" w:type="dxa"/>
            <w:tcBorders>
              <w:top w:val="nil"/>
              <w:left w:val="nil"/>
              <w:bottom w:val="single" w:sz="4" w:space="0" w:color="auto"/>
              <w:right w:val="single" w:sz="4" w:space="0" w:color="auto"/>
            </w:tcBorders>
            <w:shd w:val="clear" w:color="auto" w:fill="auto"/>
            <w:noWrap/>
            <w:vAlign w:val="bottom"/>
            <w:hideMark/>
          </w:tcPr>
          <w:p w:rsidR="00863AD2" w:rsidRPr="00863AD2" w:rsidRDefault="00863AD2" w:rsidP="00863AD2">
            <w:pPr>
              <w:jc w:val="center"/>
              <w:rPr>
                <w:color w:val="000000"/>
              </w:rPr>
            </w:pPr>
            <w:r w:rsidRPr="00863AD2">
              <w:rPr>
                <w:color w:val="000000"/>
              </w:rPr>
              <w:t>1724261</w:t>
            </w:r>
          </w:p>
        </w:tc>
        <w:tc>
          <w:tcPr>
            <w:tcW w:w="1476" w:type="dxa"/>
            <w:tcBorders>
              <w:top w:val="nil"/>
              <w:left w:val="nil"/>
              <w:bottom w:val="single" w:sz="4" w:space="0" w:color="auto"/>
              <w:right w:val="single" w:sz="4" w:space="0" w:color="auto"/>
            </w:tcBorders>
            <w:shd w:val="clear" w:color="auto" w:fill="auto"/>
            <w:noWrap/>
            <w:vAlign w:val="bottom"/>
            <w:hideMark/>
          </w:tcPr>
          <w:p w:rsidR="00863AD2" w:rsidRPr="00863AD2" w:rsidRDefault="00863AD2" w:rsidP="00863AD2">
            <w:pPr>
              <w:jc w:val="center"/>
              <w:rPr>
                <w:color w:val="000000"/>
              </w:rPr>
            </w:pPr>
            <w:r w:rsidRPr="00863AD2">
              <w:rPr>
                <w:color w:val="000000"/>
              </w:rPr>
              <w:t>1912570</w:t>
            </w:r>
          </w:p>
        </w:tc>
        <w:tc>
          <w:tcPr>
            <w:tcW w:w="1845" w:type="dxa"/>
            <w:tcBorders>
              <w:top w:val="nil"/>
              <w:left w:val="nil"/>
              <w:bottom w:val="single" w:sz="4" w:space="0" w:color="auto"/>
              <w:right w:val="single" w:sz="4" w:space="0" w:color="auto"/>
            </w:tcBorders>
            <w:shd w:val="clear" w:color="auto" w:fill="auto"/>
            <w:noWrap/>
            <w:vAlign w:val="bottom"/>
            <w:hideMark/>
          </w:tcPr>
          <w:p w:rsidR="00863AD2" w:rsidRPr="00863AD2" w:rsidRDefault="00863AD2" w:rsidP="00863AD2">
            <w:pPr>
              <w:jc w:val="center"/>
              <w:rPr>
                <w:color w:val="000000"/>
              </w:rPr>
            </w:pPr>
            <w:r w:rsidRPr="00863AD2">
              <w:rPr>
                <w:color w:val="000000"/>
              </w:rPr>
              <w:t>-0,09846</w:t>
            </w:r>
          </w:p>
        </w:tc>
      </w:tr>
    </w:tbl>
    <w:p w:rsidR="00E96AA2" w:rsidRDefault="00090765" w:rsidP="00090765">
      <w:pPr>
        <w:jc w:val="center"/>
      </w:pPr>
      <w:r>
        <w:t xml:space="preserve">Составлено </w:t>
      </w:r>
      <w:proofErr w:type="gramStart"/>
      <w:r>
        <w:t>по</w:t>
      </w:r>
      <w:proofErr w:type="gramEnd"/>
      <w:r>
        <w:t xml:space="preserve">: </w:t>
      </w:r>
      <w:r w:rsidRPr="00BD2B2D">
        <w:t>внутренняя учетная документация</w:t>
      </w:r>
    </w:p>
    <w:p w:rsidR="003F6117" w:rsidRPr="00863AD2" w:rsidRDefault="00F265E1" w:rsidP="00F265E1">
      <w:pPr>
        <w:spacing w:line="360" w:lineRule="auto"/>
        <w:ind w:firstLine="567"/>
        <w:contextualSpacing/>
        <w:jc w:val="both"/>
      </w:pPr>
      <w:r>
        <w:t>Рассматривая в целом динамику прибыли</w:t>
      </w:r>
      <w:r w:rsidR="00A17547">
        <w:t xml:space="preserve"> до и после слияния</w:t>
      </w:r>
      <w:r w:rsidRPr="00F265E1">
        <w:t xml:space="preserve">, </w:t>
      </w:r>
      <w:r w:rsidR="00A17547">
        <w:t xml:space="preserve">можно отметить, что </w:t>
      </w:r>
      <w:r w:rsidRPr="00F265E1">
        <w:t>линия тренда сохраняется, наблюдается рост продаж в связи с увеличением количества магазинов. Увеличение продаж в феврале по сравнению с январем связано с тем, что в я</w:t>
      </w:r>
      <w:r w:rsidRPr="00F265E1">
        <w:t>н</w:t>
      </w:r>
      <w:r w:rsidRPr="00F265E1">
        <w:t xml:space="preserve">варе потребители не особо активно покупают продукты после новогодних праздников. </w:t>
      </w:r>
      <w:r w:rsidRPr="00F265E1">
        <w:lastRenderedPageBreak/>
        <w:t xml:space="preserve">Увеличение в марте по сравнению с февралем  объясняется тем, что февраль – короткий месяц, кроме того повышенный спрос в марте из-за </w:t>
      </w:r>
      <w:r w:rsidRPr="009C0E15">
        <w:rPr>
          <w:highlight w:val="yellow"/>
        </w:rPr>
        <w:t>"Женского дня"</w:t>
      </w:r>
      <w:r w:rsidRPr="00F265E1">
        <w:t xml:space="preserve">. В декабре продажи снова резко увеличиваются, </w:t>
      </w:r>
      <w:r w:rsidR="005D0AC0">
        <w:t xml:space="preserve">тем не менее, рост в последний месяц не так заметен из-за </w:t>
      </w:r>
      <w:r w:rsidR="00BC1104">
        <w:t xml:space="preserve">общей вместительности рынка в условиях повышенного спроса. </w:t>
      </w:r>
      <w:r w:rsidR="005C3586">
        <w:t>В общей сложности, э</w:t>
      </w:r>
      <w:r w:rsidRPr="00F265E1">
        <w:t>ф</w:t>
      </w:r>
      <w:r w:rsidRPr="00F265E1">
        <w:t>фект от увеличе</w:t>
      </w:r>
      <w:r w:rsidR="00A17547">
        <w:t xml:space="preserve">ния количества магазинов </w:t>
      </w:r>
      <w:r w:rsidRPr="00F265E1">
        <w:t xml:space="preserve">очевиден, по сравнению с </w:t>
      </w:r>
      <w:r w:rsidR="002E26AF">
        <w:t xml:space="preserve">12 месяцами </w:t>
      </w:r>
      <w:r w:rsidRPr="00F265E1">
        <w:t>2016 г</w:t>
      </w:r>
      <w:r w:rsidRPr="00F265E1">
        <w:t>о</w:t>
      </w:r>
      <w:r w:rsidRPr="00F265E1">
        <w:t xml:space="preserve">да, прибыль увеличилась на </w:t>
      </w:r>
      <w:r w:rsidR="005C3586">
        <w:t>10</w:t>
      </w:r>
      <w:r w:rsidRPr="00F265E1">
        <w:t>%.</w:t>
      </w:r>
    </w:p>
    <w:p w:rsidR="00726E58" w:rsidRDefault="00726E58" w:rsidP="00726E58">
      <w:pPr>
        <w:contextualSpacing/>
        <w:jc w:val="right"/>
        <w:rPr>
          <w:i/>
        </w:rPr>
      </w:pPr>
      <w:r w:rsidRPr="00726E58">
        <w:rPr>
          <w:i/>
        </w:rPr>
        <w:t xml:space="preserve">Рисунок </w:t>
      </w:r>
      <w:r w:rsidR="00E708FA">
        <w:rPr>
          <w:i/>
        </w:rPr>
        <w:t>3.2</w:t>
      </w:r>
    </w:p>
    <w:p w:rsidR="002E266F" w:rsidRDefault="00A847B8" w:rsidP="00F5629E">
      <w:pPr>
        <w:jc w:val="center"/>
        <w:rPr>
          <w:b/>
        </w:rPr>
      </w:pPr>
      <w:r>
        <w:rPr>
          <w:b/>
        </w:rPr>
        <w:t>Динамика чистой маржи</w:t>
      </w:r>
      <w:r w:rsidR="002E266F" w:rsidRPr="002E266F">
        <w:rPr>
          <w:b/>
        </w:rPr>
        <w:t xml:space="preserve"> </w:t>
      </w:r>
      <w:r w:rsidR="00AA2700">
        <w:rPr>
          <w:b/>
        </w:rPr>
        <w:t xml:space="preserve">БЕ в СПб </w:t>
      </w:r>
      <w:r w:rsidR="002E266F" w:rsidRPr="002E266F">
        <w:rPr>
          <w:b/>
        </w:rPr>
        <w:t xml:space="preserve">за </w:t>
      </w:r>
      <w:r w:rsidR="0047029D">
        <w:rPr>
          <w:b/>
        </w:rPr>
        <w:t>2016 и 2017 гг.</w:t>
      </w:r>
      <w:r w:rsidR="004F385F">
        <w:rPr>
          <w:b/>
        </w:rPr>
        <w:t>, тыс. руб.</w:t>
      </w:r>
    </w:p>
    <w:p w:rsidR="00BC1C82" w:rsidRPr="00BC1C82" w:rsidRDefault="006F26BB" w:rsidP="00BC1C82">
      <w:pPr>
        <w:contextualSpacing/>
        <w:jc w:val="center"/>
        <w:rPr>
          <w:b/>
        </w:rPr>
      </w:pPr>
      <w:r>
        <w:rPr>
          <w:noProof/>
        </w:rPr>
        <w:drawing>
          <wp:inline distT="0" distB="0" distL="0" distR="0" wp14:anchorId="6CFE5A60" wp14:editId="74DE1560">
            <wp:extent cx="5940425" cy="1960727"/>
            <wp:effectExtent l="0" t="0" r="3175" b="19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00076" w:rsidRDefault="00BC1C82" w:rsidP="002A0C51">
      <w:pPr>
        <w:spacing w:line="360" w:lineRule="auto"/>
        <w:contextualSpacing/>
        <w:jc w:val="center"/>
      </w:pPr>
      <w:r>
        <w:t xml:space="preserve">Составлено </w:t>
      </w:r>
      <w:proofErr w:type="gramStart"/>
      <w:r>
        <w:t>по</w:t>
      </w:r>
      <w:proofErr w:type="gramEnd"/>
      <w:r>
        <w:t xml:space="preserve">: </w:t>
      </w:r>
      <w:r w:rsidRPr="00BD2B2D">
        <w:t>внутренняя учетная документация</w:t>
      </w:r>
    </w:p>
    <w:p w:rsidR="00E96AA2" w:rsidRDefault="00E96AA2" w:rsidP="002A0C51">
      <w:pPr>
        <w:spacing w:line="360" w:lineRule="auto"/>
        <w:ind w:firstLine="567"/>
        <w:contextualSpacing/>
        <w:jc w:val="both"/>
      </w:pPr>
      <w:r>
        <w:t xml:space="preserve">Тем не менее, стоит учитывать тот факт, что общий эффект синергии </w:t>
      </w:r>
      <w:r w:rsidR="00BE2C86">
        <w:t>для всей ко</w:t>
      </w:r>
      <w:r w:rsidR="00BE2C86">
        <w:t>м</w:t>
      </w:r>
      <w:r w:rsidR="00BE2C86">
        <w:t xml:space="preserve">пании </w:t>
      </w:r>
      <w:r>
        <w:t>будет нивелироваться за счет того, что помимо приобретенных гипермаркетов «Лента» открыла 41 собственных гипермарке</w:t>
      </w:r>
      <w:r w:rsidR="00A45BEC">
        <w:t>тов (табл.</w:t>
      </w:r>
      <w:r w:rsidR="00E708FA">
        <w:t xml:space="preserve"> 3.2</w:t>
      </w:r>
      <w:r w:rsidR="00A45BEC">
        <w:t xml:space="preserve">). </w:t>
      </w:r>
      <w:proofErr w:type="gramStart"/>
      <w:r w:rsidR="00A45BEC">
        <w:t>Необходимо учитывать тот факт, что приобретенные БЕ еще будут расти в будущем</w:t>
      </w:r>
      <w:r w:rsidR="002A0C51">
        <w:t xml:space="preserve">, </w:t>
      </w:r>
      <w:r w:rsidR="00701305">
        <w:t>следовательно,</w:t>
      </w:r>
      <w:r w:rsidR="00A45BEC">
        <w:t xml:space="preserve"> и синергия в перспективе увеличится, </w:t>
      </w:r>
      <w:r w:rsidR="002A0C51">
        <w:t xml:space="preserve">однако </w:t>
      </w:r>
      <w:r w:rsidR="00A45BEC">
        <w:t xml:space="preserve">уже по </w:t>
      </w:r>
      <w:r w:rsidR="002A0C51">
        <w:t>результа</w:t>
      </w:r>
      <w:r w:rsidR="00A45BEC">
        <w:t>там</w:t>
      </w:r>
      <w:r w:rsidR="002A0C51">
        <w:t xml:space="preserve"> перво</w:t>
      </w:r>
      <w:r w:rsidR="00BE2C86">
        <w:t>го года</w:t>
      </w:r>
      <w:r w:rsidR="002A0C51">
        <w:t xml:space="preserve"> </w:t>
      </w:r>
      <w:r w:rsidR="00A45BEC">
        <w:t>можно судить о пол</w:t>
      </w:r>
      <w:r w:rsidR="00A45BEC">
        <w:t>у</w:t>
      </w:r>
      <w:r w:rsidR="00A45BEC">
        <w:t xml:space="preserve">ченных </w:t>
      </w:r>
      <w:r w:rsidR="00701305">
        <w:t>преимуществах</w:t>
      </w:r>
      <w:r w:rsidR="00BE2C86">
        <w:t xml:space="preserve">, </w:t>
      </w:r>
      <w:r w:rsidR="00E558C2">
        <w:t xml:space="preserve">доля Санкт-Петербургского отделения в общей выручке выросла на </w:t>
      </w:r>
      <w:r w:rsidR="00DF47DD">
        <w:t>3,</w:t>
      </w:r>
      <w:r w:rsidR="00DF49C1">
        <w:t>1</w:t>
      </w:r>
      <w:r w:rsidR="000B104E">
        <w:t xml:space="preserve">% </w:t>
      </w:r>
      <w:r w:rsidR="00E558C2">
        <w:t>до 27%.</w:t>
      </w:r>
      <w:r w:rsidR="00A45BEC">
        <w:t xml:space="preserve"> Для комплексной оценки синергетического эффекта необходимо прои</w:t>
      </w:r>
      <w:r w:rsidR="00A45BEC">
        <w:t>з</w:t>
      </w:r>
      <w:r w:rsidR="00A45BEC">
        <w:t xml:space="preserve">вести расчёты в соответствии с различными подходами. </w:t>
      </w:r>
      <w:proofErr w:type="gramEnd"/>
    </w:p>
    <w:p w:rsidR="00E558C2" w:rsidRDefault="00E558C2" w:rsidP="00E558C2">
      <w:pPr>
        <w:pStyle w:val="2"/>
        <w:spacing w:after="200" w:line="360" w:lineRule="auto"/>
        <w:ind w:firstLine="567"/>
        <w:contextualSpacing/>
        <w:rPr>
          <w:rFonts w:ascii="Times New Roman" w:hAnsi="Times New Roman" w:cs="Times New Roman"/>
          <w:color w:val="auto"/>
          <w:sz w:val="24"/>
          <w:szCs w:val="24"/>
        </w:rPr>
      </w:pPr>
      <w:bookmarkStart w:id="72" w:name="_Toc513092336"/>
      <w:r w:rsidRPr="00E558C2">
        <w:rPr>
          <w:rFonts w:ascii="Times New Roman" w:hAnsi="Times New Roman" w:cs="Times New Roman"/>
          <w:color w:val="auto"/>
          <w:sz w:val="24"/>
          <w:szCs w:val="24"/>
        </w:rPr>
        <w:t xml:space="preserve">3.2 </w:t>
      </w:r>
      <w:r w:rsidR="005F47DE" w:rsidRPr="00E558C2">
        <w:rPr>
          <w:rFonts w:ascii="Times New Roman" w:hAnsi="Times New Roman" w:cs="Times New Roman"/>
          <w:color w:val="auto"/>
          <w:sz w:val="24"/>
          <w:szCs w:val="24"/>
        </w:rPr>
        <w:t>Расчёт</w:t>
      </w:r>
      <w:r w:rsidRPr="00E558C2">
        <w:rPr>
          <w:rFonts w:ascii="Times New Roman" w:hAnsi="Times New Roman" w:cs="Times New Roman"/>
          <w:color w:val="auto"/>
          <w:sz w:val="24"/>
          <w:szCs w:val="24"/>
        </w:rPr>
        <w:t xml:space="preserve"> синергетического эффекта.</w:t>
      </w:r>
      <w:bookmarkEnd w:id="72"/>
    </w:p>
    <w:p w:rsidR="00D65BA6" w:rsidRDefault="00844CE8" w:rsidP="007B199D">
      <w:pPr>
        <w:spacing w:line="360" w:lineRule="auto"/>
        <w:ind w:firstLine="567"/>
        <w:contextualSpacing/>
        <w:jc w:val="both"/>
      </w:pPr>
      <w:r>
        <w:t xml:space="preserve">Для оценки стоимости компании был выбран доходный подход, так как </w:t>
      </w:r>
      <w:r w:rsidR="00E04499">
        <w:t>он чаще вс</w:t>
      </w:r>
      <w:r w:rsidR="00E04499">
        <w:t>е</w:t>
      </w:r>
      <w:r w:rsidR="00E04499">
        <w:t xml:space="preserve">го используется профессионалами для оценки компаний. Кроме того, </w:t>
      </w:r>
      <w:r>
        <w:t>«Лента» вкладывала средства в покупку компании для получения чистых денежных потоков в будущем</w:t>
      </w:r>
      <w:r w:rsidR="004F7312">
        <w:t>, что обуславливает выбранный подход.</w:t>
      </w:r>
      <w:r>
        <w:t xml:space="preserve"> </w:t>
      </w:r>
      <w:r w:rsidR="007B199D">
        <w:t>Чтобы определить синергетический эффект необход</w:t>
      </w:r>
      <w:r w:rsidR="007B199D">
        <w:t>и</w:t>
      </w:r>
      <w:r w:rsidR="007B199D">
        <w:t>мо сравнить стоимость компании до и после покупки активов «</w:t>
      </w:r>
      <w:proofErr w:type="spellStart"/>
      <w:r w:rsidR="007B199D">
        <w:t>Кеско</w:t>
      </w:r>
      <w:proofErr w:type="spellEnd"/>
      <w:r w:rsidR="007B199D">
        <w:t>»</w:t>
      </w:r>
      <w:r w:rsidR="00E57DBD">
        <w:t>, используя модель Гордона:</w:t>
      </w:r>
    </w:p>
    <w:p w:rsidR="00C83236" w:rsidRDefault="00C83236" w:rsidP="00272451">
      <w:pPr>
        <w:ind w:firstLine="567"/>
        <w:rPr>
          <w:sz w:val="32"/>
        </w:rPr>
      </w:pPr>
      <w:r>
        <w:rPr>
          <w:sz w:val="32"/>
        </w:rPr>
        <w:t xml:space="preserve">                                    </w:t>
      </w:r>
      <w:r w:rsidRPr="00AF06B9">
        <w:rPr>
          <w:sz w:val="32"/>
          <w:lang w:val="en-US"/>
        </w:rPr>
        <w:t>V</w:t>
      </w:r>
      <w:r w:rsidRPr="00CD4F75">
        <w:rPr>
          <w:sz w:val="32"/>
        </w:rPr>
        <w:t xml:space="preserve"> = </w:t>
      </w:r>
      <m:oMath>
        <m:f>
          <m:fPr>
            <m:ctrlPr>
              <w:rPr>
                <w:rFonts w:ascii="Cambria Math" w:hAnsi="Cambria Math"/>
                <w:sz w:val="32"/>
              </w:rPr>
            </m:ctrlPr>
          </m:fPr>
          <m:num>
            <m:r>
              <m:rPr>
                <m:sty m:val="p"/>
              </m:rPr>
              <w:rPr>
                <w:rFonts w:ascii="Cambria Math" w:hAnsi="Cambria Math"/>
                <w:sz w:val="32"/>
                <w:lang w:val="en-US"/>
              </w:rPr>
              <m:t>FCFF</m:t>
            </m:r>
            <m:r>
              <m:rPr>
                <m:sty m:val="p"/>
              </m:rPr>
              <w:rPr>
                <w:rFonts w:ascii="Cambria Math" w:hAnsi="Cambria Math"/>
                <w:sz w:val="32"/>
              </w:rPr>
              <m:t xml:space="preserve"> (1+g)</m:t>
            </m:r>
          </m:num>
          <m:den>
            <m:r>
              <m:rPr>
                <m:sty m:val="p"/>
              </m:rPr>
              <w:rPr>
                <w:rFonts w:ascii="Cambria Math" w:hAnsi="Cambria Math"/>
                <w:sz w:val="32"/>
              </w:rPr>
              <m:t>(</m:t>
            </m:r>
            <m:r>
              <m:rPr>
                <m:sty m:val="p"/>
              </m:rPr>
              <w:rPr>
                <w:rFonts w:ascii="Cambria Math" w:hAnsi="Cambria Math"/>
                <w:sz w:val="32"/>
                <w:lang w:val="en-US"/>
              </w:rPr>
              <m:t>WACC</m:t>
            </m:r>
            <m:r>
              <m:rPr>
                <m:sty m:val="p"/>
              </m:rPr>
              <w:rPr>
                <w:rFonts w:ascii="Cambria Math" w:hAnsi="Cambria Math"/>
                <w:sz w:val="32"/>
              </w:rPr>
              <m:t xml:space="preserve"> -g)</m:t>
            </m:r>
          </m:den>
        </m:f>
      </m:oMath>
      <w:r>
        <w:rPr>
          <w:sz w:val="32"/>
        </w:rPr>
        <w:t xml:space="preserve"> </w:t>
      </w:r>
    </w:p>
    <w:p w:rsidR="00EC66DA" w:rsidRPr="00EC66DA" w:rsidRDefault="00C83236" w:rsidP="000D315C">
      <w:pPr>
        <w:spacing w:line="360" w:lineRule="auto"/>
        <w:ind w:firstLine="567"/>
        <w:contextualSpacing/>
      </w:pPr>
      <w:r w:rsidRPr="00C83236">
        <w:t>Т.е</w:t>
      </w:r>
      <w:r w:rsidR="00EC66DA" w:rsidRPr="00EC66DA">
        <w:t>.,</w:t>
      </w:r>
      <w:r w:rsidRPr="00C83236">
        <w:t xml:space="preserve"> </w:t>
      </w:r>
      <w:r w:rsidR="00EC66DA">
        <w:t xml:space="preserve"> </w:t>
      </w:r>
      <w:r w:rsidR="00EC66DA">
        <w:rPr>
          <w:lang w:val="en-US"/>
        </w:rPr>
        <w:t>FCFF</w:t>
      </w:r>
      <w:r w:rsidR="00EC66DA" w:rsidRPr="00EC66DA">
        <w:t xml:space="preserve"> - </w:t>
      </w:r>
      <w:r w:rsidRPr="00F019C3">
        <w:t>свободны</w:t>
      </w:r>
      <w:r>
        <w:t>е</w:t>
      </w:r>
      <w:r w:rsidRPr="00F019C3">
        <w:t xml:space="preserve"> денежны</w:t>
      </w:r>
      <w:r>
        <w:t>е</w:t>
      </w:r>
      <w:r w:rsidRPr="00F019C3">
        <w:t xml:space="preserve"> поток</w:t>
      </w:r>
      <w:r>
        <w:t>и</w:t>
      </w:r>
      <w:r w:rsidRPr="00F019C3">
        <w:t xml:space="preserve"> </w:t>
      </w:r>
      <w:r w:rsidR="00EC66DA">
        <w:t>компании</w:t>
      </w:r>
      <w:r w:rsidR="00EC66DA" w:rsidRPr="00EC66DA">
        <w:t>;</w:t>
      </w:r>
    </w:p>
    <w:p w:rsidR="00EC66DA" w:rsidRDefault="00EC66DA" w:rsidP="000D315C">
      <w:pPr>
        <w:spacing w:line="360" w:lineRule="auto"/>
        <w:ind w:firstLine="567"/>
        <w:contextualSpacing/>
      </w:pPr>
      <w:r>
        <w:rPr>
          <w:lang w:val="en-US"/>
        </w:rPr>
        <w:lastRenderedPageBreak/>
        <w:t>WACC</w:t>
      </w:r>
      <w:r w:rsidRPr="009F22C7">
        <w:t xml:space="preserve"> – </w:t>
      </w:r>
      <w:r>
        <w:t>средневзвешенная стоимость капитала;</w:t>
      </w:r>
    </w:p>
    <w:p w:rsidR="00EC66DA" w:rsidRDefault="00EC66DA" w:rsidP="000D315C">
      <w:pPr>
        <w:spacing w:line="360" w:lineRule="auto"/>
        <w:ind w:firstLine="567"/>
        <w:contextualSpacing/>
      </w:pPr>
      <w:r>
        <w:rPr>
          <w:lang w:val="en-US"/>
        </w:rPr>
        <w:t>g</w:t>
      </w:r>
      <w:r w:rsidRPr="00EC66DA">
        <w:t xml:space="preserve"> – </w:t>
      </w:r>
      <w:proofErr w:type="gramStart"/>
      <w:r>
        <w:t>темп</w:t>
      </w:r>
      <w:proofErr w:type="gramEnd"/>
      <w:r>
        <w:t xml:space="preserve"> роста компании.</w:t>
      </w:r>
    </w:p>
    <w:p w:rsidR="006B4F7C" w:rsidRPr="00420DA2" w:rsidRDefault="000D315C" w:rsidP="000D315C">
      <w:pPr>
        <w:spacing w:line="360" w:lineRule="auto"/>
        <w:ind w:firstLine="567"/>
        <w:contextualSpacing/>
        <w:jc w:val="both"/>
      </w:pPr>
      <w:r>
        <w:t>Для оценки стоимости компании до поглощения необходимо рассчитать денежные потоки за 2014-2015 гг. (таб.</w:t>
      </w:r>
      <w:r w:rsidR="00A16067">
        <w:t xml:space="preserve"> 3.4</w:t>
      </w:r>
      <w:r>
        <w:t xml:space="preserve">). В качестве </w:t>
      </w:r>
      <w:r>
        <w:rPr>
          <w:lang w:val="en-US"/>
        </w:rPr>
        <w:t>FCFF</w:t>
      </w:r>
      <w:r w:rsidRPr="000D315C">
        <w:t xml:space="preserve"> </w:t>
      </w:r>
      <w:r>
        <w:t>было взято среднее значение потоков за два предшествующих года, так как увеличение темпов экспансии, и как следствие ув</w:t>
      </w:r>
      <w:r>
        <w:t>е</w:t>
      </w:r>
      <w:r>
        <w:t xml:space="preserve">личение доли капитальных затрат произошло в данном временном промежутке. </w:t>
      </w:r>
      <w:r w:rsidR="00420DA2">
        <w:t>В резул</w:t>
      </w:r>
      <w:r w:rsidR="00420DA2">
        <w:t>ь</w:t>
      </w:r>
      <w:r w:rsidR="00420DA2">
        <w:t>тате среднее поток был отрицательным и</w:t>
      </w:r>
      <w:r w:rsidR="00420DA2" w:rsidRPr="00420DA2">
        <w:t xml:space="preserve"> </w:t>
      </w:r>
      <w:r w:rsidR="00420DA2">
        <w:t xml:space="preserve">составил примерно - </w:t>
      </w:r>
      <w:r w:rsidR="00420DA2">
        <w:rPr>
          <w:bCs/>
          <w:color w:val="000000"/>
        </w:rPr>
        <w:t>10 млрд. рублей.</w:t>
      </w:r>
    </w:p>
    <w:p w:rsidR="005C4AC8" w:rsidRDefault="00FF48CF" w:rsidP="00FF48CF">
      <w:pPr>
        <w:spacing w:line="360" w:lineRule="auto"/>
        <w:ind w:firstLine="567"/>
        <w:contextualSpacing/>
        <w:jc w:val="right"/>
        <w:rPr>
          <w:i/>
        </w:rPr>
      </w:pPr>
      <w:r w:rsidRPr="005C4AC8">
        <w:rPr>
          <w:i/>
        </w:rPr>
        <w:t>Та</w:t>
      </w:r>
      <w:r w:rsidR="005C4AC8" w:rsidRPr="005C4AC8">
        <w:rPr>
          <w:i/>
        </w:rPr>
        <w:t>блица</w:t>
      </w:r>
      <w:r w:rsidR="00A16067">
        <w:rPr>
          <w:i/>
        </w:rPr>
        <w:t xml:space="preserve"> 3.4</w:t>
      </w:r>
    </w:p>
    <w:p w:rsidR="006B4F7C" w:rsidRPr="005C4AC8" w:rsidRDefault="005C4AC8" w:rsidP="005C4AC8">
      <w:pPr>
        <w:spacing w:line="360" w:lineRule="auto"/>
        <w:ind w:firstLine="567"/>
        <w:contextualSpacing/>
        <w:jc w:val="center"/>
        <w:rPr>
          <w:b/>
          <w:i/>
        </w:rPr>
      </w:pPr>
      <w:r w:rsidRPr="005C4AC8">
        <w:rPr>
          <w:b/>
        </w:rPr>
        <w:t>Расчет свободных денежных потоков компании, тыс. руб.</w:t>
      </w:r>
      <w:r w:rsidR="006B4F7C">
        <w:rPr>
          <w:b/>
          <w:i/>
        </w:rPr>
        <w:fldChar w:fldCharType="begin"/>
      </w:r>
      <w:r w:rsidR="006B4F7C" w:rsidRPr="005C4AC8">
        <w:rPr>
          <w:b/>
          <w:i/>
        </w:rPr>
        <w:instrText xml:space="preserve"> LINK Excel.Sheet.12 "C:\\Users\\Z500\\Desktop\\2о\\M&amp;A\\1_Dokhodny_podkhod.xlsx" "Лист1!R3C3:R17C5" \a \f 4 \h  \* MERGEFORMAT </w:instrText>
      </w:r>
      <w:r w:rsidR="006B4F7C">
        <w:rPr>
          <w:b/>
          <w:i/>
        </w:rPr>
        <w:fldChar w:fldCharType="separate"/>
      </w:r>
    </w:p>
    <w:tbl>
      <w:tblPr>
        <w:tblW w:w="6057" w:type="dxa"/>
        <w:jc w:val="center"/>
        <w:tblLook w:val="04A0" w:firstRow="1" w:lastRow="0" w:firstColumn="1" w:lastColumn="0" w:noHBand="0" w:noVBand="1"/>
      </w:tblPr>
      <w:tblGrid>
        <w:gridCol w:w="2630"/>
        <w:gridCol w:w="1800"/>
        <w:gridCol w:w="1627"/>
      </w:tblGrid>
      <w:tr w:rsidR="006B4F7C" w:rsidRPr="006B4F7C" w:rsidTr="009E7D44">
        <w:trPr>
          <w:trHeight w:val="315"/>
          <w:jc w:val="center"/>
        </w:trPr>
        <w:tc>
          <w:tcPr>
            <w:tcW w:w="2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7C" w:rsidRPr="006B4F7C" w:rsidRDefault="006B4F7C" w:rsidP="006B4F7C">
            <w:pPr>
              <w:rPr>
                <w:color w:val="000000"/>
              </w:rPr>
            </w:pPr>
            <w:r w:rsidRPr="006B4F7C">
              <w:rPr>
                <w:color w:val="000000"/>
              </w:rPr>
              <w:t>Показатель</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2014</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2015</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6B4F7C" w:rsidRPr="006B4F7C" w:rsidRDefault="006B4F7C" w:rsidP="006B4F7C">
            <w:pPr>
              <w:rPr>
                <w:color w:val="000000"/>
              </w:rPr>
            </w:pPr>
            <w:r w:rsidRPr="006B4F7C">
              <w:rPr>
                <w:color w:val="000000"/>
              </w:rPr>
              <w:t>Выручка</w:t>
            </w:r>
          </w:p>
        </w:tc>
        <w:tc>
          <w:tcPr>
            <w:tcW w:w="1800"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193 988 240</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252 763 075</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bottom"/>
            <w:hideMark/>
          </w:tcPr>
          <w:p w:rsidR="006B4F7C" w:rsidRPr="006B4F7C" w:rsidRDefault="006B4F7C" w:rsidP="006B4F7C">
            <w:pPr>
              <w:rPr>
                <w:color w:val="000000"/>
              </w:rPr>
            </w:pPr>
            <w:r w:rsidRPr="006B4F7C">
              <w:rPr>
                <w:color w:val="000000"/>
              </w:rPr>
              <w:t>Себестоимость</w:t>
            </w:r>
          </w:p>
        </w:tc>
        <w:tc>
          <w:tcPr>
            <w:tcW w:w="1800" w:type="dxa"/>
            <w:tcBorders>
              <w:top w:val="nil"/>
              <w:left w:val="nil"/>
              <w:bottom w:val="single" w:sz="4" w:space="0" w:color="auto"/>
              <w:right w:val="single" w:sz="4" w:space="0" w:color="auto"/>
            </w:tcBorders>
            <w:shd w:val="clear" w:color="auto" w:fill="auto"/>
            <w:noWrap/>
            <w:vAlign w:val="bottom"/>
            <w:hideMark/>
          </w:tcPr>
          <w:p w:rsidR="006B4F7C" w:rsidRPr="006B4F7C" w:rsidRDefault="00FF48CF" w:rsidP="006B4F7C">
            <w:pPr>
              <w:jc w:val="right"/>
              <w:rPr>
                <w:color w:val="000000"/>
              </w:rPr>
            </w:pPr>
            <w:r>
              <w:rPr>
                <w:color w:val="000000"/>
              </w:rPr>
              <w:t>(</w:t>
            </w:r>
            <w:r w:rsidR="006B4F7C" w:rsidRPr="006B4F7C">
              <w:rPr>
                <w:color w:val="000000"/>
              </w:rPr>
              <w:t>150251966</w:t>
            </w:r>
            <w:r>
              <w:rPr>
                <w:color w:val="000000"/>
              </w:rPr>
              <w:t>)</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FF48CF" w:rsidP="006B4F7C">
            <w:pPr>
              <w:jc w:val="right"/>
              <w:rPr>
                <w:color w:val="000000"/>
              </w:rPr>
            </w:pPr>
            <w:r>
              <w:rPr>
                <w:color w:val="000000"/>
              </w:rPr>
              <w:t>(</w:t>
            </w:r>
            <w:r w:rsidR="006B4F7C" w:rsidRPr="006B4F7C">
              <w:rPr>
                <w:color w:val="000000"/>
              </w:rPr>
              <w:t>196 457 910</w:t>
            </w:r>
            <w:r>
              <w:rPr>
                <w:color w:val="000000"/>
              </w:rPr>
              <w:t>)</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bottom"/>
            <w:hideMark/>
          </w:tcPr>
          <w:p w:rsidR="006B4F7C" w:rsidRPr="006B4F7C" w:rsidRDefault="006B4F7C" w:rsidP="006B4F7C">
            <w:pPr>
              <w:rPr>
                <w:b/>
                <w:bCs/>
                <w:color w:val="000000"/>
              </w:rPr>
            </w:pPr>
            <w:r w:rsidRPr="006B4F7C">
              <w:rPr>
                <w:b/>
                <w:bCs/>
                <w:color w:val="000000"/>
              </w:rPr>
              <w:t>Валовая прибыль</w:t>
            </w:r>
          </w:p>
        </w:tc>
        <w:tc>
          <w:tcPr>
            <w:tcW w:w="1800"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43 736 274</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56 305 165</w:t>
            </w:r>
          </w:p>
        </w:tc>
      </w:tr>
      <w:tr w:rsidR="006B4F7C" w:rsidRPr="006B4F7C" w:rsidTr="009E7D44">
        <w:trPr>
          <w:trHeight w:val="338"/>
          <w:jc w:val="center"/>
        </w:trPr>
        <w:tc>
          <w:tcPr>
            <w:tcW w:w="2630" w:type="dxa"/>
            <w:tcBorders>
              <w:top w:val="nil"/>
              <w:left w:val="single" w:sz="4" w:space="0" w:color="auto"/>
              <w:bottom w:val="single" w:sz="4" w:space="0" w:color="auto"/>
              <w:right w:val="single" w:sz="4" w:space="0" w:color="auto"/>
            </w:tcBorders>
            <w:shd w:val="clear" w:color="auto" w:fill="auto"/>
            <w:vAlign w:val="bottom"/>
            <w:hideMark/>
          </w:tcPr>
          <w:p w:rsidR="006B4F7C" w:rsidRPr="006B4F7C" w:rsidRDefault="006B4F7C" w:rsidP="006B4F7C">
            <w:pPr>
              <w:rPr>
                <w:color w:val="000000"/>
              </w:rPr>
            </w:pPr>
            <w:r w:rsidRPr="006B4F7C">
              <w:rPr>
                <w:color w:val="000000"/>
              </w:rPr>
              <w:t>Коммерческие расходы</w:t>
            </w:r>
          </w:p>
        </w:tc>
        <w:tc>
          <w:tcPr>
            <w:tcW w:w="1800"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(3 973 529)</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(4 135 644)</w:t>
            </w:r>
          </w:p>
        </w:tc>
      </w:tr>
      <w:tr w:rsidR="006B4F7C" w:rsidRPr="006B4F7C" w:rsidTr="009E7D44">
        <w:trPr>
          <w:trHeight w:val="555"/>
          <w:jc w:val="center"/>
        </w:trPr>
        <w:tc>
          <w:tcPr>
            <w:tcW w:w="2630" w:type="dxa"/>
            <w:tcBorders>
              <w:top w:val="nil"/>
              <w:left w:val="single" w:sz="4" w:space="0" w:color="auto"/>
              <w:bottom w:val="single" w:sz="4" w:space="0" w:color="auto"/>
              <w:right w:val="single" w:sz="4" w:space="0" w:color="auto"/>
            </w:tcBorders>
            <w:shd w:val="clear" w:color="auto" w:fill="auto"/>
            <w:vAlign w:val="bottom"/>
            <w:hideMark/>
          </w:tcPr>
          <w:p w:rsidR="006B4F7C" w:rsidRPr="006B4F7C" w:rsidRDefault="006B4F7C" w:rsidP="006B4F7C">
            <w:pPr>
              <w:rPr>
                <w:color w:val="000000"/>
              </w:rPr>
            </w:pPr>
            <w:r w:rsidRPr="006B4F7C">
              <w:rPr>
                <w:color w:val="000000"/>
              </w:rPr>
              <w:t>ОХР и Администр</w:t>
            </w:r>
            <w:r w:rsidRPr="006B4F7C">
              <w:rPr>
                <w:color w:val="000000"/>
              </w:rPr>
              <w:t>а</w:t>
            </w:r>
            <w:r w:rsidRPr="006B4F7C">
              <w:rPr>
                <w:color w:val="000000"/>
              </w:rPr>
              <w:t>тивные расходы</w:t>
            </w:r>
          </w:p>
        </w:tc>
        <w:tc>
          <w:tcPr>
            <w:tcW w:w="1800"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(24 012 078)</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FF48CF" w:rsidP="006B4F7C">
            <w:pPr>
              <w:jc w:val="right"/>
              <w:rPr>
                <w:color w:val="000000"/>
              </w:rPr>
            </w:pPr>
            <w:r>
              <w:rPr>
                <w:color w:val="000000"/>
              </w:rPr>
              <w:t>(</w:t>
            </w:r>
            <w:r w:rsidR="006B4F7C" w:rsidRPr="006B4F7C">
              <w:rPr>
                <w:color w:val="000000"/>
              </w:rPr>
              <w:t>31 909 127</w:t>
            </w:r>
            <w:r>
              <w:rPr>
                <w:color w:val="000000"/>
              </w:rPr>
              <w:t>)</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bottom"/>
            <w:hideMark/>
          </w:tcPr>
          <w:p w:rsidR="006B4F7C" w:rsidRPr="006B4F7C" w:rsidRDefault="006B4F7C" w:rsidP="006B4F7C">
            <w:pPr>
              <w:rPr>
                <w:color w:val="000000"/>
              </w:rPr>
            </w:pPr>
            <w:r w:rsidRPr="006B4F7C">
              <w:rPr>
                <w:color w:val="000000"/>
              </w:rPr>
              <w:t>Прочее</w:t>
            </w:r>
          </w:p>
        </w:tc>
        <w:tc>
          <w:tcPr>
            <w:tcW w:w="1800"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(4 823 019)</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FF48CF" w:rsidP="006B4F7C">
            <w:pPr>
              <w:jc w:val="right"/>
              <w:rPr>
                <w:color w:val="000000"/>
              </w:rPr>
            </w:pPr>
            <w:r>
              <w:rPr>
                <w:color w:val="000000"/>
              </w:rPr>
              <w:t>(</w:t>
            </w:r>
            <w:r w:rsidR="006B4F7C" w:rsidRPr="006B4F7C">
              <w:rPr>
                <w:color w:val="000000"/>
              </w:rPr>
              <w:t>7 388 291</w:t>
            </w:r>
            <w:r>
              <w:rPr>
                <w:color w:val="000000"/>
              </w:rPr>
              <w:t>)</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rsidR="006B4F7C" w:rsidRPr="006B4F7C" w:rsidRDefault="006B4F7C" w:rsidP="006B4F7C">
            <w:pPr>
              <w:rPr>
                <w:b/>
                <w:bCs/>
                <w:color w:val="000000"/>
              </w:rPr>
            </w:pPr>
            <w:r w:rsidRPr="006B4F7C">
              <w:rPr>
                <w:b/>
                <w:bCs/>
                <w:color w:val="000000"/>
              </w:rPr>
              <w:t>EBIT</w:t>
            </w:r>
          </w:p>
        </w:tc>
        <w:tc>
          <w:tcPr>
            <w:tcW w:w="1800"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10 927 648</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12 872 103</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rsidR="006B4F7C" w:rsidRPr="006B4F7C" w:rsidRDefault="006B4F7C" w:rsidP="006B4F7C">
            <w:pPr>
              <w:rPr>
                <w:color w:val="000000"/>
              </w:rPr>
            </w:pPr>
            <w:r w:rsidRPr="006B4F7C">
              <w:rPr>
                <w:color w:val="000000"/>
              </w:rPr>
              <w:t>Налог на прибыль</w:t>
            </w:r>
          </w:p>
        </w:tc>
        <w:tc>
          <w:tcPr>
            <w:tcW w:w="1800" w:type="dxa"/>
            <w:tcBorders>
              <w:top w:val="nil"/>
              <w:left w:val="nil"/>
              <w:bottom w:val="nil"/>
              <w:right w:val="nil"/>
            </w:tcBorders>
            <w:shd w:val="clear" w:color="auto" w:fill="auto"/>
            <w:noWrap/>
            <w:vAlign w:val="bottom"/>
            <w:hideMark/>
          </w:tcPr>
          <w:p w:rsidR="006B4F7C" w:rsidRPr="006B4F7C" w:rsidRDefault="00FF48CF" w:rsidP="006B4F7C">
            <w:pPr>
              <w:jc w:val="right"/>
              <w:rPr>
                <w:color w:val="000000"/>
              </w:rPr>
            </w:pPr>
            <w:r>
              <w:rPr>
                <w:color w:val="000000"/>
              </w:rPr>
              <w:t>(</w:t>
            </w:r>
            <w:r w:rsidR="006B4F7C" w:rsidRPr="006B4F7C">
              <w:rPr>
                <w:color w:val="000000"/>
              </w:rPr>
              <w:t>1852541</w:t>
            </w:r>
            <w:r>
              <w:rPr>
                <w:color w:val="000000"/>
              </w:rPr>
              <w:t>)</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6B4F7C" w:rsidRPr="006B4F7C" w:rsidRDefault="00FF48CF" w:rsidP="006B4F7C">
            <w:pPr>
              <w:jc w:val="right"/>
              <w:rPr>
                <w:color w:val="000000"/>
              </w:rPr>
            </w:pPr>
            <w:r>
              <w:rPr>
                <w:color w:val="000000"/>
              </w:rPr>
              <w:t>(</w:t>
            </w:r>
            <w:r w:rsidR="006B4F7C" w:rsidRPr="006B4F7C">
              <w:rPr>
                <w:color w:val="000000"/>
              </w:rPr>
              <w:t>2 584 010</w:t>
            </w:r>
            <w:r>
              <w:rPr>
                <w:color w:val="000000"/>
              </w:rPr>
              <w:t>)</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bottom"/>
            <w:hideMark/>
          </w:tcPr>
          <w:p w:rsidR="006B4F7C" w:rsidRPr="006B4F7C" w:rsidRDefault="006B4F7C" w:rsidP="006B4F7C">
            <w:pPr>
              <w:rPr>
                <w:b/>
                <w:bCs/>
                <w:color w:val="000000"/>
              </w:rPr>
            </w:pPr>
            <w:r w:rsidRPr="006B4F7C">
              <w:rPr>
                <w:b/>
                <w:bCs/>
                <w:color w:val="000000"/>
              </w:rPr>
              <w:t>EBIT(1-T)</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9 075 107</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10 288 093</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bottom"/>
            <w:hideMark/>
          </w:tcPr>
          <w:p w:rsidR="006B4F7C" w:rsidRPr="006B4F7C" w:rsidRDefault="006B4F7C" w:rsidP="006B4F7C">
            <w:pPr>
              <w:rPr>
                <w:color w:val="000000"/>
              </w:rPr>
            </w:pPr>
            <w:r w:rsidRPr="006B4F7C">
              <w:rPr>
                <w:color w:val="000000"/>
              </w:rPr>
              <w:t>Амортизация</w:t>
            </w:r>
          </w:p>
        </w:tc>
        <w:tc>
          <w:tcPr>
            <w:tcW w:w="1800"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 xml:space="preserve">3 591 700 </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 xml:space="preserve">5 618 655 </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bottom"/>
            <w:hideMark/>
          </w:tcPr>
          <w:p w:rsidR="006B4F7C" w:rsidRPr="006B4F7C" w:rsidRDefault="006B4F7C" w:rsidP="006B4F7C">
            <w:pPr>
              <w:rPr>
                <w:color w:val="000000"/>
              </w:rPr>
            </w:pPr>
            <w:r w:rsidRPr="006B4F7C">
              <w:rPr>
                <w:color w:val="000000"/>
              </w:rPr>
              <w:t>Изменение СОК</w:t>
            </w:r>
          </w:p>
        </w:tc>
        <w:tc>
          <w:tcPr>
            <w:tcW w:w="1800"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 xml:space="preserve">1 353 298 </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6B4F7C" w:rsidP="006B4F7C">
            <w:pPr>
              <w:jc w:val="right"/>
              <w:rPr>
                <w:color w:val="000000"/>
              </w:rPr>
            </w:pPr>
            <w:r w:rsidRPr="006B4F7C">
              <w:rPr>
                <w:color w:val="000000"/>
              </w:rPr>
              <w:t xml:space="preserve">14 335 266 </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bottom"/>
            <w:hideMark/>
          </w:tcPr>
          <w:p w:rsidR="006B4F7C" w:rsidRPr="006B4F7C" w:rsidRDefault="006B4F7C" w:rsidP="006B4F7C">
            <w:pPr>
              <w:rPr>
                <w:color w:val="000000"/>
              </w:rPr>
            </w:pPr>
            <w:r w:rsidRPr="006B4F7C">
              <w:rPr>
                <w:color w:val="000000"/>
              </w:rPr>
              <w:t>Капвложения</w:t>
            </w:r>
          </w:p>
        </w:tc>
        <w:tc>
          <w:tcPr>
            <w:tcW w:w="1800" w:type="dxa"/>
            <w:tcBorders>
              <w:top w:val="nil"/>
              <w:left w:val="nil"/>
              <w:bottom w:val="single" w:sz="4" w:space="0" w:color="auto"/>
              <w:right w:val="single" w:sz="4" w:space="0" w:color="auto"/>
            </w:tcBorders>
            <w:shd w:val="clear" w:color="auto" w:fill="auto"/>
            <w:noWrap/>
            <w:vAlign w:val="bottom"/>
            <w:hideMark/>
          </w:tcPr>
          <w:p w:rsidR="006B4F7C" w:rsidRPr="006B4F7C" w:rsidRDefault="00FF48CF" w:rsidP="006B4F7C">
            <w:pPr>
              <w:jc w:val="right"/>
              <w:rPr>
                <w:color w:val="000000"/>
              </w:rPr>
            </w:pPr>
            <w:r>
              <w:rPr>
                <w:color w:val="000000"/>
              </w:rPr>
              <w:t>(</w:t>
            </w:r>
            <w:r w:rsidR="006B4F7C" w:rsidRPr="006B4F7C">
              <w:rPr>
                <w:color w:val="000000"/>
              </w:rPr>
              <w:t>35 110 734</w:t>
            </w:r>
            <w:r>
              <w:rPr>
                <w:color w:val="000000"/>
              </w:rPr>
              <w:t>)</w:t>
            </w:r>
          </w:p>
        </w:tc>
        <w:tc>
          <w:tcPr>
            <w:tcW w:w="1627" w:type="dxa"/>
            <w:tcBorders>
              <w:top w:val="nil"/>
              <w:left w:val="nil"/>
              <w:bottom w:val="single" w:sz="4" w:space="0" w:color="auto"/>
              <w:right w:val="single" w:sz="4" w:space="0" w:color="auto"/>
            </w:tcBorders>
            <w:shd w:val="clear" w:color="auto" w:fill="auto"/>
            <w:noWrap/>
            <w:vAlign w:val="bottom"/>
            <w:hideMark/>
          </w:tcPr>
          <w:p w:rsidR="006B4F7C" w:rsidRPr="006B4F7C" w:rsidRDefault="00FF48CF" w:rsidP="006B4F7C">
            <w:pPr>
              <w:jc w:val="right"/>
              <w:rPr>
                <w:color w:val="000000"/>
              </w:rPr>
            </w:pPr>
            <w:r>
              <w:rPr>
                <w:color w:val="000000"/>
              </w:rPr>
              <w:t>(</w:t>
            </w:r>
            <w:r w:rsidR="006B4F7C" w:rsidRPr="006B4F7C">
              <w:rPr>
                <w:color w:val="000000"/>
              </w:rPr>
              <w:t>30 434 839</w:t>
            </w:r>
            <w:r>
              <w:rPr>
                <w:color w:val="000000"/>
              </w:rPr>
              <w:t>)</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rsidR="006B4F7C" w:rsidRPr="006B4F7C" w:rsidRDefault="006B4F7C" w:rsidP="006B4F7C">
            <w:pPr>
              <w:rPr>
                <w:b/>
                <w:bCs/>
              </w:rPr>
            </w:pPr>
            <w:r w:rsidRPr="006B4F7C">
              <w:rPr>
                <w:b/>
                <w:bCs/>
              </w:rPr>
              <w:t>FCFF</w:t>
            </w:r>
          </w:p>
        </w:tc>
        <w:tc>
          <w:tcPr>
            <w:tcW w:w="1800" w:type="dxa"/>
            <w:tcBorders>
              <w:top w:val="nil"/>
              <w:left w:val="nil"/>
              <w:bottom w:val="single" w:sz="4" w:space="0" w:color="auto"/>
              <w:right w:val="single" w:sz="4" w:space="0" w:color="auto"/>
            </w:tcBorders>
            <w:shd w:val="clear" w:color="auto" w:fill="auto"/>
            <w:noWrap/>
            <w:vAlign w:val="center"/>
            <w:hideMark/>
          </w:tcPr>
          <w:p w:rsidR="006B4F7C" w:rsidRPr="006B4F7C" w:rsidRDefault="006B4F7C" w:rsidP="006B4F7C">
            <w:pPr>
              <w:jc w:val="right"/>
              <w:rPr>
                <w:b/>
                <w:bCs/>
                <w:color w:val="000000"/>
              </w:rPr>
            </w:pPr>
            <w:r w:rsidRPr="006B4F7C">
              <w:rPr>
                <w:b/>
                <w:bCs/>
                <w:color w:val="000000"/>
              </w:rPr>
              <w:t>(21 090 629)</w:t>
            </w:r>
          </w:p>
        </w:tc>
        <w:tc>
          <w:tcPr>
            <w:tcW w:w="1627" w:type="dxa"/>
            <w:tcBorders>
              <w:top w:val="nil"/>
              <w:left w:val="nil"/>
              <w:bottom w:val="single" w:sz="4" w:space="0" w:color="auto"/>
              <w:right w:val="single" w:sz="4" w:space="0" w:color="auto"/>
            </w:tcBorders>
            <w:shd w:val="clear" w:color="auto" w:fill="auto"/>
            <w:noWrap/>
            <w:vAlign w:val="center"/>
            <w:hideMark/>
          </w:tcPr>
          <w:p w:rsidR="006B4F7C" w:rsidRPr="006B4F7C" w:rsidRDefault="006B4F7C" w:rsidP="006B4F7C">
            <w:pPr>
              <w:jc w:val="right"/>
              <w:rPr>
                <w:b/>
                <w:bCs/>
                <w:color w:val="000000"/>
              </w:rPr>
            </w:pPr>
            <w:r w:rsidRPr="006B4F7C">
              <w:rPr>
                <w:b/>
                <w:bCs/>
                <w:color w:val="000000"/>
              </w:rPr>
              <w:t>(192 825)</w:t>
            </w:r>
          </w:p>
        </w:tc>
      </w:tr>
      <w:tr w:rsidR="006B4F7C" w:rsidRPr="006B4F7C" w:rsidTr="009E7D44">
        <w:trPr>
          <w:trHeight w:val="315"/>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rsidR="006B4F7C" w:rsidRPr="006B4F7C" w:rsidRDefault="006B4F7C" w:rsidP="006B4F7C">
            <w:pPr>
              <w:rPr>
                <w:b/>
                <w:bCs/>
              </w:rPr>
            </w:pPr>
            <w:r w:rsidRPr="006B4F7C">
              <w:rPr>
                <w:b/>
                <w:bCs/>
              </w:rPr>
              <w:t xml:space="preserve">FCFF </w:t>
            </w:r>
            <w:r w:rsidRPr="006B4F7C">
              <w:t>сред.</w:t>
            </w:r>
          </w:p>
        </w:tc>
        <w:tc>
          <w:tcPr>
            <w:tcW w:w="3427"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F7C" w:rsidRPr="006B4F7C" w:rsidRDefault="00FF48CF" w:rsidP="006B4F7C">
            <w:pPr>
              <w:jc w:val="center"/>
              <w:rPr>
                <w:b/>
                <w:bCs/>
                <w:color w:val="000000"/>
              </w:rPr>
            </w:pPr>
            <w:r>
              <w:rPr>
                <w:b/>
                <w:bCs/>
                <w:color w:val="000000"/>
              </w:rPr>
              <w:t>(</w:t>
            </w:r>
            <w:r w:rsidR="006B4F7C" w:rsidRPr="006B4F7C">
              <w:rPr>
                <w:b/>
                <w:bCs/>
                <w:color w:val="000000"/>
              </w:rPr>
              <w:t>10641727</w:t>
            </w:r>
            <w:r>
              <w:rPr>
                <w:b/>
                <w:bCs/>
                <w:color w:val="000000"/>
              </w:rPr>
              <w:t>)</w:t>
            </w:r>
          </w:p>
        </w:tc>
      </w:tr>
    </w:tbl>
    <w:p w:rsidR="00B807DF" w:rsidRDefault="006B4F7C" w:rsidP="006B4F7C">
      <w:pPr>
        <w:spacing w:line="360" w:lineRule="auto"/>
        <w:ind w:firstLine="567"/>
        <w:contextualSpacing/>
        <w:jc w:val="center"/>
      </w:pPr>
      <w:r>
        <w:fldChar w:fldCharType="end"/>
      </w:r>
      <w:r w:rsidR="005C4AC8">
        <w:t>Рассчитано по: годовые отчеты «Лента»</w:t>
      </w:r>
    </w:p>
    <w:p w:rsidR="005A4B28" w:rsidRDefault="00B807DF" w:rsidP="00B807DF">
      <w:pPr>
        <w:spacing w:line="360" w:lineRule="auto"/>
        <w:ind w:firstLine="567"/>
        <w:contextualSpacing/>
        <w:jc w:val="both"/>
      </w:pPr>
      <w:r>
        <w:t>Как видно из расчетов, представленных в таблице, потоки неравномерны из-за изм</w:t>
      </w:r>
      <w:r>
        <w:t>е</w:t>
      </w:r>
      <w:r>
        <w:t>нений в собственном оборотном капитале компании, не обеспеченном заемными сре</w:t>
      </w:r>
      <w:r>
        <w:t>д</w:t>
      </w:r>
      <w:r>
        <w:t xml:space="preserve">ствами. </w:t>
      </w:r>
      <w:r w:rsidR="00B20ADE">
        <w:t>Резкое увеличение в 2015 году было обусловлено размером денежных средств и их эквивалентов, находящихся на балансе у компании (таб.</w:t>
      </w:r>
      <w:r w:rsidR="00374B21">
        <w:t xml:space="preserve"> 3.5</w:t>
      </w:r>
      <w:r w:rsidR="00B20ADE">
        <w:t xml:space="preserve">). </w:t>
      </w:r>
      <w:r w:rsidR="005A4B28">
        <w:t xml:space="preserve">Объяснить это можно тем, что </w:t>
      </w:r>
      <w:r w:rsidR="00122BF4">
        <w:t xml:space="preserve">в 2015 году группа </w:t>
      </w:r>
      <w:r w:rsidR="00B20ADE">
        <w:t>увеличила количество краткосрочных депозитов в рублях с 8 млрд. до 16</w:t>
      </w:r>
      <w:r w:rsidR="00367B4F">
        <w:t xml:space="preserve">, </w:t>
      </w:r>
      <w:r w:rsidR="00B20ADE">
        <w:t>в связи с общей экономической нестабильностью.</w:t>
      </w:r>
    </w:p>
    <w:p w:rsidR="005A4B28" w:rsidRDefault="005A4B28" w:rsidP="005A4B28">
      <w:pPr>
        <w:spacing w:line="360" w:lineRule="auto"/>
        <w:ind w:firstLine="567"/>
        <w:contextualSpacing/>
        <w:jc w:val="right"/>
        <w:rPr>
          <w:i/>
        </w:rPr>
      </w:pPr>
      <w:r w:rsidRPr="005A4B28">
        <w:rPr>
          <w:i/>
        </w:rPr>
        <w:t>Таблица</w:t>
      </w:r>
      <w:r w:rsidR="00374B21">
        <w:rPr>
          <w:i/>
        </w:rPr>
        <w:t xml:space="preserve"> 3.5</w:t>
      </w:r>
    </w:p>
    <w:p w:rsidR="006D6EBC" w:rsidRPr="006D6EBC" w:rsidRDefault="006D6EBC" w:rsidP="006D6EBC">
      <w:pPr>
        <w:spacing w:line="360" w:lineRule="auto"/>
        <w:ind w:firstLine="567"/>
        <w:contextualSpacing/>
        <w:jc w:val="center"/>
        <w:rPr>
          <w:b/>
        </w:rPr>
      </w:pPr>
      <w:r>
        <w:rPr>
          <w:b/>
        </w:rPr>
        <w:t>Расчет изменений собственного оборотного капитала компании, тыс. руб.</w:t>
      </w:r>
    </w:p>
    <w:tbl>
      <w:tblPr>
        <w:tblW w:w="8311" w:type="dxa"/>
        <w:jc w:val="center"/>
        <w:tblLook w:val="04A0" w:firstRow="1" w:lastRow="0" w:firstColumn="1" w:lastColumn="0" w:noHBand="0" w:noVBand="1"/>
      </w:tblPr>
      <w:tblGrid>
        <w:gridCol w:w="3956"/>
        <w:gridCol w:w="1417"/>
        <w:gridCol w:w="1582"/>
        <w:gridCol w:w="1356"/>
      </w:tblGrid>
      <w:tr w:rsidR="00122BF4" w:rsidTr="00122BF4">
        <w:trPr>
          <w:trHeight w:val="300"/>
          <w:jc w:val="center"/>
        </w:trPr>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EBC" w:rsidRPr="006D6EBC" w:rsidRDefault="006D6EBC">
            <w:pPr>
              <w:rPr>
                <w:color w:val="000000"/>
              </w:rPr>
            </w:pPr>
            <w:r w:rsidRPr="006D6EBC">
              <w:rPr>
                <w:color w:val="000000"/>
              </w:rPr>
              <w:t>Показатель</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2013</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2014</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2015</w:t>
            </w:r>
          </w:p>
        </w:tc>
      </w:tr>
      <w:tr w:rsidR="00122BF4" w:rsidTr="00122BF4">
        <w:trPr>
          <w:trHeight w:val="300"/>
          <w:jc w:val="center"/>
        </w:trPr>
        <w:tc>
          <w:tcPr>
            <w:tcW w:w="3956" w:type="dxa"/>
            <w:tcBorders>
              <w:top w:val="nil"/>
              <w:left w:val="single" w:sz="4" w:space="0" w:color="auto"/>
              <w:bottom w:val="single" w:sz="4" w:space="0" w:color="auto"/>
              <w:right w:val="single" w:sz="4" w:space="0" w:color="auto"/>
            </w:tcBorders>
            <w:shd w:val="clear" w:color="000000" w:fill="FFFFFF"/>
            <w:noWrap/>
            <w:vAlign w:val="bottom"/>
            <w:hideMark/>
          </w:tcPr>
          <w:p w:rsidR="006D6EBC" w:rsidRPr="006D6EBC" w:rsidRDefault="006D6EBC" w:rsidP="00122BF4">
            <w:pPr>
              <w:rPr>
                <w:color w:val="000000"/>
              </w:rPr>
            </w:pPr>
            <w:r w:rsidRPr="006D6EBC">
              <w:rPr>
                <w:color w:val="000000"/>
              </w:rPr>
              <w:t>Ден</w:t>
            </w:r>
            <w:r w:rsidR="00122BF4">
              <w:rPr>
                <w:color w:val="000000"/>
              </w:rPr>
              <w:t>ежные средства и эквиваленты</w:t>
            </w:r>
          </w:p>
        </w:tc>
        <w:tc>
          <w:tcPr>
            <w:tcW w:w="1417" w:type="dxa"/>
            <w:tcBorders>
              <w:top w:val="nil"/>
              <w:left w:val="nil"/>
              <w:bottom w:val="nil"/>
              <w:right w:val="nil"/>
            </w:tcBorders>
            <w:shd w:val="clear" w:color="auto" w:fill="auto"/>
            <w:noWrap/>
            <w:vAlign w:val="bottom"/>
            <w:hideMark/>
          </w:tcPr>
          <w:p w:rsidR="006D6EBC" w:rsidRPr="006D6EBC" w:rsidRDefault="006D6EBC">
            <w:pPr>
              <w:jc w:val="right"/>
              <w:rPr>
                <w:color w:val="000000"/>
              </w:rPr>
            </w:pPr>
            <w:r w:rsidRPr="006D6EBC">
              <w:rPr>
                <w:color w:val="000000"/>
              </w:rPr>
              <w:t>6 211 965</w:t>
            </w:r>
          </w:p>
        </w:tc>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12 035 785</w:t>
            </w:r>
          </w:p>
        </w:tc>
        <w:tc>
          <w:tcPr>
            <w:tcW w:w="1356"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22 455 945</w:t>
            </w:r>
          </w:p>
        </w:tc>
      </w:tr>
      <w:tr w:rsidR="006D6EBC" w:rsidTr="00122BF4">
        <w:trPr>
          <w:trHeight w:val="300"/>
          <w:jc w:val="center"/>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6D6EBC" w:rsidRPr="006D6EBC" w:rsidRDefault="006D6EBC" w:rsidP="006D6EBC">
            <w:pPr>
              <w:rPr>
                <w:color w:val="000000"/>
              </w:rPr>
            </w:pPr>
            <w:r w:rsidRPr="006D6EBC">
              <w:rPr>
                <w:color w:val="000000"/>
              </w:rPr>
              <w:t>О</w:t>
            </w:r>
            <w:r>
              <w:rPr>
                <w:color w:val="000000"/>
              </w:rPr>
              <w:t>боротные активы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30 972 255</w:t>
            </w:r>
          </w:p>
        </w:tc>
        <w:tc>
          <w:tcPr>
            <w:tcW w:w="1582"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50339386</w:t>
            </w:r>
          </w:p>
        </w:tc>
        <w:tc>
          <w:tcPr>
            <w:tcW w:w="1356"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63352126</w:t>
            </w:r>
          </w:p>
        </w:tc>
      </w:tr>
      <w:tr w:rsidR="006D6EBC" w:rsidTr="00122BF4">
        <w:trPr>
          <w:trHeight w:val="300"/>
          <w:jc w:val="center"/>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6D6EBC" w:rsidRPr="006D6EBC" w:rsidRDefault="006D6EBC" w:rsidP="006D6EBC">
            <w:pPr>
              <w:rPr>
                <w:color w:val="000000"/>
              </w:rPr>
            </w:pPr>
            <w:r w:rsidRPr="006D6EBC">
              <w:rPr>
                <w:color w:val="000000"/>
              </w:rPr>
              <w:t>К</w:t>
            </w:r>
            <w:r>
              <w:rPr>
                <w:color w:val="000000"/>
              </w:rPr>
              <w:t>раткосрочные обязательства</w:t>
            </w:r>
          </w:p>
        </w:tc>
        <w:tc>
          <w:tcPr>
            <w:tcW w:w="1417"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41 460 511</w:t>
            </w:r>
          </w:p>
        </w:tc>
        <w:tc>
          <w:tcPr>
            <w:tcW w:w="1582"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62180940</w:t>
            </w:r>
          </w:p>
        </w:tc>
        <w:tc>
          <w:tcPr>
            <w:tcW w:w="1356"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60858414</w:t>
            </w:r>
          </w:p>
        </w:tc>
      </w:tr>
      <w:tr w:rsidR="006D6EBC" w:rsidTr="00122BF4">
        <w:trPr>
          <w:trHeight w:val="300"/>
          <w:jc w:val="center"/>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6D6EBC" w:rsidRPr="006D6EBC" w:rsidRDefault="006D6EBC">
            <w:pPr>
              <w:rPr>
                <w:color w:val="000000"/>
              </w:rPr>
            </w:pPr>
            <w:r w:rsidRPr="006D6EBC">
              <w:rPr>
                <w:color w:val="000000"/>
              </w:rPr>
              <w:t>СОК</w:t>
            </w:r>
          </w:p>
        </w:tc>
        <w:tc>
          <w:tcPr>
            <w:tcW w:w="1417"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-10 488 256</w:t>
            </w:r>
          </w:p>
        </w:tc>
        <w:tc>
          <w:tcPr>
            <w:tcW w:w="1582"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-11841554</w:t>
            </w:r>
          </w:p>
        </w:tc>
        <w:tc>
          <w:tcPr>
            <w:tcW w:w="1356"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2493712</w:t>
            </w:r>
          </w:p>
        </w:tc>
      </w:tr>
      <w:tr w:rsidR="006D6EBC" w:rsidTr="00122BF4">
        <w:trPr>
          <w:trHeight w:val="300"/>
          <w:jc w:val="center"/>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6D6EBC" w:rsidRPr="006D6EBC" w:rsidRDefault="006D6EBC">
            <w:pPr>
              <w:rPr>
                <w:color w:val="000000"/>
              </w:rPr>
            </w:pPr>
            <w:r w:rsidRPr="006D6EBC">
              <w:rPr>
                <w:color w:val="000000"/>
              </w:rPr>
              <w:lastRenderedPageBreak/>
              <w:t>Доля СОК в Выручке</w:t>
            </w:r>
          </w:p>
        </w:tc>
        <w:tc>
          <w:tcPr>
            <w:tcW w:w="1417"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rPr>
                <w:color w:val="000000"/>
              </w:rPr>
            </w:pPr>
            <w:r w:rsidRPr="006D6EBC">
              <w:rPr>
                <w:color w:val="000000"/>
              </w:rPr>
              <w:t>-</w:t>
            </w:r>
          </w:p>
        </w:tc>
        <w:tc>
          <w:tcPr>
            <w:tcW w:w="1582"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-0,061042638</w:t>
            </w:r>
          </w:p>
        </w:tc>
        <w:tc>
          <w:tcPr>
            <w:tcW w:w="1356"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jc w:val="right"/>
              <w:rPr>
                <w:color w:val="000000"/>
              </w:rPr>
            </w:pPr>
            <w:r w:rsidRPr="006D6EBC">
              <w:rPr>
                <w:color w:val="000000"/>
              </w:rPr>
              <w:t>0,00986581</w:t>
            </w:r>
          </w:p>
        </w:tc>
      </w:tr>
      <w:tr w:rsidR="006D6EBC" w:rsidTr="00122BF4">
        <w:trPr>
          <w:trHeight w:val="300"/>
          <w:jc w:val="center"/>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6D6EBC" w:rsidRPr="00D553CC" w:rsidRDefault="006D6EBC">
            <w:pPr>
              <w:rPr>
                <w:b/>
                <w:color w:val="000000"/>
              </w:rPr>
            </w:pPr>
            <w:r w:rsidRPr="00D553CC">
              <w:rPr>
                <w:b/>
                <w:color w:val="000000"/>
              </w:rPr>
              <w:t>Прирост СОК</w:t>
            </w:r>
          </w:p>
        </w:tc>
        <w:tc>
          <w:tcPr>
            <w:tcW w:w="1417" w:type="dxa"/>
            <w:tcBorders>
              <w:top w:val="nil"/>
              <w:left w:val="nil"/>
              <w:bottom w:val="single" w:sz="4" w:space="0" w:color="auto"/>
              <w:right w:val="single" w:sz="4" w:space="0" w:color="auto"/>
            </w:tcBorders>
            <w:shd w:val="clear" w:color="auto" w:fill="auto"/>
            <w:noWrap/>
            <w:vAlign w:val="bottom"/>
            <w:hideMark/>
          </w:tcPr>
          <w:p w:rsidR="006D6EBC" w:rsidRPr="006D6EBC" w:rsidRDefault="006D6EBC">
            <w:pPr>
              <w:rPr>
                <w:color w:val="000000"/>
              </w:rPr>
            </w:pPr>
            <w:r w:rsidRPr="006D6EBC">
              <w:rPr>
                <w:color w:val="000000"/>
              </w:rPr>
              <w:t>-</w:t>
            </w:r>
          </w:p>
        </w:tc>
        <w:tc>
          <w:tcPr>
            <w:tcW w:w="1582" w:type="dxa"/>
            <w:tcBorders>
              <w:top w:val="nil"/>
              <w:left w:val="nil"/>
              <w:bottom w:val="single" w:sz="4" w:space="0" w:color="auto"/>
              <w:right w:val="single" w:sz="4" w:space="0" w:color="auto"/>
            </w:tcBorders>
            <w:shd w:val="clear" w:color="auto" w:fill="auto"/>
            <w:noWrap/>
            <w:vAlign w:val="bottom"/>
            <w:hideMark/>
          </w:tcPr>
          <w:p w:rsidR="006D6EBC" w:rsidRPr="00D553CC" w:rsidRDefault="006D6EBC">
            <w:pPr>
              <w:jc w:val="right"/>
              <w:rPr>
                <w:b/>
                <w:color w:val="000000"/>
              </w:rPr>
            </w:pPr>
            <w:r w:rsidRPr="00D553CC">
              <w:rPr>
                <w:b/>
                <w:color w:val="000000"/>
              </w:rPr>
              <w:t>1353298</w:t>
            </w:r>
          </w:p>
        </w:tc>
        <w:tc>
          <w:tcPr>
            <w:tcW w:w="1356" w:type="dxa"/>
            <w:tcBorders>
              <w:top w:val="nil"/>
              <w:left w:val="nil"/>
              <w:bottom w:val="single" w:sz="4" w:space="0" w:color="auto"/>
              <w:right w:val="single" w:sz="4" w:space="0" w:color="auto"/>
            </w:tcBorders>
            <w:shd w:val="clear" w:color="auto" w:fill="auto"/>
            <w:noWrap/>
            <w:vAlign w:val="bottom"/>
            <w:hideMark/>
          </w:tcPr>
          <w:p w:rsidR="006D6EBC" w:rsidRPr="00D553CC" w:rsidRDefault="006D6EBC">
            <w:pPr>
              <w:jc w:val="right"/>
              <w:rPr>
                <w:b/>
                <w:color w:val="000000"/>
              </w:rPr>
            </w:pPr>
            <w:r w:rsidRPr="00D553CC">
              <w:rPr>
                <w:b/>
                <w:color w:val="000000"/>
              </w:rPr>
              <w:t>14335266</w:t>
            </w:r>
          </w:p>
        </w:tc>
      </w:tr>
    </w:tbl>
    <w:p w:rsidR="00833C84" w:rsidRDefault="006D6EBC" w:rsidP="006D6EBC">
      <w:pPr>
        <w:spacing w:line="360" w:lineRule="auto"/>
        <w:ind w:firstLine="567"/>
        <w:contextualSpacing/>
        <w:jc w:val="center"/>
      </w:pPr>
      <w:r>
        <w:t>Рассчитано по: годовые отчеты «Лента»</w:t>
      </w:r>
    </w:p>
    <w:p w:rsidR="00C27826" w:rsidRDefault="006D6CCE" w:rsidP="00833C84">
      <w:pPr>
        <w:spacing w:line="360" w:lineRule="auto"/>
        <w:ind w:firstLine="567"/>
        <w:contextualSpacing/>
      </w:pPr>
      <w:r>
        <w:t>Для дальнейшего расчета средневзвешенной стоимости капитала был</w:t>
      </w:r>
      <w:r w:rsidR="009E7D44">
        <w:t>а</w:t>
      </w:r>
      <w:r>
        <w:t xml:space="preserve"> исполь</w:t>
      </w:r>
      <w:r w:rsidR="00413D9A">
        <w:t>з</w:t>
      </w:r>
      <w:r w:rsidR="00473672">
        <w:t>ован</w:t>
      </w:r>
      <w:r w:rsidR="009E7D44">
        <w:t>а следующая формула</w:t>
      </w:r>
      <w:r w:rsidR="00473672">
        <w:t>:</w:t>
      </w:r>
    </w:p>
    <w:p w:rsidR="00306D2D" w:rsidRPr="00306D2D" w:rsidRDefault="004441E0" w:rsidP="00C27826">
      <w:pPr>
        <w:spacing w:line="360" w:lineRule="auto"/>
        <w:ind w:firstLine="567"/>
        <w:contextualSpacing/>
        <w:jc w:val="center"/>
      </w:pPr>
      <m:oMathPara>
        <m:oMath>
          <m:r>
            <m:rPr>
              <m:sty m:val="p"/>
            </m:rPr>
            <w:rPr>
              <w:rFonts w:ascii="Cambria Math" w:hAnsi="Cambria Math"/>
            </w:rPr>
            <m:t>WACC=</m:t>
          </m:r>
          <m:sSub>
            <m:sSubPr>
              <m:ctrlPr>
                <w:rPr>
                  <w:rFonts w:ascii="Cambria Math" w:hAnsi="Cambria Math"/>
                </w:rPr>
              </m:ctrlPr>
            </m:sSubPr>
            <m:e>
              <m:r>
                <m:rPr>
                  <m:sty m:val="p"/>
                </m:rPr>
                <w:rPr>
                  <w:rFonts w:ascii="Cambria Math" w:hAnsi="Cambria Math"/>
                  <w:lang w:val="en-US"/>
                </w:rPr>
                <m:t>R</m:t>
              </m:r>
            </m:e>
            <m:sub>
              <m:r>
                <m:rPr>
                  <m:sty m:val="p"/>
                </m:rPr>
                <w:rPr>
                  <w:rFonts w:ascii="Cambria Math" w:hAnsi="Cambria Math"/>
                </w:rPr>
                <m:t>D</m:t>
              </m:r>
            </m:sub>
          </m:sSub>
          <m:r>
            <m:rPr>
              <m:sty m:val="p"/>
            </m:rPr>
            <w:rPr>
              <w:rFonts w:ascii="Cambria Math" w:hAnsi="Cambria Math"/>
            </w:rPr>
            <m:t>*</m:t>
          </m:r>
          <m:d>
            <m:dPr>
              <m:ctrlPr>
                <w:rPr>
                  <w:rFonts w:ascii="Cambria Math" w:hAnsi="Cambria Math"/>
                </w:rPr>
              </m:ctrlPr>
            </m:dPr>
            <m:e>
              <m:r>
                <m:rPr>
                  <m:sty m:val="p"/>
                </m:rPr>
                <w:rPr>
                  <w:rFonts w:ascii="Cambria Math" w:hAnsi="Cambria Math"/>
                </w:rPr>
                <m:t>1-T</m:t>
              </m:r>
            </m:e>
          </m:d>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V</m:t>
              </m:r>
            </m:den>
          </m:f>
        </m:oMath>
      </m:oMathPara>
    </w:p>
    <w:p w:rsidR="008D5433" w:rsidRDefault="008D5433" w:rsidP="008D5433">
      <w:pPr>
        <w:spacing w:line="360" w:lineRule="auto"/>
        <w:ind w:firstLine="567"/>
        <w:contextualSpacing/>
      </w:pPr>
      <w:r>
        <w:t xml:space="preserve">Где </w:t>
      </w:r>
      <m:oMath>
        <m:sSub>
          <m:sSubPr>
            <m:ctrlPr>
              <w:rPr>
                <w:rFonts w:ascii="Cambria Math" w:hAnsi="Cambria Math"/>
              </w:rPr>
            </m:ctrlPr>
          </m:sSubPr>
          <m:e>
            <m:r>
              <m:rPr>
                <m:sty m:val="p"/>
              </m:rPr>
              <w:rPr>
                <w:rFonts w:ascii="Cambria Math" w:hAnsi="Cambria Math"/>
                <w:lang w:val="en-US"/>
              </w:rPr>
              <m:t>R</m:t>
            </m:r>
          </m:e>
          <m:sub>
            <m:r>
              <m:rPr>
                <m:sty m:val="p"/>
              </m:rPr>
              <w:rPr>
                <w:rFonts w:ascii="Cambria Math" w:hAnsi="Cambria Math"/>
              </w:rPr>
              <m:t>D</m:t>
            </m:r>
          </m:sub>
        </m:sSub>
      </m:oMath>
      <w:r>
        <w:t xml:space="preserve"> – отношение долговых обязательств к общему размеру долгосрочных зае</w:t>
      </w:r>
      <w:r>
        <w:t>м</w:t>
      </w:r>
      <w:r>
        <w:t>ных средств;</w:t>
      </w:r>
    </w:p>
    <w:p w:rsidR="00274C7A" w:rsidRPr="00274C7A" w:rsidRDefault="006F61CB" w:rsidP="008D5433">
      <w:pPr>
        <w:spacing w:line="360" w:lineRule="auto"/>
        <w:ind w:firstLine="567"/>
        <w:contextualSpacing/>
      </w:pPr>
      <m:oMath>
        <m:sSub>
          <m:sSubPr>
            <m:ctrlPr>
              <w:rPr>
                <w:rFonts w:ascii="Cambria Math" w:hAnsi="Cambria Math"/>
              </w:rPr>
            </m:ctrlPr>
          </m:sSubPr>
          <m:e>
            <m:r>
              <m:rPr>
                <m:sty m:val="p"/>
              </m:rPr>
              <w:rPr>
                <w:rFonts w:ascii="Cambria Math" w:hAnsi="Cambria Math"/>
                <w:lang w:val="en-US"/>
              </w:rPr>
              <m:t>R</m:t>
            </m:r>
          </m:e>
          <m:sub>
            <m:r>
              <m:rPr>
                <m:sty m:val="p"/>
              </m:rPr>
              <w:rPr>
                <w:rFonts w:ascii="Cambria Math" w:hAnsi="Cambria Math"/>
              </w:rPr>
              <m:t>Е</m:t>
            </m:r>
          </m:sub>
        </m:sSub>
      </m:oMath>
      <w:r w:rsidR="00274C7A">
        <w:t xml:space="preserve"> </w:t>
      </w:r>
      <w:r w:rsidR="0025241B">
        <w:t>–</w:t>
      </w:r>
      <w:r w:rsidR="00274C7A">
        <w:t xml:space="preserve"> </w:t>
      </w:r>
      <w:r w:rsidR="0025241B">
        <w:t>ставка дохода на собственный капитал;</w:t>
      </w:r>
    </w:p>
    <w:p w:rsidR="008D5433" w:rsidRDefault="008D5433" w:rsidP="008D5433">
      <w:pPr>
        <w:spacing w:line="360" w:lineRule="auto"/>
        <w:ind w:firstLine="567"/>
        <w:contextualSpacing/>
      </w:pPr>
      <w:r>
        <w:t>Т – налог на прибыль;</w:t>
      </w:r>
    </w:p>
    <w:p w:rsidR="008D5433" w:rsidRDefault="008D5433" w:rsidP="008D5433">
      <w:pPr>
        <w:spacing w:line="360" w:lineRule="auto"/>
        <w:ind w:firstLine="567"/>
        <w:contextualSpacing/>
      </w:pPr>
      <w:r>
        <w:rPr>
          <w:lang w:val="en-US"/>
        </w:rPr>
        <w:t>D</w:t>
      </w:r>
      <w:r>
        <w:t xml:space="preserve"> – </w:t>
      </w:r>
      <w:proofErr w:type="gramStart"/>
      <w:r>
        <w:t>величина</w:t>
      </w:r>
      <w:proofErr w:type="gramEnd"/>
      <w:r>
        <w:t xml:space="preserve"> долгосрочных обязательств;</w:t>
      </w:r>
    </w:p>
    <w:p w:rsidR="008D5433" w:rsidRDefault="008D5433" w:rsidP="008D5433">
      <w:pPr>
        <w:spacing w:line="360" w:lineRule="auto"/>
        <w:ind w:firstLine="567"/>
        <w:contextualSpacing/>
      </w:pPr>
      <w:r>
        <w:rPr>
          <w:lang w:val="en-US"/>
        </w:rPr>
        <w:t>V</w:t>
      </w:r>
      <w:r w:rsidRPr="008D5433">
        <w:t xml:space="preserve"> </w:t>
      </w:r>
      <w:r>
        <w:t xml:space="preserve">– </w:t>
      </w:r>
      <w:proofErr w:type="gramStart"/>
      <w:r w:rsidR="00632E75">
        <w:t>стоимость</w:t>
      </w:r>
      <w:proofErr w:type="gramEnd"/>
      <w:r>
        <w:t xml:space="preserve"> заемных и собственных средств;</w:t>
      </w:r>
    </w:p>
    <w:p w:rsidR="008D5433" w:rsidRDefault="00485591" w:rsidP="008D5433">
      <w:pPr>
        <w:spacing w:line="360" w:lineRule="auto"/>
        <w:ind w:firstLine="567"/>
        <w:contextualSpacing/>
      </w:pPr>
      <w:r>
        <w:t>Е – рыночная стоимость собственных средств.</w:t>
      </w:r>
    </w:p>
    <w:p w:rsidR="00485591" w:rsidRPr="00533D5C" w:rsidRDefault="00CA5413" w:rsidP="00274C7A">
      <w:pPr>
        <w:spacing w:line="360" w:lineRule="auto"/>
        <w:ind w:firstLine="567"/>
        <w:contextualSpacing/>
        <w:jc w:val="both"/>
      </w:pPr>
      <w:r>
        <w:t>Для подсчета</w:t>
      </w:r>
      <w:r w:rsidR="00B62903">
        <w:t xml:space="preserve"> </w:t>
      </w:r>
      <w:r>
        <w:t xml:space="preserve">отношения долговых обязательств к заемным средствам были взяты долгосрочные кредиты и займы. </w:t>
      </w:r>
      <w:r w:rsidR="00274C7A">
        <w:t>Рыночная стоимость компании была определена как к</w:t>
      </w:r>
      <w:r w:rsidR="00274C7A">
        <w:t>о</w:t>
      </w:r>
      <w:r w:rsidR="00274C7A">
        <w:t xml:space="preserve">личество выпущенных группой акций умноженное на их рыночную стоимость. </w:t>
      </w:r>
      <w:r w:rsidR="00533D5C">
        <w:t xml:space="preserve">В </w:t>
      </w:r>
      <w:r w:rsidR="00240B4C">
        <w:t>итоге</w:t>
      </w:r>
      <w:r w:rsidR="00533D5C">
        <w:t xml:space="preserve">, значение </w:t>
      </w:r>
      <w:r w:rsidR="00533D5C">
        <w:rPr>
          <w:lang w:val="en-US"/>
        </w:rPr>
        <w:t>WACC</w:t>
      </w:r>
      <w:r w:rsidR="00533D5C" w:rsidRPr="00533D5C">
        <w:t xml:space="preserve"> </w:t>
      </w:r>
      <w:r w:rsidR="00533D5C">
        <w:t>составило 17,85%. (таб. 3.6)</w:t>
      </w:r>
    </w:p>
    <w:p w:rsidR="00306D2D" w:rsidRDefault="00306D2D" w:rsidP="00306D2D">
      <w:pPr>
        <w:spacing w:line="360" w:lineRule="auto"/>
        <w:ind w:firstLine="567"/>
        <w:contextualSpacing/>
        <w:jc w:val="right"/>
        <w:rPr>
          <w:i/>
        </w:rPr>
      </w:pPr>
      <w:r w:rsidRPr="00306D2D">
        <w:rPr>
          <w:i/>
        </w:rPr>
        <w:t>Таблиц</w:t>
      </w:r>
      <w:r w:rsidR="00A23128">
        <w:rPr>
          <w:i/>
        </w:rPr>
        <w:t>а</w:t>
      </w:r>
      <w:r w:rsidR="00374B21">
        <w:rPr>
          <w:i/>
        </w:rPr>
        <w:t xml:space="preserve"> 3.6</w:t>
      </w:r>
    </w:p>
    <w:p w:rsidR="00306D2D" w:rsidRPr="00306D2D" w:rsidRDefault="00306D2D" w:rsidP="00306D2D">
      <w:pPr>
        <w:spacing w:line="360" w:lineRule="auto"/>
        <w:ind w:firstLine="567"/>
        <w:contextualSpacing/>
        <w:jc w:val="center"/>
        <w:rPr>
          <w:b/>
        </w:rPr>
      </w:pPr>
      <w:r>
        <w:rPr>
          <w:b/>
        </w:rPr>
        <w:t>Расчет средневзвешенной стоимости капитала, %</w:t>
      </w:r>
    </w:p>
    <w:tbl>
      <w:tblPr>
        <w:tblStyle w:val="a7"/>
        <w:tblW w:w="0" w:type="auto"/>
        <w:jc w:val="center"/>
        <w:tblLook w:val="04A0" w:firstRow="1" w:lastRow="0" w:firstColumn="1" w:lastColumn="0" w:noHBand="0" w:noVBand="1"/>
      </w:tblPr>
      <w:tblGrid>
        <w:gridCol w:w="3945"/>
        <w:gridCol w:w="2172"/>
      </w:tblGrid>
      <w:tr w:rsidR="008739C4" w:rsidRPr="00306D2D" w:rsidTr="008739C4">
        <w:trPr>
          <w:trHeight w:val="300"/>
          <w:jc w:val="center"/>
        </w:trPr>
        <w:tc>
          <w:tcPr>
            <w:tcW w:w="3945" w:type="dxa"/>
            <w:noWrap/>
            <w:hideMark/>
          </w:tcPr>
          <w:p w:rsidR="00306D2D" w:rsidRPr="00306D2D" w:rsidRDefault="00306D2D" w:rsidP="00306D2D">
            <w:pPr>
              <w:spacing w:line="360" w:lineRule="auto"/>
              <w:contextualSpacing/>
            </w:pPr>
            <w:r w:rsidRPr="00306D2D">
              <w:t>Показатель</w:t>
            </w:r>
          </w:p>
        </w:tc>
        <w:tc>
          <w:tcPr>
            <w:tcW w:w="2172" w:type="dxa"/>
            <w:noWrap/>
            <w:hideMark/>
          </w:tcPr>
          <w:p w:rsidR="00306D2D" w:rsidRPr="00306D2D" w:rsidRDefault="00306D2D" w:rsidP="00306D2D">
            <w:pPr>
              <w:spacing w:line="360" w:lineRule="auto"/>
              <w:ind w:firstLine="567"/>
              <w:contextualSpacing/>
              <w:jc w:val="right"/>
            </w:pPr>
            <w:r w:rsidRPr="00306D2D">
              <w:t>Значение</w:t>
            </w:r>
          </w:p>
        </w:tc>
      </w:tr>
      <w:tr w:rsidR="00306D2D" w:rsidRPr="00306D2D" w:rsidTr="008739C4">
        <w:trPr>
          <w:trHeight w:val="300"/>
          <w:jc w:val="center"/>
        </w:trPr>
        <w:tc>
          <w:tcPr>
            <w:tcW w:w="3945" w:type="dxa"/>
            <w:noWrap/>
            <w:hideMark/>
          </w:tcPr>
          <w:p w:rsidR="00306D2D" w:rsidRPr="00306D2D" w:rsidRDefault="00306D2D" w:rsidP="00306D2D">
            <w:pPr>
              <w:spacing w:line="360" w:lineRule="auto"/>
              <w:contextualSpacing/>
            </w:pPr>
            <w:r w:rsidRPr="00306D2D">
              <w:t>R(D)</w:t>
            </w:r>
          </w:p>
        </w:tc>
        <w:tc>
          <w:tcPr>
            <w:tcW w:w="2172" w:type="dxa"/>
            <w:noWrap/>
            <w:hideMark/>
          </w:tcPr>
          <w:p w:rsidR="00306D2D" w:rsidRPr="00306D2D" w:rsidRDefault="00306D2D" w:rsidP="00306D2D">
            <w:pPr>
              <w:spacing w:line="360" w:lineRule="auto"/>
              <w:ind w:firstLine="567"/>
              <w:contextualSpacing/>
              <w:jc w:val="right"/>
            </w:pPr>
            <w:r w:rsidRPr="00306D2D">
              <w:t>0,12</w:t>
            </w:r>
          </w:p>
        </w:tc>
      </w:tr>
      <w:tr w:rsidR="00306D2D" w:rsidRPr="00306D2D" w:rsidTr="008739C4">
        <w:trPr>
          <w:trHeight w:val="300"/>
          <w:jc w:val="center"/>
        </w:trPr>
        <w:tc>
          <w:tcPr>
            <w:tcW w:w="3945" w:type="dxa"/>
            <w:noWrap/>
            <w:hideMark/>
          </w:tcPr>
          <w:p w:rsidR="00306D2D" w:rsidRPr="00306D2D" w:rsidRDefault="00306D2D" w:rsidP="00306D2D">
            <w:pPr>
              <w:spacing w:line="360" w:lineRule="auto"/>
              <w:contextualSpacing/>
            </w:pPr>
            <w:r w:rsidRPr="00306D2D">
              <w:t>R(</w:t>
            </w:r>
            <w:proofErr w:type="spellStart"/>
            <w:r w:rsidRPr="00306D2D">
              <w:t>equity</w:t>
            </w:r>
            <w:proofErr w:type="spellEnd"/>
            <w:r w:rsidRPr="00306D2D">
              <w:t>)</w:t>
            </w:r>
          </w:p>
        </w:tc>
        <w:tc>
          <w:tcPr>
            <w:tcW w:w="2172" w:type="dxa"/>
            <w:noWrap/>
            <w:hideMark/>
          </w:tcPr>
          <w:p w:rsidR="00306D2D" w:rsidRPr="00306D2D" w:rsidRDefault="00306D2D" w:rsidP="00C1649A">
            <w:pPr>
              <w:spacing w:line="360" w:lineRule="auto"/>
              <w:ind w:firstLine="567"/>
              <w:contextualSpacing/>
              <w:jc w:val="right"/>
            </w:pPr>
            <w:r w:rsidRPr="00306D2D">
              <w:t>0,2</w:t>
            </w:r>
            <w:r w:rsidR="00C1649A">
              <w:t>172</w:t>
            </w:r>
          </w:p>
        </w:tc>
      </w:tr>
      <w:tr w:rsidR="00306D2D" w:rsidRPr="00306D2D" w:rsidTr="008739C4">
        <w:trPr>
          <w:trHeight w:val="300"/>
          <w:jc w:val="center"/>
        </w:trPr>
        <w:tc>
          <w:tcPr>
            <w:tcW w:w="3945" w:type="dxa"/>
            <w:noWrap/>
            <w:hideMark/>
          </w:tcPr>
          <w:p w:rsidR="00306D2D" w:rsidRPr="00306D2D" w:rsidRDefault="00306D2D" w:rsidP="00306D2D">
            <w:pPr>
              <w:spacing w:line="360" w:lineRule="auto"/>
              <w:contextualSpacing/>
            </w:pPr>
            <w:r w:rsidRPr="00306D2D">
              <w:t>Рыночная стоимость СК</w:t>
            </w:r>
            <w:r w:rsidR="008739C4">
              <w:t xml:space="preserve"> (тыс. руб.)</w:t>
            </w:r>
          </w:p>
        </w:tc>
        <w:tc>
          <w:tcPr>
            <w:tcW w:w="2172" w:type="dxa"/>
            <w:noWrap/>
            <w:hideMark/>
          </w:tcPr>
          <w:p w:rsidR="00306D2D" w:rsidRPr="00306D2D" w:rsidRDefault="00306D2D" w:rsidP="008739C4">
            <w:pPr>
              <w:spacing w:line="360" w:lineRule="auto"/>
              <w:ind w:firstLine="567"/>
              <w:contextualSpacing/>
              <w:jc w:val="right"/>
            </w:pPr>
            <w:r w:rsidRPr="00306D2D">
              <w:t>148441416,38</w:t>
            </w:r>
            <w:r w:rsidR="008739C4">
              <w:t xml:space="preserve"> </w:t>
            </w:r>
          </w:p>
        </w:tc>
      </w:tr>
      <w:tr w:rsidR="00306D2D" w:rsidRPr="00306D2D" w:rsidTr="008739C4">
        <w:trPr>
          <w:trHeight w:val="300"/>
          <w:jc w:val="center"/>
        </w:trPr>
        <w:tc>
          <w:tcPr>
            <w:tcW w:w="3945" w:type="dxa"/>
            <w:noWrap/>
            <w:hideMark/>
          </w:tcPr>
          <w:p w:rsidR="00306D2D" w:rsidRPr="00306D2D" w:rsidRDefault="00306D2D" w:rsidP="00306D2D">
            <w:pPr>
              <w:spacing w:line="360" w:lineRule="auto"/>
              <w:contextualSpacing/>
            </w:pPr>
            <w:r w:rsidRPr="00306D2D">
              <w:t>D/E</w:t>
            </w:r>
          </w:p>
        </w:tc>
        <w:tc>
          <w:tcPr>
            <w:tcW w:w="2172" w:type="dxa"/>
            <w:noWrap/>
            <w:hideMark/>
          </w:tcPr>
          <w:p w:rsidR="00306D2D" w:rsidRPr="00306D2D" w:rsidRDefault="00306D2D" w:rsidP="00306D2D">
            <w:pPr>
              <w:spacing w:line="360" w:lineRule="auto"/>
              <w:ind w:firstLine="567"/>
              <w:contextualSpacing/>
              <w:jc w:val="right"/>
            </w:pPr>
            <w:r w:rsidRPr="00306D2D">
              <w:t>0,45</w:t>
            </w:r>
          </w:p>
        </w:tc>
      </w:tr>
      <w:tr w:rsidR="00306D2D" w:rsidRPr="00306D2D" w:rsidTr="008739C4">
        <w:trPr>
          <w:trHeight w:val="300"/>
          <w:jc w:val="center"/>
        </w:trPr>
        <w:tc>
          <w:tcPr>
            <w:tcW w:w="3945" w:type="dxa"/>
            <w:noWrap/>
            <w:hideMark/>
          </w:tcPr>
          <w:p w:rsidR="00306D2D" w:rsidRPr="00306D2D" w:rsidRDefault="00306D2D" w:rsidP="00306D2D">
            <w:pPr>
              <w:spacing w:line="360" w:lineRule="auto"/>
              <w:contextualSpacing/>
            </w:pPr>
            <w:r w:rsidRPr="00306D2D">
              <w:t>D/V</w:t>
            </w:r>
          </w:p>
        </w:tc>
        <w:tc>
          <w:tcPr>
            <w:tcW w:w="2172" w:type="dxa"/>
            <w:noWrap/>
            <w:hideMark/>
          </w:tcPr>
          <w:p w:rsidR="00306D2D" w:rsidRPr="00306D2D" w:rsidRDefault="00306D2D" w:rsidP="00306D2D">
            <w:pPr>
              <w:spacing w:line="360" w:lineRule="auto"/>
              <w:ind w:firstLine="567"/>
              <w:contextualSpacing/>
              <w:jc w:val="right"/>
            </w:pPr>
            <w:r w:rsidRPr="00306D2D">
              <w:t>0,31</w:t>
            </w:r>
          </w:p>
        </w:tc>
      </w:tr>
      <w:tr w:rsidR="00306D2D" w:rsidRPr="00306D2D" w:rsidTr="008739C4">
        <w:trPr>
          <w:trHeight w:val="300"/>
          <w:jc w:val="center"/>
        </w:trPr>
        <w:tc>
          <w:tcPr>
            <w:tcW w:w="3945" w:type="dxa"/>
            <w:noWrap/>
            <w:hideMark/>
          </w:tcPr>
          <w:p w:rsidR="00306D2D" w:rsidRPr="00306D2D" w:rsidRDefault="00306D2D" w:rsidP="00306D2D">
            <w:pPr>
              <w:spacing w:line="360" w:lineRule="auto"/>
              <w:contextualSpacing/>
            </w:pPr>
            <w:r w:rsidRPr="00306D2D">
              <w:t>E/V</w:t>
            </w:r>
          </w:p>
        </w:tc>
        <w:tc>
          <w:tcPr>
            <w:tcW w:w="2172" w:type="dxa"/>
            <w:noWrap/>
            <w:hideMark/>
          </w:tcPr>
          <w:p w:rsidR="00306D2D" w:rsidRPr="00306D2D" w:rsidRDefault="00306D2D" w:rsidP="00306D2D">
            <w:pPr>
              <w:spacing w:line="360" w:lineRule="auto"/>
              <w:ind w:firstLine="567"/>
              <w:contextualSpacing/>
              <w:jc w:val="right"/>
            </w:pPr>
            <w:r w:rsidRPr="00306D2D">
              <w:t>0,69</w:t>
            </w:r>
          </w:p>
        </w:tc>
      </w:tr>
      <w:tr w:rsidR="00D553CC" w:rsidRPr="00D553CC" w:rsidTr="008739C4">
        <w:trPr>
          <w:trHeight w:val="300"/>
          <w:jc w:val="center"/>
        </w:trPr>
        <w:tc>
          <w:tcPr>
            <w:tcW w:w="3945" w:type="dxa"/>
            <w:noWrap/>
            <w:hideMark/>
          </w:tcPr>
          <w:p w:rsidR="00306D2D" w:rsidRPr="00D553CC" w:rsidRDefault="00306D2D" w:rsidP="00306D2D">
            <w:pPr>
              <w:spacing w:line="360" w:lineRule="auto"/>
              <w:contextualSpacing/>
              <w:rPr>
                <w:b/>
              </w:rPr>
            </w:pPr>
            <w:r w:rsidRPr="00D553CC">
              <w:rPr>
                <w:b/>
              </w:rPr>
              <w:t>WACC</w:t>
            </w:r>
          </w:p>
        </w:tc>
        <w:tc>
          <w:tcPr>
            <w:tcW w:w="2172" w:type="dxa"/>
            <w:noWrap/>
            <w:hideMark/>
          </w:tcPr>
          <w:p w:rsidR="00306D2D" w:rsidRPr="00D553CC" w:rsidRDefault="00306D2D" w:rsidP="00306D2D">
            <w:pPr>
              <w:spacing w:line="360" w:lineRule="auto"/>
              <w:ind w:firstLine="567"/>
              <w:contextualSpacing/>
              <w:jc w:val="right"/>
              <w:rPr>
                <w:b/>
              </w:rPr>
            </w:pPr>
            <w:r w:rsidRPr="00D553CC">
              <w:rPr>
                <w:b/>
              </w:rPr>
              <w:t>17,85</w:t>
            </w:r>
          </w:p>
        </w:tc>
      </w:tr>
    </w:tbl>
    <w:p w:rsidR="00B62903" w:rsidRDefault="005E5D51" w:rsidP="00C27826">
      <w:pPr>
        <w:spacing w:line="360" w:lineRule="auto"/>
        <w:ind w:firstLine="567"/>
        <w:contextualSpacing/>
        <w:jc w:val="center"/>
      </w:pPr>
      <w:r>
        <w:t>Рассчитано по: годовые отчеты «Лента»</w:t>
      </w:r>
    </w:p>
    <w:p w:rsidR="00C1649A" w:rsidRDefault="000F39E2" w:rsidP="000F39E2">
      <w:pPr>
        <w:spacing w:line="360" w:lineRule="auto"/>
        <w:ind w:firstLine="567"/>
        <w:contextualSpacing/>
      </w:pPr>
      <w:r>
        <w:t xml:space="preserve">Для расчета ставки </w:t>
      </w:r>
      <w:r w:rsidR="00A822F9">
        <w:t xml:space="preserve">дохода </w:t>
      </w:r>
      <w:r>
        <w:t xml:space="preserve">на </w:t>
      </w:r>
      <w:r w:rsidR="00A822F9">
        <w:t xml:space="preserve">собственный капитал </w:t>
      </w:r>
      <w:r w:rsidR="00533D5C">
        <w:t>была использована следующая формула:</w:t>
      </w:r>
    </w:p>
    <w:p w:rsidR="00533D5C" w:rsidRDefault="006F61CB" w:rsidP="000F39E2">
      <w:pPr>
        <w:spacing w:line="360" w:lineRule="auto"/>
        <w:ind w:firstLine="567"/>
        <w:contextualSpacing/>
      </w:pPr>
      <m:oMathPara>
        <m:oMath>
          <m:sSub>
            <m:sSubPr>
              <m:ctrlPr>
                <w:rPr>
                  <w:rFonts w:ascii="Cambria Math" w:hAnsi="Cambria Math"/>
                  <w:i/>
                </w:rPr>
              </m:ctrlPr>
            </m:sSubPr>
            <m:e>
              <m:r>
                <w:rPr>
                  <w:rFonts w:ascii="Cambria Math" w:hAnsi="Cambria Math"/>
                  <w:lang w:val="en-US"/>
                </w:rPr>
                <m:t>R</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+S1+S2+C</m:t>
          </m:r>
        </m:oMath>
      </m:oMathPara>
    </w:p>
    <w:p w:rsidR="00980146" w:rsidRDefault="00980146" w:rsidP="00980146">
      <w:pPr>
        <w:spacing w:line="360" w:lineRule="auto"/>
        <w:ind w:firstLine="567"/>
        <w:contextualSpacing/>
      </w:pPr>
      <w:r>
        <w:t xml:space="preserve">Где, </w:t>
      </w:r>
      <m:oMath>
        <m:sSub>
          <m:sSubPr>
            <m:ctrlPr>
              <w:rPr>
                <w:rFonts w:ascii="Cambria Math" w:hAnsi="Cambria Math"/>
                <w:i/>
              </w:rPr>
            </m:ctrlPr>
          </m:sSubPr>
          <m:e>
            <m:r>
              <w:rPr>
                <w:rFonts w:ascii="Cambria Math" w:hAnsi="Cambria Math"/>
              </w:rPr>
              <m:t>R</m:t>
            </m:r>
          </m:e>
          <m:sub>
            <m:r>
              <w:rPr>
                <w:rFonts w:ascii="Cambria Math" w:hAnsi="Cambria Math"/>
              </w:rPr>
              <m:t>f</m:t>
            </m:r>
          </m:sub>
        </m:sSub>
      </m:oMath>
      <w:r>
        <w:t xml:space="preserve"> – безрисковая ставка дохода;</w:t>
      </w:r>
    </w:p>
    <w:p w:rsidR="00980146" w:rsidRDefault="00980146" w:rsidP="00980146">
      <w:pPr>
        <w:spacing w:line="360" w:lineRule="auto"/>
        <w:ind w:firstLine="567"/>
        <w:contextualSpacing/>
      </w:pPr>
      <m:oMath>
        <m:r>
          <w:rPr>
            <w:rFonts w:ascii="Cambria Math" w:hAnsi="Cambria Math"/>
          </w:rPr>
          <m:t>β</m:t>
        </m:r>
      </m:oMath>
      <w:r>
        <w:t xml:space="preserve"> – коэфф. бета – отражает систематический риск, который связан с общими макр</w:t>
      </w:r>
      <w:r>
        <w:t>о</w:t>
      </w:r>
      <w:r>
        <w:t>экономическими и политическими процессами в стране;</w:t>
      </w:r>
    </w:p>
    <w:p w:rsidR="00980146" w:rsidRDefault="006F61CB" w:rsidP="00980146">
      <w:pPr>
        <w:spacing w:line="360" w:lineRule="auto"/>
        <w:ind w:firstLine="567"/>
        <w:contextualSpacing/>
      </w:pPr>
      <m:oMath>
        <m:sSub>
          <m:sSubPr>
            <m:ctrlPr>
              <w:rPr>
                <w:rFonts w:ascii="Cambria Math" w:hAnsi="Cambria Math"/>
                <w:i/>
              </w:rPr>
            </m:ctrlPr>
          </m:sSubPr>
          <m:e>
            <m:r>
              <w:rPr>
                <w:rFonts w:ascii="Cambria Math" w:hAnsi="Cambria Math"/>
              </w:rPr>
              <m:t>R</m:t>
            </m:r>
          </m:e>
          <m:sub>
            <m:r>
              <w:rPr>
                <w:rFonts w:ascii="Cambria Math" w:hAnsi="Cambria Math"/>
              </w:rPr>
              <m:t>P</m:t>
            </m:r>
          </m:sub>
        </m:sSub>
      </m:oMath>
      <w:r w:rsidR="00980146">
        <w:t xml:space="preserve"> </w:t>
      </w:r>
      <w:r w:rsidR="00CB651F">
        <w:t>–</w:t>
      </w:r>
      <w:r w:rsidR="00980146">
        <w:t xml:space="preserve"> </w:t>
      </w:r>
      <w:r w:rsidR="00E172F3">
        <w:t xml:space="preserve">годовая </w:t>
      </w:r>
      <w:r w:rsidR="00B006DF">
        <w:t xml:space="preserve">доходность </w:t>
      </w:r>
      <w:r w:rsidR="00E172F3">
        <w:t>по акциям;</w:t>
      </w:r>
    </w:p>
    <w:p w:rsidR="00CB651F" w:rsidRDefault="00CB651F" w:rsidP="00980146">
      <w:pPr>
        <w:spacing w:line="360" w:lineRule="auto"/>
        <w:ind w:firstLine="567"/>
        <w:contextualSpacing/>
      </w:pPr>
      <m:oMath>
        <m:r>
          <w:rPr>
            <w:rFonts w:ascii="Cambria Math" w:hAnsi="Cambria Math"/>
          </w:rPr>
          <m:t>S1</m:t>
        </m:r>
      </m:oMath>
      <w:r>
        <w:t xml:space="preserve"> – премия за риск крупных компаний;</w:t>
      </w:r>
    </w:p>
    <w:p w:rsidR="00CB651F" w:rsidRDefault="00CB651F" w:rsidP="00980146">
      <w:pPr>
        <w:spacing w:line="360" w:lineRule="auto"/>
        <w:ind w:firstLine="567"/>
        <w:contextualSpacing/>
      </w:pPr>
      <m:oMath>
        <m:r>
          <w:rPr>
            <w:rFonts w:ascii="Cambria Math" w:hAnsi="Cambria Math"/>
          </w:rPr>
          <m:t>S2</m:t>
        </m:r>
      </m:oMath>
      <w:r>
        <w:t xml:space="preserve"> – премия за риск, характерная для отдельной компании;</w:t>
      </w:r>
    </w:p>
    <w:p w:rsidR="00CB651F" w:rsidRDefault="00CB651F" w:rsidP="00980146">
      <w:pPr>
        <w:spacing w:line="360" w:lineRule="auto"/>
        <w:ind w:firstLine="567"/>
        <w:contextualSpacing/>
      </w:pPr>
      <m:oMath>
        <m:r>
          <w:rPr>
            <w:rFonts w:ascii="Cambria Math" w:hAnsi="Cambria Math"/>
          </w:rPr>
          <m:t>C</m:t>
        </m:r>
      </m:oMath>
      <w:r>
        <w:t xml:space="preserve"> – </w:t>
      </w:r>
      <w:proofErr w:type="spellStart"/>
      <w:r>
        <w:t>ст</w:t>
      </w:r>
      <w:r w:rsidR="006E1A8C">
        <w:t>р</w:t>
      </w:r>
      <w:r>
        <w:t>ановой</w:t>
      </w:r>
      <w:proofErr w:type="spellEnd"/>
      <w:r>
        <w:t xml:space="preserve"> риск.</w:t>
      </w:r>
    </w:p>
    <w:p w:rsidR="00865CB6" w:rsidRPr="00980146" w:rsidRDefault="00C912BB" w:rsidP="00C912BB">
      <w:pPr>
        <w:spacing w:line="360" w:lineRule="auto"/>
        <w:ind w:firstLine="567"/>
        <w:contextualSpacing/>
        <w:jc w:val="both"/>
      </w:pPr>
      <w:r>
        <w:t xml:space="preserve">Коэффициент бета в сфере ритейла, согласно </w:t>
      </w:r>
      <w:proofErr w:type="spellStart"/>
      <w:r>
        <w:t>Дамодарану</w:t>
      </w:r>
      <w:proofErr w:type="spellEnd"/>
      <w:r>
        <w:t xml:space="preserve">, </w:t>
      </w:r>
      <w:r>
        <w:rPr>
          <w:color w:val="000000"/>
          <w:shd w:val="clear" w:color="auto" w:fill="FFFFFF"/>
        </w:rPr>
        <w:t>составляет 1,43.</w:t>
      </w:r>
      <w:r>
        <w:rPr>
          <w:rStyle w:val="a6"/>
          <w:color w:val="000000"/>
          <w:shd w:val="clear" w:color="auto" w:fill="FFFFFF"/>
        </w:rPr>
        <w:footnoteReference w:id="62"/>
      </w:r>
      <w:r>
        <w:rPr>
          <w:color w:val="000000"/>
          <w:shd w:val="clear" w:color="auto" w:fill="FFFFFF"/>
        </w:rPr>
        <w:t xml:space="preserve"> Для расчета </w:t>
      </w:r>
      <w:proofErr w:type="spellStart"/>
      <w:r>
        <w:rPr>
          <w:color w:val="000000"/>
          <w:shd w:val="clear" w:color="auto" w:fill="FFFFFF"/>
        </w:rPr>
        <w:t>безрисковой</w:t>
      </w:r>
      <w:proofErr w:type="spellEnd"/>
      <w:r>
        <w:rPr>
          <w:color w:val="000000"/>
          <w:shd w:val="clear" w:color="auto" w:fill="FFFFFF"/>
        </w:rPr>
        <w:t xml:space="preserve"> ставки дохода использовались значения о погашении обязательств за 2017 год (</w:t>
      </w:r>
      <w:proofErr w:type="gramStart"/>
      <w:r>
        <w:rPr>
          <w:color w:val="000000"/>
          <w:shd w:val="clear" w:color="auto" w:fill="FFFFFF"/>
        </w:rPr>
        <w:t>средняя</w:t>
      </w:r>
      <w:proofErr w:type="gramEnd"/>
      <w:r>
        <w:rPr>
          <w:color w:val="000000"/>
          <w:shd w:val="clear" w:color="auto" w:fill="FFFFFF"/>
        </w:rPr>
        <w:t>).</w:t>
      </w:r>
      <w:r>
        <w:rPr>
          <w:rStyle w:val="a6"/>
          <w:color w:val="000000"/>
          <w:shd w:val="clear" w:color="auto" w:fill="FFFFFF"/>
        </w:rPr>
        <w:footnoteReference w:id="63"/>
      </w:r>
      <w:r w:rsidR="00B006DF">
        <w:rPr>
          <w:color w:val="000000"/>
          <w:shd w:val="clear" w:color="auto" w:fill="FFFFFF"/>
        </w:rPr>
        <w:t xml:space="preserve"> </w:t>
      </w:r>
      <w:r w:rsidR="00C6357A">
        <w:rPr>
          <w:color w:val="000000"/>
          <w:shd w:val="clear" w:color="auto" w:fill="FFFFFF"/>
        </w:rPr>
        <w:t>Для расчета премии за риск, которая характера для компании «Ле</w:t>
      </w:r>
      <w:r w:rsidR="00C6357A">
        <w:rPr>
          <w:color w:val="000000"/>
          <w:shd w:val="clear" w:color="auto" w:fill="FFFFFF"/>
        </w:rPr>
        <w:t>н</w:t>
      </w:r>
      <w:r w:rsidR="00C6357A">
        <w:rPr>
          <w:color w:val="000000"/>
          <w:shd w:val="clear" w:color="auto" w:fill="FFFFFF"/>
        </w:rPr>
        <w:t xml:space="preserve">та», была составлена </w:t>
      </w:r>
      <w:r w:rsidR="006E1A8C">
        <w:rPr>
          <w:color w:val="000000"/>
          <w:shd w:val="clear" w:color="auto" w:fill="FFFFFF"/>
        </w:rPr>
        <w:t xml:space="preserve">матрица рисков, где было выявлено, что факторы риска, такие как </w:t>
      </w:r>
      <w:proofErr w:type="gramStart"/>
      <w:r w:rsidR="006E1A8C">
        <w:rPr>
          <w:color w:val="000000"/>
          <w:shd w:val="clear" w:color="auto" w:fill="FFFFFF"/>
        </w:rPr>
        <w:t>зависимость</w:t>
      </w:r>
      <w:proofErr w:type="gramEnd"/>
      <w:r w:rsidR="006E1A8C">
        <w:rPr>
          <w:color w:val="000000"/>
          <w:shd w:val="clear" w:color="auto" w:fill="FFFFFF"/>
        </w:rPr>
        <w:t xml:space="preserve"> от ключевых сотрудников, качества корпоративного управления, ключевых потребителей и ключевых поставщиков имеют среднюю степень влияния на функцион</w:t>
      </w:r>
      <w:r w:rsidR="006E1A8C">
        <w:rPr>
          <w:color w:val="000000"/>
          <w:shd w:val="clear" w:color="auto" w:fill="FFFFFF"/>
        </w:rPr>
        <w:t>и</w:t>
      </w:r>
      <w:r w:rsidR="006E1A8C">
        <w:rPr>
          <w:color w:val="000000"/>
          <w:shd w:val="clear" w:color="auto" w:fill="FFFFFF"/>
        </w:rPr>
        <w:t xml:space="preserve">рование компании, следовательно, было присвоено значение в размере 2%. </w:t>
      </w:r>
      <w:proofErr w:type="spellStart"/>
      <w:r w:rsidR="006E1A8C">
        <w:rPr>
          <w:color w:val="000000"/>
          <w:shd w:val="clear" w:color="auto" w:fill="FFFFFF"/>
        </w:rPr>
        <w:t>Страновой</w:t>
      </w:r>
      <w:proofErr w:type="spellEnd"/>
      <w:r w:rsidR="006E1A8C">
        <w:rPr>
          <w:color w:val="000000"/>
          <w:shd w:val="clear" w:color="auto" w:fill="FFFFFF"/>
        </w:rPr>
        <w:t xml:space="preserve"> риск, согласно </w:t>
      </w:r>
      <w:proofErr w:type="spellStart"/>
      <w:r w:rsidR="006E1A8C">
        <w:rPr>
          <w:color w:val="000000"/>
          <w:shd w:val="clear" w:color="auto" w:fill="FFFFFF"/>
        </w:rPr>
        <w:t>Дамодарану</w:t>
      </w:r>
      <w:proofErr w:type="spellEnd"/>
      <w:r w:rsidR="006E1A8C">
        <w:rPr>
          <w:color w:val="000000"/>
          <w:shd w:val="clear" w:color="auto" w:fill="FFFFFF"/>
        </w:rPr>
        <w:t>, составляет 2,88%.</w:t>
      </w:r>
      <w:r w:rsidR="006E1A8C">
        <w:rPr>
          <w:rStyle w:val="a6"/>
          <w:color w:val="000000"/>
          <w:shd w:val="clear" w:color="auto" w:fill="FFFFFF"/>
        </w:rPr>
        <w:footnoteReference w:id="64"/>
      </w:r>
      <w:r w:rsidR="004A758B">
        <w:rPr>
          <w:color w:val="000000"/>
          <w:shd w:val="clear" w:color="auto" w:fill="FFFFFF"/>
        </w:rPr>
        <w:t xml:space="preserve"> Далее была произведена корректировка значения ставки, с учетом доходности ценных бумаг в рублях и долларах.</w:t>
      </w:r>
      <w:r w:rsidR="004A758B">
        <w:rPr>
          <w:rStyle w:val="a6"/>
          <w:color w:val="000000"/>
          <w:shd w:val="clear" w:color="auto" w:fill="FFFFFF"/>
        </w:rPr>
        <w:footnoteReference w:id="65"/>
      </w:r>
      <w:r w:rsidR="004A758B">
        <w:rPr>
          <w:color w:val="000000"/>
          <w:shd w:val="clear" w:color="auto" w:fill="FFFFFF"/>
        </w:rPr>
        <w:t xml:space="preserve"> </w:t>
      </w:r>
      <w:r w:rsidR="0002645D">
        <w:rPr>
          <w:color w:val="000000"/>
          <w:shd w:val="clear" w:color="auto" w:fill="FFFFFF"/>
        </w:rPr>
        <w:t>По результ</w:t>
      </w:r>
      <w:r w:rsidR="0002645D">
        <w:rPr>
          <w:color w:val="000000"/>
          <w:shd w:val="clear" w:color="auto" w:fill="FFFFFF"/>
        </w:rPr>
        <w:t>а</w:t>
      </w:r>
      <w:r w:rsidR="0002645D">
        <w:rPr>
          <w:color w:val="000000"/>
          <w:shd w:val="clear" w:color="auto" w:fill="FFFFFF"/>
        </w:rPr>
        <w:t>там корректировки</w:t>
      </w:r>
      <w:proofErr w:type="gramStart"/>
      <w:r w:rsidR="0002645D">
        <w:rPr>
          <w:color w:val="000000"/>
          <w:shd w:val="clear" w:color="auto" w:fill="FFFFFF"/>
        </w:rPr>
        <w:t xml:space="preserve"> :</w:t>
      </w:r>
      <w:proofErr w:type="gramEnd"/>
      <w:r w:rsidR="0002645D">
        <w:rPr>
          <w:color w:val="000000"/>
          <w:shd w:val="clear" w:color="auto" w:fill="FFFFFF"/>
        </w:rPr>
        <w:t xml:space="preserve"> </w:t>
      </w:r>
      <w:r w:rsidR="004A758B" w:rsidRPr="004A758B">
        <w:rPr>
          <w:color w:val="000000"/>
          <w:shd w:val="clear" w:color="auto" w:fill="FFFFFF"/>
        </w:rPr>
        <w:t>(1+14</w:t>
      </w:r>
      <w:r w:rsidR="0002645D">
        <w:rPr>
          <w:color w:val="000000"/>
          <w:shd w:val="clear" w:color="auto" w:fill="FFFFFF"/>
        </w:rPr>
        <w:t>,41</w:t>
      </w:r>
      <w:r w:rsidR="004A758B" w:rsidRPr="004A758B">
        <w:rPr>
          <w:color w:val="000000"/>
          <w:shd w:val="clear" w:color="auto" w:fill="FFFFFF"/>
        </w:rPr>
        <w:t>)*(1+</w:t>
      </w:r>
      <w:r w:rsidR="0002645D">
        <w:rPr>
          <w:color w:val="000000"/>
          <w:shd w:val="clear" w:color="auto" w:fill="FFFFFF"/>
        </w:rPr>
        <w:t>8,81</w:t>
      </w:r>
      <w:r w:rsidR="004A758B" w:rsidRPr="004A758B">
        <w:rPr>
          <w:color w:val="000000"/>
          <w:shd w:val="clear" w:color="auto" w:fill="FFFFFF"/>
        </w:rPr>
        <w:t>)/(1+</w:t>
      </w:r>
      <w:r w:rsidR="0002645D">
        <w:rPr>
          <w:color w:val="000000"/>
          <w:shd w:val="clear" w:color="auto" w:fill="FFFFFF"/>
        </w:rPr>
        <w:t>2,27</w:t>
      </w:r>
      <w:r w:rsidR="004A758B" w:rsidRPr="004A758B">
        <w:rPr>
          <w:color w:val="000000"/>
          <w:shd w:val="clear" w:color="auto" w:fill="FFFFFF"/>
        </w:rPr>
        <w:t>)-1</w:t>
      </w:r>
      <w:r w:rsidR="0002645D">
        <w:rPr>
          <w:color w:val="000000"/>
          <w:shd w:val="clear" w:color="auto" w:fill="FFFFFF"/>
        </w:rPr>
        <w:t>=21,72%. (таб. 3.7)</w:t>
      </w:r>
    </w:p>
    <w:p w:rsidR="00C1649A" w:rsidRDefault="00C1649A" w:rsidP="00C1649A">
      <w:pPr>
        <w:spacing w:line="360" w:lineRule="auto"/>
        <w:ind w:firstLine="567"/>
        <w:contextualSpacing/>
        <w:jc w:val="right"/>
        <w:rPr>
          <w:i/>
        </w:rPr>
      </w:pPr>
      <w:r w:rsidRPr="00C1649A">
        <w:rPr>
          <w:i/>
        </w:rPr>
        <w:t>Таблица 3.7</w:t>
      </w:r>
    </w:p>
    <w:p w:rsidR="00C1649A" w:rsidRPr="00C1649A" w:rsidRDefault="00C1649A" w:rsidP="00C1649A">
      <w:pPr>
        <w:spacing w:line="360" w:lineRule="auto"/>
        <w:ind w:firstLine="567"/>
        <w:contextualSpacing/>
        <w:jc w:val="center"/>
        <w:rPr>
          <w:b/>
        </w:rPr>
      </w:pPr>
      <w:r>
        <w:rPr>
          <w:b/>
        </w:rPr>
        <w:t>Расчет ставки дохода, %</w:t>
      </w:r>
    </w:p>
    <w:tbl>
      <w:tblPr>
        <w:tblStyle w:val="a7"/>
        <w:tblW w:w="0" w:type="auto"/>
        <w:jc w:val="center"/>
        <w:tblLook w:val="04A0" w:firstRow="1" w:lastRow="0" w:firstColumn="1" w:lastColumn="0" w:noHBand="0" w:noVBand="1"/>
      </w:tblPr>
      <w:tblGrid>
        <w:gridCol w:w="2376"/>
        <w:gridCol w:w="1985"/>
      </w:tblGrid>
      <w:tr w:rsidR="00C1649A" w:rsidRPr="00C1649A" w:rsidTr="00C1649A">
        <w:trPr>
          <w:trHeight w:val="325"/>
          <w:jc w:val="center"/>
        </w:trPr>
        <w:tc>
          <w:tcPr>
            <w:tcW w:w="2376" w:type="dxa"/>
            <w:noWrap/>
            <w:hideMark/>
          </w:tcPr>
          <w:p w:rsidR="00C1649A" w:rsidRPr="00C1649A" w:rsidRDefault="00C1649A" w:rsidP="00C1649A">
            <w:pPr>
              <w:spacing w:line="360" w:lineRule="auto"/>
              <w:contextualSpacing/>
              <w:rPr>
                <w:b/>
                <w:bCs/>
              </w:rPr>
            </w:pPr>
            <w:r w:rsidRPr="00C1649A">
              <w:rPr>
                <w:b/>
                <w:bCs/>
              </w:rPr>
              <w:t>Показатель</w:t>
            </w:r>
          </w:p>
        </w:tc>
        <w:tc>
          <w:tcPr>
            <w:tcW w:w="1985" w:type="dxa"/>
            <w:noWrap/>
            <w:hideMark/>
          </w:tcPr>
          <w:p w:rsidR="00C1649A" w:rsidRPr="00C1649A" w:rsidRDefault="00C1649A" w:rsidP="00C1649A">
            <w:pPr>
              <w:spacing w:line="360" w:lineRule="auto"/>
              <w:ind w:firstLine="567"/>
              <w:contextualSpacing/>
              <w:jc w:val="center"/>
              <w:rPr>
                <w:b/>
                <w:bCs/>
              </w:rPr>
            </w:pPr>
            <w:r w:rsidRPr="00C1649A">
              <w:rPr>
                <w:b/>
                <w:bCs/>
              </w:rPr>
              <w:t>Значение</w:t>
            </w:r>
          </w:p>
        </w:tc>
      </w:tr>
      <w:tr w:rsidR="00C1649A" w:rsidRPr="00C1649A" w:rsidTr="00C1649A">
        <w:trPr>
          <w:trHeight w:val="225"/>
          <w:jc w:val="center"/>
        </w:trPr>
        <w:tc>
          <w:tcPr>
            <w:tcW w:w="2376" w:type="dxa"/>
            <w:noWrap/>
            <w:hideMark/>
          </w:tcPr>
          <w:p w:rsidR="00C1649A" w:rsidRPr="00C1649A" w:rsidRDefault="00C1649A" w:rsidP="00C1649A">
            <w:pPr>
              <w:spacing w:line="360" w:lineRule="auto"/>
              <w:contextualSpacing/>
            </w:pPr>
            <w:r w:rsidRPr="00C1649A">
              <w:t xml:space="preserve">β </w:t>
            </w:r>
            <w:proofErr w:type="spellStart"/>
            <w:r w:rsidRPr="00C1649A">
              <w:t>levered</w:t>
            </w:r>
            <w:proofErr w:type="spellEnd"/>
          </w:p>
        </w:tc>
        <w:tc>
          <w:tcPr>
            <w:tcW w:w="1985" w:type="dxa"/>
            <w:noWrap/>
            <w:hideMark/>
          </w:tcPr>
          <w:p w:rsidR="00C1649A" w:rsidRPr="00C1649A" w:rsidRDefault="00C1649A" w:rsidP="00C1649A">
            <w:pPr>
              <w:spacing w:line="360" w:lineRule="auto"/>
              <w:contextualSpacing/>
            </w:pPr>
            <w:r w:rsidRPr="00C1649A">
              <w:t>1,43</w:t>
            </w:r>
          </w:p>
        </w:tc>
      </w:tr>
      <w:tr w:rsidR="00C1649A" w:rsidRPr="00C1649A" w:rsidTr="00C1649A">
        <w:trPr>
          <w:trHeight w:val="450"/>
          <w:jc w:val="center"/>
        </w:trPr>
        <w:tc>
          <w:tcPr>
            <w:tcW w:w="2376" w:type="dxa"/>
            <w:noWrap/>
            <w:hideMark/>
          </w:tcPr>
          <w:p w:rsidR="00C1649A" w:rsidRPr="00C1649A" w:rsidRDefault="00C1649A" w:rsidP="00C1649A">
            <w:pPr>
              <w:spacing w:line="360" w:lineRule="auto"/>
              <w:contextualSpacing/>
            </w:pPr>
            <w:proofErr w:type="spellStart"/>
            <w:r w:rsidRPr="00C1649A">
              <w:t>Rf</w:t>
            </w:r>
            <w:proofErr w:type="spellEnd"/>
          </w:p>
        </w:tc>
        <w:tc>
          <w:tcPr>
            <w:tcW w:w="1985" w:type="dxa"/>
            <w:noWrap/>
            <w:hideMark/>
          </w:tcPr>
          <w:p w:rsidR="00C1649A" w:rsidRPr="00C1649A" w:rsidRDefault="00C1649A" w:rsidP="00C1649A">
            <w:pPr>
              <w:spacing w:line="360" w:lineRule="auto"/>
              <w:contextualSpacing/>
            </w:pPr>
            <w:r>
              <w:t>2,21</w:t>
            </w:r>
          </w:p>
        </w:tc>
      </w:tr>
      <w:tr w:rsidR="00C1649A" w:rsidRPr="00C1649A" w:rsidTr="00C1649A">
        <w:trPr>
          <w:trHeight w:val="415"/>
          <w:jc w:val="center"/>
        </w:trPr>
        <w:tc>
          <w:tcPr>
            <w:tcW w:w="2376" w:type="dxa"/>
            <w:noWrap/>
            <w:hideMark/>
          </w:tcPr>
          <w:p w:rsidR="00C1649A" w:rsidRPr="00C1649A" w:rsidRDefault="00C1649A" w:rsidP="00C1649A">
            <w:pPr>
              <w:spacing w:line="360" w:lineRule="auto"/>
              <w:contextualSpacing/>
            </w:pPr>
            <w:proofErr w:type="spellStart"/>
            <w:r w:rsidRPr="00C1649A">
              <w:t>Risk</w:t>
            </w:r>
            <w:proofErr w:type="spellEnd"/>
            <w:r w:rsidRPr="00C1649A">
              <w:t xml:space="preserve"> </w:t>
            </w:r>
            <w:proofErr w:type="spellStart"/>
            <w:r w:rsidRPr="00C1649A">
              <w:t>premium</w:t>
            </w:r>
            <w:proofErr w:type="spellEnd"/>
          </w:p>
        </w:tc>
        <w:tc>
          <w:tcPr>
            <w:tcW w:w="1985" w:type="dxa"/>
            <w:noWrap/>
            <w:hideMark/>
          </w:tcPr>
          <w:p w:rsidR="00C1649A" w:rsidRPr="00C1649A" w:rsidRDefault="00C1649A" w:rsidP="00C1649A">
            <w:pPr>
              <w:spacing w:line="360" w:lineRule="auto"/>
              <w:contextualSpacing/>
            </w:pPr>
            <w:r>
              <w:t>4,54</w:t>
            </w:r>
          </w:p>
        </w:tc>
      </w:tr>
      <w:tr w:rsidR="00C1649A" w:rsidRPr="00C1649A" w:rsidTr="00C1649A">
        <w:trPr>
          <w:trHeight w:val="297"/>
          <w:jc w:val="center"/>
        </w:trPr>
        <w:tc>
          <w:tcPr>
            <w:tcW w:w="2376" w:type="dxa"/>
            <w:noWrap/>
            <w:hideMark/>
          </w:tcPr>
          <w:p w:rsidR="00C1649A" w:rsidRPr="00C1649A" w:rsidRDefault="00C1649A" w:rsidP="00C1649A">
            <w:pPr>
              <w:spacing w:line="360" w:lineRule="auto"/>
              <w:contextualSpacing/>
            </w:pPr>
            <w:r w:rsidRPr="00C1649A">
              <w:t>S1</w:t>
            </w:r>
          </w:p>
        </w:tc>
        <w:tc>
          <w:tcPr>
            <w:tcW w:w="1985" w:type="dxa"/>
            <w:noWrap/>
            <w:hideMark/>
          </w:tcPr>
          <w:p w:rsidR="00C1649A" w:rsidRPr="00C1649A" w:rsidRDefault="00C1649A" w:rsidP="00C1649A">
            <w:pPr>
              <w:spacing w:line="360" w:lineRule="auto"/>
              <w:contextualSpacing/>
            </w:pPr>
            <w:r>
              <w:t>0,81</w:t>
            </w:r>
          </w:p>
        </w:tc>
      </w:tr>
      <w:tr w:rsidR="00C1649A" w:rsidRPr="00C1649A" w:rsidTr="00C1649A">
        <w:trPr>
          <w:trHeight w:val="302"/>
          <w:jc w:val="center"/>
        </w:trPr>
        <w:tc>
          <w:tcPr>
            <w:tcW w:w="2376" w:type="dxa"/>
            <w:noWrap/>
            <w:hideMark/>
          </w:tcPr>
          <w:p w:rsidR="00C1649A" w:rsidRPr="00C1649A" w:rsidRDefault="00C1649A" w:rsidP="00C1649A">
            <w:pPr>
              <w:spacing w:line="360" w:lineRule="auto"/>
              <w:contextualSpacing/>
            </w:pPr>
            <w:r w:rsidRPr="00C1649A">
              <w:t>S2</w:t>
            </w:r>
          </w:p>
        </w:tc>
        <w:tc>
          <w:tcPr>
            <w:tcW w:w="1985" w:type="dxa"/>
            <w:noWrap/>
            <w:hideMark/>
          </w:tcPr>
          <w:p w:rsidR="00C1649A" w:rsidRPr="00C1649A" w:rsidRDefault="00C1649A" w:rsidP="00C1649A">
            <w:pPr>
              <w:spacing w:line="360" w:lineRule="auto"/>
              <w:contextualSpacing/>
            </w:pPr>
            <w:r>
              <w:t>2,00</w:t>
            </w:r>
          </w:p>
        </w:tc>
      </w:tr>
      <w:tr w:rsidR="00C1649A" w:rsidRPr="00C1649A" w:rsidTr="00C1649A">
        <w:trPr>
          <w:trHeight w:val="307"/>
          <w:jc w:val="center"/>
        </w:trPr>
        <w:tc>
          <w:tcPr>
            <w:tcW w:w="2376" w:type="dxa"/>
            <w:noWrap/>
            <w:hideMark/>
          </w:tcPr>
          <w:p w:rsidR="00C1649A" w:rsidRPr="00C1649A" w:rsidRDefault="00C1649A" w:rsidP="00C1649A">
            <w:pPr>
              <w:spacing w:line="360" w:lineRule="auto"/>
              <w:contextualSpacing/>
            </w:pPr>
            <w:proofErr w:type="spellStart"/>
            <w:r w:rsidRPr="00C1649A">
              <w:t>Country</w:t>
            </w:r>
            <w:proofErr w:type="spellEnd"/>
            <w:r w:rsidRPr="00C1649A">
              <w:t xml:space="preserve"> </w:t>
            </w:r>
            <w:proofErr w:type="spellStart"/>
            <w:r w:rsidRPr="00C1649A">
              <w:t>risk</w:t>
            </w:r>
            <w:proofErr w:type="spellEnd"/>
          </w:p>
        </w:tc>
        <w:tc>
          <w:tcPr>
            <w:tcW w:w="1985" w:type="dxa"/>
            <w:noWrap/>
            <w:hideMark/>
          </w:tcPr>
          <w:p w:rsidR="00C1649A" w:rsidRPr="00C1649A" w:rsidRDefault="00C1649A" w:rsidP="00C1649A">
            <w:pPr>
              <w:spacing w:line="360" w:lineRule="auto"/>
              <w:contextualSpacing/>
            </w:pPr>
            <w:r>
              <w:t>2,88</w:t>
            </w:r>
          </w:p>
        </w:tc>
      </w:tr>
      <w:tr w:rsidR="00C1649A" w:rsidRPr="00C1649A" w:rsidTr="00C1649A">
        <w:trPr>
          <w:trHeight w:val="225"/>
          <w:jc w:val="center"/>
        </w:trPr>
        <w:tc>
          <w:tcPr>
            <w:tcW w:w="2376" w:type="dxa"/>
            <w:noWrap/>
            <w:hideMark/>
          </w:tcPr>
          <w:p w:rsidR="00C1649A" w:rsidRPr="00C1649A" w:rsidRDefault="00C1649A" w:rsidP="00C1649A">
            <w:pPr>
              <w:spacing w:line="360" w:lineRule="auto"/>
              <w:contextualSpacing/>
            </w:pPr>
            <w:r w:rsidRPr="00C1649A">
              <w:t>R (USD)</w:t>
            </w:r>
          </w:p>
        </w:tc>
        <w:tc>
          <w:tcPr>
            <w:tcW w:w="1985" w:type="dxa"/>
            <w:noWrap/>
            <w:hideMark/>
          </w:tcPr>
          <w:p w:rsidR="00C1649A" w:rsidRPr="00C1649A" w:rsidRDefault="00C1649A" w:rsidP="00C1649A">
            <w:pPr>
              <w:spacing w:line="360" w:lineRule="auto"/>
              <w:contextualSpacing/>
            </w:pPr>
            <w:r>
              <w:t>14,41</w:t>
            </w:r>
          </w:p>
        </w:tc>
      </w:tr>
      <w:tr w:rsidR="00C1649A" w:rsidRPr="00C1649A" w:rsidTr="00C1649A">
        <w:trPr>
          <w:trHeight w:val="450"/>
          <w:jc w:val="center"/>
        </w:trPr>
        <w:tc>
          <w:tcPr>
            <w:tcW w:w="2376" w:type="dxa"/>
            <w:noWrap/>
            <w:hideMark/>
          </w:tcPr>
          <w:p w:rsidR="00C1649A" w:rsidRPr="00C1649A" w:rsidRDefault="00C1649A" w:rsidP="004A758B">
            <w:pPr>
              <w:spacing w:line="360" w:lineRule="auto"/>
              <w:contextualSpacing/>
            </w:pPr>
            <w:r w:rsidRPr="00C1649A">
              <w:t>r (RUR)</w:t>
            </w:r>
          </w:p>
        </w:tc>
        <w:tc>
          <w:tcPr>
            <w:tcW w:w="1985" w:type="dxa"/>
            <w:noWrap/>
            <w:hideMark/>
          </w:tcPr>
          <w:p w:rsidR="00C1649A" w:rsidRPr="00C1649A" w:rsidRDefault="00C1649A" w:rsidP="00C1649A">
            <w:pPr>
              <w:spacing w:line="360" w:lineRule="auto"/>
              <w:contextualSpacing/>
            </w:pPr>
            <w:r>
              <w:t>8,81</w:t>
            </w:r>
          </w:p>
        </w:tc>
      </w:tr>
      <w:tr w:rsidR="00C1649A" w:rsidRPr="00C1649A" w:rsidTr="00C1649A">
        <w:trPr>
          <w:trHeight w:val="450"/>
          <w:jc w:val="center"/>
        </w:trPr>
        <w:tc>
          <w:tcPr>
            <w:tcW w:w="2376" w:type="dxa"/>
            <w:noWrap/>
            <w:hideMark/>
          </w:tcPr>
          <w:p w:rsidR="00C1649A" w:rsidRPr="00C1649A" w:rsidRDefault="00C1649A" w:rsidP="00C1649A">
            <w:pPr>
              <w:spacing w:line="360" w:lineRule="auto"/>
              <w:contextualSpacing/>
            </w:pPr>
            <w:r w:rsidRPr="00C1649A">
              <w:t>r (USD)</w:t>
            </w:r>
          </w:p>
        </w:tc>
        <w:tc>
          <w:tcPr>
            <w:tcW w:w="1985" w:type="dxa"/>
            <w:noWrap/>
            <w:hideMark/>
          </w:tcPr>
          <w:p w:rsidR="00C1649A" w:rsidRPr="00C1649A" w:rsidRDefault="00C1649A" w:rsidP="00C1649A">
            <w:pPr>
              <w:spacing w:line="360" w:lineRule="auto"/>
              <w:contextualSpacing/>
            </w:pPr>
            <w:r>
              <w:t>2,27</w:t>
            </w:r>
          </w:p>
        </w:tc>
      </w:tr>
      <w:tr w:rsidR="00C1649A" w:rsidRPr="00C1649A" w:rsidTr="00C1649A">
        <w:trPr>
          <w:trHeight w:val="225"/>
          <w:jc w:val="center"/>
        </w:trPr>
        <w:tc>
          <w:tcPr>
            <w:tcW w:w="2376" w:type="dxa"/>
            <w:noWrap/>
            <w:hideMark/>
          </w:tcPr>
          <w:p w:rsidR="00C1649A" w:rsidRPr="00C1649A" w:rsidRDefault="00C1649A" w:rsidP="00C1649A">
            <w:pPr>
              <w:spacing w:line="360" w:lineRule="auto"/>
              <w:contextualSpacing/>
              <w:rPr>
                <w:b/>
                <w:bCs/>
              </w:rPr>
            </w:pPr>
            <w:r w:rsidRPr="00C1649A">
              <w:rPr>
                <w:b/>
                <w:bCs/>
              </w:rPr>
              <w:t>R (RUR)</w:t>
            </w:r>
          </w:p>
        </w:tc>
        <w:tc>
          <w:tcPr>
            <w:tcW w:w="1985" w:type="dxa"/>
            <w:noWrap/>
            <w:hideMark/>
          </w:tcPr>
          <w:p w:rsidR="00C1649A" w:rsidRPr="00C1649A" w:rsidRDefault="00C1649A" w:rsidP="00C1649A">
            <w:pPr>
              <w:spacing w:line="360" w:lineRule="auto"/>
              <w:contextualSpacing/>
              <w:rPr>
                <w:b/>
                <w:bCs/>
              </w:rPr>
            </w:pPr>
            <w:r>
              <w:rPr>
                <w:b/>
                <w:bCs/>
              </w:rPr>
              <w:t>21,72</w:t>
            </w:r>
          </w:p>
        </w:tc>
      </w:tr>
    </w:tbl>
    <w:p w:rsidR="00FF1FC4" w:rsidRDefault="00C1649A" w:rsidP="00C27826">
      <w:pPr>
        <w:spacing w:line="360" w:lineRule="auto"/>
        <w:ind w:firstLine="567"/>
        <w:contextualSpacing/>
        <w:jc w:val="center"/>
      </w:pPr>
      <w:r>
        <w:t xml:space="preserve">Рассчитано по: </w:t>
      </w:r>
      <w:proofErr w:type="spellStart"/>
      <w:r>
        <w:rPr>
          <w:lang w:val="en-US"/>
        </w:rPr>
        <w:t>Damodaran</w:t>
      </w:r>
      <w:proofErr w:type="spellEnd"/>
      <w:r w:rsidRPr="00C1649A">
        <w:t xml:space="preserve"> </w:t>
      </w:r>
      <w:r>
        <w:rPr>
          <w:lang w:val="en-US"/>
        </w:rPr>
        <w:t>Data</w:t>
      </w:r>
      <w:r w:rsidRPr="00C1649A">
        <w:t xml:space="preserve"> // </w:t>
      </w:r>
      <w:r w:rsidRPr="00C1649A">
        <w:rPr>
          <w:lang w:val="en-US"/>
        </w:rPr>
        <w:t>http</w:t>
      </w:r>
      <w:r w:rsidRPr="00C1649A">
        <w:t>://</w:t>
      </w:r>
      <w:r w:rsidRPr="00C1649A">
        <w:rPr>
          <w:lang w:val="en-US"/>
        </w:rPr>
        <w:t>pages</w:t>
      </w:r>
      <w:r w:rsidRPr="00C1649A">
        <w:t>.</w:t>
      </w:r>
      <w:r w:rsidRPr="00C1649A">
        <w:rPr>
          <w:lang w:val="en-US"/>
        </w:rPr>
        <w:t>stern</w:t>
      </w:r>
      <w:r w:rsidRPr="00C1649A">
        <w:t>.</w:t>
      </w:r>
      <w:proofErr w:type="spellStart"/>
      <w:r w:rsidRPr="00C1649A">
        <w:rPr>
          <w:lang w:val="en-US"/>
        </w:rPr>
        <w:t>nyu</w:t>
      </w:r>
      <w:proofErr w:type="spellEnd"/>
      <w:r w:rsidRPr="00C1649A">
        <w:t>.</w:t>
      </w:r>
      <w:proofErr w:type="spellStart"/>
      <w:r w:rsidRPr="00C1649A">
        <w:rPr>
          <w:lang w:val="en-US"/>
        </w:rPr>
        <w:t>edu</w:t>
      </w:r>
      <w:proofErr w:type="spellEnd"/>
      <w:r w:rsidRPr="00C1649A">
        <w:t>/~</w:t>
      </w:r>
      <w:proofErr w:type="spellStart"/>
      <w:r w:rsidRPr="00C1649A">
        <w:rPr>
          <w:lang w:val="en-US"/>
        </w:rPr>
        <w:t>adamodar</w:t>
      </w:r>
      <w:proofErr w:type="spellEnd"/>
      <w:r w:rsidRPr="00C1649A">
        <w:t>/</w:t>
      </w:r>
    </w:p>
    <w:p w:rsidR="002C2E5C" w:rsidRDefault="00964581" w:rsidP="002C2E5C">
      <w:pPr>
        <w:spacing w:line="360" w:lineRule="auto"/>
        <w:ind w:firstLine="567"/>
        <w:contextualSpacing/>
      </w:pPr>
      <w:r>
        <w:t>Следовательно, стоимость компании «Лента» до приобретения активов «</w:t>
      </w:r>
      <w:proofErr w:type="spellStart"/>
      <w:r>
        <w:t>Кеско</w:t>
      </w:r>
      <w:proofErr w:type="spellEnd"/>
      <w:r>
        <w:t>» с</w:t>
      </w:r>
      <w:r>
        <w:t>о</w:t>
      </w:r>
      <w:r>
        <w:t>ставляла:</w:t>
      </w:r>
    </w:p>
    <w:p w:rsidR="00964581" w:rsidRPr="00FF1FC4" w:rsidRDefault="006F61CB" w:rsidP="00964581">
      <w:pPr>
        <w:spacing w:line="360" w:lineRule="auto"/>
        <w:ind w:firstLine="567"/>
        <w:contextualSpacing/>
        <w:jc w:val="center"/>
      </w:pPr>
      <m:oMathPara>
        <m:oMath>
          <m:f>
            <m:fPr>
              <m:ctrlPr>
                <w:rPr>
                  <w:rFonts w:ascii="Cambria Math" w:hAnsi="Cambria Math"/>
                  <w:i/>
                </w:rPr>
              </m:ctrlPr>
            </m:fPr>
            <m:num>
              <m:r>
                <w:rPr>
                  <w:rFonts w:ascii="Cambria Math" w:hAnsi="Cambria Math"/>
                </w:rPr>
                <m:t>-10641727(1+0,05)</m:t>
              </m:r>
            </m:num>
            <m:den>
              <m:r>
                <w:rPr>
                  <w:rFonts w:ascii="Cambria Math" w:hAnsi="Cambria Math"/>
                </w:rPr>
                <m:t>(0,1785-0,05)</m:t>
              </m:r>
            </m:den>
          </m:f>
          <m:r>
            <w:rPr>
              <w:rFonts w:ascii="Cambria Math" w:hAnsi="Cambria Math"/>
            </w:rPr>
            <m:t>=-86955745,91 тыс. руб.</m:t>
          </m:r>
        </m:oMath>
      </m:oMathPara>
    </w:p>
    <w:p w:rsidR="000543C2" w:rsidRDefault="00500015" w:rsidP="00C043ED">
      <w:pPr>
        <w:spacing w:line="360" w:lineRule="auto"/>
        <w:ind w:firstLine="567"/>
        <w:contextualSpacing/>
        <w:jc w:val="both"/>
      </w:pPr>
      <w:r>
        <w:t xml:space="preserve">Следует отметить, что  значение свободного денежного потока </w:t>
      </w:r>
      <w:r w:rsidR="00BB0F93">
        <w:t>в 2016 году было д</w:t>
      </w:r>
      <w:r w:rsidR="00BB0F93">
        <w:t>а</w:t>
      </w:r>
      <w:r w:rsidR="00BB0F93">
        <w:t>же выше, чем, к примеру, в 2014. (</w:t>
      </w:r>
      <w:proofErr w:type="spellStart"/>
      <w:proofErr w:type="gramStart"/>
      <w:r w:rsidR="00BB0F93">
        <w:t>таб</w:t>
      </w:r>
      <w:proofErr w:type="spellEnd"/>
      <w:proofErr w:type="gramEnd"/>
      <w:r w:rsidR="00BB0F93">
        <w:t xml:space="preserve"> 3.8)</w:t>
      </w:r>
      <w:r w:rsidR="00EC21EA">
        <w:t xml:space="preserve"> Это объясняется тем, что капитальные затраты, направленные на развитие </w:t>
      </w:r>
      <w:r w:rsidR="00254AFF">
        <w:t>компании ранее, увеличили показатели операционной деятел</w:t>
      </w:r>
      <w:r w:rsidR="00254AFF">
        <w:t>ь</w:t>
      </w:r>
      <w:r w:rsidR="00254AFF">
        <w:t>ности</w:t>
      </w:r>
      <w:r w:rsidR="00C043ED">
        <w:t xml:space="preserve">. </w:t>
      </w:r>
      <w:r w:rsidR="00ED0B1B">
        <w:t>Учитывая то, что</w:t>
      </w:r>
      <w:r w:rsidR="00934CE2">
        <w:t xml:space="preserve"> денежные потоки нестабильны</w:t>
      </w:r>
      <w:r w:rsidR="00ED0B1B">
        <w:t>,</w:t>
      </w:r>
      <w:r w:rsidR="00934CE2">
        <w:t xml:space="preserve"> необходимо рассчитать сто</w:t>
      </w:r>
      <w:r w:rsidR="00934CE2">
        <w:t>и</w:t>
      </w:r>
      <w:r w:rsidR="00934CE2">
        <w:t>мость компании смешанным методом (</w:t>
      </w:r>
      <w:r w:rsidR="00934CE2">
        <w:rPr>
          <w:lang w:val="en-US"/>
        </w:rPr>
        <w:t>Discounted</w:t>
      </w:r>
      <w:r w:rsidR="00934CE2" w:rsidRPr="00934CE2">
        <w:t xml:space="preserve"> </w:t>
      </w:r>
      <w:r w:rsidR="00934CE2">
        <w:rPr>
          <w:lang w:val="en-US"/>
        </w:rPr>
        <w:t>Cash</w:t>
      </w:r>
      <w:r w:rsidR="00934CE2" w:rsidRPr="00934CE2">
        <w:t xml:space="preserve"> </w:t>
      </w:r>
      <w:r w:rsidR="00934CE2">
        <w:rPr>
          <w:lang w:val="en-US"/>
        </w:rPr>
        <w:t>Flow</w:t>
      </w:r>
      <w:r w:rsidR="00934CE2" w:rsidRPr="004666EF">
        <w:t xml:space="preserve"> + </w:t>
      </w:r>
      <w:r w:rsidR="00934CE2">
        <w:t xml:space="preserve">капитализация). Для этого были рассчитаны прогнозные значения будущих денежных потоков компании. </w:t>
      </w:r>
      <w:r w:rsidR="000543C2">
        <w:t>К</w:t>
      </w:r>
      <w:r w:rsidR="00934CE2">
        <w:t xml:space="preserve">омпания </w:t>
      </w:r>
      <w:r w:rsidR="000543C2">
        <w:t>установила цели стратегического развития и активно развивает сеть</w:t>
      </w:r>
      <w:r w:rsidR="00934CE2">
        <w:t xml:space="preserve">, </w:t>
      </w:r>
      <w:r w:rsidR="000543C2">
        <w:t>поэтому учитывая, что в среднем гипермаркетам требуется три года для достижения стабильного уровня пр</w:t>
      </w:r>
      <w:r w:rsidR="000543C2">
        <w:t>о</w:t>
      </w:r>
      <w:r w:rsidR="000543C2">
        <w:t>даж</w:t>
      </w:r>
      <w:r w:rsidR="00934CE2">
        <w:t xml:space="preserve">, </w:t>
      </w:r>
      <w:r w:rsidR="000543C2">
        <w:t>то установим что</w:t>
      </w:r>
      <w:r w:rsidR="00934CE2">
        <w:t xml:space="preserve"> 201</w:t>
      </w:r>
      <w:r w:rsidR="000543C2">
        <w:t>6</w:t>
      </w:r>
      <w:r w:rsidR="00934CE2">
        <w:t>-201</w:t>
      </w:r>
      <w:r w:rsidR="000543C2">
        <w:t>9</w:t>
      </w:r>
      <w:r w:rsidR="00934CE2">
        <w:t xml:space="preserve"> гг. </w:t>
      </w:r>
      <w:r w:rsidR="000543C2">
        <w:t>составят</w:t>
      </w:r>
      <w:r w:rsidR="00934CE2">
        <w:t xml:space="preserve"> прогнозный пери</w:t>
      </w:r>
      <w:r w:rsidR="000543C2">
        <w:t>од</w:t>
      </w:r>
      <w:r w:rsidR="00934CE2">
        <w:t xml:space="preserve">. </w:t>
      </w:r>
    </w:p>
    <w:p w:rsidR="005325C0" w:rsidRPr="005325C0" w:rsidRDefault="00C043ED" w:rsidP="00C043ED">
      <w:pPr>
        <w:spacing w:line="360" w:lineRule="auto"/>
        <w:ind w:firstLine="567"/>
        <w:contextualSpacing/>
        <w:jc w:val="both"/>
      </w:pPr>
      <w:r>
        <w:t xml:space="preserve">Согласно прогнозу, группа в ближайшем будущем сможет выйти на положительные </w:t>
      </w:r>
      <w:r w:rsidR="00B64E13">
        <w:t xml:space="preserve">денежные </w:t>
      </w:r>
      <w:r>
        <w:t xml:space="preserve">потоки. </w:t>
      </w:r>
      <w:r w:rsidR="00B64E13">
        <w:t>Таблица с данными, на которых строился прогноз, представлена ниже.</w:t>
      </w:r>
    </w:p>
    <w:p w:rsidR="00FF1FC4" w:rsidRDefault="00FF1FC4" w:rsidP="00FF1FC4">
      <w:pPr>
        <w:spacing w:line="360" w:lineRule="auto"/>
        <w:ind w:firstLine="567"/>
        <w:contextualSpacing/>
        <w:jc w:val="right"/>
        <w:rPr>
          <w:i/>
        </w:rPr>
      </w:pPr>
      <w:r w:rsidRPr="00FF1FC4">
        <w:rPr>
          <w:i/>
        </w:rPr>
        <w:t>Таблица 3.8</w:t>
      </w:r>
    </w:p>
    <w:p w:rsidR="007C54C9" w:rsidRPr="007C54C9" w:rsidRDefault="008912BE" w:rsidP="007C54C9">
      <w:pPr>
        <w:spacing w:line="360" w:lineRule="auto"/>
        <w:ind w:firstLine="567"/>
        <w:contextualSpacing/>
        <w:jc w:val="center"/>
      </w:pPr>
      <w:r>
        <w:rPr>
          <w:b/>
        </w:rPr>
        <w:t xml:space="preserve">Расчет </w:t>
      </w:r>
      <w:r>
        <w:rPr>
          <w:b/>
          <w:lang w:val="en-US"/>
        </w:rPr>
        <w:t>FCFF</w:t>
      </w:r>
      <w:r w:rsidRPr="008912BE">
        <w:rPr>
          <w:b/>
        </w:rPr>
        <w:t xml:space="preserve"> </w:t>
      </w:r>
      <w:r>
        <w:rPr>
          <w:b/>
        </w:rPr>
        <w:t>на 2016 и п</w:t>
      </w:r>
      <w:r w:rsidR="00D73577">
        <w:rPr>
          <w:b/>
        </w:rPr>
        <w:t>рогноз будущих денежных потоков компании,</w:t>
      </w:r>
      <w:r w:rsidR="00FF1FC4">
        <w:rPr>
          <w:b/>
        </w:rPr>
        <w:t xml:space="preserve"> тыс. руб.</w:t>
      </w:r>
      <w:r w:rsidR="00D553CC">
        <w:t xml:space="preserve"> </w:t>
      </w:r>
      <w:r w:rsidR="007C54C9">
        <w:fldChar w:fldCharType="begin"/>
      </w:r>
      <w:r w:rsidR="007C54C9">
        <w:instrText xml:space="preserve"> LINK Excel.Sheet.12 "C:\\Users\\Z500\\Desktop\\2о\\M&amp;A\\1_Dokhodny_podkhod.xlsx" "Лист1!R3C11:R20C15" \a \f 4 \h  \* MERGEFORMAT </w:instrText>
      </w:r>
      <w:r w:rsidR="007C54C9">
        <w:fldChar w:fldCharType="separate"/>
      </w:r>
    </w:p>
    <w:tbl>
      <w:tblPr>
        <w:tblW w:w="7958" w:type="dxa"/>
        <w:jc w:val="center"/>
        <w:tblLook w:val="04A0" w:firstRow="1" w:lastRow="0" w:firstColumn="1" w:lastColumn="0" w:noHBand="0" w:noVBand="1"/>
      </w:tblPr>
      <w:tblGrid>
        <w:gridCol w:w="2353"/>
        <w:gridCol w:w="1380"/>
        <w:gridCol w:w="1386"/>
        <w:gridCol w:w="1413"/>
        <w:gridCol w:w="1426"/>
      </w:tblGrid>
      <w:tr w:rsidR="00907309" w:rsidRPr="007C54C9" w:rsidTr="00907309">
        <w:trPr>
          <w:trHeight w:val="315"/>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4C9" w:rsidRPr="007C54C9" w:rsidRDefault="007C54C9">
            <w:pPr>
              <w:rPr>
                <w:color w:val="000000"/>
              </w:rPr>
            </w:pPr>
            <w:r w:rsidRPr="007C54C9">
              <w:rPr>
                <w:color w:val="000000"/>
              </w:rPr>
              <w:t>Показатель</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2016</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2017</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2018</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2019</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Выручка</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306352092</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325958626</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349753606</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379132908</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Себестоимость</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-238584029</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-250223482</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-266788797</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-292132336</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b/>
                <w:bCs/>
                <w:color w:val="000000"/>
              </w:rPr>
            </w:pPr>
            <w:r w:rsidRPr="007C54C9">
              <w:rPr>
                <w:b/>
                <w:bCs/>
                <w:color w:val="000000"/>
              </w:rPr>
              <w:t>Валовая прибыль</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67768063</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75735143</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82964809</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87000572,9</w:t>
            </w:r>
          </w:p>
        </w:tc>
      </w:tr>
      <w:tr w:rsidR="00907309" w:rsidRPr="007C54C9" w:rsidTr="00907309">
        <w:trPr>
          <w:trHeight w:val="630"/>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Коммерческие ра</w:t>
            </w:r>
            <w:r w:rsidRPr="007C54C9">
              <w:rPr>
                <w:color w:val="000000"/>
              </w:rPr>
              <w:t>с</w:t>
            </w:r>
            <w:r w:rsidRPr="007C54C9">
              <w:rPr>
                <w:color w:val="000000"/>
              </w:rPr>
              <w:t>ходы</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-5939614</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-6109908</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-6555931</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-7106630</w:t>
            </w:r>
          </w:p>
        </w:tc>
      </w:tr>
      <w:tr w:rsidR="00907309" w:rsidRPr="007C54C9" w:rsidTr="00907309">
        <w:trPr>
          <w:trHeight w:val="417"/>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ОХР и Администр</w:t>
            </w:r>
            <w:r w:rsidRPr="007C54C9">
              <w:rPr>
                <w:color w:val="000000"/>
              </w:rPr>
              <w:t>а</w:t>
            </w:r>
            <w:r w:rsidRPr="007C54C9">
              <w:rPr>
                <w:color w:val="000000"/>
              </w:rPr>
              <w:t>тивные расходы</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-40502896</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-44136176</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-48986074</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-51001266</w:t>
            </w:r>
          </w:p>
        </w:tc>
      </w:tr>
      <w:tr w:rsidR="00907309" w:rsidRPr="007C54C9" w:rsidTr="00907309">
        <w:trPr>
          <w:trHeight w:val="315"/>
          <w:jc w:val="center"/>
        </w:trPr>
        <w:tc>
          <w:tcPr>
            <w:tcW w:w="2353" w:type="dxa"/>
            <w:tcBorders>
              <w:top w:val="nil"/>
              <w:left w:val="single" w:sz="4" w:space="0" w:color="auto"/>
              <w:bottom w:val="nil"/>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Прочее</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-6772305</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-5173525</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-4999877</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-3351800,4</w:t>
            </w:r>
          </w:p>
        </w:tc>
      </w:tr>
      <w:tr w:rsidR="00907309" w:rsidRPr="007C54C9" w:rsidTr="00907309">
        <w:trPr>
          <w:trHeight w:val="387"/>
          <w:jc w:val="center"/>
        </w:trPr>
        <w:tc>
          <w:tcPr>
            <w:tcW w:w="23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54C9" w:rsidRPr="007C54C9" w:rsidRDefault="007C54C9" w:rsidP="007C54C9">
            <w:pPr>
              <w:rPr>
                <w:b/>
                <w:bCs/>
                <w:color w:val="000000"/>
              </w:rPr>
            </w:pPr>
            <w:r w:rsidRPr="007C54C9">
              <w:rPr>
                <w:b/>
                <w:bCs/>
                <w:color w:val="000000"/>
              </w:rPr>
              <w:t>EBIT</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14553248</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20315535</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22422927</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25540877</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Налог на прибыль</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-3351220</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DB0043">
            <w:pPr>
              <w:jc w:val="right"/>
              <w:rPr>
                <w:color w:val="000000"/>
              </w:rPr>
            </w:pPr>
            <w:r w:rsidRPr="007C54C9">
              <w:rPr>
                <w:color w:val="000000"/>
              </w:rPr>
              <w:t>-468441</w:t>
            </w:r>
            <w:r w:rsidR="00DB0043">
              <w:rPr>
                <w:color w:val="000000"/>
              </w:rPr>
              <w:t>4</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-5170342</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DB0043">
            <w:pPr>
              <w:jc w:val="right"/>
              <w:rPr>
                <w:color w:val="000000"/>
              </w:rPr>
            </w:pPr>
            <w:r w:rsidRPr="007C54C9">
              <w:rPr>
                <w:color w:val="000000"/>
              </w:rPr>
              <w:t>-588928</w:t>
            </w:r>
            <w:r w:rsidR="00DB0043">
              <w:rPr>
                <w:color w:val="000000"/>
              </w:rPr>
              <w:t>8</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b/>
                <w:bCs/>
                <w:color w:val="000000"/>
              </w:rPr>
            </w:pPr>
            <w:r w:rsidRPr="007C54C9">
              <w:rPr>
                <w:b/>
                <w:bCs/>
                <w:color w:val="000000"/>
              </w:rPr>
              <w:t>EBIT(1-T)</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11202028</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15631121</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17252585</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19651589</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Амортизация</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7628095</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9756627</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12948859</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17687166</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Изменение СОК</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31380009</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6069193</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3554318</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167882</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Капвложения</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-54257235</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-31369626</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-32028388</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-32867532</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b/>
                <w:bCs/>
                <w:color w:val="000000"/>
              </w:rPr>
            </w:pPr>
            <w:r w:rsidRPr="007C54C9">
              <w:rPr>
                <w:b/>
                <w:bCs/>
                <w:color w:val="000000"/>
              </w:rPr>
              <w:t>FCFF</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b/>
                <w:color w:val="000000"/>
              </w:rPr>
            </w:pPr>
            <w:r w:rsidRPr="007C54C9">
              <w:rPr>
                <w:b/>
                <w:color w:val="000000"/>
              </w:rPr>
              <w:t>-4047103</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b/>
                <w:color w:val="000000"/>
              </w:rPr>
            </w:pPr>
            <w:r w:rsidRPr="007C54C9">
              <w:rPr>
                <w:b/>
                <w:color w:val="000000"/>
              </w:rPr>
              <w:t>87315</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b/>
                <w:color w:val="000000"/>
              </w:rPr>
            </w:pPr>
            <w:r w:rsidRPr="007C54C9">
              <w:rPr>
                <w:b/>
                <w:color w:val="000000"/>
              </w:rPr>
              <w:t>1727374</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b/>
                <w:color w:val="000000"/>
              </w:rPr>
            </w:pPr>
            <w:r w:rsidRPr="007C54C9">
              <w:rPr>
                <w:b/>
                <w:color w:val="000000"/>
              </w:rPr>
              <w:t>4639105</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WACC</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0,1785</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0,1785</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0,1785</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Ставка дисконтир</w:t>
            </w:r>
            <w:r w:rsidRPr="007C54C9">
              <w:rPr>
                <w:color w:val="000000"/>
              </w:rPr>
              <w:t>о</w:t>
            </w:r>
            <w:r w:rsidRPr="007C54C9">
              <w:rPr>
                <w:color w:val="000000"/>
              </w:rPr>
              <w:t>вания</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0,92</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0,78</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0,66</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Фактор дисконтир</w:t>
            </w:r>
            <w:r w:rsidRPr="007C54C9">
              <w:rPr>
                <w:color w:val="000000"/>
              </w:rPr>
              <w:t>о</w:t>
            </w:r>
            <w:r w:rsidRPr="007C54C9">
              <w:rPr>
                <w:color w:val="000000"/>
              </w:rPr>
              <w:t>вания</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0,92</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0,78</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color w:val="000000"/>
              </w:rPr>
            </w:pPr>
            <w:r w:rsidRPr="007C54C9">
              <w:rPr>
                <w:color w:val="000000"/>
              </w:rPr>
              <w:t>0,66</w:t>
            </w:r>
          </w:p>
        </w:tc>
      </w:tr>
      <w:tr w:rsidR="00907309" w:rsidRPr="007C54C9" w:rsidTr="00907309">
        <w:trPr>
          <w:trHeight w:val="315"/>
          <w:jc w:val="center"/>
        </w:trPr>
        <w:tc>
          <w:tcPr>
            <w:tcW w:w="2353" w:type="dxa"/>
            <w:tcBorders>
              <w:top w:val="nil"/>
              <w:left w:val="single" w:sz="4" w:space="0" w:color="auto"/>
              <w:bottom w:val="single" w:sz="4" w:space="0" w:color="auto"/>
              <w:right w:val="single" w:sz="4" w:space="0" w:color="auto"/>
            </w:tcBorders>
            <w:shd w:val="clear" w:color="auto" w:fill="auto"/>
            <w:noWrap/>
            <w:vAlign w:val="bottom"/>
            <w:hideMark/>
          </w:tcPr>
          <w:p w:rsidR="007C54C9" w:rsidRPr="007C54C9" w:rsidRDefault="007C54C9" w:rsidP="007C54C9">
            <w:pPr>
              <w:rPr>
                <w:b/>
                <w:bCs/>
                <w:color w:val="000000"/>
              </w:rPr>
            </w:pPr>
            <w:r w:rsidRPr="007C54C9">
              <w:rPr>
                <w:b/>
                <w:bCs/>
                <w:color w:val="000000"/>
              </w:rPr>
              <w:t>Дисконтированные денежные потоки</w:t>
            </w:r>
          </w:p>
        </w:tc>
        <w:tc>
          <w:tcPr>
            <w:tcW w:w="1380"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rPr>
                <w:color w:val="000000"/>
              </w:rPr>
            </w:pPr>
            <w:r w:rsidRPr="007C54C9">
              <w:rPr>
                <w:color w:val="000000"/>
              </w:rPr>
              <w:t>-</w:t>
            </w:r>
          </w:p>
        </w:tc>
        <w:tc>
          <w:tcPr>
            <w:tcW w:w="138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b/>
                <w:color w:val="000000"/>
              </w:rPr>
            </w:pPr>
            <w:r w:rsidRPr="007C54C9">
              <w:rPr>
                <w:b/>
                <w:color w:val="000000"/>
              </w:rPr>
              <w:t>80433</w:t>
            </w:r>
          </w:p>
        </w:tc>
        <w:tc>
          <w:tcPr>
            <w:tcW w:w="1413"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b/>
                <w:color w:val="000000"/>
              </w:rPr>
            </w:pPr>
            <w:r w:rsidRPr="007C54C9">
              <w:rPr>
                <w:b/>
                <w:color w:val="000000"/>
              </w:rPr>
              <w:t>1350250</w:t>
            </w:r>
          </w:p>
        </w:tc>
        <w:tc>
          <w:tcPr>
            <w:tcW w:w="1426" w:type="dxa"/>
            <w:tcBorders>
              <w:top w:val="nil"/>
              <w:left w:val="nil"/>
              <w:bottom w:val="single" w:sz="4" w:space="0" w:color="auto"/>
              <w:right w:val="single" w:sz="4" w:space="0" w:color="auto"/>
            </w:tcBorders>
            <w:shd w:val="clear" w:color="auto" w:fill="auto"/>
            <w:noWrap/>
            <w:vAlign w:val="bottom"/>
            <w:hideMark/>
          </w:tcPr>
          <w:p w:rsidR="007C54C9" w:rsidRPr="007C54C9" w:rsidRDefault="007C54C9" w:rsidP="007C54C9">
            <w:pPr>
              <w:jc w:val="right"/>
              <w:rPr>
                <w:b/>
                <w:color w:val="000000"/>
              </w:rPr>
            </w:pPr>
            <w:r w:rsidRPr="007C54C9">
              <w:rPr>
                <w:b/>
                <w:color w:val="000000"/>
              </w:rPr>
              <w:t>3077142</w:t>
            </w:r>
          </w:p>
        </w:tc>
      </w:tr>
    </w:tbl>
    <w:p w:rsidR="00D553CC" w:rsidRDefault="007C54C9" w:rsidP="00907309">
      <w:pPr>
        <w:spacing w:line="360" w:lineRule="auto"/>
        <w:contextualSpacing/>
        <w:jc w:val="center"/>
      </w:pPr>
      <w:r>
        <w:fldChar w:fldCharType="end"/>
      </w:r>
      <w:r w:rsidR="00D553CC">
        <w:t>Рассчитано по: годовые отчеты «Лента»</w:t>
      </w:r>
    </w:p>
    <w:p w:rsidR="00DE2645" w:rsidRDefault="00AE0070" w:rsidP="000B5C42">
      <w:pPr>
        <w:spacing w:line="360" w:lineRule="auto"/>
        <w:ind w:firstLine="567"/>
        <w:contextualSpacing/>
        <w:jc w:val="both"/>
      </w:pPr>
      <w:r>
        <w:t>Согласно прогнозу социально экономического развития, динамика торгового обор</w:t>
      </w:r>
      <w:r>
        <w:t>о</w:t>
      </w:r>
      <w:r>
        <w:t xml:space="preserve">та </w:t>
      </w:r>
      <w:proofErr w:type="gramStart"/>
      <w:r>
        <w:t>в</w:t>
      </w:r>
      <w:proofErr w:type="gramEnd"/>
      <w:r>
        <w:t xml:space="preserve"> продуктовом ритейле составит порядка 6-8% в последующие года</w:t>
      </w:r>
      <w:r w:rsidR="000B5C42">
        <w:t>, при этом, ожидае</w:t>
      </w:r>
      <w:r w:rsidR="000B5C42">
        <w:t>т</w:t>
      </w:r>
      <w:r w:rsidR="000B5C42">
        <w:lastRenderedPageBreak/>
        <w:t>ся, что инфляция будет замедляться. Предполагается, что заработная плата будет увел</w:t>
      </w:r>
      <w:r w:rsidR="000B5C42">
        <w:t>и</w:t>
      </w:r>
      <w:r w:rsidR="000B5C42">
        <w:t xml:space="preserve">чиваться с том же </w:t>
      </w:r>
      <w:proofErr w:type="gramStart"/>
      <w:r w:rsidR="000B5C42">
        <w:t>темпе</w:t>
      </w:r>
      <w:proofErr w:type="gramEnd"/>
      <w:r w:rsidR="000B5C42">
        <w:t>, что и динамика инфляции. Для расчета показателей, относящи</w:t>
      </w:r>
      <w:r w:rsidR="000B5C42">
        <w:t>х</w:t>
      </w:r>
      <w:r w:rsidR="000B5C42">
        <w:t xml:space="preserve">ся к отчетности компании, была найдена средняя </w:t>
      </w:r>
      <w:r w:rsidR="005C48AC">
        <w:t xml:space="preserve">темпов роста за прошедшие 3 года. </w:t>
      </w:r>
    </w:p>
    <w:p w:rsidR="00B64E13" w:rsidRDefault="00B64E13" w:rsidP="00B64E13">
      <w:pPr>
        <w:spacing w:line="360" w:lineRule="auto"/>
        <w:contextualSpacing/>
        <w:jc w:val="right"/>
        <w:rPr>
          <w:i/>
        </w:rPr>
      </w:pPr>
      <w:r w:rsidRPr="00FF1FC4">
        <w:rPr>
          <w:i/>
        </w:rPr>
        <w:t>Таблица 3.</w:t>
      </w:r>
      <w:r>
        <w:rPr>
          <w:i/>
        </w:rPr>
        <w:t>9</w:t>
      </w:r>
    </w:p>
    <w:p w:rsidR="00B64E13" w:rsidRDefault="00B64E13" w:rsidP="00B64E13">
      <w:pPr>
        <w:spacing w:line="360" w:lineRule="auto"/>
        <w:contextualSpacing/>
        <w:jc w:val="center"/>
        <w:rPr>
          <w:rFonts w:asciiTheme="minorHAnsi" w:eastAsiaTheme="minorHAnsi" w:hAnsiTheme="minorHAnsi" w:cstheme="minorBidi"/>
          <w:sz w:val="22"/>
          <w:szCs w:val="22"/>
          <w:lang w:eastAsia="en-US"/>
        </w:rPr>
      </w:pPr>
      <w:r>
        <w:rPr>
          <w:b/>
        </w:rPr>
        <w:t>Данные для прогнозирования</w:t>
      </w:r>
      <w:r>
        <w:fldChar w:fldCharType="begin"/>
      </w:r>
      <w:r>
        <w:instrText xml:space="preserve"> LINK Excel.Sheet.12 "C:\\Users\\Z500\\Desktop\\2о\\M&amp;A\\1_Dokhodny_podkhod.xlsx" "Лист1!R25C9:R45C13" \a \f 4 \h  \* MERGEFORMAT </w:instrText>
      </w:r>
      <w:r>
        <w:fldChar w:fldCharType="separate"/>
      </w:r>
    </w:p>
    <w:tbl>
      <w:tblPr>
        <w:tblW w:w="7800" w:type="dxa"/>
        <w:jc w:val="center"/>
        <w:tblLook w:val="04A0" w:firstRow="1" w:lastRow="0" w:firstColumn="1" w:lastColumn="0" w:noHBand="0" w:noVBand="1"/>
      </w:tblPr>
      <w:tblGrid>
        <w:gridCol w:w="2700"/>
        <w:gridCol w:w="1480"/>
        <w:gridCol w:w="1309"/>
        <w:gridCol w:w="1424"/>
        <w:gridCol w:w="1424"/>
      </w:tblGrid>
      <w:tr w:rsidR="00B64E13" w:rsidRPr="00B64E13" w:rsidTr="00B64E13">
        <w:trPr>
          <w:trHeight w:val="30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Показатели</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2016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2017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2018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2019</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Динамика оборота ро</w:t>
            </w:r>
            <w:r w:rsidRPr="005C48AC">
              <w:rPr>
                <w:color w:val="000000"/>
                <w:sz w:val="23"/>
                <w:szCs w:val="23"/>
              </w:rPr>
              <w:t>з</w:t>
            </w:r>
            <w:r w:rsidRPr="005C48AC">
              <w:rPr>
                <w:color w:val="000000"/>
                <w:sz w:val="23"/>
                <w:szCs w:val="23"/>
              </w:rPr>
              <w:t>ничной торговли и о</w:t>
            </w:r>
            <w:r w:rsidRPr="005C48AC">
              <w:rPr>
                <w:color w:val="000000"/>
                <w:sz w:val="23"/>
                <w:szCs w:val="23"/>
              </w:rPr>
              <w:t>б</w:t>
            </w:r>
            <w:r w:rsidRPr="005C48AC">
              <w:rPr>
                <w:color w:val="000000"/>
                <w:sz w:val="23"/>
                <w:szCs w:val="23"/>
              </w:rPr>
              <w:t>щественного питания</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0,00</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AE0070">
            <w:pPr>
              <w:jc w:val="right"/>
              <w:rPr>
                <w:color w:val="000000"/>
                <w:sz w:val="23"/>
                <w:szCs w:val="23"/>
              </w:rPr>
            </w:pPr>
            <w:r w:rsidRPr="005C48AC">
              <w:rPr>
                <w:color w:val="000000"/>
                <w:sz w:val="23"/>
                <w:szCs w:val="23"/>
              </w:rPr>
              <w:t>0,0</w:t>
            </w:r>
            <w:r w:rsidR="00AE0070" w:rsidRPr="005C48AC">
              <w:rPr>
                <w:color w:val="000000"/>
                <w:sz w:val="23"/>
                <w:szCs w:val="23"/>
              </w:rPr>
              <w:t>64</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AE0070">
            <w:pPr>
              <w:jc w:val="right"/>
              <w:rPr>
                <w:color w:val="000000"/>
                <w:sz w:val="23"/>
                <w:szCs w:val="23"/>
              </w:rPr>
            </w:pPr>
            <w:r w:rsidRPr="005C48AC">
              <w:rPr>
                <w:color w:val="000000"/>
                <w:sz w:val="23"/>
                <w:szCs w:val="23"/>
              </w:rPr>
              <w:t>0,0</w:t>
            </w:r>
            <w:r w:rsidR="00AE0070" w:rsidRPr="005C48AC">
              <w:rPr>
                <w:color w:val="000000"/>
                <w:sz w:val="23"/>
                <w:szCs w:val="23"/>
              </w:rPr>
              <w:t>73</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AE0070">
            <w:pPr>
              <w:jc w:val="right"/>
              <w:rPr>
                <w:color w:val="000000"/>
                <w:sz w:val="23"/>
                <w:szCs w:val="23"/>
              </w:rPr>
            </w:pPr>
            <w:r w:rsidRPr="005C48AC">
              <w:rPr>
                <w:color w:val="000000"/>
                <w:sz w:val="23"/>
                <w:szCs w:val="23"/>
              </w:rPr>
              <w:t>0,0</w:t>
            </w:r>
            <w:r w:rsidR="00AE0070" w:rsidRPr="005C48AC">
              <w:rPr>
                <w:color w:val="000000"/>
                <w:sz w:val="23"/>
                <w:szCs w:val="23"/>
              </w:rPr>
              <w:t>84</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Инфляция</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0,05</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0,03</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0,03</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0,03</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Реальная заработная плата</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0,00</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0,03</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0,03</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0,03</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 xml:space="preserve">Доля налогов </w:t>
            </w:r>
            <w:proofErr w:type="gramStart"/>
            <w:r w:rsidRPr="005C48AC">
              <w:rPr>
                <w:color w:val="000000"/>
                <w:sz w:val="23"/>
                <w:szCs w:val="23"/>
              </w:rPr>
              <w:t>на</w:t>
            </w:r>
            <w:proofErr w:type="gramEnd"/>
            <w:r w:rsidRPr="005C48AC">
              <w:rPr>
                <w:color w:val="000000"/>
                <w:sz w:val="23"/>
                <w:szCs w:val="23"/>
              </w:rPr>
              <w:t xml:space="preserve"> ОТ к ОТ</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0,07</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0,07</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0,07</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0,07</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Уборка</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0,10</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0,10</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0,10</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0,10</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 xml:space="preserve">Инвестиции </w:t>
            </w:r>
            <w:proofErr w:type="gramStart"/>
            <w:r w:rsidRPr="005C48AC">
              <w:rPr>
                <w:color w:val="000000"/>
                <w:sz w:val="23"/>
                <w:szCs w:val="23"/>
              </w:rPr>
              <w:t>о</w:t>
            </w:r>
            <w:proofErr w:type="gramEnd"/>
            <w:r w:rsidRPr="005C48AC">
              <w:rPr>
                <w:color w:val="000000"/>
                <w:sz w:val="23"/>
                <w:szCs w:val="23"/>
              </w:rPr>
              <w:t xml:space="preserve"> основной капитал</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-0,02</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0,02</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0,03</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0,03</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Основные средства</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147812289</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196590344</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269328772</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379753568</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Средневзвешенная ста</w:t>
            </w:r>
            <w:r w:rsidRPr="005C48AC">
              <w:rPr>
                <w:color w:val="000000"/>
                <w:sz w:val="23"/>
                <w:szCs w:val="23"/>
              </w:rPr>
              <w:t>в</w:t>
            </w:r>
            <w:r w:rsidRPr="005C48AC">
              <w:rPr>
                <w:color w:val="000000"/>
                <w:sz w:val="23"/>
                <w:szCs w:val="23"/>
              </w:rPr>
              <w:t>ка Амортизации</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0,05</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0,05</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0,05</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0,05</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Доля ремонта в ОС</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0,01</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0,01</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0,01</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0,01</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 xml:space="preserve">Прирост ПД и </w:t>
            </w:r>
            <w:proofErr w:type="gramStart"/>
            <w:r w:rsidRPr="005C48AC">
              <w:rPr>
                <w:color w:val="000000"/>
                <w:sz w:val="23"/>
                <w:szCs w:val="23"/>
              </w:rPr>
              <w:t>ПР</w:t>
            </w:r>
            <w:proofErr w:type="gramEnd"/>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1,01</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1,01</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1,01</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1,01</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Эффективная налоговая ставка</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-0,23</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-0,23</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-0,23</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-0,23</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Прогнозный курс долл</w:t>
            </w:r>
            <w:r w:rsidRPr="005C48AC">
              <w:rPr>
                <w:color w:val="000000"/>
                <w:sz w:val="23"/>
                <w:szCs w:val="23"/>
              </w:rPr>
              <w:t>а</w:t>
            </w:r>
            <w:r w:rsidRPr="005C48AC">
              <w:rPr>
                <w:color w:val="000000"/>
                <w:sz w:val="23"/>
                <w:szCs w:val="23"/>
              </w:rPr>
              <w:t>ра</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67,50</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57,46</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62,80</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59,38</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Темпы роста курса</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0,93</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0,85</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1,09</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0,95</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Доля ОХР в Выручке</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-0,13</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-0,15</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-0,15</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-0,15</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Доля спрогнозирова</w:t>
            </w:r>
            <w:r w:rsidRPr="005C48AC">
              <w:rPr>
                <w:color w:val="000000"/>
                <w:sz w:val="23"/>
                <w:szCs w:val="23"/>
              </w:rPr>
              <w:t>н</w:t>
            </w:r>
            <w:r w:rsidRPr="005C48AC">
              <w:rPr>
                <w:color w:val="000000"/>
                <w:sz w:val="23"/>
                <w:szCs w:val="23"/>
              </w:rPr>
              <w:t>ных ОХР</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0,09</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0,10</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0,10</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0,12</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Доля остальных ОХР</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-0,04</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-0,06</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-0,04</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-0,03</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Рост НМА</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1,25</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1,25</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1,25</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1,25</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Амортизация ОС</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7337197,00</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9391612,16</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12490844,17</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17112456,52</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Амортизация НМА</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290898,00</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365014,37</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458014,45</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574709,54</w:t>
            </w:r>
          </w:p>
        </w:tc>
      </w:tr>
      <w:tr w:rsidR="00B64E13" w:rsidRPr="00B64E13" w:rsidTr="00B64E13">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64E13" w:rsidRPr="005C48AC" w:rsidRDefault="00B64E13" w:rsidP="00B64E13">
            <w:pPr>
              <w:rPr>
                <w:color w:val="000000"/>
                <w:sz w:val="23"/>
                <w:szCs w:val="23"/>
              </w:rPr>
            </w:pPr>
            <w:r w:rsidRPr="005C48AC">
              <w:rPr>
                <w:color w:val="000000"/>
                <w:sz w:val="23"/>
                <w:szCs w:val="23"/>
              </w:rPr>
              <w:t>Доля СОК в Выручке</w:t>
            </w:r>
          </w:p>
        </w:tc>
        <w:tc>
          <w:tcPr>
            <w:tcW w:w="148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-0,09</w:t>
            </w:r>
          </w:p>
        </w:tc>
        <w:tc>
          <w:tcPr>
            <w:tcW w:w="112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-0,07</w:t>
            </w:r>
          </w:p>
        </w:tc>
        <w:tc>
          <w:tcPr>
            <w:tcW w:w="124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-0,08</w:t>
            </w:r>
          </w:p>
        </w:tc>
        <w:tc>
          <w:tcPr>
            <w:tcW w:w="1260" w:type="dxa"/>
            <w:tcBorders>
              <w:top w:val="nil"/>
              <w:left w:val="nil"/>
              <w:bottom w:val="single" w:sz="4" w:space="0" w:color="auto"/>
              <w:right w:val="single" w:sz="4" w:space="0" w:color="auto"/>
            </w:tcBorders>
            <w:shd w:val="clear" w:color="auto" w:fill="auto"/>
            <w:noWrap/>
            <w:vAlign w:val="bottom"/>
            <w:hideMark/>
          </w:tcPr>
          <w:p w:rsidR="00B64E13" w:rsidRPr="005C48AC" w:rsidRDefault="00B64E13" w:rsidP="00B64E13">
            <w:pPr>
              <w:jc w:val="right"/>
              <w:rPr>
                <w:color w:val="000000"/>
                <w:sz w:val="23"/>
                <w:szCs w:val="23"/>
              </w:rPr>
            </w:pPr>
            <w:r w:rsidRPr="005C48AC">
              <w:rPr>
                <w:color w:val="000000"/>
                <w:sz w:val="23"/>
                <w:szCs w:val="23"/>
              </w:rPr>
              <w:t>-0,07</w:t>
            </w:r>
          </w:p>
        </w:tc>
      </w:tr>
    </w:tbl>
    <w:p w:rsidR="00B64E13" w:rsidRDefault="00B64E13" w:rsidP="00907309">
      <w:pPr>
        <w:spacing w:line="360" w:lineRule="auto"/>
        <w:contextualSpacing/>
        <w:jc w:val="center"/>
      </w:pPr>
      <w:r>
        <w:fldChar w:fldCharType="end"/>
      </w:r>
      <w:r>
        <w:t>Рассчитано по: годовые отчеты «Лента»</w:t>
      </w:r>
    </w:p>
    <w:p w:rsidR="00C506A4" w:rsidRPr="007F5BDF" w:rsidRDefault="005C48AC" w:rsidP="00C506A4">
      <w:pPr>
        <w:tabs>
          <w:tab w:val="center" w:pos="4844"/>
        </w:tabs>
        <w:spacing w:before="240" w:line="360" w:lineRule="auto"/>
        <w:ind w:firstLine="567"/>
        <w:jc w:val="both"/>
      </w:pPr>
      <w:r>
        <w:t xml:space="preserve">Итого, </w:t>
      </w:r>
      <w:r>
        <w:rPr>
          <w:lang w:val="en-US"/>
        </w:rPr>
        <w:t>FCFF</w:t>
      </w:r>
      <w:r w:rsidR="00C506A4">
        <w:t xml:space="preserve"> </w:t>
      </w:r>
      <w:proofErr w:type="gramStart"/>
      <w:r w:rsidR="00C506A4">
        <w:t xml:space="preserve">начиная с 2017 </w:t>
      </w:r>
      <w:r w:rsidR="00C506A4" w:rsidRPr="005C48AC">
        <w:t xml:space="preserve">года были </w:t>
      </w:r>
      <w:proofErr w:type="spellStart"/>
      <w:r w:rsidR="00C506A4" w:rsidRPr="005C48AC">
        <w:t>продисконтированы</w:t>
      </w:r>
      <w:proofErr w:type="spellEnd"/>
      <w:r w:rsidR="00C506A4" w:rsidRPr="005C48AC">
        <w:t xml:space="preserve"> по</w:t>
      </w:r>
      <w:proofErr w:type="gramEnd"/>
      <w:r w:rsidR="00C506A4" w:rsidRPr="005C48AC">
        <w:t xml:space="preserve"> рассчитанной ранее ставке </w:t>
      </w:r>
      <w:r w:rsidR="00C506A4" w:rsidRPr="005C48AC">
        <w:rPr>
          <w:lang w:val="en-US"/>
        </w:rPr>
        <w:t>WACC</w:t>
      </w:r>
      <w:r w:rsidR="00C506A4" w:rsidRPr="005C48AC">
        <w:t xml:space="preserve">. </w:t>
      </w:r>
      <w:r w:rsidR="007F5BDF">
        <w:t>Используем модель Гордона для расчета стоимости компании после сде</w:t>
      </w:r>
      <w:r w:rsidR="007F5BDF">
        <w:t>л</w:t>
      </w:r>
      <w:r w:rsidR="007F5BDF">
        <w:t xml:space="preserve">ки: </w:t>
      </w:r>
    </w:p>
    <w:p w:rsidR="007F5BDF" w:rsidRPr="007F5BDF" w:rsidRDefault="006F61CB" w:rsidP="007F5BDF">
      <w:pPr>
        <w:spacing w:line="360" w:lineRule="auto"/>
        <w:ind w:firstLine="567"/>
        <w:contextualSpacing/>
        <w:jc w:val="center"/>
      </w:pPr>
      <m:oMathPara>
        <m:oMath>
          <m:f>
            <m:fPr>
              <m:ctrlPr>
                <w:rPr>
                  <w:rFonts w:ascii="Cambria Math" w:hAnsi="Cambria Math"/>
                  <w:i/>
                </w:rPr>
              </m:ctrlPr>
            </m:fPr>
            <m:num>
              <m:r>
                <w:rPr>
                  <w:rFonts w:ascii="Cambria Math" w:hAnsi="Cambria Math"/>
                </w:rPr>
                <m:t>3077142(1+0,05)</m:t>
              </m:r>
            </m:num>
            <m:den>
              <m:r>
                <w:rPr>
                  <w:rFonts w:ascii="Cambria Math" w:hAnsi="Cambria Math"/>
                </w:rPr>
                <m:t>(0,1785-0,05)</m:t>
              </m:r>
            </m:den>
          </m:f>
          <m:r>
            <w:rPr>
              <w:rFonts w:ascii="Cambria Math" w:hAnsi="Cambria Math"/>
            </w:rPr>
            <m:t>=25143961,87 тыс. руб.</m:t>
          </m:r>
        </m:oMath>
      </m:oMathPara>
    </w:p>
    <w:p w:rsidR="007F5BDF" w:rsidRPr="007F5BDF" w:rsidRDefault="007F5BDF" w:rsidP="007F5BDF">
      <w:pPr>
        <w:spacing w:line="360" w:lineRule="auto"/>
        <w:ind w:firstLine="567"/>
        <w:contextualSpacing/>
        <w:jc w:val="right"/>
        <w:rPr>
          <w:i/>
        </w:rPr>
      </w:pPr>
      <w:r w:rsidRPr="007F5BDF">
        <w:rPr>
          <w:i/>
        </w:rPr>
        <w:t>Таблица 3.10</w:t>
      </w:r>
    </w:p>
    <w:p w:rsidR="007F5BDF" w:rsidRPr="00684580" w:rsidRDefault="007F5BDF" w:rsidP="007F5BDF">
      <w:pPr>
        <w:spacing w:after="120" w:line="360" w:lineRule="auto"/>
        <w:ind w:firstLine="720"/>
        <w:jc w:val="center"/>
        <w:rPr>
          <w:b/>
        </w:rPr>
      </w:pPr>
      <w:r w:rsidRPr="00684580">
        <w:rPr>
          <w:b/>
        </w:rPr>
        <w:t xml:space="preserve">Расчет синергетического эффекта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701"/>
        <w:gridCol w:w="1559"/>
        <w:gridCol w:w="1701"/>
        <w:gridCol w:w="1984"/>
      </w:tblGrid>
      <w:tr w:rsidR="007F5BDF" w:rsidRPr="00BC1BBD" w:rsidTr="002909E5">
        <w:trPr>
          <w:trHeight w:val="431"/>
        </w:trPr>
        <w:tc>
          <w:tcPr>
            <w:tcW w:w="1560" w:type="dxa"/>
            <w:vAlign w:val="center"/>
          </w:tcPr>
          <w:p w:rsidR="007F5BDF" w:rsidRPr="00BC1BBD" w:rsidRDefault="007F5BDF" w:rsidP="002909E5">
            <w:pPr>
              <w:spacing w:line="360" w:lineRule="auto"/>
              <w:jc w:val="center"/>
            </w:pPr>
            <w:r w:rsidRPr="00BC1BBD">
              <w:lastRenderedPageBreak/>
              <w:t>А</w:t>
            </w:r>
          </w:p>
        </w:tc>
        <w:tc>
          <w:tcPr>
            <w:tcW w:w="1701" w:type="dxa"/>
            <w:vAlign w:val="center"/>
          </w:tcPr>
          <w:p w:rsidR="007F5BDF" w:rsidRPr="00BC1BBD" w:rsidRDefault="007F5BDF" w:rsidP="002909E5">
            <w:pPr>
              <w:spacing w:line="360" w:lineRule="auto"/>
              <w:jc w:val="center"/>
            </w:pPr>
            <w:r w:rsidRPr="00BC1BBD">
              <w:t>В</w:t>
            </w:r>
          </w:p>
        </w:tc>
        <w:tc>
          <w:tcPr>
            <w:tcW w:w="1559" w:type="dxa"/>
            <w:vAlign w:val="center"/>
          </w:tcPr>
          <w:p w:rsidR="007F5BDF" w:rsidRPr="00BC1BBD" w:rsidRDefault="007F5BDF" w:rsidP="002909E5">
            <w:pPr>
              <w:spacing w:line="360" w:lineRule="auto"/>
              <w:jc w:val="center"/>
            </w:pPr>
            <w:r w:rsidRPr="00BC1BBD">
              <w:t>А+В</w:t>
            </w:r>
          </w:p>
        </w:tc>
        <w:tc>
          <w:tcPr>
            <w:tcW w:w="1701" w:type="dxa"/>
            <w:vAlign w:val="center"/>
          </w:tcPr>
          <w:p w:rsidR="007F5BDF" w:rsidRPr="00BC1BBD" w:rsidRDefault="007F5BDF" w:rsidP="002909E5">
            <w:pPr>
              <w:spacing w:line="360" w:lineRule="auto"/>
              <w:jc w:val="center"/>
            </w:pPr>
            <w:r w:rsidRPr="00BC1BBD">
              <w:t>АВ</w:t>
            </w:r>
          </w:p>
        </w:tc>
        <w:tc>
          <w:tcPr>
            <w:tcW w:w="1984" w:type="dxa"/>
            <w:vAlign w:val="center"/>
          </w:tcPr>
          <w:p w:rsidR="007F5BDF" w:rsidRPr="00BC1BBD" w:rsidRDefault="007F5BDF" w:rsidP="002909E5">
            <w:pPr>
              <w:spacing w:line="360" w:lineRule="auto"/>
              <w:jc w:val="center"/>
            </w:pPr>
            <w:r w:rsidRPr="00BC1BBD">
              <w:rPr>
                <w:lang w:val="en-US"/>
              </w:rPr>
              <w:t>SE</w:t>
            </w:r>
            <w:r w:rsidRPr="00BC1BBD">
              <w:t xml:space="preserve"> = АВ - (А+В)</w:t>
            </w:r>
          </w:p>
        </w:tc>
      </w:tr>
      <w:tr w:rsidR="007F5BDF" w:rsidRPr="00BC1BBD" w:rsidTr="002909E5">
        <w:trPr>
          <w:trHeight w:val="565"/>
        </w:trPr>
        <w:tc>
          <w:tcPr>
            <w:tcW w:w="1560" w:type="dxa"/>
            <w:vAlign w:val="center"/>
          </w:tcPr>
          <w:p w:rsidR="007F5BDF" w:rsidRPr="007F5BDF" w:rsidRDefault="000243C8" w:rsidP="007F5BDF">
            <w:pPr>
              <w:spacing w:line="360" w:lineRule="auto"/>
              <w:jc w:val="center"/>
            </w:pPr>
            <m:oMathPara>
              <m:oMath>
                <m:r>
                  <w:rPr>
                    <w:rFonts w:ascii="Cambria Math" w:hAnsi="Cambria Math"/>
                  </w:rPr>
                  <m:t>-86 955 746</m:t>
                </m:r>
              </m:oMath>
            </m:oMathPara>
          </w:p>
        </w:tc>
        <w:tc>
          <w:tcPr>
            <w:tcW w:w="1701" w:type="dxa"/>
            <w:vAlign w:val="center"/>
          </w:tcPr>
          <w:p w:rsidR="007F5BDF" w:rsidRPr="00BC1BBD" w:rsidRDefault="007F5BDF" w:rsidP="002909E5">
            <w:pPr>
              <w:spacing w:line="360" w:lineRule="auto"/>
              <w:jc w:val="center"/>
              <w:rPr>
                <w:b/>
              </w:rPr>
            </w:pPr>
            <w:r>
              <w:t>11 100 481</w:t>
            </w:r>
          </w:p>
        </w:tc>
        <w:tc>
          <w:tcPr>
            <w:tcW w:w="1559" w:type="dxa"/>
            <w:vAlign w:val="center"/>
          </w:tcPr>
          <w:p w:rsidR="007F5BDF" w:rsidRPr="00BC1BBD" w:rsidRDefault="000243C8" w:rsidP="000243C8">
            <w:pPr>
              <w:spacing w:line="360" w:lineRule="auto"/>
              <w:jc w:val="center"/>
            </w:pPr>
            <w:r>
              <w:t>-75 855 265</w:t>
            </w:r>
          </w:p>
        </w:tc>
        <w:tc>
          <w:tcPr>
            <w:tcW w:w="1701" w:type="dxa"/>
            <w:vAlign w:val="center"/>
          </w:tcPr>
          <w:p w:rsidR="007F5BDF" w:rsidRPr="000243C8" w:rsidRDefault="000243C8" w:rsidP="002909E5">
            <w:pPr>
              <w:spacing w:line="360" w:lineRule="auto"/>
              <w:jc w:val="center"/>
            </w:pPr>
            <w:r>
              <w:rPr>
                <w:color w:val="000000"/>
              </w:rPr>
              <w:t>25 143 962</w:t>
            </w:r>
          </w:p>
        </w:tc>
        <w:tc>
          <w:tcPr>
            <w:tcW w:w="1984" w:type="dxa"/>
            <w:vAlign w:val="center"/>
          </w:tcPr>
          <w:p w:rsidR="007F5BDF" w:rsidRPr="00BC1BBD" w:rsidRDefault="000243C8" w:rsidP="002909E5">
            <w:pPr>
              <w:spacing w:line="360" w:lineRule="auto"/>
              <w:jc w:val="center"/>
            </w:pPr>
            <w:r>
              <w:t>100 999 224</w:t>
            </w:r>
          </w:p>
        </w:tc>
      </w:tr>
    </w:tbl>
    <w:p w:rsidR="007F5BDF" w:rsidRDefault="00CB4FDF" w:rsidP="007F5BDF">
      <w:pPr>
        <w:pStyle w:val="a3"/>
        <w:spacing w:before="120" w:line="360" w:lineRule="auto"/>
        <w:ind w:left="0" w:firstLine="567"/>
        <w:jc w:val="both"/>
      </w:pPr>
      <w:r>
        <w:t xml:space="preserve">На основе проведенных расчетов можно </w:t>
      </w:r>
      <w:r w:rsidR="00C9231C">
        <w:t>утверждать</w:t>
      </w:r>
      <w:r>
        <w:t xml:space="preserve">, </w:t>
      </w:r>
      <w:r w:rsidR="00C9231C">
        <w:t>что,</w:t>
      </w:r>
      <w:r>
        <w:t xml:space="preserve"> даже учитывая</w:t>
      </w:r>
      <w:r w:rsidR="00C9231C">
        <w:t xml:space="preserve"> факт того</w:t>
      </w:r>
      <w:r>
        <w:t xml:space="preserve">, что компания переплатила за покупку 11 гипермаркетов, </w:t>
      </w:r>
      <w:r w:rsidR="00C9231C">
        <w:t xml:space="preserve">в перспективе синергия сможет покрыть затраты и позволит компании прочнее утвердиться на рынке. </w:t>
      </w:r>
      <w:proofErr w:type="gramStart"/>
      <w:r w:rsidR="00C9231C">
        <w:t>Тем не менее, да</w:t>
      </w:r>
      <w:r w:rsidR="00C9231C">
        <w:t>н</w:t>
      </w:r>
      <w:r w:rsidR="00C9231C">
        <w:t>ный показатель так же зависит от органического роста компании, который в последние года  сильно ускорился: компания открывает до 50 новых гипермаркетов год.</w:t>
      </w:r>
      <w:proofErr w:type="gramEnd"/>
      <w:r w:rsidR="00C9231C">
        <w:t xml:space="preserve"> К сожал</w:t>
      </w:r>
      <w:r w:rsidR="00C9231C">
        <w:t>е</w:t>
      </w:r>
      <w:r w:rsidR="00C9231C">
        <w:t xml:space="preserve">нию, рассчитать показатель синергии для новых подразделений, обособленно от всей компании  целом невозможно, но можно </w:t>
      </w:r>
      <w:r w:rsidR="00AB64AE">
        <w:t>утверждать, что не менее</w:t>
      </w:r>
      <w:r w:rsidR="00C9231C">
        <w:t xml:space="preserve"> 20% </w:t>
      </w:r>
      <w:r w:rsidR="00AB64AE">
        <w:t>роста были обе</w:t>
      </w:r>
      <w:r w:rsidR="00AB64AE">
        <w:t>с</w:t>
      </w:r>
      <w:r w:rsidR="00AB64AE">
        <w:t>печены за счет приобретения «К-</w:t>
      </w:r>
      <w:proofErr w:type="spellStart"/>
      <w:r w:rsidR="00AB64AE">
        <w:t>Руоки</w:t>
      </w:r>
      <w:proofErr w:type="spellEnd"/>
      <w:r w:rsidR="00AB64AE">
        <w:t>».</w:t>
      </w:r>
    </w:p>
    <w:p w:rsidR="00236343" w:rsidRDefault="00AB64AE" w:rsidP="007F5BDF">
      <w:pPr>
        <w:pStyle w:val="a3"/>
        <w:spacing w:before="120" w:line="360" w:lineRule="auto"/>
        <w:ind w:left="0" w:firstLine="567"/>
        <w:jc w:val="both"/>
      </w:pPr>
      <w:r>
        <w:t xml:space="preserve">Исходя из всего вышесказанного, </w:t>
      </w:r>
      <w:r w:rsidRPr="00AB64AE">
        <w:t xml:space="preserve">можно сделать вывод о </w:t>
      </w:r>
      <w:r w:rsidR="00B326F9">
        <w:t>довольно высоких темпах роста и</w:t>
      </w:r>
      <w:r w:rsidRPr="00AB64AE">
        <w:t xml:space="preserve"> развития компа</w:t>
      </w:r>
      <w:r w:rsidR="00236343">
        <w:t>нии, основываясь на проведенном анализе</w:t>
      </w:r>
      <w:r w:rsidRPr="00AB64AE">
        <w:t xml:space="preserve"> ключевых показателей. </w:t>
      </w:r>
      <w:r w:rsidR="00236343">
        <w:t>Не смотря на то, что н</w:t>
      </w:r>
      <w:r w:rsidRPr="00AB64AE">
        <w:t xml:space="preserve">а данный момент </w:t>
      </w:r>
      <w:r w:rsidR="00236343">
        <w:t>наблюдается ожидаемое уменьшение выручки на магазин, так как «Лента» проводит активную экспансию на рынки новых регионов, опер</w:t>
      </w:r>
      <w:r w:rsidR="00236343">
        <w:t>а</w:t>
      </w:r>
      <w:r w:rsidR="00236343">
        <w:t>ционные показатели продолжают расти. Даже учитывая желание компании следовать стратегическим целям «быстрого сетевого развития» и не снижать долю капитальных вложений, рассчитанный прогноз показал положительные свободные денежные потоки</w:t>
      </w:r>
      <w:r w:rsidRPr="00AB64AE">
        <w:t xml:space="preserve">. </w:t>
      </w:r>
      <w:r w:rsidR="00236343">
        <w:t>Поэтому</w:t>
      </w:r>
      <w:r w:rsidRPr="00AB64AE">
        <w:t xml:space="preserve"> можно сделать вывод, что </w:t>
      </w:r>
      <w:r w:rsidR="00236343">
        <w:t xml:space="preserve">данная </w:t>
      </w:r>
      <w:r w:rsidRPr="00AB64AE">
        <w:t>сделк</w:t>
      </w:r>
      <w:r w:rsidR="00236343">
        <w:t>а</w:t>
      </w:r>
      <w:r w:rsidRPr="00AB64AE">
        <w:t xml:space="preserve"> </w:t>
      </w:r>
      <w:r w:rsidR="00236343">
        <w:t>внесла</w:t>
      </w:r>
      <w:r w:rsidRPr="00AB64AE">
        <w:t xml:space="preserve"> вклад в развитие компании, что также подтверждается положительным значением синергетического эффекта. </w:t>
      </w:r>
    </w:p>
    <w:p w:rsidR="00C621FA" w:rsidRPr="00FF1FC4" w:rsidRDefault="00C621FA" w:rsidP="007F5BDF">
      <w:pPr>
        <w:spacing w:line="360" w:lineRule="auto"/>
        <w:ind w:firstLine="567"/>
        <w:contextualSpacing/>
        <w:jc w:val="center"/>
        <w:rPr>
          <w:i/>
        </w:rPr>
      </w:pPr>
      <w:r w:rsidRPr="00FF1FC4">
        <w:rPr>
          <w:i/>
        </w:rPr>
        <w:br w:type="page"/>
      </w:r>
    </w:p>
    <w:p w:rsidR="005C1C31" w:rsidRPr="00EF5718" w:rsidRDefault="005C1C31" w:rsidP="002A61A0">
      <w:pPr>
        <w:pStyle w:val="1"/>
        <w:spacing w:before="200" w:afterLines="100" w:after="240"/>
        <w:ind w:firstLine="709"/>
        <w:rPr>
          <w:rFonts w:ascii="Times New Roman" w:hAnsi="Times New Roman" w:cs="Times New Roman"/>
          <w:color w:val="FF0000"/>
        </w:rPr>
      </w:pPr>
      <w:bookmarkStart w:id="73" w:name="_Toc513092337"/>
      <w:r w:rsidRPr="00EF5718">
        <w:rPr>
          <w:rFonts w:ascii="Times New Roman" w:hAnsi="Times New Roman" w:cs="Times New Roman"/>
          <w:color w:val="auto"/>
        </w:rPr>
        <w:lastRenderedPageBreak/>
        <w:t>Заключение.</w:t>
      </w:r>
      <w:bookmarkEnd w:id="73"/>
      <w:r w:rsidR="00270DEE" w:rsidRPr="00EF5718">
        <w:rPr>
          <w:rFonts w:ascii="Times New Roman" w:hAnsi="Times New Roman" w:cs="Times New Roman"/>
          <w:color w:val="auto"/>
        </w:rPr>
        <w:t xml:space="preserve"> </w:t>
      </w:r>
    </w:p>
    <w:p w:rsidR="0021673B" w:rsidRPr="003973C5" w:rsidRDefault="00270DEE" w:rsidP="003973C5">
      <w:pPr>
        <w:spacing w:line="360" w:lineRule="auto"/>
        <w:ind w:firstLine="567"/>
        <w:jc w:val="both"/>
        <w:rPr>
          <w:color w:val="000000"/>
        </w:rPr>
      </w:pPr>
      <w:r w:rsidRPr="003973C5">
        <w:rPr>
          <w:color w:val="000000"/>
        </w:rPr>
        <w:t>С</w:t>
      </w:r>
      <w:r w:rsidR="005C1C31" w:rsidRPr="003973C5">
        <w:rPr>
          <w:color w:val="000000"/>
        </w:rPr>
        <w:t xml:space="preserve">делки слияния и поглощения представляют собой основной способ расширения и интеграции </w:t>
      </w:r>
      <w:r w:rsidR="00977D0A" w:rsidRPr="003973C5">
        <w:rPr>
          <w:color w:val="000000"/>
        </w:rPr>
        <w:t xml:space="preserve">международных </w:t>
      </w:r>
      <w:r w:rsidR="005C1C31" w:rsidRPr="003973C5">
        <w:rPr>
          <w:color w:val="000000"/>
        </w:rPr>
        <w:t xml:space="preserve">фирм, в условиях </w:t>
      </w:r>
      <w:r w:rsidR="005C1C31" w:rsidRPr="0046578E">
        <w:t>изменения внешней среды функциониров</w:t>
      </w:r>
      <w:r w:rsidR="005C1C31" w:rsidRPr="0046578E">
        <w:t>а</w:t>
      </w:r>
      <w:r w:rsidR="005C1C31" w:rsidRPr="0046578E">
        <w:t>ния.</w:t>
      </w:r>
      <w:r w:rsidR="005C1C31" w:rsidRPr="003973C5">
        <w:rPr>
          <w:color w:val="000000"/>
        </w:rPr>
        <w:t xml:space="preserve"> </w:t>
      </w:r>
      <w:proofErr w:type="gramStart"/>
      <w:r w:rsidR="0021673B" w:rsidRPr="003973C5">
        <w:rPr>
          <w:color w:val="000000"/>
        </w:rPr>
        <w:t xml:space="preserve">При ближайшем рассмотрении понятийного аппарата были разграничены отличия в российском и западном подходах к определению сделок </w:t>
      </w:r>
      <w:r w:rsidR="0021673B" w:rsidRPr="003973C5">
        <w:rPr>
          <w:lang w:val="en-US"/>
        </w:rPr>
        <w:t>M</w:t>
      </w:r>
      <w:r w:rsidR="0021673B" w:rsidRPr="0046578E">
        <w:t>&amp;</w:t>
      </w:r>
      <w:r w:rsidR="0021673B" w:rsidRPr="003973C5">
        <w:rPr>
          <w:lang w:val="en-US"/>
        </w:rPr>
        <w:t>A</w:t>
      </w:r>
      <w:r w:rsidR="0021673B">
        <w:t>.</w:t>
      </w:r>
      <w:proofErr w:type="gramEnd"/>
    </w:p>
    <w:p w:rsidR="005C1C31" w:rsidRPr="005D7103" w:rsidRDefault="005C1C31" w:rsidP="003973C5">
      <w:pPr>
        <w:spacing w:line="360" w:lineRule="auto"/>
        <w:ind w:firstLine="567"/>
        <w:jc w:val="both"/>
      </w:pPr>
      <w:proofErr w:type="gramStart"/>
      <w:r w:rsidRPr="003973C5">
        <w:rPr>
          <w:lang w:val="en-US"/>
        </w:rPr>
        <w:t>M</w:t>
      </w:r>
      <w:r w:rsidRPr="0046578E">
        <w:t>&amp;</w:t>
      </w:r>
      <w:r w:rsidRPr="003973C5">
        <w:rPr>
          <w:lang w:val="en-US"/>
        </w:rPr>
        <w:t>A</w:t>
      </w:r>
      <w:r w:rsidRPr="0046578E">
        <w:t xml:space="preserve"> обладают целым рядом преимуществ по сравнению с внутренними методами корпоративного развития.</w:t>
      </w:r>
      <w:proofErr w:type="gramEnd"/>
      <w:r w:rsidRPr="0046578E">
        <w:t xml:space="preserve"> Основным из них, служащим одновременно главным мотив</w:t>
      </w:r>
      <w:r w:rsidRPr="0046578E">
        <w:t>и</w:t>
      </w:r>
      <w:r w:rsidRPr="0046578E">
        <w:t>рующим фактором к проведению слияний и поглощений, является синергетический э</w:t>
      </w:r>
      <w:r w:rsidRPr="0046578E">
        <w:t>ф</w:t>
      </w:r>
      <w:r w:rsidRPr="0046578E">
        <w:t>фект, выражающийся в создании дополнительной стоимости от слияния/поглощения.</w:t>
      </w:r>
      <w:r w:rsidR="005D7103">
        <w:t xml:space="preserve"> П</w:t>
      </w:r>
      <w:r w:rsidR="005D7103">
        <w:t>о</w:t>
      </w:r>
      <w:r w:rsidR="005D7103">
        <w:t xml:space="preserve">мимо прочих целей, также выделяют </w:t>
      </w:r>
      <w:r w:rsidR="005D7103" w:rsidRPr="0070355E">
        <w:t>дивер</w:t>
      </w:r>
      <w:r w:rsidR="005D7103">
        <w:t>сификацию и корректировку</w:t>
      </w:r>
      <w:r w:rsidR="005D7103" w:rsidRPr="0070355E">
        <w:t xml:space="preserve"> стратегии</w:t>
      </w:r>
      <w:r w:rsidR="005D7103">
        <w:t xml:space="preserve"> в кач</w:t>
      </w:r>
      <w:r w:rsidR="005D7103">
        <w:t>е</w:t>
      </w:r>
      <w:r w:rsidR="005D7103">
        <w:t xml:space="preserve">стве основных причин слияния компаний. </w:t>
      </w:r>
    </w:p>
    <w:p w:rsidR="005C1C31" w:rsidRDefault="005C1C31" w:rsidP="003973C5">
      <w:pPr>
        <w:spacing w:line="360" w:lineRule="auto"/>
        <w:ind w:firstLine="567"/>
        <w:jc w:val="both"/>
      </w:pPr>
      <w:r>
        <w:t xml:space="preserve">Для наиболее точного проведения анализа тенденций слияний и поглощений был проведен факторный анализ </w:t>
      </w:r>
      <w:r w:rsidR="004667C6">
        <w:t>показателей</w:t>
      </w:r>
      <w:r>
        <w:t xml:space="preserve"> слияний</w:t>
      </w:r>
      <w:r w:rsidR="00CB7A34">
        <w:t xml:space="preserve"> и поглощений и изучен путь развития каждого </w:t>
      </w:r>
      <w:r w:rsidR="00CB7A34" w:rsidRPr="00C40412">
        <w:t>рынка</w:t>
      </w:r>
      <w:r w:rsidR="00CB7A34">
        <w:t xml:space="preserve"> в отдельности</w:t>
      </w:r>
      <w:r>
        <w:t xml:space="preserve">. </w:t>
      </w:r>
      <w:r w:rsidR="00622489">
        <w:t>На основе</w:t>
      </w:r>
      <w:r>
        <w:t xml:space="preserve"> рассмотрен</w:t>
      </w:r>
      <w:r w:rsidR="00622489">
        <w:t>ия</w:t>
      </w:r>
      <w:r>
        <w:t xml:space="preserve"> </w:t>
      </w:r>
      <w:r w:rsidR="00622489">
        <w:t>показателей стоимости слива</w:t>
      </w:r>
      <w:r w:rsidR="00622489">
        <w:t>ю</w:t>
      </w:r>
      <w:r w:rsidR="00622489">
        <w:t xml:space="preserve">щихся компаний </w:t>
      </w:r>
      <w:r>
        <w:t xml:space="preserve">был выявлен наиболее распространенный метод </w:t>
      </w:r>
      <w:r w:rsidR="00622489">
        <w:t xml:space="preserve">ее </w:t>
      </w:r>
      <w:r>
        <w:t>определения, ко</w:t>
      </w:r>
      <w:r>
        <w:t>н</w:t>
      </w:r>
      <w:r>
        <w:t xml:space="preserve">кретнее, в рамках доходного подхода - метод дисконтирования. </w:t>
      </w:r>
    </w:p>
    <w:p w:rsidR="005D7103" w:rsidRDefault="00E40A8E" w:rsidP="003973C5">
      <w:pPr>
        <w:spacing w:line="360" w:lineRule="auto"/>
        <w:ind w:firstLine="567"/>
        <w:jc w:val="both"/>
      </w:pPr>
      <w:r>
        <w:t>Так же стоит учитывать, что далеко не все сделки заканчиваются успешно для пок</w:t>
      </w:r>
      <w:r>
        <w:t>у</w:t>
      </w:r>
      <w:r>
        <w:t xml:space="preserve">пателей. </w:t>
      </w:r>
      <w:r w:rsidR="00DC37D1">
        <w:t>Компании сталкиваются с проблемами, начиная с самого начала – оценки поте</w:t>
      </w:r>
      <w:r w:rsidR="00DC37D1">
        <w:t>н</w:t>
      </w:r>
      <w:r w:rsidR="00DC37D1">
        <w:t xml:space="preserve">циальных целей, и заканчивая возникающими сложностями после приобретения, такими как проблемы стратегического и организационного управления. Тем не менее, это не останавливает остальных от  применения стратегии агрессивного роста. </w:t>
      </w:r>
    </w:p>
    <w:p w:rsidR="001C7F67" w:rsidRDefault="00C444AF" w:rsidP="001C7F67">
      <w:pPr>
        <w:spacing w:line="360" w:lineRule="auto"/>
        <w:ind w:firstLine="709"/>
        <w:contextualSpacing/>
        <w:jc w:val="both"/>
      </w:pPr>
      <w:r>
        <w:t>При анализе динамики потоков</w:t>
      </w:r>
      <w:r w:rsidR="00DC37D1">
        <w:t>,</w:t>
      </w:r>
      <w:r>
        <w:t xml:space="preserve"> начиная с 1888 до настоящего времени</w:t>
      </w:r>
      <w:r w:rsidR="00DC37D1">
        <w:t>,</w:t>
      </w:r>
      <w:r>
        <w:t xml:space="preserve"> </w:t>
      </w:r>
      <w:r w:rsidR="00067E5E">
        <w:t>были в</w:t>
      </w:r>
      <w:r w:rsidR="00067E5E">
        <w:t>ы</w:t>
      </w:r>
      <w:r w:rsidR="00067E5E">
        <w:t>явлены ключевые всплески, переросшие в полномасштабные волны активности. Более т</w:t>
      </w:r>
      <w:r w:rsidR="00067E5E">
        <w:t>о</w:t>
      </w:r>
      <w:r w:rsidR="00067E5E">
        <w:t>го, были рассмотрены основные тенденции и крупнейшие сектора, демонстрирующие стоимостную и количественную динамику, выявленные при детальном рассмотрении п</w:t>
      </w:r>
      <w:r w:rsidR="00067E5E">
        <w:t>о</w:t>
      </w:r>
      <w:r w:rsidR="00067E5E">
        <w:t>следнего оживлении на рынке, начавшегося в 2012 году. Как и было ожидаемо, каждый р</w:t>
      </w:r>
      <w:r w:rsidR="00217BB7">
        <w:t>егион</w:t>
      </w:r>
      <w:r w:rsidR="00067E5E">
        <w:t xml:space="preserve"> продемонстрировал различную динамику</w:t>
      </w:r>
      <w:r w:rsidR="00217BB7">
        <w:t xml:space="preserve">, как в секторах </w:t>
      </w:r>
      <w:r>
        <w:rPr>
          <w:lang w:val="en-US"/>
        </w:rPr>
        <w:t>Cross</w:t>
      </w:r>
      <w:r w:rsidRPr="00C444AF">
        <w:t>-</w:t>
      </w:r>
      <w:r>
        <w:rPr>
          <w:lang w:val="en-US"/>
        </w:rPr>
        <w:t>border</w:t>
      </w:r>
      <w:r w:rsidR="00217BB7" w:rsidRPr="00217BB7">
        <w:t>/</w:t>
      </w:r>
      <w:r w:rsidR="00217BB7">
        <w:rPr>
          <w:lang w:val="en-US"/>
        </w:rPr>
        <w:t>Domestic</w:t>
      </w:r>
      <w:r>
        <w:t xml:space="preserve">, </w:t>
      </w:r>
      <w:r w:rsidR="00217BB7">
        <w:t xml:space="preserve">так и </w:t>
      </w:r>
      <w:proofErr w:type="gramStart"/>
      <w:r w:rsidR="00217BB7">
        <w:t>в</w:t>
      </w:r>
      <w:proofErr w:type="gramEnd"/>
      <w:r w:rsidR="00217BB7">
        <w:t xml:space="preserve"> общей волатильности рынка. Ключевые различия выражались, помимо прочего, в длине и росте активности в течение нарастания очередных волн на мировом рынке</w:t>
      </w:r>
      <w:r w:rsidR="00A30655">
        <w:t>, корр</w:t>
      </w:r>
      <w:r w:rsidR="00A30655">
        <w:t>е</w:t>
      </w:r>
      <w:r w:rsidR="00A30655">
        <w:t xml:space="preserve">лируя с динамикой ВВП, размером процентной ставки, коэффициентом </w:t>
      </w:r>
      <w:proofErr w:type="spellStart"/>
      <w:r w:rsidR="00A30655">
        <w:t>Тобина</w:t>
      </w:r>
      <w:proofErr w:type="spellEnd"/>
      <w:r w:rsidR="00A30655">
        <w:t>, законод</w:t>
      </w:r>
      <w:r w:rsidR="00A30655">
        <w:t>а</w:t>
      </w:r>
      <w:r w:rsidR="00A30655">
        <w:t xml:space="preserve">тельством, и, в большей мере, с размером капитализации фондового рынка. </w:t>
      </w:r>
    </w:p>
    <w:p w:rsidR="00EC1FB0" w:rsidRPr="00C444AF" w:rsidRDefault="001C7F67" w:rsidP="003973C5">
      <w:pPr>
        <w:spacing w:line="360" w:lineRule="auto"/>
        <w:ind w:firstLine="567"/>
        <w:jc w:val="both"/>
      </w:pPr>
      <w:r w:rsidRPr="001C7F67">
        <w:t>Кроме того, трансграничные слияния и поглощения были заметной особенностью рынка слияний и погло</w:t>
      </w:r>
      <w:r>
        <w:t xml:space="preserve">щений. </w:t>
      </w:r>
      <w:r w:rsidRPr="001C7F67">
        <w:t>Объем трансграничных сделок снизился все</w:t>
      </w:r>
      <w:r>
        <w:t>го на три</w:t>
      </w:r>
      <w:r w:rsidRPr="001C7F67">
        <w:t xml:space="preserve"> пр</w:t>
      </w:r>
      <w:r w:rsidRPr="001C7F67">
        <w:t>о</w:t>
      </w:r>
      <w:r w:rsidRPr="001C7F67">
        <w:t>цента по сравнению с объемом трансграничной торговли в 2016 году и составил 38 пр</w:t>
      </w:r>
      <w:r w:rsidRPr="001C7F67">
        <w:t>о</w:t>
      </w:r>
      <w:r w:rsidRPr="001C7F67">
        <w:lastRenderedPageBreak/>
        <w:t xml:space="preserve">центов от общего объема слияний и поглощений, что является самым высоким </w:t>
      </w:r>
      <w:r w:rsidR="00622489" w:rsidRPr="001C7F67">
        <w:t>показат</w:t>
      </w:r>
      <w:r w:rsidR="00622489" w:rsidRPr="001C7F67">
        <w:t>е</w:t>
      </w:r>
      <w:r w:rsidR="00622489" w:rsidRPr="001C7F67">
        <w:t>лем</w:t>
      </w:r>
      <w:r w:rsidRPr="001C7F67">
        <w:t xml:space="preserve"> с 2008 года. Девять из 15 </w:t>
      </w:r>
      <w:proofErr w:type="gramStart"/>
      <w:r w:rsidRPr="001C7F67">
        <w:t>крупнейших транзакций, объявленных в 2017 были</w:t>
      </w:r>
      <w:proofErr w:type="gramEnd"/>
      <w:r w:rsidRPr="001C7F67">
        <w:t xml:space="preserve"> тран</w:t>
      </w:r>
      <w:r w:rsidRPr="001C7F67">
        <w:t>с</w:t>
      </w:r>
      <w:r w:rsidRPr="001C7F67">
        <w:t>граничные операции.</w:t>
      </w:r>
    </w:p>
    <w:p w:rsidR="005C1C31" w:rsidRDefault="005C1C31" w:rsidP="005C1C31">
      <w:pPr>
        <w:spacing w:line="360" w:lineRule="auto"/>
        <w:ind w:firstLine="709"/>
        <w:contextualSpacing/>
        <w:jc w:val="both"/>
        <w:rPr>
          <w:color w:val="000000"/>
        </w:rPr>
      </w:pPr>
      <w:r>
        <w:t>В</w:t>
      </w:r>
      <w:r w:rsidRPr="0044429F">
        <w:rPr>
          <w:color w:val="000000"/>
        </w:rPr>
        <w:t xml:space="preserve"> </w:t>
      </w:r>
      <w:r w:rsidRPr="00D43DEC">
        <w:rPr>
          <w:color w:val="000000"/>
        </w:rPr>
        <w:t>процессе изучения черт российск</w:t>
      </w:r>
      <w:r w:rsidR="00DC2DFE">
        <w:rPr>
          <w:color w:val="000000"/>
        </w:rPr>
        <w:t>их</w:t>
      </w:r>
      <w:r w:rsidRPr="00D43DEC">
        <w:rPr>
          <w:color w:val="000000"/>
        </w:rPr>
        <w:t xml:space="preserve"> </w:t>
      </w:r>
      <w:r w:rsidR="00DC2DFE">
        <w:rPr>
          <w:color w:val="000000"/>
        </w:rPr>
        <w:t xml:space="preserve">особенностей </w:t>
      </w:r>
      <w:r w:rsidRPr="00D43DEC">
        <w:rPr>
          <w:color w:val="000000"/>
        </w:rPr>
        <w:t>слияний и поглощений было установлено, что его динами</w:t>
      </w:r>
      <w:r>
        <w:rPr>
          <w:color w:val="000000"/>
        </w:rPr>
        <w:t>ка</w:t>
      </w:r>
      <w:r w:rsidRPr="00D43DEC">
        <w:rPr>
          <w:color w:val="000000"/>
        </w:rPr>
        <w:t xml:space="preserve"> имеет в своем основании ряд экономических и институц</w:t>
      </w:r>
      <w:r w:rsidRPr="00D43DEC">
        <w:rPr>
          <w:color w:val="000000"/>
        </w:rPr>
        <w:t>и</w:t>
      </w:r>
      <w:r w:rsidRPr="00D43DEC">
        <w:rPr>
          <w:color w:val="000000"/>
        </w:rPr>
        <w:t xml:space="preserve">ональных тенденций. Если </w:t>
      </w:r>
      <w:r>
        <w:rPr>
          <w:color w:val="000000"/>
        </w:rPr>
        <w:t>в докризисный период</w:t>
      </w:r>
      <w:r w:rsidRPr="00D43DEC">
        <w:rPr>
          <w:color w:val="000000"/>
        </w:rPr>
        <w:t xml:space="preserve"> практически все сделки </w:t>
      </w:r>
      <w:r>
        <w:rPr>
          <w:color w:val="000000"/>
        </w:rPr>
        <w:t>являлись</w:t>
      </w:r>
      <w:r w:rsidRPr="00D43DEC">
        <w:rPr>
          <w:color w:val="000000"/>
        </w:rPr>
        <w:t xml:space="preserve"> сде</w:t>
      </w:r>
      <w:r w:rsidRPr="00D43DEC">
        <w:rPr>
          <w:color w:val="000000"/>
        </w:rPr>
        <w:t>л</w:t>
      </w:r>
      <w:r w:rsidRPr="00D43DEC">
        <w:rPr>
          <w:color w:val="000000"/>
        </w:rPr>
        <w:t>ками поглощений зарубежными и международными компаниями российских фирм, то т</w:t>
      </w:r>
      <w:r w:rsidRPr="00D43DEC">
        <w:rPr>
          <w:color w:val="000000"/>
        </w:rPr>
        <w:t>е</w:t>
      </w:r>
      <w:r w:rsidRPr="00D43DEC">
        <w:rPr>
          <w:color w:val="000000"/>
        </w:rPr>
        <w:t>перь отечественные</w:t>
      </w:r>
      <w:r w:rsidRPr="00DA09BC">
        <w:rPr>
          <w:color w:val="000000"/>
        </w:rPr>
        <w:t xml:space="preserve"> корпорации и ТНК, реализуя стратегию выхода </w:t>
      </w:r>
      <w:r w:rsidRPr="00D43DEC">
        <w:rPr>
          <w:color w:val="000000"/>
        </w:rPr>
        <w:t xml:space="preserve">на мировой рынок, покупают активы за рубежом и на равных сливаются с международными компаниями. </w:t>
      </w:r>
      <w:r>
        <w:rPr>
          <w:color w:val="000000"/>
        </w:rPr>
        <w:t>Г</w:t>
      </w:r>
      <w:r>
        <w:rPr>
          <w:color w:val="000000"/>
        </w:rPr>
        <w:t>о</w:t>
      </w:r>
      <w:r>
        <w:rPr>
          <w:color w:val="000000"/>
        </w:rPr>
        <w:t>воря</w:t>
      </w:r>
      <w:r w:rsidRPr="00D43DEC">
        <w:rPr>
          <w:color w:val="000000"/>
        </w:rPr>
        <w:t xml:space="preserve"> о роли государства, есть основания предполагать, что доля госкомпаний в статистике слияний и поглощений увеличится.</w:t>
      </w:r>
    </w:p>
    <w:p w:rsidR="00E85BFA" w:rsidRDefault="00DC37D1" w:rsidP="00700714">
      <w:pPr>
        <w:spacing w:after="200" w:line="360" w:lineRule="auto"/>
        <w:ind w:firstLine="567"/>
        <w:contextualSpacing/>
        <w:jc w:val="both"/>
      </w:pPr>
      <w:r>
        <w:t xml:space="preserve">В качестве сделки для более подробного анализа была </w:t>
      </w:r>
      <w:r w:rsidR="00610BFA">
        <w:t xml:space="preserve">взята покупка продуктовым </w:t>
      </w:r>
      <w:proofErr w:type="spellStart"/>
      <w:r w:rsidR="00610BFA">
        <w:t>ритейлером</w:t>
      </w:r>
      <w:proofErr w:type="spellEnd"/>
      <w:r w:rsidR="00610BFA">
        <w:t xml:space="preserve"> «Лента» активов финского </w:t>
      </w:r>
      <w:proofErr w:type="spellStart"/>
      <w:r w:rsidR="00610BFA">
        <w:t>ритейлера</w:t>
      </w:r>
      <w:proofErr w:type="spellEnd"/>
      <w:r w:rsidR="00610BFA">
        <w:t xml:space="preserve"> «</w:t>
      </w:r>
      <w:proofErr w:type="spellStart"/>
      <w:r w:rsidR="00610BFA">
        <w:t>Кеско</w:t>
      </w:r>
      <w:proofErr w:type="spellEnd"/>
      <w:r w:rsidR="00610BFA">
        <w:t xml:space="preserve">» в декабре 2016 года. </w:t>
      </w:r>
      <w:r w:rsidR="00AE4801">
        <w:t>Ос</w:t>
      </w:r>
      <w:r w:rsidR="00AE4801">
        <w:t>у</w:t>
      </w:r>
      <w:r w:rsidR="00AE4801">
        <w:t>ществление д</w:t>
      </w:r>
      <w:r w:rsidR="00E7312A">
        <w:t>анн</w:t>
      </w:r>
      <w:r w:rsidR="00AE4801">
        <w:t>ой</w:t>
      </w:r>
      <w:r w:rsidR="00E7312A">
        <w:t xml:space="preserve"> сделк</w:t>
      </w:r>
      <w:r w:rsidR="00AE4801">
        <w:t>и</w:t>
      </w:r>
      <w:r w:rsidR="00E7312A">
        <w:t xml:space="preserve"> </w:t>
      </w:r>
      <w:r w:rsidR="00AE4801">
        <w:t>не противоречит</w:t>
      </w:r>
      <w:r w:rsidR="00E7312A">
        <w:t xml:space="preserve"> намеченными целями стратегического разв</w:t>
      </w:r>
      <w:r w:rsidR="00E7312A">
        <w:t>и</w:t>
      </w:r>
      <w:r w:rsidR="00E7312A">
        <w:t>тия груп</w:t>
      </w:r>
      <w:r w:rsidR="00AE4801">
        <w:t xml:space="preserve">пы, помогая быстрее нарастить торговые площади и утвердить свое присутствие на рынке Санкт-Петербурга. </w:t>
      </w:r>
      <w:r w:rsidR="00E85BFA">
        <w:t>В качестве основных мотивов для поглощения можно выд</w:t>
      </w:r>
      <w:r w:rsidR="00E85BFA">
        <w:t>е</w:t>
      </w:r>
      <w:r w:rsidR="00E85BFA">
        <w:t>лить увеличение «рыночного могущества» и синергию.</w:t>
      </w:r>
    </w:p>
    <w:p w:rsidR="00526776" w:rsidRDefault="00E85BFA" w:rsidP="00610BFA">
      <w:pPr>
        <w:spacing w:after="200" w:line="360" w:lineRule="auto"/>
        <w:ind w:firstLine="567"/>
        <w:contextualSpacing/>
        <w:jc w:val="both"/>
      </w:pPr>
      <w:r>
        <w:t xml:space="preserve">Для оценки синергетического эффекта </w:t>
      </w:r>
      <w:r w:rsidR="004D35D7">
        <w:t>был выбран метод оценки компан</w:t>
      </w:r>
      <w:r w:rsidR="00C26684">
        <w:t>ии по мод</w:t>
      </w:r>
      <w:r w:rsidR="00C26684">
        <w:t>е</w:t>
      </w:r>
      <w:r w:rsidR="00C26684">
        <w:t xml:space="preserve">ли Гордона </w:t>
      </w:r>
      <w:r w:rsidR="004D35D7">
        <w:t xml:space="preserve">до и после поглощения. </w:t>
      </w:r>
      <w:r w:rsidR="00C26684">
        <w:t xml:space="preserve">Для расчета стоимости фирмы после приобретения активов были рассчитаны и </w:t>
      </w:r>
      <w:proofErr w:type="spellStart"/>
      <w:r w:rsidR="00C26684">
        <w:t>продисконтированы</w:t>
      </w:r>
      <w:proofErr w:type="spellEnd"/>
      <w:r w:rsidR="00C26684">
        <w:t xml:space="preserve"> денежные потоки в соответствии с</w:t>
      </w:r>
      <w:r w:rsidR="00C26684" w:rsidRPr="00C26684">
        <w:t xml:space="preserve"> </w:t>
      </w:r>
      <w:r w:rsidR="00C26684">
        <w:t>мет</w:t>
      </w:r>
      <w:r w:rsidR="00C26684">
        <w:t>о</w:t>
      </w:r>
      <w:r w:rsidR="00C26684">
        <w:t xml:space="preserve">дом </w:t>
      </w:r>
      <w:r w:rsidR="00C26684">
        <w:rPr>
          <w:lang w:val="en-US"/>
        </w:rPr>
        <w:t>Discounted</w:t>
      </w:r>
      <w:r w:rsidR="00C26684" w:rsidRPr="00C26684">
        <w:t xml:space="preserve"> </w:t>
      </w:r>
      <w:r w:rsidR="00C26684">
        <w:rPr>
          <w:lang w:val="en-US"/>
        </w:rPr>
        <w:t>Cash</w:t>
      </w:r>
      <w:r w:rsidR="00C26684" w:rsidRPr="00C26684">
        <w:t xml:space="preserve"> </w:t>
      </w:r>
      <w:r w:rsidR="00C26684">
        <w:rPr>
          <w:lang w:val="en-US"/>
        </w:rPr>
        <w:t>Flow</w:t>
      </w:r>
      <w:r w:rsidR="00C26684" w:rsidRPr="00C26684">
        <w:t xml:space="preserve">. </w:t>
      </w:r>
      <w:r w:rsidR="00FA77F2">
        <w:t xml:space="preserve">Данная </w:t>
      </w:r>
      <w:r w:rsidR="00FA77F2" w:rsidRPr="00AB64AE">
        <w:t>сделк</w:t>
      </w:r>
      <w:r w:rsidR="00FA77F2">
        <w:t>а</w:t>
      </w:r>
      <w:r w:rsidR="00FA77F2" w:rsidRPr="00AB64AE">
        <w:t xml:space="preserve"> </w:t>
      </w:r>
      <w:r w:rsidR="00FA77F2">
        <w:t>внесла</w:t>
      </w:r>
      <w:r w:rsidR="00FA77F2" w:rsidRPr="00AB64AE">
        <w:t xml:space="preserve"> </w:t>
      </w:r>
      <w:r w:rsidR="00FA77F2">
        <w:t xml:space="preserve">вклад в развитие компании, что </w:t>
      </w:r>
      <w:r w:rsidR="00FA77F2" w:rsidRPr="00AB64AE">
        <w:t>подтве</w:t>
      </w:r>
      <w:r w:rsidR="00FA77F2" w:rsidRPr="00AB64AE">
        <w:t>р</w:t>
      </w:r>
      <w:r w:rsidR="00FA77F2" w:rsidRPr="00AB64AE">
        <w:t xml:space="preserve">ждается </w:t>
      </w:r>
      <w:r w:rsidR="00526776">
        <w:t>увеличением операционных показателей питерского подразделения, и, в дал</w:t>
      </w:r>
      <w:r w:rsidR="00526776">
        <w:t>ь</w:t>
      </w:r>
      <w:r w:rsidR="00526776">
        <w:t xml:space="preserve">нейшем, </w:t>
      </w:r>
      <w:r w:rsidR="00526776" w:rsidRPr="00AB64AE">
        <w:t>положительным значением синергетического эффекта</w:t>
      </w:r>
    </w:p>
    <w:p w:rsidR="00C86A72" w:rsidRDefault="00526776" w:rsidP="00610BFA">
      <w:pPr>
        <w:spacing w:after="200" w:line="360" w:lineRule="auto"/>
        <w:ind w:firstLine="567"/>
        <w:contextualSpacing/>
        <w:jc w:val="both"/>
      </w:pPr>
      <w:r>
        <w:t>О</w:t>
      </w:r>
      <w:r w:rsidR="00FA77F2">
        <w:t xml:space="preserve">днако из-за несовершенства </w:t>
      </w:r>
      <w:r w:rsidR="00FA77F2" w:rsidRPr="00AB64AE">
        <w:t xml:space="preserve"> </w:t>
      </w:r>
      <w:r w:rsidR="00FA77F2">
        <w:t>методологии нельзя утверждать, что весь результат будет получен лишь за счет стратегии агрессивного роста, так как органический рост пр</w:t>
      </w:r>
      <w:r w:rsidR="00FA77F2">
        <w:t>е</w:t>
      </w:r>
      <w:r w:rsidR="00FA77F2">
        <w:t>вали</w:t>
      </w:r>
      <w:r>
        <w:t>рует в</w:t>
      </w:r>
      <w:r w:rsidR="00FA77F2">
        <w:t xml:space="preserve"> рамках развития данной компании</w:t>
      </w:r>
      <w:r>
        <w:t>, что в свою очередь сглаживает явность с</w:t>
      </w:r>
      <w:r>
        <w:t>и</w:t>
      </w:r>
      <w:r>
        <w:t>нергии. В связи с этим можно сделать вывод о том, что стоит развивать исследования в данном направлении.</w:t>
      </w:r>
    </w:p>
    <w:p w:rsidR="00C40412" w:rsidRDefault="00C86A72" w:rsidP="00C40412">
      <w:pPr>
        <w:spacing w:after="200" w:line="360" w:lineRule="auto"/>
        <w:ind w:firstLine="567"/>
        <w:contextualSpacing/>
        <w:jc w:val="both"/>
      </w:pPr>
      <w:r>
        <w:t>Та</w:t>
      </w:r>
      <w:r w:rsidRPr="00D43DEC">
        <w:t xml:space="preserve">ким образом, </w:t>
      </w:r>
      <w:r w:rsidR="004C50AA">
        <w:t xml:space="preserve">перспективы развития </w:t>
      </w:r>
      <w:r w:rsidR="00C40412">
        <w:t>данной области,</w:t>
      </w:r>
      <w:r w:rsidR="004C50AA">
        <w:t xml:space="preserve"> </w:t>
      </w:r>
      <w:r w:rsidRPr="00D43DEC">
        <w:t>полученные по результатам анали</w:t>
      </w:r>
      <w:r w:rsidR="008123D1">
        <w:t>за</w:t>
      </w:r>
      <w:r w:rsidRPr="00D43DEC">
        <w:t xml:space="preserve">, говорят о том, что </w:t>
      </w:r>
      <w:r w:rsidR="008123D1">
        <w:t>общий объем сделок на американском рынке достигнет пр</w:t>
      </w:r>
      <w:r w:rsidR="008123D1">
        <w:t>и</w:t>
      </w:r>
      <w:r w:rsidR="008123D1">
        <w:t xml:space="preserve">мерно 4,2 </w:t>
      </w:r>
      <w:proofErr w:type="gramStart"/>
      <w:r w:rsidR="008123D1">
        <w:t>млрд</w:t>
      </w:r>
      <w:proofErr w:type="gramEnd"/>
      <w:r w:rsidR="008123D1">
        <w:t xml:space="preserve"> долларов, так как основными драйверами роста будут выступать амер</w:t>
      </w:r>
      <w:r w:rsidR="008123D1">
        <w:t>и</w:t>
      </w:r>
      <w:r w:rsidR="008123D1">
        <w:t xml:space="preserve">канские и китайские компании. Ожидается </w:t>
      </w:r>
      <w:r w:rsidR="008F6AF2">
        <w:t xml:space="preserve">оживление в секторе </w:t>
      </w:r>
      <w:proofErr w:type="spellStart"/>
      <w:r w:rsidR="008F6AF2">
        <w:t>би</w:t>
      </w:r>
      <w:proofErr w:type="gramStart"/>
      <w:r w:rsidR="008F6AF2">
        <w:t>о</w:t>
      </w:r>
      <w:proofErr w:type="spellEnd"/>
      <w:r w:rsidR="008F6AF2">
        <w:t>-</w:t>
      </w:r>
      <w:proofErr w:type="gramEnd"/>
      <w:r w:rsidR="008F6AF2">
        <w:t xml:space="preserve"> и высоких технол</w:t>
      </w:r>
      <w:r w:rsidR="008F6AF2">
        <w:t>о</w:t>
      </w:r>
      <w:r w:rsidR="008F6AF2">
        <w:t>гий.</w:t>
      </w:r>
      <w:r w:rsidR="005D29D7">
        <w:t xml:space="preserve"> Ситуация в Европе также может быть охарактеризована как положительная, несмотря на то, что китайские компании больше не инвестируют крупные суммы в европейский </w:t>
      </w:r>
      <w:r w:rsidR="005D29D7">
        <w:lastRenderedPageBreak/>
        <w:t>рынок, им на смену пришли американские компании.</w:t>
      </w:r>
      <w:r w:rsidR="007474BF">
        <w:t xml:space="preserve"> На фоне 4% роста числа сделок в 2017 году, ожидается увеличение их стоимостного показателя.</w:t>
      </w:r>
    </w:p>
    <w:p w:rsidR="00C40412" w:rsidRDefault="00C40412" w:rsidP="008F6AF2">
      <w:pPr>
        <w:spacing w:after="200" w:line="360" w:lineRule="auto"/>
        <w:ind w:firstLine="567"/>
        <w:contextualSpacing/>
        <w:jc w:val="both"/>
      </w:pPr>
      <w:r>
        <w:t>Что касается ситуации в России, принимая во внимание недавно начавшийся пер</w:t>
      </w:r>
      <w:r>
        <w:t>е</w:t>
      </w:r>
      <w:r>
        <w:t>ход российской экономики от стадии рецессии к восстановлению, стабилизацию курсов валют и снижение инфляции, можно прогнозировать плавное увеличение общего колич</w:t>
      </w:r>
      <w:r>
        <w:t>е</w:t>
      </w:r>
      <w:r>
        <w:t xml:space="preserve">ства сделок, особенно в областях, связанных с </w:t>
      </w:r>
      <w:r w:rsidRPr="00C32947">
        <w:t>ТЭК, металлурги</w:t>
      </w:r>
      <w:r>
        <w:t>ей и</w:t>
      </w:r>
      <w:r w:rsidRPr="00C32947">
        <w:t xml:space="preserve"> электроэнергетик</w:t>
      </w:r>
      <w:r>
        <w:t>ой.</w:t>
      </w:r>
    </w:p>
    <w:p w:rsidR="00C86A72" w:rsidRPr="00F349EF" w:rsidRDefault="00C40412" w:rsidP="00C86A72">
      <w:pPr>
        <w:spacing w:line="360" w:lineRule="auto"/>
        <w:ind w:firstLine="709"/>
        <w:contextualSpacing/>
        <w:jc w:val="both"/>
      </w:pPr>
      <w:r>
        <w:t>Ф</w:t>
      </w:r>
      <w:r w:rsidR="00C86A72">
        <w:t xml:space="preserve">ундаментальный анализ проблематики сделок </w:t>
      </w:r>
      <w:r w:rsidR="00C86A72">
        <w:rPr>
          <w:lang w:val="en-US"/>
        </w:rPr>
        <w:t>M</w:t>
      </w:r>
      <w:r w:rsidR="00C86A72" w:rsidRPr="00D43DEC">
        <w:t>&amp;</w:t>
      </w:r>
      <w:r w:rsidR="00C86A72">
        <w:rPr>
          <w:lang w:val="en-US"/>
        </w:rPr>
        <w:t>A</w:t>
      </w:r>
      <w:r w:rsidR="00C86A72">
        <w:t>, имеющий особое значение для макроэкономического уровня, хоть и помогает выявить главные тенденции, но не по</w:t>
      </w:r>
      <w:r w:rsidR="00C86A72">
        <w:t>з</w:t>
      </w:r>
      <w:r w:rsidR="00C86A72">
        <w:t>воляет утверждать наверняка. О действительных мотивах зачастую ничего не известно, и специалистам остается лишь догадываться, опираясь на косвенные факты, что в свою оч</w:t>
      </w:r>
      <w:r w:rsidR="00C86A72">
        <w:t>е</w:t>
      </w:r>
      <w:r w:rsidR="00C86A72">
        <w:t xml:space="preserve">редь не позволяет в должной степени спрогнозировать поведение </w:t>
      </w:r>
      <w:r w:rsidR="003973C5">
        <w:t>участников сделок</w:t>
      </w:r>
      <w:r w:rsidR="00C86A72">
        <w:t xml:space="preserve"> сл</w:t>
      </w:r>
      <w:r w:rsidR="00C86A72">
        <w:t>и</w:t>
      </w:r>
      <w:r w:rsidR="00C86A72">
        <w:t>яний и поглощений. Поэтому любое прогнозирование не будет исчерпывающим</w:t>
      </w:r>
      <w:r w:rsidR="00C86A72" w:rsidRPr="00E56CF2">
        <w:t>,</w:t>
      </w:r>
      <w:r w:rsidR="00C86A72">
        <w:t xml:space="preserve"> и лишь отчасти будет отображать </w:t>
      </w:r>
      <w:r>
        <w:t>ситуацию</w:t>
      </w:r>
      <w:r w:rsidR="00C86A72">
        <w:t xml:space="preserve">. </w:t>
      </w:r>
    </w:p>
    <w:p w:rsidR="009E2C42" w:rsidRDefault="005C1C31" w:rsidP="00610BFA">
      <w:pPr>
        <w:spacing w:after="200" w:line="360" w:lineRule="auto"/>
        <w:ind w:firstLine="567"/>
        <w:contextualSpacing/>
        <w:jc w:val="both"/>
      </w:pPr>
      <w:r>
        <w:br w:type="page"/>
      </w:r>
    </w:p>
    <w:p w:rsidR="009E2C42" w:rsidRPr="00EF5718" w:rsidRDefault="009E2C42" w:rsidP="002A61A0">
      <w:pPr>
        <w:pStyle w:val="1"/>
        <w:spacing w:before="200" w:afterLines="100" w:after="240"/>
        <w:ind w:firstLine="709"/>
        <w:contextualSpacing/>
        <w:rPr>
          <w:rFonts w:ascii="Times New Roman" w:hAnsi="Times New Roman" w:cs="Times New Roman"/>
          <w:color w:val="auto"/>
        </w:rPr>
      </w:pPr>
      <w:bookmarkStart w:id="74" w:name="_Toc417956312"/>
      <w:bookmarkStart w:id="75" w:name="_Toc513092338"/>
      <w:r w:rsidRPr="00EF5718">
        <w:rPr>
          <w:rFonts w:ascii="Times New Roman" w:hAnsi="Times New Roman" w:cs="Times New Roman"/>
          <w:color w:val="auto"/>
        </w:rPr>
        <w:lastRenderedPageBreak/>
        <w:t xml:space="preserve">Список </w:t>
      </w:r>
      <w:r w:rsidR="00BD5709" w:rsidRPr="00EF5718">
        <w:rPr>
          <w:rFonts w:ascii="Times New Roman" w:hAnsi="Times New Roman" w:cs="Times New Roman"/>
          <w:color w:val="auto"/>
        </w:rPr>
        <w:t>использованных</w:t>
      </w:r>
      <w:r w:rsidRPr="00EF5718">
        <w:rPr>
          <w:rFonts w:ascii="Times New Roman" w:hAnsi="Times New Roman" w:cs="Times New Roman"/>
          <w:color w:val="auto"/>
        </w:rPr>
        <w:t xml:space="preserve"> источников.</w:t>
      </w:r>
      <w:bookmarkEnd w:id="74"/>
      <w:bookmarkEnd w:id="75"/>
    </w:p>
    <w:p w:rsidR="001B6CD2" w:rsidRDefault="001B6CD2" w:rsidP="00556835">
      <w:pPr>
        <w:pStyle w:val="a3"/>
        <w:numPr>
          <w:ilvl w:val="0"/>
          <w:numId w:val="9"/>
        </w:numPr>
        <w:ind w:left="426" w:hanging="426"/>
        <w:jc w:val="both"/>
        <w:rPr>
          <w:color w:val="222222"/>
          <w:shd w:val="clear" w:color="auto" w:fill="FFFFFF"/>
        </w:rPr>
      </w:pPr>
      <w:r w:rsidRPr="001B6CD2">
        <w:t xml:space="preserve">Федеральный закон РФ «Об акционерных обществах» от 26.12.1995 N 208-ФЗ. </w:t>
      </w:r>
      <w:r w:rsidR="00EA5776" w:rsidRPr="00EA5776">
        <w:t>[</w:t>
      </w:r>
      <w:r w:rsidR="00EA5776">
        <w:t>Эле</w:t>
      </w:r>
      <w:r w:rsidR="00EA5776">
        <w:t>к</w:t>
      </w:r>
      <w:r w:rsidR="00EA5776">
        <w:t>тронный ресурс</w:t>
      </w:r>
      <w:r w:rsidR="00EA5776" w:rsidRPr="00EA5776">
        <w:t>]</w:t>
      </w:r>
      <w:r w:rsidR="00EA5776">
        <w:t>. – Режим доступа:</w:t>
      </w:r>
      <w:r w:rsidRPr="001B6CD2">
        <w:rPr>
          <w:color w:val="000000"/>
          <w:shd w:val="clear" w:color="auto" w:fill="FFFFFF"/>
        </w:rPr>
        <w:t xml:space="preserve"> // </w:t>
      </w:r>
      <w:r w:rsidRPr="001B6CD2">
        <w:rPr>
          <w:color w:val="222222"/>
          <w:shd w:val="clear" w:color="auto" w:fill="FFFFFF"/>
          <w:lang w:val="en-US"/>
        </w:rPr>
        <w:t>http</w:t>
      </w:r>
      <w:r w:rsidRPr="001B6CD2">
        <w:rPr>
          <w:color w:val="222222"/>
          <w:shd w:val="clear" w:color="auto" w:fill="FFFFFF"/>
        </w:rPr>
        <w:t>: //</w:t>
      </w:r>
      <w:r w:rsidRPr="001B6CD2">
        <w:t xml:space="preserve"> </w:t>
      </w:r>
      <w:r w:rsidRPr="001B6CD2">
        <w:rPr>
          <w:color w:val="222222"/>
          <w:shd w:val="clear" w:color="auto" w:fill="FFFFFF"/>
        </w:rPr>
        <w:t xml:space="preserve">consultant.ru/ </w:t>
      </w:r>
    </w:p>
    <w:p w:rsidR="001B6CD2" w:rsidRPr="001B6CD2" w:rsidRDefault="002F0473" w:rsidP="00556835">
      <w:pPr>
        <w:pStyle w:val="a3"/>
        <w:numPr>
          <w:ilvl w:val="0"/>
          <w:numId w:val="9"/>
        </w:numPr>
        <w:ind w:left="426" w:hanging="426"/>
        <w:jc w:val="both"/>
        <w:rPr>
          <w:color w:val="222222"/>
          <w:shd w:val="clear" w:color="auto" w:fill="FFFFFF"/>
        </w:rPr>
      </w:pPr>
      <w:r>
        <w:rPr>
          <w:color w:val="222222"/>
          <w:shd w:val="clear" w:color="auto" w:fill="FFFFFF"/>
        </w:rPr>
        <w:t>Ф</w:t>
      </w:r>
      <w:r w:rsidR="00E84525" w:rsidRPr="002F0473">
        <w:rPr>
          <w:color w:val="222222"/>
          <w:shd w:val="clear" w:color="auto" w:fill="FFFFFF"/>
        </w:rPr>
        <w:t>едеральный закон РФ «О рынке ценных б</w:t>
      </w:r>
      <w:r w:rsidR="00B638EF">
        <w:rPr>
          <w:color w:val="222222"/>
          <w:shd w:val="clear" w:color="auto" w:fill="FFFFFF"/>
        </w:rPr>
        <w:t xml:space="preserve">умаг» от 30.12.2006 N 282-ФЗ. </w:t>
      </w:r>
      <w:r w:rsidR="00B638EF" w:rsidRPr="00EA5776">
        <w:t>[</w:t>
      </w:r>
      <w:r w:rsidR="00B638EF">
        <w:t>Электро</w:t>
      </w:r>
      <w:r w:rsidR="00B638EF">
        <w:t>н</w:t>
      </w:r>
      <w:r w:rsidR="00B638EF">
        <w:t>ный ресурс</w:t>
      </w:r>
      <w:r w:rsidR="00B638EF" w:rsidRPr="00EA5776">
        <w:t>]</w:t>
      </w:r>
      <w:r w:rsidR="00B638EF">
        <w:t>. – Режим доступа:</w:t>
      </w:r>
      <w:r w:rsidR="00E84525" w:rsidRPr="002F0473">
        <w:rPr>
          <w:color w:val="222222"/>
          <w:shd w:val="clear" w:color="auto" w:fill="FFFFFF"/>
        </w:rPr>
        <w:t xml:space="preserve"> // </w:t>
      </w:r>
      <w:r w:rsidR="00E84525" w:rsidRPr="002F0473">
        <w:rPr>
          <w:color w:val="222222"/>
          <w:shd w:val="clear" w:color="auto" w:fill="FFFFFF"/>
          <w:lang w:val="en-US"/>
        </w:rPr>
        <w:t>http</w:t>
      </w:r>
      <w:r w:rsidR="00E84525" w:rsidRPr="002F0473">
        <w:rPr>
          <w:color w:val="222222"/>
          <w:shd w:val="clear" w:color="auto" w:fill="FFFFFF"/>
        </w:rPr>
        <w:t>: // consultant.ru/</w:t>
      </w:r>
    </w:p>
    <w:p w:rsidR="00945CF3" w:rsidRPr="00945CF3" w:rsidRDefault="009E2C42" w:rsidP="00556835">
      <w:pPr>
        <w:pStyle w:val="a3"/>
        <w:numPr>
          <w:ilvl w:val="0"/>
          <w:numId w:val="9"/>
        </w:numPr>
        <w:spacing w:afterLines="100" w:after="240"/>
        <w:ind w:left="426" w:hanging="426"/>
        <w:jc w:val="both"/>
      </w:pPr>
      <w:proofErr w:type="spellStart"/>
      <w:r w:rsidRPr="004276D2">
        <w:t>Гохан</w:t>
      </w:r>
      <w:proofErr w:type="spellEnd"/>
      <w:r w:rsidRPr="004276D2">
        <w:t xml:space="preserve"> П. </w:t>
      </w:r>
      <w:r w:rsidRPr="004276D2">
        <w:rPr>
          <w:shd w:val="clear" w:color="auto" w:fill="FFFFFF"/>
        </w:rPr>
        <w:t>Слияния, поглощения и реструктуризация компаний. // М.</w:t>
      </w:r>
      <w:r>
        <w:rPr>
          <w:shd w:val="clear" w:color="auto" w:fill="FFFFFF"/>
        </w:rPr>
        <w:t>:</w:t>
      </w:r>
      <w:r w:rsidRPr="004276D2">
        <w:rPr>
          <w:color w:val="000000"/>
          <w:shd w:val="clear" w:color="auto" w:fill="FFFFFF"/>
        </w:rPr>
        <w:t xml:space="preserve"> «Альпина </w:t>
      </w:r>
      <w:proofErr w:type="spellStart"/>
      <w:r w:rsidRPr="004276D2">
        <w:rPr>
          <w:color w:val="000000"/>
          <w:shd w:val="clear" w:color="auto" w:fill="FFFFFF"/>
        </w:rPr>
        <w:t>Па</w:t>
      </w:r>
      <w:r w:rsidRPr="004276D2">
        <w:rPr>
          <w:color w:val="000000"/>
          <w:shd w:val="clear" w:color="auto" w:fill="FFFFFF"/>
        </w:rPr>
        <w:t>б</w:t>
      </w:r>
      <w:r w:rsidRPr="004276D2">
        <w:rPr>
          <w:color w:val="000000"/>
          <w:shd w:val="clear" w:color="auto" w:fill="FFFFFF"/>
        </w:rPr>
        <w:t>лишер</w:t>
      </w:r>
      <w:proofErr w:type="spellEnd"/>
      <w:r w:rsidRPr="004276D2">
        <w:rPr>
          <w:color w:val="000000"/>
          <w:shd w:val="clear" w:color="auto" w:fill="FFFFFF"/>
        </w:rPr>
        <w:t>»</w:t>
      </w:r>
      <w:r w:rsidRPr="004276D2">
        <w:rPr>
          <w:shd w:val="clear" w:color="auto" w:fill="FFFFFF"/>
        </w:rPr>
        <w:t>, 201</w:t>
      </w:r>
      <w:r w:rsidR="00EA6953" w:rsidRPr="00FB3D90">
        <w:rPr>
          <w:shd w:val="clear" w:color="auto" w:fill="FFFFFF"/>
        </w:rPr>
        <w:t>5</w:t>
      </w:r>
      <w:r w:rsidRPr="004276D2">
        <w:rPr>
          <w:shd w:val="clear" w:color="auto" w:fill="FFFFFF"/>
        </w:rPr>
        <w:t>.</w:t>
      </w:r>
      <w:r w:rsidRPr="004276D2">
        <w:rPr>
          <w:color w:val="000000"/>
          <w:shd w:val="clear" w:color="auto" w:fill="FFFFFF"/>
        </w:rPr>
        <w:t xml:space="preserve"> </w:t>
      </w:r>
      <w:r w:rsidR="00B638EF" w:rsidRPr="00EA5776">
        <w:t>[</w:t>
      </w:r>
      <w:r w:rsidR="00B638EF">
        <w:t>Электронный ресурс</w:t>
      </w:r>
      <w:r w:rsidR="00B638EF" w:rsidRPr="00EA5776">
        <w:t>]</w:t>
      </w:r>
      <w:r w:rsidR="00B638EF">
        <w:t>. – Режим доступа:</w:t>
      </w:r>
      <w:r w:rsidRPr="004276D2">
        <w:rPr>
          <w:shd w:val="clear" w:color="auto" w:fill="FFFFFF"/>
        </w:rPr>
        <w:t xml:space="preserve"> //</w:t>
      </w:r>
      <w:r w:rsidRPr="004276D2">
        <w:rPr>
          <w:shd w:val="clear" w:color="auto" w:fill="FFFFFF"/>
          <w:lang w:val="en-US"/>
        </w:rPr>
        <w:t>http</w:t>
      </w:r>
      <w:r w:rsidRPr="004276D2">
        <w:rPr>
          <w:shd w:val="clear" w:color="auto" w:fill="FFFFFF"/>
        </w:rPr>
        <w:t>://</w:t>
      </w:r>
      <w:proofErr w:type="spellStart"/>
      <w:r w:rsidRPr="004276D2">
        <w:rPr>
          <w:shd w:val="clear" w:color="auto" w:fill="FFFFFF"/>
          <w:lang w:val="en-US"/>
        </w:rPr>
        <w:t>thelib</w:t>
      </w:r>
      <w:proofErr w:type="spellEnd"/>
      <w:r w:rsidRPr="004276D2">
        <w:rPr>
          <w:shd w:val="clear" w:color="auto" w:fill="FFFFFF"/>
        </w:rPr>
        <w:t>.</w:t>
      </w:r>
      <w:proofErr w:type="spellStart"/>
      <w:r w:rsidRPr="004276D2">
        <w:rPr>
          <w:shd w:val="clear" w:color="auto" w:fill="FFFFFF"/>
          <w:lang w:val="en-US"/>
        </w:rPr>
        <w:t>ru</w:t>
      </w:r>
      <w:proofErr w:type="spellEnd"/>
      <w:r>
        <w:rPr>
          <w:shd w:val="clear" w:color="auto" w:fill="FFFFFF"/>
        </w:rPr>
        <w:t>/.</w:t>
      </w:r>
    </w:p>
    <w:p w:rsidR="00CD24FB" w:rsidRDefault="00945CF3" w:rsidP="00556835">
      <w:pPr>
        <w:pStyle w:val="a3"/>
        <w:numPr>
          <w:ilvl w:val="0"/>
          <w:numId w:val="9"/>
        </w:numPr>
        <w:spacing w:afterLines="100" w:after="240"/>
        <w:ind w:left="426" w:hanging="426"/>
        <w:jc w:val="both"/>
      </w:pPr>
      <w:proofErr w:type="spellStart"/>
      <w:r w:rsidRPr="00945CF3">
        <w:t>Депамфилис</w:t>
      </w:r>
      <w:proofErr w:type="spellEnd"/>
      <w:r w:rsidRPr="00945CF3">
        <w:t xml:space="preserve"> Д. Слияния, поглощения и другие</w:t>
      </w:r>
      <w:r w:rsidR="003255FA">
        <w:t xml:space="preserve"> способы реструктуризации компа</w:t>
      </w:r>
      <w:r w:rsidRPr="00945CF3">
        <w:t>нии. // М.: Олимп-Бизнес, 2007, С. 564.</w:t>
      </w:r>
    </w:p>
    <w:p w:rsidR="00766E1A" w:rsidRDefault="00766E1A" w:rsidP="00556835">
      <w:pPr>
        <w:pStyle w:val="a3"/>
        <w:numPr>
          <w:ilvl w:val="0"/>
          <w:numId w:val="9"/>
        </w:numPr>
        <w:spacing w:afterLines="100" w:after="240"/>
        <w:ind w:left="426" w:hanging="426"/>
        <w:jc w:val="both"/>
      </w:pPr>
      <w:r w:rsidRPr="00766E1A">
        <w:t>Лапко К. Анализ метода дисконтирования денежных потоков и его применение в с</w:t>
      </w:r>
      <w:r w:rsidRPr="00766E1A">
        <w:t>о</w:t>
      </w:r>
      <w:r w:rsidRPr="00766E1A">
        <w:t>временных условиях // Аудит и финансовый анализ. 2009. № 6. стр. 1-7.</w:t>
      </w:r>
    </w:p>
    <w:p w:rsidR="00150295" w:rsidRPr="000B7980" w:rsidRDefault="00150295" w:rsidP="00556835">
      <w:pPr>
        <w:pStyle w:val="a3"/>
        <w:numPr>
          <w:ilvl w:val="0"/>
          <w:numId w:val="9"/>
        </w:numPr>
        <w:spacing w:afterLines="100" w:after="240"/>
        <w:ind w:left="426" w:hanging="426"/>
        <w:jc w:val="both"/>
      </w:pPr>
      <w:r w:rsidRPr="00150295">
        <w:t>Ларченко А. Оценка бизнеса. Подходы и методы. СПб</w:t>
      </w:r>
      <w:proofErr w:type="gramStart"/>
      <w:r w:rsidRPr="00150295">
        <w:t>., "</w:t>
      </w:r>
      <w:proofErr w:type="spellStart"/>
      <w:proofErr w:type="gramEnd"/>
      <w:r w:rsidRPr="00150295">
        <w:t>PRTeam</w:t>
      </w:r>
      <w:proofErr w:type="spellEnd"/>
      <w:r w:rsidRPr="00150295">
        <w:t>", 2008. - 59 с.</w:t>
      </w:r>
    </w:p>
    <w:p w:rsidR="000B7980" w:rsidRPr="0018278F" w:rsidRDefault="000B7980" w:rsidP="00556835">
      <w:pPr>
        <w:pStyle w:val="a3"/>
        <w:numPr>
          <w:ilvl w:val="0"/>
          <w:numId w:val="9"/>
        </w:numPr>
        <w:spacing w:afterLines="100" w:after="240"/>
        <w:ind w:left="426" w:hanging="426"/>
        <w:jc w:val="both"/>
      </w:pPr>
      <w:proofErr w:type="spellStart"/>
      <w:r w:rsidRPr="000B7980">
        <w:t>Невельский</w:t>
      </w:r>
      <w:proofErr w:type="spellEnd"/>
      <w:r w:rsidRPr="000B7980">
        <w:t xml:space="preserve"> А. На глобальном фармацевтическом рынке в этом году было объявлено о сделках на $368,6 </w:t>
      </w:r>
      <w:proofErr w:type="gramStart"/>
      <w:r w:rsidRPr="000B7980">
        <w:t>млрд</w:t>
      </w:r>
      <w:proofErr w:type="gramEnd"/>
      <w:r w:rsidRPr="000B7980">
        <w:t xml:space="preserve"> // Ведомости. 2014, № 3719</w:t>
      </w:r>
    </w:p>
    <w:p w:rsidR="0018278F" w:rsidRDefault="0018278F" w:rsidP="00556835">
      <w:pPr>
        <w:pStyle w:val="a3"/>
        <w:numPr>
          <w:ilvl w:val="0"/>
          <w:numId w:val="9"/>
        </w:numPr>
        <w:spacing w:afterLines="100" w:after="240"/>
        <w:ind w:left="426" w:hanging="426"/>
        <w:jc w:val="both"/>
      </w:pPr>
      <w:proofErr w:type="spellStart"/>
      <w:r w:rsidRPr="0018278F">
        <w:t>Нендца</w:t>
      </w:r>
      <w:proofErr w:type="spellEnd"/>
      <w:r w:rsidRPr="0018278F">
        <w:t xml:space="preserve"> А., </w:t>
      </w:r>
      <w:proofErr w:type="spellStart"/>
      <w:r w:rsidRPr="0018278F">
        <w:t>Воротникова-Мюзинг</w:t>
      </w:r>
      <w:proofErr w:type="spellEnd"/>
      <w:r w:rsidRPr="0018278F">
        <w:t xml:space="preserve"> Ю. Российские попытки слияний и поглощений в Германии // Слияния и поглощения. 2012. № 6. стр. 10-17.</w:t>
      </w:r>
    </w:p>
    <w:p w:rsidR="00AD2488" w:rsidRDefault="00AD2488" w:rsidP="00556835">
      <w:pPr>
        <w:pStyle w:val="a3"/>
        <w:numPr>
          <w:ilvl w:val="0"/>
          <w:numId w:val="9"/>
        </w:numPr>
        <w:spacing w:afterLines="100" w:after="240"/>
        <w:ind w:left="426" w:hanging="426"/>
        <w:jc w:val="both"/>
      </w:pPr>
      <w:proofErr w:type="spellStart"/>
      <w:r w:rsidRPr="00AD2488">
        <w:t>Никеров</w:t>
      </w:r>
      <w:proofErr w:type="spellEnd"/>
      <w:r w:rsidRPr="00AD2488">
        <w:t xml:space="preserve"> Г. И., Законодательство США, ЕС и России об </w:t>
      </w:r>
      <w:proofErr w:type="spellStart"/>
      <w:r w:rsidRPr="00AD2488">
        <w:t>а</w:t>
      </w:r>
      <w:r w:rsidR="00B638EF">
        <w:t>нтиконкурентных</w:t>
      </w:r>
      <w:proofErr w:type="spellEnd"/>
      <w:r w:rsidR="00B638EF">
        <w:t xml:space="preserve"> соглаш</w:t>
      </w:r>
      <w:r w:rsidR="00B638EF">
        <w:t>е</w:t>
      </w:r>
      <w:r w:rsidR="00B638EF">
        <w:t xml:space="preserve">ниях. </w:t>
      </w:r>
      <w:r w:rsidR="00B638EF" w:rsidRPr="00EA5776">
        <w:t>[</w:t>
      </w:r>
      <w:r w:rsidR="00B638EF">
        <w:t>Электронный ресурс</w:t>
      </w:r>
      <w:r w:rsidR="00B638EF" w:rsidRPr="00EA5776">
        <w:t>]</w:t>
      </w:r>
      <w:r w:rsidR="00B638EF">
        <w:t>. – Режим доступа</w:t>
      </w:r>
      <w:r w:rsidRPr="00AD2488">
        <w:t>: http://www.iskran.ru/publish.php?id=88/</w:t>
      </w:r>
    </w:p>
    <w:p w:rsidR="00CF063D" w:rsidRPr="000B7980" w:rsidRDefault="00CF063D" w:rsidP="00556835">
      <w:pPr>
        <w:pStyle w:val="a3"/>
        <w:numPr>
          <w:ilvl w:val="0"/>
          <w:numId w:val="9"/>
        </w:numPr>
        <w:spacing w:afterLines="100" w:after="240"/>
        <w:ind w:left="426" w:hanging="426"/>
        <w:jc w:val="both"/>
      </w:pPr>
      <w:proofErr w:type="spellStart"/>
      <w:r>
        <w:t>Решетько</w:t>
      </w:r>
      <w:proofErr w:type="spellEnd"/>
      <w:r>
        <w:t xml:space="preserve"> Н.И., Башкатова Ю.И. Сущность слияний и поглощений и их влияние на конкурентоспособность компаний на рынке / Н.И. </w:t>
      </w:r>
      <w:proofErr w:type="spellStart"/>
      <w:r>
        <w:t>Решетько</w:t>
      </w:r>
      <w:proofErr w:type="spellEnd"/>
      <w:r>
        <w:t>, Ю.И. Башкатова // И</w:t>
      </w:r>
      <w:r>
        <w:t>н</w:t>
      </w:r>
      <w:r>
        <w:t>тернет-журнал «</w:t>
      </w:r>
      <w:proofErr w:type="spellStart"/>
      <w:r>
        <w:t>Науковедение</w:t>
      </w:r>
      <w:proofErr w:type="spellEnd"/>
      <w:r>
        <w:t>» Том 7, №2, 2015 – С. 1-11.</w:t>
      </w:r>
    </w:p>
    <w:p w:rsidR="00E84525" w:rsidRDefault="00CD24FB" w:rsidP="00556835">
      <w:pPr>
        <w:pStyle w:val="a3"/>
        <w:numPr>
          <w:ilvl w:val="0"/>
          <w:numId w:val="9"/>
        </w:numPr>
        <w:spacing w:afterLines="100" w:after="240"/>
        <w:ind w:left="426" w:hanging="426"/>
        <w:jc w:val="both"/>
      </w:pPr>
      <w:r w:rsidRPr="00CD24FB">
        <w:t>Российский рынок слияний и поглощений: направления и перспективы развития: Коллективная монография</w:t>
      </w:r>
      <w:proofErr w:type="gramStart"/>
      <w:r w:rsidRPr="00CD24FB">
        <w:t xml:space="preserve"> / О</w:t>
      </w:r>
      <w:proofErr w:type="gramEnd"/>
      <w:r w:rsidRPr="00CD24FB">
        <w:t xml:space="preserve">тв. ред. </w:t>
      </w:r>
      <w:r w:rsidRPr="00CD24FB">
        <w:rPr>
          <w:lang w:val="en-US"/>
        </w:rPr>
        <w:t>E</w:t>
      </w:r>
      <w:r w:rsidRPr="00CD24FB">
        <w:t>.Г. Чернова, Н.В. Пахомова. – СПб</w:t>
      </w:r>
      <w:proofErr w:type="gramStart"/>
      <w:r w:rsidRPr="00CD24FB">
        <w:t xml:space="preserve">.: </w:t>
      </w:r>
      <w:proofErr w:type="gramEnd"/>
      <w:r w:rsidRPr="00CD24FB">
        <w:t>Издател</w:t>
      </w:r>
      <w:r w:rsidRPr="00CD24FB">
        <w:t>ь</w:t>
      </w:r>
      <w:r w:rsidRPr="00CD24FB">
        <w:t xml:space="preserve">ский дом СПбГУ, 2011. – С. 124-144. </w:t>
      </w:r>
    </w:p>
    <w:p w:rsidR="00B945A5" w:rsidRDefault="00B945A5" w:rsidP="00556835">
      <w:pPr>
        <w:pStyle w:val="a3"/>
        <w:numPr>
          <w:ilvl w:val="0"/>
          <w:numId w:val="9"/>
        </w:numPr>
        <w:spacing w:afterLines="100" w:after="240"/>
        <w:ind w:left="450" w:hanging="450"/>
        <w:jc w:val="both"/>
      </w:pPr>
      <w:r w:rsidRPr="00B945A5">
        <w:t>Рынок слияний и пог</w:t>
      </w:r>
      <w:r>
        <w:t xml:space="preserve">лощений в России в 2016 году </w:t>
      </w:r>
      <w:r w:rsidRPr="00B638EF">
        <w:t>[</w:t>
      </w:r>
      <w:r>
        <w:t>Электронный</w:t>
      </w:r>
      <w:r w:rsidRPr="00B638EF">
        <w:t xml:space="preserve"> </w:t>
      </w:r>
      <w:r>
        <w:t>ресурс</w:t>
      </w:r>
      <w:r w:rsidRPr="00B638EF">
        <w:t xml:space="preserve">]. – </w:t>
      </w:r>
      <w:r>
        <w:t>Режим</w:t>
      </w:r>
      <w:r w:rsidRPr="00B638EF">
        <w:t xml:space="preserve"> </w:t>
      </w:r>
      <w:r>
        <w:t>доступа</w:t>
      </w:r>
      <w:r w:rsidRPr="00B638EF">
        <w:t>:</w:t>
      </w:r>
      <w:r>
        <w:t xml:space="preserve"> </w:t>
      </w:r>
      <w:r w:rsidRPr="00B945A5">
        <w:t>http://www.kpmg.com/RU/ru/IssuesAndInsights/ArticlesPublications/press-releases/Pages/MA-2016-Survey.aspx</w:t>
      </w:r>
    </w:p>
    <w:p w:rsidR="00766E1A" w:rsidRDefault="00766E1A" w:rsidP="00556835">
      <w:pPr>
        <w:pStyle w:val="a3"/>
        <w:numPr>
          <w:ilvl w:val="0"/>
          <w:numId w:val="9"/>
        </w:numPr>
        <w:spacing w:afterLines="100" w:after="240"/>
        <w:ind w:left="426" w:hanging="426"/>
        <w:jc w:val="both"/>
      </w:pPr>
      <w:proofErr w:type="spellStart"/>
      <w:r w:rsidRPr="00766E1A">
        <w:t>Рябичева</w:t>
      </w:r>
      <w:proofErr w:type="spellEnd"/>
      <w:r w:rsidRPr="00766E1A">
        <w:t xml:space="preserve"> А.В. Методы оценки экономической эффективности слияний и поглощений // Экономическая эффективность слияний и поглощений. 2007. №4. стр. 407-410.</w:t>
      </w:r>
    </w:p>
    <w:p w:rsidR="0038168F" w:rsidRDefault="0038168F" w:rsidP="00556835">
      <w:pPr>
        <w:pStyle w:val="a3"/>
        <w:numPr>
          <w:ilvl w:val="0"/>
          <w:numId w:val="9"/>
        </w:numPr>
        <w:spacing w:afterLines="100" w:after="240"/>
        <w:ind w:left="426" w:hanging="426"/>
        <w:jc w:val="both"/>
      </w:pPr>
      <w:r w:rsidRPr="0038168F">
        <w:t>Харисов И. Процессный подход к управлению компаниями после слияний и поглощ</w:t>
      </w:r>
      <w:r w:rsidRPr="0038168F">
        <w:t>е</w:t>
      </w:r>
      <w:r w:rsidRPr="0038168F">
        <w:t>ний // Проблемы современной экономики. 2009. №2. стр. 1-4.</w:t>
      </w:r>
    </w:p>
    <w:p w:rsidR="000B7980" w:rsidRDefault="00E84525" w:rsidP="00556835">
      <w:pPr>
        <w:pStyle w:val="a3"/>
        <w:numPr>
          <w:ilvl w:val="0"/>
          <w:numId w:val="9"/>
        </w:numPr>
        <w:spacing w:afterLines="100" w:after="240"/>
        <w:ind w:left="426" w:hanging="426"/>
        <w:jc w:val="both"/>
      </w:pPr>
      <w:r w:rsidRPr="00E84525">
        <w:t>Чернова Е.Г. Современные формы и методы интеграции хозяйственных образований в условиях глобализации. – СПб</w:t>
      </w:r>
      <w:proofErr w:type="gramStart"/>
      <w:r w:rsidRPr="00E84525">
        <w:t xml:space="preserve">.: </w:t>
      </w:r>
      <w:proofErr w:type="gramEnd"/>
      <w:r w:rsidRPr="00E84525">
        <w:t>Издательский дом СПбГУ, 2010. – 256 с.</w:t>
      </w:r>
    </w:p>
    <w:p w:rsidR="00766E1A" w:rsidRDefault="00766E1A" w:rsidP="00556835">
      <w:pPr>
        <w:pStyle w:val="a3"/>
        <w:numPr>
          <w:ilvl w:val="0"/>
          <w:numId w:val="9"/>
        </w:numPr>
        <w:spacing w:afterLines="100" w:after="240"/>
        <w:ind w:left="426" w:hanging="426"/>
        <w:jc w:val="both"/>
      </w:pPr>
      <w:r w:rsidRPr="00766E1A">
        <w:t>Эванс Ф., Бишоп Д. Оценка компаний при слияниях и поглощениях. Создание сто</w:t>
      </w:r>
      <w:r w:rsidRPr="00766E1A">
        <w:t>и</w:t>
      </w:r>
      <w:r w:rsidRPr="00766E1A">
        <w:t>мости в частных компаниях. М., 2004, стр. 185-202.</w:t>
      </w:r>
    </w:p>
    <w:p w:rsidR="0081129C" w:rsidRPr="00B638EF" w:rsidRDefault="0081129C" w:rsidP="00556835">
      <w:pPr>
        <w:pStyle w:val="a3"/>
        <w:numPr>
          <w:ilvl w:val="0"/>
          <w:numId w:val="9"/>
        </w:numPr>
        <w:spacing w:afterLines="100" w:after="240"/>
        <w:ind w:left="426" w:hanging="426"/>
        <w:jc w:val="both"/>
      </w:pPr>
      <w:r w:rsidRPr="0081129C">
        <w:rPr>
          <w:lang w:val="en-US"/>
        </w:rPr>
        <w:t>Alcatel-Lucent Posts Loss, but Revenue Climbs 18%</w:t>
      </w:r>
      <w:r w:rsidR="00B638EF" w:rsidRPr="00B638EF">
        <w:rPr>
          <w:lang w:val="en-US"/>
        </w:rPr>
        <w:t>.</w:t>
      </w:r>
      <w:r w:rsidRPr="0081129C">
        <w:rPr>
          <w:lang w:val="en-US"/>
        </w:rPr>
        <w:t xml:space="preserve"> </w:t>
      </w:r>
      <w:r w:rsidR="00B638EF" w:rsidRPr="00B638EF">
        <w:t>[</w:t>
      </w:r>
      <w:r w:rsidR="00B638EF">
        <w:t>Электронный</w:t>
      </w:r>
      <w:r w:rsidR="00B638EF" w:rsidRPr="00B638EF">
        <w:t xml:space="preserve"> </w:t>
      </w:r>
      <w:r w:rsidR="00B638EF">
        <w:t>ресурс</w:t>
      </w:r>
      <w:r w:rsidR="00B638EF" w:rsidRPr="00B638EF">
        <w:t xml:space="preserve">]. – </w:t>
      </w:r>
      <w:r w:rsidR="00B638EF">
        <w:t>Режим</w:t>
      </w:r>
      <w:r w:rsidR="00B638EF" w:rsidRPr="00B638EF">
        <w:t xml:space="preserve"> </w:t>
      </w:r>
      <w:r w:rsidR="00B638EF">
        <w:t>д</w:t>
      </w:r>
      <w:r w:rsidR="00B638EF">
        <w:t>о</w:t>
      </w:r>
      <w:r w:rsidR="00B638EF">
        <w:t>ступа</w:t>
      </w:r>
      <w:r w:rsidR="00B638EF" w:rsidRPr="00B638EF">
        <w:t>:</w:t>
      </w:r>
      <w:r w:rsidR="00B638EF">
        <w:t xml:space="preserve"> </w:t>
      </w:r>
      <w:r w:rsidRPr="0081129C">
        <w:rPr>
          <w:lang w:val="en-US"/>
        </w:rPr>
        <w:t>http</w:t>
      </w:r>
      <w:r w:rsidRPr="00B638EF">
        <w:t>://</w:t>
      </w:r>
      <w:r w:rsidRPr="0081129C">
        <w:rPr>
          <w:lang w:val="en-US"/>
        </w:rPr>
        <w:t>www</w:t>
      </w:r>
      <w:r w:rsidRPr="00B638EF">
        <w:t>.</w:t>
      </w:r>
      <w:proofErr w:type="spellStart"/>
      <w:r w:rsidRPr="0081129C">
        <w:rPr>
          <w:lang w:val="en-US"/>
        </w:rPr>
        <w:t>nytimes</w:t>
      </w:r>
      <w:proofErr w:type="spellEnd"/>
      <w:r w:rsidRPr="00B638EF">
        <w:t>.</w:t>
      </w:r>
      <w:r w:rsidRPr="0081129C">
        <w:rPr>
          <w:lang w:val="en-US"/>
        </w:rPr>
        <w:t>com</w:t>
      </w:r>
      <w:r w:rsidRPr="00B638EF">
        <w:t>/2008/02/09/</w:t>
      </w:r>
      <w:r w:rsidRPr="0081129C">
        <w:rPr>
          <w:lang w:val="en-US"/>
        </w:rPr>
        <w:t>business</w:t>
      </w:r>
      <w:r w:rsidRPr="00B638EF">
        <w:t>/09</w:t>
      </w:r>
      <w:proofErr w:type="spellStart"/>
      <w:r w:rsidRPr="0081129C">
        <w:rPr>
          <w:lang w:val="en-US"/>
        </w:rPr>
        <w:t>alcatel</w:t>
      </w:r>
      <w:proofErr w:type="spellEnd"/>
      <w:r w:rsidRPr="00B638EF">
        <w:t>.</w:t>
      </w:r>
      <w:r w:rsidRPr="0081129C">
        <w:rPr>
          <w:lang w:val="en-US"/>
        </w:rPr>
        <w:t>html</w:t>
      </w:r>
      <w:r w:rsidRPr="00B638EF">
        <w:t>?_</w:t>
      </w:r>
      <w:r w:rsidRPr="0081129C">
        <w:rPr>
          <w:lang w:val="en-US"/>
        </w:rPr>
        <w:t>r</w:t>
      </w:r>
      <w:r w:rsidRPr="00B638EF">
        <w:t>=0</w:t>
      </w:r>
    </w:p>
    <w:p w:rsidR="000D46F6" w:rsidRPr="00844CE8" w:rsidRDefault="000D46F6" w:rsidP="00556835">
      <w:pPr>
        <w:pStyle w:val="a3"/>
        <w:numPr>
          <w:ilvl w:val="0"/>
          <w:numId w:val="9"/>
        </w:numPr>
        <w:spacing w:afterLines="100" w:after="240"/>
        <w:ind w:left="426" w:hanging="426"/>
        <w:jc w:val="both"/>
        <w:rPr>
          <w:lang w:val="en-US"/>
        </w:rPr>
      </w:pPr>
      <w:proofErr w:type="spellStart"/>
      <w:r w:rsidRPr="000D46F6">
        <w:rPr>
          <w:lang w:val="en-US"/>
        </w:rPr>
        <w:t>Arveson</w:t>
      </w:r>
      <w:proofErr w:type="spellEnd"/>
      <w:r w:rsidRPr="000D46F6">
        <w:rPr>
          <w:lang w:val="en-US"/>
        </w:rPr>
        <w:t xml:space="preserve"> P. Strategic Management of Scientific Research Organizations // Journal. Wash-</w:t>
      </w:r>
      <w:proofErr w:type="spellStart"/>
      <w:r w:rsidRPr="000D46F6">
        <w:rPr>
          <w:lang w:val="en-US"/>
        </w:rPr>
        <w:t>ington</w:t>
      </w:r>
      <w:proofErr w:type="spellEnd"/>
      <w:r w:rsidRPr="000D46F6">
        <w:rPr>
          <w:lang w:val="en-US"/>
        </w:rPr>
        <w:t xml:space="preserve"> Academy of Sciences. 2012. Vol. 98. </w:t>
      </w:r>
      <w:r w:rsidR="00B638EF" w:rsidRPr="00844CE8">
        <w:rPr>
          <w:lang w:val="en-US"/>
        </w:rPr>
        <w:t>[</w:t>
      </w:r>
      <w:r w:rsidR="00B638EF">
        <w:t>Электронный</w:t>
      </w:r>
      <w:r w:rsidR="00B638EF" w:rsidRPr="00844CE8">
        <w:rPr>
          <w:lang w:val="en-US"/>
        </w:rPr>
        <w:t xml:space="preserve"> </w:t>
      </w:r>
      <w:r w:rsidR="00B638EF">
        <w:t>ресурс</w:t>
      </w:r>
      <w:r w:rsidR="00B638EF" w:rsidRPr="00844CE8">
        <w:rPr>
          <w:lang w:val="en-US"/>
        </w:rPr>
        <w:t xml:space="preserve">]. – </w:t>
      </w:r>
      <w:r w:rsidR="00B638EF">
        <w:t>Режим</w:t>
      </w:r>
      <w:r w:rsidR="00B638EF" w:rsidRPr="00844CE8">
        <w:rPr>
          <w:lang w:val="en-US"/>
        </w:rPr>
        <w:t xml:space="preserve"> </w:t>
      </w:r>
      <w:r w:rsidR="00B638EF">
        <w:t>доступа</w:t>
      </w:r>
      <w:r w:rsidR="00B638EF" w:rsidRPr="00844CE8">
        <w:rPr>
          <w:lang w:val="en-US"/>
        </w:rPr>
        <w:t>:</w:t>
      </w:r>
      <w:r w:rsidRPr="00844CE8">
        <w:rPr>
          <w:lang w:val="en-US"/>
        </w:rPr>
        <w:t xml:space="preserve"> </w:t>
      </w:r>
      <w:r w:rsidRPr="000D46F6">
        <w:rPr>
          <w:lang w:val="en-US"/>
        </w:rPr>
        <w:t>http</w:t>
      </w:r>
      <w:r w:rsidRPr="00844CE8">
        <w:rPr>
          <w:lang w:val="en-US"/>
        </w:rPr>
        <w:t>://</w:t>
      </w:r>
      <w:r w:rsidRPr="000D46F6">
        <w:rPr>
          <w:lang w:val="en-US"/>
        </w:rPr>
        <w:t>www</w:t>
      </w:r>
      <w:r w:rsidRPr="00844CE8">
        <w:rPr>
          <w:lang w:val="en-US"/>
        </w:rPr>
        <w:t>.</w:t>
      </w:r>
      <w:r w:rsidRPr="000D46F6">
        <w:rPr>
          <w:lang w:val="en-US"/>
        </w:rPr>
        <w:t>washacadsci</w:t>
      </w:r>
      <w:r w:rsidRPr="00844CE8">
        <w:rPr>
          <w:lang w:val="en-US"/>
        </w:rPr>
        <w:t>.</w:t>
      </w:r>
      <w:r w:rsidRPr="000D46F6">
        <w:rPr>
          <w:lang w:val="en-US"/>
        </w:rPr>
        <w:t>org</w:t>
      </w:r>
      <w:r w:rsidRPr="00844CE8">
        <w:rPr>
          <w:lang w:val="en-US"/>
        </w:rPr>
        <w:t>/</w:t>
      </w:r>
      <w:r w:rsidRPr="000D46F6">
        <w:rPr>
          <w:lang w:val="en-US"/>
        </w:rPr>
        <w:t>Journal</w:t>
      </w:r>
      <w:r w:rsidRPr="00844CE8">
        <w:rPr>
          <w:lang w:val="en-US"/>
        </w:rPr>
        <w:t>/</w:t>
      </w:r>
      <w:r w:rsidRPr="000D46F6">
        <w:rPr>
          <w:lang w:val="en-US"/>
        </w:rPr>
        <w:t>Journalarticles</w:t>
      </w:r>
      <w:r w:rsidRPr="00844CE8">
        <w:rPr>
          <w:lang w:val="en-US"/>
        </w:rPr>
        <w:t>/</w:t>
      </w:r>
      <w:r w:rsidRPr="000D46F6">
        <w:rPr>
          <w:lang w:val="en-US"/>
        </w:rPr>
        <w:t>V</w:t>
      </w:r>
      <w:r w:rsidRPr="00844CE8">
        <w:rPr>
          <w:lang w:val="en-US"/>
        </w:rPr>
        <w:t>.98-3-</w:t>
      </w:r>
      <w:r w:rsidRPr="000D46F6">
        <w:rPr>
          <w:lang w:val="en-US"/>
        </w:rPr>
        <w:t>Strategic</w:t>
      </w:r>
      <w:r w:rsidRPr="00844CE8">
        <w:rPr>
          <w:lang w:val="en-US"/>
        </w:rPr>
        <w:t>_</w:t>
      </w:r>
      <w:r w:rsidRPr="000D46F6">
        <w:rPr>
          <w:lang w:val="en-US"/>
        </w:rPr>
        <w:t>Management</w:t>
      </w:r>
      <w:r w:rsidRPr="00844CE8">
        <w:rPr>
          <w:lang w:val="en-US"/>
        </w:rPr>
        <w:t>_</w:t>
      </w:r>
      <w:r w:rsidRPr="000D46F6">
        <w:rPr>
          <w:lang w:val="en-US"/>
        </w:rPr>
        <w:t>of</w:t>
      </w:r>
      <w:r w:rsidRPr="00844CE8">
        <w:rPr>
          <w:lang w:val="en-US"/>
        </w:rPr>
        <w:t>_</w:t>
      </w:r>
      <w:r w:rsidRPr="000D46F6">
        <w:rPr>
          <w:lang w:val="en-US"/>
        </w:rPr>
        <w:t>Scientific</w:t>
      </w:r>
      <w:r w:rsidRPr="00844CE8">
        <w:rPr>
          <w:lang w:val="en-US"/>
        </w:rPr>
        <w:t>_</w:t>
      </w:r>
      <w:r w:rsidRPr="000D46F6">
        <w:rPr>
          <w:lang w:val="en-US"/>
        </w:rPr>
        <w:t>Research</w:t>
      </w:r>
      <w:r w:rsidRPr="00844CE8">
        <w:rPr>
          <w:lang w:val="en-US"/>
        </w:rPr>
        <w:t>_</w:t>
      </w:r>
      <w:r w:rsidRPr="000D46F6">
        <w:rPr>
          <w:lang w:val="en-US"/>
        </w:rPr>
        <w:t>Organizations</w:t>
      </w:r>
      <w:r w:rsidRPr="00844CE8">
        <w:rPr>
          <w:lang w:val="en-US"/>
        </w:rPr>
        <w:t>_</w:t>
      </w:r>
      <w:r w:rsidRPr="000D46F6">
        <w:rPr>
          <w:lang w:val="en-US"/>
        </w:rPr>
        <w:t>Arveson</w:t>
      </w:r>
      <w:r w:rsidRPr="00844CE8">
        <w:rPr>
          <w:lang w:val="en-US"/>
        </w:rPr>
        <w:t>.</w:t>
      </w:r>
      <w:r w:rsidRPr="000D46F6">
        <w:rPr>
          <w:lang w:val="en-US"/>
        </w:rPr>
        <w:t>pdf</w:t>
      </w:r>
    </w:p>
    <w:p w:rsidR="00D3768D" w:rsidRPr="00B638EF" w:rsidRDefault="000B7980" w:rsidP="00556835">
      <w:pPr>
        <w:pStyle w:val="a3"/>
        <w:numPr>
          <w:ilvl w:val="0"/>
          <w:numId w:val="9"/>
        </w:numPr>
        <w:spacing w:afterLines="100" w:after="240"/>
        <w:ind w:left="426" w:hanging="426"/>
        <w:jc w:val="both"/>
      </w:pPr>
      <w:r w:rsidRPr="000B7980">
        <w:rPr>
          <w:lang w:val="en-US"/>
        </w:rPr>
        <w:t>Company News: Valero Energy agrees t</w:t>
      </w:r>
      <w:r w:rsidR="00B638EF">
        <w:rPr>
          <w:lang w:val="en-US"/>
        </w:rPr>
        <w:t>o buy Premcor for $8 billion</w:t>
      </w:r>
      <w:r w:rsidR="00B638EF" w:rsidRPr="00B638EF">
        <w:rPr>
          <w:lang w:val="en-US"/>
        </w:rPr>
        <w:t>.</w:t>
      </w:r>
      <w:r w:rsidR="00B638EF">
        <w:rPr>
          <w:lang w:val="en-US"/>
        </w:rPr>
        <w:t xml:space="preserve"> </w:t>
      </w:r>
      <w:r w:rsidR="00B638EF" w:rsidRPr="00B638EF">
        <w:t>[</w:t>
      </w:r>
      <w:r w:rsidR="00B638EF">
        <w:t>Электронный</w:t>
      </w:r>
      <w:r w:rsidR="00B638EF" w:rsidRPr="00B638EF">
        <w:t xml:space="preserve"> </w:t>
      </w:r>
      <w:r w:rsidR="00B638EF">
        <w:t>р</w:t>
      </w:r>
      <w:r w:rsidR="00B638EF">
        <w:t>е</w:t>
      </w:r>
      <w:r w:rsidR="00B638EF">
        <w:t>сурс</w:t>
      </w:r>
      <w:r w:rsidR="00B638EF" w:rsidRPr="00B638EF">
        <w:t xml:space="preserve">]. – </w:t>
      </w:r>
      <w:r w:rsidR="00B638EF">
        <w:t>Режим</w:t>
      </w:r>
      <w:r w:rsidR="00B638EF" w:rsidRPr="00B638EF">
        <w:t xml:space="preserve"> </w:t>
      </w:r>
      <w:r w:rsidR="00B638EF">
        <w:t>доступа</w:t>
      </w:r>
      <w:r w:rsidR="00B638EF" w:rsidRPr="00B638EF">
        <w:t xml:space="preserve">: </w:t>
      </w:r>
      <w:r w:rsidRPr="000B7980">
        <w:rPr>
          <w:lang w:val="en-US"/>
        </w:rPr>
        <w:t>http</w:t>
      </w:r>
      <w:r w:rsidRPr="00B638EF">
        <w:t>://</w:t>
      </w:r>
      <w:r w:rsidRPr="000B7980">
        <w:rPr>
          <w:lang w:val="en-US"/>
        </w:rPr>
        <w:t>www</w:t>
      </w:r>
      <w:r w:rsidRPr="00B638EF">
        <w:t>.</w:t>
      </w:r>
      <w:proofErr w:type="spellStart"/>
      <w:r w:rsidRPr="000B7980">
        <w:rPr>
          <w:lang w:val="en-US"/>
        </w:rPr>
        <w:t>ogj</w:t>
      </w:r>
      <w:proofErr w:type="spellEnd"/>
      <w:r w:rsidRPr="00B638EF">
        <w:t>.</w:t>
      </w:r>
      <w:r w:rsidRPr="000B7980">
        <w:rPr>
          <w:lang w:val="en-US"/>
        </w:rPr>
        <w:t>com</w:t>
      </w:r>
      <w:r w:rsidRPr="00B638EF">
        <w:t>/</w:t>
      </w:r>
      <w:r w:rsidRPr="000B7980">
        <w:rPr>
          <w:lang w:val="en-US"/>
        </w:rPr>
        <w:t>articles</w:t>
      </w:r>
      <w:r w:rsidRPr="00B638EF">
        <w:t>/</w:t>
      </w:r>
      <w:r w:rsidRPr="000B7980">
        <w:rPr>
          <w:lang w:val="en-US"/>
        </w:rPr>
        <w:t>print</w:t>
      </w:r>
      <w:r w:rsidRPr="00B638EF">
        <w:t>/</w:t>
      </w:r>
      <w:r w:rsidRPr="000B7980">
        <w:rPr>
          <w:lang w:val="en-US"/>
        </w:rPr>
        <w:t>volume</w:t>
      </w:r>
      <w:r w:rsidRPr="00B638EF">
        <w:t>-103/</w:t>
      </w:r>
      <w:r w:rsidRPr="000B7980">
        <w:rPr>
          <w:lang w:val="en-US"/>
        </w:rPr>
        <w:t>issue</w:t>
      </w:r>
      <w:r w:rsidRPr="00B638EF">
        <w:t>-17/</w:t>
      </w:r>
      <w:r w:rsidRPr="000B7980">
        <w:rPr>
          <w:lang w:val="en-US"/>
        </w:rPr>
        <w:t>general</w:t>
      </w:r>
      <w:r w:rsidRPr="00B638EF">
        <w:t>-</w:t>
      </w:r>
      <w:r w:rsidRPr="000B7980">
        <w:rPr>
          <w:lang w:val="en-US"/>
        </w:rPr>
        <w:t>interest</w:t>
      </w:r>
      <w:r w:rsidRPr="00B638EF">
        <w:t>/</w:t>
      </w:r>
      <w:r w:rsidRPr="000B7980">
        <w:rPr>
          <w:lang w:val="en-US"/>
        </w:rPr>
        <w:t>company</w:t>
      </w:r>
      <w:r w:rsidRPr="00B638EF">
        <w:t>-</w:t>
      </w:r>
      <w:r w:rsidRPr="000B7980">
        <w:rPr>
          <w:lang w:val="en-US"/>
        </w:rPr>
        <w:t>news</w:t>
      </w:r>
      <w:r w:rsidRPr="00B638EF">
        <w:t>-</w:t>
      </w:r>
      <w:proofErr w:type="spellStart"/>
      <w:r w:rsidRPr="000B7980">
        <w:rPr>
          <w:lang w:val="en-US"/>
        </w:rPr>
        <w:t>valero</w:t>
      </w:r>
      <w:proofErr w:type="spellEnd"/>
      <w:r w:rsidRPr="00B638EF">
        <w:t>-</w:t>
      </w:r>
      <w:r w:rsidRPr="000B7980">
        <w:rPr>
          <w:lang w:val="en-US"/>
        </w:rPr>
        <w:t>energy</w:t>
      </w:r>
      <w:r w:rsidRPr="00B638EF">
        <w:t>-</w:t>
      </w:r>
      <w:r w:rsidRPr="000B7980">
        <w:rPr>
          <w:lang w:val="en-US"/>
        </w:rPr>
        <w:t>agrees</w:t>
      </w:r>
      <w:r w:rsidRPr="00B638EF">
        <w:t>-</w:t>
      </w:r>
      <w:r w:rsidRPr="000B7980">
        <w:rPr>
          <w:lang w:val="en-US"/>
        </w:rPr>
        <w:t>to</w:t>
      </w:r>
      <w:r w:rsidRPr="00B638EF">
        <w:t>-</w:t>
      </w:r>
      <w:r w:rsidRPr="000B7980">
        <w:rPr>
          <w:lang w:val="en-US"/>
        </w:rPr>
        <w:t>buy</w:t>
      </w:r>
      <w:r w:rsidRPr="00B638EF">
        <w:t>-</w:t>
      </w:r>
      <w:proofErr w:type="spellStart"/>
      <w:r w:rsidRPr="000B7980">
        <w:rPr>
          <w:lang w:val="en-US"/>
        </w:rPr>
        <w:t>premcor</w:t>
      </w:r>
      <w:proofErr w:type="spellEnd"/>
      <w:r w:rsidRPr="00B638EF">
        <w:t>-</w:t>
      </w:r>
      <w:r w:rsidRPr="000B7980">
        <w:rPr>
          <w:lang w:val="en-US"/>
        </w:rPr>
        <w:t>for</w:t>
      </w:r>
      <w:r w:rsidRPr="00B638EF">
        <w:t>-8-</w:t>
      </w:r>
      <w:r w:rsidRPr="000B7980">
        <w:rPr>
          <w:lang w:val="en-US"/>
        </w:rPr>
        <w:t>billion</w:t>
      </w:r>
      <w:r w:rsidRPr="00B638EF">
        <w:t>.</w:t>
      </w:r>
      <w:r w:rsidRPr="000B7980">
        <w:rPr>
          <w:lang w:val="en-US"/>
        </w:rPr>
        <w:t>html</w:t>
      </w:r>
    </w:p>
    <w:p w:rsidR="00A74473" w:rsidRPr="000C6804" w:rsidRDefault="00A74473" w:rsidP="00556835">
      <w:pPr>
        <w:pStyle w:val="a3"/>
        <w:numPr>
          <w:ilvl w:val="0"/>
          <w:numId w:val="9"/>
        </w:numPr>
        <w:spacing w:afterLines="100" w:after="240"/>
        <w:ind w:left="426" w:hanging="426"/>
        <w:jc w:val="both"/>
        <w:rPr>
          <w:lang w:val="en-US"/>
        </w:rPr>
      </w:pPr>
      <w:r w:rsidRPr="00A74473">
        <w:rPr>
          <w:lang w:val="en-US"/>
        </w:rPr>
        <w:t xml:space="preserve">European Research: Innovation in Science, Education and Technology // European research № 7 (18) / </w:t>
      </w:r>
      <w:proofErr w:type="spellStart"/>
      <w:r w:rsidRPr="00A74473">
        <w:t>Сб</w:t>
      </w:r>
      <w:proofErr w:type="spellEnd"/>
      <w:r w:rsidRPr="00A74473">
        <w:rPr>
          <w:lang w:val="en-US"/>
        </w:rPr>
        <w:t xml:space="preserve">. </w:t>
      </w:r>
      <w:proofErr w:type="spellStart"/>
      <w:r w:rsidRPr="00A74473">
        <w:t>ст</w:t>
      </w:r>
      <w:proofErr w:type="spellEnd"/>
      <w:r w:rsidRPr="00A74473">
        <w:rPr>
          <w:lang w:val="en-US"/>
        </w:rPr>
        <w:t xml:space="preserve">. </w:t>
      </w:r>
      <w:r w:rsidRPr="00A74473">
        <w:t>по</w:t>
      </w:r>
      <w:r w:rsidRPr="00A74473">
        <w:rPr>
          <w:lang w:val="en-US"/>
        </w:rPr>
        <w:t xml:space="preserve"> </w:t>
      </w:r>
      <w:r w:rsidRPr="00A74473">
        <w:t>мат</w:t>
      </w:r>
      <w:r w:rsidRPr="00A74473">
        <w:rPr>
          <w:lang w:val="en-US"/>
        </w:rPr>
        <w:t xml:space="preserve">.: </w:t>
      </w:r>
      <w:r w:rsidRPr="00A74473">
        <w:t>Х</w:t>
      </w:r>
      <w:r w:rsidRPr="00A74473">
        <w:rPr>
          <w:lang w:val="en-US"/>
        </w:rPr>
        <w:t xml:space="preserve">VIII </w:t>
      </w:r>
      <w:proofErr w:type="spellStart"/>
      <w:r w:rsidRPr="00A74473">
        <w:t>межд</w:t>
      </w:r>
      <w:proofErr w:type="spellEnd"/>
      <w:r w:rsidRPr="00A74473">
        <w:rPr>
          <w:lang w:val="en-US"/>
        </w:rPr>
        <w:t xml:space="preserve">. </w:t>
      </w:r>
      <w:proofErr w:type="spellStart"/>
      <w:r w:rsidRPr="00A74473">
        <w:t>науч</w:t>
      </w:r>
      <w:proofErr w:type="spellEnd"/>
      <w:proofErr w:type="gramStart"/>
      <w:r w:rsidRPr="00A74473">
        <w:rPr>
          <w:lang w:val="en-US"/>
        </w:rPr>
        <w:t>.-</w:t>
      </w:r>
      <w:proofErr w:type="spellStart"/>
      <w:proofErr w:type="gramEnd"/>
      <w:r w:rsidRPr="00A74473">
        <w:t>практ</w:t>
      </w:r>
      <w:proofErr w:type="spellEnd"/>
      <w:r w:rsidRPr="00A74473">
        <w:rPr>
          <w:lang w:val="en-US"/>
        </w:rPr>
        <w:t xml:space="preserve">. </w:t>
      </w:r>
      <w:proofErr w:type="spellStart"/>
      <w:r w:rsidRPr="00A74473">
        <w:t>конф</w:t>
      </w:r>
      <w:proofErr w:type="spellEnd"/>
      <w:r w:rsidRPr="00A74473">
        <w:rPr>
          <w:lang w:val="en-US"/>
        </w:rPr>
        <w:t xml:space="preserve">. </w:t>
      </w:r>
      <w:r w:rsidRPr="0011428C">
        <w:rPr>
          <w:lang w:val="en-US"/>
        </w:rPr>
        <w:t>(United Kingdom, London, 28-29 July 2016). 94 p.</w:t>
      </w:r>
    </w:p>
    <w:p w:rsidR="005906BD" w:rsidRPr="0011428C" w:rsidRDefault="005906BD" w:rsidP="00556835">
      <w:pPr>
        <w:pStyle w:val="a3"/>
        <w:numPr>
          <w:ilvl w:val="0"/>
          <w:numId w:val="9"/>
        </w:numPr>
        <w:spacing w:afterLines="100" w:after="240"/>
        <w:ind w:left="426" w:hanging="426"/>
        <w:jc w:val="both"/>
        <w:rPr>
          <w:lang w:val="en-US"/>
        </w:rPr>
      </w:pPr>
      <w:proofErr w:type="spellStart"/>
      <w:r w:rsidRPr="0011428C">
        <w:rPr>
          <w:lang w:val="en-US"/>
        </w:rPr>
        <w:t>Jovanovic</w:t>
      </w:r>
      <w:proofErr w:type="spellEnd"/>
      <w:r w:rsidRPr="0011428C">
        <w:rPr>
          <w:lang w:val="en-US"/>
        </w:rPr>
        <w:t xml:space="preserve"> B., Rousseau </w:t>
      </w:r>
      <w:proofErr w:type="spellStart"/>
      <w:r w:rsidRPr="0011428C">
        <w:rPr>
          <w:lang w:val="en-US"/>
        </w:rPr>
        <w:t>P.The</w:t>
      </w:r>
      <w:proofErr w:type="spellEnd"/>
      <w:r w:rsidRPr="0011428C">
        <w:rPr>
          <w:lang w:val="en-US"/>
        </w:rPr>
        <w:t xml:space="preserve"> Q-theory of mergers // American Economic Review, 2002. - Vol. 92 - P. 198–204.</w:t>
      </w:r>
    </w:p>
    <w:p w:rsidR="0018278F" w:rsidRPr="0011428C" w:rsidRDefault="0018278F" w:rsidP="00556835">
      <w:pPr>
        <w:pStyle w:val="a3"/>
        <w:numPr>
          <w:ilvl w:val="0"/>
          <w:numId w:val="9"/>
        </w:numPr>
        <w:spacing w:afterLines="100" w:after="240"/>
        <w:ind w:left="426" w:hanging="426"/>
        <w:jc w:val="both"/>
        <w:rPr>
          <w:lang w:val="en-US"/>
        </w:rPr>
      </w:pPr>
      <w:r w:rsidRPr="0011428C">
        <w:rPr>
          <w:lang w:val="en-US"/>
        </w:rPr>
        <w:lastRenderedPageBreak/>
        <w:t xml:space="preserve">Kim E. H., </w:t>
      </w:r>
      <w:proofErr w:type="spellStart"/>
      <w:r w:rsidRPr="0011428C">
        <w:rPr>
          <w:lang w:val="en-US"/>
        </w:rPr>
        <w:t>Singal</w:t>
      </w:r>
      <w:proofErr w:type="spellEnd"/>
      <w:r w:rsidRPr="0011428C">
        <w:rPr>
          <w:lang w:val="en-US"/>
        </w:rPr>
        <w:t xml:space="preserve"> V. Mergers and Power: Evidence from the Airline Industry // </w:t>
      </w:r>
      <w:proofErr w:type="gramStart"/>
      <w:r w:rsidRPr="0011428C">
        <w:rPr>
          <w:lang w:val="en-US"/>
        </w:rPr>
        <w:t>The</w:t>
      </w:r>
      <w:proofErr w:type="gramEnd"/>
      <w:r w:rsidRPr="0011428C">
        <w:rPr>
          <w:lang w:val="en-US"/>
        </w:rPr>
        <w:t xml:space="preserve"> Amer</w:t>
      </w:r>
      <w:r w:rsidRPr="0011428C">
        <w:rPr>
          <w:lang w:val="en-US"/>
        </w:rPr>
        <w:t>i</w:t>
      </w:r>
      <w:r w:rsidRPr="0011428C">
        <w:rPr>
          <w:lang w:val="en-US"/>
        </w:rPr>
        <w:t>can Economic Review, Volume 83, I</w:t>
      </w:r>
      <w:r w:rsidR="00B638EF" w:rsidRPr="0011428C">
        <w:rPr>
          <w:lang w:val="en-US"/>
        </w:rPr>
        <w:t xml:space="preserve">ssue 3 (June, 1993), 549-569. </w:t>
      </w:r>
      <w:r w:rsidR="00B638EF" w:rsidRPr="0011428C">
        <w:t>[Электронный ресурс]. – Режим доступа:</w:t>
      </w:r>
      <w:r w:rsidRPr="0011428C">
        <w:rPr>
          <w:lang w:val="en-US"/>
        </w:rPr>
        <w:t xml:space="preserve"> http://leeds-faculty.colorado.edu/</w:t>
      </w:r>
    </w:p>
    <w:p w:rsidR="00984A45" w:rsidRPr="0011428C" w:rsidRDefault="00984A45" w:rsidP="00556835">
      <w:pPr>
        <w:pStyle w:val="a3"/>
        <w:numPr>
          <w:ilvl w:val="0"/>
          <w:numId w:val="9"/>
        </w:numPr>
        <w:spacing w:afterLines="100" w:after="240"/>
        <w:ind w:left="426" w:hanging="426"/>
        <w:jc w:val="both"/>
        <w:rPr>
          <w:lang w:val="en-US"/>
        </w:rPr>
      </w:pPr>
      <w:r w:rsidRPr="0011428C">
        <w:rPr>
          <w:lang w:val="en-US"/>
        </w:rPr>
        <w:t>Mergers and Acquisitions (M&amp;A) Type Transactions as a Part of FDI Statistics. // OECD Benchmark Definition of Foreign Direct Investment 2008: Fou</w:t>
      </w:r>
      <w:r w:rsidR="00B638EF" w:rsidRPr="0011428C">
        <w:rPr>
          <w:lang w:val="en-US"/>
        </w:rPr>
        <w:t xml:space="preserve">rth Edition, p.86-198. </w:t>
      </w:r>
      <w:r w:rsidR="00B638EF" w:rsidRPr="0011428C">
        <w:t>[Эле</w:t>
      </w:r>
      <w:r w:rsidR="00B638EF" w:rsidRPr="0011428C">
        <w:t>к</w:t>
      </w:r>
      <w:r w:rsidR="00B638EF" w:rsidRPr="0011428C">
        <w:t xml:space="preserve">тронный ресурс]. – Режим доступа: </w:t>
      </w:r>
      <w:r w:rsidRPr="0011428C">
        <w:rPr>
          <w:lang w:val="en-US"/>
        </w:rPr>
        <w:t>http:// oecd-ilibrary.org</w:t>
      </w:r>
    </w:p>
    <w:p w:rsidR="005906BD" w:rsidRPr="0011428C" w:rsidRDefault="005906BD" w:rsidP="00556835">
      <w:pPr>
        <w:pStyle w:val="a3"/>
        <w:numPr>
          <w:ilvl w:val="0"/>
          <w:numId w:val="9"/>
        </w:numPr>
        <w:spacing w:afterLines="100" w:after="240"/>
        <w:ind w:left="426" w:hanging="426"/>
        <w:jc w:val="both"/>
        <w:rPr>
          <w:lang w:val="en-US"/>
        </w:rPr>
      </w:pPr>
      <w:r w:rsidRPr="0011428C">
        <w:rPr>
          <w:lang w:val="en-US"/>
        </w:rPr>
        <w:t>Proctor &amp; Gam</w:t>
      </w:r>
      <w:r w:rsidR="00B638EF" w:rsidRPr="0011428C">
        <w:rPr>
          <w:lang w:val="en-US"/>
        </w:rPr>
        <w:t>ble Annual Report 2006</w:t>
      </w:r>
      <w:proofErr w:type="gramStart"/>
      <w:r w:rsidR="00B638EF" w:rsidRPr="0011428C">
        <w:rPr>
          <w:lang w:val="en-US"/>
        </w:rPr>
        <w:t>,  p</w:t>
      </w:r>
      <w:proofErr w:type="gramEnd"/>
      <w:r w:rsidR="00B638EF" w:rsidRPr="0011428C">
        <w:rPr>
          <w:lang w:val="en-US"/>
        </w:rPr>
        <w:t>. 2 [</w:t>
      </w:r>
      <w:r w:rsidR="00B638EF" w:rsidRPr="0011428C">
        <w:t>Электронный</w:t>
      </w:r>
      <w:r w:rsidR="00B638EF" w:rsidRPr="0011428C">
        <w:rPr>
          <w:lang w:val="en-US"/>
        </w:rPr>
        <w:t xml:space="preserve"> </w:t>
      </w:r>
      <w:r w:rsidR="00B638EF" w:rsidRPr="0011428C">
        <w:t>ресурс</w:t>
      </w:r>
      <w:r w:rsidR="00B638EF" w:rsidRPr="0011428C">
        <w:rPr>
          <w:lang w:val="en-US"/>
        </w:rPr>
        <w:t xml:space="preserve">]. – </w:t>
      </w:r>
      <w:r w:rsidR="00B638EF" w:rsidRPr="0011428C">
        <w:t>Режим</w:t>
      </w:r>
      <w:r w:rsidR="00B638EF" w:rsidRPr="0011428C">
        <w:rPr>
          <w:lang w:val="en-US"/>
        </w:rPr>
        <w:t xml:space="preserve"> </w:t>
      </w:r>
      <w:r w:rsidR="00B638EF" w:rsidRPr="0011428C">
        <w:t>доступа</w:t>
      </w:r>
      <w:r w:rsidR="00B638EF" w:rsidRPr="0011428C">
        <w:rPr>
          <w:lang w:val="en-US"/>
        </w:rPr>
        <w:t>:</w:t>
      </w:r>
      <w:r w:rsidRPr="0011428C">
        <w:rPr>
          <w:lang w:val="en-US"/>
        </w:rPr>
        <w:t>http://www.pg.com/en_US/downloads/investors/annual_reports/2006/pg2006annualreport.pdf</w:t>
      </w:r>
    </w:p>
    <w:p w:rsidR="00492A34" w:rsidRPr="0011428C" w:rsidRDefault="00492A34" w:rsidP="00556835">
      <w:pPr>
        <w:pStyle w:val="a3"/>
        <w:numPr>
          <w:ilvl w:val="0"/>
          <w:numId w:val="9"/>
        </w:numPr>
        <w:spacing w:afterLines="100" w:after="240"/>
        <w:ind w:left="426" w:hanging="426"/>
        <w:jc w:val="both"/>
      </w:pPr>
      <w:proofErr w:type="spellStart"/>
      <w:r w:rsidRPr="0011428C">
        <w:rPr>
          <w:lang w:val="en-US"/>
        </w:rPr>
        <w:t>Webner</w:t>
      </w:r>
      <w:proofErr w:type="spellEnd"/>
      <w:r w:rsidRPr="0011428C">
        <w:rPr>
          <w:lang w:val="en-US"/>
        </w:rPr>
        <w:t xml:space="preserve"> Y. </w:t>
      </w:r>
      <w:proofErr w:type="spellStart"/>
      <w:r w:rsidRPr="0011428C">
        <w:rPr>
          <w:lang w:val="en-US"/>
        </w:rPr>
        <w:t>Tabra</w:t>
      </w:r>
      <w:proofErr w:type="spellEnd"/>
      <w:r w:rsidRPr="0011428C">
        <w:rPr>
          <w:lang w:val="en-US"/>
        </w:rPr>
        <w:t xml:space="preserve"> S. Oberg C. Comprehensive Guide to Mergers &amp; Acquisitions, </w:t>
      </w:r>
      <w:proofErr w:type="gramStart"/>
      <w:r w:rsidRPr="0011428C">
        <w:rPr>
          <w:lang w:val="en-US"/>
        </w:rPr>
        <w:t>A</w:t>
      </w:r>
      <w:proofErr w:type="gramEnd"/>
      <w:r w:rsidRPr="0011428C">
        <w:rPr>
          <w:lang w:val="en-US"/>
        </w:rPr>
        <w:t>: Mana</w:t>
      </w:r>
      <w:r w:rsidRPr="0011428C">
        <w:rPr>
          <w:lang w:val="en-US"/>
        </w:rPr>
        <w:t>g</w:t>
      </w:r>
      <w:r w:rsidRPr="0011428C">
        <w:rPr>
          <w:lang w:val="en-US"/>
        </w:rPr>
        <w:t>ing the Critical Success Factors Across Every Stage of the M&amp;A Process. FT</w:t>
      </w:r>
      <w:r w:rsidRPr="0011428C">
        <w:t>-</w:t>
      </w:r>
      <w:r w:rsidRPr="0011428C">
        <w:rPr>
          <w:lang w:val="en-US"/>
        </w:rPr>
        <w:t>Press</w:t>
      </w:r>
      <w:r w:rsidRPr="0011428C">
        <w:t xml:space="preserve">, 2013, </w:t>
      </w:r>
      <w:r w:rsidRPr="0011428C">
        <w:rPr>
          <w:lang w:val="en-US"/>
        </w:rPr>
        <w:t>Chapter</w:t>
      </w:r>
      <w:r w:rsidRPr="0011428C">
        <w:t xml:space="preserve"> 1</w:t>
      </w:r>
      <w:r w:rsidR="00B638EF" w:rsidRPr="0011428C">
        <w:t>. [Электронный ресурс]. – Режим доступа:</w:t>
      </w:r>
      <w:r w:rsidRPr="0011428C">
        <w:t xml:space="preserve"> </w:t>
      </w:r>
      <w:r w:rsidRPr="0011428C">
        <w:rPr>
          <w:lang w:val="en-US"/>
        </w:rPr>
        <w:t>http</w:t>
      </w:r>
      <w:r w:rsidRPr="0011428C">
        <w:t>://</w:t>
      </w:r>
      <w:r w:rsidRPr="0011428C">
        <w:rPr>
          <w:lang w:val="en-US"/>
        </w:rPr>
        <w:t>www</w:t>
      </w:r>
      <w:r w:rsidRPr="0011428C">
        <w:t>.</w:t>
      </w:r>
      <w:proofErr w:type="spellStart"/>
      <w:r w:rsidRPr="0011428C">
        <w:rPr>
          <w:lang w:val="en-US"/>
        </w:rPr>
        <w:t>ftpress</w:t>
      </w:r>
      <w:proofErr w:type="spellEnd"/>
      <w:r w:rsidRPr="0011428C">
        <w:t>.</w:t>
      </w:r>
      <w:r w:rsidRPr="0011428C">
        <w:rPr>
          <w:lang w:val="en-US"/>
        </w:rPr>
        <w:t>com</w:t>
      </w:r>
      <w:r w:rsidRPr="0011428C">
        <w:t>/</w:t>
      </w:r>
      <w:r w:rsidRPr="0011428C">
        <w:rPr>
          <w:lang w:val="en-US"/>
        </w:rPr>
        <w:t>articles</w:t>
      </w:r>
      <w:r w:rsidRPr="0011428C">
        <w:t>/</w:t>
      </w:r>
      <w:r w:rsidRPr="0011428C">
        <w:rPr>
          <w:lang w:val="en-US"/>
        </w:rPr>
        <w:t>article</w:t>
      </w:r>
      <w:r w:rsidRPr="0011428C">
        <w:t>.</w:t>
      </w:r>
      <w:proofErr w:type="spellStart"/>
      <w:r w:rsidRPr="0011428C">
        <w:rPr>
          <w:lang w:val="en-US"/>
        </w:rPr>
        <w:t>aspx</w:t>
      </w:r>
      <w:proofErr w:type="spellEnd"/>
      <w:r w:rsidRPr="0011428C">
        <w:t>?</w:t>
      </w:r>
      <w:r w:rsidRPr="0011428C">
        <w:rPr>
          <w:lang w:val="en-US"/>
        </w:rPr>
        <w:t>p</w:t>
      </w:r>
      <w:r w:rsidRPr="0011428C">
        <w:t>=2164982</w:t>
      </w:r>
    </w:p>
    <w:p w:rsidR="00437CB7" w:rsidRPr="0011428C" w:rsidRDefault="00437CB7" w:rsidP="00556835">
      <w:pPr>
        <w:pStyle w:val="a3"/>
        <w:numPr>
          <w:ilvl w:val="0"/>
          <w:numId w:val="9"/>
        </w:numPr>
        <w:spacing w:afterLines="100" w:after="240"/>
        <w:ind w:left="426" w:hanging="426"/>
        <w:jc w:val="both"/>
      </w:pPr>
      <w:r w:rsidRPr="0011428C">
        <w:t>РБК. Информационный ресурс.</w:t>
      </w:r>
      <w:r w:rsidR="008973FE" w:rsidRPr="0011428C">
        <w:t xml:space="preserve"> </w:t>
      </w:r>
      <w:r w:rsidRPr="0011428C">
        <w:t>[Электронный ресурс]. – Режим доступа: https://www.rbc.ru/business</w:t>
      </w:r>
    </w:p>
    <w:p w:rsidR="000D7623" w:rsidRPr="0011428C" w:rsidRDefault="000D7623" w:rsidP="00556835">
      <w:pPr>
        <w:pStyle w:val="a3"/>
        <w:numPr>
          <w:ilvl w:val="0"/>
          <w:numId w:val="9"/>
        </w:numPr>
        <w:spacing w:afterLines="100" w:after="240"/>
        <w:ind w:left="426" w:hanging="426"/>
        <w:jc w:val="both"/>
      </w:pPr>
      <w:r w:rsidRPr="0011428C">
        <w:rPr>
          <w:lang w:val="en-US"/>
        </w:rPr>
        <w:t>AK</w:t>
      </w:r>
      <w:r w:rsidRPr="0011428C">
        <w:t>&amp;</w:t>
      </w:r>
      <w:r w:rsidRPr="0011428C">
        <w:rPr>
          <w:lang w:val="en-US"/>
        </w:rPr>
        <w:t>M</w:t>
      </w:r>
      <w:r w:rsidRPr="0011428C">
        <w:t>. Информационное агентство. [Электронный ресурс]. – Режим доступа: http://www.akm.ru/rus/ma/stat</w:t>
      </w:r>
    </w:p>
    <w:p w:rsidR="008973FE" w:rsidRPr="0011428C" w:rsidRDefault="008973FE" w:rsidP="00556835">
      <w:pPr>
        <w:pStyle w:val="a3"/>
        <w:numPr>
          <w:ilvl w:val="0"/>
          <w:numId w:val="9"/>
        </w:numPr>
        <w:spacing w:afterLines="100" w:after="240"/>
        <w:ind w:left="426" w:hanging="426"/>
        <w:jc w:val="both"/>
      </w:pPr>
      <w:r w:rsidRPr="0011428C">
        <w:rPr>
          <w:lang w:val="en-US"/>
        </w:rPr>
        <w:t>Bloomberg</w:t>
      </w:r>
      <w:r w:rsidRPr="0011428C">
        <w:t>. Информационный ресурс. [Электронный ресурс]. – Режим доступа:</w:t>
      </w:r>
      <w:r w:rsidR="000D7623" w:rsidRPr="0011428C">
        <w:t xml:space="preserve"> </w:t>
      </w:r>
      <w:r w:rsidR="000D7623" w:rsidRPr="0011428C">
        <w:rPr>
          <w:lang w:val="en-US"/>
        </w:rPr>
        <w:t>https</w:t>
      </w:r>
      <w:r w:rsidR="000D7623" w:rsidRPr="0011428C">
        <w:t>://</w:t>
      </w:r>
      <w:r w:rsidR="000D7623" w:rsidRPr="0011428C">
        <w:rPr>
          <w:lang w:val="en-US"/>
        </w:rPr>
        <w:t>www</w:t>
      </w:r>
      <w:r w:rsidR="000D7623" w:rsidRPr="0011428C">
        <w:t>.</w:t>
      </w:r>
      <w:proofErr w:type="spellStart"/>
      <w:r w:rsidR="000D7623" w:rsidRPr="0011428C">
        <w:rPr>
          <w:lang w:val="en-US"/>
        </w:rPr>
        <w:t>bloomberg</w:t>
      </w:r>
      <w:proofErr w:type="spellEnd"/>
      <w:r w:rsidR="000D7623" w:rsidRPr="0011428C">
        <w:t>.</w:t>
      </w:r>
      <w:r w:rsidR="000D7623" w:rsidRPr="0011428C">
        <w:rPr>
          <w:lang w:val="en-US"/>
        </w:rPr>
        <w:t>com</w:t>
      </w:r>
      <w:r w:rsidR="000D7623" w:rsidRPr="0011428C">
        <w:t>/</w:t>
      </w:r>
      <w:r w:rsidR="000D7623" w:rsidRPr="0011428C">
        <w:rPr>
          <w:lang w:val="en-US"/>
        </w:rPr>
        <w:t>news</w:t>
      </w:r>
      <w:r w:rsidR="000D7623" w:rsidRPr="0011428C">
        <w:t>/</w:t>
      </w:r>
    </w:p>
    <w:p w:rsidR="0082307C" w:rsidRDefault="00FE2A1C" w:rsidP="00556835">
      <w:pPr>
        <w:pStyle w:val="a3"/>
        <w:numPr>
          <w:ilvl w:val="0"/>
          <w:numId w:val="9"/>
        </w:numPr>
        <w:spacing w:afterLines="100" w:after="240"/>
        <w:ind w:left="426" w:hanging="426"/>
        <w:jc w:val="both"/>
      </w:pPr>
      <w:r w:rsidRPr="0011428C">
        <w:rPr>
          <w:lang w:val="en-US"/>
        </w:rPr>
        <w:t>UNCTAD</w:t>
      </w:r>
      <w:r w:rsidRPr="0011428C">
        <w:t xml:space="preserve">. Информационный ресурс. [Электронный ресурс]. – Режим доступа: </w:t>
      </w:r>
      <w:hyperlink r:id="rId34" w:history="1">
        <w:r w:rsidR="0082307C" w:rsidRPr="00CC737A">
          <w:rPr>
            <w:rStyle w:val="a8"/>
          </w:rPr>
          <w:t>http://unctad.org/en</w:t>
        </w:r>
      </w:hyperlink>
    </w:p>
    <w:p w:rsidR="00F74976" w:rsidRPr="00F74976" w:rsidRDefault="000D7623" w:rsidP="00556835">
      <w:pPr>
        <w:pStyle w:val="a3"/>
        <w:numPr>
          <w:ilvl w:val="0"/>
          <w:numId w:val="9"/>
        </w:numPr>
        <w:spacing w:afterLines="100" w:after="240"/>
        <w:ind w:left="425" w:hanging="425"/>
        <w:jc w:val="both"/>
      </w:pPr>
      <w:r w:rsidRPr="00F74976">
        <w:rPr>
          <w:lang w:val="en-US"/>
        </w:rPr>
        <w:t>World</w:t>
      </w:r>
      <w:r w:rsidRPr="00F74976">
        <w:t xml:space="preserve"> </w:t>
      </w:r>
      <w:r w:rsidRPr="00F74976">
        <w:rPr>
          <w:lang w:val="en-US"/>
        </w:rPr>
        <w:t>Bank</w:t>
      </w:r>
      <w:r w:rsidRPr="00F74976">
        <w:t xml:space="preserve"> </w:t>
      </w:r>
      <w:r w:rsidRPr="00F74976">
        <w:rPr>
          <w:lang w:val="en-US"/>
        </w:rPr>
        <w:t>Data</w:t>
      </w:r>
      <w:r w:rsidRPr="00F74976">
        <w:t xml:space="preserve">. Информационный ресурс. [Электронный ресурс]. – Режим доступа: </w:t>
      </w:r>
      <w:hyperlink r:id="rId35" w:history="1">
        <w:r w:rsidR="00F74976" w:rsidRPr="00F74976">
          <w:rPr>
            <w:rStyle w:val="a8"/>
            <w:lang w:val="en-US"/>
          </w:rPr>
          <w:t>https</w:t>
        </w:r>
        <w:r w:rsidR="00F74976" w:rsidRPr="00F74976">
          <w:rPr>
            <w:rStyle w:val="a8"/>
          </w:rPr>
          <w:t>://</w:t>
        </w:r>
        <w:r w:rsidR="00F74976" w:rsidRPr="00F74976">
          <w:rPr>
            <w:rStyle w:val="a8"/>
            <w:lang w:val="en-US"/>
          </w:rPr>
          <w:t>data</w:t>
        </w:r>
        <w:r w:rsidR="00F74976" w:rsidRPr="00F74976">
          <w:rPr>
            <w:rStyle w:val="a8"/>
          </w:rPr>
          <w:t>.</w:t>
        </w:r>
        <w:proofErr w:type="spellStart"/>
        <w:r w:rsidR="00F74976" w:rsidRPr="00F74976">
          <w:rPr>
            <w:rStyle w:val="a8"/>
            <w:lang w:val="en-US"/>
          </w:rPr>
          <w:t>worldbank</w:t>
        </w:r>
        <w:proofErr w:type="spellEnd"/>
        <w:r w:rsidR="00F74976" w:rsidRPr="00F74976">
          <w:rPr>
            <w:rStyle w:val="a8"/>
          </w:rPr>
          <w:t>.</w:t>
        </w:r>
        <w:r w:rsidR="00F74976" w:rsidRPr="00F74976">
          <w:rPr>
            <w:rStyle w:val="a8"/>
            <w:lang w:val="en-US"/>
          </w:rPr>
          <w:t>org</w:t>
        </w:r>
      </w:hyperlink>
      <w:bookmarkStart w:id="76" w:name="_Toc417956314"/>
      <w:r w:rsidR="00F74976" w:rsidRPr="00F74976">
        <w:br w:type="page"/>
      </w:r>
    </w:p>
    <w:p w:rsidR="005822EC" w:rsidRPr="00F74976" w:rsidRDefault="005822EC" w:rsidP="00F74976">
      <w:pPr>
        <w:spacing w:afterLines="100" w:after="240" w:line="360" w:lineRule="auto"/>
        <w:jc w:val="both"/>
        <w:outlineLvl w:val="1"/>
      </w:pPr>
      <w:bookmarkStart w:id="77" w:name="_Toc513092339"/>
      <w:r w:rsidRPr="00F74976">
        <w:rPr>
          <w:rStyle w:val="10"/>
          <w:color w:val="auto"/>
        </w:rPr>
        <w:lastRenderedPageBreak/>
        <w:t>Приложение 1.</w:t>
      </w:r>
      <w:bookmarkEnd w:id="77"/>
    </w:p>
    <w:p w:rsidR="005822EC" w:rsidRPr="00C509C8" w:rsidRDefault="005822EC" w:rsidP="005822EC"/>
    <w:p w:rsidR="0072416D" w:rsidRDefault="0072416D">
      <w:pPr>
        <w:rPr>
          <w:rFonts w:eastAsiaTheme="majorEastAsia"/>
          <w:b/>
          <w:bCs/>
          <w:sz w:val="28"/>
          <w:szCs w:val="28"/>
        </w:rPr>
      </w:pPr>
    </w:p>
    <w:bookmarkStart w:id="78" w:name="_Toc502135426"/>
    <w:bookmarkStart w:id="79" w:name="_Toc502135489"/>
    <w:bookmarkEnd w:id="76"/>
    <w:p w:rsidR="00EA24D4" w:rsidRPr="004E2F8C" w:rsidRDefault="004441E0" w:rsidP="0082307C">
      <w:r>
        <w:rPr>
          <w:noProof/>
        </w:rPr>
        <mc:AlternateContent>
          <mc:Choice Requires="wpg">
            <w:drawing>
              <wp:anchor distT="0" distB="0" distL="114300" distR="114300" simplePos="0" relativeHeight="251663360" behindDoc="0" locked="0" layoutInCell="1" allowOverlap="1" wp14:anchorId="13DC21E4" wp14:editId="7F0CE617">
                <wp:simplePos x="0" y="0"/>
                <wp:positionH relativeFrom="column">
                  <wp:posOffset>-798830</wp:posOffset>
                </wp:positionH>
                <wp:positionV relativeFrom="paragraph">
                  <wp:posOffset>347345</wp:posOffset>
                </wp:positionV>
                <wp:extent cx="7113270" cy="2359660"/>
                <wp:effectExtent l="20320" t="13970" r="10160" b="17145"/>
                <wp:wrapNone/>
                <wp:docPr id="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3270" cy="2359660"/>
                          <a:chOff x="0" y="0"/>
                          <a:chExt cx="71130" cy="23598"/>
                        </a:xfrm>
                      </wpg:grpSpPr>
                      <wps:wsp>
                        <wps:cNvPr id="8" name="Поле 2"/>
                        <wps:cNvSpPr txBox="1">
                          <a:spLocks noChangeArrowheads="1"/>
                        </wps:cNvSpPr>
                        <wps:spPr bwMode="auto">
                          <a:xfrm>
                            <a:off x="62094" y="9250"/>
                            <a:ext cx="9036" cy="5524"/>
                          </a:xfrm>
                          <a:prstGeom prst="rect">
                            <a:avLst/>
                          </a:prstGeom>
                          <a:solidFill>
                            <a:schemeClr val="lt1">
                              <a:lumMod val="100000"/>
                              <a:lumOff val="0"/>
                            </a:schemeClr>
                          </a:solidFill>
                          <a:ln w="6350">
                            <a:solidFill>
                              <a:srgbClr val="000000"/>
                            </a:solidFill>
                            <a:miter lim="800000"/>
                            <a:headEnd/>
                            <a:tailEnd/>
                          </a:ln>
                        </wps:spPr>
                        <wps:txbx>
                          <w:txbxContent>
                            <w:p w:rsidR="004C50AA" w:rsidRPr="007E670D" w:rsidRDefault="004C50AA" w:rsidP="00EA24D4">
                              <w:pPr>
                                <w:jc w:val="center"/>
                              </w:pPr>
                              <w:r>
                                <w:t>Культу</w:t>
                              </w:r>
                              <w:r>
                                <w:t>р</w:t>
                              </w:r>
                              <w:r>
                                <w:t>ные ра</w:t>
                              </w:r>
                              <w:r>
                                <w:t>з</w:t>
                              </w:r>
                              <w:r>
                                <w:t>личия</w:t>
                              </w:r>
                            </w:p>
                          </w:txbxContent>
                        </wps:txbx>
                        <wps:bodyPr rot="0" vert="horz" wrap="square" lIns="91440" tIns="45720" rIns="91440" bIns="45720" anchor="ctr" anchorCtr="0" upright="1">
                          <a:noAutofit/>
                        </wps:bodyPr>
                      </wps:wsp>
                      <wps:wsp>
                        <wps:cNvPr id="9" name="Поле 3"/>
                        <wps:cNvSpPr txBox="1">
                          <a:spLocks noChangeArrowheads="1"/>
                        </wps:cNvSpPr>
                        <wps:spPr bwMode="auto">
                          <a:xfrm>
                            <a:off x="50929" y="744"/>
                            <a:ext cx="10314" cy="5626"/>
                          </a:xfrm>
                          <a:prstGeom prst="rect">
                            <a:avLst/>
                          </a:prstGeom>
                          <a:solidFill>
                            <a:schemeClr val="lt1">
                              <a:lumMod val="100000"/>
                              <a:lumOff val="0"/>
                            </a:schemeClr>
                          </a:solidFill>
                          <a:ln w="6350">
                            <a:solidFill>
                              <a:srgbClr val="000000"/>
                            </a:solidFill>
                            <a:miter lim="800000"/>
                            <a:headEnd/>
                            <a:tailEnd/>
                          </a:ln>
                        </wps:spPr>
                        <wps:txbx>
                          <w:txbxContent>
                            <w:p w:rsidR="004C50AA" w:rsidRPr="007E670D" w:rsidRDefault="004C50AA" w:rsidP="00EA24D4">
                              <w:pPr>
                                <w:jc w:val="center"/>
                              </w:pPr>
                              <w:r>
                                <w:t>Уровень и</w:t>
                              </w:r>
                              <w:r>
                                <w:t>н</w:t>
                              </w:r>
                              <w:r>
                                <w:t>теграции</w:t>
                              </w:r>
                            </w:p>
                          </w:txbxContent>
                        </wps:txbx>
                        <wps:bodyPr rot="0" vert="horz" wrap="square" lIns="91440" tIns="45720" rIns="91440" bIns="45720" anchor="ctr" anchorCtr="0" upright="1">
                          <a:noAutofit/>
                        </wps:bodyPr>
                      </wps:wsp>
                      <wps:wsp>
                        <wps:cNvPr id="10" name="Прямая со стрелкой 8"/>
                        <wps:cNvCnPr>
                          <a:cxnSpLocks noChangeShapeType="1"/>
                        </wps:cNvCnPr>
                        <wps:spPr bwMode="auto">
                          <a:xfrm flipH="1">
                            <a:off x="49760" y="12121"/>
                            <a:ext cx="12319"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 name="Прямая со стрелкой 51"/>
                        <wps:cNvCnPr>
                          <a:cxnSpLocks noChangeShapeType="1"/>
                        </wps:cNvCnPr>
                        <wps:spPr bwMode="auto">
                          <a:xfrm>
                            <a:off x="56565" y="6485"/>
                            <a:ext cx="0" cy="562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 name="Поле 52"/>
                        <wps:cNvSpPr txBox="1">
                          <a:spLocks noChangeArrowheads="1"/>
                        </wps:cNvSpPr>
                        <wps:spPr bwMode="auto">
                          <a:xfrm>
                            <a:off x="50292" y="17756"/>
                            <a:ext cx="11802" cy="5842"/>
                          </a:xfrm>
                          <a:prstGeom prst="rect">
                            <a:avLst/>
                          </a:prstGeom>
                          <a:solidFill>
                            <a:schemeClr val="lt1">
                              <a:lumMod val="100000"/>
                              <a:lumOff val="0"/>
                            </a:schemeClr>
                          </a:solidFill>
                          <a:ln w="6350">
                            <a:solidFill>
                              <a:srgbClr val="000000"/>
                            </a:solidFill>
                            <a:miter lim="800000"/>
                            <a:headEnd/>
                            <a:tailEnd/>
                          </a:ln>
                        </wps:spPr>
                        <wps:txbx>
                          <w:txbxContent>
                            <w:p w:rsidR="004C50AA" w:rsidRPr="007E670D" w:rsidRDefault="004C50AA" w:rsidP="00EA24D4">
                              <w:pPr>
                                <w:jc w:val="center"/>
                              </w:pPr>
                              <w:r>
                                <w:t>Дружелю</w:t>
                              </w:r>
                              <w:r>
                                <w:t>б</w:t>
                              </w:r>
                              <w:r>
                                <w:t>ность слияния</w:t>
                              </w:r>
                            </w:p>
                          </w:txbxContent>
                        </wps:txbx>
                        <wps:bodyPr rot="0" vert="horz" wrap="square" lIns="91440" tIns="45720" rIns="91440" bIns="45720" anchor="ctr" anchorCtr="0" upright="1">
                          <a:noAutofit/>
                        </wps:bodyPr>
                      </wps:wsp>
                      <wps:wsp>
                        <wps:cNvPr id="14" name="Прямая со стрелкой 53"/>
                        <wps:cNvCnPr>
                          <a:cxnSpLocks noChangeShapeType="1"/>
                        </wps:cNvCnPr>
                        <wps:spPr bwMode="auto">
                          <a:xfrm flipV="1">
                            <a:off x="56565" y="12121"/>
                            <a:ext cx="0" cy="563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16" name="Группа 54"/>
                        <wpg:cNvGrpSpPr>
                          <a:grpSpLocks/>
                        </wpg:cNvGrpSpPr>
                        <wpg:grpSpPr bwMode="auto">
                          <a:xfrm>
                            <a:off x="0" y="0"/>
                            <a:ext cx="49758" cy="23597"/>
                            <a:chOff x="0" y="0"/>
                            <a:chExt cx="49758" cy="23597"/>
                          </a:xfrm>
                        </wpg:grpSpPr>
                        <wpg:grpSp>
                          <wpg:cNvPr id="17" name="Группа 55"/>
                          <wpg:cNvGrpSpPr>
                            <a:grpSpLocks/>
                          </wpg:cNvGrpSpPr>
                          <wpg:grpSpPr bwMode="auto">
                            <a:xfrm>
                              <a:off x="37426" y="0"/>
                              <a:ext cx="12332" cy="23596"/>
                              <a:chOff x="0" y="0"/>
                              <a:chExt cx="12333" cy="23598"/>
                            </a:xfrm>
                          </wpg:grpSpPr>
                          <wps:wsp>
                            <wps:cNvPr id="18" name="Прямоугольник 56"/>
                            <wps:cNvSpPr>
                              <a:spLocks noChangeArrowheads="1"/>
                            </wps:cNvSpPr>
                            <wps:spPr bwMode="auto">
                              <a:xfrm>
                                <a:off x="0" y="0"/>
                                <a:ext cx="12333" cy="23598"/>
                              </a:xfrm>
                              <a:prstGeom prst="rect">
                                <a:avLst/>
                              </a:prstGeom>
                              <a:solidFill>
                                <a:schemeClr val="tx1">
                                  <a:lumMod val="50000"/>
                                  <a:lumOff val="5000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9" name="Поле 57"/>
                            <wps:cNvSpPr txBox="1">
                              <a:spLocks noChangeArrowheads="1"/>
                            </wps:cNvSpPr>
                            <wps:spPr bwMode="auto">
                              <a:xfrm>
                                <a:off x="1169" y="1807"/>
                                <a:ext cx="9779" cy="3931"/>
                              </a:xfrm>
                              <a:prstGeom prst="rect">
                                <a:avLst/>
                              </a:prstGeom>
                              <a:solidFill>
                                <a:schemeClr val="lt1">
                                  <a:lumMod val="100000"/>
                                  <a:lumOff val="0"/>
                                </a:schemeClr>
                              </a:solidFill>
                              <a:ln w="6350">
                                <a:solidFill>
                                  <a:srgbClr val="000000"/>
                                </a:solidFill>
                                <a:miter lim="800000"/>
                                <a:headEnd/>
                                <a:tailEnd/>
                              </a:ln>
                            </wps:spPr>
                            <wps:txbx>
                              <w:txbxContent>
                                <w:p w:rsidR="004C50AA" w:rsidRPr="007E670D" w:rsidRDefault="004C50AA" w:rsidP="00EA24D4">
                                  <w:pPr>
                                    <w:jc w:val="center"/>
                                  </w:pPr>
                                  <w:r>
                                    <w:t>Напряж</w:t>
                                  </w:r>
                                  <w:r>
                                    <w:t>е</w:t>
                                  </w:r>
                                  <w:r>
                                    <w:t>ние</w:t>
                                  </w:r>
                                </w:p>
                              </w:txbxContent>
                            </wps:txbx>
                            <wps:bodyPr rot="0" vert="horz" wrap="square" lIns="91440" tIns="45720" rIns="91440" bIns="45720" anchor="ctr" anchorCtr="0" upright="1">
                              <a:noAutofit/>
                            </wps:bodyPr>
                          </wps:wsp>
                          <wps:wsp>
                            <wps:cNvPr id="20" name="Поле 58"/>
                            <wps:cNvSpPr txBox="1">
                              <a:spLocks noChangeArrowheads="1"/>
                            </wps:cNvSpPr>
                            <wps:spPr bwMode="auto">
                              <a:xfrm>
                                <a:off x="1169" y="6485"/>
                                <a:ext cx="9779" cy="7328"/>
                              </a:xfrm>
                              <a:prstGeom prst="rect">
                                <a:avLst/>
                              </a:prstGeom>
                              <a:solidFill>
                                <a:schemeClr val="lt1">
                                  <a:lumMod val="100000"/>
                                  <a:lumOff val="0"/>
                                </a:schemeClr>
                              </a:solidFill>
                              <a:ln w="6350">
                                <a:solidFill>
                                  <a:srgbClr val="000000"/>
                                </a:solidFill>
                                <a:miter lim="800000"/>
                                <a:headEnd/>
                                <a:tailEnd/>
                              </a:ln>
                            </wps:spPr>
                            <wps:txbx>
                              <w:txbxContent>
                                <w:p w:rsidR="004C50AA" w:rsidRPr="007E670D" w:rsidRDefault="004C50AA" w:rsidP="00EA24D4">
                                  <w:pPr>
                                    <w:jc w:val="center"/>
                                  </w:pPr>
                                  <w:r>
                                    <w:t>Негативное отношение: Компания</w:t>
                                  </w:r>
                                </w:p>
                              </w:txbxContent>
                            </wps:txbx>
                            <wps:bodyPr rot="0" vert="horz" wrap="square" lIns="91440" tIns="45720" rIns="91440" bIns="45720" anchor="ctr" anchorCtr="0" upright="1">
                              <a:noAutofit/>
                            </wps:bodyPr>
                          </wps:wsp>
                          <wps:wsp>
                            <wps:cNvPr id="21" name="Поле 59"/>
                            <wps:cNvSpPr txBox="1">
                              <a:spLocks noChangeArrowheads="1"/>
                            </wps:cNvSpPr>
                            <wps:spPr bwMode="auto">
                              <a:xfrm>
                                <a:off x="1169" y="14779"/>
                                <a:ext cx="9779" cy="7328"/>
                              </a:xfrm>
                              <a:prstGeom prst="rect">
                                <a:avLst/>
                              </a:prstGeom>
                              <a:solidFill>
                                <a:schemeClr val="lt1">
                                  <a:lumMod val="100000"/>
                                  <a:lumOff val="0"/>
                                </a:schemeClr>
                              </a:solidFill>
                              <a:ln w="6350">
                                <a:solidFill>
                                  <a:srgbClr val="000000"/>
                                </a:solidFill>
                                <a:miter lim="800000"/>
                                <a:headEnd/>
                                <a:tailEnd/>
                              </a:ln>
                            </wps:spPr>
                            <wps:txbx>
                              <w:txbxContent>
                                <w:p w:rsidR="004C50AA" w:rsidRPr="007E670D" w:rsidRDefault="004C50AA" w:rsidP="00EA24D4">
                                  <w:pPr>
                                    <w:jc w:val="center"/>
                                  </w:pPr>
                                  <w:r>
                                    <w:t>Негативное отношение: Кооперация</w:t>
                                  </w:r>
                                </w:p>
                              </w:txbxContent>
                            </wps:txbx>
                            <wps:bodyPr rot="0" vert="horz" wrap="square" lIns="91440" tIns="45720" rIns="91440" bIns="45720" anchor="ctr" anchorCtr="0" upright="1">
                              <a:noAutofit/>
                            </wps:bodyPr>
                          </wps:wsp>
                        </wpg:grpSp>
                        <wps:wsp>
                          <wps:cNvPr id="22" name="Прямая со стрелкой 60"/>
                          <wps:cNvCnPr>
                            <a:cxnSpLocks noChangeShapeType="1"/>
                          </wps:cNvCnPr>
                          <wps:spPr bwMode="auto">
                            <a:xfrm flipH="1">
                              <a:off x="33067" y="3934"/>
                              <a:ext cx="4343"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 name="Прямая со стрелкой 61"/>
                          <wps:cNvCnPr>
                            <a:cxnSpLocks noChangeShapeType="1"/>
                          </wps:cNvCnPr>
                          <wps:spPr bwMode="auto">
                            <a:xfrm flipH="1" flipV="1">
                              <a:off x="32854" y="6485"/>
                              <a:ext cx="4337" cy="351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 name="Прямая со стрелкой 62"/>
                          <wps:cNvCnPr>
                            <a:cxnSpLocks noChangeShapeType="1"/>
                          </wps:cNvCnPr>
                          <wps:spPr bwMode="auto">
                            <a:xfrm flipH="1">
                              <a:off x="32854" y="17969"/>
                              <a:ext cx="4559"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 name="Прямая со стрелкой 63"/>
                          <wps:cNvCnPr>
                            <a:cxnSpLocks noChangeShapeType="1"/>
                          </wps:cNvCnPr>
                          <wps:spPr bwMode="auto">
                            <a:xfrm flipH="1">
                              <a:off x="32854" y="12121"/>
                              <a:ext cx="4655" cy="467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26" name="Группа 64"/>
                          <wpg:cNvGrpSpPr>
                            <a:grpSpLocks/>
                          </wpg:cNvGrpSpPr>
                          <wpg:grpSpPr bwMode="auto">
                            <a:xfrm>
                              <a:off x="0" y="0"/>
                              <a:ext cx="32845" cy="23597"/>
                              <a:chOff x="0" y="0"/>
                              <a:chExt cx="32845" cy="23597"/>
                            </a:xfrm>
                          </wpg:grpSpPr>
                          <wps:wsp>
                            <wps:cNvPr id="27" name="Поле 65"/>
                            <wps:cNvSpPr txBox="1">
                              <a:spLocks noChangeArrowheads="1"/>
                            </wps:cNvSpPr>
                            <wps:spPr bwMode="auto">
                              <a:xfrm>
                                <a:off x="23072" y="956"/>
                                <a:ext cx="9773" cy="5525"/>
                              </a:xfrm>
                              <a:prstGeom prst="rect">
                                <a:avLst/>
                              </a:prstGeom>
                              <a:solidFill>
                                <a:schemeClr val="tx1">
                                  <a:lumMod val="50000"/>
                                  <a:lumOff val="50000"/>
                                </a:schemeClr>
                              </a:solidFill>
                              <a:ln w="25400">
                                <a:solidFill>
                                  <a:schemeClr val="tx1">
                                    <a:lumMod val="100000"/>
                                    <a:lumOff val="0"/>
                                  </a:schemeClr>
                                </a:solidFill>
                                <a:miter lim="800000"/>
                                <a:headEnd/>
                                <a:tailEnd/>
                              </a:ln>
                            </wps:spPr>
                            <wps:txbx>
                              <w:txbxContent>
                                <w:p w:rsidR="004C50AA" w:rsidRDefault="004C50AA" w:rsidP="00EA24D4">
                                  <w:pPr>
                                    <w:jc w:val="center"/>
                                  </w:pPr>
                                  <w:r>
                                    <w:t>Обязател</w:t>
                                  </w:r>
                                  <w:r>
                                    <w:t>ь</w:t>
                                  </w:r>
                                  <w:r>
                                    <w:t>ство</w:t>
                                  </w:r>
                                </w:p>
                              </w:txbxContent>
                            </wps:txbx>
                            <wps:bodyPr rot="0" vert="horz" wrap="square" lIns="91440" tIns="45720" rIns="91440" bIns="45720" anchor="ctr" anchorCtr="0" upright="1">
                              <a:noAutofit/>
                            </wps:bodyPr>
                          </wps:wsp>
                          <wps:wsp>
                            <wps:cNvPr id="28" name="Поле 66"/>
                            <wps:cNvSpPr txBox="1">
                              <a:spLocks noChangeArrowheads="1"/>
                            </wps:cNvSpPr>
                            <wps:spPr bwMode="auto">
                              <a:xfrm>
                                <a:off x="23072" y="14991"/>
                                <a:ext cx="9773" cy="5525"/>
                              </a:xfrm>
                              <a:prstGeom prst="rect">
                                <a:avLst/>
                              </a:prstGeom>
                              <a:solidFill>
                                <a:schemeClr val="tx1">
                                  <a:lumMod val="50000"/>
                                  <a:lumOff val="50000"/>
                                </a:schemeClr>
                              </a:solidFill>
                              <a:ln w="25400">
                                <a:solidFill>
                                  <a:schemeClr val="tx1">
                                    <a:lumMod val="100000"/>
                                    <a:lumOff val="0"/>
                                  </a:schemeClr>
                                </a:solidFill>
                                <a:miter lim="800000"/>
                                <a:headEnd/>
                                <a:tailEnd/>
                              </a:ln>
                            </wps:spPr>
                            <wps:txbx>
                              <w:txbxContent>
                                <w:p w:rsidR="004C50AA" w:rsidRDefault="004C50AA" w:rsidP="00EA24D4">
                                  <w:pPr>
                                    <w:jc w:val="center"/>
                                  </w:pPr>
                                  <w:r>
                                    <w:t>Консол</w:t>
                                  </w:r>
                                  <w:r>
                                    <w:t>и</w:t>
                                  </w:r>
                                  <w:r>
                                    <w:t>дация</w:t>
                                  </w:r>
                                </w:p>
                              </w:txbxContent>
                            </wps:txbx>
                            <wps:bodyPr rot="0" vert="horz" wrap="square" lIns="91440" tIns="45720" rIns="91440" bIns="45720" anchor="ctr" anchorCtr="0" upright="1">
                              <a:noAutofit/>
                            </wps:bodyPr>
                          </wps:wsp>
                          <wps:wsp>
                            <wps:cNvPr id="29" name="Прямая со стрелкой 67"/>
                            <wps:cNvCnPr>
                              <a:cxnSpLocks noChangeShapeType="1"/>
                            </wps:cNvCnPr>
                            <wps:spPr bwMode="auto">
                              <a:xfrm flipH="1">
                                <a:off x="21158" y="3721"/>
                                <a:ext cx="2001"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Поле 68"/>
                            <wps:cNvSpPr txBox="1">
                              <a:spLocks noChangeArrowheads="1"/>
                            </wps:cNvSpPr>
                            <wps:spPr bwMode="auto">
                              <a:xfrm>
                                <a:off x="13290" y="956"/>
                                <a:ext cx="7957" cy="5525"/>
                              </a:xfrm>
                              <a:prstGeom prst="rect">
                                <a:avLst/>
                              </a:prstGeom>
                              <a:solidFill>
                                <a:schemeClr val="tx1">
                                  <a:lumMod val="50000"/>
                                  <a:lumOff val="50000"/>
                                </a:schemeClr>
                              </a:solidFill>
                              <a:ln w="25400">
                                <a:solidFill>
                                  <a:schemeClr val="tx1">
                                    <a:lumMod val="100000"/>
                                    <a:lumOff val="0"/>
                                  </a:schemeClr>
                                </a:solidFill>
                                <a:miter lim="800000"/>
                                <a:headEnd/>
                                <a:tailEnd/>
                              </a:ln>
                            </wps:spPr>
                            <wps:txbx>
                              <w:txbxContent>
                                <w:p w:rsidR="004C50AA" w:rsidRPr="00E55AE8" w:rsidRDefault="004C50AA" w:rsidP="00EA24D4">
                                  <w:pPr>
                                    <w:jc w:val="center"/>
                                  </w:pPr>
                                  <w:r>
                                    <w:t>Обороты</w:t>
                                  </w:r>
                                </w:p>
                              </w:txbxContent>
                            </wps:txbx>
                            <wps:bodyPr rot="0" vert="horz" wrap="square" lIns="91440" tIns="45720" rIns="91440" bIns="45720" anchor="ctr" anchorCtr="0" upright="1">
                              <a:noAutofit/>
                            </wps:bodyPr>
                          </wps:wsp>
                          <wps:wsp>
                            <wps:cNvPr id="31" name="Прямая со стрелкой 69"/>
                            <wps:cNvCnPr>
                              <a:cxnSpLocks noChangeShapeType="1"/>
                            </wps:cNvCnPr>
                            <wps:spPr bwMode="auto">
                              <a:xfrm flipH="1">
                                <a:off x="11376" y="17437"/>
                                <a:ext cx="11672"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 name="Поле 70"/>
                            <wps:cNvSpPr txBox="1">
                              <a:spLocks noChangeArrowheads="1"/>
                            </wps:cNvSpPr>
                            <wps:spPr bwMode="auto">
                              <a:xfrm>
                                <a:off x="0" y="0"/>
                                <a:ext cx="11372" cy="23597"/>
                              </a:xfrm>
                              <a:prstGeom prst="rect">
                                <a:avLst/>
                              </a:prstGeom>
                              <a:solidFill>
                                <a:schemeClr val="tx1">
                                  <a:lumMod val="50000"/>
                                  <a:lumOff val="50000"/>
                                </a:schemeClr>
                              </a:solidFill>
                              <a:ln w="25400">
                                <a:solidFill>
                                  <a:schemeClr val="tx1">
                                    <a:lumMod val="100000"/>
                                    <a:lumOff val="0"/>
                                  </a:schemeClr>
                                </a:solidFill>
                                <a:miter lim="800000"/>
                                <a:headEnd/>
                                <a:tailEnd/>
                              </a:ln>
                            </wps:spPr>
                            <wps:txbx>
                              <w:txbxContent>
                                <w:p w:rsidR="004C50AA" w:rsidRPr="00E55AE8" w:rsidRDefault="004C50AA" w:rsidP="00EA24D4">
                                  <w:pPr>
                                    <w:jc w:val="center"/>
                                  </w:pPr>
                                  <w:r>
                                    <w:t>Эффекти</w:t>
                                  </w:r>
                                  <w:r>
                                    <w:t>в</w:t>
                                  </w:r>
                                  <w:r>
                                    <w:t>ность</w:t>
                                  </w:r>
                                </w:p>
                              </w:txbxContent>
                            </wps:txbx>
                            <wps:bodyPr rot="0" vert="horz" wrap="square" lIns="91440" tIns="45720" rIns="91440" bIns="45720" anchor="ctr" anchorCtr="0" upright="1">
                              <a:noAutofit/>
                            </wps:bodyPr>
                          </wps:wsp>
                          <wps:wsp>
                            <wps:cNvPr id="33" name="Прямая со стрелкой 71"/>
                            <wps:cNvCnPr>
                              <a:cxnSpLocks noChangeShapeType="1"/>
                            </wps:cNvCnPr>
                            <wps:spPr bwMode="auto">
                              <a:xfrm flipH="1">
                                <a:off x="11376" y="3934"/>
                                <a:ext cx="2001"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Группа 1" o:spid="_x0000_s1044" style="position:absolute;margin-left:-62.9pt;margin-top:27.35pt;width:560.1pt;height:185.8pt;z-index:251663360" coordsize="71130,2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">
                <v:shape id="Поле 2" o:spid="_x0000_s1045" type="#_x0000_t202" style="position:absolute;left:62094;top:9250;width:9036;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QUsEA&#10;AADaAAAADwAAAGRycy9kb3ducmV2LnhtbERPW2vCMBR+H/gfwhF8m6lD5qjGojLZxp5WL8+H5tiG&#10;Nic1ybT798vDYI8f331VDLYTN/LBOFYwm2YgiCunDdcKjof94wuIEJE1do5JwQ8FKNajhxXm2t35&#10;i25lrEUK4ZCjgibGPpcyVA1ZDFPXEyfu4rzFmKCvpfZ4T+G2k09Z9iwtGk4NDfa0a6hqy2+r4Hry&#10;h/nMvJ733Udprov2c/uGC6Um42GzBBFpiP/iP/e7VpC2pivpBs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VEFLBAAAA2gAAAA8AAAAAAAAAAAAAAAAAmAIAAGRycy9kb3du&#10;cmV2LnhtbFBLBQYAAAAABAAEAPUAAACGAwAAAAA=&#10;" fillcolor="white [3201]" strokeweight=".5pt">
                  <v:textbox>
                    <w:txbxContent>
                      <w:p w:rsidR="004C50AA" w:rsidRPr="007E670D" w:rsidRDefault="004C50AA" w:rsidP="00EA24D4">
                        <w:pPr>
                          <w:jc w:val="center"/>
                        </w:pPr>
                        <w:r>
                          <w:t>Культу</w:t>
                        </w:r>
                        <w:r>
                          <w:t>р</w:t>
                        </w:r>
                        <w:r>
                          <w:t>ные ра</w:t>
                        </w:r>
                        <w:r>
                          <w:t>з</w:t>
                        </w:r>
                        <w:r>
                          <w:t>личия</w:t>
                        </w:r>
                      </w:p>
                    </w:txbxContent>
                  </v:textbox>
                </v:shape>
                <v:shape id="Поле 3" o:spid="_x0000_s1046" type="#_x0000_t202" style="position:absolute;left:50929;top:744;width:10314;height:5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1ycMA&#10;AADaAAAADwAAAGRycy9kb3ducmV2LnhtbESPQWsCMRSE74L/IbyCN80qUtvVKFoqbfHk2np+bF53&#10;g5uXNUl1+++bguBxmJlvmMWqs424kA/GsYLxKANBXDptuFLwedgOn0CEiKyxcUwKfinAatnvLTDX&#10;7sp7uhSxEgnCIUcFdYxtLmUoa7IYRq4lTt638xZjkr6S2uM1wW0jJ1n2KC0aTgs1tvRSU3kqfqyC&#10;85c/TMfm9bhtPgpznp12mzecKTV46NZzEJG6eA/f2u9awTP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m1ycMAAADaAAAADwAAAAAAAAAAAAAAAACYAgAAZHJzL2Rv&#10;d25yZXYueG1sUEsFBgAAAAAEAAQA9QAAAIgDAAAAAA==&#10;" fillcolor="white [3201]" strokeweight=".5pt">
                  <v:textbox>
                    <w:txbxContent>
                      <w:p w:rsidR="004C50AA" w:rsidRPr="007E670D" w:rsidRDefault="004C50AA" w:rsidP="00EA24D4">
                        <w:pPr>
                          <w:jc w:val="center"/>
                        </w:pPr>
                        <w:r>
                          <w:t>Уровень и</w:t>
                        </w:r>
                        <w:r>
                          <w:t>н</w:t>
                        </w:r>
                        <w:r>
                          <w:t>теграции</w:t>
                        </w:r>
                      </w:p>
                    </w:txbxContent>
                  </v:textbox>
                </v:shape>
                <v:shapetype id="_x0000_t32" coordsize="21600,21600" o:spt="32" o:oned="t" path="m,l21600,21600e" filled="f">
                  <v:path arrowok="t" fillok="f" o:connecttype="none"/>
                  <o:lock v:ext="edit" shapetype="t"/>
                </v:shapetype>
                <v:shape id="Прямая со стрелкой 8" o:spid="_x0000_s1047" type="#_x0000_t32" style="position:absolute;left:49760;top:12121;width:123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xVMYAAADbAAAADwAAAGRycy9kb3ducmV2LnhtbESPQWsCQQyF7wX/w5BCb3W2WmrZOoq0&#10;FCsKoi0Fb2En3Vncyaw7o67/3hwK3hLey3tfxtPO1+pEbawCG3jqZ6CIi2ArLg38fH8+voKKCdli&#10;HZgMXCjCdNK7G2Nuw5k3dNqmUkkIxxwNuJSaXOtYOPIY+6EhFu0vtB6TrG2pbYtnCfe1HmTZi/ZY&#10;sTQ4bOjdUbHfHr2Bj8Xv8+jQHdbD+c6tChqOdoPZ0piH+272BipRl27m/+svK/hCL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48VTGAAAA2wAAAA8AAAAAAAAA&#10;AAAAAAAAoQIAAGRycy9kb3ducmV2LnhtbFBLBQYAAAAABAAEAPkAAACUAwAAAAA=&#10;" strokecolor="black [3040]">
                  <v:stroke endarrow="open"/>
                </v:shape>
                <v:shape id="Прямая со стрелкой 51" o:spid="_x0000_s1048" type="#_x0000_t32" style="position:absolute;left:56565;top:6485;width:0;height:5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shape id="Поле 52" o:spid="_x0000_s1049" type="#_x0000_t202" style="position:absolute;left:50292;top:17756;width:11802;height:5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w/sEA&#10;AADbAAAADwAAAGRycy9kb3ducmV2LnhtbERPS2sCMRC+F/wPYQRvNauUWlajqFS09NT1cR42425w&#10;M1mTqNt/3xQKvc3H95zZorONuJMPxrGC0TADQVw6bbhScNhvnt9AhIissXFMCr4pwGLee5phrt2D&#10;v+hexEqkEA45KqhjbHMpQ1mTxTB0LXHizs5bjAn6SmqPjxRuGznOsldp0XBqqLGldU3lpbhZBdej&#10;37+MzPtp03wU5jq5fK62OFFq0O+WUxCRuvgv/nPvdJo/ht9f0g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icP7BAAAA2wAAAA8AAAAAAAAAAAAAAAAAmAIAAGRycy9kb3du&#10;cmV2LnhtbFBLBQYAAAAABAAEAPUAAACGAwAAAAA=&#10;" fillcolor="white [3201]" strokeweight=".5pt">
                  <v:textbox>
                    <w:txbxContent>
                      <w:p w:rsidR="004C50AA" w:rsidRPr="007E670D" w:rsidRDefault="004C50AA" w:rsidP="00EA24D4">
                        <w:pPr>
                          <w:jc w:val="center"/>
                        </w:pPr>
                        <w:r>
                          <w:t>Дружелю</w:t>
                        </w:r>
                        <w:r>
                          <w:t>б</w:t>
                        </w:r>
                        <w:r>
                          <w:t>ность слияния</w:t>
                        </w:r>
                      </w:p>
                    </w:txbxContent>
                  </v:textbox>
                </v:shape>
                <v:shape id="Прямая со стрелкой 53" o:spid="_x0000_s1050" type="#_x0000_t32" style="position:absolute;left:56565;top:12121;width:0;height:56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3V8QAAADbAAAADwAAAGRycy9kb3ducmV2LnhtbERP22rCQBB9L/gPywh9qxsv1BLdBFFK&#10;WyyIVgTfhuyYDWZnY3ar6d93hULf5nCuM887W4srtb5yrGA4SEAQF05XXCrYf70+vYDwAVlj7ZgU&#10;/JCHPOs9zDHV7sZbuu5CKWII+xQVmBCaVEpfGLLoB64hjtzJtRZDhG0pdYu3GG5rOUqSZ2mx4thg&#10;sKGloeK8+7YKVh+HyfTSXTbjt6P5LGg8PY4Wa6Ue+91iBiJQF/7Ff+53HedP4P5LP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xAAAANsAAAAPAAAAAAAAAAAA&#10;AAAAAKECAABkcnMvZG93bnJldi54bWxQSwUGAAAAAAQABAD5AAAAkgMAAAAA&#10;" strokecolor="black [3040]">
                  <v:stroke endarrow="open"/>
                </v:shape>
                <v:group id="Группа 54" o:spid="_x0000_s1051" style="position:absolute;width:49758;height:23597" coordsize="49758,23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Группа 55" o:spid="_x0000_s1052" style="position:absolute;left:37426;width:12332;height:23596" coordsize="12333,23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Прямоугольник 56" o:spid="_x0000_s1053" style="position:absolute;width:12333;height:23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qU8MA&#10;AADbAAAADwAAAGRycy9kb3ducmV2LnhtbESPT2vCQBDF7wW/wzKCt7qxYCnRVfzTlOJNbfE6ZMck&#10;mJ0Nu6vGb985CL3N8N6895v5snetulGIjWcDk3EGirj0tuHKwM+xeP0AFROyxdYzGXhQhOVi8DLH&#10;3Po77+l2SJWSEI45GqhT6nKtY1mTwzj2HbFoZx8cJllDpW3Au4S7Vr9l2bt22LA01NjRpqbycrg6&#10;A6fK83X74LBOp8+vYjf9zdy+MGY07FczUIn69G9+Xn9bwRdY+UUG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rqU8MAAADbAAAADwAAAAAAAAAAAAAAAACYAgAAZHJzL2Rv&#10;d25yZXYueG1sUEsFBgAAAAAEAAQA9QAAAIgDAAAAAA==&#10;" fillcolor="gray [1629]" strokecolor="black [3213]" strokeweight="2pt"/>
                    <v:shape id="Поле 57" o:spid="_x0000_s1054" type="#_x0000_t202" style="position:absolute;left:1169;top:1807;width:9779;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ij8IA&#10;AADbAAAADwAAAGRycy9kb3ducmV2LnhtbERPTWsCMRC9C/6HMAVvmlWktqtRtFTa4sm19TxsprvB&#10;zWRNUt3++6YgeJvH+5zFqrONuJAPxrGC8SgDQVw6bbhS8HnYDp9AhIissXFMCn4pwGrZ7y0w1+7K&#10;e7oUsRIphEOOCuoY21zKUNZkMYxcS5y4b+ctxgR9JbXHawq3jZxk2aO0aDg11NjSS03lqfixCs5f&#10;/jAdm9fjtvkozHl22m3ecKbU4KFbz0FE6uJdfHO/6zT/Gf5/S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uKPwgAAANsAAAAPAAAAAAAAAAAAAAAAAJgCAABkcnMvZG93&#10;bnJldi54bWxQSwUGAAAAAAQABAD1AAAAhwMAAAAA&#10;" fillcolor="white [3201]" strokeweight=".5pt">
                      <v:textbox>
                        <w:txbxContent>
                          <w:p w:rsidR="004C50AA" w:rsidRPr="007E670D" w:rsidRDefault="004C50AA" w:rsidP="00EA24D4">
                            <w:pPr>
                              <w:jc w:val="center"/>
                            </w:pPr>
                            <w:r>
                              <w:t>Напряж</w:t>
                            </w:r>
                            <w:r>
                              <w:t>е</w:t>
                            </w:r>
                            <w:r>
                              <w:t>ние</w:t>
                            </w:r>
                          </w:p>
                        </w:txbxContent>
                      </v:textbox>
                    </v:shape>
                    <v:shape id="Поле 58" o:spid="_x0000_s1055" type="#_x0000_t202" style="position:absolute;left:1169;top:6485;width:9779;height:7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Br8EA&#10;AADbAAAADwAAAGRycy9kb3ducmV2LnhtbERPy2oCMRTdC/5DuIK7mlGkymgULZW2dOX4WF8m15ng&#10;5GZMUp3+fbMouDyc93Ld2UbcyQfjWMF4lIEgLp02XCk4HnYvcxAhImtsHJOCXwqwXvV7S8y1e/Ce&#10;7kWsRArhkKOCOsY2lzKUNVkMI9cSJ+7ivMWYoK+k9vhI4baRkyx7lRYNp4YaW3qrqbwWP1bB7eQP&#10;07F5P++ar8LcZtfv7QfOlBoOus0CRKQuPsX/7k+tYJLWpy/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Qga/BAAAA2wAAAA8AAAAAAAAAAAAAAAAAmAIAAGRycy9kb3du&#10;cmV2LnhtbFBLBQYAAAAABAAEAPUAAACGAwAAAAA=&#10;" fillcolor="white [3201]" strokeweight=".5pt">
                      <v:textbox>
                        <w:txbxContent>
                          <w:p w:rsidR="004C50AA" w:rsidRPr="007E670D" w:rsidRDefault="004C50AA" w:rsidP="00EA24D4">
                            <w:pPr>
                              <w:jc w:val="center"/>
                            </w:pPr>
                            <w:r>
                              <w:t>Негативное отношение: Компания</w:t>
                            </w:r>
                          </w:p>
                        </w:txbxContent>
                      </v:textbox>
                    </v:shape>
                    <v:shape id="Поле 59" o:spid="_x0000_s1056" type="#_x0000_t202" style="position:absolute;left:1169;top:14779;width:9779;height:7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kNMQA&#10;AADbAAAADwAAAGRycy9kb3ducmV2LnhtbESPQWsCMRSE7wX/Q3iCt5pdkVq2RqmiaOmpq/b82Lzu&#10;BjcvaxJ1+++bQqHHYWa+YebL3rbiRj4YxwrycQaCuHLacK3geNg+PoMIEVlj65gUfFOA5WLwMMdC&#10;uzt/0K2MtUgQDgUqaGLsCilD1ZDFMHYdcfK+nLcYk/S11B7vCW5bOcmyJ2nRcFposKN1Q9W5vFoF&#10;l5M/THOz+dy2b6W5zM7vqx3OlBoN+9cXEJH6+B/+a++1gk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cJDTEAAAA2wAAAA8AAAAAAAAAAAAAAAAAmAIAAGRycy9k&#10;b3ducmV2LnhtbFBLBQYAAAAABAAEAPUAAACJAwAAAAA=&#10;" fillcolor="white [3201]" strokeweight=".5pt">
                      <v:textbox>
                        <w:txbxContent>
                          <w:p w:rsidR="004C50AA" w:rsidRPr="007E670D" w:rsidRDefault="004C50AA" w:rsidP="00EA24D4">
                            <w:pPr>
                              <w:jc w:val="center"/>
                            </w:pPr>
                            <w:r>
                              <w:t>Негативное отношение: Кооперация</w:t>
                            </w:r>
                          </w:p>
                        </w:txbxContent>
                      </v:textbox>
                    </v:shape>
                  </v:group>
                  <v:shape id="Прямая со стрелкой 60" o:spid="_x0000_s1057" type="#_x0000_t32" style="position:absolute;left:33067;top:3934;width:43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ABcYAAADbAAAADwAAAGRycy9kb3ducmV2LnhtbESPQWvCQBSE7wX/w/KE3pqNsWiJriKW&#10;UkuFUlsEb4/sMxvMvo3ZVeO/dwtCj8PMfMNM552txZlaXzlWMEhSEMSF0xWXCn5/3p5eQPiArLF2&#10;TAqu5GE+6z1MMdfuwt903oRSRAj7HBWYEJpcSl8YsugT1xBHb+9aiyHKtpS6xUuE21pmaTqSFiuO&#10;CwYbWhoqDpuTVfD6sX0eH7vj1/B9Z9YFDce7b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KAAXGAAAA2wAAAA8AAAAAAAAA&#10;AAAAAAAAoQIAAGRycy9kb3ducmV2LnhtbFBLBQYAAAAABAAEAPkAAACUAwAAAAA=&#10;" strokecolor="black [3040]">
                    <v:stroke endarrow="open"/>
                  </v:shape>
                  <v:shape id="Прямая со стрелкой 61" o:spid="_x0000_s1058" type="#_x0000_t32" style="position:absolute;left:32854;top:6485;width:4337;height:35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HpscAAADbAAAADwAAAGRycy9kb3ducmV2LnhtbESPQWvCQBSE7wX/w/IKXopuqkUlukqp&#10;LQhSoUYP3h7Z1yQ2+zbsbk3013cLhR6HmfmGWaw6U4sLOV9ZVvA4TEAQ51ZXXCg4ZG+DGQgfkDXW&#10;lknBlTyslr27BabatvxBl30oRISwT1FBGUKTSunzkgz6oW2Io/dpncEQpSukdthGuKnlKEkm0mDF&#10;caHEhl5Kyr/230YBvb8e19Psdj7sdk/jBztxp6zdKtW/757nIAJ14T/8195oBaMx/H6JP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5EemxwAAANsAAAAPAAAAAAAA&#10;AAAAAAAAAKECAABkcnMvZG93bnJldi54bWxQSwUGAAAAAAQABAD5AAAAlQMAAAAA&#10;" strokecolor="black [3040]">
                    <v:stroke endarrow="open"/>
                  </v:shape>
                  <v:shape id="Прямая со стрелкой 62" o:spid="_x0000_s1059" type="#_x0000_t32" style="position:absolute;left:32854;top:17969;width:45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896sYAAADbAAAADwAAAGRycy9kb3ducmV2LnhtbESPQWvCQBSE7wX/w/IK3ppNo9QSXUUU&#10;qWJBtKXg7ZF9ZoPZtzG71fTfd4VCj8PMfMNMZp2txZVaXzlW8JykIIgLpysuFXx+rJ5eQfiArLF2&#10;TAp+yMNs2nuYYK7djfd0PYRSRAj7HBWYEJpcSl8YsugT1xBH7+RaiyHKtpS6xVuE21pmafoiLVYc&#10;Fww2tDBUnA/fVsFy8zUcXbrLbvB2NO8FDUbHbL5Vqv/YzccgAnXhP/zXXmsF2RDuX+IP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vPerGAAAA2wAAAA8AAAAAAAAA&#10;AAAAAAAAoQIAAGRycy9kb3ducmV2LnhtbFBLBQYAAAAABAAEAPkAAACUAwAAAAA=&#10;" strokecolor="black [3040]">
                    <v:stroke endarrow="open"/>
                  </v:shape>
                  <v:shape id="Прямая со стрелкой 63" o:spid="_x0000_s1060" type="#_x0000_t32" style="position:absolute;left:32854;top:12121;width:4655;height:46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YccYAAADbAAAADwAAAGRycy9kb3ducmV2LnhtbESP3WoCMRSE7wXfIZxC7zTbtVVZjSIt&#10;xZYWxB8E7w6b42Zxc7Juom7fvikUvBxm5htmOm9tJa7U+NKxgqd+AoI4d7rkQsFu+94bg/ABWWPl&#10;mBT8kIf5rNuZYqbdjdd03YRCRAj7DBWYEOpMSp8bsuj7riaO3tE1FkOUTSF1g7cIt5VMk2QoLZYc&#10;FwzW9GooP20uVsHb5/55dG7Pq8HyYL5zGowO6eJLqceHdjEBEagN9/B/+0MrSF/g70v8AX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jmHHGAAAA2wAAAA8AAAAAAAAA&#10;AAAAAAAAoQIAAGRycy9kb3ducmV2LnhtbFBLBQYAAAAABAAEAPkAAACUAwAAAAA=&#10;" strokecolor="black [3040]">
                    <v:stroke endarrow="open"/>
                  </v:shape>
                  <v:group id="Группа 64" o:spid="_x0000_s1061" style="position:absolute;width:32845;height:23597" coordsize="32845,23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Поле 65" o:spid="_x0000_s1062" type="#_x0000_t202" style="position:absolute;left:23072;top:956;width:9773;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lA8QA&#10;AADbAAAADwAAAGRycy9kb3ducmV2LnhtbESPQWsCMRSE7wX/Q3hCL6Vmq6BlaxRpK3h1a+n1dfO6&#10;u3Xzsm7SbPz3RhB6HGbmG2a5jqYVgXrXWFbwNMlAEJdWN1wpOHxsH59BOI+ssbVMCs7kYL0a3S0x&#10;13bgPYXCVyJB2OWooPa+y6V0ZU0G3cR2xMn7sb1Bn2RfSd3jkOCmldMsm0uDDaeFGjt6rak8Fn9G&#10;wefXbFj8PphwDqE44fd7PJzeolL347h5AeEp+v/wrb3TCqYLuH5JP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qJQPEAAAA2wAAAA8AAAAAAAAAAAAAAAAAmAIAAGRycy9k&#10;b3ducmV2LnhtbFBLBQYAAAAABAAEAPUAAACJAwAAAAA=&#10;" fillcolor="gray [1629]" strokecolor="black [3213]" strokeweight="2pt">
                      <v:textbox>
                        <w:txbxContent>
                          <w:p w:rsidR="004C50AA" w:rsidRDefault="004C50AA" w:rsidP="00EA24D4">
                            <w:pPr>
                              <w:jc w:val="center"/>
                            </w:pPr>
                            <w:r>
                              <w:t>Обязател</w:t>
                            </w:r>
                            <w:r>
                              <w:t>ь</w:t>
                            </w:r>
                            <w:r>
                              <w:t>ство</w:t>
                            </w:r>
                          </w:p>
                        </w:txbxContent>
                      </v:textbox>
                    </v:shape>
                    <v:shape id="Поле 66" o:spid="_x0000_s1063" type="#_x0000_t202" style="position:absolute;left:23072;top:14991;width:9773;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WxccEA&#10;AADbAAAADwAAAGRycy9kb3ducmV2LnhtbERPW2vCMBR+F/YfwhnsZWg6hU2qUcYusFc7xddjc2zr&#10;mpPaZGn89+ZB8PHjuy/X0bQiUO8aywpeJhkI4tLqhisF29/v8RyE88gaW8uk4EIO1quH0RJzbQfe&#10;UCh8JVIIuxwV1N53uZSurMmgm9iOOHFH2xv0CfaV1D0OKdy0cpplr9Jgw6mhxo4+air/in+jYLef&#10;DW+nZxMuIRRnPHzF7fkzKvX0GN8XIDxFfxff3D9awTSNTV/SD5C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1sXHBAAAA2wAAAA8AAAAAAAAAAAAAAAAAmAIAAGRycy9kb3du&#10;cmV2LnhtbFBLBQYAAAAABAAEAPUAAACGAwAAAAA=&#10;" fillcolor="gray [1629]" strokecolor="black [3213]" strokeweight="2pt">
                      <v:textbox>
                        <w:txbxContent>
                          <w:p w:rsidR="004C50AA" w:rsidRDefault="004C50AA" w:rsidP="00EA24D4">
                            <w:pPr>
                              <w:jc w:val="center"/>
                            </w:pPr>
                            <w:r>
                              <w:t>Консол</w:t>
                            </w:r>
                            <w:r>
                              <w:t>и</w:t>
                            </w:r>
                            <w:r>
                              <w:t>дация</w:t>
                            </w:r>
                          </w:p>
                        </w:txbxContent>
                      </v:textbox>
                    </v:shape>
                    <v:shape id="Прямая со стрелкой 67" o:spid="_x0000_s1064" type="#_x0000_t32" style="position:absolute;left:21158;top:3721;width:20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6SdMcAAADbAAAADwAAAGRycy9kb3ducmV2LnhtbESPW2sCMRSE3wv+h3AKfdNs1+JlNYq0&#10;FFsqiBcE3w6b42Zxc7Juom7/fVMo9HGYmW+Y6by1lbhR40vHCp57CQji3OmSCwX73Xt3BMIHZI2V&#10;Y1LwTR7ms87DFDPt7ryh2zYUIkLYZ6jAhFBnUvrckEXfczVx9E6usRiibAqpG7xHuK1kmiQDabHk&#10;uGCwpldD+Xl7tQrePg8vw0t7WfeXR7PKqT88posvpZ4e28UERKA2/If/2h9aQTqG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bpJ0xwAAANsAAAAPAAAAAAAA&#10;AAAAAAAAAKECAABkcnMvZG93bnJldi54bWxQSwUGAAAAAAQABAD5AAAAlQMAAAAA&#10;" strokecolor="black [3040]">
                      <v:stroke endarrow="open"/>
                    </v:shape>
                    <v:shape id="Поле 68" o:spid="_x0000_s1065" type="#_x0000_t202" style="position:absolute;left:13290;top:956;width:7957;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rqsEA&#10;AADbAAAADwAAAGRycy9kb3ducmV2LnhtbERPW2vCMBR+H/gfwhF8GZpOYZNqFNkF9rpO8fXYHNtq&#10;c1KbLI3/fnkY7PHju6+30bQiUO8aywqeZhkI4tLqhisF+++P6RKE88gaW8uk4E4OtpvRwxpzbQf+&#10;olD4SqQQdjkqqL3vcildWZNBN7MdceLOtjfoE+wrqXscUrhp5TzLnqXBhlNDjR291lReix+j4HBc&#10;DC+XRxPuIRQ3PL3H/e0tKjUZx90KhKfo/8V/7k+tYJHWpy/p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aK6rBAAAA2wAAAA8AAAAAAAAAAAAAAAAAmAIAAGRycy9kb3du&#10;cmV2LnhtbFBLBQYAAAAABAAEAPUAAACGAwAAAAA=&#10;" fillcolor="gray [1629]" strokecolor="black [3213]" strokeweight="2pt">
                      <v:textbox>
                        <w:txbxContent>
                          <w:p w:rsidR="004C50AA" w:rsidRPr="00E55AE8" w:rsidRDefault="004C50AA" w:rsidP="00EA24D4">
                            <w:pPr>
                              <w:jc w:val="center"/>
                            </w:pPr>
                            <w:r>
                              <w:t>Обороты</w:t>
                            </w:r>
                          </w:p>
                        </w:txbxContent>
                      </v:textbox>
                    </v:shape>
                    <v:shape id="Прямая со стрелкой 69" o:spid="_x0000_s1066" type="#_x0000_t32" style="position:absolute;left:11376;top:17437;width:116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EIr8YAAADbAAAADwAAAGRycy9kb3ducmV2LnhtbESP3WoCMRSE7wXfIRyhd5rVLVVWo4il&#10;tMWC+IPg3WFz3CxuTtZNqtu3b4RCL4eZ+YaZLVpbiRs1vnSsYDhIQBDnTpdcKDjs3/oTED4ga6wc&#10;k4If8rCYdzszzLS785Zuu1CICGGfoQITQp1J6XNDFv3A1cTRO7vGYoiyKaRu8B7htpKjJHmRFkuO&#10;CwZrWhnKL7tvq+D18/g8vrbXTfp+Ml85pePTaLlW6qnXLqcgArXhP/zX/tAK0iE8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CK/GAAAA2wAAAA8AAAAAAAAA&#10;AAAAAAAAoQIAAGRycy9kb3ducmV2LnhtbFBLBQYAAAAABAAEAPkAAACUAwAAAAA=&#10;" strokecolor="black [3040]">
                      <v:stroke endarrow="open"/>
                    </v:shape>
                    <v:shape id="Поле 70" o:spid="_x0000_s1067" type="#_x0000_t202" style="position:absolute;width:11372;height:23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QRsQA&#10;AADbAAAADwAAAGRycy9kb3ducmV2LnhtbESPzWrDMBCE74W8g9hALyWRm0Ab3Mgm9Ad6rZvS69ba&#10;2E6slWOpsvL2VaHQ4zAz3zDbMppeBBpdZ1nB7TIDQVxb3XGjYP/+stiAcB5ZY2+ZFFzIQVnMrraY&#10;azvxG4XKNyJB2OWooPV+yKV0dUsG3dIOxMk72NGgT3JspB5xSnDTy1WW3UmDHaeFFgd6bKk+Vd9G&#10;wcfnero/3phwCaE649dz3J+folLX87h7AOEp+v/wX/tVK1iv4P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EEEbEAAAA2wAAAA8AAAAAAAAAAAAAAAAAmAIAAGRycy9k&#10;b3ducmV2LnhtbFBLBQYAAAAABAAEAPUAAACJAwAAAAA=&#10;" fillcolor="gray [1629]" strokecolor="black [3213]" strokeweight="2pt">
                      <v:textbox>
                        <w:txbxContent>
                          <w:p w:rsidR="004C50AA" w:rsidRPr="00E55AE8" w:rsidRDefault="004C50AA" w:rsidP="00EA24D4">
                            <w:pPr>
                              <w:jc w:val="center"/>
                            </w:pPr>
                            <w:r>
                              <w:t>Эффекти</w:t>
                            </w:r>
                            <w:r>
                              <w:t>в</w:t>
                            </w:r>
                            <w:r>
                              <w:t>ность</w:t>
                            </w:r>
                          </w:p>
                        </w:txbxContent>
                      </v:textbox>
                    </v:shape>
                    <v:shape id="Прямая со стрелкой 71" o:spid="_x0000_s1068" type="#_x0000_t32" style="position:absolute;left:11376;top:3934;width:20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8zQ8YAAADbAAAADwAAAGRycy9kb3ducmV2LnhtbESPQWvCQBSE7wX/w/KE3pqNpmiJriKW&#10;UkuFUlsEb4/sMxvMvo3ZVeO/dwtCj8PMfMNM552txZlaXzlWMEhSEMSF0xWXCn5/3p5eQPiArLF2&#10;TAqu5GE+6z1MMdfuwt903oRSRAj7HBWYEJpcSl8YsugT1xBHb+9aiyHKtpS6xUuE21oO03QkLVYc&#10;Fww2tDRUHDYnq+D1Y/s8PnbHr+x9Z9YFZePdc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fM0PGAAAA2wAAAA8AAAAAAAAA&#10;AAAAAAAAoQIAAGRycy9kb3ducmV2LnhtbFBLBQYAAAAABAAEAPkAAACUAwAAAAA=&#10;" strokecolor="black [3040]">
                      <v:stroke endarrow="open"/>
                    </v:shape>
                  </v:group>
                </v:group>
              </v:group>
            </w:pict>
          </mc:Fallback>
        </mc:AlternateContent>
      </w:r>
      <w:bookmarkEnd w:id="78"/>
      <w:bookmarkEnd w:id="79"/>
    </w:p>
    <w:p w:rsidR="004D0E58" w:rsidRDefault="004D0E58" w:rsidP="004014F2"/>
    <w:p w:rsidR="004E2F8C" w:rsidRDefault="004E2F8C" w:rsidP="004014F2"/>
    <w:p w:rsidR="004E2F8C" w:rsidRDefault="00684410" w:rsidP="004014F2">
      <w:r>
        <w:rPr>
          <w:noProof/>
        </w:rPr>
        <mc:AlternateContent>
          <mc:Choice Requires="wpg">
            <w:drawing>
              <wp:anchor distT="0" distB="0" distL="114300" distR="114300" simplePos="0" relativeHeight="251665408" behindDoc="0" locked="0" layoutInCell="1" allowOverlap="1" wp14:anchorId="0325C6BA" wp14:editId="5B457D13">
                <wp:simplePos x="0" y="0"/>
                <wp:positionH relativeFrom="column">
                  <wp:posOffset>-336550</wp:posOffset>
                </wp:positionH>
                <wp:positionV relativeFrom="paragraph">
                  <wp:posOffset>2959100</wp:posOffset>
                </wp:positionV>
                <wp:extent cx="6304915" cy="3306445"/>
                <wp:effectExtent l="0" t="0" r="19685" b="27305"/>
                <wp:wrapTopAndBottom/>
                <wp:docPr id="34"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306445"/>
                          <a:chOff x="0" y="0"/>
                          <a:chExt cx="63051" cy="33067"/>
                        </a:xfrm>
                      </wpg:grpSpPr>
                      <wps:wsp>
                        <wps:cNvPr id="35" name="Поле 37"/>
                        <wps:cNvSpPr txBox="1">
                          <a:spLocks noChangeArrowheads="1"/>
                        </wps:cNvSpPr>
                        <wps:spPr bwMode="auto">
                          <a:xfrm>
                            <a:off x="0" y="19032"/>
                            <a:ext cx="12652" cy="5316"/>
                          </a:xfrm>
                          <a:prstGeom prst="rect">
                            <a:avLst/>
                          </a:prstGeom>
                          <a:solidFill>
                            <a:schemeClr val="lt1">
                              <a:lumMod val="100000"/>
                              <a:lumOff val="0"/>
                            </a:schemeClr>
                          </a:solidFill>
                          <a:ln w="6350">
                            <a:solidFill>
                              <a:srgbClr val="000000"/>
                            </a:solidFill>
                            <a:miter lim="800000"/>
                            <a:headEnd/>
                            <a:tailEnd/>
                          </a:ln>
                        </wps:spPr>
                        <wps:txbx>
                          <w:txbxContent>
                            <w:p w:rsidR="004C50AA" w:rsidRDefault="004C50AA" w:rsidP="005822EC">
                              <w:r>
                                <w:t>Внутрифирме</w:t>
                              </w:r>
                              <w:r>
                                <w:t>н</w:t>
                              </w:r>
                              <w:r>
                                <w:t>ные</w:t>
                              </w:r>
                            </w:p>
                          </w:txbxContent>
                        </wps:txbx>
                        <wps:bodyPr rot="0" vert="horz" wrap="square" lIns="91440" tIns="45720" rIns="91440" bIns="45720" anchor="t" anchorCtr="0" upright="1">
                          <a:noAutofit/>
                        </wps:bodyPr>
                      </wps:wsp>
                      <wps:wsp>
                        <wps:cNvPr id="36" name="Поле 38"/>
                        <wps:cNvSpPr txBox="1">
                          <a:spLocks noChangeArrowheads="1"/>
                        </wps:cNvSpPr>
                        <wps:spPr bwMode="auto">
                          <a:xfrm>
                            <a:off x="0" y="26049"/>
                            <a:ext cx="12649" cy="7018"/>
                          </a:xfrm>
                          <a:prstGeom prst="rect">
                            <a:avLst/>
                          </a:prstGeom>
                          <a:solidFill>
                            <a:schemeClr val="lt1">
                              <a:lumMod val="100000"/>
                              <a:lumOff val="0"/>
                            </a:schemeClr>
                          </a:solidFill>
                          <a:ln w="6350">
                            <a:solidFill>
                              <a:srgbClr val="000000"/>
                            </a:solidFill>
                            <a:miter lim="800000"/>
                            <a:headEnd/>
                            <a:tailEnd/>
                          </a:ln>
                        </wps:spPr>
                        <wps:txbx>
                          <w:txbxContent>
                            <w:p w:rsidR="004C50AA" w:rsidRDefault="004C50AA" w:rsidP="005822EC">
                              <w:proofErr w:type="gramStart"/>
                              <w:r>
                                <w:t>Внешние</w:t>
                              </w:r>
                              <w:proofErr w:type="gramEnd"/>
                              <w:r>
                                <w:t xml:space="preserve"> по о</w:t>
                              </w:r>
                              <w:r>
                                <w:t>т</w:t>
                              </w:r>
                              <w:r>
                                <w:t>ношению к фирме</w:t>
                              </w:r>
                            </w:p>
                          </w:txbxContent>
                        </wps:txbx>
                        <wps:bodyPr rot="0" vert="horz" wrap="square" lIns="91440" tIns="45720" rIns="91440" bIns="45720" anchor="t" anchorCtr="0" upright="1">
                          <a:noAutofit/>
                        </wps:bodyPr>
                      </wps:wsp>
                      <wpg:grpSp>
                        <wpg:cNvPr id="37" name="Группа 48"/>
                        <wpg:cNvGrpSpPr>
                          <a:grpSpLocks/>
                        </wpg:cNvGrpSpPr>
                        <wpg:grpSpPr bwMode="auto">
                          <a:xfrm>
                            <a:off x="3296" y="0"/>
                            <a:ext cx="59755" cy="29670"/>
                            <a:chOff x="0" y="0"/>
                            <a:chExt cx="59754" cy="29670"/>
                          </a:xfrm>
                        </wpg:grpSpPr>
                        <wps:wsp>
                          <wps:cNvPr id="38" name="Поле 33"/>
                          <wps:cNvSpPr txBox="1">
                            <a:spLocks noChangeArrowheads="1"/>
                          </wps:cNvSpPr>
                          <wps:spPr bwMode="auto">
                            <a:xfrm>
                              <a:off x="0" y="11057"/>
                              <a:ext cx="13078" cy="5630"/>
                            </a:xfrm>
                            <a:prstGeom prst="rect">
                              <a:avLst/>
                            </a:prstGeom>
                            <a:solidFill>
                              <a:schemeClr val="lt1">
                                <a:lumMod val="100000"/>
                                <a:lumOff val="0"/>
                              </a:schemeClr>
                            </a:solidFill>
                            <a:ln w="6350">
                              <a:solidFill>
                                <a:srgbClr val="000000"/>
                              </a:solidFill>
                              <a:miter lim="800000"/>
                              <a:headEnd/>
                              <a:tailEnd/>
                            </a:ln>
                          </wps:spPr>
                          <wps:txbx>
                            <w:txbxContent>
                              <w:p w:rsidR="004C50AA" w:rsidRDefault="004C50AA" w:rsidP="005822EC">
                                <w:pPr>
                                  <w:jc w:val="center"/>
                                </w:pPr>
                                <w:r>
                                  <w:t>Синергетич</w:t>
                                </w:r>
                                <w:r>
                                  <w:t>е</w:t>
                                </w:r>
                                <w:r>
                                  <w:t>ский эффект</w:t>
                                </w:r>
                              </w:p>
                            </w:txbxContent>
                          </wps:txbx>
                          <wps:bodyPr rot="0" vert="horz" wrap="square" lIns="91440" tIns="45720" rIns="91440" bIns="45720" anchor="t" anchorCtr="0" upright="1">
                            <a:noAutofit/>
                          </wps:bodyPr>
                        </wps:wsp>
                        <wpg:grpSp>
                          <wpg:cNvPr id="39" name="Группа 47"/>
                          <wpg:cNvGrpSpPr>
                            <a:grpSpLocks/>
                          </wpg:cNvGrpSpPr>
                          <wpg:grpSpPr bwMode="auto">
                            <a:xfrm>
                              <a:off x="7442" y="0"/>
                              <a:ext cx="52312" cy="16693"/>
                              <a:chOff x="0" y="0"/>
                              <a:chExt cx="52312" cy="16693"/>
                            </a:xfrm>
                          </wpg:grpSpPr>
                          <wpg:grpSp>
                            <wpg:cNvPr id="40" name="Группа 45"/>
                            <wpg:cNvGrpSpPr>
                              <a:grpSpLocks/>
                            </wpg:cNvGrpSpPr>
                            <wpg:grpSpPr bwMode="auto">
                              <a:xfrm>
                                <a:off x="12227" y="0"/>
                                <a:ext cx="40085" cy="16693"/>
                                <a:chOff x="0" y="0"/>
                                <a:chExt cx="40084" cy="16693"/>
                              </a:xfrm>
                            </wpg:grpSpPr>
                            <wpg:grpSp>
                              <wpg:cNvPr id="41" name="Группа 44"/>
                              <wpg:cNvGrpSpPr>
                                <a:grpSpLocks/>
                              </wpg:cNvGrpSpPr>
                              <wpg:grpSpPr bwMode="auto">
                                <a:xfrm>
                                  <a:off x="0" y="0"/>
                                  <a:ext cx="28382" cy="8607"/>
                                  <a:chOff x="0" y="0"/>
                                  <a:chExt cx="28382" cy="8607"/>
                                </a:xfrm>
                              </wpg:grpSpPr>
                              <wps:wsp>
                                <wps:cNvPr id="42" name="Поле 15"/>
                                <wps:cNvSpPr txBox="1">
                                  <a:spLocks noChangeArrowheads="1"/>
                                </wps:cNvSpPr>
                                <wps:spPr bwMode="auto">
                                  <a:xfrm>
                                    <a:off x="14247" y="5209"/>
                                    <a:ext cx="14135" cy="3398"/>
                                  </a:xfrm>
                                  <a:prstGeom prst="rect">
                                    <a:avLst/>
                                  </a:prstGeom>
                                  <a:solidFill>
                                    <a:schemeClr val="lt1">
                                      <a:lumMod val="100000"/>
                                      <a:lumOff val="0"/>
                                    </a:schemeClr>
                                  </a:solidFill>
                                  <a:ln w="6350">
                                    <a:solidFill>
                                      <a:srgbClr val="000000"/>
                                    </a:solidFill>
                                    <a:miter lim="800000"/>
                                    <a:headEnd/>
                                    <a:tailEnd/>
                                  </a:ln>
                                </wps:spPr>
                                <wps:txbx>
                                  <w:txbxContent>
                                    <w:p w:rsidR="004C50AA" w:rsidRDefault="004C50AA" w:rsidP="005822EC">
                                      <w:pPr>
                                        <w:jc w:val="center"/>
                                      </w:pPr>
                                      <w:r>
                                        <w:t>Субъективные</w:t>
                                      </w:r>
                                    </w:p>
                                  </w:txbxContent>
                                </wps:txbx>
                                <wps:bodyPr rot="0" vert="horz" wrap="square" lIns="91440" tIns="45720" rIns="91440" bIns="45720" anchor="t" anchorCtr="0" upright="1">
                                  <a:noAutofit/>
                                </wps:bodyPr>
                              </wps:wsp>
                              <wpg:grpSp>
                                <wpg:cNvPr id="43" name="Группа 42"/>
                                <wpg:cNvGrpSpPr>
                                  <a:grpSpLocks/>
                                </wpg:cNvGrpSpPr>
                                <wpg:grpSpPr bwMode="auto">
                                  <a:xfrm>
                                    <a:off x="0" y="0"/>
                                    <a:ext cx="16374" cy="5213"/>
                                    <a:chOff x="0" y="0"/>
                                    <a:chExt cx="16374" cy="5213"/>
                                  </a:xfrm>
                                </wpg:grpSpPr>
                                <wps:wsp>
                                  <wps:cNvPr id="44" name="Поле 12"/>
                                  <wps:cNvSpPr txBox="1">
                                    <a:spLocks noChangeArrowheads="1"/>
                                  </wps:cNvSpPr>
                                  <wps:spPr bwMode="auto">
                                    <a:xfrm>
                                      <a:off x="0" y="0"/>
                                      <a:ext cx="16374" cy="4146"/>
                                    </a:xfrm>
                                    <a:prstGeom prst="rect">
                                      <a:avLst/>
                                    </a:prstGeom>
                                    <a:solidFill>
                                      <a:schemeClr val="lt1">
                                        <a:lumMod val="100000"/>
                                        <a:lumOff val="0"/>
                                      </a:schemeClr>
                                    </a:solidFill>
                                    <a:ln w="6350">
                                      <a:solidFill>
                                        <a:srgbClr val="000000"/>
                                      </a:solidFill>
                                      <a:miter lim="800000"/>
                                      <a:headEnd/>
                                      <a:tailEnd/>
                                    </a:ln>
                                  </wps:spPr>
                                  <wps:txbx>
                                    <w:txbxContent>
                                      <w:p w:rsidR="004C50AA" w:rsidRPr="00F24B9C" w:rsidRDefault="004C50AA" w:rsidP="005822EC">
                                        <w:pPr>
                                          <w:rPr>
                                            <w:lang w:val="en-US"/>
                                          </w:rPr>
                                        </w:pPr>
                                        <w:r>
                                          <w:t xml:space="preserve">Основные мотивы </w:t>
                                        </w:r>
                                        <w:r>
                                          <w:rPr>
                                            <w:lang w:val="en-US"/>
                                          </w:rPr>
                                          <w:t>M&amp;A</w:t>
                                        </w:r>
                                      </w:p>
                                    </w:txbxContent>
                                  </wps:txbx>
                                  <wps:bodyPr rot="0" vert="horz" wrap="square" lIns="91440" tIns="45720" rIns="91440" bIns="45720" anchor="t" anchorCtr="0" upright="1">
                                    <a:noAutofit/>
                                  </wps:bodyPr>
                                </wps:wsp>
                                <wps:wsp>
                                  <wps:cNvPr id="45" name="Прямая со стрелкой 16"/>
                                  <wps:cNvCnPr>
                                    <a:cxnSpLocks noChangeShapeType="1"/>
                                  </wps:cNvCnPr>
                                  <wps:spPr bwMode="auto">
                                    <a:xfrm flipH="1">
                                      <a:off x="744" y="3508"/>
                                      <a:ext cx="1163" cy="170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 name="Прямая со стрелкой 17"/>
                                  <wps:cNvCnPr>
                                    <a:cxnSpLocks noChangeShapeType="1"/>
                                  </wps:cNvCnPr>
                                  <wps:spPr bwMode="auto">
                                    <a:xfrm>
                                      <a:off x="14247" y="3508"/>
                                      <a:ext cx="1276" cy="170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cNvPr id="47" name="Группа 43"/>
                              <wpg:cNvGrpSpPr>
                                <a:grpSpLocks/>
                              </wpg:cNvGrpSpPr>
                              <wpg:grpSpPr bwMode="auto">
                                <a:xfrm>
                                  <a:off x="16374" y="8612"/>
                                  <a:ext cx="23710" cy="8081"/>
                                  <a:chOff x="0" y="0"/>
                                  <a:chExt cx="23710" cy="8080"/>
                                </a:xfrm>
                              </wpg:grpSpPr>
                              <wps:wsp>
                                <wps:cNvPr id="48" name="Поле 18"/>
                                <wps:cNvSpPr txBox="1">
                                  <a:spLocks noChangeArrowheads="1"/>
                                </wps:cNvSpPr>
                                <wps:spPr bwMode="auto">
                                  <a:xfrm>
                                    <a:off x="4359" y="1594"/>
                                    <a:ext cx="19351" cy="2659"/>
                                  </a:xfrm>
                                  <a:prstGeom prst="rect">
                                    <a:avLst/>
                                  </a:prstGeom>
                                  <a:solidFill>
                                    <a:schemeClr val="lt1">
                                      <a:lumMod val="100000"/>
                                      <a:lumOff val="0"/>
                                    </a:schemeClr>
                                  </a:solidFill>
                                  <a:ln w="6350">
                                    <a:solidFill>
                                      <a:srgbClr val="000000"/>
                                    </a:solidFill>
                                    <a:miter lim="800000"/>
                                    <a:headEnd/>
                                    <a:tailEnd/>
                                  </a:ln>
                                </wps:spPr>
                                <wps:txbx>
                                  <w:txbxContent>
                                    <w:p w:rsidR="004C50AA" w:rsidRDefault="004C50AA" w:rsidP="005822EC">
                                      <w:pPr>
                                        <w:jc w:val="center"/>
                                      </w:pPr>
                                      <w:r>
                                        <w:t>Личная выгода менедж</w:t>
                                      </w:r>
                                      <w:r>
                                        <w:t>е</w:t>
                                      </w:r>
                                      <w:r>
                                        <w:t>ров</w:t>
                                      </w:r>
                                    </w:p>
                                  </w:txbxContent>
                                </wps:txbx>
                                <wps:bodyPr rot="0" vert="horz" wrap="square" lIns="91440" tIns="45720" rIns="91440" bIns="45720" anchor="t" anchorCtr="0" upright="1">
                                  <a:noAutofit/>
                                </wps:bodyPr>
                              </wps:wsp>
                              <wps:wsp>
                                <wps:cNvPr id="49" name="Поле 19"/>
                                <wps:cNvSpPr txBox="1">
                                  <a:spLocks noChangeArrowheads="1"/>
                                </wps:cNvSpPr>
                                <wps:spPr bwMode="auto">
                                  <a:xfrm>
                                    <a:off x="4359" y="5528"/>
                                    <a:ext cx="19348" cy="2552"/>
                                  </a:xfrm>
                                  <a:prstGeom prst="rect">
                                    <a:avLst/>
                                  </a:prstGeom>
                                  <a:solidFill>
                                    <a:schemeClr val="lt1">
                                      <a:lumMod val="100000"/>
                                      <a:lumOff val="0"/>
                                    </a:schemeClr>
                                  </a:solidFill>
                                  <a:ln w="6350">
                                    <a:solidFill>
                                      <a:srgbClr val="000000"/>
                                    </a:solidFill>
                                    <a:miter lim="800000"/>
                                    <a:headEnd/>
                                    <a:tailEnd/>
                                  </a:ln>
                                </wps:spPr>
                                <wps:txbx>
                                  <w:txbxContent>
                                    <w:p w:rsidR="004C50AA" w:rsidRDefault="004C50AA" w:rsidP="005822EC">
                                      <w:r>
                                        <w:t>Спекулятивные</w:t>
                                      </w:r>
                                    </w:p>
                                  </w:txbxContent>
                                </wps:txbx>
                                <wps:bodyPr rot="0" vert="horz" wrap="square" lIns="91440" tIns="45720" rIns="91440" bIns="45720" anchor="t" anchorCtr="0" upright="1">
                                  <a:noAutofit/>
                                </wps:bodyPr>
                              </wps:wsp>
                              <wps:wsp>
                                <wps:cNvPr id="50" name="Прямая соединительная линия 20"/>
                                <wps:cNvCnPr/>
                                <wps:spPr bwMode="auto">
                                  <a:xfrm>
                                    <a:off x="0" y="0"/>
                                    <a:ext cx="0" cy="6916"/>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1" name="Прямая со стрелкой 21"/>
                                <wps:cNvCnPr>
                                  <a:cxnSpLocks noChangeShapeType="1"/>
                                </wps:cNvCnPr>
                                <wps:spPr bwMode="auto">
                                  <a:xfrm>
                                    <a:off x="0" y="6911"/>
                                    <a:ext cx="4359"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 name="Прямая со стрелкой 32"/>
                                <wps:cNvCnPr>
                                  <a:cxnSpLocks noChangeShapeType="1"/>
                                </wps:cNvCnPr>
                                <wps:spPr bwMode="auto">
                                  <a:xfrm>
                                    <a:off x="0" y="3083"/>
                                    <a:ext cx="4359"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cNvPr id="53" name="Группа 46"/>
                            <wpg:cNvGrpSpPr>
                              <a:grpSpLocks/>
                            </wpg:cNvGrpSpPr>
                            <wpg:grpSpPr bwMode="auto">
                              <a:xfrm>
                                <a:off x="0" y="5209"/>
                                <a:ext cx="21049" cy="11478"/>
                                <a:chOff x="0" y="0"/>
                                <a:chExt cx="21049" cy="11477"/>
                              </a:xfrm>
                            </wpg:grpSpPr>
                            <wps:wsp>
                              <wps:cNvPr id="54" name="Поле 13"/>
                              <wps:cNvSpPr txBox="1">
                                <a:spLocks noChangeArrowheads="1"/>
                              </wps:cNvSpPr>
                              <wps:spPr bwMode="auto">
                                <a:xfrm>
                                  <a:off x="0" y="0"/>
                                  <a:ext cx="14135" cy="3397"/>
                                </a:xfrm>
                                <a:prstGeom prst="rect">
                                  <a:avLst/>
                                </a:prstGeom>
                                <a:solidFill>
                                  <a:schemeClr val="lt1">
                                    <a:lumMod val="100000"/>
                                    <a:lumOff val="0"/>
                                  </a:schemeClr>
                                </a:solidFill>
                                <a:ln w="6350">
                                  <a:solidFill>
                                    <a:srgbClr val="000000"/>
                                  </a:solidFill>
                                  <a:miter lim="800000"/>
                                  <a:headEnd/>
                                  <a:tailEnd/>
                                </a:ln>
                              </wps:spPr>
                              <wps:txbx>
                                <w:txbxContent>
                                  <w:p w:rsidR="004C50AA" w:rsidRPr="00F24B9C" w:rsidRDefault="004C50AA" w:rsidP="005822EC">
                                    <w:pPr>
                                      <w:jc w:val="center"/>
                                    </w:pPr>
                                    <w:r>
                                      <w:t>Объективные</w:t>
                                    </w:r>
                                  </w:p>
                                </w:txbxContent>
                              </wps:txbx>
                              <wps:bodyPr rot="0" vert="horz" wrap="square" lIns="91440" tIns="45720" rIns="91440" bIns="45720" anchor="t" anchorCtr="0" upright="1">
                                <a:noAutofit/>
                              </wps:bodyPr>
                            </wps:wsp>
                            <wps:wsp>
                              <wps:cNvPr id="55" name="Поле 34"/>
                              <wps:cNvSpPr txBox="1">
                                <a:spLocks noChangeArrowheads="1"/>
                              </wps:cNvSpPr>
                              <wps:spPr bwMode="auto">
                                <a:xfrm>
                                  <a:off x="7974" y="5847"/>
                                  <a:ext cx="13075" cy="5630"/>
                                </a:xfrm>
                                <a:prstGeom prst="rect">
                                  <a:avLst/>
                                </a:prstGeom>
                                <a:solidFill>
                                  <a:schemeClr val="lt1">
                                    <a:lumMod val="100000"/>
                                    <a:lumOff val="0"/>
                                  </a:schemeClr>
                                </a:solidFill>
                                <a:ln w="6350">
                                  <a:solidFill>
                                    <a:srgbClr val="000000"/>
                                  </a:solidFill>
                                  <a:miter lim="800000"/>
                                  <a:headEnd/>
                                  <a:tailEnd/>
                                </a:ln>
                              </wps:spPr>
                              <wps:txbx>
                                <w:txbxContent>
                                  <w:p w:rsidR="004C50AA" w:rsidRDefault="004C50AA" w:rsidP="005822EC">
                                    <w:pPr>
                                      <w:contextualSpacing/>
                                    </w:pPr>
                                  </w:p>
                                  <w:p w:rsidR="004C50AA" w:rsidRDefault="004C50AA" w:rsidP="005822EC">
                                    <w:pPr>
                                      <w:contextualSpacing/>
                                      <w:jc w:val="center"/>
                                    </w:pPr>
                                    <w:r>
                                      <w:t>Защитные мот</w:t>
                                    </w:r>
                                    <w:r>
                                      <w:t>и</w:t>
                                    </w:r>
                                    <w:r>
                                      <w:t>вы</w:t>
                                    </w:r>
                                  </w:p>
                                </w:txbxContent>
                              </wps:txbx>
                              <wps:bodyPr rot="0" vert="horz" wrap="square" lIns="91440" tIns="45720" rIns="91440" bIns="45720" anchor="t" anchorCtr="0" upright="1">
                                <a:noAutofit/>
                              </wps:bodyPr>
                            </wps:wsp>
                            <wps:wsp>
                              <wps:cNvPr id="56" name="Прямая со стрелкой 35"/>
                              <wps:cNvCnPr>
                                <a:cxnSpLocks noChangeShapeType="1"/>
                              </wps:cNvCnPr>
                              <wps:spPr bwMode="auto">
                                <a:xfrm flipH="1">
                                  <a:off x="956" y="3402"/>
                                  <a:ext cx="1808" cy="244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7" name="Прямая со стрелкой 36"/>
                              <wps:cNvCnPr>
                                <a:cxnSpLocks noChangeShapeType="1"/>
                              </wps:cNvCnPr>
                              <wps:spPr bwMode="auto">
                                <a:xfrm>
                                  <a:off x="10419" y="3402"/>
                                  <a:ext cx="1808" cy="244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s:wsp>
                          <wps:cNvPr id="58" name="Прямая соединительная линия 39"/>
                          <wps:cNvCnPr/>
                          <wps:spPr bwMode="auto">
                            <a:xfrm>
                              <a:off x="11376" y="16693"/>
                              <a:ext cx="0" cy="1297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9" name="Прямая со стрелкой 40"/>
                          <wps:cNvCnPr>
                            <a:cxnSpLocks noChangeShapeType="1"/>
                          </wps:cNvCnPr>
                          <wps:spPr bwMode="auto">
                            <a:xfrm flipH="1">
                              <a:off x="9356" y="29664"/>
                              <a:ext cx="2024"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0" name="Прямая со стрелкой 41"/>
                          <wps:cNvCnPr>
                            <a:cxnSpLocks noChangeShapeType="1"/>
                          </wps:cNvCnPr>
                          <wps:spPr bwMode="auto">
                            <a:xfrm flipH="1">
                              <a:off x="9356" y="21371"/>
                              <a:ext cx="2024"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49" o:spid="_x0000_s1069" style="position:absolute;margin-left:-26.5pt;margin-top:233pt;width:496.45pt;height:260.35pt;z-index:251665408" coordsize="63051,3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">
                <v:shape id="Поле 37" o:spid="_x0000_s1070" type="#_x0000_t202" style="position:absolute;top:19032;width:12652;height:5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4C50AA" w:rsidRDefault="004C50AA" w:rsidP="005822EC">
                        <w:r>
                          <w:t>Внутрифирме</w:t>
                        </w:r>
                        <w:r>
                          <w:t>н</w:t>
                        </w:r>
                        <w:r>
                          <w:t>ные</w:t>
                        </w:r>
                      </w:p>
                    </w:txbxContent>
                  </v:textbox>
                </v:shape>
                <v:shape id="Поле 38" o:spid="_x0000_s1071" type="#_x0000_t202" style="position:absolute;top:26049;width:12649;height:7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4C50AA" w:rsidRDefault="004C50AA" w:rsidP="005822EC">
                        <w:proofErr w:type="gramStart"/>
                        <w:r>
                          <w:t>Внешние</w:t>
                        </w:r>
                        <w:proofErr w:type="gramEnd"/>
                        <w:r>
                          <w:t xml:space="preserve"> по о</w:t>
                        </w:r>
                        <w:r>
                          <w:t>т</w:t>
                        </w:r>
                        <w:r>
                          <w:t>ношению к фирме</w:t>
                        </w:r>
                      </w:p>
                    </w:txbxContent>
                  </v:textbox>
                </v:shape>
                <v:group id="Группа 48" o:spid="_x0000_s1072" style="position:absolute;left:3296;width:59755;height:29670" coordsize="59754,29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Поле 33" o:spid="_x0000_s1073" type="#_x0000_t202" style="position:absolute;top:11057;width:13078;height:5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4C50AA" w:rsidRDefault="004C50AA" w:rsidP="005822EC">
                          <w:pPr>
                            <w:jc w:val="center"/>
                          </w:pPr>
                          <w:r>
                            <w:t>Синергетич</w:t>
                          </w:r>
                          <w:r>
                            <w:t>е</w:t>
                          </w:r>
                          <w:r>
                            <w:t>ский эффект</w:t>
                          </w:r>
                        </w:p>
                      </w:txbxContent>
                    </v:textbox>
                  </v:shape>
                  <v:group id="Группа 47" o:spid="_x0000_s1074" style="position:absolute;left:7442;width:52312;height:16693" coordsize="52312,16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Группа 45" o:spid="_x0000_s1075" style="position:absolute;left:12227;width:40085;height:16693" coordsize="40084,16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Группа 44" o:spid="_x0000_s1076" style="position:absolute;width:28382;height:8607" coordsize="28382,8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Поле 15" o:spid="_x0000_s1077" type="#_x0000_t202" style="position:absolute;left:14247;top:5209;width:14135;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4C50AA" w:rsidRDefault="004C50AA" w:rsidP="005822EC">
                                <w:pPr>
                                  <w:jc w:val="center"/>
                                </w:pPr>
                                <w:r>
                                  <w:t>Субъективные</w:t>
                                </w:r>
                              </w:p>
                            </w:txbxContent>
                          </v:textbox>
                        </v:shape>
                        <v:group id="Группа 42" o:spid="_x0000_s1078" style="position:absolute;width:16374;height:5213" coordsize="16374,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Поле 12" o:spid="_x0000_s1079" type="#_x0000_t202" style="position:absolute;width:16374;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4C50AA" w:rsidRPr="00F24B9C" w:rsidRDefault="004C50AA" w:rsidP="005822EC">
                                  <w:pPr>
                                    <w:rPr>
                                      <w:lang w:val="en-US"/>
                                    </w:rPr>
                                  </w:pPr>
                                  <w:r>
                                    <w:t xml:space="preserve">Основные мотивы </w:t>
                                  </w:r>
                                  <w:r>
                                    <w:rPr>
                                      <w:lang w:val="en-US"/>
                                    </w:rPr>
                                    <w:t>M&amp;A</w:t>
                                  </w:r>
                                </w:p>
                              </w:txbxContent>
                            </v:textbox>
                          </v:shape>
                          <v:shape id="Прямая со стрелкой 16" o:spid="_x0000_s1080" type="#_x0000_t32" style="position:absolute;left:744;top:3508;width:1163;height:1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0cYAAADbAAAADwAAAGRycy9kb3ducmV2LnhtbESP3WoCMRSE7wu+QzhC72rW3y2rUaRF&#10;2qJQ1CJ4d9gcN0s3J+sm6vbtm4LQy2FmvmFmi9ZW4kqNLx0r6PcSEMS50yUXCr72q6dnED4ga6wc&#10;k4If8rCYdx5mmGl34y1dd6EQEcI+QwUmhDqT0ueGLPqeq4mjd3KNxRBlU0jd4C3CbSUHSTKRFkuO&#10;CwZrejGUf+8uVsHrx2GUntvz5/DtaDY5DdPjYLlW6rHbLqcgArXhP3xvv2sFozH8fY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8fdHGAAAA2wAAAA8AAAAAAAAA&#10;AAAAAAAAoQIAAGRycy9kb3ducmV2LnhtbFBLBQYAAAAABAAEAPkAAACUAwAAAAA=&#10;" strokecolor="black [3040]">
                            <v:stroke endarrow="open"/>
                          </v:shape>
                          <v:shape id="Прямая со стрелкой 17" o:spid="_x0000_s1081" type="#_x0000_t32" style="position:absolute;left:14247;top:3508;width:1276;height:17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iQMIAAADbAAAADwAAAGRycy9kb3ducmV2LnhtbESPzarCMBSE94LvEI5wd5oql6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JiQMIAAADbAAAADwAAAAAAAAAAAAAA&#10;AAChAgAAZHJzL2Rvd25yZXYueG1sUEsFBgAAAAAEAAQA+QAAAJADAAAAAA==&#10;" strokecolor="black [3040]">
                            <v:stroke endarrow="open"/>
                          </v:shape>
                        </v:group>
                      </v:group>
                      <v:group id="Группа 43" o:spid="_x0000_s1082" style="position:absolute;left:16374;top:8612;width:23710;height:8081" coordsize="23710,8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Поле 18" o:spid="_x0000_s1083" type="#_x0000_t202" style="position:absolute;left:4359;top:1594;width:19351;height:2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4C50AA" w:rsidRDefault="004C50AA" w:rsidP="005822EC">
                                <w:pPr>
                                  <w:jc w:val="center"/>
                                </w:pPr>
                                <w:r>
                                  <w:t>Личная выгода менедж</w:t>
                                </w:r>
                                <w:r>
                                  <w:t>е</w:t>
                                </w:r>
                                <w:r>
                                  <w:t>ров</w:t>
                                </w:r>
                              </w:p>
                            </w:txbxContent>
                          </v:textbox>
                        </v:shape>
                        <v:shape id="Поле 19" o:spid="_x0000_s1084" type="#_x0000_t202" style="position:absolute;left:4359;top:5528;width:19348;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4C50AA" w:rsidRDefault="004C50AA" w:rsidP="005822EC">
                                <w:r>
                                  <w:t>Спекулятивные</w:t>
                                </w:r>
                              </w:p>
                            </w:txbxContent>
                          </v:textbox>
                        </v:shape>
                        <v:line id="Прямая соединительная линия 20" o:spid="_x0000_s1085" style="position:absolute;visibility:visible;mso-wrap-style:square" from="0,0" to="0,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shape id="Прямая со стрелкой 21" o:spid="_x0000_s1086" type="#_x0000_t32" style="position:absolute;top:6911;width:4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s6cMAAADbAAAADwAAAGRycy9kb3ducmV2LnhtbESPT4vCMBTE7wt+h/CEva2pwop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bOnDAAAA2wAAAA8AAAAAAAAAAAAA&#10;AAAAoQIAAGRycy9kb3ducmV2LnhtbFBLBQYAAAAABAAEAPkAAACRAwAAAAA=&#10;" strokecolor="black [3040]">
                          <v:stroke endarrow="open"/>
                        </v:shape>
                        <v:shape id="Прямая со стрелкой 32" o:spid="_x0000_s1087" type="#_x0000_t32" style="position:absolute;top:3083;width:4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DynsMAAADbAAAADwAAAGRycy9kb3ducmV2LnhtbESPQYvCMBSE7wv+h/AEb2uqoG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A8p7DAAAA2wAAAA8AAAAAAAAAAAAA&#10;AAAAoQIAAGRycy9kb3ducmV2LnhtbFBLBQYAAAAABAAEAPkAAACRAwAAAAA=&#10;" strokecolor="black [3040]">
                          <v:stroke endarrow="open"/>
                        </v:shape>
                      </v:group>
                    </v:group>
                    <v:group id="Группа 46" o:spid="_x0000_s1088" style="position:absolute;top:5209;width:21049;height:11478" coordsize="21049,11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Поле 13" o:spid="_x0000_s1089" type="#_x0000_t202" style="position:absolute;width:14135;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UocIA&#10;AADbAAAADwAAAGRycy9kb3ducmV2LnhtbESPQUsDMRSE74L/ITzBm80qr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tShwgAAANsAAAAPAAAAAAAAAAAAAAAAAJgCAABkcnMvZG93&#10;bnJldi54bWxQSwUGAAAAAAQABAD1AAAAhwMAAAAA&#10;" fillcolor="white [3201]" strokeweight=".5pt">
                        <v:textbox>
                          <w:txbxContent>
                            <w:p w:rsidR="004C50AA" w:rsidRPr="00F24B9C" w:rsidRDefault="004C50AA" w:rsidP="005822EC">
                              <w:pPr>
                                <w:jc w:val="center"/>
                              </w:pPr>
                              <w:r>
                                <w:t>Объективные</w:t>
                              </w:r>
                            </w:p>
                          </w:txbxContent>
                        </v:textbox>
                      </v:shape>
                      <v:shape id="Поле 34" o:spid="_x0000_s1090" type="#_x0000_t202" style="position:absolute;left:7974;top:5847;width:13075;height:5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4C50AA" w:rsidRDefault="004C50AA" w:rsidP="005822EC">
                              <w:pPr>
                                <w:contextualSpacing/>
                              </w:pPr>
                            </w:p>
                            <w:p w:rsidR="004C50AA" w:rsidRDefault="004C50AA" w:rsidP="005822EC">
                              <w:pPr>
                                <w:contextualSpacing/>
                                <w:jc w:val="center"/>
                              </w:pPr>
                              <w:r>
                                <w:t>Защитные мот</w:t>
                              </w:r>
                              <w:r>
                                <w:t>и</w:t>
                              </w:r>
                              <w:r>
                                <w:t>вы</w:t>
                              </w:r>
                            </w:p>
                          </w:txbxContent>
                        </v:textbox>
                      </v:shape>
                      <v:shape id="Прямая со стрелкой 35" o:spid="_x0000_s1091" type="#_x0000_t32" style="position:absolute;left:956;top:3402;width:1808;height:2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d1e8YAAADbAAAADwAAAGRycy9kb3ducmV2LnhtbESPQWsCMRSE70L/Q3iF3jRbtW7ZGkUs&#10;osVCUUvB22PzulncvKybqOu/N0Khx2FmvmHG09ZW4kyNLx0reO4lIIhzp0suFHzvFt1XED4ga6wc&#10;k4IreZhOHjpjzLS78IbO21CICGGfoQITQp1J6XNDFn3P1cTR+3WNxRBlU0jd4CXCbSX7STKSFkuO&#10;CwZrmhvKD9uTVfD+8TNMj+3xa7Dcm8+cBum+P1sr9fTYzt5ABGrDf/ivvdIKXkZw/xJ/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3dXvGAAAA2wAAAA8AAAAAAAAA&#10;AAAAAAAAoQIAAGRycy9kb3ducmV2LnhtbFBLBQYAAAAABAAEAPkAAACUAwAAAAA=&#10;" strokecolor="black [3040]">
                        <v:stroke endarrow="open"/>
                      </v:shape>
                      <v:shape id="Прямая со стрелкой 36" o:spid="_x0000_s1092" type="#_x0000_t32" style="position:absolute;left:10419;top:3402;width:1808;height:24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RBsQAAADbAAAADwAAAGRycy9kb3ducmV2LnhtbESPS4vCQBCE74L/YWhhb2bigo/NZhQR&#10;Ah7Wgy/22mR6k2CmJ5sZY/z3jiB4LKrqKypd9aYWHbWusqxgEsUgiHOrKy4UnI7ZeAHCeWSNtWVS&#10;cCcHq+VwkGKi7Y331B18IQKEXYIKSu+bREqXl2TQRbYhDt6fbQ36INtC6hZvAW5q+RnHM2mw4rBQ&#10;YkObkvLL4WoUxG6W/W+Ol113Kvz+51dm2/vXWamPUb/+BuGp9+/wq73VCqZz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1EGxAAAANsAAAAPAAAAAAAAAAAA&#10;AAAAAKECAABkcnMvZG93bnJldi54bWxQSwUGAAAAAAQABAD5AAAAkgMAAAAA&#10;" strokecolor="black [3040]">
                        <v:stroke endarrow="open"/>
                      </v:shape>
                    </v:group>
                  </v:group>
                  <v:line id="Прямая соединительная линия 39" o:spid="_x0000_s1093" style="position:absolute;visibility:visible;mso-wrap-style:square" from="11376,16693" to="11376,2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4usIAAADbAAAADwAAAGRycy9kb3ducmV2LnhtbESPwW7CMAyG70h7h8iTuEHKEIgVApqm&#10;oU3bCRh3qzFtReOUJED29vNh0o7W7/+zv9Umu07dKMTWs4HJuABFXHnbcm3g+7AdLUDFhGyx80wG&#10;fijCZv0wWGFp/Z13dNunWgmEY4kGmpT6UutYNeQwjn1PLNnJB4dJxlBrG/AucNfpp6KYa4cty4UG&#10;e3ptqDrvr04ok+PF6ffzMx4/w1d4m87zLF+MGT7mlyWoRDn9L/+1P6yBmTwr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g4usIAAADbAAAADwAAAAAAAAAAAAAA&#10;AAChAgAAZHJzL2Rvd25yZXYueG1sUEsFBgAAAAAEAAQA+QAAAJADAAAAAA==&#10;" strokecolor="black [3040]"/>
                  <v:shape id="Прямая со стрелкой 40" o:spid="_x0000_s1094" type="#_x0000_t32" style="position:absolute;left:9356;top:29664;width:20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jhCcYAAADbAAAADwAAAGRycy9kb3ducmV2LnhtbESP3WoCMRSE7wXfIRzBO81Wa9WtUaQi&#10;rbQg/lDw7rA53SzdnKybVNe3bwpCL4eZ+YaZLRpbigvVvnCs4KGfgCDOnC44V3A8rHsTED4gaywd&#10;k4IbeVjM260ZptpdeUeXfchFhLBPUYEJoUql9Jkhi77vKuLofbnaYoiyzqWu8RrhtpSDJHmSFguO&#10;CwYrejGUfe9/rILV5vNxfG7O2+HryXxkNByfBst3pbqdZvkMIlAT/sP39ptWMJrC35f4A+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o4QnGAAAA2wAAAA8AAAAAAAAA&#10;AAAAAAAAoQIAAGRycy9kb3ducmV2LnhtbFBLBQYAAAAABAAEAPkAAACUAwAAAAA=&#10;" strokecolor="black [3040]">
                    <v:stroke endarrow="open"/>
                  </v:shape>
                  <v:shape id="Прямая со стрелкой 41" o:spid="_x0000_s1095" type="#_x0000_t32" style="position:absolute;left:9356;top:21371;width:20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6CKcMAAADbAAAADwAAAGRycy9kb3ducmV2LnhtbERPXWvCMBR9H/gfwhX2tqbq0NE1FXGM&#10;bUyQqQx8uzTXptjc1CbT+u/Nw8DHw/nO571txJk6XztWMEpSEMSl0zVXCnbb96cXED4ga2wck4Ir&#10;eZgXg4ccM+0u/EPnTahEDGGfoQITQptJ6UtDFn3iWuLIHVxnMUTYVVJ3eInhtpHjNJ1KizXHBoMt&#10;LQ2Vx82fVfD29fs8O/Wn9eRjb1YlTWb78eJbqcdhv3gFEagPd/G/+1MrmMb18Uv8AbK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ginDAAAA2wAAAA8AAAAAAAAAAAAA&#10;AAAAoQIAAGRycy9kb3ducmV2LnhtbFBLBQYAAAAABAAEAPkAAACRAwAAAAA=&#10;" strokecolor="black [3040]">
                    <v:stroke endarrow="open"/>
                  </v:shape>
                </v:group>
                <w10:wrap type="topAndBottom"/>
              </v:group>
            </w:pict>
          </mc:Fallback>
        </mc:AlternateContent>
      </w:r>
      <w:r w:rsidR="004E2F8C">
        <w:br w:type="page"/>
      </w:r>
    </w:p>
    <w:p w:rsidR="004E2F8C" w:rsidRDefault="004E2F8C" w:rsidP="004014F2">
      <w:pPr>
        <w:pStyle w:val="2"/>
        <w:rPr>
          <w:rFonts w:ascii="Times New Roman" w:hAnsi="Times New Roman" w:cs="Times New Roman"/>
          <w:color w:val="auto"/>
          <w:sz w:val="28"/>
          <w:szCs w:val="28"/>
        </w:rPr>
      </w:pPr>
      <w:bookmarkStart w:id="80" w:name="_Toc513092340"/>
      <w:r w:rsidRPr="00C32947">
        <w:rPr>
          <w:rFonts w:ascii="Times New Roman" w:hAnsi="Times New Roman" w:cs="Times New Roman"/>
          <w:color w:val="auto"/>
          <w:sz w:val="28"/>
          <w:szCs w:val="28"/>
        </w:rPr>
        <w:lastRenderedPageBreak/>
        <w:t xml:space="preserve">Приложение </w:t>
      </w:r>
      <w:r w:rsidR="00D22E5F" w:rsidRPr="00C32947">
        <w:rPr>
          <w:rFonts w:ascii="Times New Roman" w:hAnsi="Times New Roman" w:cs="Times New Roman"/>
          <w:color w:val="auto"/>
          <w:sz w:val="28"/>
          <w:szCs w:val="28"/>
        </w:rPr>
        <w:t>2</w:t>
      </w:r>
      <w:r w:rsidRPr="00C32947">
        <w:rPr>
          <w:rFonts w:ascii="Times New Roman" w:hAnsi="Times New Roman" w:cs="Times New Roman"/>
          <w:color w:val="auto"/>
          <w:sz w:val="28"/>
          <w:szCs w:val="28"/>
        </w:rPr>
        <w:t>.</w:t>
      </w:r>
      <w:bookmarkEnd w:id="80"/>
      <w:r w:rsidRPr="00C32947">
        <w:rPr>
          <w:rFonts w:ascii="Times New Roman" w:hAnsi="Times New Roman" w:cs="Times New Roman"/>
          <w:color w:val="auto"/>
          <w:sz w:val="28"/>
          <w:szCs w:val="28"/>
        </w:rPr>
        <w:t xml:space="preserve"> </w:t>
      </w:r>
    </w:p>
    <w:p w:rsidR="00C32947" w:rsidRPr="00C32947" w:rsidRDefault="00C32947" w:rsidP="00C32947"/>
    <w:p w:rsidR="004E2F8C" w:rsidRDefault="004E2F8C" w:rsidP="004E2F8C">
      <w:r>
        <w:rPr>
          <w:noProof/>
        </w:rPr>
        <w:drawing>
          <wp:inline distT="0" distB="0" distL="0" distR="0" wp14:anchorId="71328C0F" wp14:editId="3B341A9A">
            <wp:extent cx="5978769" cy="2497016"/>
            <wp:effectExtent l="0" t="0" r="22225" b="17780"/>
            <wp:docPr id="84" name="Диаграмма 84" descr="Mergers &amp; Acquisitions in the US from 2000 to 2015 by Value and Industry"/>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E2F8C" w:rsidRDefault="004E2F8C" w:rsidP="004E2F8C">
      <w:r>
        <w:rPr>
          <w:noProof/>
        </w:rPr>
        <w:drawing>
          <wp:inline distT="0" distB="0" distL="0" distR="0" wp14:anchorId="58ED6939" wp14:editId="26EAA366">
            <wp:extent cx="5978769" cy="2520461"/>
            <wp:effectExtent l="0" t="0" r="22225" b="13335"/>
            <wp:docPr id="85" name="Диаграмма 85" descr="Mergers &amp; Acquisitions in the US from 2000 to 2015 by Numbers and Industry"/>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A4D43" w:rsidRPr="004E2F8C" w:rsidRDefault="004E2F8C" w:rsidP="004E2F8C">
      <w:pPr>
        <w:jc w:val="center"/>
      </w:pPr>
      <w:r>
        <w:t>Диаграмм</w:t>
      </w:r>
      <w:r w:rsidR="00651C0D">
        <w:t>ы</w:t>
      </w:r>
      <w:r w:rsidRPr="004E2F8C">
        <w:t xml:space="preserve">. </w:t>
      </w:r>
      <w:r>
        <w:t>Сделки слияния и поглощения по секторам США. 2017г.</w:t>
      </w:r>
      <w:r w:rsidR="004A4D43">
        <w:br/>
      </w:r>
    </w:p>
    <w:p w:rsidR="00F35603" w:rsidRDefault="00C32947" w:rsidP="00C32947">
      <w:pPr>
        <w:spacing w:after="200" w:line="276" w:lineRule="auto"/>
      </w:pPr>
      <w:r>
        <w:br w:type="page"/>
      </w:r>
    </w:p>
    <w:p w:rsidR="004E2F8C" w:rsidRPr="00F35603" w:rsidRDefault="002A6BD9" w:rsidP="00F35603">
      <w:pPr>
        <w:pStyle w:val="1"/>
        <w:rPr>
          <w:rFonts w:ascii="Times New Roman" w:hAnsi="Times New Roman" w:cs="Times New Roman"/>
          <w:color w:val="auto"/>
        </w:rPr>
      </w:pPr>
      <w:bookmarkStart w:id="81" w:name="_Toc513092341"/>
      <w:r w:rsidRPr="00F35603">
        <w:rPr>
          <w:rFonts w:ascii="Times New Roman" w:hAnsi="Times New Roman" w:cs="Times New Roman"/>
          <w:color w:val="auto"/>
        </w:rPr>
        <w:lastRenderedPageBreak/>
        <w:t>Приложение 3.</w:t>
      </w:r>
      <w:bookmarkEnd w:id="81"/>
    </w:p>
    <w:p w:rsidR="00F35603" w:rsidRDefault="00F35603" w:rsidP="00102137">
      <w:pPr>
        <w:outlineLvl w:val="1"/>
        <w:rPr>
          <w:b/>
        </w:rPr>
      </w:pPr>
    </w:p>
    <w:p w:rsidR="002A6BD9" w:rsidRDefault="002A6BD9" w:rsidP="002054EC">
      <w:pPr>
        <w:spacing w:line="360" w:lineRule="auto"/>
        <w:contextualSpacing/>
        <w:jc w:val="both"/>
        <w:rPr>
          <w:shd w:val="clear" w:color="auto" w:fill="FFFFFF"/>
        </w:rPr>
      </w:pPr>
      <w:r>
        <w:rPr>
          <w:noProof/>
        </w:rPr>
        <w:drawing>
          <wp:inline distT="0" distB="0" distL="0" distR="0" wp14:anchorId="419BD882" wp14:editId="12CDBF6F">
            <wp:extent cx="6081823" cy="1967023"/>
            <wp:effectExtent l="0" t="0" r="1460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A6BD9" w:rsidRDefault="002A6BD9" w:rsidP="002A6BD9">
      <w:pPr>
        <w:spacing w:line="360" w:lineRule="auto"/>
        <w:ind w:left="-426" w:firstLine="709"/>
        <w:contextualSpacing/>
        <w:jc w:val="center"/>
        <w:rPr>
          <w:color w:val="282828"/>
          <w:shd w:val="clear" w:color="auto" w:fill="FFFFFF"/>
        </w:rPr>
      </w:pPr>
      <w:r>
        <w:t>Рисунок</w:t>
      </w:r>
      <w:r w:rsidR="00DD2BE3">
        <w:t>.</w:t>
      </w:r>
      <w:r w:rsidRPr="004A4F43">
        <w:t xml:space="preserve"> </w:t>
      </w:r>
      <w:r>
        <w:rPr>
          <w:color w:val="282828"/>
          <w:shd w:val="clear" w:color="auto" w:fill="FFFFFF"/>
        </w:rPr>
        <w:t xml:space="preserve">Волны слияний и поглощений в России в 1993-2017 гг. </w:t>
      </w:r>
    </w:p>
    <w:p w:rsidR="002A6BD9" w:rsidRPr="002A6BD9" w:rsidRDefault="002A6BD9" w:rsidP="002A6BD9">
      <w:pPr>
        <w:spacing w:line="360" w:lineRule="auto"/>
        <w:contextualSpacing/>
        <w:jc w:val="center"/>
      </w:pPr>
      <w:r w:rsidRPr="004A4F43">
        <w:t>Источник</w:t>
      </w:r>
      <w:r w:rsidRPr="000B64F0">
        <w:t xml:space="preserve">: </w:t>
      </w:r>
      <w:r>
        <w:t xml:space="preserve">Рассчитано на основе данных </w:t>
      </w:r>
      <w:proofErr w:type="spellStart"/>
      <w:r>
        <w:rPr>
          <w:lang w:val="en-US"/>
        </w:rPr>
        <w:t>imaa</w:t>
      </w:r>
      <w:proofErr w:type="spellEnd"/>
      <w:r w:rsidRPr="000B64F0">
        <w:t xml:space="preserve"> </w:t>
      </w:r>
      <w:r>
        <w:rPr>
          <w:lang w:val="en-US"/>
        </w:rPr>
        <w:t>statistics</w:t>
      </w:r>
    </w:p>
    <w:p w:rsidR="002A6BD9" w:rsidRDefault="002A6BD9" w:rsidP="002A6BD9">
      <w:pPr>
        <w:spacing w:line="360" w:lineRule="auto"/>
        <w:ind w:hanging="142"/>
        <w:contextualSpacing/>
        <w:jc w:val="both"/>
      </w:pPr>
      <w:r>
        <w:rPr>
          <w:noProof/>
        </w:rPr>
        <w:drawing>
          <wp:inline distT="0" distB="0" distL="0" distR="0" wp14:anchorId="7A35AE62" wp14:editId="786FD41E">
            <wp:extent cx="6076950" cy="2057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A6BD9" w:rsidRDefault="002A6BD9" w:rsidP="002A6BD9">
      <w:pPr>
        <w:spacing w:line="360" w:lineRule="auto"/>
        <w:ind w:left="-426" w:firstLine="709"/>
        <w:contextualSpacing/>
        <w:jc w:val="center"/>
        <w:rPr>
          <w:color w:val="282828"/>
          <w:shd w:val="clear" w:color="auto" w:fill="FFFFFF"/>
        </w:rPr>
      </w:pPr>
      <w:r>
        <w:t>Рисунок</w:t>
      </w:r>
      <w:r w:rsidR="00DD2BE3">
        <w:t>.</w:t>
      </w:r>
      <w:r w:rsidRPr="004A4F43">
        <w:t xml:space="preserve"> </w:t>
      </w:r>
      <w:r>
        <w:rPr>
          <w:color w:val="282828"/>
          <w:shd w:val="clear" w:color="auto" w:fill="FFFFFF"/>
        </w:rPr>
        <w:t xml:space="preserve">Волны слияний и поглощений в Европе в 1985-2017 гг. </w:t>
      </w:r>
    </w:p>
    <w:p w:rsidR="002A6BD9" w:rsidRPr="00CE07C7" w:rsidRDefault="002A6BD9" w:rsidP="002A6BD9">
      <w:pPr>
        <w:tabs>
          <w:tab w:val="left" w:pos="645"/>
          <w:tab w:val="center" w:pos="4819"/>
        </w:tabs>
        <w:spacing w:line="360" w:lineRule="auto"/>
        <w:ind w:left="-426" w:firstLine="709"/>
        <w:contextualSpacing/>
      </w:pPr>
      <w:r>
        <w:tab/>
      </w:r>
      <w:r>
        <w:tab/>
      </w:r>
      <w:r w:rsidRPr="004A4F43">
        <w:t>Источник</w:t>
      </w:r>
      <w:r w:rsidRPr="000B64F0">
        <w:t>:</w:t>
      </w:r>
      <w:r>
        <w:t xml:space="preserve"> Рассчитано на основе данных</w:t>
      </w:r>
      <w:r w:rsidRPr="000B64F0">
        <w:t xml:space="preserve"> </w:t>
      </w:r>
      <w:proofErr w:type="spellStart"/>
      <w:r>
        <w:rPr>
          <w:lang w:val="en-US"/>
        </w:rPr>
        <w:t>imaa</w:t>
      </w:r>
      <w:proofErr w:type="spellEnd"/>
      <w:r w:rsidRPr="000B64F0">
        <w:t xml:space="preserve"> </w:t>
      </w:r>
      <w:r>
        <w:rPr>
          <w:lang w:val="en-US"/>
        </w:rPr>
        <w:t>statistics</w:t>
      </w:r>
    </w:p>
    <w:p w:rsidR="002A6BD9" w:rsidRPr="00F11C65" w:rsidRDefault="002A6BD9" w:rsidP="002A6BD9">
      <w:pPr>
        <w:spacing w:line="360" w:lineRule="auto"/>
        <w:ind w:hanging="142"/>
        <w:contextualSpacing/>
        <w:jc w:val="both"/>
      </w:pPr>
      <w:r>
        <w:rPr>
          <w:noProof/>
        </w:rPr>
        <w:drawing>
          <wp:inline distT="0" distB="0" distL="0" distR="0" wp14:anchorId="7529801A" wp14:editId="5424535D">
            <wp:extent cx="5991225" cy="20764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A6BD9" w:rsidRDefault="002A6BD9" w:rsidP="002A6BD9">
      <w:pPr>
        <w:spacing w:line="360" w:lineRule="auto"/>
        <w:ind w:left="-426" w:firstLine="709"/>
        <w:contextualSpacing/>
        <w:jc w:val="center"/>
        <w:rPr>
          <w:color w:val="282828"/>
          <w:shd w:val="clear" w:color="auto" w:fill="FFFFFF"/>
        </w:rPr>
      </w:pPr>
      <w:r>
        <w:t>Рисунок</w:t>
      </w:r>
      <w:r w:rsidR="00DD2BE3">
        <w:t>.</w:t>
      </w:r>
      <w:r w:rsidRPr="004A4F43">
        <w:t xml:space="preserve"> </w:t>
      </w:r>
      <w:r>
        <w:rPr>
          <w:color w:val="282828"/>
          <w:shd w:val="clear" w:color="auto" w:fill="FFFFFF"/>
        </w:rPr>
        <w:t xml:space="preserve">Волны слияний и поглощений в  США в 1888-2017 гг. </w:t>
      </w:r>
    </w:p>
    <w:p w:rsidR="002A6BD9" w:rsidRDefault="002A6BD9" w:rsidP="002A6BD9">
      <w:pPr>
        <w:spacing w:line="360" w:lineRule="auto"/>
        <w:ind w:left="-426" w:firstLine="709"/>
        <w:contextualSpacing/>
        <w:jc w:val="center"/>
      </w:pPr>
      <w:r w:rsidRPr="004A4F43">
        <w:t>Источник</w:t>
      </w:r>
      <w:r w:rsidRPr="000B64F0">
        <w:t>:</w:t>
      </w:r>
      <w:r>
        <w:t xml:space="preserve"> Рассчитано на основе данных</w:t>
      </w:r>
      <w:r w:rsidRPr="000B64F0">
        <w:t xml:space="preserve"> </w:t>
      </w:r>
      <w:proofErr w:type="spellStart"/>
      <w:r>
        <w:rPr>
          <w:lang w:val="en-US"/>
        </w:rPr>
        <w:t>imaa</w:t>
      </w:r>
      <w:proofErr w:type="spellEnd"/>
      <w:r w:rsidRPr="000B64F0">
        <w:t xml:space="preserve"> </w:t>
      </w:r>
      <w:r>
        <w:rPr>
          <w:lang w:val="en-US"/>
        </w:rPr>
        <w:t>statistics</w:t>
      </w:r>
    </w:p>
    <w:p w:rsidR="002A6BD9" w:rsidRDefault="002A6BD9" w:rsidP="002A6BD9">
      <w:pPr>
        <w:rPr>
          <w:b/>
        </w:rPr>
      </w:pPr>
    </w:p>
    <w:p w:rsidR="00DA61E2" w:rsidRDefault="00DA61E2" w:rsidP="002A6BD9">
      <w:pPr>
        <w:rPr>
          <w:b/>
        </w:rPr>
      </w:pPr>
    </w:p>
    <w:p w:rsidR="00DA61E2" w:rsidRDefault="00DA61E2" w:rsidP="002A6BD9">
      <w:pPr>
        <w:rPr>
          <w:b/>
        </w:rPr>
      </w:pPr>
    </w:p>
    <w:p w:rsidR="001379D6" w:rsidRPr="00BE205C" w:rsidRDefault="001379D6" w:rsidP="00BE205C">
      <w:pPr>
        <w:rPr>
          <w:b/>
        </w:rPr>
      </w:pPr>
    </w:p>
    <w:sectPr w:rsidR="001379D6" w:rsidRPr="00BE205C" w:rsidSect="00A364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CB" w:rsidRDefault="006F61CB" w:rsidP="004D0E58">
      <w:r>
        <w:separator/>
      </w:r>
    </w:p>
  </w:endnote>
  <w:endnote w:type="continuationSeparator" w:id="0">
    <w:p w:rsidR="006F61CB" w:rsidRDefault="006F61CB" w:rsidP="004D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102845"/>
      <w:docPartObj>
        <w:docPartGallery w:val="Page Numbers (Bottom of Page)"/>
        <w:docPartUnique/>
      </w:docPartObj>
    </w:sdtPr>
    <w:sdtEndPr/>
    <w:sdtContent>
      <w:p w:rsidR="004C50AA" w:rsidRDefault="004C50AA">
        <w:pPr>
          <w:pStyle w:val="a9"/>
          <w:jc w:val="right"/>
        </w:pPr>
        <w:r>
          <w:fldChar w:fldCharType="begin"/>
        </w:r>
        <w:r>
          <w:instrText>PAGE   \* MERGEFORMAT</w:instrText>
        </w:r>
        <w:r>
          <w:fldChar w:fldCharType="separate"/>
        </w:r>
        <w:r w:rsidR="00205D45">
          <w:rPr>
            <w:noProof/>
          </w:rPr>
          <w:t>44</w:t>
        </w:r>
        <w:r>
          <w:fldChar w:fldCharType="end"/>
        </w:r>
      </w:p>
    </w:sdtContent>
  </w:sdt>
  <w:p w:rsidR="004C50AA" w:rsidRDefault="004C50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CB" w:rsidRDefault="006F61CB" w:rsidP="004D0E58">
      <w:r>
        <w:separator/>
      </w:r>
    </w:p>
  </w:footnote>
  <w:footnote w:type="continuationSeparator" w:id="0">
    <w:p w:rsidR="006F61CB" w:rsidRDefault="006F61CB" w:rsidP="004D0E58">
      <w:r>
        <w:continuationSeparator/>
      </w:r>
    </w:p>
  </w:footnote>
  <w:footnote w:id="1">
    <w:p w:rsidR="004C50AA" w:rsidRPr="00594832" w:rsidRDefault="004C50AA" w:rsidP="004D0E58">
      <w:pPr>
        <w:pStyle w:val="a4"/>
      </w:pPr>
      <w:r>
        <w:rPr>
          <w:rStyle w:val="a6"/>
        </w:rPr>
        <w:footnoteRef/>
      </w:r>
      <w:r>
        <w:t xml:space="preserve"> </w:t>
      </w:r>
      <w:r w:rsidRPr="006F49E8">
        <w:rPr>
          <w:color w:val="222222"/>
          <w:shd w:val="clear" w:color="auto" w:fill="FFFFFF"/>
        </w:rPr>
        <w:t>Чернова Е.Г. Современные формы и методы интеграции хозяйственных образований в условиях глобал</w:t>
      </w:r>
      <w:r w:rsidRPr="006F49E8">
        <w:rPr>
          <w:color w:val="222222"/>
          <w:shd w:val="clear" w:color="auto" w:fill="FFFFFF"/>
        </w:rPr>
        <w:t>и</w:t>
      </w:r>
      <w:r w:rsidRPr="006F49E8">
        <w:rPr>
          <w:color w:val="222222"/>
          <w:shd w:val="clear" w:color="auto" w:fill="FFFFFF"/>
        </w:rPr>
        <w:t>зации.</w:t>
      </w:r>
      <w:r>
        <w:rPr>
          <w:color w:val="222222"/>
          <w:shd w:val="clear" w:color="auto" w:fill="FFFFFF"/>
        </w:rPr>
        <w:t xml:space="preserve"> СПб</w:t>
      </w:r>
      <w:proofErr w:type="gramStart"/>
      <w:r w:rsidRPr="00594832">
        <w:rPr>
          <w:color w:val="222222"/>
          <w:shd w:val="clear" w:color="auto" w:fill="FFFFFF"/>
        </w:rPr>
        <w:t xml:space="preserve">., </w:t>
      </w:r>
      <w:proofErr w:type="gramEnd"/>
      <w:r w:rsidRPr="00594832">
        <w:rPr>
          <w:color w:val="222222"/>
          <w:shd w:val="clear" w:color="auto" w:fill="FFFFFF"/>
        </w:rPr>
        <w:t xml:space="preserve">2010, </w:t>
      </w:r>
      <w:r>
        <w:rPr>
          <w:color w:val="222222"/>
          <w:shd w:val="clear" w:color="auto" w:fill="FFFFFF"/>
        </w:rPr>
        <w:t>стр</w:t>
      </w:r>
      <w:r w:rsidRPr="00594832">
        <w:rPr>
          <w:color w:val="222222"/>
          <w:shd w:val="clear" w:color="auto" w:fill="FFFFFF"/>
        </w:rPr>
        <w:t>. 125-127.</w:t>
      </w:r>
    </w:p>
  </w:footnote>
  <w:footnote w:id="2">
    <w:p w:rsidR="004C50AA" w:rsidRDefault="004C50AA" w:rsidP="004D0E58">
      <w:pPr>
        <w:pStyle w:val="a4"/>
      </w:pPr>
      <w:r>
        <w:rPr>
          <w:rStyle w:val="a6"/>
        </w:rPr>
        <w:footnoteRef/>
      </w:r>
      <w:r>
        <w:t xml:space="preserve"> </w:t>
      </w:r>
      <w:r w:rsidRPr="006F49E8">
        <w:rPr>
          <w:color w:val="222222"/>
          <w:shd w:val="clear" w:color="auto" w:fill="FFFFFF"/>
        </w:rPr>
        <w:t>Чернова Е.Г. Современные формы и методы интеграции хозяйственных образований в условиях глобал</w:t>
      </w:r>
      <w:r w:rsidRPr="006F49E8">
        <w:rPr>
          <w:color w:val="222222"/>
          <w:shd w:val="clear" w:color="auto" w:fill="FFFFFF"/>
        </w:rPr>
        <w:t>и</w:t>
      </w:r>
      <w:r w:rsidRPr="006F49E8">
        <w:rPr>
          <w:color w:val="222222"/>
          <w:shd w:val="clear" w:color="auto" w:fill="FFFFFF"/>
        </w:rPr>
        <w:t>зации.</w:t>
      </w:r>
      <w:r>
        <w:rPr>
          <w:color w:val="222222"/>
          <w:shd w:val="clear" w:color="auto" w:fill="FFFFFF"/>
        </w:rPr>
        <w:t xml:space="preserve"> СПб</w:t>
      </w:r>
      <w:proofErr w:type="gramStart"/>
      <w:r w:rsidRPr="00D402BA">
        <w:rPr>
          <w:color w:val="222222"/>
          <w:shd w:val="clear" w:color="auto" w:fill="FFFFFF"/>
        </w:rPr>
        <w:t xml:space="preserve">., </w:t>
      </w:r>
      <w:proofErr w:type="gramEnd"/>
      <w:r w:rsidRPr="00D402BA">
        <w:rPr>
          <w:color w:val="222222"/>
          <w:shd w:val="clear" w:color="auto" w:fill="FFFFFF"/>
        </w:rPr>
        <w:t xml:space="preserve">2010, </w:t>
      </w:r>
      <w:r>
        <w:rPr>
          <w:color w:val="222222"/>
          <w:shd w:val="clear" w:color="auto" w:fill="FFFFFF"/>
        </w:rPr>
        <w:t>стр</w:t>
      </w:r>
      <w:r w:rsidRPr="00D402BA">
        <w:rPr>
          <w:color w:val="222222"/>
          <w:shd w:val="clear" w:color="auto" w:fill="FFFFFF"/>
        </w:rPr>
        <w:t>. 125-127.</w:t>
      </w:r>
    </w:p>
  </w:footnote>
  <w:footnote w:id="3">
    <w:p w:rsidR="004C50AA" w:rsidRDefault="004C50AA" w:rsidP="004D0E58">
      <w:pPr>
        <w:pStyle w:val="a4"/>
      </w:pPr>
      <w:r>
        <w:rPr>
          <w:rStyle w:val="a6"/>
        </w:rPr>
        <w:footnoteRef/>
      </w:r>
      <w:r>
        <w:t xml:space="preserve"> </w:t>
      </w:r>
      <w:proofErr w:type="spellStart"/>
      <w:r w:rsidRPr="00F75802">
        <w:t>Гохан</w:t>
      </w:r>
      <w:proofErr w:type="spellEnd"/>
      <w:r w:rsidRPr="00F75802">
        <w:t xml:space="preserve"> П. </w:t>
      </w:r>
      <w:r w:rsidRPr="00F75802">
        <w:rPr>
          <w:shd w:val="clear" w:color="auto" w:fill="FFFFFF"/>
        </w:rPr>
        <w:t>Слияния, поглощения и реструктуризация компаний. М., 201</w:t>
      </w:r>
      <w:r w:rsidRPr="005B6370">
        <w:rPr>
          <w:shd w:val="clear" w:color="auto" w:fill="FFFFFF"/>
        </w:rPr>
        <w:t>5</w:t>
      </w:r>
      <w:r w:rsidRPr="00F75802">
        <w:rPr>
          <w:shd w:val="clear" w:color="auto" w:fill="FFFFFF"/>
        </w:rPr>
        <w:t>. /</w:t>
      </w:r>
      <w:r w:rsidRPr="00CF3D48">
        <w:rPr>
          <w:shd w:val="clear" w:color="auto" w:fill="FFFFFF"/>
        </w:rPr>
        <w:t>/</w:t>
      </w:r>
      <w:r w:rsidRPr="00F75802">
        <w:rPr>
          <w:shd w:val="clear" w:color="auto" w:fill="FFFFFF"/>
        </w:rPr>
        <w:t xml:space="preserve"> http://thelib.ru/</w:t>
      </w:r>
      <w:r>
        <w:rPr>
          <w:shd w:val="clear" w:color="auto" w:fill="FFFFFF"/>
        </w:rPr>
        <w:t xml:space="preserve"> </w:t>
      </w:r>
    </w:p>
  </w:footnote>
  <w:footnote w:id="4">
    <w:p w:rsidR="004C50AA" w:rsidRPr="00F75802" w:rsidRDefault="004C50AA" w:rsidP="004D0E58">
      <w:pPr>
        <w:pStyle w:val="a4"/>
      </w:pPr>
      <w:r w:rsidRPr="00F75802">
        <w:rPr>
          <w:rStyle w:val="a6"/>
        </w:rPr>
        <w:footnoteRef/>
      </w:r>
      <w:r>
        <w:t xml:space="preserve"> Чернова Е.Г. </w:t>
      </w:r>
      <w:r w:rsidRPr="00F75802">
        <w:t>Пахомова Н.В. Российский рынок слияний и поглощений: направления и перспективы разв</w:t>
      </w:r>
      <w:r w:rsidRPr="00F75802">
        <w:t>и</w:t>
      </w:r>
      <w:r w:rsidRPr="00F75802">
        <w:t>тия. СПб</w:t>
      </w:r>
      <w:proofErr w:type="gramStart"/>
      <w:r w:rsidRPr="00F75802">
        <w:t xml:space="preserve">., </w:t>
      </w:r>
      <w:proofErr w:type="gramEnd"/>
      <w:r w:rsidRPr="00F75802">
        <w:t>2011, стр. 12.</w:t>
      </w:r>
    </w:p>
  </w:footnote>
  <w:footnote w:id="5">
    <w:p w:rsidR="004C50AA" w:rsidRPr="00D0660E" w:rsidRDefault="004C50AA" w:rsidP="004D0E58">
      <w:pPr>
        <w:pStyle w:val="a4"/>
      </w:pPr>
      <w:r>
        <w:rPr>
          <w:rStyle w:val="a6"/>
        </w:rPr>
        <w:footnoteRef/>
      </w:r>
      <w:r>
        <w:t xml:space="preserve"> </w:t>
      </w:r>
      <w:proofErr w:type="spellStart"/>
      <w:r w:rsidRPr="00A606C6">
        <w:rPr>
          <w:kern w:val="36"/>
        </w:rPr>
        <w:t>Депамфилис</w:t>
      </w:r>
      <w:proofErr w:type="spellEnd"/>
      <w:r w:rsidRPr="00A606C6">
        <w:rPr>
          <w:bCs/>
          <w:kern w:val="36"/>
        </w:rPr>
        <w:t xml:space="preserve"> Д. </w:t>
      </w:r>
      <w:r w:rsidRPr="00A606C6">
        <w:rPr>
          <w:kern w:val="36"/>
        </w:rPr>
        <w:t>Слияния, поглощения и другие способы реструктуризации компании</w:t>
      </w:r>
      <w:r w:rsidRPr="00A606C6">
        <w:rPr>
          <w:bCs/>
          <w:kern w:val="36"/>
        </w:rPr>
        <w:t>. М</w:t>
      </w:r>
      <w:r w:rsidRPr="00D0660E">
        <w:rPr>
          <w:bCs/>
          <w:kern w:val="36"/>
        </w:rPr>
        <w:t xml:space="preserve">.: </w:t>
      </w:r>
      <w:r>
        <w:rPr>
          <w:bCs/>
          <w:kern w:val="36"/>
        </w:rPr>
        <w:t>Олимп</w:t>
      </w:r>
      <w:r w:rsidRPr="00D0660E">
        <w:rPr>
          <w:bCs/>
          <w:kern w:val="36"/>
        </w:rPr>
        <w:t>-</w:t>
      </w:r>
      <w:r>
        <w:rPr>
          <w:bCs/>
          <w:kern w:val="36"/>
        </w:rPr>
        <w:t>Бизнес</w:t>
      </w:r>
      <w:r w:rsidRPr="00D0660E">
        <w:rPr>
          <w:bCs/>
          <w:kern w:val="36"/>
        </w:rPr>
        <w:t xml:space="preserve">, 2007, </w:t>
      </w:r>
      <w:r w:rsidRPr="00A606C6">
        <w:rPr>
          <w:bCs/>
          <w:kern w:val="36"/>
        </w:rPr>
        <w:t>стр</w:t>
      </w:r>
      <w:r w:rsidRPr="00D0660E">
        <w:rPr>
          <w:bCs/>
          <w:kern w:val="36"/>
        </w:rPr>
        <w:t>. 22-24.</w:t>
      </w:r>
      <w:r w:rsidRPr="00D0660E">
        <w:rPr>
          <w:b/>
          <w:bCs/>
          <w:kern w:val="36"/>
        </w:rPr>
        <w:t xml:space="preserve"> </w:t>
      </w:r>
    </w:p>
  </w:footnote>
  <w:footnote w:id="6">
    <w:p w:rsidR="004C50AA" w:rsidRPr="00D0660E" w:rsidRDefault="004C50AA" w:rsidP="00735125">
      <w:pPr>
        <w:pStyle w:val="a4"/>
        <w:rPr>
          <w:lang w:val="en-US"/>
        </w:rPr>
      </w:pPr>
      <w:r>
        <w:rPr>
          <w:rStyle w:val="a6"/>
        </w:rPr>
        <w:footnoteRef/>
      </w:r>
      <w:r>
        <w:t xml:space="preserve"> </w:t>
      </w:r>
      <w:proofErr w:type="spellStart"/>
      <w:r w:rsidRPr="00A606C6">
        <w:rPr>
          <w:kern w:val="36"/>
        </w:rPr>
        <w:t>Депамфилис</w:t>
      </w:r>
      <w:proofErr w:type="spellEnd"/>
      <w:r w:rsidRPr="00A606C6">
        <w:rPr>
          <w:bCs/>
          <w:kern w:val="36"/>
        </w:rPr>
        <w:t xml:space="preserve"> Д. </w:t>
      </w:r>
      <w:r w:rsidRPr="00A606C6">
        <w:rPr>
          <w:kern w:val="36"/>
        </w:rPr>
        <w:t>Слияния, поглощения и другие способы реструктуризации компании</w:t>
      </w:r>
      <w:r w:rsidRPr="00A606C6">
        <w:rPr>
          <w:bCs/>
          <w:kern w:val="36"/>
        </w:rPr>
        <w:t>. М</w:t>
      </w:r>
      <w:r w:rsidRPr="00D0660E">
        <w:rPr>
          <w:bCs/>
          <w:kern w:val="36"/>
          <w:lang w:val="en-US"/>
        </w:rPr>
        <w:t xml:space="preserve">.: </w:t>
      </w:r>
      <w:r>
        <w:rPr>
          <w:bCs/>
          <w:kern w:val="36"/>
        </w:rPr>
        <w:t>Олимп</w:t>
      </w:r>
      <w:r w:rsidRPr="00D0660E">
        <w:rPr>
          <w:bCs/>
          <w:kern w:val="36"/>
          <w:lang w:val="en-US"/>
        </w:rPr>
        <w:t>-</w:t>
      </w:r>
      <w:r>
        <w:rPr>
          <w:bCs/>
          <w:kern w:val="36"/>
        </w:rPr>
        <w:t>Бизнес</w:t>
      </w:r>
      <w:r w:rsidRPr="00D0660E">
        <w:rPr>
          <w:bCs/>
          <w:kern w:val="36"/>
          <w:lang w:val="en-US"/>
        </w:rPr>
        <w:t xml:space="preserve">, 2007, </w:t>
      </w:r>
      <w:proofErr w:type="spellStart"/>
      <w:r w:rsidRPr="00A606C6">
        <w:rPr>
          <w:bCs/>
          <w:kern w:val="36"/>
        </w:rPr>
        <w:t>стр</w:t>
      </w:r>
      <w:proofErr w:type="spellEnd"/>
      <w:r w:rsidRPr="00D0660E">
        <w:rPr>
          <w:bCs/>
          <w:kern w:val="36"/>
          <w:lang w:val="en-US"/>
        </w:rPr>
        <w:t>. 27.</w:t>
      </w:r>
      <w:r w:rsidRPr="00D0660E">
        <w:rPr>
          <w:b/>
          <w:bCs/>
          <w:kern w:val="36"/>
          <w:lang w:val="en-US"/>
        </w:rPr>
        <w:t xml:space="preserve"> </w:t>
      </w:r>
    </w:p>
  </w:footnote>
  <w:footnote w:id="7">
    <w:p w:rsidR="004C50AA" w:rsidRPr="0050440A" w:rsidRDefault="004C50AA" w:rsidP="004D0E58">
      <w:pPr>
        <w:pStyle w:val="a4"/>
        <w:rPr>
          <w:lang w:val="en-US"/>
        </w:rPr>
      </w:pPr>
      <w:r>
        <w:rPr>
          <w:rStyle w:val="a6"/>
        </w:rPr>
        <w:footnoteRef/>
      </w:r>
      <w:r w:rsidRPr="0050440A">
        <w:rPr>
          <w:lang w:val="en-US"/>
        </w:rPr>
        <w:t xml:space="preserve"> Proctor &amp; Gamble</w:t>
      </w:r>
      <w:r>
        <w:rPr>
          <w:lang w:val="en-US"/>
        </w:rPr>
        <w:t xml:space="preserve"> Annual Report 2006, p. 2 // </w:t>
      </w:r>
      <w:r w:rsidRPr="0050440A">
        <w:rPr>
          <w:lang w:val="en-US"/>
        </w:rPr>
        <w:t>http://www.pg.com/en_US/downloads/investors/annual_reports/2006/pg2006annualreport.pdf</w:t>
      </w:r>
      <w:r>
        <w:rPr>
          <w:lang w:val="en-US"/>
        </w:rPr>
        <w:t xml:space="preserve"> </w:t>
      </w:r>
    </w:p>
  </w:footnote>
  <w:footnote w:id="8">
    <w:p w:rsidR="004C50AA" w:rsidRPr="00B5576B" w:rsidRDefault="004C50AA" w:rsidP="004D0E58">
      <w:pPr>
        <w:pStyle w:val="a4"/>
      </w:pPr>
      <w:r>
        <w:rPr>
          <w:rStyle w:val="a6"/>
        </w:rPr>
        <w:footnoteRef/>
      </w:r>
      <w:r>
        <w:t xml:space="preserve"> </w:t>
      </w:r>
      <w:proofErr w:type="spellStart"/>
      <w:r w:rsidRPr="00A606C6">
        <w:rPr>
          <w:kern w:val="36"/>
        </w:rPr>
        <w:t>Депамфилис</w:t>
      </w:r>
      <w:proofErr w:type="spellEnd"/>
      <w:r w:rsidRPr="00A606C6">
        <w:rPr>
          <w:bCs/>
          <w:kern w:val="36"/>
        </w:rPr>
        <w:t xml:space="preserve"> Д. </w:t>
      </w:r>
      <w:r w:rsidRPr="00A606C6">
        <w:rPr>
          <w:kern w:val="36"/>
        </w:rPr>
        <w:t>Слияния, поглощения и другие способы реструктуризации компании</w:t>
      </w:r>
      <w:r w:rsidRPr="00A606C6">
        <w:rPr>
          <w:bCs/>
          <w:kern w:val="36"/>
        </w:rPr>
        <w:t>. М</w:t>
      </w:r>
      <w:r w:rsidRPr="00B5576B">
        <w:rPr>
          <w:bCs/>
          <w:kern w:val="36"/>
        </w:rPr>
        <w:t xml:space="preserve">.: </w:t>
      </w:r>
      <w:r>
        <w:rPr>
          <w:bCs/>
          <w:kern w:val="36"/>
        </w:rPr>
        <w:t>Олимп</w:t>
      </w:r>
      <w:r w:rsidRPr="00B5576B">
        <w:rPr>
          <w:bCs/>
          <w:kern w:val="36"/>
        </w:rPr>
        <w:t>-</w:t>
      </w:r>
      <w:r>
        <w:rPr>
          <w:bCs/>
          <w:kern w:val="36"/>
        </w:rPr>
        <w:t>Бизнес</w:t>
      </w:r>
      <w:r w:rsidRPr="00B5576B">
        <w:rPr>
          <w:bCs/>
          <w:kern w:val="36"/>
        </w:rPr>
        <w:t xml:space="preserve">, 2007, </w:t>
      </w:r>
      <w:r w:rsidRPr="00A606C6">
        <w:rPr>
          <w:bCs/>
          <w:kern w:val="36"/>
        </w:rPr>
        <w:t>стр</w:t>
      </w:r>
      <w:r w:rsidRPr="00B5576B">
        <w:rPr>
          <w:bCs/>
          <w:kern w:val="36"/>
        </w:rPr>
        <w:t>. 28-29.</w:t>
      </w:r>
    </w:p>
  </w:footnote>
  <w:footnote w:id="9">
    <w:p w:rsidR="004C50AA" w:rsidRPr="004D0E58" w:rsidRDefault="004C50AA" w:rsidP="004D0E58">
      <w:pPr>
        <w:pStyle w:val="a4"/>
        <w:rPr>
          <w:lang w:val="en-US"/>
        </w:rPr>
      </w:pPr>
      <w:r>
        <w:rPr>
          <w:rStyle w:val="a6"/>
        </w:rPr>
        <w:footnoteRef/>
      </w:r>
      <w:r w:rsidRPr="00B5576B">
        <w:t xml:space="preserve"> </w:t>
      </w:r>
      <w:proofErr w:type="spellStart"/>
      <w:r w:rsidRPr="00B5576B">
        <w:t>Нендца</w:t>
      </w:r>
      <w:proofErr w:type="spellEnd"/>
      <w:r w:rsidRPr="00B5576B">
        <w:t xml:space="preserve"> А., </w:t>
      </w:r>
      <w:proofErr w:type="spellStart"/>
      <w:r w:rsidRPr="00B5576B">
        <w:t>Воротникова-Мюзинг</w:t>
      </w:r>
      <w:proofErr w:type="spellEnd"/>
      <w:r w:rsidRPr="00B5576B">
        <w:t xml:space="preserve"> Ю. Российские попытки слияний и поглощений в Германии // Слияния и поглощения. </w:t>
      </w:r>
      <w:r w:rsidRPr="004D0E58">
        <w:rPr>
          <w:lang w:val="en-US"/>
        </w:rPr>
        <w:t xml:space="preserve">2012. № 6. </w:t>
      </w:r>
      <w:proofErr w:type="spellStart"/>
      <w:r>
        <w:t>стр</w:t>
      </w:r>
      <w:proofErr w:type="spellEnd"/>
      <w:r w:rsidRPr="004D0E58">
        <w:rPr>
          <w:lang w:val="en-US"/>
        </w:rPr>
        <w:t xml:space="preserve">. 10-17. </w:t>
      </w:r>
    </w:p>
  </w:footnote>
  <w:footnote w:id="10">
    <w:p w:rsidR="004C50AA" w:rsidRPr="000B092A" w:rsidRDefault="004C50AA" w:rsidP="004D0E58">
      <w:pPr>
        <w:pStyle w:val="a4"/>
        <w:rPr>
          <w:lang w:val="en-US"/>
        </w:rPr>
      </w:pPr>
      <w:r>
        <w:rPr>
          <w:rStyle w:val="a6"/>
        </w:rPr>
        <w:footnoteRef/>
      </w:r>
      <w:r w:rsidRPr="00D402BA">
        <w:rPr>
          <w:lang w:val="en-US"/>
        </w:rPr>
        <w:t xml:space="preserve"> </w:t>
      </w:r>
      <w:r w:rsidRPr="005E37F1">
        <w:rPr>
          <w:lang w:val="en-US"/>
        </w:rPr>
        <w:t>Kim</w:t>
      </w:r>
      <w:r w:rsidRPr="00D402BA">
        <w:rPr>
          <w:lang w:val="en-US"/>
        </w:rPr>
        <w:t xml:space="preserve"> </w:t>
      </w:r>
      <w:r w:rsidRPr="005E37F1">
        <w:rPr>
          <w:lang w:val="en-US"/>
        </w:rPr>
        <w:t>E</w:t>
      </w:r>
      <w:r w:rsidRPr="00D402BA">
        <w:rPr>
          <w:lang w:val="en-US"/>
        </w:rPr>
        <w:t xml:space="preserve">. </w:t>
      </w:r>
      <w:r w:rsidRPr="005E37F1">
        <w:rPr>
          <w:lang w:val="en-US"/>
        </w:rPr>
        <w:t>H</w:t>
      </w:r>
      <w:r w:rsidRPr="00D402BA">
        <w:rPr>
          <w:lang w:val="en-US"/>
        </w:rPr>
        <w:t xml:space="preserve">., </w:t>
      </w:r>
      <w:proofErr w:type="spellStart"/>
      <w:r w:rsidRPr="005E37F1">
        <w:rPr>
          <w:lang w:val="en-US"/>
        </w:rPr>
        <w:t>Singal</w:t>
      </w:r>
      <w:proofErr w:type="spellEnd"/>
      <w:r w:rsidRPr="00D402BA">
        <w:rPr>
          <w:lang w:val="en-US"/>
        </w:rPr>
        <w:t xml:space="preserve"> </w:t>
      </w:r>
      <w:r w:rsidRPr="005E37F1">
        <w:rPr>
          <w:lang w:val="en-US"/>
        </w:rPr>
        <w:t>V</w:t>
      </w:r>
      <w:r w:rsidRPr="00D402BA">
        <w:rPr>
          <w:lang w:val="en-US"/>
        </w:rPr>
        <w:t xml:space="preserve">. </w:t>
      </w:r>
      <w:r w:rsidRPr="005E37F1">
        <w:rPr>
          <w:lang w:val="en-US"/>
        </w:rPr>
        <w:t>Mergers</w:t>
      </w:r>
      <w:r w:rsidRPr="00D402BA">
        <w:rPr>
          <w:lang w:val="en-US"/>
        </w:rPr>
        <w:t xml:space="preserve"> </w:t>
      </w:r>
      <w:r w:rsidRPr="005E37F1">
        <w:rPr>
          <w:lang w:val="en-US"/>
        </w:rPr>
        <w:t>and</w:t>
      </w:r>
      <w:r w:rsidRPr="00D402BA">
        <w:rPr>
          <w:lang w:val="en-US"/>
        </w:rPr>
        <w:t xml:space="preserve"> </w:t>
      </w:r>
      <w:r w:rsidRPr="005E37F1">
        <w:rPr>
          <w:lang w:val="en-US"/>
        </w:rPr>
        <w:t>Power</w:t>
      </w:r>
      <w:r w:rsidRPr="00D402BA">
        <w:rPr>
          <w:lang w:val="en-US"/>
        </w:rPr>
        <w:t xml:space="preserve">: </w:t>
      </w:r>
      <w:r w:rsidRPr="005E37F1">
        <w:rPr>
          <w:lang w:val="en-US"/>
        </w:rPr>
        <w:t>Evidence</w:t>
      </w:r>
      <w:r w:rsidRPr="00D402BA">
        <w:rPr>
          <w:lang w:val="en-US"/>
        </w:rPr>
        <w:t xml:space="preserve"> </w:t>
      </w:r>
      <w:r w:rsidRPr="005E37F1">
        <w:rPr>
          <w:lang w:val="en-US"/>
        </w:rPr>
        <w:t>from</w:t>
      </w:r>
      <w:r w:rsidRPr="00D402BA">
        <w:rPr>
          <w:lang w:val="en-US"/>
        </w:rPr>
        <w:t xml:space="preserve"> </w:t>
      </w:r>
      <w:r w:rsidRPr="005E37F1">
        <w:rPr>
          <w:lang w:val="en-US"/>
        </w:rPr>
        <w:t>the</w:t>
      </w:r>
      <w:r w:rsidRPr="00D402BA">
        <w:rPr>
          <w:lang w:val="en-US"/>
        </w:rPr>
        <w:t xml:space="preserve"> </w:t>
      </w:r>
      <w:r w:rsidRPr="005E37F1">
        <w:rPr>
          <w:lang w:val="en-US"/>
        </w:rPr>
        <w:t>Airline</w:t>
      </w:r>
      <w:r w:rsidRPr="00D402BA">
        <w:rPr>
          <w:lang w:val="en-US"/>
        </w:rPr>
        <w:t xml:space="preserve"> </w:t>
      </w:r>
      <w:r w:rsidRPr="005E37F1">
        <w:rPr>
          <w:lang w:val="en-US"/>
        </w:rPr>
        <w:t>Industry</w:t>
      </w:r>
      <w:r w:rsidRPr="00D402BA">
        <w:rPr>
          <w:lang w:val="en-US"/>
        </w:rPr>
        <w:t xml:space="preserve"> // </w:t>
      </w:r>
      <w:proofErr w:type="gramStart"/>
      <w:r>
        <w:rPr>
          <w:lang w:val="en-US"/>
        </w:rPr>
        <w:t>The</w:t>
      </w:r>
      <w:proofErr w:type="gramEnd"/>
      <w:r w:rsidRPr="00D402BA">
        <w:rPr>
          <w:lang w:val="en-US"/>
        </w:rPr>
        <w:t xml:space="preserve"> </w:t>
      </w:r>
      <w:r>
        <w:rPr>
          <w:lang w:val="en-US"/>
        </w:rPr>
        <w:t>American</w:t>
      </w:r>
      <w:r w:rsidRPr="00D402BA">
        <w:rPr>
          <w:lang w:val="en-US"/>
        </w:rPr>
        <w:t xml:space="preserve"> </w:t>
      </w:r>
      <w:r>
        <w:rPr>
          <w:lang w:val="en-US"/>
        </w:rPr>
        <w:t>Economic</w:t>
      </w:r>
      <w:r w:rsidRPr="00D402BA">
        <w:rPr>
          <w:lang w:val="en-US"/>
        </w:rPr>
        <w:t xml:space="preserve"> </w:t>
      </w:r>
      <w:r>
        <w:rPr>
          <w:lang w:val="en-US"/>
        </w:rPr>
        <w:t>Review</w:t>
      </w:r>
      <w:r w:rsidRPr="00D402BA">
        <w:rPr>
          <w:lang w:val="en-US"/>
        </w:rPr>
        <w:t xml:space="preserve">, </w:t>
      </w:r>
      <w:r>
        <w:rPr>
          <w:lang w:val="en-US"/>
        </w:rPr>
        <w:t>Volume</w:t>
      </w:r>
      <w:r w:rsidRPr="00D402BA">
        <w:rPr>
          <w:lang w:val="en-US"/>
        </w:rPr>
        <w:t xml:space="preserve"> 83, </w:t>
      </w:r>
      <w:r>
        <w:rPr>
          <w:lang w:val="en-US"/>
        </w:rPr>
        <w:t>Issue</w:t>
      </w:r>
      <w:r w:rsidRPr="00D402BA">
        <w:rPr>
          <w:lang w:val="en-US"/>
        </w:rPr>
        <w:t xml:space="preserve"> </w:t>
      </w:r>
      <w:r>
        <w:rPr>
          <w:lang w:val="en-US"/>
        </w:rPr>
        <w:t xml:space="preserve">3 (June, 1993), 549-569. // </w:t>
      </w:r>
      <w:r w:rsidRPr="00DE0748">
        <w:rPr>
          <w:lang w:val="en-US"/>
        </w:rPr>
        <w:t>http://</w:t>
      </w:r>
      <w:r w:rsidRPr="000B092A">
        <w:rPr>
          <w:lang w:val="en-US"/>
        </w:rPr>
        <w:t xml:space="preserve">leeds-faculty.colorado.edu/ </w:t>
      </w:r>
    </w:p>
  </w:footnote>
  <w:footnote w:id="11">
    <w:p w:rsidR="004C50AA" w:rsidRDefault="004C50AA" w:rsidP="00B3330B">
      <w:pPr>
        <w:pStyle w:val="a4"/>
      </w:pPr>
      <w:r>
        <w:rPr>
          <w:rStyle w:val="a6"/>
        </w:rPr>
        <w:footnoteRef/>
      </w:r>
      <w:r>
        <w:t xml:space="preserve"> </w:t>
      </w:r>
      <w:proofErr w:type="spellStart"/>
      <w:r w:rsidRPr="00B5576B">
        <w:t>Нендца</w:t>
      </w:r>
      <w:proofErr w:type="spellEnd"/>
      <w:r w:rsidRPr="00B5576B">
        <w:t xml:space="preserve"> А., </w:t>
      </w:r>
      <w:proofErr w:type="spellStart"/>
      <w:r w:rsidRPr="00B5576B">
        <w:t>Воротникова-Мюзинг</w:t>
      </w:r>
      <w:proofErr w:type="spellEnd"/>
      <w:r w:rsidRPr="00B5576B">
        <w:t xml:space="preserve"> Ю. Российские попытки слияний и поглощений в Германии // Слияния и поглощения. 2012. № 6. </w:t>
      </w:r>
      <w:r>
        <w:t>стр</w:t>
      </w:r>
      <w:r w:rsidRPr="00B5576B">
        <w:t>. 10-17.</w:t>
      </w:r>
    </w:p>
  </w:footnote>
  <w:footnote w:id="12">
    <w:p w:rsidR="004C50AA" w:rsidRPr="00D402BA" w:rsidRDefault="004C50AA" w:rsidP="0052467F">
      <w:pPr>
        <w:pStyle w:val="a4"/>
        <w:rPr>
          <w:lang w:val="en-US"/>
        </w:rPr>
      </w:pPr>
      <w:r>
        <w:rPr>
          <w:rStyle w:val="a6"/>
        </w:rPr>
        <w:footnoteRef/>
      </w:r>
      <w:r>
        <w:t xml:space="preserve"> </w:t>
      </w:r>
      <w:proofErr w:type="spellStart"/>
      <w:r w:rsidRPr="00A606C6">
        <w:rPr>
          <w:kern w:val="36"/>
        </w:rPr>
        <w:t>Депамфилис</w:t>
      </w:r>
      <w:proofErr w:type="spellEnd"/>
      <w:r w:rsidRPr="00A606C6">
        <w:rPr>
          <w:bCs/>
          <w:kern w:val="36"/>
        </w:rPr>
        <w:t xml:space="preserve"> Д. </w:t>
      </w:r>
      <w:r w:rsidRPr="00A606C6">
        <w:rPr>
          <w:kern w:val="36"/>
        </w:rPr>
        <w:t>Слияния, поглощения и другие способы реструктуризации компании</w:t>
      </w:r>
      <w:r w:rsidRPr="00A606C6">
        <w:rPr>
          <w:bCs/>
          <w:kern w:val="36"/>
        </w:rPr>
        <w:t>. М</w:t>
      </w:r>
      <w:r w:rsidRPr="00D402BA">
        <w:rPr>
          <w:bCs/>
          <w:kern w:val="36"/>
          <w:lang w:val="en-US"/>
        </w:rPr>
        <w:t xml:space="preserve">.: </w:t>
      </w:r>
      <w:r>
        <w:rPr>
          <w:bCs/>
          <w:kern w:val="36"/>
        </w:rPr>
        <w:t>Олимп</w:t>
      </w:r>
      <w:r w:rsidRPr="00D402BA">
        <w:rPr>
          <w:bCs/>
          <w:kern w:val="36"/>
          <w:lang w:val="en-US"/>
        </w:rPr>
        <w:t>-</w:t>
      </w:r>
      <w:r>
        <w:rPr>
          <w:bCs/>
          <w:kern w:val="36"/>
        </w:rPr>
        <w:t>Бизнес</w:t>
      </w:r>
      <w:r w:rsidRPr="00D402BA">
        <w:rPr>
          <w:bCs/>
          <w:kern w:val="36"/>
          <w:lang w:val="en-US"/>
        </w:rPr>
        <w:t xml:space="preserve">, 2007, </w:t>
      </w:r>
      <w:proofErr w:type="spellStart"/>
      <w:r w:rsidRPr="00A606C6">
        <w:rPr>
          <w:bCs/>
          <w:kern w:val="36"/>
        </w:rPr>
        <w:t>стр</w:t>
      </w:r>
      <w:proofErr w:type="spellEnd"/>
      <w:r w:rsidRPr="00D402BA">
        <w:rPr>
          <w:bCs/>
          <w:kern w:val="36"/>
          <w:lang w:val="en-US"/>
        </w:rPr>
        <w:t>. 34-35.</w:t>
      </w:r>
      <w:r w:rsidRPr="00D402BA">
        <w:rPr>
          <w:b/>
          <w:bCs/>
          <w:kern w:val="36"/>
          <w:lang w:val="en-US"/>
        </w:rPr>
        <w:t xml:space="preserve"> </w:t>
      </w:r>
    </w:p>
  </w:footnote>
  <w:footnote w:id="13">
    <w:p w:rsidR="004C50AA" w:rsidRPr="000D2C94" w:rsidRDefault="004C50AA" w:rsidP="004D0E58">
      <w:pPr>
        <w:pStyle w:val="a4"/>
        <w:rPr>
          <w:lang w:val="en-US"/>
        </w:rPr>
      </w:pPr>
      <w:r>
        <w:rPr>
          <w:rStyle w:val="a6"/>
        </w:rPr>
        <w:footnoteRef/>
      </w:r>
      <w:r w:rsidRPr="000E419E">
        <w:rPr>
          <w:lang w:val="en-US"/>
        </w:rPr>
        <w:t xml:space="preserve"> Company News: Valero Energy agrees to buy Premcor for $8 billion</w:t>
      </w:r>
      <w:r>
        <w:rPr>
          <w:lang w:val="en-US"/>
        </w:rPr>
        <w:t xml:space="preserve"> // </w:t>
      </w:r>
      <w:r w:rsidRPr="000E419E">
        <w:rPr>
          <w:lang w:val="en-US"/>
        </w:rPr>
        <w:t>http://www.ogj.com/articles/print/volume-103/issue-17/general-interest/company-news-valero-energy-agrees-to-buy-premcor-for-8-billion.html</w:t>
      </w:r>
    </w:p>
  </w:footnote>
  <w:footnote w:id="14">
    <w:p w:rsidR="004C50AA" w:rsidRPr="00831277" w:rsidRDefault="004C50AA" w:rsidP="004D0E58">
      <w:pPr>
        <w:pStyle w:val="a4"/>
      </w:pPr>
      <w:r>
        <w:rPr>
          <w:rStyle w:val="a6"/>
        </w:rPr>
        <w:footnoteRef/>
      </w:r>
      <w:r>
        <w:t xml:space="preserve"> </w:t>
      </w:r>
      <w:proofErr w:type="spellStart"/>
      <w:r w:rsidRPr="00831277">
        <w:t>Невельский</w:t>
      </w:r>
      <w:proofErr w:type="spellEnd"/>
      <w:r>
        <w:t xml:space="preserve"> А. </w:t>
      </w:r>
      <w:r w:rsidRPr="00831277">
        <w:t xml:space="preserve">На глобальном фармацевтическом рынке в этом году было объявлено о сделках на $368,6 </w:t>
      </w:r>
      <w:proofErr w:type="gramStart"/>
      <w:r w:rsidRPr="00831277">
        <w:t>млрд</w:t>
      </w:r>
      <w:proofErr w:type="gramEnd"/>
      <w:r>
        <w:t xml:space="preserve"> // Ведомости. 2014, № </w:t>
      </w:r>
      <w:r w:rsidRPr="00831277">
        <w:t>3719</w:t>
      </w:r>
      <w:r>
        <w:t xml:space="preserve"> </w:t>
      </w:r>
    </w:p>
  </w:footnote>
  <w:footnote w:id="15">
    <w:p w:rsidR="004C50AA" w:rsidRDefault="004C50AA" w:rsidP="004D0E58">
      <w:pPr>
        <w:pStyle w:val="a4"/>
      </w:pPr>
      <w:r>
        <w:rPr>
          <w:rStyle w:val="a6"/>
        </w:rPr>
        <w:footnoteRef/>
      </w:r>
      <w:r>
        <w:t xml:space="preserve"> Чернова Е.Г.</w:t>
      </w:r>
      <w:r w:rsidRPr="00F75802">
        <w:t xml:space="preserve"> Пахомова Н.В. Российский рынок слияний и поглощений: направления и перспективы </w:t>
      </w:r>
      <w:r w:rsidRPr="00D94080">
        <w:t>ра</w:t>
      </w:r>
      <w:r w:rsidRPr="00D94080">
        <w:t>з</w:t>
      </w:r>
      <w:r w:rsidRPr="00D94080">
        <w:t>вития. СПб</w:t>
      </w:r>
      <w:proofErr w:type="gramStart"/>
      <w:r w:rsidRPr="00D94080">
        <w:t xml:space="preserve">., </w:t>
      </w:r>
      <w:proofErr w:type="gramEnd"/>
      <w:r w:rsidRPr="00D94080">
        <w:t xml:space="preserve">2011, стр. </w:t>
      </w:r>
      <w:r>
        <w:t>36-45.</w:t>
      </w:r>
    </w:p>
  </w:footnote>
  <w:footnote w:id="16">
    <w:p w:rsidR="004C50AA" w:rsidRPr="0041462F" w:rsidRDefault="004C50AA" w:rsidP="00F019C3">
      <w:pPr>
        <w:pStyle w:val="a4"/>
      </w:pPr>
      <w:r w:rsidRPr="0041462F">
        <w:rPr>
          <w:rStyle w:val="a6"/>
        </w:rPr>
        <w:footnoteRef/>
      </w:r>
      <w:r w:rsidRPr="0041462F">
        <w:t xml:space="preserve"> Эванс Ф.</w:t>
      </w:r>
      <w:r>
        <w:t>,</w:t>
      </w:r>
      <w:r w:rsidRPr="0041462F">
        <w:t xml:space="preserve"> Бишоп Д. Оценка компаний при слияниях и поглощениях. Создание стоимости в частных ко</w:t>
      </w:r>
      <w:r w:rsidRPr="0041462F">
        <w:t>м</w:t>
      </w:r>
      <w:r w:rsidRPr="0041462F">
        <w:t>па</w:t>
      </w:r>
      <w:r>
        <w:t>ниях. М., 2004, стр. 131-133.</w:t>
      </w:r>
    </w:p>
  </w:footnote>
  <w:footnote w:id="17">
    <w:p w:rsidR="004C50AA" w:rsidRPr="00252B6B" w:rsidRDefault="004C50AA" w:rsidP="00F019C3">
      <w:pPr>
        <w:pStyle w:val="a4"/>
      </w:pPr>
      <w:r>
        <w:rPr>
          <w:rStyle w:val="a6"/>
        </w:rPr>
        <w:footnoteRef/>
      </w:r>
      <w:r w:rsidRPr="00D35BD0">
        <w:t xml:space="preserve"> </w:t>
      </w:r>
      <w:proofErr w:type="spellStart"/>
      <w:r w:rsidRPr="00A606C6">
        <w:rPr>
          <w:kern w:val="36"/>
        </w:rPr>
        <w:t>Депамфилис</w:t>
      </w:r>
      <w:proofErr w:type="spellEnd"/>
      <w:r w:rsidRPr="00A606C6">
        <w:rPr>
          <w:bCs/>
          <w:kern w:val="36"/>
        </w:rPr>
        <w:t xml:space="preserve"> Д. </w:t>
      </w:r>
      <w:r w:rsidRPr="00A606C6">
        <w:rPr>
          <w:kern w:val="36"/>
        </w:rPr>
        <w:t>Слияния, поглощения и другие способы реструктуризации компании</w:t>
      </w:r>
      <w:r w:rsidRPr="00A606C6">
        <w:rPr>
          <w:bCs/>
          <w:kern w:val="36"/>
        </w:rPr>
        <w:t>. М</w:t>
      </w:r>
      <w:r w:rsidRPr="00252B6B">
        <w:rPr>
          <w:bCs/>
          <w:kern w:val="36"/>
        </w:rPr>
        <w:t xml:space="preserve">.: </w:t>
      </w:r>
      <w:r>
        <w:rPr>
          <w:bCs/>
          <w:kern w:val="36"/>
        </w:rPr>
        <w:t>Олимп</w:t>
      </w:r>
      <w:r w:rsidRPr="00252B6B">
        <w:rPr>
          <w:bCs/>
          <w:kern w:val="36"/>
        </w:rPr>
        <w:t>-</w:t>
      </w:r>
      <w:r>
        <w:rPr>
          <w:bCs/>
          <w:kern w:val="36"/>
        </w:rPr>
        <w:t>Бизнес</w:t>
      </w:r>
      <w:r w:rsidRPr="00252B6B">
        <w:rPr>
          <w:bCs/>
          <w:kern w:val="36"/>
        </w:rPr>
        <w:t xml:space="preserve">, 2007, </w:t>
      </w:r>
      <w:r w:rsidRPr="00A606C6">
        <w:rPr>
          <w:bCs/>
          <w:kern w:val="36"/>
        </w:rPr>
        <w:t>стр</w:t>
      </w:r>
      <w:r w:rsidRPr="00252B6B">
        <w:rPr>
          <w:bCs/>
          <w:kern w:val="36"/>
        </w:rPr>
        <w:t>. 408-413.</w:t>
      </w:r>
    </w:p>
  </w:footnote>
  <w:footnote w:id="18">
    <w:p w:rsidR="004C50AA" w:rsidRDefault="004C50AA" w:rsidP="00F019C3">
      <w:pPr>
        <w:pStyle w:val="a4"/>
      </w:pPr>
      <w:r>
        <w:rPr>
          <w:rStyle w:val="a6"/>
        </w:rPr>
        <w:footnoteRef/>
      </w:r>
      <w:r>
        <w:t xml:space="preserve"> </w:t>
      </w:r>
      <w:proofErr w:type="spellStart"/>
      <w:r w:rsidRPr="0054710A">
        <w:t>Рябичева</w:t>
      </w:r>
      <w:proofErr w:type="spellEnd"/>
      <w:r w:rsidRPr="0054710A">
        <w:t xml:space="preserve"> А.В.</w:t>
      </w:r>
      <w:r>
        <w:t xml:space="preserve"> Методы оценки экономической эффективности слияний и поглощений // Экономическая эффективность слияний и поглощений. 2007. №4. стр. 407-410.</w:t>
      </w:r>
    </w:p>
  </w:footnote>
  <w:footnote w:id="19">
    <w:p w:rsidR="004C50AA" w:rsidRPr="00411F47" w:rsidRDefault="004C50AA" w:rsidP="00F019C3">
      <w:pPr>
        <w:pStyle w:val="a4"/>
      </w:pPr>
      <w:r>
        <w:rPr>
          <w:rStyle w:val="a6"/>
        </w:rPr>
        <w:footnoteRef/>
      </w:r>
      <w:r>
        <w:t xml:space="preserve"> Лапко К. Анализ метода дисконтирования денежных потоков и его применение в современных условиях</w:t>
      </w:r>
      <w:r w:rsidRPr="00B5576B">
        <w:t xml:space="preserve"> // </w:t>
      </w:r>
      <w:r>
        <w:t>Аудит и финансовый анализ</w:t>
      </w:r>
      <w:r w:rsidRPr="00B5576B">
        <w:t>. 20</w:t>
      </w:r>
      <w:r>
        <w:t>09</w:t>
      </w:r>
      <w:r w:rsidRPr="00B5576B">
        <w:t xml:space="preserve">. № 6. </w:t>
      </w:r>
      <w:r>
        <w:t>стр</w:t>
      </w:r>
      <w:r w:rsidRPr="00B5576B">
        <w:t xml:space="preserve">. </w:t>
      </w:r>
      <w:r>
        <w:t>1-</w:t>
      </w:r>
      <w:r w:rsidRPr="00B5576B">
        <w:t>7.</w:t>
      </w:r>
    </w:p>
  </w:footnote>
  <w:footnote w:id="20">
    <w:p w:rsidR="004C50AA" w:rsidRDefault="004C50AA" w:rsidP="00F019C3">
      <w:pPr>
        <w:pStyle w:val="a4"/>
      </w:pPr>
      <w:r>
        <w:rPr>
          <w:rStyle w:val="a6"/>
        </w:rPr>
        <w:footnoteRef/>
      </w:r>
      <w:r>
        <w:t xml:space="preserve"> </w:t>
      </w:r>
      <w:r w:rsidRPr="0041462F">
        <w:t>Эванс Ф.</w:t>
      </w:r>
      <w:r>
        <w:t>,</w:t>
      </w:r>
      <w:r w:rsidRPr="0041462F">
        <w:t xml:space="preserve"> Бишоп Д. Оценка компаний при слияниях и поглощениях. Создание стоимости в частных ко</w:t>
      </w:r>
      <w:r w:rsidRPr="0041462F">
        <w:t>м</w:t>
      </w:r>
      <w:r w:rsidRPr="0041462F">
        <w:t>па</w:t>
      </w:r>
      <w:r>
        <w:t>ниях. М., 2004, стр. 185-202.</w:t>
      </w:r>
    </w:p>
  </w:footnote>
  <w:footnote w:id="21">
    <w:p w:rsidR="004C50AA" w:rsidRDefault="004C50AA" w:rsidP="00F019C3">
      <w:pPr>
        <w:pStyle w:val="a4"/>
      </w:pPr>
      <w:r>
        <w:rPr>
          <w:rStyle w:val="a6"/>
        </w:rPr>
        <w:footnoteRef/>
      </w:r>
      <w:r>
        <w:t xml:space="preserve"> </w:t>
      </w:r>
      <w:r w:rsidRPr="0009065A">
        <w:t>Ларченко А. Оценка бизнеса. Подходы и методы. СПб</w:t>
      </w:r>
      <w:proofErr w:type="gramStart"/>
      <w:r w:rsidRPr="0009065A">
        <w:t>., "</w:t>
      </w:r>
      <w:proofErr w:type="spellStart"/>
      <w:proofErr w:type="gramEnd"/>
      <w:r w:rsidRPr="0009065A">
        <w:t>PRTeam</w:t>
      </w:r>
      <w:proofErr w:type="spellEnd"/>
      <w:r w:rsidRPr="0009065A">
        <w:t>", 2008. - 59 с.</w:t>
      </w:r>
    </w:p>
  </w:footnote>
  <w:footnote w:id="22">
    <w:p w:rsidR="004C50AA" w:rsidRDefault="004C50AA" w:rsidP="00F019C3">
      <w:pPr>
        <w:pStyle w:val="a4"/>
      </w:pPr>
      <w:r>
        <w:rPr>
          <w:rStyle w:val="a6"/>
        </w:rPr>
        <w:footnoteRef/>
      </w:r>
      <w:r>
        <w:t xml:space="preserve"> </w:t>
      </w:r>
      <w:r w:rsidRPr="0041462F">
        <w:t>Эванс Ф.</w:t>
      </w:r>
      <w:r>
        <w:t>,</w:t>
      </w:r>
      <w:r w:rsidRPr="0041462F">
        <w:t xml:space="preserve"> Бишоп Д. Оценка компаний при слияниях и поглощениях. Создание стоимости в частных ко</w:t>
      </w:r>
      <w:r w:rsidRPr="0041462F">
        <w:t>м</w:t>
      </w:r>
      <w:r w:rsidRPr="0041462F">
        <w:t>па</w:t>
      </w:r>
      <w:r>
        <w:t>ниях. М., 2004, стр. 203-214.</w:t>
      </w:r>
    </w:p>
  </w:footnote>
  <w:footnote w:id="23">
    <w:p w:rsidR="004C50AA" w:rsidRPr="00601E5D" w:rsidRDefault="004C50AA" w:rsidP="00F019C3">
      <w:pPr>
        <w:pStyle w:val="a4"/>
      </w:pPr>
      <w:r>
        <w:rPr>
          <w:rStyle w:val="a6"/>
        </w:rPr>
        <w:footnoteRef/>
      </w:r>
      <w:r w:rsidRPr="0009065A">
        <w:t xml:space="preserve"> Ларченко А. Оценка бизнеса. Подходы и методы. </w:t>
      </w:r>
      <w:r w:rsidRPr="002D2E4E">
        <w:t>СПб</w:t>
      </w:r>
      <w:r w:rsidRPr="00601E5D">
        <w:t>., "</w:t>
      </w:r>
      <w:proofErr w:type="spellStart"/>
      <w:r w:rsidRPr="0009065A">
        <w:rPr>
          <w:lang w:val="en-US"/>
        </w:rPr>
        <w:t>PRTeam</w:t>
      </w:r>
      <w:proofErr w:type="spellEnd"/>
      <w:r w:rsidRPr="00601E5D">
        <w:t xml:space="preserve">", 2008. - 59 </w:t>
      </w:r>
      <w:r w:rsidRPr="002D2E4E">
        <w:t>с</w:t>
      </w:r>
      <w:r w:rsidRPr="00601E5D">
        <w:t>.</w:t>
      </w:r>
    </w:p>
  </w:footnote>
  <w:footnote w:id="24">
    <w:p w:rsidR="004C50AA" w:rsidRPr="0009065A" w:rsidRDefault="004C50AA" w:rsidP="00F019C3">
      <w:pPr>
        <w:pStyle w:val="a4"/>
        <w:rPr>
          <w:lang w:val="en-US"/>
        </w:rPr>
      </w:pPr>
      <w:r>
        <w:rPr>
          <w:rStyle w:val="a6"/>
        </w:rPr>
        <w:footnoteRef/>
      </w:r>
      <w:r w:rsidRPr="00212F64">
        <w:rPr>
          <w:lang w:val="en-US"/>
        </w:rPr>
        <w:t xml:space="preserve"> </w:t>
      </w:r>
      <w:r w:rsidRPr="00F349EF">
        <w:rPr>
          <w:lang w:val="en-US"/>
        </w:rPr>
        <w:t>DaimlerChrysler</w:t>
      </w:r>
      <w:r w:rsidRPr="0009065A">
        <w:rPr>
          <w:lang w:val="en-US"/>
        </w:rPr>
        <w:t xml:space="preserve">: </w:t>
      </w:r>
      <w:r w:rsidRPr="00F349EF">
        <w:rPr>
          <w:lang w:val="en-US"/>
        </w:rPr>
        <w:t>End</w:t>
      </w:r>
      <w:r w:rsidRPr="0009065A">
        <w:rPr>
          <w:lang w:val="en-US"/>
        </w:rPr>
        <w:t xml:space="preserve"> </w:t>
      </w:r>
      <w:r w:rsidRPr="00F349EF">
        <w:rPr>
          <w:lang w:val="en-US"/>
        </w:rPr>
        <w:t>of</w:t>
      </w:r>
      <w:r w:rsidRPr="0009065A">
        <w:rPr>
          <w:lang w:val="en-US"/>
        </w:rPr>
        <w:t xml:space="preserve"> </w:t>
      </w:r>
      <w:r w:rsidRPr="00F349EF">
        <w:rPr>
          <w:lang w:val="en-US"/>
        </w:rPr>
        <w:t>an</w:t>
      </w:r>
      <w:r w:rsidRPr="0009065A">
        <w:rPr>
          <w:lang w:val="en-US"/>
        </w:rPr>
        <w:t xml:space="preserve"> </w:t>
      </w:r>
      <w:r w:rsidRPr="00F349EF">
        <w:rPr>
          <w:lang w:val="en-US"/>
        </w:rPr>
        <w:t>Unhappy</w:t>
      </w:r>
      <w:r w:rsidRPr="0009065A">
        <w:rPr>
          <w:lang w:val="en-US"/>
        </w:rPr>
        <w:t xml:space="preserve"> </w:t>
      </w:r>
      <w:r w:rsidRPr="00F349EF">
        <w:rPr>
          <w:lang w:val="en-US"/>
        </w:rPr>
        <w:t>Pair</w:t>
      </w:r>
      <w:r w:rsidRPr="0009065A">
        <w:rPr>
          <w:lang w:val="en-US"/>
        </w:rPr>
        <w:t xml:space="preserve">? //  </w:t>
      </w:r>
      <w:r w:rsidRPr="00F349EF">
        <w:rPr>
          <w:lang w:val="en-US"/>
        </w:rPr>
        <w:t>http</w:t>
      </w:r>
      <w:r w:rsidRPr="0009065A">
        <w:rPr>
          <w:lang w:val="en-US"/>
        </w:rPr>
        <w:t>://</w:t>
      </w:r>
      <w:r w:rsidRPr="00F349EF">
        <w:rPr>
          <w:lang w:val="en-US"/>
        </w:rPr>
        <w:t>www</w:t>
      </w:r>
      <w:r w:rsidRPr="0009065A">
        <w:rPr>
          <w:lang w:val="en-US"/>
        </w:rPr>
        <w:t>.</w:t>
      </w:r>
      <w:r w:rsidRPr="00F349EF">
        <w:rPr>
          <w:lang w:val="en-US"/>
        </w:rPr>
        <w:t>bloomberg</w:t>
      </w:r>
      <w:r w:rsidRPr="0009065A">
        <w:rPr>
          <w:lang w:val="en-US"/>
        </w:rPr>
        <w:t>.</w:t>
      </w:r>
      <w:r w:rsidRPr="00F349EF">
        <w:rPr>
          <w:lang w:val="en-US"/>
        </w:rPr>
        <w:t>com</w:t>
      </w:r>
      <w:r w:rsidRPr="0009065A">
        <w:rPr>
          <w:lang w:val="en-US"/>
        </w:rPr>
        <w:t>/</w:t>
      </w:r>
      <w:r w:rsidRPr="00F349EF">
        <w:rPr>
          <w:lang w:val="en-US"/>
        </w:rPr>
        <w:t>bw</w:t>
      </w:r>
      <w:r w:rsidRPr="0009065A">
        <w:rPr>
          <w:lang w:val="en-US"/>
        </w:rPr>
        <w:t>/</w:t>
      </w:r>
      <w:r w:rsidRPr="00F349EF">
        <w:rPr>
          <w:lang w:val="en-US"/>
        </w:rPr>
        <w:t>stories</w:t>
      </w:r>
      <w:r w:rsidRPr="0009065A">
        <w:rPr>
          <w:lang w:val="en-US"/>
        </w:rPr>
        <w:t>/2007-04-18/</w:t>
      </w:r>
      <w:r w:rsidRPr="00F349EF">
        <w:rPr>
          <w:lang w:val="en-US"/>
        </w:rPr>
        <w:t>daimlerchrysler</w:t>
      </w:r>
      <w:r w:rsidRPr="0009065A">
        <w:rPr>
          <w:lang w:val="en-US"/>
        </w:rPr>
        <w:t>-</w:t>
      </w:r>
      <w:r w:rsidRPr="00F349EF">
        <w:rPr>
          <w:lang w:val="en-US"/>
        </w:rPr>
        <w:t>end</w:t>
      </w:r>
      <w:r w:rsidRPr="0009065A">
        <w:rPr>
          <w:lang w:val="en-US"/>
        </w:rPr>
        <w:t>-</w:t>
      </w:r>
      <w:r w:rsidRPr="00F349EF">
        <w:rPr>
          <w:lang w:val="en-US"/>
        </w:rPr>
        <w:t>of</w:t>
      </w:r>
      <w:r w:rsidRPr="0009065A">
        <w:rPr>
          <w:lang w:val="en-US"/>
        </w:rPr>
        <w:t>-</w:t>
      </w:r>
      <w:r w:rsidRPr="00F349EF">
        <w:rPr>
          <w:lang w:val="en-US"/>
        </w:rPr>
        <w:t>an</w:t>
      </w:r>
      <w:r w:rsidRPr="0009065A">
        <w:rPr>
          <w:lang w:val="en-US"/>
        </w:rPr>
        <w:t>-</w:t>
      </w:r>
      <w:r w:rsidRPr="00F349EF">
        <w:rPr>
          <w:lang w:val="en-US"/>
        </w:rPr>
        <w:t>unhappy</w:t>
      </w:r>
      <w:r w:rsidRPr="0009065A">
        <w:rPr>
          <w:lang w:val="en-US"/>
        </w:rPr>
        <w:t>-</w:t>
      </w:r>
      <w:r w:rsidRPr="00F349EF">
        <w:rPr>
          <w:lang w:val="en-US"/>
        </w:rPr>
        <w:t>pair</w:t>
      </w:r>
      <w:r w:rsidRPr="0009065A">
        <w:rPr>
          <w:lang w:val="en-US"/>
        </w:rPr>
        <w:t>-</w:t>
      </w:r>
      <w:r w:rsidRPr="00F349EF">
        <w:rPr>
          <w:lang w:val="en-US"/>
        </w:rPr>
        <w:t>businessweek</w:t>
      </w:r>
      <w:r w:rsidRPr="0009065A">
        <w:rPr>
          <w:lang w:val="en-US"/>
        </w:rPr>
        <w:t>-</w:t>
      </w:r>
      <w:r w:rsidRPr="00F349EF">
        <w:rPr>
          <w:lang w:val="en-US"/>
        </w:rPr>
        <w:t>business</w:t>
      </w:r>
      <w:r w:rsidRPr="0009065A">
        <w:rPr>
          <w:lang w:val="en-US"/>
        </w:rPr>
        <w:t>-</w:t>
      </w:r>
      <w:r w:rsidRPr="00F349EF">
        <w:rPr>
          <w:lang w:val="en-US"/>
        </w:rPr>
        <w:t>news</w:t>
      </w:r>
      <w:r w:rsidRPr="0009065A">
        <w:rPr>
          <w:lang w:val="en-US"/>
        </w:rPr>
        <w:t>-</w:t>
      </w:r>
      <w:r w:rsidRPr="00F349EF">
        <w:rPr>
          <w:lang w:val="en-US"/>
        </w:rPr>
        <w:t>stock</w:t>
      </w:r>
      <w:r w:rsidRPr="0009065A">
        <w:rPr>
          <w:lang w:val="en-US"/>
        </w:rPr>
        <w:t>-</w:t>
      </w:r>
      <w:r w:rsidRPr="00F349EF">
        <w:rPr>
          <w:lang w:val="en-US"/>
        </w:rPr>
        <w:t>market</w:t>
      </w:r>
      <w:r w:rsidRPr="0009065A">
        <w:rPr>
          <w:lang w:val="en-US"/>
        </w:rPr>
        <w:t>-</w:t>
      </w:r>
      <w:r w:rsidRPr="00F349EF">
        <w:rPr>
          <w:lang w:val="en-US"/>
        </w:rPr>
        <w:t>and</w:t>
      </w:r>
      <w:r w:rsidRPr="0009065A">
        <w:rPr>
          <w:lang w:val="en-US"/>
        </w:rPr>
        <w:t>-</w:t>
      </w:r>
      <w:r w:rsidRPr="00F349EF">
        <w:rPr>
          <w:lang w:val="en-US"/>
        </w:rPr>
        <w:t>financial</w:t>
      </w:r>
      <w:r w:rsidRPr="0009065A">
        <w:rPr>
          <w:lang w:val="en-US"/>
        </w:rPr>
        <w:t>-</w:t>
      </w:r>
      <w:r w:rsidRPr="00F349EF">
        <w:rPr>
          <w:lang w:val="en-US"/>
        </w:rPr>
        <w:t>advice</w:t>
      </w:r>
      <w:r w:rsidRPr="0009065A">
        <w:rPr>
          <w:lang w:val="en-US"/>
        </w:rPr>
        <w:t xml:space="preserve">  </w:t>
      </w:r>
    </w:p>
  </w:footnote>
  <w:footnote w:id="25">
    <w:p w:rsidR="004C50AA" w:rsidRPr="00212F64" w:rsidRDefault="004C50AA" w:rsidP="00F019C3">
      <w:pPr>
        <w:pStyle w:val="a4"/>
        <w:rPr>
          <w:lang w:val="en-US"/>
        </w:rPr>
      </w:pPr>
      <w:r>
        <w:rPr>
          <w:rStyle w:val="a6"/>
        </w:rPr>
        <w:footnoteRef/>
      </w:r>
      <w:r w:rsidRPr="00F349EF">
        <w:rPr>
          <w:lang w:val="en-US"/>
        </w:rPr>
        <w:t xml:space="preserve"> Alcatel-Lucent Posts Loss, but Revenue Climbs 18% // http://www.nytimes.com/2008/02/09/business</w:t>
      </w:r>
      <w:r>
        <w:rPr>
          <w:lang w:val="en-US"/>
        </w:rPr>
        <w:t xml:space="preserve">/09alcatel.html?_r=0  </w:t>
      </w:r>
    </w:p>
  </w:footnote>
  <w:footnote w:id="26">
    <w:p w:rsidR="004C50AA" w:rsidRPr="00D430D9" w:rsidRDefault="004C50AA" w:rsidP="00F019C3">
      <w:pPr>
        <w:pStyle w:val="a4"/>
        <w:rPr>
          <w:lang w:val="en-US"/>
        </w:rPr>
      </w:pPr>
      <w:r>
        <w:rPr>
          <w:rStyle w:val="a6"/>
        </w:rPr>
        <w:footnoteRef/>
      </w:r>
      <w:r w:rsidRPr="00D430D9">
        <w:rPr>
          <w:lang w:val="en-US"/>
        </w:rPr>
        <w:t xml:space="preserve"> </w:t>
      </w:r>
      <w:proofErr w:type="spellStart"/>
      <w:r w:rsidRPr="00D430D9">
        <w:rPr>
          <w:lang w:val="en-US"/>
        </w:rPr>
        <w:t>Webner</w:t>
      </w:r>
      <w:proofErr w:type="spellEnd"/>
      <w:r w:rsidRPr="00D430D9">
        <w:rPr>
          <w:lang w:val="en-US"/>
        </w:rPr>
        <w:t xml:space="preserve"> Y. </w:t>
      </w:r>
      <w:proofErr w:type="spellStart"/>
      <w:r w:rsidRPr="00D430D9">
        <w:rPr>
          <w:lang w:val="en-US"/>
        </w:rPr>
        <w:t>Tabra</w:t>
      </w:r>
      <w:proofErr w:type="spellEnd"/>
      <w:r w:rsidRPr="00D430D9">
        <w:rPr>
          <w:lang w:val="en-US"/>
        </w:rPr>
        <w:t xml:space="preserve"> S. Oberg C. Comprehensive Guide to Mergers &amp; Acquisitions, </w:t>
      </w:r>
      <w:proofErr w:type="gramStart"/>
      <w:r w:rsidRPr="00D430D9">
        <w:rPr>
          <w:lang w:val="en-US"/>
        </w:rPr>
        <w:t>A</w:t>
      </w:r>
      <w:proofErr w:type="gramEnd"/>
      <w:r w:rsidRPr="00D430D9">
        <w:rPr>
          <w:lang w:val="en-US"/>
        </w:rPr>
        <w:t>: Managing the Critical Su</w:t>
      </w:r>
      <w:r w:rsidRPr="00D430D9">
        <w:rPr>
          <w:lang w:val="en-US"/>
        </w:rPr>
        <w:t>c</w:t>
      </w:r>
      <w:r w:rsidRPr="00D430D9">
        <w:rPr>
          <w:lang w:val="en-US"/>
        </w:rPr>
        <w:t>cess Factors Across Every Stage of the M&amp;A Process</w:t>
      </w:r>
      <w:r>
        <w:rPr>
          <w:lang w:val="en-US"/>
        </w:rPr>
        <w:t xml:space="preserve">. </w:t>
      </w:r>
      <w:proofErr w:type="gramStart"/>
      <w:r>
        <w:rPr>
          <w:lang w:val="en-US"/>
        </w:rPr>
        <w:t>FT-Press, 2013, Chapter 1.</w:t>
      </w:r>
      <w:proofErr w:type="gramEnd"/>
      <w:r>
        <w:rPr>
          <w:lang w:val="en-US"/>
        </w:rPr>
        <w:t xml:space="preserve"> // </w:t>
      </w:r>
      <w:r w:rsidRPr="001F7A70">
        <w:rPr>
          <w:lang w:val="en-US"/>
        </w:rPr>
        <w:t>http://www.ftpress.com/articles/article.aspx?p=2164982</w:t>
      </w:r>
      <w:r>
        <w:rPr>
          <w:lang w:val="en-US"/>
        </w:rPr>
        <w:t xml:space="preserve"> </w:t>
      </w:r>
    </w:p>
  </w:footnote>
  <w:footnote w:id="27">
    <w:p w:rsidR="004C50AA" w:rsidRPr="00247FC7" w:rsidRDefault="004C50AA" w:rsidP="00F019C3">
      <w:pPr>
        <w:pStyle w:val="a4"/>
      </w:pPr>
      <w:r>
        <w:rPr>
          <w:rStyle w:val="a6"/>
        </w:rPr>
        <w:footnoteRef/>
      </w:r>
      <w:r>
        <w:t xml:space="preserve"> </w:t>
      </w:r>
      <w:r w:rsidRPr="00247FC7">
        <w:t>Харисов И. Процессный подход к управлению компаниями после слияний и поглощений // Проблемы с</w:t>
      </w:r>
      <w:r w:rsidRPr="00247FC7">
        <w:t>о</w:t>
      </w:r>
      <w:r w:rsidRPr="00247FC7">
        <w:t>временной экономики. 2009.</w:t>
      </w:r>
      <w:r>
        <w:t xml:space="preserve"> </w:t>
      </w:r>
      <w:r w:rsidRPr="00247FC7">
        <w:t>№2. стр. 1-4.</w:t>
      </w:r>
    </w:p>
  </w:footnote>
  <w:footnote w:id="28">
    <w:p w:rsidR="004C50AA" w:rsidRPr="002D2E4E" w:rsidRDefault="004C50AA" w:rsidP="00F019C3">
      <w:pPr>
        <w:pStyle w:val="a4"/>
        <w:rPr>
          <w:lang w:val="en-US"/>
        </w:rPr>
      </w:pPr>
      <w:r>
        <w:rPr>
          <w:rStyle w:val="a6"/>
        </w:rPr>
        <w:footnoteRef/>
      </w:r>
      <w:r>
        <w:t xml:space="preserve"> </w:t>
      </w:r>
      <w:proofErr w:type="spellStart"/>
      <w:r w:rsidRPr="00A606C6">
        <w:rPr>
          <w:kern w:val="36"/>
        </w:rPr>
        <w:t>Депамфилис</w:t>
      </w:r>
      <w:proofErr w:type="spellEnd"/>
      <w:r w:rsidRPr="00A606C6">
        <w:rPr>
          <w:bCs/>
          <w:kern w:val="36"/>
        </w:rPr>
        <w:t xml:space="preserve"> Д. </w:t>
      </w:r>
      <w:r w:rsidRPr="00A606C6">
        <w:rPr>
          <w:kern w:val="36"/>
        </w:rPr>
        <w:t>Слияния, поглощения и другие способы реструктуризации компании</w:t>
      </w:r>
      <w:r w:rsidRPr="00A606C6">
        <w:rPr>
          <w:bCs/>
          <w:kern w:val="36"/>
        </w:rPr>
        <w:t>. М</w:t>
      </w:r>
      <w:r w:rsidRPr="002D2E4E">
        <w:rPr>
          <w:bCs/>
          <w:kern w:val="36"/>
          <w:lang w:val="en-US"/>
        </w:rPr>
        <w:t xml:space="preserve">.: </w:t>
      </w:r>
      <w:r>
        <w:rPr>
          <w:bCs/>
          <w:kern w:val="36"/>
        </w:rPr>
        <w:t>Олимп</w:t>
      </w:r>
      <w:r w:rsidRPr="002D2E4E">
        <w:rPr>
          <w:bCs/>
          <w:kern w:val="36"/>
          <w:lang w:val="en-US"/>
        </w:rPr>
        <w:t>-</w:t>
      </w:r>
      <w:r>
        <w:rPr>
          <w:bCs/>
          <w:kern w:val="36"/>
        </w:rPr>
        <w:t>Бизнес</w:t>
      </w:r>
      <w:r w:rsidRPr="002D2E4E">
        <w:rPr>
          <w:bCs/>
          <w:kern w:val="36"/>
          <w:lang w:val="en-US"/>
        </w:rPr>
        <w:t xml:space="preserve">, 2007, </w:t>
      </w:r>
      <w:proofErr w:type="spellStart"/>
      <w:r w:rsidRPr="00A606C6">
        <w:rPr>
          <w:bCs/>
          <w:kern w:val="36"/>
        </w:rPr>
        <w:t>стр</w:t>
      </w:r>
      <w:proofErr w:type="spellEnd"/>
      <w:r w:rsidRPr="002D2E4E">
        <w:rPr>
          <w:bCs/>
          <w:kern w:val="36"/>
          <w:lang w:val="en-US"/>
        </w:rPr>
        <w:t>. 559-564.</w:t>
      </w:r>
    </w:p>
  </w:footnote>
  <w:footnote w:id="29">
    <w:p w:rsidR="004C50AA" w:rsidRPr="00F019C3" w:rsidRDefault="004C50AA" w:rsidP="001209D8">
      <w:pPr>
        <w:pStyle w:val="a4"/>
        <w:rPr>
          <w:lang w:val="en-US"/>
        </w:rPr>
      </w:pPr>
      <w:r>
        <w:rPr>
          <w:rStyle w:val="a6"/>
        </w:rPr>
        <w:footnoteRef/>
      </w:r>
      <w:r w:rsidRPr="0061559D">
        <w:rPr>
          <w:lang w:val="en-US"/>
        </w:rPr>
        <w:t xml:space="preserve"> </w:t>
      </w:r>
      <w:proofErr w:type="spellStart"/>
      <w:r w:rsidRPr="00746E63">
        <w:rPr>
          <w:lang w:val="en-US"/>
        </w:rPr>
        <w:t>Arveson</w:t>
      </w:r>
      <w:proofErr w:type="spellEnd"/>
      <w:r w:rsidRPr="00746E63">
        <w:rPr>
          <w:lang w:val="en-US"/>
        </w:rPr>
        <w:t xml:space="preserve"> P. Strategic Management of Scientific Research Organizations // Journal. </w:t>
      </w:r>
      <w:proofErr w:type="gramStart"/>
      <w:r w:rsidRPr="00746E63">
        <w:rPr>
          <w:lang w:val="en-US"/>
        </w:rPr>
        <w:t>Wash-</w:t>
      </w:r>
      <w:proofErr w:type="spellStart"/>
      <w:r w:rsidRPr="00746E63">
        <w:rPr>
          <w:lang w:val="en-US"/>
        </w:rPr>
        <w:t>ington</w:t>
      </w:r>
      <w:proofErr w:type="spellEnd"/>
      <w:r w:rsidRPr="00746E63">
        <w:rPr>
          <w:lang w:val="en-US"/>
        </w:rPr>
        <w:t xml:space="preserve"> Academy of Sc</w:t>
      </w:r>
      <w:r w:rsidRPr="00746E63">
        <w:rPr>
          <w:lang w:val="en-US"/>
        </w:rPr>
        <w:t>i</w:t>
      </w:r>
      <w:r w:rsidRPr="00746E63">
        <w:rPr>
          <w:lang w:val="en-US"/>
        </w:rPr>
        <w:t>ences.</w:t>
      </w:r>
      <w:proofErr w:type="gramEnd"/>
      <w:r w:rsidRPr="00746E63">
        <w:rPr>
          <w:lang w:val="en-US"/>
        </w:rPr>
        <w:t xml:space="preserve"> 2012. Vol. 98. URL</w:t>
      </w:r>
      <w:r w:rsidRPr="00F019C3">
        <w:rPr>
          <w:lang w:val="en-US"/>
        </w:rPr>
        <w:t xml:space="preserve"> : // </w:t>
      </w:r>
      <w:r w:rsidRPr="00746E63">
        <w:rPr>
          <w:lang w:val="en-US"/>
        </w:rPr>
        <w:t>http</w:t>
      </w:r>
      <w:r w:rsidRPr="00F019C3">
        <w:rPr>
          <w:lang w:val="en-US"/>
        </w:rPr>
        <w:t>://</w:t>
      </w:r>
      <w:r w:rsidRPr="00746E63">
        <w:rPr>
          <w:lang w:val="en-US"/>
        </w:rPr>
        <w:t>www</w:t>
      </w:r>
      <w:r w:rsidRPr="00F019C3">
        <w:rPr>
          <w:lang w:val="en-US"/>
        </w:rPr>
        <w:t>.</w:t>
      </w:r>
      <w:r w:rsidRPr="00746E63">
        <w:rPr>
          <w:lang w:val="en-US"/>
        </w:rPr>
        <w:t>washacadsci</w:t>
      </w:r>
      <w:r w:rsidRPr="00F019C3">
        <w:rPr>
          <w:lang w:val="en-US"/>
        </w:rPr>
        <w:t>.</w:t>
      </w:r>
      <w:r w:rsidRPr="00746E63">
        <w:rPr>
          <w:lang w:val="en-US"/>
        </w:rPr>
        <w:t>org</w:t>
      </w:r>
      <w:r w:rsidRPr="00F019C3">
        <w:rPr>
          <w:lang w:val="en-US"/>
        </w:rPr>
        <w:t>/</w:t>
      </w:r>
      <w:r w:rsidRPr="00746E63">
        <w:rPr>
          <w:lang w:val="en-US"/>
        </w:rPr>
        <w:t>Journal</w:t>
      </w:r>
      <w:r w:rsidRPr="00F019C3">
        <w:rPr>
          <w:lang w:val="en-US"/>
        </w:rPr>
        <w:t>/</w:t>
      </w:r>
      <w:r w:rsidRPr="00746E63">
        <w:rPr>
          <w:lang w:val="en-US"/>
        </w:rPr>
        <w:t>Journalarticles</w:t>
      </w:r>
      <w:r w:rsidRPr="00F019C3">
        <w:rPr>
          <w:lang w:val="en-US"/>
        </w:rPr>
        <w:t>/</w:t>
      </w:r>
      <w:r w:rsidRPr="00746E63">
        <w:rPr>
          <w:lang w:val="en-US"/>
        </w:rPr>
        <w:t>V</w:t>
      </w:r>
      <w:r w:rsidRPr="00F019C3">
        <w:rPr>
          <w:lang w:val="en-US"/>
        </w:rPr>
        <w:t>.98-3-</w:t>
      </w:r>
      <w:r w:rsidRPr="00746E63">
        <w:rPr>
          <w:lang w:val="en-US"/>
        </w:rPr>
        <w:t>Strategic</w:t>
      </w:r>
      <w:r w:rsidRPr="00F019C3">
        <w:rPr>
          <w:lang w:val="en-US"/>
        </w:rPr>
        <w:t>_</w:t>
      </w:r>
      <w:r w:rsidRPr="00746E63">
        <w:rPr>
          <w:lang w:val="en-US"/>
        </w:rPr>
        <w:t>Management</w:t>
      </w:r>
      <w:r w:rsidRPr="00F019C3">
        <w:rPr>
          <w:lang w:val="en-US"/>
        </w:rPr>
        <w:t>_</w:t>
      </w:r>
      <w:r w:rsidRPr="00746E63">
        <w:rPr>
          <w:lang w:val="en-US"/>
        </w:rPr>
        <w:t>of</w:t>
      </w:r>
      <w:r w:rsidRPr="00F019C3">
        <w:rPr>
          <w:lang w:val="en-US"/>
        </w:rPr>
        <w:t>_</w:t>
      </w:r>
      <w:r w:rsidRPr="00746E63">
        <w:rPr>
          <w:lang w:val="en-US"/>
        </w:rPr>
        <w:t>Scientific</w:t>
      </w:r>
      <w:r w:rsidRPr="00F019C3">
        <w:rPr>
          <w:lang w:val="en-US"/>
        </w:rPr>
        <w:t>_</w:t>
      </w:r>
      <w:r w:rsidRPr="00746E63">
        <w:rPr>
          <w:lang w:val="en-US"/>
        </w:rPr>
        <w:t>Research</w:t>
      </w:r>
      <w:r w:rsidRPr="00F019C3">
        <w:rPr>
          <w:lang w:val="en-US"/>
        </w:rPr>
        <w:t>_</w:t>
      </w:r>
      <w:r w:rsidRPr="00746E63">
        <w:rPr>
          <w:lang w:val="en-US"/>
        </w:rPr>
        <w:t>Organizat</w:t>
      </w:r>
      <w:r>
        <w:rPr>
          <w:lang w:val="en-US"/>
        </w:rPr>
        <w:t>ions</w:t>
      </w:r>
      <w:r w:rsidRPr="00F019C3">
        <w:rPr>
          <w:lang w:val="en-US"/>
        </w:rPr>
        <w:t>_</w:t>
      </w:r>
      <w:r>
        <w:rPr>
          <w:lang w:val="en-US"/>
        </w:rPr>
        <w:t>Arveson</w:t>
      </w:r>
      <w:r w:rsidRPr="00F019C3">
        <w:rPr>
          <w:lang w:val="en-US"/>
        </w:rPr>
        <w:t>.</w:t>
      </w:r>
      <w:r>
        <w:rPr>
          <w:lang w:val="en-US"/>
        </w:rPr>
        <w:t xml:space="preserve">pdf </w:t>
      </w:r>
    </w:p>
  </w:footnote>
  <w:footnote w:id="30">
    <w:p w:rsidR="004C50AA" w:rsidRPr="003D36FC" w:rsidRDefault="004C50AA" w:rsidP="00F019C3">
      <w:pPr>
        <w:pStyle w:val="a4"/>
        <w:rPr>
          <w:lang w:val="en-US"/>
        </w:rPr>
      </w:pPr>
      <w:r>
        <w:rPr>
          <w:rStyle w:val="a6"/>
        </w:rPr>
        <w:footnoteRef/>
      </w:r>
      <w:r w:rsidRPr="001E0CCB">
        <w:rPr>
          <w:lang w:val="en-US"/>
        </w:rPr>
        <w:t xml:space="preserve"> </w:t>
      </w:r>
      <w:proofErr w:type="spellStart"/>
      <w:r w:rsidRPr="00D430D9">
        <w:rPr>
          <w:lang w:val="en-US"/>
        </w:rPr>
        <w:t>Webner</w:t>
      </w:r>
      <w:proofErr w:type="spellEnd"/>
      <w:r w:rsidRPr="00D430D9">
        <w:rPr>
          <w:lang w:val="en-US"/>
        </w:rPr>
        <w:t xml:space="preserve"> Y. </w:t>
      </w:r>
      <w:proofErr w:type="spellStart"/>
      <w:r w:rsidRPr="00D430D9">
        <w:rPr>
          <w:lang w:val="en-US"/>
        </w:rPr>
        <w:t>Tabra</w:t>
      </w:r>
      <w:proofErr w:type="spellEnd"/>
      <w:r w:rsidRPr="00D430D9">
        <w:rPr>
          <w:lang w:val="en-US"/>
        </w:rPr>
        <w:t xml:space="preserve"> S. Oberg C. Comprehensive Guide to Mergers &amp; Acquisitions, </w:t>
      </w:r>
      <w:proofErr w:type="gramStart"/>
      <w:r w:rsidRPr="00D430D9">
        <w:rPr>
          <w:lang w:val="en-US"/>
        </w:rPr>
        <w:t>A</w:t>
      </w:r>
      <w:proofErr w:type="gramEnd"/>
      <w:r w:rsidRPr="00D430D9">
        <w:rPr>
          <w:lang w:val="en-US"/>
        </w:rPr>
        <w:t>: Managing the Critical Su</w:t>
      </w:r>
      <w:r w:rsidRPr="00D430D9">
        <w:rPr>
          <w:lang w:val="en-US"/>
        </w:rPr>
        <w:t>c</w:t>
      </w:r>
      <w:r w:rsidRPr="00D430D9">
        <w:rPr>
          <w:lang w:val="en-US"/>
        </w:rPr>
        <w:t>cess Factors Across Every Stage of the M&amp;A Process</w:t>
      </w:r>
      <w:r>
        <w:rPr>
          <w:lang w:val="en-US"/>
        </w:rPr>
        <w:t xml:space="preserve">. </w:t>
      </w:r>
      <w:proofErr w:type="gramStart"/>
      <w:r>
        <w:rPr>
          <w:lang w:val="en-US"/>
        </w:rPr>
        <w:t>FT-Press, 2013, Chapter 1.</w:t>
      </w:r>
      <w:proofErr w:type="gramEnd"/>
      <w:r>
        <w:rPr>
          <w:lang w:val="en-US"/>
        </w:rPr>
        <w:t xml:space="preserve"> // </w:t>
      </w:r>
      <w:r w:rsidRPr="001F7A70">
        <w:rPr>
          <w:lang w:val="en-US"/>
        </w:rPr>
        <w:t>http://www.ftpress.com/articles/article.aspx?p=2164982</w:t>
      </w:r>
      <w:r>
        <w:rPr>
          <w:lang w:val="en-US"/>
        </w:rPr>
        <w:t xml:space="preserve"> </w:t>
      </w:r>
    </w:p>
  </w:footnote>
  <w:footnote w:id="31">
    <w:p w:rsidR="004C50AA" w:rsidRPr="003D36FC" w:rsidRDefault="004C50AA" w:rsidP="00F019C3">
      <w:pPr>
        <w:pStyle w:val="a4"/>
        <w:rPr>
          <w:lang w:val="en-US"/>
        </w:rPr>
      </w:pPr>
      <w:r>
        <w:rPr>
          <w:rStyle w:val="a6"/>
        </w:rPr>
        <w:footnoteRef/>
      </w:r>
      <w:r w:rsidRPr="00F349EF">
        <w:rPr>
          <w:lang w:val="en-US"/>
        </w:rPr>
        <w:t xml:space="preserve"> DaimlerChrysler AG - Company Profile, Information, Business Description, History, Background Information on DaimlerChrysler AG // http://www.referenceforbusiness.com/history2/87/Da</w:t>
      </w:r>
      <w:r>
        <w:rPr>
          <w:lang w:val="en-US"/>
        </w:rPr>
        <w:t xml:space="preserve">imlerChrysler-AG.html </w:t>
      </w:r>
    </w:p>
  </w:footnote>
  <w:footnote w:id="32">
    <w:p w:rsidR="004C50AA" w:rsidRPr="00ED0FF0" w:rsidRDefault="004C50AA" w:rsidP="00F019C3">
      <w:pPr>
        <w:pStyle w:val="a4"/>
        <w:rPr>
          <w:lang w:val="en-US"/>
        </w:rPr>
      </w:pPr>
      <w:r>
        <w:rPr>
          <w:rStyle w:val="a6"/>
        </w:rPr>
        <w:footnoteRef/>
      </w:r>
      <w:r w:rsidRPr="001F5690">
        <w:rPr>
          <w:lang w:val="en-US"/>
        </w:rPr>
        <w:t xml:space="preserve"> </w:t>
      </w:r>
      <w:proofErr w:type="spellStart"/>
      <w:r w:rsidRPr="00D430D9">
        <w:rPr>
          <w:lang w:val="en-US"/>
        </w:rPr>
        <w:t>Webner</w:t>
      </w:r>
      <w:proofErr w:type="spellEnd"/>
      <w:r w:rsidRPr="00D430D9">
        <w:rPr>
          <w:lang w:val="en-US"/>
        </w:rPr>
        <w:t xml:space="preserve"> Y. </w:t>
      </w:r>
      <w:proofErr w:type="spellStart"/>
      <w:r w:rsidRPr="00D430D9">
        <w:rPr>
          <w:lang w:val="en-US"/>
        </w:rPr>
        <w:t>Tabra</w:t>
      </w:r>
      <w:proofErr w:type="spellEnd"/>
      <w:r w:rsidRPr="00D430D9">
        <w:rPr>
          <w:lang w:val="en-US"/>
        </w:rPr>
        <w:t xml:space="preserve"> S. Oberg C. Comprehensive Guide to Mergers &amp; Acquisitions, </w:t>
      </w:r>
      <w:proofErr w:type="gramStart"/>
      <w:r w:rsidRPr="00D430D9">
        <w:rPr>
          <w:lang w:val="en-US"/>
        </w:rPr>
        <w:t>A</w:t>
      </w:r>
      <w:proofErr w:type="gramEnd"/>
      <w:r w:rsidRPr="00D430D9">
        <w:rPr>
          <w:lang w:val="en-US"/>
        </w:rPr>
        <w:t>: Managing the Critical Su</w:t>
      </w:r>
      <w:r w:rsidRPr="00D430D9">
        <w:rPr>
          <w:lang w:val="en-US"/>
        </w:rPr>
        <w:t>c</w:t>
      </w:r>
      <w:r w:rsidRPr="00D430D9">
        <w:rPr>
          <w:lang w:val="en-US"/>
        </w:rPr>
        <w:t>cess Factors Across Every Stage of the M&amp;A Process</w:t>
      </w:r>
      <w:r>
        <w:rPr>
          <w:lang w:val="en-US"/>
        </w:rPr>
        <w:t xml:space="preserve">. </w:t>
      </w:r>
      <w:proofErr w:type="gramStart"/>
      <w:r>
        <w:rPr>
          <w:lang w:val="en-US"/>
        </w:rPr>
        <w:t>FT-Press, 2013, Chapter 1.</w:t>
      </w:r>
      <w:proofErr w:type="gramEnd"/>
      <w:r>
        <w:rPr>
          <w:lang w:val="en-US"/>
        </w:rPr>
        <w:t xml:space="preserve"> // </w:t>
      </w:r>
      <w:r w:rsidRPr="001F7A70">
        <w:rPr>
          <w:lang w:val="en-US"/>
        </w:rPr>
        <w:t>http://www.ftpress.com/articles/article.aspx?p=2164982</w:t>
      </w:r>
      <w:r>
        <w:rPr>
          <w:lang w:val="en-US"/>
        </w:rPr>
        <w:t xml:space="preserve"> </w:t>
      </w:r>
    </w:p>
  </w:footnote>
  <w:footnote w:id="33">
    <w:p w:rsidR="004C50AA" w:rsidRPr="00F74B60" w:rsidRDefault="004C50AA">
      <w:pPr>
        <w:pStyle w:val="a4"/>
        <w:rPr>
          <w:lang w:val="en-US"/>
        </w:rPr>
      </w:pPr>
      <w:r>
        <w:rPr>
          <w:rStyle w:val="a6"/>
        </w:rPr>
        <w:footnoteRef/>
      </w:r>
      <w:r w:rsidRPr="00F74B60">
        <w:rPr>
          <w:lang w:val="en-US"/>
        </w:rPr>
        <w:t xml:space="preserve"> </w:t>
      </w:r>
      <w:r w:rsidRPr="003F4FBB">
        <w:rPr>
          <w:lang w:val="en-US"/>
        </w:rPr>
        <w:t>Mergers and Acquisitions (M&amp;A) Type Transactions as a Part of FDI Statistics. // OECD Benchmark Definition of Foreign Direct Investment 2008: Fourth Edition, Annex 9, p.86-198.</w:t>
      </w:r>
    </w:p>
  </w:footnote>
  <w:footnote w:id="34">
    <w:p w:rsidR="004C50AA" w:rsidRPr="005906BD" w:rsidRDefault="004C50AA">
      <w:pPr>
        <w:pStyle w:val="a4"/>
        <w:rPr>
          <w:lang w:val="en-US"/>
        </w:rPr>
      </w:pPr>
      <w:r>
        <w:rPr>
          <w:rStyle w:val="a6"/>
        </w:rPr>
        <w:footnoteRef/>
      </w:r>
      <w:r w:rsidRPr="005906BD">
        <w:rPr>
          <w:lang w:val="en-US"/>
        </w:rPr>
        <w:t xml:space="preserve"> </w:t>
      </w:r>
      <w:proofErr w:type="spellStart"/>
      <w:r w:rsidRPr="005906BD">
        <w:rPr>
          <w:lang w:val="en-US"/>
        </w:rPr>
        <w:t>Jovanovic</w:t>
      </w:r>
      <w:proofErr w:type="spellEnd"/>
      <w:r w:rsidRPr="005906BD">
        <w:rPr>
          <w:lang w:val="en-US"/>
        </w:rPr>
        <w:t xml:space="preserve"> B., Rousseau </w:t>
      </w:r>
      <w:proofErr w:type="spellStart"/>
      <w:r w:rsidRPr="005906BD">
        <w:rPr>
          <w:lang w:val="en-US"/>
        </w:rPr>
        <w:t>P.The</w:t>
      </w:r>
      <w:proofErr w:type="spellEnd"/>
      <w:r w:rsidRPr="005906BD">
        <w:rPr>
          <w:lang w:val="en-US"/>
        </w:rPr>
        <w:t xml:space="preserve"> Q-theory of mergers // American Economic Review, 2002. - Vol. 92 - P. 198–204.</w:t>
      </w:r>
    </w:p>
  </w:footnote>
  <w:footnote w:id="35">
    <w:p w:rsidR="004C50AA" w:rsidRPr="007513C9" w:rsidRDefault="004C50AA" w:rsidP="00C51A1D">
      <w:pPr>
        <w:pStyle w:val="a4"/>
      </w:pPr>
      <w:r>
        <w:rPr>
          <w:rStyle w:val="a6"/>
        </w:rPr>
        <w:footnoteRef/>
      </w:r>
      <w:r w:rsidRPr="00991649">
        <w:t xml:space="preserve"> </w:t>
      </w:r>
      <w:proofErr w:type="gramStart"/>
      <w:r>
        <w:rPr>
          <w:lang w:val="en-US"/>
        </w:rPr>
        <w:t>UNCTAD</w:t>
      </w:r>
      <w:r w:rsidRPr="00991649">
        <w:t>.</w:t>
      </w:r>
      <w:proofErr w:type="gramEnd"/>
      <w:r w:rsidRPr="00991649">
        <w:t xml:space="preserve"> </w:t>
      </w:r>
      <w:r w:rsidRPr="007513C9">
        <w:t>Доклад</w:t>
      </w:r>
      <w:r>
        <w:t xml:space="preserve"> о мировых инвестициях, 2016 // </w:t>
      </w:r>
      <w:r w:rsidRPr="007513C9">
        <w:t>http://unctad.org/en/PublicationsLibrary/wir2016_Overview_ru.pdf</w:t>
      </w:r>
    </w:p>
  </w:footnote>
  <w:footnote w:id="36">
    <w:p w:rsidR="004C50AA" w:rsidRDefault="004C50AA">
      <w:pPr>
        <w:pStyle w:val="a4"/>
      </w:pPr>
      <w:r>
        <w:rPr>
          <w:rStyle w:val="a6"/>
        </w:rPr>
        <w:footnoteRef/>
      </w:r>
      <w:r>
        <w:t xml:space="preserve"> </w:t>
      </w:r>
      <w:proofErr w:type="gramStart"/>
      <w:r>
        <w:rPr>
          <w:lang w:val="en-US"/>
        </w:rPr>
        <w:t>UNCTAD</w:t>
      </w:r>
      <w:r w:rsidRPr="00991649">
        <w:t>.</w:t>
      </w:r>
      <w:proofErr w:type="gramEnd"/>
      <w:r w:rsidRPr="00991649">
        <w:t xml:space="preserve"> </w:t>
      </w:r>
      <w:r w:rsidRPr="007513C9">
        <w:t>Доклад</w:t>
      </w:r>
      <w:r>
        <w:t xml:space="preserve"> о мировых инвестициях, 2016 // </w:t>
      </w:r>
      <w:r w:rsidRPr="007513C9">
        <w:t>http://unctad.org/en/PublicationsLibrary/wir2016_Overview_ru.pdf</w:t>
      </w:r>
    </w:p>
  </w:footnote>
  <w:footnote w:id="37">
    <w:p w:rsidR="004C50AA" w:rsidRPr="00787F99" w:rsidRDefault="004C50AA">
      <w:pPr>
        <w:pStyle w:val="a4"/>
        <w:rPr>
          <w:lang w:val="en-US"/>
        </w:rPr>
      </w:pPr>
      <w:r>
        <w:rPr>
          <w:rStyle w:val="a6"/>
        </w:rPr>
        <w:footnoteRef/>
      </w:r>
      <w:r w:rsidRPr="00E22F90">
        <w:rPr>
          <w:lang w:val="en-US"/>
        </w:rPr>
        <w:t xml:space="preserve"> </w:t>
      </w:r>
      <w:r w:rsidRPr="00991649">
        <w:rPr>
          <w:lang w:val="en-US"/>
        </w:rPr>
        <w:t>Alan</w:t>
      </w:r>
      <w:r w:rsidRPr="00E22F90">
        <w:rPr>
          <w:lang w:val="en-US"/>
        </w:rPr>
        <w:t xml:space="preserve"> </w:t>
      </w:r>
      <w:r w:rsidRPr="00991649">
        <w:rPr>
          <w:lang w:val="en-US"/>
        </w:rPr>
        <w:t>M</w:t>
      </w:r>
      <w:r w:rsidRPr="00E22F90">
        <w:rPr>
          <w:lang w:val="en-US"/>
        </w:rPr>
        <w:t xml:space="preserve"> </w:t>
      </w:r>
      <w:r w:rsidRPr="00991649">
        <w:rPr>
          <w:lang w:val="en-US"/>
        </w:rPr>
        <w:t>Klein</w:t>
      </w:r>
      <w:r w:rsidRPr="00E22F90">
        <w:rPr>
          <w:lang w:val="en-US"/>
        </w:rPr>
        <w:t xml:space="preserve">. </w:t>
      </w:r>
      <w:proofErr w:type="gramStart"/>
      <w:r w:rsidRPr="00F21814">
        <w:rPr>
          <w:lang w:val="en-US"/>
        </w:rPr>
        <w:t>Global</w:t>
      </w:r>
      <w:r w:rsidRPr="00991649">
        <w:rPr>
          <w:lang w:val="en-US"/>
        </w:rPr>
        <w:t xml:space="preserve"> </w:t>
      </w:r>
      <w:r w:rsidRPr="00F21814">
        <w:rPr>
          <w:lang w:val="en-US"/>
        </w:rPr>
        <w:t>overview</w:t>
      </w:r>
      <w:r w:rsidRPr="00991649">
        <w:rPr>
          <w:lang w:val="en-US"/>
        </w:rPr>
        <w:t>.</w:t>
      </w:r>
      <w:proofErr w:type="gramEnd"/>
      <w:r w:rsidRPr="00991649">
        <w:rPr>
          <w:lang w:val="en-US"/>
        </w:rPr>
        <w:t xml:space="preserve"> </w:t>
      </w:r>
      <w:r w:rsidRPr="00F21814">
        <w:rPr>
          <w:lang w:val="en-US"/>
        </w:rPr>
        <w:t xml:space="preserve">Simpson </w:t>
      </w:r>
      <w:proofErr w:type="spellStart"/>
      <w:r w:rsidRPr="00F21814">
        <w:rPr>
          <w:lang w:val="en-US"/>
        </w:rPr>
        <w:t>Thacher</w:t>
      </w:r>
      <w:proofErr w:type="spellEnd"/>
      <w:r w:rsidRPr="00F21814">
        <w:rPr>
          <w:lang w:val="en-US"/>
        </w:rPr>
        <w:t xml:space="preserve"> &amp; Bartlett LLP // URL: https://gettingthedealthrough.com/area/21/article/29098/mergers-acquisitions-2017-global-overview/</w:t>
      </w:r>
    </w:p>
  </w:footnote>
  <w:footnote w:id="38">
    <w:p w:rsidR="004C50AA" w:rsidRPr="00F21814" w:rsidRDefault="004C50AA">
      <w:pPr>
        <w:pStyle w:val="a4"/>
        <w:rPr>
          <w:lang w:val="en-US"/>
        </w:rPr>
      </w:pPr>
      <w:r>
        <w:rPr>
          <w:rStyle w:val="a6"/>
        </w:rPr>
        <w:footnoteRef/>
      </w:r>
      <w:r w:rsidRPr="00F21814">
        <w:rPr>
          <w:lang w:val="en-US"/>
        </w:rPr>
        <w:t xml:space="preserve"> Alan M Klein. </w:t>
      </w:r>
      <w:proofErr w:type="gramStart"/>
      <w:r w:rsidRPr="00F21814">
        <w:rPr>
          <w:lang w:val="en-US"/>
        </w:rPr>
        <w:t>Global overview.</w:t>
      </w:r>
      <w:proofErr w:type="gramEnd"/>
      <w:r w:rsidRPr="00F21814">
        <w:rPr>
          <w:lang w:val="en-US"/>
        </w:rPr>
        <w:t xml:space="preserve"> Simpson </w:t>
      </w:r>
      <w:proofErr w:type="spellStart"/>
      <w:r w:rsidRPr="00F21814">
        <w:rPr>
          <w:lang w:val="en-US"/>
        </w:rPr>
        <w:t>Thacher</w:t>
      </w:r>
      <w:proofErr w:type="spellEnd"/>
      <w:r w:rsidRPr="00F21814">
        <w:rPr>
          <w:lang w:val="en-US"/>
        </w:rPr>
        <w:t xml:space="preserve"> &amp; Bartlett LLP // URL: https://gettingthedealthrough.com/area/21/article/29098/mergers-acquisitions-2017-global-overview/</w:t>
      </w:r>
    </w:p>
  </w:footnote>
  <w:footnote w:id="39">
    <w:p w:rsidR="004C50AA" w:rsidRPr="0000768A" w:rsidRDefault="004C50AA">
      <w:pPr>
        <w:pStyle w:val="a4"/>
      </w:pPr>
      <w:r>
        <w:rPr>
          <w:rStyle w:val="a6"/>
        </w:rPr>
        <w:footnoteRef/>
      </w:r>
      <w:r w:rsidRPr="00991649">
        <w:t xml:space="preserve"> </w:t>
      </w:r>
      <w:proofErr w:type="gramStart"/>
      <w:r>
        <w:rPr>
          <w:lang w:val="en-US"/>
        </w:rPr>
        <w:t>UNCTAD</w:t>
      </w:r>
      <w:r w:rsidRPr="00991649">
        <w:t>.</w:t>
      </w:r>
      <w:proofErr w:type="gramEnd"/>
      <w:r w:rsidRPr="00991649">
        <w:t xml:space="preserve"> </w:t>
      </w:r>
      <w:r w:rsidRPr="007513C9">
        <w:t>Доклад</w:t>
      </w:r>
      <w:r>
        <w:t xml:space="preserve"> о мировых инвестициях, 2016 // </w:t>
      </w:r>
      <w:r w:rsidRPr="007513C9">
        <w:t>http://unctad.org/en/PublicationsLibrary/wir2016_Overview_ru.pdf</w:t>
      </w:r>
    </w:p>
  </w:footnote>
  <w:footnote w:id="40">
    <w:p w:rsidR="004C50AA" w:rsidRPr="007032E6" w:rsidRDefault="004C50AA">
      <w:pPr>
        <w:pStyle w:val="a4"/>
        <w:rPr>
          <w:lang w:val="en-US"/>
        </w:rPr>
      </w:pPr>
      <w:r>
        <w:rPr>
          <w:rStyle w:val="a6"/>
        </w:rPr>
        <w:footnoteRef/>
      </w:r>
      <w:r w:rsidRPr="007032E6">
        <w:rPr>
          <w:lang w:val="en-US"/>
        </w:rPr>
        <w:t xml:space="preserve"> US inbound M&amp;A value surges by 21% in 2017 // URL: http://mergers.whitecase.com/highlights/us-inbound-ma-value-surges-by-21-in-q1-2017#!</w:t>
      </w:r>
    </w:p>
  </w:footnote>
  <w:footnote w:id="41">
    <w:p w:rsidR="004C50AA" w:rsidRPr="00787F99" w:rsidRDefault="004C50AA">
      <w:pPr>
        <w:pStyle w:val="a4"/>
      </w:pPr>
      <w:r w:rsidRPr="00787F99">
        <w:rPr>
          <w:rStyle w:val="a6"/>
        </w:rPr>
        <w:footnoteRef/>
      </w:r>
      <w:r w:rsidRPr="00787F99">
        <w:t xml:space="preserve"> </w:t>
      </w:r>
      <w:proofErr w:type="spellStart"/>
      <w:r>
        <w:t>Гвардин</w:t>
      </w:r>
      <w:proofErr w:type="spellEnd"/>
      <w:r>
        <w:t xml:space="preserve"> С.В., </w:t>
      </w:r>
      <w:proofErr w:type="spellStart"/>
      <w:r>
        <w:t>Чекун</w:t>
      </w:r>
      <w:proofErr w:type="spellEnd"/>
      <w:r>
        <w:t xml:space="preserve"> И.Н. </w:t>
      </w:r>
      <w:r w:rsidRPr="00787F99">
        <w:t>Слияния и поглощения: эффективная стратегия для России. – СПб</w:t>
      </w:r>
      <w:proofErr w:type="gramStart"/>
      <w:r w:rsidRPr="00787F99">
        <w:t xml:space="preserve">.: </w:t>
      </w:r>
      <w:proofErr w:type="gramEnd"/>
      <w:r w:rsidRPr="00787F99">
        <w:t>Питер, 2007. – 192 с.: ил.</w:t>
      </w:r>
    </w:p>
  </w:footnote>
  <w:footnote w:id="42">
    <w:p w:rsidR="004C50AA" w:rsidRPr="003F4FBB" w:rsidRDefault="004C50AA" w:rsidP="0066635B">
      <w:pPr>
        <w:pStyle w:val="a4"/>
        <w:rPr>
          <w:lang w:val="en-US"/>
        </w:rPr>
      </w:pPr>
      <w:r>
        <w:rPr>
          <w:rStyle w:val="a6"/>
        </w:rPr>
        <w:footnoteRef/>
      </w:r>
      <w:r w:rsidRPr="003F4FBB">
        <w:rPr>
          <w:lang w:val="en-US"/>
        </w:rPr>
        <w:t xml:space="preserve"> Mergers and Acquisitions (M&amp;A) Type Transactions as a Part of FDI Statistics. // OECD Benchmark Definition of Foreign Direct Investment 2008: Fourth Edition, Annex 9, p.86-198. </w:t>
      </w:r>
    </w:p>
  </w:footnote>
  <w:footnote w:id="43">
    <w:p w:rsidR="004C50AA" w:rsidRPr="00621D8A" w:rsidRDefault="004C50AA">
      <w:pPr>
        <w:pStyle w:val="a4"/>
        <w:rPr>
          <w:lang w:val="en-US"/>
        </w:rPr>
      </w:pPr>
      <w:r>
        <w:rPr>
          <w:rStyle w:val="a6"/>
        </w:rPr>
        <w:footnoteRef/>
      </w:r>
      <w:r w:rsidRPr="00A2089E">
        <w:rPr>
          <w:lang w:val="en-US"/>
        </w:rPr>
        <w:t xml:space="preserve"> </w:t>
      </w:r>
      <w:proofErr w:type="spellStart"/>
      <w:r w:rsidRPr="00A2089E">
        <w:rPr>
          <w:lang w:val="en-US"/>
        </w:rPr>
        <w:t>Hochtief</w:t>
      </w:r>
      <w:proofErr w:type="spellEnd"/>
      <w:r w:rsidRPr="00A2089E">
        <w:rPr>
          <w:lang w:val="en-US"/>
        </w:rPr>
        <w:t xml:space="preserve"> </w:t>
      </w:r>
      <w:r w:rsidRPr="00621D8A">
        <w:rPr>
          <w:lang w:val="en-US"/>
        </w:rPr>
        <w:t xml:space="preserve">makes €19bn counterbid for </w:t>
      </w:r>
      <w:proofErr w:type="spellStart"/>
      <w:r w:rsidRPr="00621D8A">
        <w:rPr>
          <w:lang w:val="en-US"/>
        </w:rPr>
        <w:t>Abertis</w:t>
      </w:r>
      <w:proofErr w:type="spellEnd"/>
      <w:r w:rsidRPr="00621D8A">
        <w:rPr>
          <w:lang w:val="en-US"/>
        </w:rPr>
        <w:t xml:space="preserve">  // URL: https://www.ft.com/content/5ff4eece-b3f6-11e7-aa26-bb002965bce8</w:t>
      </w:r>
    </w:p>
  </w:footnote>
  <w:footnote w:id="44">
    <w:p w:rsidR="004C50AA" w:rsidRPr="002B6B69" w:rsidRDefault="004C50AA">
      <w:pPr>
        <w:pStyle w:val="a4"/>
        <w:rPr>
          <w:lang w:val="en-US"/>
        </w:rPr>
      </w:pPr>
      <w:r w:rsidRPr="00621D8A">
        <w:rPr>
          <w:rStyle w:val="a6"/>
        </w:rPr>
        <w:footnoteRef/>
      </w:r>
      <w:r w:rsidRPr="00621D8A">
        <w:rPr>
          <w:lang w:val="en-US"/>
        </w:rPr>
        <w:t>Luxottica's $53 Billion Deal Looks a Little Cracked  // URL: https://www.bloomberg.com/gadfly/articles/2017-10-13/luxottica-s-53-billion-deal-looks-a-little-cracked</w:t>
      </w:r>
    </w:p>
  </w:footnote>
  <w:footnote w:id="45">
    <w:p w:rsidR="004C50AA" w:rsidRPr="00621D8A" w:rsidRDefault="004C50AA">
      <w:pPr>
        <w:pStyle w:val="a4"/>
        <w:rPr>
          <w:lang w:val="en-US"/>
        </w:rPr>
      </w:pPr>
      <w:r>
        <w:rPr>
          <w:rStyle w:val="a6"/>
        </w:rPr>
        <w:footnoteRef/>
      </w:r>
      <w:r w:rsidRPr="00621D8A">
        <w:rPr>
          <w:lang w:val="en-US"/>
        </w:rPr>
        <w:t xml:space="preserve"> Siemens to Merge Rail Operations With French Rival Alstom // </w:t>
      </w:r>
      <w:r>
        <w:rPr>
          <w:lang w:val="en-US"/>
        </w:rPr>
        <w:t>URL</w:t>
      </w:r>
      <w:r w:rsidRPr="00621D8A">
        <w:rPr>
          <w:lang w:val="en-US"/>
        </w:rPr>
        <w:t>: https://www.bloomberg.com/news/articles/2017-09-26/siemens-to-merge-rail-operations-with-french-rival-alstom</w:t>
      </w:r>
    </w:p>
  </w:footnote>
  <w:footnote w:id="46">
    <w:p w:rsidR="004C50AA" w:rsidRPr="004E627B" w:rsidRDefault="004C50AA">
      <w:pPr>
        <w:pStyle w:val="a4"/>
        <w:rPr>
          <w:lang w:val="en-US"/>
        </w:rPr>
      </w:pPr>
      <w:r>
        <w:rPr>
          <w:rStyle w:val="a6"/>
        </w:rPr>
        <w:footnoteRef/>
      </w:r>
      <w:r w:rsidRPr="004E627B">
        <w:rPr>
          <w:lang w:val="en-US"/>
        </w:rPr>
        <w:t xml:space="preserve"> FLASHWIRE EUROPE QUARTERLY, </w:t>
      </w:r>
      <w:r>
        <w:rPr>
          <w:lang w:val="en-US"/>
        </w:rPr>
        <w:t>FACTSET, 3</w:t>
      </w:r>
      <w:r w:rsidRPr="004E627B">
        <w:rPr>
          <w:vertAlign w:val="superscript"/>
          <w:lang w:val="en-US"/>
        </w:rPr>
        <w:t>rd</w:t>
      </w:r>
      <w:r>
        <w:rPr>
          <w:lang w:val="en-US"/>
        </w:rPr>
        <w:t xml:space="preserve"> Q 2017 // URL: </w:t>
      </w:r>
      <w:r w:rsidRPr="004E627B">
        <w:rPr>
          <w:lang w:val="en-US"/>
        </w:rPr>
        <w:t>https://www.factset.com/mergerstat_em/europe/Europe_Flashwire_Quarterly.pdf</w:t>
      </w:r>
    </w:p>
  </w:footnote>
  <w:footnote w:id="47">
    <w:p w:rsidR="004C50AA" w:rsidRPr="00DF3D05" w:rsidRDefault="004C50AA" w:rsidP="00DF3D05">
      <w:pPr>
        <w:pStyle w:val="a4"/>
        <w:rPr>
          <w:lang w:val="en-US"/>
        </w:rPr>
      </w:pPr>
      <w:r>
        <w:rPr>
          <w:rStyle w:val="a6"/>
        </w:rPr>
        <w:footnoteRef/>
      </w:r>
      <w:r w:rsidRPr="00DF3D05">
        <w:rPr>
          <w:lang w:val="en-US"/>
        </w:rPr>
        <w:t xml:space="preserve"> Mergers &amp; Acquisitions in Europe and Latin America 2016 // </w:t>
      </w:r>
      <w:r>
        <w:rPr>
          <w:lang w:val="en-US"/>
        </w:rPr>
        <w:t>URL</w:t>
      </w:r>
      <w:r w:rsidRPr="00DF3D05">
        <w:rPr>
          <w:lang w:val="en-US"/>
        </w:rPr>
        <w:t>: http://www.bakermckenzie.com/-/media/files/insight/publications/2017/02/2016-europe-latam-ma/bk_eur_mergersacquisitionreport_2016.pdf?la=en</w:t>
      </w:r>
    </w:p>
  </w:footnote>
  <w:footnote w:id="48">
    <w:p w:rsidR="004C50AA" w:rsidRPr="00DD4ED8" w:rsidRDefault="004C50AA">
      <w:pPr>
        <w:pStyle w:val="a4"/>
        <w:rPr>
          <w:lang w:val="en-US"/>
        </w:rPr>
      </w:pPr>
      <w:r>
        <w:rPr>
          <w:rStyle w:val="a6"/>
        </w:rPr>
        <w:footnoteRef/>
      </w:r>
      <w:r w:rsidRPr="00DD4ED8">
        <w:rPr>
          <w:lang w:val="en-US"/>
        </w:rPr>
        <w:t xml:space="preserve"> Bayer Seeks EU Blessing for $66 Billion Monsanto Takeover </w:t>
      </w:r>
      <w:r>
        <w:rPr>
          <w:lang w:val="en-US"/>
        </w:rPr>
        <w:t>// URL:</w:t>
      </w:r>
      <w:r w:rsidRPr="00DD4ED8">
        <w:rPr>
          <w:lang w:val="en-US"/>
        </w:rPr>
        <w:t xml:space="preserve"> https://www.bloomberg.com/news/articles/2017-06-30/bayer-seeks-eu-blessing-for-66-billion-monsanto-takeover</w:t>
      </w:r>
    </w:p>
  </w:footnote>
  <w:footnote w:id="49">
    <w:p w:rsidR="004C50AA" w:rsidRPr="00991649" w:rsidRDefault="004C50AA">
      <w:pPr>
        <w:pStyle w:val="a4"/>
      </w:pPr>
      <w:r>
        <w:rPr>
          <w:rStyle w:val="a6"/>
        </w:rPr>
        <w:footnoteRef/>
      </w:r>
      <w:r w:rsidRPr="008D6739">
        <w:rPr>
          <w:lang w:val="en-US"/>
        </w:rPr>
        <w:t xml:space="preserve"> European Research: Innovation in Science, Education and Technology // European research № 7 (18) / </w:t>
      </w:r>
      <w:proofErr w:type="spellStart"/>
      <w:r w:rsidRPr="008D6739">
        <w:t>Сб</w:t>
      </w:r>
      <w:proofErr w:type="spellEnd"/>
      <w:r w:rsidRPr="008D6739">
        <w:rPr>
          <w:lang w:val="en-US"/>
        </w:rPr>
        <w:t xml:space="preserve">. </w:t>
      </w:r>
      <w:proofErr w:type="spellStart"/>
      <w:r w:rsidRPr="008D6739">
        <w:t>ст</w:t>
      </w:r>
      <w:proofErr w:type="spellEnd"/>
      <w:r w:rsidRPr="008D6739">
        <w:rPr>
          <w:lang w:val="en-US"/>
        </w:rPr>
        <w:t xml:space="preserve">. </w:t>
      </w:r>
      <w:r w:rsidRPr="008D6739">
        <w:t>по</w:t>
      </w:r>
      <w:r w:rsidRPr="008D6739">
        <w:rPr>
          <w:lang w:val="en-US"/>
        </w:rPr>
        <w:t xml:space="preserve"> </w:t>
      </w:r>
      <w:r w:rsidRPr="008D6739">
        <w:t>мат</w:t>
      </w:r>
      <w:r w:rsidRPr="008D6739">
        <w:rPr>
          <w:lang w:val="en-US"/>
        </w:rPr>
        <w:t xml:space="preserve">.: </w:t>
      </w:r>
      <w:r w:rsidRPr="008D6739">
        <w:t>Х</w:t>
      </w:r>
      <w:r w:rsidRPr="008D6739">
        <w:rPr>
          <w:lang w:val="en-US"/>
        </w:rPr>
        <w:t xml:space="preserve">VIII </w:t>
      </w:r>
      <w:proofErr w:type="spellStart"/>
      <w:r w:rsidRPr="008D6739">
        <w:t>межд</w:t>
      </w:r>
      <w:proofErr w:type="spellEnd"/>
      <w:r w:rsidRPr="008D6739">
        <w:rPr>
          <w:lang w:val="en-US"/>
        </w:rPr>
        <w:t xml:space="preserve">. </w:t>
      </w:r>
      <w:proofErr w:type="spellStart"/>
      <w:r w:rsidRPr="008D6739">
        <w:t>науч</w:t>
      </w:r>
      <w:proofErr w:type="spellEnd"/>
      <w:proofErr w:type="gramStart"/>
      <w:r w:rsidRPr="008D6739">
        <w:rPr>
          <w:lang w:val="en-US"/>
        </w:rPr>
        <w:t>.-</w:t>
      </w:r>
      <w:proofErr w:type="spellStart"/>
      <w:proofErr w:type="gramEnd"/>
      <w:r w:rsidRPr="008D6739">
        <w:t>практ</w:t>
      </w:r>
      <w:proofErr w:type="spellEnd"/>
      <w:r w:rsidRPr="008D6739">
        <w:rPr>
          <w:lang w:val="en-US"/>
        </w:rPr>
        <w:t xml:space="preserve">. </w:t>
      </w:r>
      <w:proofErr w:type="spellStart"/>
      <w:r w:rsidRPr="008D6739">
        <w:t>конф</w:t>
      </w:r>
      <w:proofErr w:type="spellEnd"/>
      <w:r w:rsidRPr="008D6739">
        <w:rPr>
          <w:lang w:val="en-US"/>
        </w:rPr>
        <w:t xml:space="preserve">. </w:t>
      </w:r>
      <w:r w:rsidRPr="00991649">
        <w:t>(</w:t>
      </w:r>
      <w:r w:rsidRPr="008D6739">
        <w:rPr>
          <w:lang w:val="en-US"/>
        </w:rPr>
        <w:t>United</w:t>
      </w:r>
      <w:r w:rsidRPr="00991649">
        <w:t xml:space="preserve"> </w:t>
      </w:r>
      <w:r w:rsidRPr="008D6739">
        <w:rPr>
          <w:lang w:val="en-US"/>
        </w:rPr>
        <w:t>Kingdom</w:t>
      </w:r>
      <w:r w:rsidRPr="00991649">
        <w:t xml:space="preserve">, </w:t>
      </w:r>
      <w:r w:rsidRPr="008D6739">
        <w:rPr>
          <w:lang w:val="en-US"/>
        </w:rPr>
        <w:t>London</w:t>
      </w:r>
      <w:r w:rsidRPr="00991649">
        <w:t xml:space="preserve">, 28-29 </w:t>
      </w:r>
      <w:r w:rsidRPr="008D6739">
        <w:rPr>
          <w:lang w:val="en-US"/>
        </w:rPr>
        <w:t>July</w:t>
      </w:r>
      <w:r w:rsidRPr="00991649">
        <w:t xml:space="preserve"> 2016). 94 </w:t>
      </w:r>
      <w:r w:rsidRPr="008D6739">
        <w:rPr>
          <w:lang w:val="en-US"/>
        </w:rPr>
        <w:t>p</w:t>
      </w:r>
      <w:r w:rsidRPr="00991649">
        <w:t>.</w:t>
      </w:r>
    </w:p>
  </w:footnote>
  <w:footnote w:id="50">
    <w:p w:rsidR="004C50AA" w:rsidRPr="00991649" w:rsidRDefault="004C50AA" w:rsidP="00AD2488">
      <w:pPr>
        <w:pStyle w:val="a4"/>
        <w:rPr>
          <w:lang w:val="en-US"/>
        </w:rPr>
      </w:pPr>
      <w:r w:rsidRPr="00AD2488">
        <w:rPr>
          <w:rStyle w:val="a6"/>
        </w:rPr>
        <w:footnoteRef/>
      </w:r>
      <w:r w:rsidRPr="00AD2488">
        <w:t xml:space="preserve"> </w:t>
      </w:r>
      <w:proofErr w:type="spellStart"/>
      <w:r w:rsidRPr="00AD2488">
        <w:t>Никеров</w:t>
      </w:r>
      <w:proofErr w:type="spellEnd"/>
      <w:r w:rsidRPr="00AD2488">
        <w:t xml:space="preserve"> Г. И., Законодательство США, ЕС и России об </w:t>
      </w:r>
      <w:proofErr w:type="spellStart"/>
      <w:r w:rsidRPr="00AD2488">
        <w:t>антиконкурентных</w:t>
      </w:r>
      <w:proofErr w:type="spellEnd"/>
      <w:r w:rsidRPr="00AD2488">
        <w:t xml:space="preserve"> соглашениях. </w:t>
      </w:r>
      <w:r w:rsidRPr="00991649">
        <w:rPr>
          <w:lang w:val="en-US"/>
        </w:rPr>
        <w:t>URL: http://www.iskran.ru/publish.php?id=88/</w:t>
      </w:r>
    </w:p>
  </w:footnote>
  <w:footnote w:id="51">
    <w:p w:rsidR="004C50AA" w:rsidRPr="00FA010D" w:rsidRDefault="004C50AA">
      <w:pPr>
        <w:pStyle w:val="a4"/>
        <w:rPr>
          <w:lang w:val="en-US"/>
        </w:rPr>
      </w:pPr>
      <w:r>
        <w:rPr>
          <w:rStyle w:val="a6"/>
        </w:rPr>
        <w:footnoteRef/>
      </w:r>
      <w:r w:rsidRPr="00FA010D">
        <w:rPr>
          <w:lang w:val="en-US"/>
        </w:rPr>
        <w:t xml:space="preserve"> </w:t>
      </w:r>
      <w:r>
        <w:rPr>
          <w:lang w:val="en-US"/>
        </w:rPr>
        <w:t xml:space="preserve">World Bank Data </w:t>
      </w:r>
      <w:r w:rsidRPr="00FA010D">
        <w:rPr>
          <w:lang w:val="en-US"/>
        </w:rPr>
        <w:t>//</w:t>
      </w:r>
      <w:r>
        <w:rPr>
          <w:lang w:val="en-US"/>
        </w:rPr>
        <w:t>URL</w:t>
      </w:r>
      <w:r w:rsidRPr="00FA010D">
        <w:rPr>
          <w:lang w:val="en-US"/>
        </w:rPr>
        <w:t>:https://data.worldbank.org/indicator/CM.MKT.LCAP.CD?locations=RU-US-EU</w:t>
      </w:r>
    </w:p>
  </w:footnote>
  <w:footnote w:id="52">
    <w:p w:rsidR="004C50AA" w:rsidRPr="007A6581" w:rsidRDefault="004C50AA" w:rsidP="005D6F53">
      <w:pPr>
        <w:pStyle w:val="a4"/>
      </w:pPr>
      <w:r>
        <w:rPr>
          <w:rStyle w:val="a6"/>
        </w:rPr>
        <w:footnoteRef/>
      </w:r>
      <w:r>
        <w:t xml:space="preserve"> </w:t>
      </w:r>
      <w:r w:rsidRPr="00E32769">
        <w:t xml:space="preserve">Сапронов И. Сделки M&amp;A предмет интереса среднего бизнеса // Рынок ценных бумаг. </w:t>
      </w:r>
      <w:r w:rsidRPr="007A6581">
        <w:t xml:space="preserve">2013. № 6. </w:t>
      </w:r>
      <w:r w:rsidRPr="00E32769">
        <w:t>стр</w:t>
      </w:r>
      <w:r w:rsidRPr="007A6581">
        <w:t>. 45-47.</w:t>
      </w:r>
    </w:p>
  </w:footnote>
  <w:footnote w:id="53">
    <w:p w:rsidR="004C50AA" w:rsidRDefault="004C50AA" w:rsidP="00F03671">
      <w:pPr>
        <w:pStyle w:val="a4"/>
      </w:pPr>
      <w:r>
        <w:rPr>
          <w:rStyle w:val="a6"/>
        </w:rPr>
        <w:footnoteRef/>
      </w:r>
      <w:r w:rsidRPr="00556387">
        <w:t xml:space="preserve"> Статистика </w:t>
      </w:r>
      <w:r w:rsidRPr="00556387">
        <w:rPr>
          <w:lang w:val="en-US"/>
        </w:rPr>
        <w:t>M</w:t>
      </w:r>
      <w:r w:rsidRPr="00556387">
        <w:t>&amp;</w:t>
      </w:r>
      <w:r w:rsidRPr="00556387">
        <w:rPr>
          <w:lang w:val="en-US"/>
        </w:rPr>
        <w:t>A</w:t>
      </w:r>
      <w:r w:rsidRPr="00556387">
        <w:t xml:space="preserve"> за 2014 год // http://www.akm.ru/rus/ma/stat/2014/11.htm </w:t>
      </w:r>
    </w:p>
  </w:footnote>
  <w:footnote w:id="54">
    <w:p w:rsidR="004C50AA" w:rsidRDefault="004C50AA" w:rsidP="00D76ABE">
      <w:pPr>
        <w:pStyle w:val="a4"/>
      </w:pPr>
      <w:r>
        <w:rPr>
          <w:rStyle w:val="a6"/>
        </w:rPr>
        <w:footnoteRef/>
      </w:r>
      <w:r>
        <w:t xml:space="preserve"> </w:t>
      </w:r>
      <w:proofErr w:type="spellStart"/>
      <w:r w:rsidRPr="007A6581">
        <w:t>Варвус</w:t>
      </w:r>
      <w:proofErr w:type="spellEnd"/>
      <w:r w:rsidRPr="007A6581">
        <w:t xml:space="preserve"> С. Клименко А. Роль процессов слияний и поглощений в российской экономике // </w:t>
      </w:r>
      <w:proofErr w:type="spellStart"/>
      <w:r w:rsidRPr="007A6581">
        <w:t>Science</w:t>
      </w:r>
      <w:proofErr w:type="spellEnd"/>
      <w:r w:rsidRPr="007A6581">
        <w:t xml:space="preserve"> </w:t>
      </w:r>
      <w:proofErr w:type="spellStart"/>
      <w:r w:rsidRPr="007A6581">
        <w:t>Time</w:t>
      </w:r>
      <w:proofErr w:type="spellEnd"/>
      <w:r w:rsidRPr="007A6581">
        <w:t>. 2014. стр. 48-57.</w:t>
      </w:r>
    </w:p>
  </w:footnote>
  <w:footnote w:id="55">
    <w:p w:rsidR="004C50AA" w:rsidRDefault="004C50AA" w:rsidP="00D6264A">
      <w:pPr>
        <w:pStyle w:val="a4"/>
      </w:pPr>
      <w:r>
        <w:rPr>
          <w:rStyle w:val="a6"/>
        </w:rPr>
        <w:footnoteRef/>
      </w:r>
      <w:r>
        <w:t xml:space="preserve"> </w:t>
      </w:r>
      <w:r w:rsidRPr="00556387">
        <w:t xml:space="preserve">Статистика </w:t>
      </w:r>
      <w:r w:rsidRPr="00556387">
        <w:rPr>
          <w:lang w:val="en-US"/>
        </w:rPr>
        <w:t>M</w:t>
      </w:r>
      <w:r w:rsidRPr="00556387">
        <w:t>&amp;</w:t>
      </w:r>
      <w:r w:rsidRPr="00556387">
        <w:rPr>
          <w:lang w:val="en-US"/>
        </w:rPr>
        <w:t>A</w:t>
      </w:r>
      <w:r w:rsidRPr="00556387">
        <w:t xml:space="preserve"> за 201</w:t>
      </w:r>
      <w:r>
        <w:t>7</w:t>
      </w:r>
      <w:r w:rsidRPr="00556387">
        <w:t xml:space="preserve"> год // http://www.akm.ru/rus/ma/stat/201</w:t>
      </w:r>
      <w:r>
        <w:t>7</w:t>
      </w:r>
      <w:r w:rsidRPr="00556387">
        <w:t xml:space="preserve">/11.htm </w:t>
      </w:r>
    </w:p>
  </w:footnote>
  <w:footnote w:id="56">
    <w:p w:rsidR="004C50AA" w:rsidRPr="008044C9" w:rsidRDefault="004C50AA" w:rsidP="008044C9">
      <w:pPr>
        <w:pStyle w:val="a4"/>
      </w:pPr>
      <w:r>
        <w:rPr>
          <w:rStyle w:val="a6"/>
        </w:rPr>
        <w:footnoteRef/>
      </w:r>
      <w:r>
        <w:t xml:space="preserve"> </w:t>
      </w:r>
      <w:proofErr w:type="spellStart"/>
      <w:r w:rsidRPr="008044C9">
        <w:t>Glencore</w:t>
      </w:r>
      <w:proofErr w:type="spellEnd"/>
      <w:r w:rsidRPr="008044C9">
        <w:t xml:space="preserve"> и </w:t>
      </w:r>
      <w:proofErr w:type="gramStart"/>
      <w:r w:rsidRPr="008044C9">
        <w:t>катарский</w:t>
      </w:r>
      <w:proofErr w:type="gramEnd"/>
      <w:r w:rsidRPr="008044C9">
        <w:t xml:space="preserve"> </w:t>
      </w:r>
      <w:proofErr w:type="spellStart"/>
      <w:r w:rsidRPr="008044C9">
        <w:t>инвестфонд</w:t>
      </w:r>
      <w:proofErr w:type="spellEnd"/>
      <w:r w:rsidRPr="008044C9">
        <w:t xml:space="preserve"> продали часть акций «Роснефти» китайцам //</w:t>
      </w:r>
      <w:r w:rsidRPr="008044C9">
        <w:rPr>
          <w:lang w:val="en-US"/>
        </w:rPr>
        <w:t>URL</w:t>
      </w:r>
      <w:r w:rsidRPr="008044C9">
        <w:t>:</w:t>
      </w:r>
      <w:proofErr w:type="spellStart"/>
      <w:r w:rsidRPr="008044C9">
        <w:t>https</w:t>
      </w:r>
      <w:proofErr w:type="spellEnd"/>
      <w:r w:rsidRPr="008044C9">
        <w:t>://www.rbc.ru/business/08/09/2017/59b288709a7947e036ff602a</w:t>
      </w:r>
    </w:p>
  </w:footnote>
  <w:footnote w:id="57">
    <w:p w:rsidR="004C50AA" w:rsidRPr="002A6FF1" w:rsidRDefault="004C50AA" w:rsidP="008044C9">
      <w:pPr>
        <w:pStyle w:val="a4"/>
      </w:pPr>
      <w:r w:rsidRPr="008044C9">
        <w:rPr>
          <w:rStyle w:val="a6"/>
        </w:rPr>
        <w:footnoteRef/>
      </w:r>
      <w:r w:rsidRPr="008044C9">
        <w:t xml:space="preserve"> «Газпром» договорился с </w:t>
      </w:r>
      <w:proofErr w:type="gramStart"/>
      <w:r w:rsidRPr="008044C9">
        <w:t>австрийской</w:t>
      </w:r>
      <w:proofErr w:type="gramEnd"/>
      <w:r w:rsidRPr="008044C9">
        <w:t xml:space="preserve"> OMV об обмене активами //</w:t>
      </w:r>
      <w:r w:rsidRPr="008044C9">
        <w:rPr>
          <w:lang w:val="en-US"/>
        </w:rPr>
        <w:t>UR</w:t>
      </w:r>
      <w:r w:rsidRPr="002A6FF1">
        <w:rPr>
          <w:lang w:val="en-US"/>
        </w:rPr>
        <w:t>L</w:t>
      </w:r>
      <w:r w:rsidRPr="002A6FF1">
        <w:t>:</w:t>
      </w:r>
      <w:proofErr w:type="spellStart"/>
      <w:r w:rsidRPr="002A6FF1">
        <w:t>https</w:t>
      </w:r>
      <w:proofErr w:type="spellEnd"/>
      <w:r w:rsidRPr="002A6FF1">
        <w:t>://www.rbc.ru/business/14/12/2016/585113b89a79470fd968991a</w:t>
      </w:r>
    </w:p>
  </w:footnote>
  <w:footnote w:id="58">
    <w:p w:rsidR="004C50AA" w:rsidRPr="002A6FF1" w:rsidRDefault="004C50AA" w:rsidP="002A6FF1">
      <w:pPr>
        <w:pStyle w:val="a4"/>
      </w:pPr>
      <w:r w:rsidRPr="002A6FF1">
        <w:rPr>
          <w:rStyle w:val="a6"/>
        </w:rPr>
        <w:footnoteRef/>
      </w:r>
      <w:r w:rsidRPr="002A6FF1">
        <w:t xml:space="preserve"> Ключевые сделки российского рынка январь-июль 2017 // </w:t>
      </w:r>
      <w:r w:rsidRPr="002A6FF1">
        <w:rPr>
          <w:lang w:val="en-US"/>
        </w:rPr>
        <w:t>URL</w:t>
      </w:r>
      <w:r w:rsidRPr="002A6FF1">
        <w:t xml:space="preserve">: </w:t>
      </w:r>
      <w:r w:rsidRPr="002A6FF1">
        <w:rPr>
          <w:lang w:val="en-US"/>
        </w:rPr>
        <w:t>http</w:t>
      </w:r>
      <w:r w:rsidRPr="002A6FF1">
        <w:t>://</w:t>
      </w:r>
      <w:proofErr w:type="spellStart"/>
      <w:r w:rsidRPr="002A6FF1">
        <w:rPr>
          <w:lang w:val="en-US"/>
        </w:rPr>
        <w:t>campusfinance</w:t>
      </w:r>
      <w:proofErr w:type="spellEnd"/>
      <w:r w:rsidRPr="002A6FF1">
        <w:t>.</w:t>
      </w:r>
      <w:r w:rsidRPr="002A6FF1">
        <w:rPr>
          <w:lang w:val="en-US"/>
        </w:rPr>
        <w:t>org</w:t>
      </w:r>
      <w:r w:rsidRPr="002A6FF1">
        <w:t>/</w:t>
      </w:r>
      <w:r w:rsidRPr="002A6FF1">
        <w:rPr>
          <w:lang w:val="en-US"/>
        </w:rPr>
        <w:t>august</w:t>
      </w:r>
      <w:r w:rsidRPr="002A6FF1">
        <w:t>_</w:t>
      </w:r>
      <w:r w:rsidRPr="002A6FF1">
        <w:rPr>
          <w:lang w:val="en-US"/>
        </w:rPr>
        <w:t>digest</w:t>
      </w:r>
      <w:r w:rsidRPr="002A6FF1">
        <w:t>_</w:t>
      </w:r>
      <w:r w:rsidRPr="002A6FF1">
        <w:rPr>
          <w:lang w:val="en-US"/>
        </w:rPr>
        <w:t>mergers</w:t>
      </w:r>
    </w:p>
  </w:footnote>
  <w:footnote w:id="59">
    <w:p w:rsidR="004C50AA" w:rsidRDefault="004C50AA" w:rsidP="006D6586">
      <w:pPr>
        <w:pStyle w:val="a4"/>
      </w:pPr>
      <w:r>
        <w:rPr>
          <w:rStyle w:val="a6"/>
        </w:rPr>
        <w:footnoteRef/>
      </w:r>
      <w:r>
        <w:t xml:space="preserve"> </w:t>
      </w:r>
      <w:r w:rsidRPr="00EF1545">
        <w:t>Рынок слияний и поглощений в России в 201</w:t>
      </w:r>
      <w:r>
        <w:t>6</w:t>
      </w:r>
      <w:r w:rsidRPr="00EF1545">
        <w:t xml:space="preserve"> году // http://www.kpmg.com/RU/ru/IssuesAndInsights/ArticlesPublications/press-releases/Pages/MA-201</w:t>
      </w:r>
      <w:r>
        <w:t>6</w:t>
      </w:r>
      <w:r w:rsidRPr="00EF1545">
        <w:t xml:space="preserve">-Survey.aspx </w:t>
      </w:r>
    </w:p>
  </w:footnote>
  <w:footnote w:id="60">
    <w:p w:rsidR="004C50AA" w:rsidRPr="0000665F" w:rsidRDefault="004C50AA">
      <w:pPr>
        <w:pStyle w:val="a4"/>
        <w:rPr>
          <w:lang w:val="en-US"/>
        </w:rPr>
      </w:pPr>
      <w:r>
        <w:rPr>
          <w:rStyle w:val="a6"/>
        </w:rPr>
        <w:footnoteRef/>
      </w:r>
      <w:r w:rsidRPr="0000665F">
        <w:rPr>
          <w:lang w:val="en-US"/>
        </w:rPr>
        <w:t xml:space="preserve"> РЕЙТИНГ INFOLINE RETAIL RUSSIA TOP-100 2015 // http://infoline.spb.ru/infoline-retailer-russia-top-100/</w:t>
      </w:r>
    </w:p>
  </w:footnote>
  <w:footnote w:id="61">
    <w:p w:rsidR="004C50AA" w:rsidRPr="00DA0229" w:rsidRDefault="004C50AA">
      <w:pPr>
        <w:pStyle w:val="a4"/>
        <w:rPr>
          <w:lang w:val="en-US"/>
        </w:rPr>
      </w:pPr>
      <w:r w:rsidRPr="00DA0229">
        <w:rPr>
          <w:rStyle w:val="a6"/>
        </w:rPr>
        <w:footnoteRef/>
      </w:r>
      <w:r w:rsidRPr="00DA0229">
        <w:rPr>
          <w:lang w:val="en-US"/>
        </w:rPr>
        <w:t xml:space="preserve"> </w:t>
      </w:r>
      <w:proofErr w:type="spellStart"/>
      <w:proofErr w:type="gramStart"/>
      <w:r w:rsidRPr="00DA0229">
        <w:rPr>
          <w:lang w:val="en-US"/>
        </w:rPr>
        <w:t>Realising</w:t>
      </w:r>
      <w:proofErr w:type="spellEnd"/>
      <w:r w:rsidRPr="00DA0229">
        <w:rPr>
          <w:lang w:val="en-US"/>
        </w:rPr>
        <w:t xml:space="preserve"> our potential.</w:t>
      </w:r>
      <w:proofErr w:type="gramEnd"/>
      <w:r w:rsidRPr="00DA0229">
        <w:rPr>
          <w:lang w:val="en-US"/>
        </w:rPr>
        <w:t xml:space="preserve"> </w:t>
      </w:r>
      <w:proofErr w:type="gramStart"/>
      <w:r w:rsidRPr="00DA0229">
        <w:rPr>
          <w:lang w:val="en-US"/>
        </w:rPr>
        <w:t>Annual report 2016.</w:t>
      </w:r>
      <w:proofErr w:type="gramEnd"/>
      <w:r>
        <w:rPr>
          <w:lang w:val="en-US"/>
        </w:rPr>
        <w:t xml:space="preserve"> </w:t>
      </w:r>
      <w:proofErr w:type="spellStart"/>
      <w:r>
        <w:rPr>
          <w:lang w:val="en-US"/>
        </w:rPr>
        <w:t>Lenta</w:t>
      </w:r>
      <w:proofErr w:type="spellEnd"/>
      <w:r>
        <w:rPr>
          <w:lang w:val="en-US"/>
        </w:rPr>
        <w:t xml:space="preserve"> Ltd // </w:t>
      </w:r>
      <w:r w:rsidRPr="001F7134">
        <w:rPr>
          <w:lang w:val="en-US"/>
        </w:rPr>
        <w:t>http://www.lentainvestor.com/en/files/file/download/id/1052</w:t>
      </w:r>
    </w:p>
  </w:footnote>
  <w:footnote w:id="62">
    <w:p w:rsidR="004C50AA" w:rsidRPr="00C912BB" w:rsidRDefault="004C50AA">
      <w:pPr>
        <w:pStyle w:val="a4"/>
        <w:rPr>
          <w:lang w:val="en-US"/>
        </w:rPr>
      </w:pPr>
      <w:r>
        <w:rPr>
          <w:rStyle w:val="a6"/>
        </w:rPr>
        <w:footnoteRef/>
      </w:r>
      <w:r w:rsidRPr="00C912BB">
        <w:rPr>
          <w:lang w:val="en-US"/>
        </w:rPr>
        <w:t xml:space="preserve"> Betas by Sector // http://pages.stern.nyu.edu/~adamodar/New_Home_Page/datafile/Betas.html</w:t>
      </w:r>
    </w:p>
  </w:footnote>
  <w:footnote w:id="63">
    <w:p w:rsidR="004C50AA" w:rsidRPr="00C912BB" w:rsidRDefault="004C50AA">
      <w:pPr>
        <w:pStyle w:val="a4"/>
        <w:rPr>
          <w:lang w:val="en-US"/>
        </w:rPr>
      </w:pPr>
      <w:r>
        <w:rPr>
          <w:rStyle w:val="a6"/>
        </w:rPr>
        <w:footnoteRef/>
      </w:r>
      <w:r w:rsidRPr="00C912BB">
        <w:rPr>
          <w:lang w:val="en-US"/>
        </w:rPr>
        <w:t xml:space="preserve"> 20-year Treasury Constant Maturity // http://www.economagic.com/em-cgi/data.exe/fedbog/tcm20y</w:t>
      </w:r>
    </w:p>
  </w:footnote>
  <w:footnote w:id="64">
    <w:p w:rsidR="004C50AA" w:rsidRPr="006E1A8C" w:rsidRDefault="004C50AA">
      <w:pPr>
        <w:pStyle w:val="a4"/>
        <w:rPr>
          <w:lang w:val="en-US"/>
        </w:rPr>
      </w:pPr>
      <w:r>
        <w:rPr>
          <w:rStyle w:val="a6"/>
        </w:rPr>
        <w:footnoteRef/>
      </w:r>
      <w:r w:rsidRPr="006E1A8C">
        <w:rPr>
          <w:lang w:val="en-US"/>
        </w:rPr>
        <w:t xml:space="preserve"> Country Default Spreads and Risk Premiums // http://pages.stern.nyu.edu/~adamodar/New_Home_Page/datafile/ctryprem.html </w:t>
      </w:r>
    </w:p>
  </w:footnote>
  <w:footnote w:id="65">
    <w:p w:rsidR="004C50AA" w:rsidRPr="004A758B" w:rsidRDefault="004C50AA" w:rsidP="004A758B">
      <w:pPr>
        <w:pStyle w:val="a4"/>
      </w:pPr>
      <w:r>
        <w:rPr>
          <w:rStyle w:val="a6"/>
        </w:rPr>
        <w:footnoteRef/>
      </w:r>
      <w:r w:rsidRPr="004A758B">
        <w:t xml:space="preserve"> Государственные облигации</w:t>
      </w:r>
      <w:r>
        <w:t xml:space="preserve"> // </w:t>
      </w:r>
      <w:r w:rsidRPr="004A758B">
        <w:rPr>
          <w:lang w:val="en-US"/>
        </w:rPr>
        <w:t>http</w:t>
      </w:r>
      <w:r w:rsidRPr="004A758B">
        <w:t>://</w:t>
      </w:r>
      <w:r w:rsidRPr="004A758B">
        <w:rPr>
          <w:lang w:val="en-US"/>
        </w:rPr>
        <w:t>www</w:t>
      </w:r>
      <w:r w:rsidRPr="004A758B">
        <w:t>.</w:t>
      </w:r>
      <w:proofErr w:type="spellStart"/>
      <w:r w:rsidRPr="004A758B">
        <w:rPr>
          <w:lang w:val="en-US"/>
        </w:rPr>
        <w:t>rusbonds</w:t>
      </w:r>
      <w:proofErr w:type="spellEnd"/>
      <w:r w:rsidRPr="004A758B">
        <w:t>.</w:t>
      </w:r>
      <w:proofErr w:type="spellStart"/>
      <w:r w:rsidRPr="004A758B">
        <w:rPr>
          <w:lang w:val="en-US"/>
        </w:rPr>
        <w:t>ru</w:t>
      </w:r>
      <w:proofErr w:type="spellEnd"/>
      <w:r w:rsidRPr="004A758B">
        <w:t>/</w:t>
      </w:r>
      <w:proofErr w:type="spellStart"/>
      <w:r w:rsidRPr="004A758B">
        <w:rPr>
          <w:lang w:val="en-US"/>
        </w:rPr>
        <w:t>cmngos</w:t>
      </w:r>
      <w:proofErr w:type="spellEnd"/>
      <w:r w:rsidRPr="004A758B">
        <w:t>.</w:t>
      </w:r>
      <w:r w:rsidRPr="004A758B">
        <w:rPr>
          <w:lang w:val="en-US"/>
        </w:rPr>
        <w:t>asp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1206"/>
    <w:multiLevelType w:val="hybridMultilevel"/>
    <w:tmpl w:val="0BD69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F310C1"/>
    <w:multiLevelType w:val="hybridMultilevel"/>
    <w:tmpl w:val="F79EFA66"/>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2">
    <w:nsid w:val="15691B12"/>
    <w:multiLevelType w:val="hybridMultilevel"/>
    <w:tmpl w:val="1158A0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50A53"/>
    <w:multiLevelType w:val="hybridMultilevel"/>
    <w:tmpl w:val="93E08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B71DF2"/>
    <w:multiLevelType w:val="multilevel"/>
    <w:tmpl w:val="D61A59A8"/>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
    <w:nsid w:val="1EC53440"/>
    <w:multiLevelType w:val="multilevel"/>
    <w:tmpl w:val="83CEEB22"/>
    <w:lvl w:ilvl="0">
      <w:start w:val="1"/>
      <w:numFmt w:val="decimal"/>
      <w:lvlText w:val="%1"/>
      <w:lvlJc w:val="left"/>
      <w:pPr>
        <w:ind w:left="360" w:hanging="360"/>
      </w:pPr>
      <w:rPr>
        <w:rFonts w:hint="default"/>
      </w:rPr>
    </w:lvl>
    <w:lvl w:ilvl="1">
      <w:start w:val="3"/>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6">
    <w:nsid w:val="1F011362"/>
    <w:multiLevelType w:val="multilevel"/>
    <w:tmpl w:val="D61A59A8"/>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7">
    <w:nsid w:val="40762F5E"/>
    <w:multiLevelType w:val="hybridMultilevel"/>
    <w:tmpl w:val="353A6F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57A2404"/>
    <w:multiLevelType w:val="hybridMultilevel"/>
    <w:tmpl w:val="2F10F516"/>
    <w:lvl w:ilvl="0" w:tplc="F964326A">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5EE7548"/>
    <w:multiLevelType w:val="multilevel"/>
    <w:tmpl w:val="D61A59A8"/>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0">
    <w:nsid w:val="51265CDC"/>
    <w:multiLevelType w:val="hybridMultilevel"/>
    <w:tmpl w:val="7ED67C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76758EE"/>
    <w:multiLevelType w:val="multilevel"/>
    <w:tmpl w:val="CEB46C86"/>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2">
    <w:nsid w:val="5C1E2BDD"/>
    <w:multiLevelType w:val="hybridMultilevel"/>
    <w:tmpl w:val="0192B9C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624A76E0"/>
    <w:multiLevelType w:val="multilevel"/>
    <w:tmpl w:val="97D096D2"/>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65425BF4"/>
    <w:multiLevelType w:val="hybridMultilevel"/>
    <w:tmpl w:val="A2008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57530B"/>
    <w:multiLevelType w:val="hybridMultilevel"/>
    <w:tmpl w:val="07DE5256"/>
    <w:lvl w:ilvl="0" w:tplc="0419000F">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16">
    <w:nsid w:val="6AE80BFA"/>
    <w:multiLevelType w:val="hybridMultilevel"/>
    <w:tmpl w:val="F6E0779C"/>
    <w:lvl w:ilvl="0" w:tplc="F964326A">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16E4BA9"/>
    <w:multiLevelType w:val="hybridMultilevel"/>
    <w:tmpl w:val="2F10F516"/>
    <w:lvl w:ilvl="0" w:tplc="F964326A">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4B51B9C"/>
    <w:multiLevelType w:val="hybridMultilevel"/>
    <w:tmpl w:val="3B0A3EA2"/>
    <w:lvl w:ilvl="0" w:tplc="C2D02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D847899"/>
    <w:multiLevelType w:val="multilevel"/>
    <w:tmpl w:val="D61A59A8"/>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num w:numId="1">
    <w:abstractNumId w:val="1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9"/>
  </w:num>
  <w:num w:numId="6">
    <w:abstractNumId w:val="2"/>
  </w:num>
  <w:num w:numId="7">
    <w:abstractNumId w:val="7"/>
  </w:num>
  <w:num w:numId="8">
    <w:abstractNumId w:val="0"/>
  </w:num>
  <w:num w:numId="9">
    <w:abstractNumId w:val="16"/>
  </w:num>
  <w:num w:numId="10">
    <w:abstractNumId w:val="8"/>
  </w:num>
  <w:num w:numId="11">
    <w:abstractNumId w:val="17"/>
  </w:num>
  <w:num w:numId="12">
    <w:abstractNumId w:val="11"/>
  </w:num>
  <w:num w:numId="13">
    <w:abstractNumId w:val="14"/>
  </w:num>
  <w:num w:numId="14">
    <w:abstractNumId w:val="6"/>
  </w:num>
  <w:num w:numId="15">
    <w:abstractNumId w:val="4"/>
  </w:num>
  <w:num w:numId="16">
    <w:abstractNumId w:val="9"/>
  </w:num>
  <w:num w:numId="17">
    <w:abstractNumId w:val="1"/>
  </w:num>
  <w:num w:numId="18">
    <w:abstractNumId w:val="10"/>
  </w:num>
  <w:num w:numId="19">
    <w:abstractNumId w:val="5"/>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39"/>
    <w:rsid w:val="00002276"/>
    <w:rsid w:val="0000665F"/>
    <w:rsid w:val="0000768A"/>
    <w:rsid w:val="00014A68"/>
    <w:rsid w:val="00016CCC"/>
    <w:rsid w:val="00017624"/>
    <w:rsid w:val="000213BC"/>
    <w:rsid w:val="000243C8"/>
    <w:rsid w:val="0002645D"/>
    <w:rsid w:val="00027F55"/>
    <w:rsid w:val="000349E6"/>
    <w:rsid w:val="00035653"/>
    <w:rsid w:val="00042E76"/>
    <w:rsid w:val="000504F2"/>
    <w:rsid w:val="00053A4F"/>
    <w:rsid w:val="00053F2A"/>
    <w:rsid w:val="000543C2"/>
    <w:rsid w:val="00054918"/>
    <w:rsid w:val="00060314"/>
    <w:rsid w:val="0006555C"/>
    <w:rsid w:val="00067E5E"/>
    <w:rsid w:val="00070E59"/>
    <w:rsid w:val="00074575"/>
    <w:rsid w:val="00075A06"/>
    <w:rsid w:val="00083837"/>
    <w:rsid w:val="00083E92"/>
    <w:rsid w:val="00090765"/>
    <w:rsid w:val="00090DC4"/>
    <w:rsid w:val="00091AFD"/>
    <w:rsid w:val="00092ECB"/>
    <w:rsid w:val="00096A68"/>
    <w:rsid w:val="000A10BC"/>
    <w:rsid w:val="000A1D8D"/>
    <w:rsid w:val="000A20B8"/>
    <w:rsid w:val="000A48E5"/>
    <w:rsid w:val="000A5167"/>
    <w:rsid w:val="000A7D70"/>
    <w:rsid w:val="000B104E"/>
    <w:rsid w:val="000B20EA"/>
    <w:rsid w:val="000B2CA0"/>
    <w:rsid w:val="000B4120"/>
    <w:rsid w:val="000B5C42"/>
    <w:rsid w:val="000B6102"/>
    <w:rsid w:val="000B6163"/>
    <w:rsid w:val="000B64F0"/>
    <w:rsid w:val="000B7980"/>
    <w:rsid w:val="000B7B0B"/>
    <w:rsid w:val="000C1FC6"/>
    <w:rsid w:val="000C2576"/>
    <w:rsid w:val="000C6804"/>
    <w:rsid w:val="000C79B5"/>
    <w:rsid w:val="000D04A6"/>
    <w:rsid w:val="000D2C94"/>
    <w:rsid w:val="000D315C"/>
    <w:rsid w:val="000D46F6"/>
    <w:rsid w:val="000D7623"/>
    <w:rsid w:val="000E11DB"/>
    <w:rsid w:val="000E1F4A"/>
    <w:rsid w:val="000E234E"/>
    <w:rsid w:val="000F0527"/>
    <w:rsid w:val="000F2BC1"/>
    <w:rsid w:val="000F39E2"/>
    <w:rsid w:val="000F56E3"/>
    <w:rsid w:val="000F7BB5"/>
    <w:rsid w:val="00102137"/>
    <w:rsid w:val="00110E05"/>
    <w:rsid w:val="0011428C"/>
    <w:rsid w:val="001159F4"/>
    <w:rsid w:val="0011655B"/>
    <w:rsid w:val="00116DC4"/>
    <w:rsid w:val="001174C0"/>
    <w:rsid w:val="001209D8"/>
    <w:rsid w:val="00121CB5"/>
    <w:rsid w:val="00122BF4"/>
    <w:rsid w:val="0012391A"/>
    <w:rsid w:val="00132CF5"/>
    <w:rsid w:val="00134BE4"/>
    <w:rsid w:val="0013588D"/>
    <w:rsid w:val="001379D6"/>
    <w:rsid w:val="00137EB3"/>
    <w:rsid w:val="00141207"/>
    <w:rsid w:val="00143C9F"/>
    <w:rsid w:val="00143F94"/>
    <w:rsid w:val="00145A3A"/>
    <w:rsid w:val="00147CAC"/>
    <w:rsid w:val="00150295"/>
    <w:rsid w:val="00150BD4"/>
    <w:rsid w:val="00150CBB"/>
    <w:rsid w:val="0015217A"/>
    <w:rsid w:val="00153E9A"/>
    <w:rsid w:val="00154BA6"/>
    <w:rsid w:val="00160AB2"/>
    <w:rsid w:val="00175E12"/>
    <w:rsid w:val="00176033"/>
    <w:rsid w:val="00180850"/>
    <w:rsid w:val="0018249B"/>
    <w:rsid w:val="0018278F"/>
    <w:rsid w:val="00183817"/>
    <w:rsid w:val="00187204"/>
    <w:rsid w:val="001A1019"/>
    <w:rsid w:val="001A2DCE"/>
    <w:rsid w:val="001B1805"/>
    <w:rsid w:val="001B3D63"/>
    <w:rsid w:val="001B5096"/>
    <w:rsid w:val="001B5511"/>
    <w:rsid w:val="001B5A95"/>
    <w:rsid w:val="001B5E10"/>
    <w:rsid w:val="001B6CD2"/>
    <w:rsid w:val="001C0009"/>
    <w:rsid w:val="001C05E5"/>
    <w:rsid w:val="001C3D1D"/>
    <w:rsid w:val="001C4D56"/>
    <w:rsid w:val="001C67C4"/>
    <w:rsid w:val="001C7F67"/>
    <w:rsid w:val="001D1DFC"/>
    <w:rsid w:val="001D39E6"/>
    <w:rsid w:val="001D7A70"/>
    <w:rsid w:val="001E1703"/>
    <w:rsid w:val="001E58F8"/>
    <w:rsid w:val="001E6315"/>
    <w:rsid w:val="001F7134"/>
    <w:rsid w:val="00202B89"/>
    <w:rsid w:val="0020418A"/>
    <w:rsid w:val="00205367"/>
    <w:rsid w:val="002054EC"/>
    <w:rsid w:val="0020564F"/>
    <w:rsid w:val="00205D45"/>
    <w:rsid w:val="00206F4E"/>
    <w:rsid w:val="00210971"/>
    <w:rsid w:val="0021211F"/>
    <w:rsid w:val="00212F64"/>
    <w:rsid w:val="0021673B"/>
    <w:rsid w:val="002175E3"/>
    <w:rsid w:val="00217BB7"/>
    <w:rsid w:val="00222FBE"/>
    <w:rsid w:val="00223C67"/>
    <w:rsid w:val="00224737"/>
    <w:rsid w:val="00231E73"/>
    <w:rsid w:val="0023517A"/>
    <w:rsid w:val="00236343"/>
    <w:rsid w:val="002365E1"/>
    <w:rsid w:val="00240B4C"/>
    <w:rsid w:val="00242C72"/>
    <w:rsid w:val="00245894"/>
    <w:rsid w:val="00246C43"/>
    <w:rsid w:val="00251AAD"/>
    <w:rsid w:val="0025241B"/>
    <w:rsid w:val="00252B6B"/>
    <w:rsid w:val="00254AFF"/>
    <w:rsid w:val="00257349"/>
    <w:rsid w:val="0025761D"/>
    <w:rsid w:val="00257AF6"/>
    <w:rsid w:val="002618E7"/>
    <w:rsid w:val="00262A1A"/>
    <w:rsid w:val="00263446"/>
    <w:rsid w:val="0026476E"/>
    <w:rsid w:val="00267227"/>
    <w:rsid w:val="0027031F"/>
    <w:rsid w:val="002706E7"/>
    <w:rsid w:val="00270DEE"/>
    <w:rsid w:val="00272385"/>
    <w:rsid w:val="00272451"/>
    <w:rsid w:val="00274C7A"/>
    <w:rsid w:val="00274F49"/>
    <w:rsid w:val="00276334"/>
    <w:rsid w:val="00276778"/>
    <w:rsid w:val="002828B5"/>
    <w:rsid w:val="002909E5"/>
    <w:rsid w:val="0029431A"/>
    <w:rsid w:val="00297490"/>
    <w:rsid w:val="002A0C51"/>
    <w:rsid w:val="002A1484"/>
    <w:rsid w:val="002A2FC0"/>
    <w:rsid w:val="002A496C"/>
    <w:rsid w:val="002A4B21"/>
    <w:rsid w:val="002A5DF0"/>
    <w:rsid w:val="002A61A0"/>
    <w:rsid w:val="002A6BD9"/>
    <w:rsid w:val="002A6FF1"/>
    <w:rsid w:val="002B13A5"/>
    <w:rsid w:val="002B2414"/>
    <w:rsid w:val="002B6B69"/>
    <w:rsid w:val="002C08C4"/>
    <w:rsid w:val="002C0CE5"/>
    <w:rsid w:val="002C19D1"/>
    <w:rsid w:val="002C2E5C"/>
    <w:rsid w:val="002C6557"/>
    <w:rsid w:val="002D3256"/>
    <w:rsid w:val="002D49D3"/>
    <w:rsid w:val="002D649C"/>
    <w:rsid w:val="002E266F"/>
    <w:rsid w:val="002E26AF"/>
    <w:rsid w:val="002E2B7D"/>
    <w:rsid w:val="002E409F"/>
    <w:rsid w:val="002E560C"/>
    <w:rsid w:val="002E708F"/>
    <w:rsid w:val="002E72A6"/>
    <w:rsid w:val="002F0473"/>
    <w:rsid w:val="002F13F2"/>
    <w:rsid w:val="002F45B8"/>
    <w:rsid w:val="00300076"/>
    <w:rsid w:val="003008EF"/>
    <w:rsid w:val="00306D2D"/>
    <w:rsid w:val="00310305"/>
    <w:rsid w:val="00312AD5"/>
    <w:rsid w:val="00313A49"/>
    <w:rsid w:val="003151D2"/>
    <w:rsid w:val="003172FF"/>
    <w:rsid w:val="00322382"/>
    <w:rsid w:val="00322420"/>
    <w:rsid w:val="00324B62"/>
    <w:rsid w:val="003255FA"/>
    <w:rsid w:val="00331502"/>
    <w:rsid w:val="00331B69"/>
    <w:rsid w:val="00343852"/>
    <w:rsid w:val="00345DB4"/>
    <w:rsid w:val="00351603"/>
    <w:rsid w:val="00352640"/>
    <w:rsid w:val="00355C85"/>
    <w:rsid w:val="00357437"/>
    <w:rsid w:val="00366200"/>
    <w:rsid w:val="00367B4F"/>
    <w:rsid w:val="00373816"/>
    <w:rsid w:val="0037458B"/>
    <w:rsid w:val="00374B21"/>
    <w:rsid w:val="00381368"/>
    <w:rsid w:val="0038168F"/>
    <w:rsid w:val="00381700"/>
    <w:rsid w:val="00383FF4"/>
    <w:rsid w:val="00385561"/>
    <w:rsid w:val="00385B07"/>
    <w:rsid w:val="0038697F"/>
    <w:rsid w:val="00387352"/>
    <w:rsid w:val="003908BF"/>
    <w:rsid w:val="003973C5"/>
    <w:rsid w:val="00397EBF"/>
    <w:rsid w:val="003A041F"/>
    <w:rsid w:val="003A2A03"/>
    <w:rsid w:val="003A2E44"/>
    <w:rsid w:val="003A3B12"/>
    <w:rsid w:val="003B0E07"/>
    <w:rsid w:val="003B39C0"/>
    <w:rsid w:val="003B7912"/>
    <w:rsid w:val="003C05BA"/>
    <w:rsid w:val="003C1E1A"/>
    <w:rsid w:val="003C281E"/>
    <w:rsid w:val="003C4B04"/>
    <w:rsid w:val="003C7018"/>
    <w:rsid w:val="003D36FC"/>
    <w:rsid w:val="003D44E4"/>
    <w:rsid w:val="003D70B4"/>
    <w:rsid w:val="003D76F3"/>
    <w:rsid w:val="003F0937"/>
    <w:rsid w:val="003F258B"/>
    <w:rsid w:val="003F4FBB"/>
    <w:rsid w:val="003F6117"/>
    <w:rsid w:val="004014F2"/>
    <w:rsid w:val="00402129"/>
    <w:rsid w:val="004031EF"/>
    <w:rsid w:val="00403FC6"/>
    <w:rsid w:val="00404BB8"/>
    <w:rsid w:val="00411EFB"/>
    <w:rsid w:val="00413D9A"/>
    <w:rsid w:val="00414D87"/>
    <w:rsid w:val="00420DA2"/>
    <w:rsid w:val="004217AA"/>
    <w:rsid w:val="004220C0"/>
    <w:rsid w:val="00424B79"/>
    <w:rsid w:val="00424CCC"/>
    <w:rsid w:val="00427764"/>
    <w:rsid w:val="00435991"/>
    <w:rsid w:val="00437CB7"/>
    <w:rsid w:val="00442735"/>
    <w:rsid w:val="00442A89"/>
    <w:rsid w:val="0044363D"/>
    <w:rsid w:val="004441E0"/>
    <w:rsid w:val="00445FF1"/>
    <w:rsid w:val="00450BB7"/>
    <w:rsid w:val="0045405C"/>
    <w:rsid w:val="00456879"/>
    <w:rsid w:val="004667C6"/>
    <w:rsid w:val="0046794B"/>
    <w:rsid w:val="00467CCC"/>
    <w:rsid w:val="0047029D"/>
    <w:rsid w:val="0047252A"/>
    <w:rsid w:val="00473672"/>
    <w:rsid w:val="00475CE2"/>
    <w:rsid w:val="00477CE5"/>
    <w:rsid w:val="004829C7"/>
    <w:rsid w:val="004833DD"/>
    <w:rsid w:val="00484D2C"/>
    <w:rsid w:val="00485591"/>
    <w:rsid w:val="00486FE2"/>
    <w:rsid w:val="0049057F"/>
    <w:rsid w:val="00492A34"/>
    <w:rsid w:val="00494A31"/>
    <w:rsid w:val="00495AB1"/>
    <w:rsid w:val="00497CC5"/>
    <w:rsid w:val="004A0F03"/>
    <w:rsid w:val="004A2573"/>
    <w:rsid w:val="004A3E84"/>
    <w:rsid w:val="004A4D43"/>
    <w:rsid w:val="004A4F43"/>
    <w:rsid w:val="004A758B"/>
    <w:rsid w:val="004C2673"/>
    <w:rsid w:val="004C2A41"/>
    <w:rsid w:val="004C50AA"/>
    <w:rsid w:val="004C5102"/>
    <w:rsid w:val="004D0E58"/>
    <w:rsid w:val="004D2721"/>
    <w:rsid w:val="004D35D7"/>
    <w:rsid w:val="004D6660"/>
    <w:rsid w:val="004E20BE"/>
    <w:rsid w:val="004E2F8C"/>
    <w:rsid w:val="004E4329"/>
    <w:rsid w:val="004E479B"/>
    <w:rsid w:val="004E560F"/>
    <w:rsid w:val="004E627B"/>
    <w:rsid w:val="004E6C83"/>
    <w:rsid w:val="004F2B3C"/>
    <w:rsid w:val="004F385F"/>
    <w:rsid w:val="004F43A8"/>
    <w:rsid w:val="004F59E1"/>
    <w:rsid w:val="004F7312"/>
    <w:rsid w:val="00500015"/>
    <w:rsid w:val="005001CB"/>
    <w:rsid w:val="0050317F"/>
    <w:rsid w:val="005036C7"/>
    <w:rsid w:val="005070D0"/>
    <w:rsid w:val="0050767C"/>
    <w:rsid w:val="005176C2"/>
    <w:rsid w:val="00517EA0"/>
    <w:rsid w:val="00520B48"/>
    <w:rsid w:val="00523F48"/>
    <w:rsid w:val="0052467F"/>
    <w:rsid w:val="00526776"/>
    <w:rsid w:val="005301D7"/>
    <w:rsid w:val="00530C43"/>
    <w:rsid w:val="005325C0"/>
    <w:rsid w:val="00533D5C"/>
    <w:rsid w:val="00534262"/>
    <w:rsid w:val="00534BD6"/>
    <w:rsid w:val="00537855"/>
    <w:rsid w:val="00540E1C"/>
    <w:rsid w:val="00541A3D"/>
    <w:rsid w:val="00542C28"/>
    <w:rsid w:val="00543C33"/>
    <w:rsid w:val="00546FD0"/>
    <w:rsid w:val="00552D8D"/>
    <w:rsid w:val="0055659B"/>
    <w:rsid w:val="00556835"/>
    <w:rsid w:val="00561749"/>
    <w:rsid w:val="00563BE0"/>
    <w:rsid w:val="005711EA"/>
    <w:rsid w:val="00572D14"/>
    <w:rsid w:val="00575B35"/>
    <w:rsid w:val="00577F13"/>
    <w:rsid w:val="00580CB2"/>
    <w:rsid w:val="005822EC"/>
    <w:rsid w:val="005906BD"/>
    <w:rsid w:val="00597E9E"/>
    <w:rsid w:val="005A1518"/>
    <w:rsid w:val="005A2619"/>
    <w:rsid w:val="005A4B28"/>
    <w:rsid w:val="005A4F2D"/>
    <w:rsid w:val="005B114A"/>
    <w:rsid w:val="005B6370"/>
    <w:rsid w:val="005B75D1"/>
    <w:rsid w:val="005C075B"/>
    <w:rsid w:val="005C116A"/>
    <w:rsid w:val="005C1C31"/>
    <w:rsid w:val="005C33F3"/>
    <w:rsid w:val="005C3586"/>
    <w:rsid w:val="005C3B67"/>
    <w:rsid w:val="005C48AC"/>
    <w:rsid w:val="005C4AC8"/>
    <w:rsid w:val="005C6F02"/>
    <w:rsid w:val="005C780C"/>
    <w:rsid w:val="005D0AC0"/>
    <w:rsid w:val="005D29D7"/>
    <w:rsid w:val="005D3685"/>
    <w:rsid w:val="005D393A"/>
    <w:rsid w:val="005D4948"/>
    <w:rsid w:val="005D69C1"/>
    <w:rsid w:val="005D6F53"/>
    <w:rsid w:val="005D7103"/>
    <w:rsid w:val="005D710B"/>
    <w:rsid w:val="005E0511"/>
    <w:rsid w:val="005E5D51"/>
    <w:rsid w:val="005F1240"/>
    <w:rsid w:val="005F16D8"/>
    <w:rsid w:val="005F47DE"/>
    <w:rsid w:val="005F48DE"/>
    <w:rsid w:val="00601E5D"/>
    <w:rsid w:val="00604C38"/>
    <w:rsid w:val="00610BFA"/>
    <w:rsid w:val="006212DA"/>
    <w:rsid w:val="00621D8A"/>
    <w:rsid w:val="00622145"/>
    <w:rsid w:val="00622489"/>
    <w:rsid w:val="00624AC9"/>
    <w:rsid w:val="00626859"/>
    <w:rsid w:val="0063226F"/>
    <w:rsid w:val="00632E75"/>
    <w:rsid w:val="0063338E"/>
    <w:rsid w:val="006360DE"/>
    <w:rsid w:val="00637900"/>
    <w:rsid w:val="00644F54"/>
    <w:rsid w:val="0064767D"/>
    <w:rsid w:val="0065032C"/>
    <w:rsid w:val="00651C0D"/>
    <w:rsid w:val="00655B98"/>
    <w:rsid w:val="006576A0"/>
    <w:rsid w:val="00660AFC"/>
    <w:rsid w:val="00661AB3"/>
    <w:rsid w:val="00662C92"/>
    <w:rsid w:val="0066635B"/>
    <w:rsid w:val="00667F77"/>
    <w:rsid w:val="006705F3"/>
    <w:rsid w:val="006776DF"/>
    <w:rsid w:val="00680846"/>
    <w:rsid w:val="00680B86"/>
    <w:rsid w:val="00684410"/>
    <w:rsid w:val="006850E6"/>
    <w:rsid w:val="006866D3"/>
    <w:rsid w:val="006A0874"/>
    <w:rsid w:val="006A0DD7"/>
    <w:rsid w:val="006A114A"/>
    <w:rsid w:val="006A3217"/>
    <w:rsid w:val="006A7483"/>
    <w:rsid w:val="006B00FD"/>
    <w:rsid w:val="006B1913"/>
    <w:rsid w:val="006B1BAB"/>
    <w:rsid w:val="006B4F7C"/>
    <w:rsid w:val="006B5C9C"/>
    <w:rsid w:val="006B6BC1"/>
    <w:rsid w:val="006D28DE"/>
    <w:rsid w:val="006D353C"/>
    <w:rsid w:val="006D3EB5"/>
    <w:rsid w:val="006D4E60"/>
    <w:rsid w:val="006D6586"/>
    <w:rsid w:val="006D6CCE"/>
    <w:rsid w:val="006D6EBC"/>
    <w:rsid w:val="006E06C4"/>
    <w:rsid w:val="006E18EA"/>
    <w:rsid w:val="006E1A8C"/>
    <w:rsid w:val="006E27CD"/>
    <w:rsid w:val="006E3AB6"/>
    <w:rsid w:val="006E4E6B"/>
    <w:rsid w:val="006E62E4"/>
    <w:rsid w:val="006E6938"/>
    <w:rsid w:val="006E6A11"/>
    <w:rsid w:val="006F0A8D"/>
    <w:rsid w:val="006F26BB"/>
    <w:rsid w:val="006F61CB"/>
    <w:rsid w:val="00700714"/>
    <w:rsid w:val="00701305"/>
    <w:rsid w:val="0070131E"/>
    <w:rsid w:val="00701A74"/>
    <w:rsid w:val="00702FFB"/>
    <w:rsid w:val="007032E6"/>
    <w:rsid w:val="0070355E"/>
    <w:rsid w:val="007065ED"/>
    <w:rsid w:val="007122D3"/>
    <w:rsid w:val="00713DEE"/>
    <w:rsid w:val="00714B34"/>
    <w:rsid w:val="0072416D"/>
    <w:rsid w:val="00724E46"/>
    <w:rsid w:val="00726E58"/>
    <w:rsid w:val="0072771C"/>
    <w:rsid w:val="00730D44"/>
    <w:rsid w:val="00735125"/>
    <w:rsid w:val="00736CDF"/>
    <w:rsid w:val="00744164"/>
    <w:rsid w:val="00744D3E"/>
    <w:rsid w:val="00746DB8"/>
    <w:rsid w:val="007474BF"/>
    <w:rsid w:val="00747AC7"/>
    <w:rsid w:val="007513C9"/>
    <w:rsid w:val="00757774"/>
    <w:rsid w:val="00762696"/>
    <w:rsid w:val="00763EE7"/>
    <w:rsid w:val="00766E1A"/>
    <w:rsid w:val="00770DD9"/>
    <w:rsid w:val="00772C2B"/>
    <w:rsid w:val="00773AE9"/>
    <w:rsid w:val="007747B6"/>
    <w:rsid w:val="00777F20"/>
    <w:rsid w:val="00780F9B"/>
    <w:rsid w:val="00786265"/>
    <w:rsid w:val="0078630D"/>
    <w:rsid w:val="00786CC3"/>
    <w:rsid w:val="00787F99"/>
    <w:rsid w:val="00790711"/>
    <w:rsid w:val="00794274"/>
    <w:rsid w:val="00796170"/>
    <w:rsid w:val="007A00E8"/>
    <w:rsid w:val="007A6581"/>
    <w:rsid w:val="007A6605"/>
    <w:rsid w:val="007B199D"/>
    <w:rsid w:val="007B524E"/>
    <w:rsid w:val="007C0FD3"/>
    <w:rsid w:val="007C1781"/>
    <w:rsid w:val="007C3349"/>
    <w:rsid w:val="007C48CD"/>
    <w:rsid w:val="007C51E3"/>
    <w:rsid w:val="007C54C9"/>
    <w:rsid w:val="007C5B77"/>
    <w:rsid w:val="007C6B6F"/>
    <w:rsid w:val="007C72D0"/>
    <w:rsid w:val="007D23B2"/>
    <w:rsid w:val="007D374E"/>
    <w:rsid w:val="007D527B"/>
    <w:rsid w:val="007D571D"/>
    <w:rsid w:val="007D6062"/>
    <w:rsid w:val="007E2E4E"/>
    <w:rsid w:val="007E6A5E"/>
    <w:rsid w:val="007F12F1"/>
    <w:rsid w:val="007F3E8D"/>
    <w:rsid w:val="007F4773"/>
    <w:rsid w:val="007F491A"/>
    <w:rsid w:val="007F5BDF"/>
    <w:rsid w:val="007F66BD"/>
    <w:rsid w:val="007F6BF9"/>
    <w:rsid w:val="008044C9"/>
    <w:rsid w:val="0081129C"/>
    <w:rsid w:val="0081191C"/>
    <w:rsid w:val="008123D1"/>
    <w:rsid w:val="00813C46"/>
    <w:rsid w:val="0081441C"/>
    <w:rsid w:val="008165F9"/>
    <w:rsid w:val="0082307C"/>
    <w:rsid w:val="008230BA"/>
    <w:rsid w:val="00823BFC"/>
    <w:rsid w:val="00830A86"/>
    <w:rsid w:val="00833C84"/>
    <w:rsid w:val="008356DA"/>
    <w:rsid w:val="00837594"/>
    <w:rsid w:val="00840E86"/>
    <w:rsid w:val="00844CE8"/>
    <w:rsid w:val="0084605F"/>
    <w:rsid w:val="00847C53"/>
    <w:rsid w:val="00851DBA"/>
    <w:rsid w:val="00853583"/>
    <w:rsid w:val="0085403A"/>
    <w:rsid w:val="0085731F"/>
    <w:rsid w:val="00863AD2"/>
    <w:rsid w:val="00865CB6"/>
    <w:rsid w:val="00867818"/>
    <w:rsid w:val="008739C4"/>
    <w:rsid w:val="0087794F"/>
    <w:rsid w:val="008912BE"/>
    <w:rsid w:val="00896A9F"/>
    <w:rsid w:val="008973FE"/>
    <w:rsid w:val="008A034A"/>
    <w:rsid w:val="008A2176"/>
    <w:rsid w:val="008A218E"/>
    <w:rsid w:val="008A5F99"/>
    <w:rsid w:val="008B03B7"/>
    <w:rsid w:val="008B37D7"/>
    <w:rsid w:val="008B61EB"/>
    <w:rsid w:val="008B6CAA"/>
    <w:rsid w:val="008C0EA3"/>
    <w:rsid w:val="008C284A"/>
    <w:rsid w:val="008C2CF7"/>
    <w:rsid w:val="008C3135"/>
    <w:rsid w:val="008C3364"/>
    <w:rsid w:val="008C4FD0"/>
    <w:rsid w:val="008C5610"/>
    <w:rsid w:val="008C6F37"/>
    <w:rsid w:val="008D0993"/>
    <w:rsid w:val="008D269D"/>
    <w:rsid w:val="008D2DD4"/>
    <w:rsid w:val="008D35B3"/>
    <w:rsid w:val="008D3D4D"/>
    <w:rsid w:val="008D5433"/>
    <w:rsid w:val="008D60EB"/>
    <w:rsid w:val="008D6739"/>
    <w:rsid w:val="008E3A7C"/>
    <w:rsid w:val="008E7E3D"/>
    <w:rsid w:val="008F0C37"/>
    <w:rsid w:val="008F1E67"/>
    <w:rsid w:val="008F3574"/>
    <w:rsid w:val="008F3CEF"/>
    <w:rsid w:val="008F49BB"/>
    <w:rsid w:val="008F5EE2"/>
    <w:rsid w:val="008F66C6"/>
    <w:rsid w:val="008F67E2"/>
    <w:rsid w:val="008F6AF2"/>
    <w:rsid w:val="008F6C35"/>
    <w:rsid w:val="008F6DCD"/>
    <w:rsid w:val="0090000A"/>
    <w:rsid w:val="00902B60"/>
    <w:rsid w:val="009071E4"/>
    <w:rsid w:val="00907309"/>
    <w:rsid w:val="009158AD"/>
    <w:rsid w:val="009166C8"/>
    <w:rsid w:val="00920A87"/>
    <w:rsid w:val="009238D8"/>
    <w:rsid w:val="009246C6"/>
    <w:rsid w:val="009255E3"/>
    <w:rsid w:val="00926934"/>
    <w:rsid w:val="00927AA9"/>
    <w:rsid w:val="00930538"/>
    <w:rsid w:val="00934CE2"/>
    <w:rsid w:val="009367EA"/>
    <w:rsid w:val="00945731"/>
    <w:rsid w:val="00945BD6"/>
    <w:rsid w:val="00945CF3"/>
    <w:rsid w:val="009469FE"/>
    <w:rsid w:val="009545C0"/>
    <w:rsid w:val="00955367"/>
    <w:rsid w:val="009570C2"/>
    <w:rsid w:val="009631AC"/>
    <w:rsid w:val="00964581"/>
    <w:rsid w:val="00965679"/>
    <w:rsid w:val="00967700"/>
    <w:rsid w:val="0096789B"/>
    <w:rsid w:val="009715BB"/>
    <w:rsid w:val="009724C2"/>
    <w:rsid w:val="00974A4E"/>
    <w:rsid w:val="00977D0A"/>
    <w:rsid w:val="00977D2F"/>
    <w:rsid w:val="00980146"/>
    <w:rsid w:val="0098145B"/>
    <w:rsid w:val="009815F0"/>
    <w:rsid w:val="00984A45"/>
    <w:rsid w:val="00986A7F"/>
    <w:rsid w:val="00991649"/>
    <w:rsid w:val="00992EC5"/>
    <w:rsid w:val="00993CFC"/>
    <w:rsid w:val="009969F1"/>
    <w:rsid w:val="009A0730"/>
    <w:rsid w:val="009A26C0"/>
    <w:rsid w:val="009A5168"/>
    <w:rsid w:val="009A5DF9"/>
    <w:rsid w:val="009B0596"/>
    <w:rsid w:val="009B3701"/>
    <w:rsid w:val="009B3978"/>
    <w:rsid w:val="009B5F22"/>
    <w:rsid w:val="009C0E15"/>
    <w:rsid w:val="009C25DB"/>
    <w:rsid w:val="009C2920"/>
    <w:rsid w:val="009C7964"/>
    <w:rsid w:val="009D376A"/>
    <w:rsid w:val="009D3A48"/>
    <w:rsid w:val="009D4485"/>
    <w:rsid w:val="009E179F"/>
    <w:rsid w:val="009E27F9"/>
    <w:rsid w:val="009E2C42"/>
    <w:rsid w:val="009E3E94"/>
    <w:rsid w:val="009E4A40"/>
    <w:rsid w:val="009E732A"/>
    <w:rsid w:val="009E7D44"/>
    <w:rsid w:val="009F0D5D"/>
    <w:rsid w:val="009F22C7"/>
    <w:rsid w:val="00A05C31"/>
    <w:rsid w:val="00A14FB4"/>
    <w:rsid w:val="00A16067"/>
    <w:rsid w:val="00A17547"/>
    <w:rsid w:val="00A2089E"/>
    <w:rsid w:val="00A23128"/>
    <w:rsid w:val="00A23EA1"/>
    <w:rsid w:val="00A27030"/>
    <w:rsid w:val="00A30655"/>
    <w:rsid w:val="00A30FD0"/>
    <w:rsid w:val="00A363C1"/>
    <w:rsid w:val="00A36445"/>
    <w:rsid w:val="00A41AC3"/>
    <w:rsid w:val="00A45BEC"/>
    <w:rsid w:val="00A46AB9"/>
    <w:rsid w:val="00A6094F"/>
    <w:rsid w:val="00A60B63"/>
    <w:rsid w:val="00A628D0"/>
    <w:rsid w:val="00A62CC3"/>
    <w:rsid w:val="00A63C98"/>
    <w:rsid w:val="00A64B8A"/>
    <w:rsid w:val="00A65FC8"/>
    <w:rsid w:val="00A70259"/>
    <w:rsid w:val="00A73495"/>
    <w:rsid w:val="00A73E02"/>
    <w:rsid w:val="00A74473"/>
    <w:rsid w:val="00A81044"/>
    <w:rsid w:val="00A822F9"/>
    <w:rsid w:val="00A83AE8"/>
    <w:rsid w:val="00A847B8"/>
    <w:rsid w:val="00A864C8"/>
    <w:rsid w:val="00A9018C"/>
    <w:rsid w:val="00A917BF"/>
    <w:rsid w:val="00A92769"/>
    <w:rsid w:val="00A94377"/>
    <w:rsid w:val="00A96799"/>
    <w:rsid w:val="00A969DE"/>
    <w:rsid w:val="00AA25B1"/>
    <w:rsid w:val="00AA2700"/>
    <w:rsid w:val="00AA58CA"/>
    <w:rsid w:val="00AA6000"/>
    <w:rsid w:val="00AA6449"/>
    <w:rsid w:val="00AA6CAD"/>
    <w:rsid w:val="00AB0517"/>
    <w:rsid w:val="00AB0D65"/>
    <w:rsid w:val="00AB59F6"/>
    <w:rsid w:val="00AB64AE"/>
    <w:rsid w:val="00AC0F07"/>
    <w:rsid w:val="00AC1043"/>
    <w:rsid w:val="00AC5A7D"/>
    <w:rsid w:val="00AD0E33"/>
    <w:rsid w:val="00AD2488"/>
    <w:rsid w:val="00AD31E8"/>
    <w:rsid w:val="00AD5D93"/>
    <w:rsid w:val="00AD76DB"/>
    <w:rsid w:val="00AE0070"/>
    <w:rsid w:val="00AE4801"/>
    <w:rsid w:val="00AE5A5E"/>
    <w:rsid w:val="00AE6EB4"/>
    <w:rsid w:val="00AE710C"/>
    <w:rsid w:val="00AF31CD"/>
    <w:rsid w:val="00AF64CA"/>
    <w:rsid w:val="00AF7378"/>
    <w:rsid w:val="00B006DF"/>
    <w:rsid w:val="00B04623"/>
    <w:rsid w:val="00B0746E"/>
    <w:rsid w:val="00B115D8"/>
    <w:rsid w:val="00B11EAC"/>
    <w:rsid w:val="00B13C7F"/>
    <w:rsid w:val="00B15915"/>
    <w:rsid w:val="00B20ADE"/>
    <w:rsid w:val="00B2367A"/>
    <w:rsid w:val="00B25E79"/>
    <w:rsid w:val="00B264A4"/>
    <w:rsid w:val="00B27C6C"/>
    <w:rsid w:val="00B32683"/>
    <w:rsid w:val="00B326F9"/>
    <w:rsid w:val="00B3330B"/>
    <w:rsid w:val="00B3443C"/>
    <w:rsid w:val="00B34A28"/>
    <w:rsid w:val="00B43969"/>
    <w:rsid w:val="00B53A0F"/>
    <w:rsid w:val="00B62903"/>
    <w:rsid w:val="00B638EF"/>
    <w:rsid w:val="00B64E13"/>
    <w:rsid w:val="00B66FB4"/>
    <w:rsid w:val="00B70459"/>
    <w:rsid w:val="00B71E7D"/>
    <w:rsid w:val="00B72BBA"/>
    <w:rsid w:val="00B73FA3"/>
    <w:rsid w:val="00B807DF"/>
    <w:rsid w:val="00B81D50"/>
    <w:rsid w:val="00B848E5"/>
    <w:rsid w:val="00B90C99"/>
    <w:rsid w:val="00B945A5"/>
    <w:rsid w:val="00BA5AB9"/>
    <w:rsid w:val="00BA7654"/>
    <w:rsid w:val="00BB0F93"/>
    <w:rsid w:val="00BB4518"/>
    <w:rsid w:val="00BB656F"/>
    <w:rsid w:val="00BC1104"/>
    <w:rsid w:val="00BC1C82"/>
    <w:rsid w:val="00BC3309"/>
    <w:rsid w:val="00BD2B2D"/>
    <w:rsid w:val="00BD5414"/>
    <w:rsid w:val="00BD5709"/>
    <w:rsid w:val="00BD63DA"/>
    <w:rsid w:val="00BD7640"/>
    <w:rsid w:val="00BD7935"/>
    <w:rsid w:val="00BE036B"/>
    <w:rsid w:val="00BE205C"/>
    <w:rsid w:val="00BE26A2"/>
    <w:rsid w:val="00BE2C86"/>
    <w:rsid w:val="00BE325E"/>
    <w:rsid w:val="00BF1DD7"/>
    <w:rsid w:val="00BF4D54"/>
    <w:rsid w:val="00BF67D5"/>
    <w:rsid w:val="00C00234"/>
    <w:rsid w:val="00C03067"/>
    <w:rsid w:val="00C043ED"/>
    <w:rsid w:val="00C07C8E"/>
    <w:rsid w:val="00C12422"/>
    <w:rsid w:val="00C1442D"/>
    <w:rsid w:val="00C1649A"/>
    <w:rsid w:val="00C17E3C"/>
    <w:rsid w:val="00C202DF"/>
    <w:rsid w:val="00C21520"/>
    <w:rsid w:val="00C26684"/>
    <w:rsid w:val="00C27826"/>
    <w:rsid w:val="00C32947"/>
    <w:rsid w:val="00C35C39"/>
    <w:rsid w:val="00C35E2F"/>
    <w:rsid w:val="00C37796"/>
    <w:rsid w:val="00C40412"/>
    <w:rsid w:val="00C444AF"/>
    <w:rsid w:val="00C44C15"/>
    <w:rsid w:val="00C46EE0"/>
    <w:rsid w:val="00C506A4"/>
    <w:rsid w:val="00C51A1D"/>
    <w:rsid w:val="00C5211B"/>
    <w:rsid w:val="00C551F3"/>
    <w:rsid w:val="00C55C5B"/>
    <w:rsid w:val="00C566BC"/>
    <w:rsid w:val="00C570ED"/>
    <w:rsid w:val="00C57963"/>
    <w:rsid w:val="00C621FA"/>
    <w:rsid w:val="00C62861"/>
    <w:rsid w:val="00C6357A"/>
    <w:rsid w:val="00C64478"/>
    <w:rsid w:val="00C714AE"/>
    <w:rsid w:val="00C8188D"/>
    <w:rsid w:val="00C83236"/>
    <w:rsid w:val="00C836A9"/>
    <w:rsid w:val="00C868E1"/>
    <w:rsid w:val="00C86A72"/>
    <w:rsid w:val="00C8728E"/>
    <w:rsid w:val="00C87CF2"/>
    <w:rsid w:val="00C912BB"/>
    <w:rsid w:val="00C9231C"/>
    <w:rsid w:val="00C954C6"/>
    <w:rsid w:val="00C96118"/>
    <w:rsid w:val="00CA1550"/>
    <w:rsid w:val="00CA2093"/>
    <w:rsid w:val="00CA3A6A"/>
    <w:rsid w:val="00CA5413"/>
    <w:rsid w:val="00CB055E"/>
    <w:rsid w:val="00CB0FE4"/>
    <w:rsid w:val="00CB214A"/>
    <w:rsid w:val="00CB4FDF"/>
    <w:rsid w:val="00CB651F"/>
    <w:rsid w:val="00CB706C"/>
    <w:rsid w:val="00CB7A34"/>
    <w:rsid w:val="00CC0020"/>
    <w:rsid w:val="00CC0C19"/>
    <w:rsid w:val="00CC0DC5"/>
    <w:rsid w:val="00CC46E5"/>
    <w:rsid w:val="00CD1A8F"/>
    <w:rsid w:val="00CD22F4"/>
    <w:rsid w:val="00CD24FB"/>
    <w:rsid w:val="00CD305F"/>
    <w:rsid w:val="00CE07C7"/>
    <w:rsid w:val="00CE16BE"/>
    <w:rsid w:val="00CE1AD1"/>
    <w:rsid w:val="00CE1F7A"/>
    <w:rsid w:val="00CE251A"/>
    <w:rsid w:val="00CE55F8"/>
    <w:rsid w:val="00CE647E"/>
    <w:rsid w:val="00CF063D"/>
    <w:rsid w:val="00CF0D78"/>
    <w:rsid w:val="00CF23C2"/>
    <w:rsid w:val="00CF3F8F"/>
    <w:rsid w:val="00CF5743"/>
    <w:rsid w:val="00D005E3"/>
    <w:rsid w:val="00D03AEA"/>
    <w:rsid w:val="00D0660E"/>
    <w:rsid w:val="00D07ED9"/>
    <w:rsid w:val="00D102F8"/>
    <w:rsid w:val="00D15CB0"/>
    <w:rsid w:val="00D160F6"/>
    <w:rsid w:val="00D1713C"/>
    <w:rsid w:val="00D20007"/>
    <w:rsid w:val="00D2014D"/>
    <w:rsid w:val="00D22E5F"/>
    <w:rsid w:val="00D2382E"/>
    <w:rsid w:val="00D23B17"/>
    <w:rsid w:val="00D316FC"/>
    <w:rsid w:val="00D343B4"/>
    <w:rsid w:val="00D34E9C"/>
    <w:rsid w:val="00D35F19"/>
    <w:rsid w:val="00D3768D"/>
    <w:rsid w:val="00D448B1"/>
    <w:rsid w:val="00D4643A"/>
    <w:rsid w:val="00D551FD"/>
    <w:rsid w:val="00D5532B"/>
    <w:rsid w:val="00D553CC"/>
    <w:rsid w:val="00D613CA"/>
    <w:rsid w:val="00D61BD8"/>
    <w:rsid w:val="00D6264A"/>
    <w:rsid w:val="00D65BA6"/>
    <w:rsid w:val="00D664CC"/>
    <w:rsid w:val="00D67A08"/>
    <w:rsid w:val="00D70B7B"/>
    <w:rsid w:val="00D71181"/>
    <w:rsid w:val="00D73577"/>
    <w:rsid w:val="00D75078"/>
    <w:rsid w:val="00D76ABE"/>
    <w:rsid w:val="00D81905"/>
    <w:rsid w:val="00D8563A"/>
    <w:rsid w:val="00D86ACA"/>
    <w:rsid w:val="00D86E80"/>
    <w:rsid w:val="00D93AEE"/>
    <w:rsid w:val="00D9540C"/>
    <w:rsid w:val="00D968DA"/>
    <w:rsid w:val="00D972C3"/>
    <w:rsid w:val="00DA0229"/>
    <w:rsid w:val="00DA06DD"/>
    <w:rsid w:val="00DA0886"/>
    <w:rsid w:val="00DA0FA0"/>
    <w:rsid w:val="00DA1F4B"/>
    <w:rsid w:val="00DA61E2"/>
    <w:rsid w:val="00DA69FA"/>
    <w:rsid w:val="00DB0043"/>
    <w:rsid w:val="00DB4CC6"/>
    <w:rsid w:val="00DC2B85"/>
    <w:rsid w:val="00DC2DFE"/>
    <w:rsid w:val="00DC37D1"/>
    <w:rsid w:val="00DC392E"/>
    <w:rsid w:val="00DC4879"/>
    <w:rsid w:val="00DD1814"/>
    <w:rsid w:val="00DD2BE3"/>
    <w:rsid w:val="00DD3555"/>
    <w:rsid w:val="00DD4ED8"/>
    <w:rsid w:val="00DE0F0F"/>
    <w:rsid w:val="00DE222F"/>
    <w:rsid w:val="00DE2645"/>
    <w:rsid w:val="00DE640E"/>
    <w:rsid w:val="00DF0970"/>
    <w:rsid w:val="00DF0BEB"/>
    <w:rsid w:val="00DF1323"/>
    <w:rsid w:val="00DF3D05"/>
    <w:rsid w:val="00DF3D13"/>
    <w:rsid w:val="00DF47DD"/>
    <w:rsid w:val="00DF49C1"/>
    <w:rsid w:val="00DF50A6"/>
    <w:rsid w:val="00E002DB"/>
    <w:rsid w:val="00E03FED"/>
    <w:rsid w:val="00E04499"/>
    <w:rsid w:val="00E05C05"/>
    <w:rsid w:val="00E0668B"/>
    <w:rsid w:val="00E136AD"/>
    <w:rsid w:val="00E16747"/>
    <w:rsid w:val="00E172F3"/>
    <w:rsid w:val="00E17A6B"/>
    <w:rsid w:val="00E22F90"/>
    <w:rsid w:val="00E24365"/>
    <w:rsid w:val="00E25203"/>
    <w:rsid w:val="00E31239"/>
    <w:rsid w:val="00E37155"/>
    <w:rsid w:val="00E40A8E"/>
    <w:rsid w:val="00E42820"/>
    <w:rsid w:val="00E470CD"/>
    <w:rsid w:val="00E47637"/>
    <w:rsid w:val="00E556E2"/>
    <w:rsid w:val="00E558C2"/>
    <w:rsid w:val="00E57DBD"/>
    <w:rsid w:val="00E61E93"/>
    <w:rsid w:val="00E6543A"/>
    <w:rsid w:val="00E677CC"/>
    <w:rsid w:val="00E67CA9"/>
    <w:rsid w:val="00E7086B"/>
    <w:rsid w:val="00E708FA"/>
    <w:rsid w:val="00E71A0B"/>
    <w:rsid w:val="00E7312A"/>
    <w:rsid w:val="00E743AE"/>
    <w:rsid w:val="00E84525"/>
    <w:rsid w:val="00E85BFA"/>
    <w:rsid w:val="00E86B4E"/>
    <w:rsid w:val="00E91411"/>
    <w:rsid w:val="00E96AA2"/>
    <w:rsid w:val="00EA19A4"/>
    <w:rsid w:val="00EA24D4"/>
    <w:rsid w:val="00EA5776"/>
    <w:rsid w:val="00EA6953"/>
    <w:rsid w:val="00EB0593"/>
    <w:rsid w:val="00EB4253"/>
    <w:rsid w:val="00EB4741"/>
    <w:rsid w:val="00EB4769"/>
    <w:rsid w:val="00EB544B"/>
    <w:rsid w:val="00EB6772"/>
    <w:rsid w:val="00EC08F1"/>
    <w:rsid w:val="00EC0A03"/>
    <w:rsid w:val="00EC1FB0"/>
    <w:rsid w:val="00EC21EA"/>
    <w:rsid w:val="00EC329B"/>
    <w:rsid w:val="00EC4A0C"/>
    <w:rsid w:val="00EC5591"/>
    <w:rsid w:val="00EC5DEC"/>
    <w:rsid w:val="00EC66DA"/>
    <w:rsid w:val="00ED0B1B"/>
    <w:rsid w:val="00ED0FF0"/>
    <w:rsid w:val="00ED368D"/>
    <w:rsid w:val="00ED7DA8"/>
    <w:rsid w:val="00EE1C02"/>
    <w:rsid w:val="00EE39AB"/>
    <w:rsid w:val="00EE4038"/>
    <w:rsid w:val="00EE54E6"/>
    <w:rsid w:val="00EE5F6B"/>
    <w:rsid w:val="00EF2C6F"/>
    <w:rsid w:val="00EF2D4B"/>
    <w:rsid w:val="00EF44FE"/>
    <w:rsid w:val="00EF5718"/>
    <w:rsid w:val="00EF712E"/>
    <w:rsid w:val="00F00495"/>
    <w:rsid w:val="00F006EF"/>
    <w:rsid w:val="00F00DBA"/>
    <w:rsid w:val="00F019C3"/>
    <w:rsid w:val="00F02C3F"/>
    <w:rsid w:val="00F03671"/>
    <w:rsid w:val="00F118A0"/>
    <w:rsid w:val="00F119B1"/>
    <w:rsid w:val="00F11C65"/>
    <w:rsid w:val="00F1317F"/>
    <w:rsid w:val="00F1491C"/>
    <w:rsid w:val="00F21814"/>
    <w:rsid w:val="00F24EF4"/>
    <w:rsid w:val="00F265E1"/>
    <w:rsid w:val="00F27E20"/>
    <w:rsid w:val="00F3058C"/>
    <w:rsid w:val="00F34429"/>
    <w:rsid w:val="00F35603"/>
    <w:rsid w:val="00F35E81"/>
    <w:rsid w:val="00F50E30"/>
    <w:rsid w:val="00F50F76"/>
    <w:rsid w:val="00F54501"/>
    <w:rsid w:val="00F5543A"/>
    <w:rsid w:val="00F5629E"/>
    <w:rsid w:val="00F573C5"/>
    <w:rsid w:val="00F608A2"/>
    <w:rsid w:val="00F74976"/>
    <w:rsid w:val="00F74B60"/>
    <w:rsid w:val="00F82025"/>
    <w:rsid w:val="00F83720"/>
    <w:rsid w:val="00F862EA"/>
    <w:rsid w:val="00F86A08"/>
    <w:rsid w:val="00F87CFF"/>
    <w:rsid w:val="00F93666"/>
    <w:rsid w:val="00F9496A"/>
    <w:rsid w:val="00FA010D"/>
    <w:rsid w:val="00FA0186"/>
    <w:rsid w:val="00FA23D9"/>
    <w:rsid w:val="00FA4438"/>
    <w:rsid w:val="00FA549E"/>
    <w:rsid w:val="00FA77D3"/>
    <w:rsid w:val="00FA77F2"/>
    <w:rsid w:val="00FA7A2B"/>
    <w:rsid w:val="00FB328A"/>
    <w:rsid w:val="00FB37F6"/>
    <w:rsid w:val="00FB3D90"/>
    <w:rsid w:val="00FC448A"/>
    <w:rsid w:val="00FD2D81"/>
    <w:rsid w:val="00FD47F4"/>
    <w:rsid w:val="00FE26CB"/>
    <w:rsid w:val="00FE2A1C"/>
    <w:rsid w:val="00FE469B"/>
    <w:rsid w:val="00FE6D0A"/>
    <w:rsid w:val="00FF0D85"/>
    <w:rsid w:val="00FF1FC4"/>
    <w:rsid w:val="00FF2569"/>
    <w:rsid w:val="00FF48CF"/>
    <w:rsid w:val="00FF4DAD"/>
    <w:rsid w:val="00FF6734"/>
    <w:rsid w:val="00FF7922"/>
    <w:rsid w:val="00FF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5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2C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637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27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7D527B"/>
    <w:pPr>
      <w:ind w:left="720"/>
      <w:contextualSpacing/>
    </w:pPr>
  </w:style>
  <w:style w:type="paragraph" w:styleId="a4">
    <w:name w:val="footnote text"/>
    <w:basedOn w:val="a"/>
    <w:link w:val="a5"/>
    <w:unhideWhenUsed/>
    <w:rsid w:val="004D0E58"/>
    <w:rPr>
      <w:sz w:val="20"/>
      <w:szCs w:val="20"/>
    </w:rPr>
  </w:style>
  <w:style w:type="character" w:customStyle="1" w:styleId="a5">
    <w:name w:val="Текст сноски Знак"/>
    <w:basedOn w:val="a0"/>
    <w:link w:val="a4"/>
    <w:rsid w:val="004D0E58"/>
    <w:rPr>
      <w:sz w:val="20"/>
      <w:szCs w:val="20"/>
    </w:rPr>
  </w:style>
  <w:style w:type="character" w:styleId="a6">
    <w:name w:val="footnote reference"/>
    <w:basedOn w:val="a0"/>
    <w:semiHidden/>
    <w:unhideWhenUsed/>
    <w:rsid w:val="004D0E58"/>
    <w:rPr>
      <w:vertAlign w:val="superscript"/>
    </w:rPr>
  </w:style>
  <w:style w:type="table" w:styleId="a7">
    <w:name w:val="Table Grid"/>
    <w:basedOn w:val="a1"/>
    <w:uiPriority w:val="59"/>
    <w:rsid w:val="004D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969F1"/>
    <w:rPr>
      <w:color w:val="0000FF" w:themeColor="hyperlink"/>
      <w:u w:val="single"/>
    </w:rPr>
  </w:style>
  <w:style w:type="paragraph" w:styleId="a9">
    <w:name w:val="footer"/>
    <w:basedOn w:val="a"/>
    <w:link w:val="aa"/>
    <w:uiPriority w:val="99"/>
    <w:unhideWhenUsed/>
    <w:rsid w:val="00F019C3"/>
    <w:pPr>
      <w:tabs>
        <w:tab w:val="center" w:pos="4677"/>
        <w:tab w:val="right" w:pos="9355"/>
      </w:tabs>
    </w:pPr>
  </w:style>
  <w:style w:type="character" w:customStyle="1" w:styleId="aa">
    <w:name w:val="Нижний колонтитул Знак"/>
    <w:basedOn w:val="a0"/>
    <w:link w:val="a9"/>
    <w:uiPriority w:val="99"/>
    <w:rsid w:val="00F019C3"/>
  </w:style>
  <w:style w:type="character" w:customStyle="1" w:styleId="30">
    <w:name w:val="Заголовок 3 Знак"/>
    <w:basedOn w:val="a0"/>
    <w:link w:val="3"/>
    <w:uiPriority w:val="9"/>
    <w:rsid w:val="005B6370"/>
    <w:rPr>
      <w:rFonts w:asciiTheme="majorHAnsi" w:eastAsiaTheme="majorEastAsia" w:hAnsiTheme="majorHAnsi" w:cstheme="majorBidi"/>
      <w:b/>
      <w:bCs/>
      <w:color w:val="4F81BD" w:themeColor="accent1"/>
    </w:rPr>
  </w:style>
  <w:style w:type="paragraph" w:styleId="ab">
    <w:name w:val="Normal (Web)"/>
    <w:basedOn w:val="a"/>
    <w:uiPriority w:val="99"/>
    <w:unhideWhenUsed/>
    <w:rsid w:val="005C1C31"/>
    <w:pPr>
      <w:spacing w:before="100" w:beforeAutospacing="1" w:after="119"/>
    </w:pPr>
  </w:style>
  <w:style w:type="character" w:customStyle="1" w:styleId="20">
    <w:name w:val="Заголовок 2 Знак"/>
    <w:basedOn w:val="a0"/>
    <w:link w:val="2"/>
    <w:uiPriority w:val="9"/>
    <w:rsid w:val="008C2CF7"/>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4217AA"/>
    <w:rPr>
      <w:rFonts w:ascii="Tahoma" w:hAnsi="Tahoma" w:cs="Tahoma"/>
      <w:sz w:val="16"/>
      <w:szCs w:val="16"/>
    </w:rPr>
  </w:style>
  <w:style w:type="character" w:customStyle="1" w:styleId="ad">
    <w:name w:val="Текст выноски Знак"/>
    <w:basedOn w:val="a0"/>
    <w:link w:val="ac"/>
    <w:uiPriority w:val="99"/>
    <w:semiHidden/>
    <w:rsid w:val="004217AA"/>
    <w:rPr>
      <w:rFonts w:ascii="Tahoma" w:hAnsi="Tahoma" w:cs="Tahoma"/>
      <w:sz w:val="16"/>
      <w:szCs w:val="16"/>
    </w:rPr>
  </w:style>
  <w:style w:type="character" w:styleId="ae">
    <w:name w:val="Emphasis"/>
    <w:basedOn w:val="a0"/>
    <w:uiPriority w:val="20"/>
    <w:qFormat/>
    <w:rsid w:val="008044C9"/>
    <w:rPr>
      <w:i/>
      <w:iCs/>
    </w:rPr>
  </w:style>
  <w:style w:type="paragraph" w:styleId="af">
    <w:name w:val="TOC Heading"/>
    <w:basedOn w:val="1"/>
    <w:next w:val="a"/>
    <w:uiPriority w:val="39"/>
    <w:unhideWhenUsed/>
    <w:qFormat/>
    <w:rsid w:val="004E6C83"/>
    <w:pPr>
      <w:spacing w:before="240" w:line="259" w:lineRule="auto"/>
      <w:outlineLvl w:val="9"/>
    </w:pPr>
    <w:rPr>
      <w:b w:val="0"/>
      <w:bCs w:val="0"/>
      <w:sz w:val="32"/>
      <w:szCs w:val="32"/>
    </w:rPr>
  </w:style>
  <w:style w:type="paragraph" w:styleId="11">
    <w:name w:val="toc 1"/>
    <w:basedOn w:val="a"/>
    <w:next w:val="a"/>
    <w:autoRedefine/>
    <w:uiPriority w:val="39"/>
    <w:unhideWhenUsed/>
    <w:rsid w:val="004E6C83"/>
    <w:pPr>
      <w:spacing w:after="100"/>
    </w:pPr>
  </w:style>
  <w:style w:type="paragraph" w:styleId="31">
    <w:name w:val="toc 3"/>
    <w:basedOn w:val="a"/>
    <w:next w:val="a"/>
    <w:autoRedefine/>
    <w:uiPriority w:val="39"/>
    <w:unhideWhenUsed/>
    <w:rsid w:val="004E6C83"/>
    <w:pPr>
      <w:spacing w:after="100"/>
      <w:ind w:left="440"/>
    </w:pPr>
  </w:style>
  <w:style w:type="paragraph" w:styleId="21">
    <w:name w:val="toc 2"/>
    <w:basedOn w:val="a"/>
    <w:next w:val="a"/>
    <w:autoRedefine/>
    <w:uiPriority w:val="39"/>
    <w:unhideWhenUsed/>
    <w:rsid w:val="009F22C7"/>
    <w:pPr>
      <w:tabs>
        <w:tab w:val="right" w:leader="dot" w:pos="9345"/>
      </w:tabs>
      <w:spacing w:after="100"/>
      <w:ind w:left="220"/>
    </w:pPr>
    <w:rPr>
      <w:rFonts w:eastAsiaTheme="majorEastAsia"/>
      <w:bCs/>
      <w:noProof/>
    </w:rPr>
  </w:style>
  <w:style w:type="table" w:customStyle="1" w:styleId="12">
    <w:name w:val="Сетка таблицы1"/>
    <w:basedOn w:val="a1"/>
    <w:next w:val="a7"/>
    <w:uiPriority w:val="59"/>
    <w:rsid w:val="00DA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70355E"/>
    <w:pPr>
      <w:tabs>
        <w:tab w:val="center" w:pos="4677"/>
        <w:tab w:val="right" w:pos="9355"/>
      </w:tabs>
    </w:pPr>
  </w:style>
  <w:style w:type="character" w:customStyle="1" w:styleId="af1">
    <w:name w:val="Верхний колонтитул Знак"/>
    <w:basedOn w:val="a0"/>
    <w:link w:val="af0"/>
    <w:uiPriority w:val="99"/>
    <w:rsid w:val="0070355E"/>
  </w:style>
  <w:style w:type="paragraph" w:styleId="af2">
    <w:name w:val="No Spacing"/>
    <w:uiPriority w:val="1"/>
    <w:qFormat/>
    <w:rsid w:val="0082307C"/>
    <w:pPr>
      <w:spacing w:after="0" w:line="240" w:lineRule="auto"/>
    </w:pPr>
  </w:style>
  <w:style w:type="character" w:customStyle="1" w:styleId="13">
    <w:name w:val="Неразрешенное упоминание1"/>
    <w:basedOn w:val="a0"/>
    <w:uiPriority w:val="99"/>
    <w:semiHidden/>
    <w:unhideWhenUsed/>
    <w:rsid w:val="00F74976"/>
    <w:rPr>
      <w:color w:val="808080"/>
      <w:shd w:val="clear" w:color="auto" w:fill="E6E6E6"/>
    </w:rPr>
  </w:style>
  <w:style w:type="character" w:styleId="af3">
    <w:name w:val="Placeholder Text"/>
    <w:basedOn w:val="a0"/>
    <w:uiPriority w:val="99"/>
    <w:semiHidden/>
    <w:rsid w:val="004220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5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2C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637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27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7D527B"/>
    <w:pPr>
      <w:ind w:left="720"/>
      <w:contextualSpacing/>
    </w:pPr>
  </w:style>
  <w:style w:type="paragraph" w:styleId="a4">
    <w:name w:val="footnote text"/>
    <w:basedOn w:val="a"/>
    <w:link w:val="a5"/>
    <w:unhideWhenUsed/>
    <w:rsid w:val="004D0E58"/>
    <w:rPr>
      <w:sz w:val="20"/>
      <w:szCs w:val="20"/>
    </w:rPr>
  </w:style>
  <w:style w:type="character" w:customStyle="1" w:styleId="a5">
    <w:name w:val="Текст сноски Знак"/>
    <w:basedOn w:val="a0"/>
    <w:link w:val="a4"/>
    <w:rsid w:val="004D0E58"/>
    <w:rPr>
      <w:sz w:val="20"/>
      <w:szCs w:val="20"/>
    </w:rPr>
  </w:style>
  <w:style w:type="character" w:styleId="a6">
    <w:name w:val="footnote reference"/>
    <w:basedOn w:val="a0"/>
    <w:semiHidden/>
    <w:unhideWhenUsed/>
    <w:rsid w:val="004D0E58"/>
    <w:rPr>
      <w:vertAlign w:val="superscript"/>
    </w:rPr>
  </w:style>
  <w:style w:type="table" w:styleId="a7">
    <w:name w:val="Table Grid"/>
    <w:basedOn w:val="a1"/>
    <w:uiPriority w:val="59"/>
    <w:rsid w:val="004D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969F1"/>
    <w:rPr>
      <w:color w:val="0000FF" w:themeColor="hyperlink"/>
      <w:u w:val="single"/>
    </w:rPr>
  </w:style>
  <w:style w:type="paragraph" w:styleId="a9">
    <w:name w:val="footer"/>
    <w:basedOn w:val="a"/>
    <w:link w:val="aa"/>
    <w:uiPriority w:val="99"/>
    <w:unhideWhenUsed/>
    <w:rsid w:val="00F019C3"/>
    <w:pPr>
      <w:tabs>
        <w:tab w:val="center" w:pos="4677"/>
        <w:tab w:val="right" w:pos="9355"/>
      </w:tabs>
    </w:pPr>
  </w:style>
  <w:style w:type="character" w:customStyle="1" w:styleId="aa">
    <w:name w:val="Нижний колонтитул Знак"/>
    <w:basedOn w:val="a0"/>
    <w:link w:val="a9"/>
    <w:uiPriority w:val="99"/>
    <w:rsid w:val="00F019C3"/>
  </w:style>
  <w:style w:type="character" w:customStyle="1" w:styleId="30">
    <w:name w:val="Заголовок 3 Знак"/>
    <w:basedOn w:val="a0"/>
    <w:link w:val="3"/>
    <w:uiPriority w:val="9"/>
    <w:rsid w:val="005B6370"/>
    <w:rPr>
      <w:rFonts w:asciiTheme="majorHAnsi" w:eastAsiaTheme="majorEastAsia" w:hAnsiTheme="majorHAnsi" w:cstheme="majorBidi"/>
      <w:b/>
      <w:bCs/>
      <w:color w:val="4F81BD" w:themeColor="accent1"/>
    </w:rPr>
  </w:style>
  <w:style w:type="paragraph" w:styleId="ab">
    <w:name w:val="Normal (Web)"/>
    <w:basedOn w:val="a"/>
    <w:uiPriority w:val="99"/>
    <w:unhideWhenUsed/>
    <w:rsid w:val="005C1C31"/>
    <w:pPr>
      <w:spacing w:before="100" w:beforeAutospacing="1" w:after="119"/>
    </w:pPr>
  </w:style>
  <w:style w:type="character" w:customStyle="1" w:styleId="20">
    <w:name w:val="Заголовок 2 Знак"/>
    <w:basedOn w:val="a0"/>
    <w:link w:val="2"/>
    <w:uiPriority w:val="9"/>
    <w:rsid w:val="008C2CF7"/>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4217AA"/>
    <w:rPr>
      <w:rFonts w:ascii="Tahoma" w:hAnsi="Tahoma" w:cs="Tahoma"/>
      <w:sz w:val="16"/>
      <w:szCs w:val="16"/>
    </w:rPr>
  </w:style>
  <w:style w:type="character" w:customStyle="1" w:styleId="ad">
    <w:name w:val="Текст выноски Знак"/>
    <w:basedOn w:val="a0"/>
    <w:link w:val="ac"/>
    <w:uiPriority w:val="99"/>
    <w:semiHidden/>
    <w:rsid w:val="004217AA"/>
    <w:rPr>
      <w:rFonts w:ascii="Tahoma" w:hAnsi="Tahoma" w:cs="Tahoma"/>
      <w:sz w:val="16"/>
      <w:szCs w:val="16"/>
    </w:rPr>
  </w:style>
  <w:style w:type="character" w:styleId="ae">
    <w:name w:val="Emphasis"/>
    <w:basedOn w:val="a0"/>
    <w:uiPriority w:val="20"/>
    <w:qFormat/>
    <w:rsid w:val="008044C9"/>
    <w:rPr>
      <w:i/>
      <w:iCs/>
    </w:rPr>
  </w:style>
  <w:style w:type="paragraph" w:styleId="af">
    <w:name w:val="TOC Heading"/>
    <w:basedOn w:val="1"/>
    <w:next w:val="a"/>
    <w:uiPriority w:val="39"/>
    <w:unhideWhenUsed/>
    <w:qFormat/>
    <w:rsid w:val="004E6C83"/>
    <w:pPr>
      <w:spacing w:before="240" w:line="259" w:lineRule="auto"/>
      <w:outlineLvl w:val="9"/>
    </w:pPr>
    <w:rPr>
      <w:b w:val="0"/>
      <w:bCs w:val="0"/>
      <w:sz w:val="32"/>
      <w:szCs w:val="32"/>
    </w:rPr>
  </w:style>
  <w:style w:type="paragraph" w:styleId="11">
    <w:name w:val="toc 1"/>
    <w:basedOn w:val="a"/>
    <w:next w:val="a"/>
    <w:autoRedefine/>
    <w:uiPriority w:val="39"/>
    <w:unhideWhenUsed/>
    <w:rsid w:val="004E6C83"/>
    <w:pPr>
      <w:spacing w:after="100"/>
    </w:pPr>
  </w:style>
  <w:style w:type="paragraph" w:styleId="31">
    <w:name w:val="toc 3"/>
    <w:basedOn w:val="a"/>
    <w:next w:val="a"/>
    <w:autoRedefine/>
    <w:uiPriority w:val="39"/>
    <w:unhideWhenUsed/>
    <w:rsid w:val="004E6C83"/>
    <w:pPr>
      <w:spacing w:after="100"/>
      <w:ind w:left="440"/>
    </w:pPr>
  </w:style>
  <w:style w:type="paragraph" w:styleId="21">
    <w:name w:val="toc 2"/>
    <w:basedOn w:val="a"/>
    <w:next w:val="a"/>
    <w:autoRedefine/>
    <w:uiPriority w:val="39"/>
    <w:unhideWhenUsed/>
    <w:rsid w:val="009F22C7"/>
    <w:pPr>
      <w:tabs>
        <w:tab w:val="right" w:leader="dot" w:pos="9345"/>
      </w:tabs>
      <w:spacing w:after="100"/>
      <w:ind w:left="220"/>
    </w:pPr>
    <w:rPr>
      <w:rFonts w:eastAsiaTheme="majorEastAsia"/>
      <w:bCs/>
      <w:noProof/>
    </w:rPr>
  </w:style>
  <w:style w:type="table" w:customStyle="1" w:styleId="12">
    <w:name w:val="Сетка таблицы1"/>
    <w:basedOn w:val="a1"/>
    <w:next w:val="a7"/>
    <w:uiPriority w:val="59"/>
    <w:rsid w:val="00DA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70355E"/>
    <w:pPr>
      <w:tabs>
        <w:tab w:val="center" w:pos="4677"/>
        <w:tab w:val="right" w:pos="9355"/>
      </w:tabs>
    </w:pPr>
  </w:style>
  <w:style w:type="character" w:customStyle="1" w:styleId="af1">
    <w:name w:val="Верхний колонтитул Знак"/>
    <w:basedOn w:val="a0"/>
    <w:link w:val="af0"/>
    <w:uiPriority w:val="99"/>
    <w:rsid w:val="0070355E"/>
  </w:style>
  <w:style w:type="paragraph" w:styleId="af2">
    <w:name w:val="No Spacing"/>
    <w:uiPriority w:val="1"/>
    <w:qFormat/>
    <w:rsid w:val="0082307C"/>
    <w:pPr>
      <w:spacing w:after="0" w:line="240" w:lineRule="auto"/>
    </w:pPr>
  </w:style>
  <w:style w:type="character" w:customStyle="1" w:styleId="13">
    <w:name w:val="Неразрешенное упоминание1"/>
    <w:basedOn w:val="a0"/>
    <w:uiPriority w:val="99"/>
    <w:semiHidden/>
    <w:unhideWhenUsed/>
    <w:rsid w:val="00F74976"/>
    <w:rPr>
      <w:color w:val="808080"/>
      <w:shd w:val="clear" w:color="auto" w:fill="E6E6E6"/>
    </w:rPr>
  </w:style>
  <w:style w:type="character" w:styleId="af3">
    <w:name w:val="Placeholder Text"/>
    <w:basedOn w:val="a0"/>
    <w:uiPriority w:val="99"/>
    <w:semiHidden/>
    <w:rsid w:val="00422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5168">
      <w:bodyDiv w:val="1"/>
      <w:marLeft w:val="0"/>
      <w:marRight w:val="0"/>
      <w:marTop w:val="0"/>
      <w:marBottom w:val="0"/>
      <w:divBdr>
        <w:top w:val="none" w:sz="0" w:space="0" w:color="auto"/>
        <w:left w:val="none" w:sz="0" w:space="0" w:color="auto"/>
        <w:bottom w:val="none" w:sz="0" w:space="0" w:color="auto"/>
        <w:right w:val="none" w:sz="0" w:space="0" w:color="auto"/>
      </w:divBdr>
      <w:divsChild>
        <w:div w:id="2362245">
          <w:marLeft w:val="0"/>
          <w:marRight w:val="0"/>
          <w:marTop w:val="0"/>
          <w:marBottom w:val="0"/>
          <w:divBdr>
            <w:top w:val="none" w:sz="0" w:space="0" w:color="auto"/>
            <w:left w:val="none" w:sz="0" w:space="0" w:color="auto"/>
            <w:bottom w:val="none" w:sz="0" w:space="0" w:color="auto"/>
            <w:right w:val="none" w:sz="0" w:space="0" w:color="auto"/>
          </w:divBdr>
          <w:divsChild>
            <w:div w:id="1984693338">
              <w:marLeft w:val="0"/>
              <w:marRight w:val="60"/>
              <w:marTop w:val="0"/>
              <w:marBottom w:val="0"/>
              <w:divBdr>
                <w:top w:val="none" w:sz="0" w:space="0" w:color="auto"/>
                <w:left w:val="none" w:sz="0" w:space="0" w:color="auto"/>
                <w:bottom w:val="none" w:sz="0" w:space="0" w:color="auto"/>
                <w:right w:val="none" w:sz="0" w:space="0" w:color="auto"/>
              </w:divBdr>
              <w:divsChild>
                <w:div w:id="97024138">
                  <w:marLeft w:val="0"/>
                  <w:marRight w:val="0"/>
                  <w:marTop w:val="0"/>
                  <w:marBottom w:val="120"/>
                  <w:divBdr>
                    <w:top w:val="single" w:sz="6" w:space="0" w:color="A0A0A0"/>
                    <w:left w:val="single" w:sz="6" w:space="0" w:color="B9B9B9"/>
                    <w:bottom w:val="single" w:sz="6" w:space="0" w:color="B9B9B9"/>
                    <w:right w:val="single" w:sz="6" w:space="0" w:color="B9B9B9"/>
                  </w:divBdr>
                  <w:divsChild>
                    <w:div w:id="933898740">
                      <w:marLeft w:val="0"/>
                      <w:marRight w:val="0"/>
                      <w:marTop w:val="0"/>
                      <w:marBottom w:val="0"/>
                      <w:divBdr>
                        <w:top w:val="none" w:sz="0" w:space="0" w:color="auto"/>
                        <w:left w:val="none" w:sz="0" w:space="0" w:color="auto"/>
                        <w:bottom w:val="none" w:sz="0" w:space="0" w:color="auto"/>
                        <w:right w:val="none" w:sz="0" w:space="0" w:color="auto"/>
                      </w:divBdr>
                    </w:div>
                    <w:div w:id="17077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5093">
          <w:marLeft w:val="0"/>
          <w:marRight w:val="0"/>
          <w:marTop w:val="0"/>
          <w:marBottom w:val="0"/>
          <w:divBdr>
            <w:top w:val="none" w:sz="0" w:space="0" w:color="auto"/>
            <w:left w:val="none" w:sz="0" w:space="0" w:color="auto"/>
            <w:bottom w:val="none" w:sz="0" w:space="0" w:color="auto"/>
            <w:right w:val="none" w:sz="0" w:space="0" w:color="auto"/>
          </w:divBdr>
          <w:divsChild>
            <w:div w:id="934484384">
              <w:marLeft w:val="60"/>
              <w:marRight w:val="0"/>
              <w:marTop w:val="0"/>
              <w:marBottom w:val="0"/>
              <w:divBdr>
                <w:top w:val="none" w:sz="0" w:space="0" w:color="auto"/>
                <w:left w:val="none" w:sz="0" w:space="0" w:color="auto"/>
                <w:bottom w:val="none" w:sz="0" w:space="0" w:color="auto"/>
                <w:right w:val="none" w:sz="0" w:space="0" w:color="auto"/>
              </w:divBdr>
              <w:divsChild>
                <w:div w:id="20252667">
                  <w:marLeft w:val="0"/>
                  <w:marRight w:val="0"/>
                  <w:marTop w:val="0"/>
                  <w:marBottom w:val="0"/>
                  <w:divBdr>
                    <w:top w:val="none" w:sz="0" w:space="0" w:color="auto"/>
                    <w:left w:val="none" w:sz="0" w:space="0" w:color="auto"/>
                    <w:bottom w:val="none" w:sz="0" w:space="0" w:color="auto"/>
                    <w:right w:val="none" w:sz="0" w:space="0" w:color="auto"/>
                  </w:divBdr>
                  <w:divsChild>
                    <w:div w:id="861431395">
                      <w:marLeft w:val="0"/>
                      <w:marRight w:val="0"/>
                      <w:marTop w:val="0"/>
                      <w:marBottom w:val="120"/>
                      <w:divBdr>
                        <w:top w:val="single" w:sz="6" w:space="0" w:color="F5F5F5"/>
                        <w:left w:val="single" w:sz="6" w:space="0" w:color="F5F5F5"/>
                        <w:bottom w:val="single" w:sz="6" w:space="0" w:color="F5F5F5"/>
                        <w:right w:val="single" w:sz="6" w:space="0" w:color="F5F5F5"/>
                      </w:divBdr>
                      <w:divsChild>
                        <w:div w:id="1892691325">
                          <w:marLeft w:val="0"/>
                          <w:marRight w:val="0"/>
                          <w:marTop w:val="0"/>
                          <w:marBottom w:val="0"/>
                          <w:divBdr>
                            <w:top w:val="none" w:sz="0" w:space="0" w:color="auto"/>
                            <w:left w:val="none" w:sz="0" w:space="0" w:color="auto"/>
                            <w:bottom w:val="none" w:sz="0" w:space="0" w:color="auto"/>
                            <w:right w:val="none" w:sz="0" w:space="0" w:color="auto"/>
                          </w:divBdr>
                          <w:divsChild>
                            <w:div w:id="19869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736297">
      <w:bodyDiv w:val="1"/>
      <w:marLeft w:val="0"/>
      <w:marRight w:val="0"/>
      <w:marTop w:val="0"/>
      <w:marBottom w:val="0"/>
      <w:divBdr>
        <w:top w:val="none" w:sz="0" w:space="0" w:color="auto"/>
        <w:left w:val="none" w:sz="0" w:space="0" w:color="auto"/>
        <w:bottom w:val="none" w:sz="0" w:space="0" w:color="auto"/>
        <w:right w:val="none" w:sz="0" w:space="0" w:color="auto"/>
      </w:divBdr>
    </w:div>
    <w:div w:id="256790563">
      <w:bodyDiv w:val="1"/>
      <w:marLeft w:val="0"/>
      <w:marRight w:val="0"/>
      <w:marTop w:val="0"/>
      <w:marBottom w:val="0"/>
      <w:divBdr>
        <w:top w:val="none" w:sz="0" w:space="0" w:color="auto"/>
        <w:left w:val="none" w:sz="0" w:space="0" w:color="auto"/>
        <w:bottom w:val="none" w:sz="0" w:space="0" w:color="auto"/>
        <w:right w:val="none" w:sz="0" w:space="0" w:color="auto"/>
      </w:divBdr>
    </w:div>
    <w:div w:id="269630862">
      <w:bodyDiv w:val="1"/>
      <w:marLeft w:val="0"/>
      <w:marRight w:val="0"/>
      <w:marTop w:val="0"/>
      <w:marBottom w:val="0"/>
      <w:divBdr>
        <w:top w:val="none" w:sz="0" w:space="0" w:color="auto"/>
        <w:left w:val="none" w:sz="0" w:space="0" w:color="auto"/>
        <w:bottom w:val="none" w:sz="0" w:space="0" w:color="auto"/>
        <w:right w:val="none" w:sz="0" w:space="0" w:color="auto"/>
      </w:divBdr>
    </w:div>
    <w:div w:id="301272947">
      <w:bodyDiv w:val="1"/>
      <w:marLeft w:val="0"/>
      <w:marRight w:val="0"/>
      <w:marTop w:val="0"/>
      <w:marBottom w:val="0"/>
      <w:divBdr>
        <w:top w:val="none" w:sz="0" w:space="0" w:color="auto"/>
        <w:left w:val="none" w:sz="0" w:space="0" w:color="auto"/>
        <w:bottom w:val="none" w:sz="0" w:space="0" w:color="auto"/>
        <w:right w:val="none" w:sz="0" w:space="0" w:color="auto"/>
      </w:divBdr>
    </w:div>
    <w:div w:id="331764734">
      <w:bodyDiv w:val="1"/>
      <w:marLeft w:val="0"/>
      <w:marRight w:val="0"/>
      <w:marTop w:val="0"/>
      <w:marBottom w:val="0"/>
      <w:divBdr>
        <w:top w:val="none" w:sz="0" w:space="0" w:color="auto"/>
        <w:left w:val="none" w:sz="0" w:space="0" w:color="auto"/>
        <w:bottom w:val="none" w:sz="0" w:space="0" w:color="auto"/>
        <w:right w:val="none" w:sz="0" w:space="0" w:color="auto"/>
      </w:divBdr>
    </w:div>
    <w:div w:id="355234356">
      <w:bodyDiv w:val="1"/>
      <w:marLeft w:val="0"/>
      <w:marRight w:val="0"/>
      <w:marTop w:val="0"/>
      <w:marBottom w:val="0"/>
      <w:divBdr>
        <w:top w:val="none" w:sz="0" w:space="0" w:color="auto"/>
        <w:left w:val="none" w:sz="0" w:space="0" w:color="auto"/>
        <w:bottom w:val="none" w:sz="0" w:space="0" w:color="auto"/>
        <w:right w:val="none" w:sz="0" w:space="0" w:color="auto"/>
      </w:divBdr>
    </w:div>
    <w:div w:id="418478273">
      <w:bodyDiv w:val="1"/>
      <w:marLeft w:val="0"/>
      <w:marRight w:val="0"/>
      <w:marTop w:val="0"/>
      <w:marBottom w:val="0"/>
      <w:divBdr>
        <w:top w:val="none" w:sz="0" w:space="0" w:color="auto"/>
        <w:left w:val="none" w:sz="0" w:space="0" w:color="auto"/>
        <w:bottom w:val="none" w:sz="0" w:space="0" w:color="auto"/>
        <w:right w:val="none" w:sz="0" w:space="0" w:color="auto"/>
      </w:divBdr>
    </w:div>
    <w:div w:id="497690872">
      <w:bodyDiv w:val="1"/>
      <w:marLeft w:val="0"/>
      <w:marRight w:val="0"/>
      <w:marTop w:val="0"/>
      <w:marBottom w:val="0"/>
      <w:divBdr>
        <w:top w:val="none" w:sz="0" w:space="0" w:color="auto"/>
        <w:left w:val="none" w:sz="0" w:space="0" w:color="auto"/>
        <w:bottom w:val="none" w:sz="0" w:space="0" w:color="auto"/>
        <w:right w:val="none" w:sz="0" w:space="0" w:color="auto"/>
      </w:divBdr>
    </w:div>
    <w:div w:id="575628714">
      <w:bodyDiv w:val="1"/>
      <w:marLeft w:val="0"/>
      <w:marRight w:val="0"/>
      <w:marTop w:val="0"/>
      <w:marBottom w:val="0"/>
      <w:divBdr>
        <w:top w:val="none" w:sz="0" w:space="0" w:color="auto"/>
        <w:left w:val="none" w:sz="0" w:space="0" w:color="auto"/>
        <w:bottom w:val="none" w:sz="0" w:space="0" w:color="auto"/>
        <w:right w:val="none" w:sz="0" w:space="0" w:color="auto"/>
      </w:divBdr>
      <w:divsChild>
        <w:div w:id="323240590">
          <w:marLeft w:val="0"/>
          <w:marRight w:val="0"/>
          <w:marTop w:val="0"/>
          <w:marBottom w:val="0"/>
          <w:divBdr>
            <w:top w:val="none" w:sz="0" w:space="0" w:color="auto"/>
            <w:left w:val="none" w:sz="0" w:space="0" w:color="auto"/>
            <w:bottom w:val="none" w:sz="0" w:space="0" w:color="auto"/>
            <w:right w:val="none" w:sz="0" w:space="0" w:color="auto"/>
          </w:divBdr>
        </w:div>
        <w:div w:id="1608809301">
          <w:marLeft w:val="0"/>
          <w:marRight w:val="0"/>
          <w:marTop w:val="0"/>
          <w:marBottom w:val="0"/>
          <w:divBdr>
            <w:top w:val="none" w:sz="0" w:space="0" w:color="auto"/>
            <w:left w:val="none" w:sz="0" w:space="0" w:color="auto"/>
            <w:bottom w:val="none" w:sz="0" w:space="0" w:color="auto"/>
            <w:right w:val="none" w:sz="0" w:space="0" w:color="auto"/>
          </w:divBdr>
        </w:div>
      </w:divsChild>
    </w:div>
    <w:div w:id="688213398">
      <w:bodyDiv w:val="1"/>
      <w:marLeft w:val="0"/>
      <w:marRight w:val="0"/>
      <w:marTop w:val="0"/>
      <w:marBottom w:val="0"/>
      <w:divBdr>
        <w:top w:val="none" w:sz="0" w:space="0" w:color="auto"/>
        <w:left w:val="none" w:sz="0" w:space="0" w:color="auto"/>
        <w:bottom w:val="none" w:sz="0" w:space="0" w:color="auto"/>
        <w:right w:val="none" w:sz="0" w:space="0" w:color="auto"/>
      </w:divBdr>
    </w:div>
    <w:div w:id="770666708">
      <w:bodyDiv w:val="1"/>
      <w:marLeft w:val="0"/>
      <w:marRight w:val="0"/>
      <w:marTop w:val="0"/>
      <w:marBottom w:val="0"/>
      <w:divBdr>
        <w:top w:val="none" w:sz="0" w:space="0" w:color="auto"/>
        <w:left w:val="none" w:sz="0" w:space="0" w:color="auto"/>
        <w:bottom w:val="none" w:sz="0" w:space="0" w:color="auto"/>
        <w:right w:val="none" w:sz="0" w:space="0" w:color="auto"/>
      </w:divBdr>
    </w:div>
    <w:div w:id="799298994">
      <w:bodyDiv w:val="1"/>
      <w:marLeft w:val="0"/>
      <w:marRight w:val="0"/>
      <w:marTop w:val="0"/>
      <w:marBottom w:val="0"/>
      <w:divBdr>
        <w:top w:val="none" w:sz="0" w:space="0" w:color="auto"/>
        <w:left w:val="none" w:sz="0" w:space="0" w:color="auto"/>
        <w:bottom w:val="none" w:sz="0" w:space="0" w:color="auto"/>
        <w:right w:val="none" w:sz="0" w:space="0" w:color="auto"/>
      </w:divBdr>
    </w:div>
    <w:div w:id="1081753692">
      <w:bodyDiv w:val="1"/>
      <w:marLeft w:val="0"/>
      <w:marRight w:val="0"/>
      <w:marTop w:val="0"/>
      <w:marBottom w:val="0"/>
      <w:divBdr>
        <w:top w:val="none" w:sz="0" w:space="0" w:color="auto"/>
        <w:left w:val="none" w:sz="0" w:space="0" w:color="auto"/>
        <w:bottom w:val="none" w:sz="0" w:space="0" w:color="auto"/>
        <w:right w:val="none" w:sz="0" w:space="0" w:color="auto"/>
      </w:divBdr>
    </w:div>
    <w:div w:id="1084257670">
      <w:bodyDiv w:val="1"/>
      <w:marLeft w:val="0"/>
      <w:marRight w:val="0"/>
      <w:marTop w:val="0"/>
      <w:marBottom w:val="0"/>
      <w:divBdr>
        <w:top w:val="none" w:sz="0" w:space="0" w:color="auto"/>
        <w:left w:val="none" w:sz="0" w:space="0" w:color="auto"/>
        <w:bottom w:val="none" w:sz="0" w:space="0" w:color="auto"/>
        <w:right w:val="none" w:sz="0" w:space="0" w:color="auto"/>
      </w:divBdr>
    </w:div>
    <w:div w:id="1204751909">
      <w:bodyDiv w:val="1"/>
      <w:marLeft w:val="0"/>
      <w:marRight w:val="0"/>
      <w:marTop w:val="0"/>
      <w:marBottom w:val="0"/>
      <w:divBdr>
        <w:top w:val="none" w:sz="0" w:space="0" w:color="auto"/>
        <w:left w:val="none" w:sz="0" w:space="0" w:color="auto"/>
        <w:bottom w:val="none" w:sz="0" w:space="0" w:color="auto"/>
        <w:right w:val="none" w:sz="0" w:space="0" w:color="auto"/>
      </w:divBdr>
    </w:div>
    <w:div w:id="1229807276">
      <w:bodyDiv w:val="1"/>
      <w:marLeft w:val="0"/>
      <w:marRight w:val="0"/>
      <w:marTop w:val="0"/>
      <w:marBottom w:val="0"/>
      <w:divBdr>
        <w:top w:val="none" w:sz="0" w:space="0" w:color="auto"/>
        <w:left w:val="none" w:sz="0" w:space="0" w:color="auto"/>
        <w:bottom w:val="none" w:sz="0" w:space="0" w:color="auto"/>
        <w:right w:val="none" w:sz="0" w:space="0" w:color="auto"/>
      </w:divBdr>
    </w:div>
    <w:div w:id="1237589408">
      <w:bodyDiv w:val="1"/>
      <w:marLeft w:val="0"/>
      <w:marRight w:val="0"/>
      <w:marTop w:val="0"/>
      <w:marBottom w:val="0"/>
      <w:divBdr>
        <w:top w:val="none" w:sz="0" w:space="0" w:color="auto"/>
        <w:left w:val="none" w:sz="0" w:space="0" w:color="auto"/>
        <w:bottom w:val="none" w:sz="0" w:space="0" w:color="auto"/>
        <w:right w:val="none" w:sz="0" w:space="0" w:color="auto"/>
      </w:divBdr>
    </w:div>
    <w:div w:id="1358778108">
      <w:bodyDiv w:val="1"/>
      <w:marLeft w:val="0"/>
      <w:marRight w:val="0"/>
      <w:marTop w:val="0"/>
      <w:marBottom w:val="0"/>
      <w:divBdr>
        <w:top w:val="none" w:sz="0" w:space="0" w:color="auto"/>
        <w:left w:val="none" w:sz="0" w:space="0" w:color="auto"/>
        <w:bottom w:val="none" w:sz="0" w:space="0" w:color="auto"/>
        <w:right w:val="none" w:sz="0" w:space="0" w:color="auto"/>
      </w:divBdr>
    </w:div>
    <w:div w:id="1405490552">
      <w:bodyDiv w:val="1"/>
      <w:marLeft w:val="0"/>
      <w:marRight w:val="0"/>
      <w:marTop w:val="0"/>
      <w:marBottom w:val="0"/>
      <w:divBdr>
        <w:top w:val="none" w:sz="0" w:space="0" w:color="auto"/>
        <w:left w:val="none" w:sz="0" w:space="0" w:color="auto"/>
        <w:bottom w:val="none" w:sz="0" w:space="0" w:color="auto"/>
        <w:right w:val="none" w:sz="0" w:space="0" w:color="auto"/>
      </w:divBdr>
    </w:div>
    <w:div w:id="1432625813">
      <w:bodyDiv w:val="1"/>
      <w:marLeft w:val="0"/>
      <w:marRight w:val="0"/>
      <w:marTop w:val="0"/>
      <w:marBottom w:val="0"/>
      <w:divBdr>
        <w:top w:val="none" w:sz="0" w:space="0" w:color="auto"/>
        <w:left w:val="none" w:sz="0" w:space="0" w:color="auto"/>
        <w:bottom w:val="none" w:sz="0" w:space="0" w:color="auto"/>
        <w:right w:val="none" w:sz="0" w:space="0" w:color="auto"/>
      </w:divBdr>
    </w:div>
    <w:div w:id="1572347325">
      <w:bodyDiv w:val="1"/>
      <w:marLeft w:val="0"/>
      <w:marRight w:val="0"/>
      <w:marTop w:val="0"/>
      <w:marBottom w:val="0"/>
      <w:divBdr>
        <w:top w:val="none" w:sz="0" w:space="0" w:color="auto"/>
        <w:left w:val="none" w:sz="0" w:space="0" w:color="auto"/>
        <w:bottom w:val="none" w:sz="0" w:space="0" w:color="auto"/>
        <w:right w:val="none" w:sz="0" w:space="0" w:color="auto"/>
      </w:divBdr>
      <w:divsChild>
        <w:div w:id="1728408863">
          <w:marLeft w:val="0"/>
          <w:marRight w:val="0"/>
          <w:marTop w:val="0"/>
          <w:marBottom w:val="0"/>
          <w:divBdr>
            <w:top w:val="none" w:sz="0" w:space="0" w:color="auto"/>
            <w:left w:val="none" w:sz="0" w:space="0" w:color="auto"/>
            <w:bottom w:val="none" w:sz="0" w:space="0" w:color="auto"/>
            <w:right w:val="none" w:sz="0" w:space="0" w:color="auto"/>
          </w:divBdr>
          <w:divsChild>
            <w:div w:id="610165042">
              <w:marLeft w:val="0"/>
              <w:marRight w:val="0"/>
              <w:marTop w:val="0"/>
              <w:marBottom w:val="0"/>
              <w:divBdr>
                <w:top w:val="none" w:sz="0" w:space="0" w:color="auto"/>
                <w:left w:val="none" w:sz="0" w:space="0" w:color="auto"/>
                <w:bottom w:val="none" w:sz="0" w:space="0" w:color="auto"/>
                <w:right w:val="none" w:sz="0" w:space="0" w:color="auto"/>
              </w:divBdr>
              <w:divsChild>
                <w:div w:id="2049600063">
                  <w:marLeft w:val="0"/>
                  <w:marRight w:val="0"/>
                  <w:marTop w:val="0"/>
                  <w:marBottom w:val="0"/>
                  <w:divBdr>
                    <w:top w:val="none" w:sz="0" w:space="0" w:color="auto"/>
                    <w:left w:val="none" w:sz="0" w:space="0" w:color="auto"/>
                    <w:bottom w:val="none" w:sz="0" w:space="0" w:color="auto"/>
                    <w:right w:val="none" w:sz="0" w:space="0" w:color="auto"/>
                  </w:divBdr>
                  <w:divsChild>
                    <w:div w:id="112408133">
                      <w:marLeft w:val="0"/>
                      <w:marRight w:val="0"/>
                      <w:marTop w:val="0"/>
                      <w:marBottom w:val="0"/>
                      <w:divBdr>
                        <w:top w:val="none" w:sz="0" w:space="0" w:color="auto"/>
                        <w:left w:val="none" w:sz="0" w:space="0" w:color="auto"/>
                        <w:bottom w:val="none" w:sz="0" w:space="0" w:color="auto"/>
                        <w:right w:val="none" w:sz="0" w:space="0" w:color="auto"/>
                      </w:divBdr>
                      <w:divsChild>
                        <w:div w:id="630553352">
                          <w:marLeft w:val="0"/>
                          <w:marRight w:val="0"/>
                          <w:marTop w:val="0"/>
                          <w:marBottom w:val="0"/>
                          <w:divBdr>
                            <w:top w:val="none" w:sz="0" w:space="0" w:color="auto"/>
                            <w:left w:val="none" w:sz="0" w:space="0" w:color="auto"/>
                            <w:bottom w:val="none" w:sz="0" w:space="0" w:color="auto"/>
                            <w:right w:val="none" w:sz="0" w:space="0" w:color="auto"/>
                          </w:divBdr>
                          <w:divsChild>
                            <w:div w:id="212617706">
                              <w:marLeft w:val="0"/>
                              <w:marRight w:val="0"/>
                              <w:marTop w:val="0"/>
                              <w:marBottom w:val="0"/>
                              <w:divBdr>
                                <w:top w:val="none" w:sz="0" w:space="0" w:color="auto"/>
                                <w:left w:val="none" w:sz="0" w:space="0" w:color="auto"/>
                                <w:bottom w:val="none" w:sz="0" w:space="0" w:color="auto"/>
                                <w:right w:val="none" w:sz="0" w:space="0" w:color="auto"/>
                              </w:divBdr>
                              <w:divsChild>
                                <w:div w:id="1054885533">
                                  <w:marLeft w:val="0"/>
                                  <w:marRight w:val="0"/>
                                  <w:marTop w:val="0"/>
                                  <w:marBottom w:val="0"/>
                                  <w:divBdr>
                                    <w:top w:val="none" w:sz="0" w:space="0" w:color="auto"/>
                                    <w:left w:val="none" w:sz="0" w:space="0" w:color="auto"/>
                                    <w:bottom w:val="none" w:sz="0" w:space="0" w:color="auto"/>
                                    <w:right w:val="none" w:sz="0" w:space="0" w:color="auto"/>
                                  </w:divBdr>
                                  <w:divsChild>
                                    <w:div w:id="1552497486">
                                      <w:marLeft w:val="0"/>
                                      <w:marRight w:val="0"/>
                                      <w:marTop w:val="0"/>
                                      <w:marBottom w:val="0"/>
                                      <w:divBdr>
                                        <w:top w:val="none" w:sz="0" w:space="0" w:color="auto"/>
                                        <w:left w:val="none" w:sz="0" w:space="0" w:color="auto"/>
                                        <w:bottom w:val="none" w:sz="0" w:space="0" w:color="auto"/>
                                        <w:right w:val="none" w:sz="0" w:space="0" w:color="auto"/>
                                      </w:divBdr>
                                      <w:divsChild>
                                        <w:div w:id="288245927">
                                          <w:marLeft w:val="0"/>
                                          <w:marRight w:val="0"/>
                                          <w:marTop w:val="0"/>
                                          <w:marBottom w:val="450"/>
                                          <w:divBdr>
                                            <w:top w:val="none" w:sz="0" w:space="0" w:color="auto"/>
                                            <w:left w:val="none" w:sz="0" w:space="0" w:color="auto"/>
                                            <w:bottom w:val="none" w:sz="0" w:space="0" w:color="auto"/>
                                            <w:right w:val="none" w:sz="0" w:space="0" w:color="auto"/>
                                          </w:divBdr>
                                          <w:divsChild>
                                            <w:div w:id="1605730110">
                                              <w:marLeft w:val="0"/>
                                              <w:marRight w:val="0"/>
                                              <w:marTop w:val="0"/>
                                              <w:marBottom w:val="0"/>
                                              <w:divBdr>
                                                <w:top w:val="none" w:sz="0" w:space="0" w:color="auto"/>
                                                <w:left w:val="none" w:sz="0" w:space="0" w:color="auto"/>
                                                <w:bottom w:val="none" w:sz="0" w:space="0" w:color="auto"/>
                                                <w:right w:val="none" w:sz="0" w:space="0" w:color="auto"/>
                                              </w:divBdr>
                                              <w:divsChild>
                                                <w:div w:id="19481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347676">
      <w:bodyDiv w:val="1"/>
      <w:marLeft w:val="0"/>
      <w:marRight w:val="0"/>
      <w:marTop w:val="0"/>
      <w:marBottom w:val="0"/>
      <w:divBdr>
        <w:top w:val="none" w:sz="0" w:space="0" w:color="auto"/>
        <w:left w:val="none" w:sz="0" w:space="0" w:color="auto"/>
        <w:bottom w:val="none" w:sz="0" w:space="0" w:color="auto"/>
        <w:right w:val="none" w:sz="0" w:space="0" w:color="auto"/>
      </w:divBdr>
    </w:div>
    <w:div w:id="1616936299">
      <w:bodyDiv w:val="1"/>
      <w:marLeft w:val="0"/>
      <w:marRight w:val="0"/>
      <w:marTop w:val="0"/>
      <w:marBottom w:val="0"/>
      <w:divBdr>
        <w:top w:val="none" w:sz="0" w:space="0" w:color="auto"/>
        <w:left w:val="none" w:sz="0" w:space="0" w:color="auto"/>
        <w:bottom w:val="none" w:sz="0" w:space="0" w:color="auto"/>
        <w:right w:val="none" w:sz="0" w:space="0" w:color="auto"/>
      </w:divBdr>
    </w:div>
    <w:div w:id="1849176563">
      <w:bodyDiv w:val="1"/>
      <w:marLeft w:val="0"/>
      <w:marRight w:val="0"/>
      <w:marTop w:val="0"/>
      <w:marBottom w:val="0"/>
      <w:divBdr>
        <w:top w:val="none" w:sz="0" w:space="0" w:color="auto"/>
        <w:left w:val="none" w:sz="0" w:space="0" w:color="auto"/>
        <w:bottom w:val="none" w:sz="0" w:space="0" w:color="auto"/>
        <w:right w:val="none" w:sz="0" w:space="0" w:color="auto"/>
      </w:divBdr>
    </w:div>
    <w:div w:id="1879507069">
      <w:bodyDiv w:val="1"/>
      <w:marLeft w:val="0"/>
      <w:marRight w:val="0"/>
      <w:marTop w:val="0"/>
      <w:marBottom w:val="0"/>
      <w:divBdr>
        <w:top w:val="none" w:sz="0" w:space="0" w:color="auto"/>
        <w:left w:val="none" w:sz="0" w:space="0" w:color="auto"/>
        <w:bottom w:val="none" w:sz="0" w:space="0" w:color="auto"/>
        <w:right w:val="none" w:sz="0" w:space="0" w:color="auto"/>
      </w:divBdr>
    </w:div>
    <w:div w:id="1879656786">
      <w:bodyDiv w:val="1"/>
      <w:marLeft w:val="0"/>
      <w:marRight w:val="0"/>
      <w:marTop w:val="0"/>
      <w:marBottom w:val="0"/>
      <w:divBdr>
        <w:top w:val="none" w:sz="0" w:space="0" w:color="auto"/>
        <w:left w:val="none" w:sz="0" w:space="0" w:color="auto"/>
        <w:bottom w:val="none" w:sz="0" w:space="0" w:color="auto"/>
        <w:right w:val="none" w:sz="0" w:space="0" w:color="auto"/>
      </w:divBdr>
    </w:div>
    <w:div w:id="1885170754">
      <w:bodyDiv w:val="1"/>
      <w:marLeft w:val="0"/>
      <w:marRight w:val="0"/>
      <w:marTop w:val="0"/>
      <w:marBottom w:val="0"/>
      <w:divBdr>
        <w:top w:val="none" w:sz="0" w:space="0" w:color="auto"/>
        <w:left w:val="none" w:sz="0" w:space="0" w:color="auto"/>
        <w:bottom w:val="none" w:sz="0" w:space="0" w:color="auto"/>
        <w:right w:val="none" w:sz="0" w:space="0" w:color="auto"/>
      </w:divBdr>
    </w:div>
    <w:div w:id="1931575164">
      <w:bodyDiv w:val="1"/>
      <w:marLeft w:val="0"/>
      <w:marRight w:val="0"/>
      <w:marTop w:val="0"/>
      <w:marBottom w:val="0"/>
      <w:divBdr>
        <w:top w:val="none" w:sz="0" w:space="0" w:color="auto"/>
        <w:left w:val="none" w:sz="0" w:space="0" w:color="auto"/>
        <w:bottom w:val="none" w:sz="0" w:space="0" w:color="auto"/>
        <w:right w:val="none" w:sz="0" w:space="0" w:color="auto"/>
      </w:divBdr>
    </w:div>
    <w:div w:id="2012027167">
      <w:bodyDiv w:val="1"/>
      <w:marLeft w:val="0"/>
      <w:marRight w:val="0"/>
      <w:marTop w:val="0"/>
      <w:marBottom w:val="0"/>
      <w:divBdr>
        <w:top w:val="none" w:sz="0" w:space="0" w:color="auto"/>
        <w:left w:val="none" w:sz="0" w:space="0" w:color="auto"/>
        <w:bottom w:val="none" w:sz="0" w:space="0" w:color="auto"/>
        <w:right w:val="none" w:sz="0" w:space="0" w:color="auto"/>
      </w:divBdr>
    </w:div>
    <w:div w:id="20147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28.xml"/><Relationship Id="rId21" Type="http://schemas.openxmlformats.org/officeDocument/2006/relationships/chart" Target="charts/chart12.xml"/><Relationship Id="rId34" Type="http://schemas.openxmlformats.org/officeDocument/2006/relationships/hyperlink" Target="http://unctad.org/en"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6.xml"/><Relationship Id="rId40" Type="http://schemas.openxmlformats.org/officeDocument/2006/relationships/chart" Target="charts/chart29.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5.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hyperlink" Target="https://data.worldbank.or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7.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Users\Z500\Downloads\Mergers%20&amp;%20Acquisitions%20(M&amp;A)%20-%20Europe.xlsx"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Z500\Downloads\Mergers%20&amp;%20Acquisitions%20(M&amp;A)%20-%20United%20States%20(1).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file:///C:\Users\Z500\Downloads\Mergers%20&amp;%20Acquisitions%20(M&amp;A)%20-%20United%20States%20(1).xlsx" TargetMode="External"/><Relationship Id="rId1" Type="http://schemas.openxmlformats.org/officeDocument/2006/relationships/themeOverride" Target="../theme/themeOverride7.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Z500\Downloads\Crossborder%20Mergers%20&amp;%20Acquisitions%20(M&amp;A).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22.xml.rels><?xml version="1.0" encoding="UTF-8" standalone="yes"?>
<Relationships xmlns="http://schemas.openxmlformats.org/package/2006/relationships"><Relationship Id="rId2" Type="http://schemas.openxmlformats.org/officeDocument/2006/relationships/oleObject" Target="file:///C:\Users\Z500\Downloads\Mergers%20&amp;%20Acquisitions%20(M&amp;A)%20-%20Worldwide.xlsx" TargetMode="External"/><Relationship Id="rId1" Type="http://schemas.openxmlformats.org/officeDocument/2006/relationships/themeOverride" Target="../theme/themeOverride8.xml"/></Relationships>
</file>

<file path=word/charts/_rels/chart23.xml.rels><?xml version="1.0" encoding="UTF-8" standalone="yes"?>
<Relationships xmlns="http://schemas.openxmlformats.org/package/2006/relationships"><Relationship Id="rId1" Type="http://schemas.openxmlformats.org/officeDocument/2006/relationships/oleObject" Target="file:///C:\Users\Z500\AppData\Local\Temp\Temp1_&#1051;&#1077;&#1085;&#1090;&#1072;%20&#1053;&#1072;&#1089;&#1090;&#1077;.zip\&#1051;&#1077;&#1085;&#1090;&#1072;%20&#1053;&#1072;&#1089;&#1090;&#1077;\Copy%20of%20Read%20Only%20-%20&#1059;&#1040;1_&#1056;&#1086;&#1079;&#1085;&#1080;&#1095;&#1085;&#1099;&#1077;%20&#1087;&#1088;&#1086;&#1076;&#1072;&#1078;&#1080;_&#1051;&#1077;&#1085;&#1090;&#1072;_12&#1084;&#1077;&#1089;~tmp3008541785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Z500\Desktop\&#1050;&#1086;&#1087;&#1080;&#1103;%20Copy%20of%20Read%20Only%20-%20&#1059;&#1040;1_&#1056;&#1086;&#1079;&#1085;&#1080;&#1095;&#1085;&#1099;&#1077;%20&#1087;&#1088;&#1086;&#1076;&#1072;&#1078;&#1080;_&#1051;&#1077;&#1085;&#1090;&#1072;_12&#1084;&#1077;&#1089;~tmp30085417858.xlsx" TargetMode="External"/></Relationships>
</file>

<file path=word/charts/_rels/chart25.xml.rels><?xml version="1.0" encoding="UTF-8" standalone="yes"?>
<Relationships xmlns="http://schemas.openxmlformats.org/package/2006/relationships"><Relationship Id="rId2" Type="http://schemas.openxmlformats.org/officeDocument/2006/relationships/oleObject" Target="file:///C:\Users\Z500\Downloads\M&amp;A%20US%20-%20By%20Industries%20(2000-2016).xlsx" TargetMode="External"/><Relationship Id="rId1" Type="http://schemas.openxmlformats.org/officeDocument/2006/relationships/themeOverride" Target="../theme/themeOverride9.xml"/></Relationships>
</file>

<file path=word/charts/_rels/chart26.xml.rels><?xml version="1.0" encoding="UTF-8" standalone="yes"?>
<Relationships xmlns="http://schemas.openxmlformats.org/package/2006/relationships"><Relationship Id="rId1" Type="http://schemas.openxmlformats.org/officeDocument/2006/relationships/oleObject" Target="file:///C:\Users\Z500\Downloads\M&amp;A%20US%20-%20By%20Industries%20(2000-2016).xlsx" TargetMode="External"/></Relationships>
</file>

<file path=word/charts/_rels/chart27.xml.rels><?xml version="1.0" encoding="UTF-8" standalone="yes"?>
<Relationships xmlns="http://schemas.openxmlformats.org/package/2006/relationships"><Relationship Id="rId2" Type="http://schemas.openxmlformats.org/officeDocument/2006/relationships/oleObject" Target="file:///C:\Users\Z500\Downloads\Mergers%20&amp;%20Acquisitions%20(M&amp;A)%20-%20United%20States%20(1).xlsx" TargetMode="External"/><Relationship Id="rId1" Type="http://schemas.openxmlformats.org/officeDocument/2006/relationships/themeOverride" Target="../theme/themeOverride10.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Z500\Downloads\Mergers%20&amp;%20Acquisitions%20(M&amp;A)%20-%20United%20States%20(1).xlsx" TargetMode="External"/><Relationship Id="rId1" Type="http://schemas.openxmlformats.org/officeDocument/2006/relationships/themeOverride" Target="../theme/themeOverride11.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Z500\Downloads\Mergers%20&amp;%20Acquisitions%20(M&amp;A)%20-%20United%20States%20(1).xlsx" TargetMode="External"/><Relationship Id="rId1" Type="http://schemas.openxmlformats.org/officeDocument/2006/relationships/themeOverride" Target="../theme/themeOverride1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Z500\Downloads\Mergers%20&amp;%20Acquisitions%20(M&amp;A)%20-%20United%20State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Z500\Downloads\US%20-%20Crossborder%20M&amp;A.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Z500\Downloads\Mergers%20&amp;%20Acquisitions%20(M&amp;A)%20-%20United%20States%20(1).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Z500\Downloads\Mergers%20&amp;%20Acquisitions%20(M&amp;A)%20-%20Europ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500\Downloads\Mergers%20&amp;%20Acquisitions%20(M&amp;A)%20-%20United%20State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15677970183657"/>
          <c:y val="5.0237645633662308E-2"/>
          <c:w val="0.75183337318070476"/>
          <c:h val="0.58584814907186389"/>
        </c:manualLayout>
      </c:layout>
      <c:barChart>
        <c:barDir val="col"/>
        <c:grouping val="clustered"/>
        <c:varyColors val="1"/>
        <c:ser>
          <c:idx val="0"/>
          <c:order val="0"/>
          <c:tx>
            <c:strRef>
              <c:f>'[Mergers &amp; Acquisitions (M&amp;A) - Worldwide.xlsx]by year'!$B$2</c:f>
              <c:strCache>
                <c:ptCount val="1"/>
                <c:pt idx="0">
                  <c:v>Кол-во</c:v>
                </c:pt>
              </c:strCache>
            </c:strRef>
          </c:tx>
          <c:invertIfNegative val="1"/>
          <c:cat>
            <c:strRef>
              <c:f>'[Mergers &amp; Acquisitions (M&amp;A) - Worldwide.xlsx]by year'!$A$30:$A$37</c:f>
              <c:strCache>
                <c:ptCount val="8"/>
                <c:pt idx="0">
                  <c:v>2011</c:v>
                </c:pt>
                <c:pt idx="1">
                  <c:v>2012</c:v>
                </c:pt>
                <c:pt idx="2">
                  <c:v>2013</c:v>
                </c:pt>
                <c:pt idx="3">
                  <c:v>2014</c:v>
                </c:pt>
                <c:pt idx="4">
                  <c:v>2015</c:v>
                </c:pt>
                <c:pt idx="5">
                  <c:v>2016</c:v>
                </c:pt>
                <c:pt idx="6">
                  <c:v>2017 (Дек. 05)</c:v>
                </c:pt>
                <c:pt idx="7">
                  <c:v>2017 (Прогноз)</c:v>
                </c:pt>
              </c:strCache>
            </c:strRef>
          </c:cat>
          <c:val>
            <c:numRef>
              <c:f>'[Mergers &amp; Acquisitions (M&amp;A) - Worldwide.xlsx]by year'!$B$30:$B$37</c:f>
              <c:numCache>
                <c:formatCode>#,##0</c:formatCode>
                <c:ptCount val="8"/>
                <c:pt idx="0">
                  <c:v>43130</c:v>
                </c:pt>
                <c:pt idx="1">
                  <c:v>40748</c:v>
                </c:pt>
                <c:pt idx="2">
                  <c:v>38884</c:v>
                </c:pt>
                <c:pt idx="3">
                  <c:v>43135</c:v>
                </c:pt>
                <c:pt idx="4">
                  <c:v>47293</c:v>
                </c:pt>
                <c:pt idx="5">
                  <c:v>49078</c:v>
                </c:pt>
                <c:pt idx="6">
                  <c:v>44041</c:v>
                </c:pt>
                <c:pt idx="7">
                  <c:v>47279</c:v>
                </c:pt>
              </c:numCache>
            </c:numRef>
          </c:val>
          <c:extLst xmlns:c16r2="http://schemas.microsoft.com/office/drawing/2015/06/chart">
            <c:ext xmlns:c16="http://schemas.microsoft.com/office/drawing/2014/chart" uri="{C3380CC4-5D6E-409C-BE32-E72D297353CC}">
              <c16:uniqueId val="{00000000-D719-497D-B302-764DE00CF9A5}"/>
            </c:ext>
          </c:extLst>
        </c:ser>
        <c:dLbls>
          <c:showLegendKey val="0"/>
          <c:showVal val="0"/>
          <c:showCatName val="0"/>
          <c:showSerName val="0"/>
          <c:showPercent val="0"/>
          <c:showBubbleSize val="0"/>
        </c:dLbls>
        <c:gapWidth val="150"/>
        <c:axId val="306986496"/>
        <c:axId val="262905152"/>
      </c:barChart>
      <c:lineChart>
        <c:grouping val="standard"/>
        <c:varyColors val="0"/>
        <c:ser>
          <c:idx val="1"/>
          <c:order val="1"/>
          <c:tx>
            <c:strRef>
              <c:f>'[Mergers &amp; Acquisitions (M&amp;A) - Worldwide.xlsx]by year'!$C$2:$E$2</c:f>
              <c:strCache>
                <c:ptCount val="1"/>
                <c:pt idx="0">
                  <c:v>Стоимость</c:v>
                </c:pt>
              </c:strCache>
            </c:strRef>
          </c:tx>
          <c:marker>
            <c:symbol val="none"/>
          </c:marker>
          <c:cat>
            <c:strRef>
              <c:f>'[Mergers &amp; Acquisitions (M&amp;A) - Worldwide.xlsx]by year'!$A$30:$A$37</c:f>
              <c:strCache>
                <c:ptCount val="8"/>
                <c:pt idx="0">
                  <c:v>2011</c:v>
                </c:pt>
                <c:pt idx="1">
                  <c:v>2012</c:v>
                </c:pt>
                <c:pt idx="2">
                  <c:v>2013</c:v>
                </c:pt>
                <c:pt idx="3">
                  <c:v>2014</c:v>
                </c:pt>
                <c:pt idx="4">
                  <c:v>2015</c:v>
                </c:pt>
                <c:pt idx="5">
                  <c:v>2016</c:v>
                </c:pt>
                <c:pt idx="6">
                  <c:v>2017 (Дек. 05)</c:v>
                </c:pt>
                <c:pt idx="7">
                  <c:v>2017 (Прогноз)</c:v>
                </c:pt>
              </c:strCache>
            </c:strRef>
          </c:cat>
          <c:val>
            <c:numRef>
              <c:f>'[Mergers &amp; Acquisitions (M&amp;A) - Worldwide.xlsx]by year'!$C$30:$C$37</c:f>
              <c:numCache>
                <c:formatCode>0</c:formatCode>
                <c:ptCount val="8"/>
                <c:pt idx="0">
                  <c:v>2657.375700000001</c:v>
                </c:pt>
                <c:pt idx="1">
                  <c:v>2536.4582</c:v>
                </c:pt>
                <c:pt idx="2">
                  <c:v>2531.9092000000001</c:v>
                </c:pt>
                <c:pt idx="3">
                  <c:v>3951.902</c:v>
                </c:pt>
                <c:pt idx="4">
                  <c:v>4761.7645000000002</c:v>
                </c:pt>
                <c:pt idx="5">
                  <c:v>3630.3602000000001</c:v>
                </c:pt>
                <c:pt idx="6">
                  <c:v>3124.9494</c:v>
                </c:pt>
                <c:pt idx="7">
                  <c:v>3354.7251000000001</c:v>
                </c:pt>
              </c:numCache>
            </c:numRef>
          </c:val>
          <c:smooth val="0"/>
          <c:extLst xmlns:c16r2="http://schemas.microsoft.com/office/drawing/2015/06/chart">
            <c:ext xmlns:c16="http://schemas.microsoft.com/office/drawing/2014/chart" uri="{C3380CC4-5D6E-409C-BE32-E72D297353CC}">
              <c16:uniqueId val="{00000001-D719-497D-B302-764DE00CF9A5}"/>
            </c:ext>
          </c:extLst>
        </c:ser>
        <c:dLbls>
          <c:showLegendKey val="0"/>
          <c:showVal val="0"/>
          <c:showCatName val="0"/>
          <c:showSerName val="0"/>
          <c:showPercent val="0"/>
          <c:showBubbleSize val="0"/>
        </c:dLbls>
        <c:marker val="1"/>
        <c:smooth val="0"/>
        <c:axId val="216461824"/>
        <c:axId val="262283264"/>
      </c:lineChart>
      <c:catAx>
        <c:axId val="306986496"/>
        <c:scaling>
          <c:orientation val="minMax"/>
        </c:scaling>
        <c:delete val="0"/>
        <c:axPos val="b"/>
        <c:title>
          <c:tx>
            <c:rich>
              <a:bodyPr/>
              <a:lstStyle/>
              <a:p>
                <a:pPr>
                  <a:defRPr/>
                </a:pPr>
                <a:endParaRPr lang="ru-RU"/>
              </a:p>
            </c:rich>
          </c:tx>
          <c:overlay val="0"/>
        </c:title>
        <c:numFmt formatCode="General" sourceLinked="0"/>
        <c:majorTickMark val="cross"/>
        <c:minorTickMark val="cross"/>
        <c:tickLblPos val="nextTo"/>
        <c:txPr>
          <a:bodyPr rot="-5400000"/>
          <a:lstStyle/>
          <a:p>
            <a:pPr>
              <a:defRPr>
                <a:latin typeface="Times New Roman" panose="02020603050405020304" pitchFamily="18" charset="0"/>
                <a:cs typeface="Times New Roman" panose="02020603050405020304" pitchFamily="18" charset="0"/>
              </a:defRPr>
            </a:pPr>
            <a:endParaRPr lang="ru-RU"/>
          </a:p>
        </c:txPr>
        <c:crossAx val="262905152"/>
        <c:crosses val="autoZero"/>
        <c:auto val="1"/>
        <c:lblAlgn val="ctr"/>
        <c:lblOffset val="100"/>
        <c:noMultiLvlLbl val="1"/>
      </c:catAx>
      <c:valAx>
        <c:axId val="262905152"/>
        <c:scaling>
          <c:orientation val="minMax"/>
        </c:scaling>
        <c:delete val="0"/>
        <c:axPos val="l"/>
        <c:majorGridlines>
          <c:spPr>
            <a:ln>
              <a:noFill/>
            </a:ln>
          </c:spPr>
        </c:majorGridlines>
        <c:title>
          <c:tx>
            <c:rich>
              <a:bodyPr/>
              <a:lstStyle/>
              <a:p>
                <a:pPr>
                  <a:defRPr/>
                </a:pPr>
                <a:r>
                  <a:rPr lang="ru-RU" b="1">
                    <a:latin typeface="Times New Roman" panose="02020603050405020304" pitchFamily="18" charset="0"/>
                    <a:cs typeface="Times New Roman" panose="02020603050405020304" pitchFamily="18" charset="0"/>
                  </a:rPr>
                  <a:t>Количество сделок</a:t>
                </a:r>
                <a:endParaRPr lang="en-US" b="1">
                  <a:latin typeface="Times New Roman" panose="02020603050405020304" pitchFamily="18" charset="0"/>
                  <a:cs typeface="Times New Roman" panose="02020603050405020304" pitchFamily="18" charset="0"/>
                </a:endParaRPr>
              </a:p>
            </c:rich>
          </c:tx>
          <c:overlay val="0"/>
        </c:title>
        <c:numFmt formatCode="#,##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306986496"/>
        <c:crosses val="autoZero"/>
        <c:crossBetween val="between"/>
      </c:valAx>
      <c:catAx>
        <c:axId val="216461824"/>
        <c:scaling>
          <c:orientation val="minMax"/>
        </c:scaling>
        <c:delete val="1"/>
        <c:axPos val="b"/>
        <c:numFmt formatCode="General" sourceLinked="1"/>
        <c:majorTickMark val="cross"/>
        <c:minorTickMark val="cross"/>
        <c:tickLblPos val="none"/>
        <c:crossAx val="262283264"/>
        <c:crosses val="autoZero"/>
        <c:auto val="1"/>
        <c:lblAlgn val="ctr"/>
        <c:lblOffset val="100"/>
        <c:noMultiLvlLbl val="1"/>
      </c:catAx>
      <c:valAx>
        <c:axId val="262283264"/>
        <c:scaling>
          <c:orientation val="minMax"/>
        </c:scaling>
        <c:delete val="0"/>
        <c:axPos val="r"/>
        <c:majorGridlines/>
        <c:title>
          <c:tx>
            <c:rich>
              <a:bodyPr/>
              <a:lstStyle/>
              <a:p>
                <a:pPr>
                  <a:defRPr/>
                </a:pPr>
                <a:r>
                  <a:rPr lang="ru-RU">
                    <a:latin typeface="Times New Roman" panose="02020603050405020304" pitchFamily="18" charset="0"/>
                    <a:cs typeface="Times New Roman" panose="02020603050405020304" pitchFamily="18" charset="0"/>
                  </a:rPr>
                  <a:t>Стоимость </a:t>
                </a:r>
                <a:r>
                  <a:rPr lang="en-US">
                    <a:latin typeface="Times New Roman" panose="02020603050405020304" pitchFamily="18" charset="0"/>
                    <a:cs typeface="Times New Roman" panose="02020603050405020304" pitchFamily="18" charset="0"/>
                  </a:rPr>
                  <a:t>(</a:t>
                </a:r>
                <a:r>
                  <a:rPr lang="ru-RU">
                    <a:latin typeface="Times New Roman" panose="02020603050405020304" pitchFamily="18" charset="0"/>
                    <a:cs typeface="Times New Roman" panose="02020603050405020304" pitchFamily="18" charset="0"/>
                  </a:rPr>
                  <a:t>млрд. </a:t>
                </a:r>
                <a:r>
                  <a:rPr lang="en-US">
                    <a:latin typeface="Times New Roman" panose="02020603050405020304" pitchFamily="18" charset="0"/>
                    <a:cs typeface="Times New Roman" panose="02020603050405020304" pitchFamily="18" charset="0"/>
                  </a:rPr>
                  <a:t>$)</a:t>
                </a:r>
              </a:p>
            </c:rich>
          </c:tx>
          <c:overlay val="0"/>
        </c:title>
        <c:numFmt formatCode="0" sourceLinked="1"/>
        <c:majorTickMark val="cross"/>
        <c:minorTickMark val="cross"/>
        <c:tickLblPos val="nextTo"/>
        <c:crossAx val="216461824"/>
        <c:crosses val="max"/>
        <c:crossBetween val="between"/>
      </c:valAx>
    </c:plotArea>
    <c:legend>
      <c:legendPos val="tr"/>
      <c:layout>
        <c:manualLayout>
          <c:xMode val="edge"/>
          <c:yMode val="edge"/>
          <c:x val="0.3130184643149973"/>
          <c:y val="0.84615394504258401"/>
          <c:w val="0.33253722865793606"/>
          <c:h val="0.11591611144760752"/>
        </c:manualLayout>
      </c:layout>
      <c:overlay val="1"/>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1"/>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918626333324496"/>
          <c:y val="6.0270150054122333E-2"/>
          <c:w val="0.73598292637662721"/>
          <c:h val="0.51624985148461378"/>
        </c:manualLayout>
      </c:layout>
      <c:barChart>
        <c:barDir val="col"/>
        <c:grouping val="clustered"/>
        <c:varyColors val="1"/>
        <c:ser>
          <c:idx val="0"/>
          <c:order val="0"/>
          <c:tx>
            <c:strRef>
              <c:f>'[Mergers &amp; Acquisitions (M&amp;A) - Europe.xlsx]Sheet1'!$B$1</c:f>
              <c:strCache>
                <c:ptCount val="1"/>
                <c:pt idx="0">
                  <c:v>Кол-во</c:v>
                </c:pt>
              </c:strCache>
            </c:strRef>
          </c:tx>
          <c:invertIfNegative val="1"/>
          <c:cat>
            <c:strRef>
              <c:f>'[Mergers &amp; Acquisitions (M&amp;A) - Europe.xlsx]Sheet1'!$A$29:$A$36</c:f>
              <c:strCache>
                <c:ptCount val="8"/>
                <c:pt idx="0">
                  <c:v>2011</c:v>
                </c:pt>
                <c:pt idx="1">
                  <c:v>2012</c:v>
                </c:pt>
                <c:pt idx="2">
                  <c:v>2013</c:v>
                </c:pt>
                <c:pt idx="3">
                  <c:v>2014</c:v>
                </c:pt>
                <c:pt idx="4">
                  <c:v>2015</c:v>
                </c:pt>
                <c:pt idx="5">
                  <c:v>2016</c:v>
                </c:pt>
                <c:pt idx="6">
                  <c:v>2017 (Дек. 05)</c:v>
                </c:pt>
                <c:pt idx="7">
                  <c:v>2017 (Прогноз)</c:v>
                </c:pt>
              </c:strCache>
            </c:strRef>
          </c:cat>
          <c:val>
            <c:numRef>
              <c:f>'[Mergers &amp; Acquisitions (M&amp;A) - Europe.xlsx]Sheet1'!$B$29:$B$36</c:f>
              <c:numCache>
                <c:formatCode>#,##0</c:formatCode>
                <c:ptCount val="8"/>
                <c:pt idx="0">
                  <c:v>17700</c:v>
                </c:pt>
                <c:pt idx="1">
                  <c:v>15801</c:v>
                </c:pt>
                <c:pt idx="2">
                  <c:v>14541</c:v>
                </c:pt>
                <c:pt idx="3">
                  <c:v>15970</c:v>
                </c:pt>
                <c:pt idx="4">
                  <c:v>17513</c:v>
                </c:pt>
                <c:pt idx="5">
                  <c:v>18067</c:v>
                </c:pt>
                <c:pt idx="6">
                  <c:v>14523</c:v>
                </c:pt>
                <c:pt idx="7">
                  <c:v>15591</c:v>
                </c:pt>
              </c:numCache>
            </c:numRef>
          </c:val>
          <c:extLst xmlns:c16r2="http://schemas.microsoft.com/office/drawing/2015/06/chart">
            <c:ext xmlns:c16="http://schemas.microsoft.com/office/drawing/2014/chart" uri="{C3380CC4-5D6E-409C-BE32-E72D297353CC}">
              <c16:uniqueId val="{00000000-4F01-4523-AF9D-AFA3505337E4}"/>
            </c:ext>
          </c:extLst>
        </c:ser>
        <c:dLbls>
          <c:showLegendKey val="0"/>
          <c:showVal val="0"/>
          <c:showCatName val="0"/>
          <c:showSerName val="0"/>
          <c:showPercent val="0"/>
          <c:showBubbleSize val="0"/>
        </c:dLbls>
        <c:gapWidth val="150"/>
        <c:axId val="216463360"/>
        <c:axId val="262317184"/>
      </c:barChart>
      <c:lineChart>
        <c:grouping val="standard"/>
        <c:varyColors val="0"/>
        <c:ser>
          <c:idx val="1"/>
          <c:order val="1"/>
          <c:tx>
            <c:strRef>
              <c:f>'[Mergers &amp; Acquisitions (M&amp;A) - Europe.xlsx]Sheet1'!$C$1</c:f>
              <c:strCache>
                <c:ptCount val="1"/>
                <c:pt idx="0">
                  <c:v>Стоимость</c:v>
                </c:pt>
              </c:strCache>
            </c:strRef>
          </c:tx>
          <c:marker>
            <c:symbol val="none"/>
          </c:marker>
          <c:cat>
            <c:strRef>
              <c:f>'[Mergers &amp; Acquisitions (M&amp;A) - Europe.xlsx]Sheet1'!$A$29:$A$36</c:f>
              <c:strCache>
                <c:ptCount val="8"/>
                <c:pt idx="0">
                  <c:v>2011</c:v>
                </c:pt>
                <c:pt idx="1">
                  <c:v>2012</c:v>
                </c:pt>
                <c:pt idx="2">
                  <c:v>2013</c:v>
                </c:pt>
                <c:pt idx="3">
                  <c:v>2014</c:v>
                </c:pt>
                <c:pt idx="4">
                  <c:v>2015</c:v>
                </c:pt>
                <c:pt idx="5">
                  <c:v>2016</c:v>
                </c:pt>
                <c:pt idx="6">
                  <c:v>2017 (Дек. 05)</c:v>
                </c:pt>
                <c:pt idx="7">
                  <c:v>2017 (Прогноз)</c:v>
                </c:pt>
              </c:strCache>
            </c:strRef>
          </c:cat>
          <c:val>
            <c:numRef>
              <c:f>'[Mergers &amp; Acquisitions (M&amp;A) - Europe.xlsx]Sheet1'!$C$29:$C$36</c:f>
              <c:numCache>
                <c:formatCode>0</c:formatCode>
                <c:ptCount val="8"/>
                <c:pt idx="0">
                  <c:v>592.32703999999978</c:v>
                </c:pt>
                <c:pt idx="1">
                  <c:v>727.99033999999995</c:v>
                </c:pt>
                <c:pt idx="2">
                  <c:v>523.77732000000003</c:v>
                </c:pt>
                <c:pt idx="3">
                  <c:v>982.50171</c:v>
                </c:pt>
                <c:pt idx="4">
                  <c:v>1160.3554999999999</c:v>
                </c:pt>
                <c:pt idx="5">
                  <c:v>1001.1154</c:v>
                </c:pt>
                <c:pt idx="6">
                  <c:v>858.88633000000004</c:v>
                </c:pt>
                <c:pt idx="7">
                  <c:v>922.03974000000005</c:v>
                </c:pt>
              </c:numCache>
            </c:numRef>
          </c:val>
          <c:smooth val="0"/>
          <c:extLst xmlns:c16r2="http://schemas.microsoft.com/office/drawing/2015/06/chart">
            <c:ext xmlns:c16="http://schemas.microsoft.com/office/drawing/2014/chart" uri="{C3380CC4-5D6E-409C-BE32-E72D297353CC}">
              <c16:uniqueId val="{00000001-4F01-4523-AF9D-AFA3505337E4}"/>
            </c:ext>
          </c:extLst>
        </c:ser>
        <c:dLbls>
          <c:showLegendKey val="0"/>
          <c:showVal val="0"/>
          <c:showCatName val="0"/>
          <c:showSerName val="0"/>
          <c:showPercent val="0"/>
          <c:showBubbleSize val="0"/>
        </c:dLbls>
        <c:marker val="1"/>
        <c:smooth val="0"/>
        <c:axId val="221920768"/>
        <c:axId val="262317760"/>
      </c:lineChart>
      <c:catAx>
        <c:axId val="216463360"/>
        <c:scaling>
          <c:orientation val="minMax"/>
        </c:scaling>
        <c:delete val="0"/>
        <c:axPos val="b"/>
        <c:title>
          <c:tx>
            <c:rich>
              <a:bodyPr/>
              <a:lstStyle/>
              <a:p>
                <a:pPr>
                  <a:defRPr/>
                </a:pPr>
                <a:endParaRPr lang="ru-RU"/>
              </a:p>
            </c:rich>
          </c:tx>
          <c:overlay val="0"/>
        </c:title>
        <c:numFmt formatCode="General" sourceLinked="0"/>
        <c:majorTickMark val="cross"/>
        <c:minorTickMark val="cross"/>
        <c:tickLblPos val="nextTo"/>
        <c:txPr>
          <a:bodyPr rot="-5400000"/>
          <a:lstStyle/>
          <a:p>
            <a:pPr>
              <a:defRPr>
                <a:latin typeface="Times New Roman" panose="02020603050405020304" pitchFamily="18" charset="0"/>
                <a:cs typeface="Times New Roman" panose="02020603050405020304" pitchFamily="18" charset="0"/>
              </a:defRPr>
            </a:pPr>
            <a:endParaRPr lang="ru-RU"/>
          </a:p>
        </c:txPr>
        <c:crossAx val="262317184"/>
        <c:crosses val="autoZero"/>
        <c:auto val="1"/>
        <c:lblAlgn val="ctr"/>
        <c:lblOffset val="100"/>
        <c:noMultiLvlLbl val="1"/>
      </c:catAx>
      <c:valAx>
        <c:axId val="262317184"/>
        <c:scaling>
          <c:orientation val="minMax"/>
        </c:scaling>
        <c:delete val="0"/>
        <c:axPos val="l"/>
        <c:majorGridlines>
          <c:spPr>
            <a:ln>
              <a:noFill/>
            </a:ln>
          </c:spPr>
        </c:majorGridlines>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Количество сделок</a:t>
                </a:r>
                <a:endParaRPr lang="en-US">
                  <a:latin typeface="Times New Roman" panose="02020603050405020304" pitchFamily="18" charset="0"/>
                  <a:cs typeface="Times New Roman" panose="02020603050405020304" pitchFamily="18" charset="0"/>
                </a:endParaRPr>
              </a:p>
            </c:rich>
          </c:tx>
          <c:overlay val="0"/>
        </c:title>
        <c:numFmt formatCode="#,##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16463360"/>
        <c:crosses val="autoZero"/>
        <c:crossBetween val="between"/>
      </c:valAx>
      <c:catAx>
        <c:axId val="221920768"/>
        <c:scaling>
          <c:orientation val="minMax"/>
        </c:scaling>
        <c:delete val="1"/>
        <c:axPos val="b"/>
        <c:numFmt formatCode="General" sourceLinked="1"/>
        <c:majorTickMark val="cross"/>
        <c:minorTickMark val="cross"/>
        <c:tickLblPos val="none"/>
        <c:crossAx val="262317760"/>
        <c:crosses val="autoZero"/>
        <c:auto val="1"/>
        <c:lblAlgn val="ctr"/>
        <c:lblOffset val="100"/>
        <c:noMultiLvlLbl val="1"/>
      </c:catAx>
      <c:valAx>
        <c:axId val="262317760"/>
        <c:scaling>
          <c:orientation val="minMax"/>
        </c:scaling>
        <c:delete val="0"/>
        <c:axPos val="r"/>
        <c:majorGridlines/>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Стоимость </a:t>
                </a:r>
                <a:r>
                  <a:rPr lang="en-US">
                    <a:latin typeface="Times New Roman" panose="02020603050405020304" pitchFamily="18" charset="0"/>
                    <a:cs typeface="Times New Roman" panose="02020603050405020304" pitchFamily="18" charset="0"/>
                  </a:rPr>
                  <a:t>(</a:t>
                </a:r>
                <a:r>
                  <a:rPr lang="ru-RU">
                    <a:latin typeface="Times New Roman" panose="02020603050405020304" pitchFamily="18" charset="0"/>
                    <a:cs typeface="Times New Roman" panose="02020603050405020304" pitchFamily="18" charset="0"/>
                  </a:rPr>
                  <a:t>млрд. Евро</a:t>
                </a:r>
                <a:r>
                  <a:rPr lang="en-US">
                    <a:latin typeface="Times New Roman" panose="02020603050405020304" pitchFamily="18" charset="0"/>
                    <a:cs typeface="Times New Roman" panose="02020603050405020304" pitchFamily="18" charset="0"/>
                  </a:rPr>
                  <a:t>)</a:t>
                </a:r>
              </a:p>
            </c:rich>
          </c:tx>
          <c:overlay val="0"/>
        </c:title>
        <c:numFmt formatCode="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21920768"/>
        <c:crosses val="max"/>
        <c:crossBetween val="between"/>
      </c:valAx>
    </c:plotArea>
    <c:legend>
      <c:legendPos val="tr"/>
      <c:layout>
        <c:manualLayout>
          <c:xMode val="edge"/>
          <c:yMode val="edge"/>
          <c:x val="0.34187082967363508"/>
          <c:y val="0.82677702715183654"/>
          <c:w val="0.31628843378336424"/>
          <c:h val="0.10325717850579171"/>
        </c:manualLayout>
      </c:layout>
      <c:overlay val="1"/>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1"/>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Лист1!$B$1</c:f>
              <c:strCache>
                <c:ptCount val="1"/>
                <c:pt idx="0">
                  <c:v>Импортные (Cross-border)</c:v>
                </c:pt>
              </c:strCache>
            </c:strRef>
          </c:tx>
          <c:cat>
            <c:numRef>
              <c:f>Лист1!$A$3:$A$9</c:f>
              <c:numCache>
                <c:formatCode>General</c:formatCode>
                <c:ptCount val="7"/>
                <c:pt idx="0">
                  <c:v>2011</c:v>
                </c:pt>
                <c:pt idx="1">
                  <c:v>2012</c:v>
                </c:pt>
                <c:pt idx="2">
                  <c:v>2013</c:v>
                </c:pt>
                <c:pt idx="3">
                  <c:v>2014</c:v>
                </c:pt>
                <c:pt idx="4">
                  <c:v>2015</c:v>
                </c:pt>
                <c:pt idx="5">
                  <c:v>2016</c:v>
                </c:pt>
              </c:numCache>
            </c:numRef>
          </c:cat>
          <c:val>
            <c:numRef>
              <c:f>Лист1!$B$3:$B$8</c:f>
              <c:numCache>
                <c:formatCode>General</c:formatCode>
                <c:ptCount val="6"/>
                <c:pt idx="0">
                  <c:v>872</c:v>
                </c:pt>
                <c:pt idx="1">
                  <c:v>654</c:v>
                </c:pt>
                <c:pt idx="2">
                  <c:v>611</c:v>
                </c:pt>
                <c:pt idx="3">
                  <c:v>1108</c:v>
                </c:pt>
                <c:pt idx="4">
                  <c:v>1345</c:v>
                </c:pt>
                <c:pt idx="5">
                  <c:v>1212</c:v>
                </c:pt>
              </c:numCache>
            </c:numRef>
          </c:val>
          <c:extLst xmlns:c16r2="http://schemas.microsoft.com/office/drawing/2015/06/chart">
            <c:ext xmlns:c16="http://schemas.microsoft.com/office/drawing/2014/chart" uri="{C3380CC4-5D6E-409C-BE32-E72D297353CC}">
              <c16:uniqueId val="{00000000-ACC6-46E1-BF74-DEBDCCAD4175}"/>
            </c:ext>
          </c:extLst>
        </c:ser>
        <c:ser>
          <c:idx val="1"/>
          <c:order val="1"/>
          <c:tx>
            <c:strRef>
              <c:f>Лист1!$C$1</c:f>
              <c:strCache>
                <c:ptCount val="1"/>
                <c:pt idx="0">
                  <c:v>Экспортные (Cross-border)</c:v>
                </c:pt>
              </c:strCache>
            </c:strRef>
          </c:tx>
          <c:cat>
            <c:numRef>
              <c:f>Лист1!$A$3:$A$9</c:f>
              <c:numCache>
                <c:formatCode>General</c:formatCode>
                <c:ptCount val="7"/>
                <c:pt idx="0">
                  <c:v>2011</c:v>
                </c:pt>
                <c:pt idx="1">
                  <c:v>2012</c:v>
                </c:pt>
                <c:pt idx="2">
                  <c:v>2013</c:v>
                </c:pt>
                <c:pt idx="3">
                  <c:v>2014</c:v>
                </c:pt>
                <c:pt idx="4">
                  <c:v>2015</c:v>
                </c:pt>
                <c:pt idx="5">
                  <c:v>2016</c:v>
                </c:pt>
              </c:numCache>
            </c:numRef>
          </c:cat>
          <c:val>
            <c:numRef>
              <c:f>Лист1!$C$3:$C$8</c:f>
              <c:numCache>
                <c:formatCode>General</c:formatCode>
                <c:ptCount val="6"/>
                <c:pt idx="0">
                  <c:v>580</c:v>
                </c:pt>
                <c:pt idx="1">
                  <c:v>598</c:v>
                </c:pt>
                <c:pt idx="2">
                  <c:v>576</c:v>
                </c:pt>
                <c:pt idx="3">
                  <c:v>1169</c:v>
                </c:pt>
                <c:pt idx="4">
                  <c:v>1078</c:v>
                </c:pt>
                <c:pt idx="5">
                  <c:v>1128.8</c:v>
                </c:pt>
              </c:numCache>
            </c:numRef>
          </c:val>
          <c:extLst xmlns:c16r2="http://schemas.microsoft.com/office/drawing/2015/06/chart">
            <c:ext xmlns:c16="http://schemas.microsoft.com/office/drawing/2014/chart" uri="{C3380CC4-5D6E-409C-BE32-E72D297353CC}">
              <c16:uniqueId val="{00000001-ACC6-46E1-BF74-DEBDCCAD4175}"/>
            </c:ext>
          </c:extLst>
        </c:ser>
        <c:dLbls>
          <c:showLegendKey val="0"/>
          <c:showVal val="0"/>
          <c:showCatName val="0"/>
          <c:showSerName val="0"/>
          <c:showPercent val="0"/>
          <c:showBubbleSize val="0"/>
        </c:dLbls>
        <c:axId val="222331904"/>
        <c:axId val="262321216"/>
      </c:areaChart>
      <c:catAx>
        <c:axId val="222331904"/>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62321216"/>
        <c:crosses val="autoZero"/>
        <c:auto val="1"/>
        <c:lblAlgn val="ctr"/>
        <c:lblOffset val="100"/>
        <c:noMultiLvlLbl val="0"/>
      </c:catAx>
      <c:valAx>
        <c:axId val="26232121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22331904"/>
        <c:crosses val="autoZero"/>
        <c:crossBetween val="midCat"/>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756596922933592E-2"/>
          <c:y val="0.1397401431552408"/>
          <c:w val="0.59242329332438293"/>
          <c:h val="0.66908219250034617"/>
        </c:manualLayout>
      </c:layout>
      <c:lineChart>
        <c:grouping val="standard"/>
        <c:varyColors val="1"/>
        <c:ser>
          <c:idx val="0"/>
          <c:order val="0"/>
          <c:tx>
            <c:strRef>
              <c:f>'[Mergers &amp; Acquisitions (M&amp;A) - United States (1).xlsx]Waves'!$H$75</c:f>
              <c:strCache>
                <c:ptCount val="1"/>
                <c:pt idx="0">
                  <c:v>4 волна (1985-1991)</c:v>
                </c:pt>
              </c:strCache>
            </c:strRef>
          </c:tx>
          <c:marker>
            <c:symbol val="none"/>
          </c:marker>
          <c:val>
            <c:numRef>
              <c:f>'[Mergers &amp; Acquisitions (M&amp;A) - United States (1).xlsx]Waves'!$I$75:$U$75</c:f>
              <c:numCache>
                <c:formatCode>0%</c:formatCode>
                <c:ptCount val="13"/>
                <c:pt idx="0">
                  <c:v>0</c:v>
                </c:pt>
                <c:pt idx="1">
                  <c:v>0</c:v>
                </c:pt>
                <c:pt idx="2">
                  <c:v>1.8978233495232959E-2</c:v>
                </c:pt>
                <c:pt idx="3">
                  <c:v>3.7821550638604082E-2</c:v>
                </c:pt>
                <c:pt idx="4">
                  <c:v>7.1640582838640054E-2</c:v>
                </c:pt>
                <c:pt idx="5">
                  <c:v>0.1342867422198237</c:v>
                </c:pt>
                <c:pt idx="6">
                  <c:v>0.18582478863104876</c:v>
                </c:pt>
                <c:pt idx="7">
                  <c:v>0.19792228818132773</c:v>
                </c:pt>
                <c:pt idx="8">
                  <c:v>0.35352581399532301</c:v>
                </c:pt>
                <c:pt idx="9">
                  <c:v>0</c:v>
                </c:pt>
                <c:pt idx="10">
                  <c:v>0</c:v>
                </c:pt>
                <c:pt idx="11">
                  <c:v>0</c:v>
                </c:pt>
                <c:pt idx="12">
                  <c:v>0</c:v>
                </c:pt>
              </c:numCache>
            </c:numRef>
          </c:val>
          <c:smooth val="0"/>
          <c:extLst xmlns:c16r2="http://schemas.microsoft.com/office/drawing/2015/06/chart">
            <c:ext xmlns:c16="http://schemas.microsoft.com/office/drawing/2014/chart" uri="{C3380CC4-5D6E-409C-BE32-E72D297353CC}">
              <c16:uniqueId val="{00000000-CAEA-4226-A111-429A1BC136E2}"/>
            </c:ext>
          </c:extLst>
        </c:ser>
        <c:ser>
          <c:idx val="1"/>
          <c:order val="1"/>
          <c:tx>
            <c:strRef>
              <c:f>'[Mergers &amp; Acquisitions (M&amp;A) - United States (1).xlsx]Waves'!$H$76</c:f>
              <c:strCache>
                <c:ptCount val="1"/>
                <c:pt idx="0">
                  <c:v>5 волна (1994-2001)</c:v>
                </c:pt>
              </c:strCache>
            </c:strRef>
          </c:tx>
          <c:marker>
            <c:symbol val="none"/>
          </c:marker>
          <c:val>
            <c:numRef>
              <c:f>'[Mergers &amp; Acquisitions (M&amp;A) - United States (1).xlsx]Waves'!$I$76:$U$76</c:f>
              <c:numCache>
                <c:formatCode>0%</c:formatCode>
                <c:ptCount val="13"/>
                <c:pt idx="0">
                  <c:v>0</c:v>
                </c:pt>
                <c:pt idx="1">
                  <c:v>0</c:v>
                </c:pt>
                <c:pt idx="2">
                  <c:v>0</c:v>
                </c:pt>
                <c:pt idx="3">
                  <c:v>7.9057833317229778E-2</c:v>
                </c:pt>
                <c:pt idx="4">
                  <c:v>9.6031004755923466E-2</c:v>
                </c:pt>
                <c:pt idx="5">
                  <c:v>9.7598419702191186E-2</c:v>
                </c:pt>
                <c:pt idx="6">
                  <c:v>0.10431897967728428</c:v>
                </c:pt>
                <c:pt idx="7">
                  <c:v>0.11818952837987268</c:v>
                </c:pt>
                <c:pt idx="8">
                  <c:v>0.15566792274576743</c:v>
                </c:pt>
                <c:pt idx="9">
                  <c:v>0.1971507402278119</c:v>
                </c:pt>
                <c:pt idx="10">
                  <c:v>0.15198557119391928</c:v>
                </c:pt>
                <c:pt idx="11">
                  <c:v>0</c:v>
                </c:pt>
                <c:pt idx="12">
                  <c:v>0</c:v>
                </c:pt>
              </c:numCache>
            </c:numRef>
          </c:val>
          <c:smooth val="0"/>
          <c:extLst xmlns:c16r2="http://schemas.microsoft.com/office/drawing/2015/06/chart">
            <c:ext xmlns:c16="http://schemas.microsoft.com/office/drawing/2014/chart" uri="{C3380CC4-5D6E-409C-BE32-E72D297353CC}">
              <c16:uniqueId val="{00000001-CAEA-4226-A111-429A1BC136E2}"/>
            </c:ext>
          </c:extLst>
        </c:ser>
        <c:ser>
          <c:idx val="2"/>
          <c:order val="2"/>
          <c:tx>
            <c:strRef>
              <c:f>'[Mergers &amp; Acquisitions (M&amp;A) - United States (1).xlsx]Waves'!$H$77</c:f>
              <c:strCache>
                <c:ptCount val="1"/>
                <c:pt idx="0">
                  <c:v>6 волна(2003-2009)</c:v>
                </c:pt>
              </c:strCache>
            </c:strRef>
          </c:tx>
          <c:marker>
            <c:symbol val="none"/>
          </c:marker>
          <c:val>
            <c:numRef>
              <c:f>'[Mergers &amp; Acquisitions (M&amp;A) - United States (1).xlsx]Waves'!$I$77:$U$77</c:f>
              <c:numCache>
                <c:formatCode>0%</c:formatCode>
                <c:ptCount val="13"/>
                <c:pt idx="0">
                  <c:v>0</c:v>
                </c:pt>
                <c:pt idx="1">
                  <c:v>0</c:v>
                </c:pt>
                <c:pt idx="2">
                  <c:v>0</c:v>
                </c:pt>
                <c:pt idx="3">
                  <c:v>0.10776330336970633</c:v>
                </c:pt>
                <c:pt idx="4">
                  <c:v>0.10938806902850551</c:v>
                </c:pt>
                <c:pt idx="5">
                  <c:v>0.12533769167908468</c:v>
                </c:pt>
                <c:pt idx="6">
                  <c:v>0.15152622217949344</c:v>
                </c:pt>
                <c:pt idx="7">
                  <c:v>0.17905109839926939</c:v>
                </c:pt>
                <c:pt idx="8">
                  <c:v>0.17612844301302696</c:v>
                </c:pt>
                <c:pt idx="9">
                  <c:v>0.15080517233091381</c:v>
                </c:pt>
                <c:pt idx="10">
                  <c:v>0</c:v>
                </c:pt>
                <c:pt idx="11">
                  <c:v>0</c:v>
                </c:pt>
                <c:pt idx="12">
                  <c:v>0</c:v>
                </c:pt>
              </c:numCache>
            </c:numRef>
          </c:val>
          <c:smooth val="0"/>
          <c:extLst xmlns:c16r2="http://schemas.microsoft.com/office/drawing/2015/06/chart">
            <c:ext xmlns:c16="http://schemas.microsoft.com/office/drawing/2014/chart" uri="{C3380CC4-5D6E-409C-BE32-E72D297353CC}">
              <c16:uniqueId val="{00000002-CAEA-4226-A111-429A1BC136E2}"/>
            </c:ext>
          </c:extLst>
        </c:ser>
        <c:ser>
          <c:idx val="3"/>
          <c:order val="3"/>
          <c:tx>
            <c:strRef>
              <c:f>'[Mergers &amp; Acquisitions (M&amp;A) - United States (1).xlsx]Waves'!$H$78</c:f>
              <c:strCache>
                <c:ptCount val="1"/>
                <c:pt idx="0">
                  <c:v>7 волна (2012-...)</c:v>
                </c:pt>
              </c:strCache>
            </c:strRef>
          </c:tx>
          <c:marker>
            <c:symbol val="none"/>
          </c:marker>
          <c:val>
            <c:numRef>
              <c:f>'[Mergers &amp; Acquisitions (M&amp;A) - United States (1).xlsx]Waves'!$I$78:$U$78</c:f>
              <c:numCache>
                <c:formatCode>0%</c:formatCode>
                <c:ptCount val="13"/>
                <c:pt idx="0">
                  <c:v>0</c:v>
                </c:pt>
                <c:pt idx="1">
                  <c:v>0</c:v>
                </c:pt>
                <c:pt idx="2">
                  <c:v>0</c:v>
                </c:pt>
                <c:pt idx="3">
                  <c:v>0</c:v>
                </c:pt>
                <c:pt idx="4">
                  <c:v>0</c:v>
                </c:pt>
                <c:pt idx="5">
                  <c:v>0.24756756756756762</c:v>
                </c:pt>
                <c:pt idx="6">
                  <c:v>0.22782608695652173</c:v>
                </c:pt>
                <c:pt idx="7">
                  <c:v>0.25021543282412839</c:v>
                </c:pt>
                <c:pt idx="8">
                  <c:v>0.27439091265178228</c:v>
                </c:pt>
                <c:pt idx="9">
                  <c:v>0</c:v>
                </c:pt>
                <c:pt idx="10">
                  <c:v>0</c:v>
                </c:pt>
                <c:pt idx="11">
                  <c:v>0</c:v>
                </c:pt>
                <c:pt idx="12">
                  <c:v>0</c:v>
                </c:pt>
              </c:numCache>
            </c:numRef>
          </c:val>
          <c:smooth val="0"/>
          <c:extLst xmlns:c16r2="http://schemas.microsoft.com/office/drawing/2015/06/chart">
            <c:ext xmlns:c16="http://schemas.microsoft.com/office/drawing/2014/chart" uri="{C3380CC4-5D6E-409C-BE32-E72D297353CC}">
              <c16:uniqueId val="{00000003-CAEA-4226-A111-429A1BC136E2}"/>
            </c:ext>
          </c:extLst>
        </c:ser>
        <c:dLbls>
          <c:showLegendKey val="0"/>
          <c:showVal val="0"/>
          <c:showCatName val="0"/>
          <c:showSerName val="0"/>
          <c:showPercent val="0"/>
          <c:showBubbleSize val="0"/>
        </c:dLbls>
        <c:marker val="1"/>
        <c:smooth val="0"/>
        <c:axId val="222333952"/>
        <c:axId val="262320064"/>
      </c:lineChart>
      <c:catAx>
        <c:axId val="222333952"/>
        <c:scaling>
          <c:orientation val="minMax"/>
        </c:scaling>
        <c:delete val="0"/>
        <c:axPos val="b"/>
        <c:majorTickMark val="cross"/>
        <c:minorTickMark val="cross"/>
        <c:tickLblPos val="nextTo"/>
        <c:crossAx val="262320064"/>
        <c:crosses val="autoZero"/>
        <c:auto val="1"/>
        <c:lblAlgn val="ctr"/>
        <c:lblOffset val="100"/>
        <c:noMultiLvlLbl val="1"/>
      </c:catAx>
      <c:valAx>
        <c:axId val="262320064"/>
        <c:scaling>
          <c:orientation val="minMax"/>
        </c:scaling>
        <c:delete val="0"/>
        <c:axPos val="l"/>
        <c:majorGridlines/>
        <c:numFmt formatCode="0%" sourceLinked="1"/>
        <c:majorTickMark val="cross"/>
        <c:minorTickMark val="cross"/>
        <c:tickLblPos val="nextTo"/>
        <c:crossAx val="222333952"/>
        <c:crosses val="autoZero"/>
        <c:crossBetween val="between"/>
      </c:valAx>
    </c:plotArea>
    <c:legend>
      <c:legendPos val="r"/>
      <c:overlay val="0"/>
    </c:legend>
    <c:plotVisOnly val="1"/>
    <c:dispBlanksAs val="zero"/>
    <c:showDLblsOverMax val="1"/>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050" b="0" i="0" baseline="0">
                <a:effectLst/>
              </a:rPr>
              <a:t>Корреляция капитализации фондового рынка (Х) и кол-ва сделок (У)</a:t>
            </a:r>
            <a:endParaRPr lang="ru-RU" sz="1050">
              <a:effectLst/>
            </a:endParaRPr>
          </a:p>
        </c:rich>
      </c:tx>
      <c:overlay val="0"/>
    </c:title>
    <c:autoTitleDeleted val="0"/>
    <c:plotArea>
      <c:layout/>
      <c:scatterChart>
        <c:scatterStyle val="lineMarker"/>
        <c:varyColors val="0"/>
        <c:ser>
          <c:idx val="0"/>
          <c:order val="0"/>
          <c:spPr>
            <a:ln w="28575">
              <a:noFill/>
            </a:ln>
          </c:spPr>
          <c:trendline>
            <c:trendlineType val="power"/>
            <c:dispRSqr val="1"/>
            <c:dispEq val="1"/>
            <c:trendlineLbl>
              <c:layout>
                <c:manualLayout>
                  <c:x val="0.27189479806681277"/>
                  <c:y val="0.2064627445338808"/>
                </c:manualLayout>
              </c:layout>
              <c:numFmt formatCode="General" sourceLinked="0"/>
            </c:trendlineLbl>
          </c:trendline>
          <c:xVal>
            <c:numRef>
              <c:f>Лист2!$B$5:$Z$5</c:f>
              <c:numCache>
                <c:formatCode>General</c:formatCode>
                <c:ptCount val="25"/>
                <c:pt idx="0">
                  <c:v>2004</c:v>
                </c:pt>
                <c:pt idx="1">
                  <c:v>2298</c:v>
                </c:pt>
                <c:pt idx="2">
                  <c:v>2116</c:v>
                </c:pt>
                <c:pt idx="3">
                  <c:v>2640</c:v>
                </c:pt>
                <c:pt idx="4">
                  <c:v>2829</c:v>
                </c:pt>
                <c:pt idx="5">
                  <c:v>3335</c:v>
                </c:pt>
                <c:pt idx="6">
                  <c:v>4161</c:v>
                </c:pt>
                <c:pt idx="7">
                  <c:v>5085</c:v>
                </c:pt>
                <c:pt idx="8">
                  <c:v>5536</c:v>
                </c:pt>
                <c:pt idx="9">
                  <c:v>8999</c:v>
                </c:pt>
                <c:pt idx="10">
                  <c:v>8379</c:v>
                </c:pt>
                <c:pt idx="11">
                  <c:v>6870</c:v>
                </c:pt>
                <c:pt idx="12">
                  <c:v>5670</c:v>
                </c:pt>
                <c:pt idx="13">
                  <c:v>7880</c:v>
                </c:pt>
                <c:pt idx="14">
                  <c:v>9059</c:v>
                </c:pt>
                <c:pt idx="15">
                  <c:v>9371</c:v>
                </c:pt>
                <c:pt idx="16">
                  <c:v>12450</c:v>
                </c:pt>
                <c:pt idx="17">
                  <c:v>14350</c:v>
                </c:pt>
                <c:pt idx="18">
                  <c:v>7059</c:v>
                </c:pt>
                <c:pt idx="19">
                  <c:v>6900</c:v>
                </c:pt>
                <c:pt idx="20">
                  <c:v>6705</c:v>
                </c:pt>
                <c:pt idx="21">
                  <c:v>5601</c:v>
                </c:pt>
                <c:pt idx="22">
                  <c:v>6332</c:v>
                </c:pt>
                <c:pt idx="23">
                  <c:v>7932</c:v>
                </c:pt>
                <c:pt idx="24">
                  <c:v>7184</c:v>
                </c:pt>
              </c:numCache>
            </c:numRef>
          </c:xVal>
          <c:yVal>
            <c:numRef>
              <c:f>Лист2!$B$9:$Z$9</c:f>
              <c:numCache>
                <c:formatCode>#,##0</c:formatCode>
                <c:ptCount val="25"/>
                <c:pt idx="0">
                  <c:v>4401</c:v>
                </c:pt>
                <c:pt idx="1">
                  <c:v>7861</c:v>
                </c:pt>
                <c:pt idx="2">
                  <c:v>7395</c:v>
                </c:pt>
                <c:pt idx="3">
                  <c:v>6663</c:v>
                </c:pt>
                <c:pt idx="4">
                  <c:v>7364</c:v>
                </c:pt>
                <c:pt idx="5">
                  <c:v>8945</c:v>
                </c:pt>
                <c:pt idx="6">
                  <c:v>9091</c:v>
                </c:pt>
                <c:pt idx="7">
                  <c:v>9717</c:v>
                </c:pt>
                <c:pt idx="8">
                  <c:v>11009</c:v>
                </c:pt>
                <c:pt idx="9">
                  <c:v>14500</c:v>
                </c:pt>
                <c:pt idx="10">
                  <c:v>18364</c:v>
                </c:pt>
                <c:pt idx="11">
                  <c:v>14157</c:v>
                </c:pt>
                <c:pt idx="12">
                  <c:v>10744</c:v>
                </c:pt>
                <c:pt idx="13">
                  <c:v>11209</c:v>
                </c:pt>
                <c:pt idx="14">
                  <c:v>11378</c:v>
                </c:pt>
                <c:pt idx="15">
                  <c:v>13037</c:v>
                </c:pt>
                <c:pt idx="16">
                  <c:v>15761</c:v>
                </c:pt>
                <c:pt idx="17">
                  <c:v>18624</c:v>
                </c:pt>
                <c:pt idx="18">
                  <c:v>18320</c:v>
                </c:pt>
                <c:pt idx="19">
                  <c:v>15686</c:v>
                </c:pt>
                <c:pt idx="20">
                  <c:v>17512</c:v>
                </c:pt>
                <c:pt idx="21">
                  <c:v>17700</c:v>
                </c:pt>
                <c:pt idx="22">
                  <c:v>15801</c:v>
                </c:pt>
                <c:pt idx="23">
                  <c:v>14541</c:v>
                </c:pt>
                <c:pt idx="24">
                  <c:v>15970</c:v>
                </c:pt>
              </c:numCache>
            </c:numRef>
          </c:yVal>
          <c:smooth val="0"/>
          <c:extLst xmlns:c16r2="http://schemas.microsoft.com/office/drawing/2015/06/chart">
            <c:ext xmlns:c16="http://schemas.microsoft.com/office/drawing/2014/chart" uri="{C3380CC4-5D6E-409C-BE32-E72D297353CC}">
              <c16:uniqueId val="{00000001-7AC4-4047-AC77-E1E8DB5B9A1F}"/>
            </c:ext>
          </c:extLst>
        </c:ser>
        <c:dLbls>
          <c:showLegendKey val="0"/>
          <c:showVal val="0"/>
          <c:showCatName val="0"/>
          <c:showSerName val="0"/>
          <c:showPercent val="0"/>
          <c:showBubbleSize val="0"/>
        </c:dLbls>
        <c:axId val="262323520"/>
        <c:axId val="262889472"/>
      </c:scatterChart>
      <c:valAx>
        <c:axId val="262323520"/>
        <c:scaling>
          <c:orientation val="minMax"/>
        </c:scaling>
        <c:delete val="0"/>
        <c:axPos val="b"/>
        <c:numFmt formatCode="General" sourceLinked="1"/>
        <c:majorTickMark val="none"/>
        <c:minorTickMark val="none"/>
        <c:tickLblPos val="nextTo"/>
        <c:crossAx val="262889472"/>
        <c:crosses val="autoZero"/>
        <c:crossBetween val="midCat"/>
      </c:valAx>
      <c:valAx>
        <c:axId val="262889472"/>
        <c:scaling>
          <c:orientation val="minMax"/>
        </c:scaling>
        <c:delete val="0"/>
        <c:axPos val="l"/>
        <c:majorGridlines/>
        <c:numFmt formatCode="#,##0" sourceLinked="1"/>
        <c:majorTickMark val="none"/>
        <c:minorTickMark val="none"/>
        <c:tickLblPos val="nextTo"/>
        <c:crossAx val="262323520"/>
        <c:crosses val="autoZero"/>
        <c:crossBetween val="midCat"/>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100" b="0" i="0" baseline="0">
                <a:effectLst/>
              </a:rPr>
              <a:t>Корреляция капитализации фондового рынка (Х) и стоимости сделок (У)</a:t>
            </a:r>
            <a:endParaRPr lang="ru-RU" sz="1100">
              <a:effectLst/>
            </a:endParaRPr>
          </a:p>
        </c:rich>
      </c:tx>
      <c:overlay val="0"/>
    </c:title>
    <c:autoTitleDeleted val="0"/>
    <c:plotArea>
      <c:layout/>
      <c:scatterChart>
        <c:scatterStyle val="lineMarker"/>
        <c:varyColors val="0"/>
        <c:ser>
          <c:idx val="0"/>
          <c:order val="0"/>
          <c:spPr>
            <a:ln w="28575">
              <a:noFill/>
            </a:ln>
          </c:spPr>
          <c:trendline>
            <c:trendlineType val="power"/>
            <c:dispRSqr val="1"/>
            <c:dispEq val="1"/>
            <c:trendlineLbl>
              <c:layout>
                <c:manualLayout>
                  <c:x val="0.2885805543489976"/>
                  <c:y val="0.31177629595687983"/>
                </c:manualLayout>
              </c:layout>
              <c:numFmt formatCode="General" sourceLinked="0"/>
            </c:trendlineLbl>
          </c:trendline>
          <c:xVal>
            <c:numRef>
              <c:f>Лист2!$B$5:$Z$5</c:f>
              <c:numCache>
                <c:formatCode>General</c:formatCode>
                <c:ptCount val="25"/>
                <c:pt idx="0">
                  <c:v>2004</c:v>
                </c:pt>
                <c:pt idx="1">
                  <c:v>2298</c:v>
                </c:pt>
                <c:pt idx="2">
                  <c:v>2116</c:v>
                </c:pt>
                <c:pt idx="3">
                  <c:v>2640</c:v>
                </c:pt>
                <c:pt idx="4">
                  <c:v>2829</c:v>
                </c:pt>
                <c:pt idx="5">
                  <c:v>3335</c:v>
                </c:pt>
                <c:pt idx="6">
                  <c:v>4161</c:v>
                </c:pt>
                <c:pt idx="7">
                  <c:v>5085</c:v>
                </c:pt>
                <c:pt idx="8">
                  <c:v>5536</c:v>
                </c:pt>
                <c:pt idx="9">
                  <c:v>8999</c:v>
                </c:pt>
                <c:pt idx="10">
                  <c:v>8379</c:v>
                </c:pt>
                <c:pt idx="11">
                  <c:v>6870</c:v>
                </c:pt>
                <c:pt idx="12">
                  <c:v>5670</c:v>
                </c:pt>
                <c:pt idx="13">
                  <c:v>7880</c:v>
                </c:pt>
                <c:pt idx="14">
                  <c:v>9059</c:v>
                </c:pt>
                <c:pt idx="15">
                  <c:v>9371</c:v>
                </c:pt>
                <c:pt idx="16">
                  <c:v>12450</c:v>
                </c:pt>
                <c:pt idx="17">
                  <c:v>14350</c:v>
                </c:pt>
                <c:pt idx="18">
                  <c:v>7059</c:v>
                </c:pt>
                <c:pt idx="19">
                  <c:v>6900</c:v>
                </c:pt>
                <c:pt idx="20">
                  <c:v>6705</c:v>
                </c:pt>
                <c:pt idx="21">
                  <c:v>5601</c:v>
                </c:pt>
                <c:pt idx="22">
                  <c:v>6332</c:v>
                </c:pt>
                <c:pt idx="23">
                  <c:v>7932</c:v>
                </c:pt>
                <c:pt idx="24">
                  <c:v>7184</c:v>
                </c:pt>
              </c:numCache>
            </c:numRef>
          </c:xVal>
          <c:yVal>
            <c:numRef>
              <c:f>Лист2!$B$13:$Z$13</c:f>
              <c:numCache>
                <c:formatCode>General</c:formatCode>
                <c:ptCount val="25"/>
                <c:pt idx="0">
                  <c:v>254.97486999999998</c:v>
                </c:pt>
                <c:pt idx="1">
                  <c:v>188.84515999999999</c:v>
                </c:pt>
                <c:pt idx="2">
                  <c:v>182.57629</c:v>
                </c:pt>
                <c:pt idx="3">
                  <c:v>157.42132000000007</c:v>
                </c:pt>
                <c:pt idx="4">
                  <c:v>197.84211000000005</c:v>
                </c:pt>
                <c:pt idx="5">
                  <c:v>324.23338999999987</c:v>
                </c:pt>
                <c:pt idx="6">
                  <c:v>414.77671999999984</c:v>
                </c:pt>
                <c:pt idx="7">
                  <c:v>583.48395000000005</c:v>
                </c:pt>
                <c:pt idx="8">
                  <c:v>887.79678000000024</c:v>
                </c:pt>
                <c:pt idx="9" formatCode="#,##0">
                  <c:v>1901.8713999999998</c:v>
                </c:pt>
                <c:pt idx="10" formatCode="#,##0">
                  <c:v>1480.4745</c:v>
                </c:pt>
                <c:pt idx="11">
                  <c:v>749.04818</c:v>
                </c:pt>
                <c:pt idx="12">
                  <c:v>561.99071000000004</c:v>
                </c:pt>
                <c:pt idx="13">
                  <c:v>568.07685000000004</c:v>
                </c:pt>
                <c:pt idx="14">
                  <c:v>834.40915999999982</c:v>
                </c:pt>
                <c:pt idx="15" formatCode="#,##0">
                  <c:v>1150.4213</c:v>
                </c:pt>
                <c:pt idx="16" formatCode="#,##0">
                  <c:v>1780.9820999999999</c:v>
                </c:pt>
                <c:pt idx="17" formatCode="#,##0">
                  <c:v>2482.832100000001</c:v>
                </c:pt>
                <c:pt idx="18" formatCode="#,##0">
                  <c:v>1406.5481</c:v>
                </c:pt>
                <c:pt idx="19">
                  <c:v>730.32060999999976</c:v>
                </c:pt>
                <c:pt idx="20">
                  <c:v>977.41098</c:v>
                </c:pt>
                <c:pt idx="21">
                  <c:v>823.54665999999975</c:v>
                </c:pt>
                <c:pt idx="22">
                  <c:v>941.1392199999998</c:v>
                </c:pt>
                <c:pt idx="23">
                  <c:v>697.06266999999968</c:v>
                </c:pt>
                <c:pt idx="24" formatCode="#,##0">
                  <c:v>1287.6597999999999</c:v>
                </c:pt>
              </c:numCache>
            </c:numRef>
          </c:yVal>
          <c:smooth val="0"/>
          <c:extLst xmlns:c16r2="http://schemas.microsoft.com/office/drawing/2015/06/chart">
            <c:ext xmlns:c16="http://schemas.microsoft.com/office/drawing/2014/chart" uri="{C3380CC4-5D6E-409C-BE32-E72D297353CC}">
              <c16:uniqueId val="{00000001-C22D-4265-8639-F1F8FAB59033}"/>
            </c:ext>
          </c:extLst>
        </c:ser>
        <c:dLbls>
          <c:showLegendKey val="0"/>
          <c:showVal val="0"/>
          <c:showCatName val="0"/>
          <c:showSerName val="0"/>
          <c:showPercent val="0"/>
          <c:showBubbleSize val="0"/>
        </c:dLbls>
        <c:axId val="262891200"/>
        <c:axId val="262891776"/>
      </c:scatterChart>
      <c:valAx>
        <c:axId val="262891200"/>
        <c:scaling>
          <c:orientation val="minMax"/>
          <c:max val="17000"/>
        </c:scaling>
        <c:delete val="0"/>
        <c:axPos val="b"/>
        <c:numFmt formatCode="General" sourceLinked="1"/>
        <c:majorTickMark val="none"/>
        <c:minorTickMark val="none"/>
        <c:tickLblPos val="nextTo"/>
        <c:crossAx val="262891776"/>
        <c:crosses val="autoZero"/>
        <c:crossBetween val="midCat"/>
      </c:valAx>
      <c:valAx>
        <c:axId val="262891776"/>
        <c:scaling>
          <c:orientation val="minMax"/>
        </c:scaling>
        <c:delete val="0"/>
        <c:axPos val="l"/>
        <c:majorGridlines/>
        <c:numFmt formatCode="General" sourceLinked="1"/>
        <c:majorTickMark val="none"/>
        <c:minorTickMark val="none"/>
        <c:tickLblPos val="nextTo"/>
        <c:crossAx val="262891200"/>
        <c:crosses val="autoZero"/>
        <c:crossBetween val="midCat"/>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Лист2!$B$1</c:f>
              <c:strCache>
                <c:ptCount val="1"/>
                <c:pt idx="0">
                  <c:v>Капитализация фондового рынка (млрд. $)</c:v>
                </c:pt>
              </c:strCache>
            </c:strRef>
          </c:tx>
          <c:marker>
            <c:symbol val="none"/>
          </c:marker>
          <c:cat>
            <c:numRef>
              <c:f>Лист2!$I$2:$AB$2</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Лист2!$I$4:$AB$4</c:f>
              <c:numCache>
                <c:formatCode>General</c:formatCode>
                <c:ptCount val="20"/>
                <c:pt idx="0">
                  <c:v>37</c:v>
                </c:pt>
                <c:pt idx="1">
                  <c:v>40</c:v>
                </c:pt>
                <c:pt idx="2">
                  <c:v>40</c:v>
                </c:pt>
                <c:pt idx="3">
                  <c:v>72</c:v>
                </c:pt>
                <c:pt idx="4">
                  <c:v>38</c:v>
                </c:pt>
                <c:pt idx="5">
                  <c:v>76</c:v>
                </c:pt>
                <c:pt idx="6">
                  <c:v>124</c:v>
                </c:pt>
                <c:pt idx="7">
                  <c:v>230.8</c:v>
                </c:pt>
                <c:pt idx="8">
                  <c:v>268</c:v>
                </c:pt>
                <c:pt idx="9">
                  <c:v>548.6</c:v>
                </c:pt>
                <c:pt idx="10">
                  <c:v>1057.2</c:v>
                </c:pt>
                <c:pt idx="11">
                  <c:v>1503</c:v>
                </c:pt>
                <c:pt idx="12">
                  <c:v>1321</c:v>
                </c:pt>
                <c:pt idx="13">
                  <c:v>861</c:v>
                </c:pt>
                <c:pt idx="14">
                  <c:v>1004</c:v>
                </c:pt>
                <c:pt idx="15">
                  <c:v>796</c:v>
                </c:pt>
                <c:pt idx="16">
                  <c:v>770.65699999999981</c:v>
                </c:pt>
                <c:pt idx="17">
                  <c:v>385.92599999999987</c:v>
                </c:pt>
                <c:pt idx="18">
                  <c:v>393.24</c:v>
                </c:pt>
                <c:pt idx="19">
                  <c:v>622.05199999999979</c:v>
                </c:pt>
              </c:numCache>
            </c:numRef>
          </c:val>
          <c:smooth val="0"/>
          <c:extLst xmlns:c16r2="http://schemas.microsoft.com/office/drawing/2015/06/chart">
            <c:ext xmlns:c16="http://schemas.microsoft.com/office/drawing/2014/chart" uri="{C3380CC4-5D6E-409C-BE32-E72D297353CC}">
              <c16:uniqueId val="{00000000-7B68-49C5-B040-29557592DD6F}"/>
            </c:ext>
          </c:extLst>
        </c:ser>
        <c:ser>
          <c:idx val="1"/>
          <c:order val="1"/>
          <c:tx>
            <c:v>Кол-во сделок</c:v>
          </c:tx>
          <c:marker>
            <c:symbol val="none"/>
          </c:marker>
          <c:cat>
            <c:numRef>
              <c:f>Лист2!$I$2:$AB$2</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Лист2!$I$8:$AB$8</c:f>
              <c:numCache>
                <c:formatCode>General</c:formatCode>
                <c:ptCount val="20"/>
                <c:pt idx="0">
                  <c:v>97</c:v>
                </c:pt>
                <c:pt idx="1">
                  <c:v>78</c:v>
                </c:pt>
                <c:pt idx="2">
                  <c:v>183</c:v>
                </c:pt>
                <c:pt idx="3">
                  <c:v>418</c:v>
                </c:pt>
                <c:pt idx="4">
                  <c:v>398</c:v>
                </c:pt>
                <c:pt idx="5">
                  <c:v>400</c:v>
                </c:pt>
                <c:pt idx="6">
                  <c:v>488</c:v>
                </c:pt>
                <c:pt idx="7">
                  <c:v>398</c:v>
                </c:pt>
                <c:pt idx="8">
                  <c:v>468</c:v>
                </c:pt>
                <c:pt idx="9">
                  <c:v>654</c:v>
                </c:pt>
                <c:pt idx="10">
                  <c:v>966</c:v>
                </c:pt>
                <c:pt idx="11" formatCode="#,##0">
                  <c:v>1718</c:v>
                </c:pt>
                <c:pt idx="12" formatCode="#,##0">
                  <c:v>3285</c:v>
                </c:pt>
                <c:pt idx="13" formatCode="#,##0">
                  <c:v>3684</c:v>
                </c:pt>
                <c:pt idx="14" formatCode="#,##0">
                  <c:v>3211</c:v>
                </c:pt>
                <c:pt idx="15" formatCode="#,##0">
                  <c:v>2532</c:v>
                </c:pt>
                <c:pt idx="16" formatCode="#,##0">
                  <c:v>2021</c:v>
                </c:pt>
                <c:pt idx="17" formatCode="#,##0">
                  <c:v>1917</c:v>
                </c:pt>
                <c:pt idx="18" formatCode="#,##0">
                  <c:v>1820</c:v>
                </c:pt>
                <c:pt idx="19" formatCode="#,##0">
                  <c:v>1847</c:v>
                </c:pt>
              </c:numCache>
            </c:numRef>
          </c:val>
          <c:smooth val="0"/>
          <c:extLst xmlns:c16r2="http://schemas.microsoft.com/office/drawing/2015/06/chart">
            <c:ext xmlns:c16="http://schemas.microsoft.com/office/drawing/2014/chart" uri="{C3380CC4-5D6E-409C-BE32-E72D297353CC}">
              <c16:uniqueId val="{00000001-7B68-49C5-B040-29557592DD6F}"/>
            </c:ext>
          </c:extLst>
        </c:ser>
        <c:dLbls>
          <c:showLegendKey val="0"/>
          <c:showVal val="0"/>
          <c:showCatName val="0"/>
          <c:showSerName val="0"/>
          <c:showPercent val="0"/>
          <c:showBubbleSize val="0"/>
        </c:dLbls>
        <c:marker val="1"/>
        <c:smooth val="0"/>
        <c:axId val="222330880"/>
        <c:axId val="262893504"/>
      </c:lineChart>
      <c:catAx>
        <c:axId val="222330880"/>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62893504"/>
        <c:crosses val="autoZero"/>
        <c:auto val="1"/>
        <c:lblAlgn val="ctr"/>
        <c:lblOffset val="100"/>
        <c:noMultiLvlLbl val="0"/>
      </c:catAx>
      <c:valAx>
        <c:axId val="262893504"/>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ru-RU"/>
          </a:p>
        </c:txPr>
        <c:crossAx val="222330880"/>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1"/>
        <c:ser>
          <c:idx val="0"/>
          <c:order val="0"/>
          <c:tx>
            <c:strRef>
              <c:f>Sheet1!$B$1</c:f>
              <c:strCache>
                <c:ptCount val="1"/>
                <c:pt idx="0">
                  <c:v>Капитализация фондового рынка (млрд. $)</c:v>
                </c:pt>
              </c:strCache>
            </c:strRef>
          </c:tx>
          <c:invertIfNegative val="1"/>
          <c:cat>
            <c:strRef>
              <c:f>Sheet1!$A$10:$A$34</c:f>
              <c:strCach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strCache>
            </c:strRef>
          </c:cat>
          <c:val>
            <c:numRef>
              <c:f>Sheet1!$B$10:$B$34</c:f>
              <c:numCache>
                <c:formatCode>General</c:formatCode>
                <c:ptCount val="25"/>
                <c:pt idx="0">
                  <c:v>2004</c:v>
                </c:pt>
                <c:pt idx="1">
                  <c:v>2298</c:v>
                </c:pt>
                <c:pt idx="2">
                  <c:v>2116</c:v>
                </c:pt>
                <c:pt idx="3">
                  <c:v>2640</c:v>
                </c:pt>
                <c:pt idx="4">
                  <c:v>2829</c:v>
                </c:pt>
                <c:pt idx="5">
                  <c:v>3335</c:v>
                </c:pt>
                <c:pt idx="6">
                  <c:v>4161</c:v>
                </c:pt>
                <c:pt idx="7">
                  <c:v>5085</c:v>
                </c:pt>
                <c:pt idx="8">
                  <c:v>5536</c:v>
                </c:pt>
                <c:pt idx="9">
                  <c:v>8999</c:v>
                </c:pt>
                <c:pt idx="10">
                  <c:v>8379</c:v>
                </c:pt>
                <c:pt idx="11">
                  <c:v>6870</c:v>
                </c:pt>
                <c:pt idx="12">
                  <c:v>5670</c:v>
                </c:pt>
                <c:pt idx="13">
                  <c:v>7880</c:v>
                </c:pt>
                <c:pt idx="14">
                  <c:v>9059</c:v>
                </c:pt>
                <c:pt idx="15">
                  <c:v>9371</c:v>
                </c:pt>
                <c:pt idx="16">
                  <c:v>12450</c:v>
                </c:pt>
                <c:pt idx="17">
                  <c:v>14350</c:v>
                </c:pt>
                <c:pt idx="18">
                  <c:v>7059</c:v>
                </c:pt>
                <c:pt idx="19">
                  <c:v>6900</c:v>
                </c:pt>
                <c:pt idx="20">
                  <c:v>6705</c:v>
                </c:pt>
                <c:pt idx="21">
                  <c:v>5601</c:v>
                </c:pt>
                <c:pt idx="22">
                  <c:v>6332</c:v>
                </c:pt>
                <c:pt idx="23">
                  <c:v>7932</c:v>
                </c:pt>
                <c:pt idx="24">
                  <c:v>7184</c:v>
                </c:pt>
              </c:numCache>
            </c:numRef>
          </c:val>
          <c:extLst xmlns:c16r2="http://schemas.microsoft.com/office/drawing/2015/06/chart">
            <c:ext xmlns:c16="http://schemas.microsoft.com/office/drawing/2014/chart" uri="{C3380CC4-5D6E-409C-BE32-E72D297353CC}">
              <c16:uniqueId val="{00000000-80D9-4E8A-8586-E588FBFA9BD8}"/>
            </c:ext>
          </c:extLst>
        </c:ser>
        <c:dLbls>
          <c:showLegendKey val="0"/>
          <c:showVal val="0"/>
          <c:showCatName val="0"/>
          <c:showSerName val="0"/>
          <c:showPercent val="0"/>
          <c:showBubbleSize val="0"/>
        </c:dLbls>
        <c:gapWidth val="150"/>
        <c:axId val="222332928"/>
        <c:axId val="262895232"/>
      </c:barChart>
      <c:lineChart>
        <c:grouping val="standard"/>
        <c:varyColors val="0"/>
        <c:ser>
          <c:idx val="1"/>
          <c:order val="1"/>
          <c:tx>
            <c:strRef>
              <c:f>Sheet1!$C$1</c:f>
              <c:strCache>
                <c:ptCount val="1"/>
                <c:pt idx="0">
                  <c:v>Стоимость </c:v>
                </c:pt>
              </c:strCache>
            </c:strRef>
          </c:tx>
          <c:marker>
            <c:symbol val="none"/>
          </c:marker>
          <c:cat>
            <c:strRef>
              <c:f>Sheet1!$A$10:$A$34</c:f>
              <c:strCach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strCache>
            </c:strRef>
          </c:cat>
          <c:val>
            <c:numRef>
              <c:f>Sheet1!$C$10:$C$34</c:f>
              <c:numCache>
                <c:formatCode>0</c:formatCode>
                <c:ptCount val="25"/>
                <c:pt idx="0">
                  <c:v>139.43845000000007</c:v>
                </c:pt>
                <c:pt idx="1">
                  <c:v>133.58261000000005</c:v>
                </c:pt>
                <c:pt idx="2">
                  <c:v>164.77855999999994</c:v>
                </c:pt>
                <c:pt idx="3">
                  <c:v>251.23050999999998</c:v>
                </c:pt>
                <c:pt idx="4">
                  <c:v>330.57990000000001</c:v>
                </c:pt>
                <c:pt idx="5">
                  <c:v>519.98936000000003</c:v>
                </c:pt>
                <c:pt idx="6">
                  <c:v>793.98018000000002</c:v>
                </c:pt>
                <c:pt idx="7">
                  <c:v>1813.9066000000005</c:v>
                </c:pt>
                <c:pt idx="8">
                  <c:v>1586.3372999999999</c:v>
                </c:pt>
                <c:pt idx="9">
                  <c:v>833.02563999999973</c:v>
                </c:pt>
                <c:pt idx="10">
                  <c:v>587.55016999999975</c:v>
                </c:pt>
                <c:pt idx="11">
                  <c:v>496.17739</c:v>
                </c:pt>
                <c:pt idx="12">
                  <c:v>665.88640999999996</c:v>
                </c:pt>
                <c:pt idx="13">
                  <c:v>929.46110999999962</c:v>
                </c:pt>
                <c:pt idx="14">
                  <c:v>1400.4138</c:v>
                </c:pt>
                <c:pt idx="15">
                  <c:v>1781.482</c:v>
                </c:pt>
                <c:pt idx="16">
                  <c:v>961.34699999999975</c:v>
                </c:pt>
                <c:pt idx="17">
                  <c:v>521.20561999999973</c:v>
                </c:pt>
                <c:pt idx="18">
                  <c:v>739.49850000000004</c:v>
                </c:pt>
                <c:pt idx="19">
                  <c:v>592.32703999999978</c:v>
                </c:pt>
                <c:pt idx="20">
                  <c:v>727.99033999999995</c:v>
                </c:pt>
                <c:pt idx="21">
                  <c:v>523.77732000000003</c:v>
                </c:pt>
                <c:pt idx="22">
                  <c:v>982.50171</c:v>
                </c:pt>
                <c:pt idx="23">
                  <c:v>1160.3554999999999</c:v>
                </c:pt>
                <c:pt idx="24">
                  <c:v>1001.1154</c:v>
                </c:pt>
              </c:numCache>
            </c:numRef>
          </c:val>
          <c:smooth val="0"/>
          <c:extLst xmlns:c16r2="http://schemas.microsoft.com/office/drawing/2015/06/chart">
            <c:ext xmlns:c16="http://schemas.microsoft.com/office/drawing/2014/chart" uri="{C3380CC4-5D6E-409C-BE32-E72D297353CC}">
              <c16:uniqueId val="{00000001-80D9-4E8A-8586-E588FBFA9BD8}"/>
            </c:ext>
          </c:extLst>
        </c:ser>
        <c:dLbls>
          <c:showLegendKey val="0"/>
          <c:showVal val="0"/>
          <c:showCatName val="0"/>
          <c:showSerName val="0"/>
          <c:showPercent val="0"/>
          <c:showBubbleSize val="0"/>
        </c:dLbls>
        <c:marker val="1"/>
        <c:smooth val="0"/>
        <c:axId val="223237120"/>
        <c:axId val="262895808"/>
      </c:lineChart>
      <c:catAx>
        <c:axId val="222332928"/>
        <c:scaling>
          <c:orientation val="minMax"/>
        </c:scaling>
        <c:delete val="0"/>
        <c:axPos val="b"/>
        <c:title>
          <c:tx>
            <c:rich>
              <a:bodyPr/>
              <a:lstStyle/>
              <a:p>
                <a:pPr>
                  <a:defRPr/>
                </a:pPr>
                <a:endParaRPr lang="ru-RU"/>
              </a:p>
            </c:rich>
          </c:tx>
          <c:overlay val="0"/>
        </c:title>
        <c:numFmt formatCode="General" sourceLinked="0"/>
        <c:majorTickMark val="cross"/>
        <c:minorTickMark val="cross"/>
        <c:tickLblPos val="nextTo"/>
        <c:txPr>
          <a:bodyPr rot="-5400000"/>
          <a:lstStyle/>
          <a:p>
            <a:pPr>
              <a:defRPr>
                <a:latin typeface="Times New Roman" panose="02020603050405020304" pitchFamily="18" charset="0"/>
                <a:cs typeface="Times New Roman" panose="02020603050405020304" pitchFamily="18" charset="0"/>
              </a:defRPr>
            </a:pPr>
            <a:endParaRPr lang="ru-RU"/>
          </a:p>
        </c:txPr>
        <c:crossAx val="262895232"/>
        <c:crosses val="autoZero"/>
        <c:auto val="1"/>
        <c:lblAlgn val="ctr"/>
        <c:lblOffset val="100"/>
        <c:noMultiLvlLbl val="1"/>
      </c:catAx>
      <c:valAx>
        <c:axId val="262895232"/>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Капитализация фондового рынка (млрд. $)</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22332928"/>
        <c:crosses val="autoZero"/>
        <c:crossBetween val="between"/>
      </c:valAx>
      <c:catAx>
        <c:axId val="223237120"/>
        <c:scaling>
          <c:orientation val="minMax"/>
        </c:scaling>
        <c:delete val="1"/>
        <c:axPos val="b"/>
        <c:numFmt formatCode="General" sourceLinked="1"/>
        <c:majorTickMark val="cross"/>
        <c:minorTickMark val="cross"/>
        <c:tickLblPos val="none"/>
        <c:crossAx val="262895808"/>
        <c:crosses val="autoZero"/>
        <c:auto val="1"/>
        <c:lblAlgn val="ctr"/>
        <c:lblOffset val="100"/>
        <c:noMultiLvlLbl val="1"/>
      </c:catAx>
      <c:valAx>
        <c:axId val="262895808"/>
        <c:scaling>
          <c:orientation val="minMax"/>
        </c:scaling>
        <c:delete val="0"/>
        <c:axPos val="r"/>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Стоимость (млрд. Евро)</a:t>
                </a:r>
                <a:endParaRPr lang="en-US">
                  <a:latin typeface="Times New Roman" panose="02020603050405020304" pitchFamily="18" charset="0"/>
                  <a:cs typeface="Times New Roman" panose="02020603050405020304" pitchFamily="18" charset="0"/>
                </a:endParaRPr>
              </a:p>
            </c:rich>
          </c:tx>
          <c:overlay val="0"/>
        </c:title>
        <c:numFmt formatCode="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23237120"/>
        <c:crosses val="max"/>
        <c:crossBetween val="between"/>
      </c:valAx>
    </c:plotArea>
    <c:legend>
      <c:legendPos val="tr"/>
      <c:layout>
        <c:manualLayout>
          <c:xMode val="edge"/>
          <c:yMode val="edge"/>
          <c:x val="0.2521570418546869"/>
          <c:y val="0.89516059957173422"/>
          <c:w val="0.5173711870702935"/>
          <c:h val="0.10325717850579171"/>
        </c:manualLayout>
      </c:layout>
      <c:overlay val="1"/>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1"/>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areaChart>
        <c:grouping val="stacked"/>
        <c:varyColors val="0"/>
        <c:ser>
          <c:idx val="0"/>
          <c:order val="0"/>
          <c:tx>
            <c:strRef>
              <c:f>'[Диаграмма в Microsoft Word]Sheet5'!$B$1</c:f>
              <c:strCache>
                <c:ptCount val="1"/>
                <c:pt idx="0">
                  <c:v>Импортные (Cross-border)</c:v>
                </c:pt>
              </c:strCache>
            </c:strRef>
          </c:tx>
          <c:spPr>
            <a:ln>
              <a:solidFill>
                <a:schemeClr val="tx1"/>
              </a:solidFill>
            </a:ln>
          </c:spPr>
          <c:cat>
            <c:strRef>
              <c:f>'[Диаграмма в Microsoft Word]Sheet5'!$A$65:$A$79</c:f>
              <c:strCache>
                <c:ptCount val="15"/>
                <c:pt idx="0">
                  <c:v>Q1 2013</c:v>
                </c:pt>
                <c:pt idx="1">
                  <c:v>Q2 2013</c:v>
                </c:pt>
                <c:pt idx="2">
                  <c:v>Q3 2013</c:v>
                </c:pt>
                <c:pt idx="3">
                  <c:v>Q4 2013</c:v>
                </c:pt>
                <c:pt idx="4">
                  <c:v>Q1 2014</c:v>
                </c:pt>
                <c:pt idx="5">
                  <c:v>Q2 2014</c:v>
                </c:pt>
                <c:pt idx="6">
                  <c:v>Q3 2014</c:v>
                </c:pt>
                <c:pt idx="7">
                  <c:v>Q4 2014</c:v>
                </c:pt>
                <c:pt idx="8">
                  <c:v>Q1 2015</c:v>
                </c:pt>
                <c:pt idx="9">
                  <c:v>Q2 2015</c:v>
                </c:pt>
                <c:pt idx="10">
                  <c:v>Q3 2015</c:v>
                </c:pt>
                <c:pt idx="11">
                  <c:v>Q4 2015</c:v>
                </c:pt>
                <c:pt idx="12">
                  <c:v>Q1 2016</c:v>
                </c:pt>
                <c:pt idx="13">
                  <c:v>Q2 2016</c:v>
                </c:pt>
                <c:pt idx="14">
                  <c:v>Q3 2016</c:v>
                </c:pt>
              </c:strCache>
            </c:strRef>
          </c:cat>
          <c:val>
            <c:numRef>
              <c:f>'[Диаграмма в Microsoft Word]Sheet5'!$B$65:$B$79</c:f>
              <c:numCache>
                <c:formatCode>General</c:formatCode>
                <c:ptCount val="15"/>
                <c:pt idx="0">
                  <c:v>3514</c:v>
                </c:pt>
                <c:pt idx="1">
                  <c:v>15551</c:v>
                </c:pt>
                <c:pt idx="2">
                  <c:v>4408</c:v>
                </c:pt>
                <c:pt idx="3">
                  <c:v>7706</c:v>
                </c:pt>
                <c:pt idx="4">
                  <c:v>972</c:v>
                </c:pt>
                <c:pt idx="5">
                  <c:v>2252</c:v>
                </c:pt>
                <c:pt idx="6">
                  <c:v>5780</c:v>
                </c:pt>
                <c:pt idx="7">
                  <c:v>7135</c:v>
                </c:pt>
                <c:pt idx="8">
                  <c:v>371</c:v>
                </c:pt>
                <c:pt idx="9">
                  <c:v>14427</c:v>
                </c:pt>
                <c:pt idx="10">
                  <c:v>8988</c:v>
                </c:pt>
                <c:pt idx="11">
                  <c:v>6792</c:v>
                </c:pt>
                <c:pt idx="12">
                  <c:v>665</c:v>
                </c:pt>
                <c:pt idx="13">
                  <c:v>1021</c:v>
                </c:pt>
                <c:pt idx="14">
                  <c:v>1553</c:v>
                </c:pt>
              </c:numCache>
            </c:numRef>
          </c:val>
          <c:extLst xmlns:c16r2="http://schemas.microsoft.com/office/drawing/2015/06/chart">
            <c:ext xmlns:c16="http://schemas.microsoft.com/office/drawing/2014/chart" uri="{C3380CC4-5D6E-409C-BE32-E72D297353CC}">
              <c16:uniqueId val="{00000000-D0A7-4499-9BEA-EB5F00B508B4}"/>
            </c:ext>
          </c:extLst>
        </c:ser>
        <c:ser>
          <c:idx val="1"/>
          <c:order val="1"/>
          <c:tx>
            <c:strRef>
              <c:f>'[Диаграмма в Microsoft Word]Sheet5'!$C$1</c:f>
              <c:strCache>
                <c:ptCount val="1"/>
                <c:pt idx="0">
                  <c:v>Экспортные (Cross-border)</c:v>
                </c:pt>
              </c:strCache>
            </c:strRef>
          </c:tx>
          <c:cat>
            <c:strRef>
              <c:f>'[Диаграмма в Microsoft Word]Sheet5'!$A$65:$A$79</c:f>
              <c:strCache>
                <c:ptCount val="15"/>
                <c:pt idx="0">
                  <c:v>Q1 2013</c:v>
                </c:pt>
                <c:pt idx="1">
                  <c:v>Q2 2013</c:v>
                </c:pt>
                <c:pt idx="2">
                  <c:v>Q3 2013</c:v>
                </c:pt>
                <c:pt idx="3">
                  <c:v>Q4 2013</c:v>
                </c:pt>
                <c:pt idx="4">
                  <c:v>Q1 2014</c:v>
                </c:pt>
                <c:pt idx="5">
                  <c:v>Q2 2014</c:v>
                </c:pt>
                <c:pt idx="6">
                  <c:v>Q3 2014</c:v>
                </c:pt>
                <c:pt idx="7">
                  <c:v>Q4 2014</c:v>
                </c:pt>
                <c:pt idx="8">
                  <c:v>Q1 2015</c:v>
                </c:pt>
                <c:pt idx="9">
                  <c:v>Q2 2015</c:v>
                </c:pt>
                <c:pt idx="10">
                  <c:v>Q3 2015</c:v>
                </c:pt>
                <c:pt idx="11">
                  <c:v>Q4 2015</c:v>
                </c:pt>
                <c:pt idx="12">
                  <c:v>Q1 2016</c:v>
                </c:pt>
                <c:pt idx="13">
                  <c:v>Q2 2016</c:v>
                </c:pt>
                <c:pt idx="14">
                  <c:v>Q3 2016</c:v>
                </c:pt>
              </c:strCache>
            </c:strRef>
          </c:cat>
          <c:val>
            <c:numRef>
              <c:f>'[Диаграмма в Microsoft Word]Sheet5'!$C$65:$C$79</c:f>
              <c:numCache>
                <c:formatCode>General</c:formatCode>
                <c:ptCount val="15"/>
                <c:pt idx="0">
                  <c:v>1227</c:v>
                </c:pt>
                <c:pt idx="1">
                  <c:v>916</c:v>
                </c:pt>
                <c:pt idx="2">
                  <c:v>4823</c:v>
                </c:pt>
                <c:pt idx="3">
                  <c:v>4599</c:v>
                </c:pt>
                <c:pt idx="4">
                  <c:v>1031</c:v>
                </c:pt>
                <c:pt idx="5">
                  <c:v>1037</c:v>
                </c:pt>
                <c:pt idx="6">
                  <c:v>1125</c:v>
                </c:pt>
                <c:pt idx="7">
                  <c:v>3490</c:v>
                </c:pt>
                <c:pt idx="8">
                  <c:v>1984</c:v>
                </c:pt>
                <c:pt idx="9">
                  <c:v>827</c:v>
                </c:pt>
                <c:pt idx="10">
                  <c:v>544</c:v>
                </c:pt>
                <c:pt idx="11">
                  <c:v>332</c:v>
                </c:pt>
                <c:pt idx="12">
                  <c:v>6352</c:v>
                </c:pt>
                <c:pt idx="13">
                  <c:v>88</c:v>
                </c:pt>
                <c:pt idx="14">
                  <c:v>459</c:v>
                </c:pt>
              </c:numCache>
            </c:numRef>
          </c:val>
          <c:extLst xmlns:c16r2="http://schemas.microsoft.com/office/drawing/2015/06/chart">
            <c:ext xmlns:c16="http://schemas.microsoft.com/office/drawing/2014/chart" uri="{C3380CC4-5D6E-409C-BE32-E72D297353CC}">
              <c16:uniqueId val="{00000001-D0A7-4499-9BEA-EB5F00B508B4}"/>
            </c:ext>
          </c:extLst>
        </c:ser>
        <c:ser>
          <c:idx val="2"/>
          <c:order val="2"/>
          <c:tx>
            <c:strRef>
              <c:f>'[Диаграмма в Microsoft Word]Sheet5'!$D$1</c:f>
              <c:strCache>
                <c:ptCount val="1"/>
                <c:pt idx="0">
                  <c:v>Domestic</c:v>
                </c:pt>
              </c:strCache>
            </c:strRef>
          </c:tx>
          <c:cat>
            <c:strRef>
              <c:f>'[Диаграмма в Microsoft Word]Sheet5'!$A$65:$A$79</c:f>
              <c:strCache>
                <c:ptCount val="15"/>
                <c:pt idx="0">
                  <c:v>Q1 2013</c:v>
                </c:pt>
                <c:pt idx="1">
                  <c:v>Q2 2013</c:v>
                </c:pt>
                <c:pt idx="2">
                  <c:v>Q3 2013</c:v>
                </c:pt>
                <c:pt idx="3">
                  <c:v>Q4 2013</c:v>
                </c:pt>
                <c:pt idx="4">
                  <c:v>Q1 2014</c:v>
                </c:pt>
                <c:pt idx="5">
                  <c:v>Q2 2014</c:v>
                </c:pt>
                <c:pt idx="6">
                  <c:v>Q3 2014</c:v>
                </c:pt>
                <c:pt idx="7">
                  <c:v>Q4 2014</c:v>
                </c:pt>
                <c:pt idx="8">
                  <c:v>Q1 2015</c:v>
                </c:pt>
                <c:pt idx="9">
                  <c:v>Q2 2015</c:v>
                </c:pt>
                <c:pt idx="10">
                  <c:v>Q3 2015</c:v>
                </c:pt>
                <c:pt idx="11">
                  <c:v>Q4 2015</c:v>
                </c:pt>
                <c:pt idx="12">
                  <c:v>Q1 2016</c:v>
                </c:pt>
                <c:pt idx="13">
                  <c:v>Q2 2016</c:v>
                </c:pt>
                <c:pt idx="14">
                  <c:v>Q3 2016</c:v>
                </c:pt>
              </c:strCache>
            </c:strRef>
          </c:cat>
          <c:val>
            <c:numRef>
              <c:f>'[Диаграмма в Microsoft Word]Sheet5'!$D$65:$D$79</c:f>
              <c:numCache>
                <c:formatCode>General</c:formatCode>
                <c:ptCount val="15"/>
                <c:pt idx="0">
                  <c:v>7754</c:v>
                </c:pt>
                <c:pt idx="1">
                  <c:v>9253</c:v>
                </c:pt>
                <c:pt idx="2">
                  <c:v>17211</c:v>
                </c:pt>
                <c:pt idx="3">
                  <c:v>23775</c:v>
                </c:pt>
                <c:pt idx="4">
                  <c:v>9757</c:v>
                </c:pt>
                <c:pt idx="5">
                  <c:v>5730</c:v>
                </c:pt>
                <c:pt idx="6">
                  <c:v>10634</c:v>
                </c:pt>
                <c:pt idx="7">
                  <c:v>10215</c:v>
                </c:pt>
                <c:pt idx="8">
                  <c:v>1723</c:v>
                </c:pt>
                <c:pt idx="9">
                  <c:v>3352</c:v>
                </c:pt>
                <c:pt idx="10">
                  <c:v>9494</c:v>
                </c:pt>
                <c:pt idx="11">
                  <c:v>11571</c:v>
                </c:pt>
                <c:pt idx="12">
                  <c:v>5935</c:v>
                </c:pt>
                <c:pt idx="13">
                  <c:v>5255</c:v>
                </c:pt>
                <c:pt idx="14">
                  <c:v>4906</c:v>
                </c:pt>
              </c:numCache>
            </c:numRef>
          </c:val>
          <c:extLst xmlns:c16r2="http://schemas.microsoft.com/office/drawing/2015/06/chart">
            <c:ext xmlns:c16="http://schemas.microsoft.com/office/drawing/2014/chart" uri="{C3380CC4-5D6E-409C-BE32-E72D297353CC}">
              <c16:uniqueId val="{00000002-D0A7-4499-9BEA-EB5F00B508B4}"/>
            </c:ext>
          </c:extLst>
        </c:ser>
        <c:dLbls>
          <c:showLegendKey val="0"/>
          <c:showVal val="0"/>
          <c:showCatName val="0"/>
          <c:showSerName val="0"/>
          <c:showPercent val="0"/>
          <c:showBubbleSize val="0"/>
        </c:dLbls>
        <c:axId val="223237632"/>
        <c:axId val="263192576"/>
      </c:areaChart>
      <c:catAx>
        <c:axId val="223237632"/>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63192576"/>
        <c:crosses val="autoZero"/>
        <c:auto val="1"/>
        <c:lblAlgn val="ctr"/>
        <c:lblOffset val="100"/>
        <c:noMultiLvlLbl val="0"/>
      </c:catAx>
      <c:valAx>
        <c:axId val="26319257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23237632"/>
        <c:crosses val="autoZero"/>
        <c:crossBetween val="midCat"/>
      </c:valAx>
    </c:plotArea>
    <c:legend>
      <c:legendPos val="b"/>
      <c:layout>
        <c:manualLayout>
          <c:xMode val="edge"/>
          <c:yMode val="edge"/>
          <c:x val="0.10915701760472449"/>
          <c:y val="0.87191746864975239"/>
          <c:w val="0.8008998002113058"/>
          <c:h val="8.3717191601049901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41703576115485"/>
          <c:y val="0.22953312409088358"/>
          <c:w val="0.55637303149606299"/>
          <c:h val="0.53551390583219349"/>
        </c:manualLayout>
      </c:layout>
      <c:lineChart>
        <c:grouping val="standard"/>
        <c:varyColors val="1"/>
        <c:ser>
          <c:idx val="0"/>
          <c:order val="0"/>
          <c:tx>
            <c:strRef>
              <c:f>'[Mergers &amp; Acquisitions (M&amp;A) - United States (1).xlsx]Waves'!$H$76</c:f>
              <c:strCache>
                <c:ptCount val="1"/>
                <c:pt idx="0">
                  <c:v>5 волна (1994-2001)</c:v>
                </c:pt>
              </c:strCache>
            </c:strRef>
          </c:tx>
          <c:marker>
            <c:symbol val="none"/>
          </c:marker>
          <c:val>
            <c:numRef>
              <c:f>'[Mergers &amp; Acquisitions (M&amp;A) - United States (1).xlsx]Waves'!$I$76:$U$76</c:f>
              <c:numCache>
                <c:formatCode>0%</c:formatCode>
                <c:ptCount val="13"/>
                <c:pt idx="0">
                  <c:v>0</c:v>
                </c:pt>
                <c:pt idx="1">
                  <c:v>0</c:v>
                </c:pt>
                <c:pt idx="2">
                  <c:v>0</c:v>
                </c:pt>
                <c:pt idx="3">
                  <c:v>4.2328042328042333E-2</c:v>
                </c:pt>
                <c:pt idx="4">
                  <c:v>9.589947089947097E-2</c:v>
                </c:pt>
                <c:pt idx="5">
                  <c:v>8.5317460317460361E-2</c:v>
                </c:pt>
                <c:pt idx="6">
                  <c:v>6.4153439153439198E-2</c:v>
                </c:pt>
                <c:pt idx="7">
                  <c:v>5.1587301587301577E-2</c:v>
                </c:pt>
                <c:pt idx="8">
                  <c:v>0.12103174603174607</c:v>
                </c:pt>
                <c:pt idx="9">
                  <c:v>0.27645502645502634</c:v>
                </c:pt>
                <c:pt idx="10">
                  <c:v>0.26322751322751331</c:v>
                </c:pt>
                <c:pt idx="11">
                  <c:v>0</c:v>
                </c:pt>
                <c:pt idx="12">
                  <c:v>0</c:v>
                </c:pt>
              </c:numCache>
            </c:numRef>
          </c:val>
          <c:smooth val="0"/>
          <c:extLst xmlns:c16r2="http://schemas.microsoft.com/office/drawing/2015/06/chart">
            <c:ext xmlns:c16="http://schemas.microsoft.com/office/drawing/2014/chart" uri="{C3380CC4-5D6E-409C-BE32-E72D297353CC}">
              <c16:uniqueId val="{00000000-32A7-4C8D-AA3B-FA18D8FF7698}"/>
            </c:ext>
          </c:extLst>
        </c:ser>
        <c:ser>
          <c:idx val="1"/>
          <c:order val="1"/>
          <c:tx>
            <c:strRef>
              <c:f>'[Mergers &amp; Acquisitions (M&amp;A) - United States (1).xlsx]Waves'!$H$77</c:f>
              <c:strCache>
                <c:ptCount val="1"/>
                <c:pt idx="0">
                  <c:v>6 волна(2003-2009)</c:v>
                </c:pt>
              </c:strCache>
            </c:strRef>
          </c:tx>
          <c:marker>
            <c:symbol val="none"/>
          </c:marker>
          <c:val>
            <c:numRef>
              <c:f>'[Mergers &amp; Acquisitions (M&amp;A) - United States (1).xlsx]Waves'!$I$77:$U$77</c:f>
              <c:numCache>
                <c:formatCode>0%</c:formatCode>
                <c:ptCount val="13"/>
                <c:pt idx="0">
                  <c:v>0</c:v>
                </c:pt>
                <c:pt idx="1">
                  <c:v>0</c:v>
                </c:pt>
                <c:pt idx="2">
                  <c:v>0</c:v>
                </c:pt>
                <c:pt idx="3">
                  <c:v>6.1175880656888545E-2</c:v>
                </c:pt>
                <c:pt idx="4">
                  <c:v>4.9893443650495195E-2</c:v>
                </c:pt>
                <c:pt idx="5">
                  <c:v>5.8668672433245583E-2</c:v>
                </c:pt>
                <c:pt idx="6">
                  <c:v>8.1985708913125219E-2</c:v>
                </c:pt>
                <c:pt idx="7">
                  <c:v>0.12109815720195564</c:v>
                </c:pt>
                <c:pt idx="8">
                  <c:v>0.21536918641093153</c:v>
                </c:pt>
                <c:pt idx="9">
                  <c:v>0.41180895073335838</c:v>
                </c:pt>
                <c:pt idx="10">
                  <c:v>0</c:v>
                </c:pt>
                <c:pt idx="11">
                  <c:v>0</c:v>
                </c:pt>
                <c:pt idx="12">
                  <c:v>0</c:v>
                </c:pt>
              </c:numCache>
            </c:numRef>
          </c:val>
          <c:smooth val="0"/>
          <c:extLst xmlns:c16r2="http://schemas.microsoft.com/office/drawing/2015/06/chart">
            <c:ext xmlns:c16="http://schemas.microsoft.com/office/drawing/2014/chart" uri="{C3380CC4-5D6E-409C-BE32-E72D297353CC}">
              <c16:uniqueId val="{00000001-32A7-4C8D-AA3B-FA18D8FF7698}"/>
            </c:ext>
          </c:extLst>
        </c:ser>
        <c:ser>
          <c:idx val="2"/>
          <c:order val="2"/>
          <c:tx>
            <c:strRef>
              <c:f>'[Mergers &amp; Acquisitions (M&amp;A) - United States (1).xlsx]Waves'!$H$78</c:f>
              <c:strCache>
                <c:ptCount val="1"/>
                <c:pt idx="0">
                  <c:v>7 волна (2012-...)</c:v>
                </c:pt>
              </c:strCache>
            </c:strRef>
          </c:tx>
          <c:marker>
            <c:symbol val="none"/>
          </c:marker>
          <c:val>
            <c:numRef>
              <c:f>'[Mergers &amp; Acquisitions (M&amp;A) - United States (1).xlsx]Waves'!$I$78:$U$78</c:f>
              <c:numCache>
                <c:formatCode>0%</c:formatCode>
                <c:ptCount val="13"/>
                <c:pt idx="0">
                  <c:v>0</c:v>
                </c:pt>
                <c:pt idx="1">
                  <c:v>0</c:v>
                </c:pt>
                <c:pt idx="2">
                  <c:v>0</c:v>
                </c:pt>
                <c:pt idx="3">
                  <c:v>0</c:v>
                </c:pt>
                <c:pt idx="4">
                  <c:v>0</c:v>
                </c:pt>
                <c:pt idx="5">
                  <c:v>0.30542822677925241</c:v>
                </c:pt>
                <c:pt idx="6">
                  <c:v>0.24378769601930045</c:v>
                </c:pt>
                <c:pt idx="7">
                  <c:v>0.23124246079613997</c:v>
                </c:pt>
                <c:pt idx="8">
                  <c:v>0.21954161640530767</c:v>
                </c:pt>
                <c:pt idx="9">
                  <c:v>0</c:v>
                </c:pt>
                <c:pt idx="10">
                  <c:v>0</c:v>
                </c:pt>
                <c:pt idx="11">
                  <c:v>0</c:v>
                </c:pt>
                <c:pt idx="12">
                  <c:v>0</c:v>
                </c:pt>
              </c:numCache>
            </c:numRef>
          </c:val>
          <c:smooth val="0"/>
          <c:extLst xmlns:c16r2="http://schemas.microsoft.com/office/drawing/2015/06/chart">
            <c:ext xmlns:c16="http://schemas.microsoft.com/office/drawing/2014/chart" uri="{C3380CC4-5D6E-409C-BE32-E72D297353CC}">
              <c16:uniqueId val="{00000002-32A7-4C8D-AA3B-FA18D8FF7698}"/>
            </c:ext>
          </c:extLst>
        </c:ser>
        <c:dLbls>
          <c:showLegendKey val="0"/>
          <c:showVal val="0"/>
          <c:showCatName val="0"/>
          <c:showSerName val="0"/>
          <c:showPercent val="0"/>
          <c:showBubbleSize val="0"/>
        </c:dLbls>
        <c:marker val="1"/>
        <c:smooth val="0"/>
        <c:axId val="223239168"/>
        <c:axId val="263195456"/>
      </c:lineChart>
      <c:catAx>
        <c:axId val="223239168"/>
        <c:scaling>
          <c:orientation val="minMax"/>
        </c:scaling>
        <c:delete val="0"/>
        <c:axPos val="b"/>
        <c:majorTickMark val="cross"/>
        <c:minorTickMark val="cross"/>
        <c:tickLblPos val="nextTo"/>
        <c:crossAx val="263195456"/>
        <c:crosses val="autoZero"/>
        <c:auto val="1"/>
        <c:lblAlgn val="ctr"/>
        <c:lblOffset val="100"/>
        <c:noMultiLvlLbl val="1"/>
      </c:catAx>
      <c:valAx>
        <c:axId val="263195456"/>
        <c:scaling>
          <c:orientation val="minMax"/>
        </c:scaling>
        <c:delete val="0"/>
        <c:axPos val="l"/>
        <c:majorGridlines/>
        <c:numFmt formatCode="0%" sourceLinked="1"/>
        <c:majorTickMark val="cross"/>
        <c:minorTickMark val="cross"/>
        <c:tickLblPos val="nextTo"/>
        <c:crossAx val="223239168"/>
        <c:crosses val="autoZero"/>
        <c:crossBetween val="between"/>
      </c:valAx>
    </c:plotArea>
    <c:legend>
      <c:legendPos val="r"/>
      <c:layout>
        <c:manualLayout>
          <c:xMode val="edge"/>
          <c:yMode val="edge"/>
          <c:x val="0.68576724865864758"/>
          <c:y val="0.2595707739442924"/>
          <c:w val="0.29858500872330851"/>
          <c:h val="0.39995317486722609"/>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1"/>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050" b="0" i="0" baseline="0">
                <a:effectLst/>
              </a:rPr>
              <a:t>Корреляция капитализации фондового рынка (Х) и кол-ва сделок (У)</a:t>
            </a:r>
            <a:endParaRPr lang="ru-RU" sz="1050">
              <a:effectLst/>
            </a:endParaRPr>
          </a:p>
        </c:rich>
      </c:tx>
      <c:overlay val="0"/>
    </c:title>
    <c:autoTitleDeleted val="0"/>
    <c:plotArea>
      <c:layout/>
      <c:scatterChart>
        <c:scatterStyle val="lineMarker"/>
        <c:varyColors val="0"/>
        <c:ser>
          <c:idx val="0"/>
          <c:order val="0"/>
          <c:spPr>
            <a:ln w="28575">
              <a:noFill/>
            </a:ln>
          </c:spPr>
          <c:trendline>
            <c:trendlineType val="power"/>
            <c:dispRSqr val="1"/>
            <c:dispEq val="1"/>
            <c:trendlineLbl>
              <c:layout>
                <c:manualLayout>
                  <c:x val="0.30416563061196289"/>
                  <c:y val="0.25351427267595611"/>
                </c:manualLayout>
              </c:layout>
              <c:numFmt formatCode="General" sourceLinked="0"/>
            </c:trendlineLbl>
          </c:trendline>
          <c:xVal>
            <c:numRef>
              <c:f>Лист2!$I$4:$AB$4</c:f>
              <c:numCache>
                <c:formatCode>General</c:formatCode>
                <c:ptCount val="20"/>
                <c:pt idx="0">
                  <c:v>37</c:v>
                </c:pt>
                <c:pt idx="1">
                  <c:v>40</c:v>
                </c:pt>
                <c:pt idx="2">
                  <c:v>40</c:v>
                </c:pt>
                <c:pt idx="3">
                  <c:v>72</c:v>
                </c:pt>
                <c:pt idx="4">
                  <c:v>38</c:v>
                </c:pt>
                <c:pt idx="5">
                  <c:v>76</c:v>
                </c:pt>
                <c:pt idx="6">
                  <c:v>124</c:v>
                </c:pt>
                <c:pt idx="7">
                  <c:v>230.8</c:v>
                </c:pt>
                <c:pt idx="8">
                  <c:v>268</c:v>
                </c:pt>
                <c:pt idx="9">
                  <c:v>548.6</c:v>
                </c:pt>
                <c:pt idx="10">
                  <c:v>1057.2</c:v>
                </c:pt>
                <c:pt idx="11">
                  <c:v>1503</c:v>
                </c:pt>
                <c:pt idx="12">
                  <c:v>1321</c:v>
                </c:pt>
                <c:pt idx="13">
                  <c:v>861</c:v>
                </c:pt>
                <c:pt idx="14">
                  <c:v>1004</c:v>
                </c:pt>
                <c:pt idx="15">
                  <c:v>796</c:v>
                </c:pt>
                <c:pt idx="16">
                  <c:v>770.65699999999981</c:v>
                </c:pt>
                <c:pt idx="17">
                  <c:v>385.92599999999987</c:v>
                </c:pt>
                <c:pt idx="18">
                  <c:v>393.24</c:v>
                </c:pt>
                <c:pt idx="19">
                  <c:v>622.05199999999979</c:v>
                </c:pt>
              </c:numCache>
            </c:numRef>
          </c:xVal>
          <c:yVal>
            <c:numRef>
              <c:f>Лист2!$I$8:$AB$8</c:f>
              <c:numCache>
                <c:formatCode>General</c:formatCode>
                <c:ptCount val="20"/>
                <c:pt idx="0">
                  <c:v>97</c:v>
                </c:pt>
                <c:pt idx="1">
                  <c:v>78</c:v>
                </c:pt>
                <c:pt idx="2">
                  <c:v>183</c:v>
                </c:pt>
                <c:pt idx="3">
                  <c:v>418</c:v>
                </c:pt>
                <c:pt idx="4">
                  <c:v>398</c:v>
                </c:pt>
                <c:pt idx="5">
                  <c:v>400</c:v>
                </c:pt>
                <c:pt idx="6">
                  <c:v>488</c:v>
                </c:pt>
                <c:pt idx="7">
                  <c:v>398</c:v>
                </c:pt>
                <c:pt idx="8">
                  <c:v>468</c:v>
                </c:pt>
                <c:pt idx="9">
                  <c:v>654</c:v>
                </c:pt>
                <c:pt idx="10">
                  <c:v>966</c:v>
                </c:pt>
                <c:pt idx="11" formatCode="#,##0">
                  <c:v>1718</c:v>
                </c:pt>
                <c:pt idx="12" formatCode="#,##0">
                  <c:v>3285</c:v>
                </c:pt>
                <c:pt idx="13" formatCode="#,##0">
                  <c:v>3684</c:v>
                </c:pt>
                <c:pt idx="14" formatCode="#,##0">
                  <c:v>3211</c:v>
                </c:pt>
                <c:pt idx="15" formatCode="#,##0">
                  <c:v>2532</c:v>
                </c:pt>
                <c:pt idx="16" formatCode="#,##0">
                  <c:v>2021</c:v>
                </c:pt>
                <c:pt idx="17" formatCode="#,##0">
                  <c:v>1917</c:v>
                </c:pt>
                <c:pt idx="18" formatCode="#,##0">
                  <c:v>1820</c:v>
                </c:pt>
                <c:pt idx="19" formatCode="#,##0">
                  <c:v>1847</c:v>
                </c:pt>
              </c:numCache>
            </c:numRef>
          </c:yVal>
          <c:smooth val="0"/>
          <c:extLst xmlns:c16r2="http://schemas.microsoft.com/office/drawing/2015/06/chart">
            <c:ext xmlns:c16="http://schemas.microsoft.com/office/drawing/2014/chart" uri="{C3380CC4-5D6E-409C-BE32-E72D297353CC}">
              <c16:uniqueId val="{00000001-545A-462C-AF65-A3F5CAA2FD8C}"/>
            </c:ext>
          </c:extLst>
        </c:ser>
        <c:dLbls>
          <c:showLegendKey val="0"/>
          <c:showVal val="0"/>
          <c:showCatName val="0"/>
          <c:showSerName val="0"/>
          <c:showPercent val="0"/>
          <c:showBubbleSize val="0"/>
        </c:dLbls>
        <c:axId val="263196608"/>
        <c:axId val="263197184"/>
      </c:scatterChart>
      <c:valAx>
        <c:axId val="263196608"/>
        <c:scaling>
          <c:orientation val="minMax"/>
        </c:scaling>
        <c:delete val="0"/>
        <c:axPos val="b"/>
        <c:numFmt formatCode="General" sourceLinked="1"/>
        <c:majorTickMark val="none"/>
        <c:minorTickMark val="none"/>
        <c:tickLblPos val="nextTo"/>
        <c:crossAx val="263197184"/>
        <c:crosses val="autoZero"/>
        <c:crossBetween val="midCat"/>
      </c:valAx>
      <c:valAx>
        <c:axId val="263197184"/>
        <c:scaling>
          <c:orientation val="minMax"/>
        </c:scaling>
        <c:delete val="0"/>
        <c:axPos val="l"/>
        <c:majorGridlines/>
        <c:numFmt formatCode="General" sourceLinked="1"/>
        <c:majorTickMark val="none"/>
        <c:minorTickMark val="none"/>
        <c:tickLblPos val="nextTo"/>
        <c:crossAx val="26319660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20905494164193"/>
          <c:y val="5.1329911339244048E-2"/>
          <c:w val="0.76128426573303165"/>
          <c:h val="0.61313560723248373"/>
        </c:manualLayout>
      </c:layout>
      <c:barChart>
        <c:barDir val="col"/>
        <c:grouping val="clustered"/>
        <c:varyColors val="1"/>
        <c:ser>
          <c:idx val="0"/>
          <c:order val="0"/>
          <c:tx>
            <c:strRef>
              <c:f>'[Crossborder Mergers &amp; Acquisitions (M&amp;A).xlsx]Number &amp; Value'!$B$1</c:f>
              <c:strCache>
                <c:ptCount val="1"/>
                <c:pt idx="0">
                  <c:v>Кол-во</c:v>
                </c:pt>
              </c:strCache>
            </c:strRef>
          </c:tx>
          <c:invertIfNegative val="1"/>
          <c:cat>
            <c:strRef>
              <c:f>'[Crossborder Mergers &amp; Acquisitions (M&amp;A).xlsx]Number &amp; Value'!$A$29:$A$36</c:f>
              <c:strCache>
                <c:ptCount val="8"/>
                <c:pt idx="0">
                  <c:v>2011</c:v>
                </c:pt>
                <c:pt idx="1">
                  <c:v>2012</c:v>
                </c:pt>
                <c:pt idx="2">
                  <c:v>2013</c:v>
                </c:pt>
                <c:pt idx="3">
                  <c:v>2014</c:v>
                </c:pt>
                <c:pt idx="4">
                  <c:v>2015</c:v>
                </c:pt>
                <c:pt idx="5">
                  <c:v>2016</c:v>
                </c:pt>
                <c:pt idx="6">
                  <c:v>2017 (Dec. 05)</c:v>
                </c:pt>
                <c:pt idx="7">
                  <c:v>2017 Forecast</c:v>
                </c:pt>
              </c:strCache>
            </c:strRef>
          </c:cat>
          <c:val>
            <c:numRef>
              <c:f>'[Crossborder Mergers &amp; Acquisitions (M&amp;A).xlsx]Number &amp; Value'!$B$29:$B$36</c:f>
              <c:numCache>
                <c:formatCode>#,##0</c:formatCode>
                <c:ptCount val="8"/>
                <c:pt idx="0">
                  <c:v>12900</c:v>
                </c:pt>
                <c:pt idx="1">
                  <c:v>12005</c:v>
                </c:pt>
                <c:pt idx="2">
                  <c:v>10693</c:v>
                </c:pt>
                <c:pt idx="3">
                  <c:v>12224</c:v>
                </c:pt>
                <c:pt idx="4">
                  <c:v>13242</c:v>
                </c:pt>
                <c:pt idx="5">
                  <c:v>13973</c:v>
                </c:pt>
                <c:pt idx="6">
                  <c:v>12216</c:v>
                </c:pt>
                <c:pt idx="7">
                  <c:v>13114</c:v>
                </c:pt>
              </c:numCache>
            </c:numRef>
          </c:val>
          <c:extLst xmlns:c16r2="http://schemas.microsoft.com/office/drawing/2015/06/chart">
            <c:ext xmlns:c16="http://schemas.microsoft.com/office/drawing/2014/chart" uri="{C3380CC4-5D6E-409C-BE32-E72D297353CC}">
              <c16:uniqueId val="{00000000-3114-4667-A550-7BB3F8BBC23B}"/>
            </c:ext>
          </c:extLst>
        </c:ser>
        <c:dLbls>
          <c:showLegendKey val="0"/>
          <c:showVal val="0"/>
          <c:showCatName val="0"/>
          <c:showSerName val="0"/>
          <c:showPercent val="0"/>
          <c:showBubbleSize val="0"/>
        </c:dLbls>
        <c:gapWidth val="150"/>
        <c:axId val="216464384"/>
        <c:axId val="262284992"/>
      </c:barChart>
      <c:lineChart>
        <c:grouping val="standard"/>
        <c:varyColors val="0"/>
        <c:ser>
          <c:idx val="1"/>
          <c:order val="1"/>
          <c:tx>
            <c:strRef>
              <c:f>'[Crossborder Mergers &amp; Acquisitions (M&amp;A).xlsx]Number &amp; Value'!$C$1:$F$1</c:f>
              <c:strCache>
                <c:ptCount val="1"/>
                <c:pt idx="0">
                  <c:v>Стоимость</c:v>
                </c:pt>
              </c:strCache>
            </c:strRef>
          </c:tx>
          <c:marker>
            <c:symbol val="none"/>
          </c:marker>
          <c:cat>
            <c:strRef>
              <c:f>'[Crossborder Mergers &amp; Acquisitions (M&amp;A).xlsx]Number &amp; Value'!$A$29:$A$36</c:f>
              <c:strCache>
                <c:ptCount val="8"/>
                <c:pt idx="0">
                  <c:v>2011</c:v>
                </c:pt>
                <c:pt idx="1">
                  <c:v>2012</c:v>
                </c:pt>
                <c:pt idx="2">
                  <c:v>2013</c:v>
                </c:pt>
                <c:pt idx="3">
                  <c:v>2014</c:v>
                </c:pt>
                <c:pt idx="4">
                  <c:v>2015</c:v>
                </c:pt>
                <c:pt idx="5">
                  <c:v>2016</c:v>
                </c:pt>
                <c:pt idx="6">
                  <c:v>2017 (Dec. 05)</c:v>
                </c:pt>
                <c:pt idx="7">
                  <c:v>2017 Forecast</c:v>
                </c:pt>
              </c:strCache>
            </c:strRef>
          </c:cat>
          <c:val>
            <c:numRef>
              <c:f>'[Crossborder Mergers &amp; Acquisitions (M&amp;A).xlsx]Number &amp; Value'!$C$29:$C$36</c:f>
              <c:numCache>
                <c:formatCode>0</c:formatCode>
                <c:ptCount val="8"/>
                <c:pt idx="0">
                  <c:v>942.36001999999962</c:v>
                </c:pt>
                <c:pt idx="1">
                  <c:v>986.29220999999973</c:v>
                </c:pt>
                <c:pt idx="2">
                  <c:v>782.54070999999999</c:v>
                </c:pt>
                <c:pt idx="3">
                  <c:v>1466.8158000000001</c:v>
                </c:pt>
                <c:pt idx="4">
                  <c:v>1736.8338999999999</c:v>
                </c:pt>
                <c:pt idx="5">
                  <c:v>1385.4849999999999</c:v>
                </c:pt>
                <c:pt idx="6">
                  <c:v>1190.2243999999998</c:v>
                </c:pt>
                <c:pt idx="7" formatCode="General">
                  <c:v>1277.7409</c:v>
                </c:pt>
              </c:numCache>
            </c:numRef>
          </c:val>
          <c:smooth val="0"/>
          <c:extLst xmlns:c16r2="http://schemas.microsoft.com/office/drawing/2015/06/chart">
            <c:ext xmlns:c16="http://schemas.microsoft.com/office/drawing/2014/chart" uri="{C3380CC4-5D6E-409C-BE32-E72D297353CC}">
              <c16:uniqueId val="{00000001-3114-4667-A550-7BB3F8BBC23B}"/>
            </c:ext>
          </c:extLst>
        </c:ser>
        <c:dLbls>
          <c:showLegendKey val="0"/>
          <c:showVal val="0"/>
          <c:showCatName val="0"/>
          <c:showSerName val="0"/>
          <c:showPercent val="0"/>
          <c:showBubbleSize val="0"/>
        </c:dLbls>
        <c:marker val="1"/>
        <c:smooth val="0"/>
        <c:axId val="306984960"/>
        <c:axId val="262285568"/>
      </c:lineChart>
      <c:catAx>
        <c:axId val="216464384"/>
        <c:scaling>
          <c:orientation val="minMax"/>
        </c:scaling>
        <c:delete val="0"/>
        <c:axPos val="b"/>
        <c:title>
          <c:tx>
            <c:rich>
              <a:bodyPr/>
              <a:lstStyle/>
              <a:p>
                <a:pPr>
                  <a:defRPr/>
                </a:pPr>
                <a:endParaRPr lang="ru-RU"/>
              </a:p>
            </c:rich>
          </c:tx>
          <c:overlay val="0"/>
        </c:title>
        <c:numFmt formatCode="General" sourceLinked="0"/>
        <c:majorTickMark val="cross"/>
        <c:minorTickMark val="cross"/>
        <c:tickLblPos val="nextTo"/>
        <c:txPr>
          <a:bodyPr rot="-5400000"/>
          <a:lstStyle/>
          <a:p>
            <a:pPr>
              <a:defRPr sz="900">
                <a:latin typeface="Times New Roman" panose="02020603050405020304" pitchFamily="18" charset="0"/>
                <a:cs typeface="Times New Roman" panose="02020603050405020304" pitchFamily="18" charset="0"/>
              </a:defRPr>
            </a:pPr>
            <a:endParaRPr lang="ru-RU"/>
          </a:p>
        </c:txPr>
        <c:crossAx val="262284992"/>
        <c:crosses val="autoZero"/>
        <c:auto val="1"/>
        <c:lblAlgn val="ctr"/>
        <c:lblOffset val="100"/>
        <c:noMultiLvlLbl val="1"/>
      </c:catAx>
      <c:valAx>
        <c:axId val="262284992"/>
        <c:scaling>
          <c:orientation val="minMax"/>
        </c:scaling>
        <c:delete val="0"/>
        <c:axPos val="l"/>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Количество сделок</a:t>
                </a:r>
                <a:endParaRPr lang="en-US">
                  <a:latin typeface="Times New Roman" panose="02020603050405020304" pitchFamily="18" charset="0"/>
                  <a:cs typeface="Times New Roman" panose="02020603050405020304" pitchFamily="18" charset="0"/>
                </a:endParaRPr>
              </a:p>
            </c:rich>
          </c:tx>
          <c:overlay val="0"/>
        </c:title>
        <c:numFmt formatCode="#,##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16464384"/>
        <c:crosses val="autoZero"/>
        <c:crossBetween val="between"/>
      </c:valAx>
      <c:catAx>
        <c:axId val="306984960"/>
        <c:scaling>
          <c:orientation val="minMax"/>
        </c:scaling>
        <c:delete val="1"/>
        <c:axPos val="b"/>
        <c:numFmt formatCode="General" sourceLinked="1"/>
        <c:majorTickMark val="cross"/>
        <c:minorTickMark val="cross"/>
        <c:tickLblPos val="none"/>
        <c:crossAx val="262285568"/>
        <c:crosses val="autoZero"/>
        <c:auto val="1"/>
        <c:lblAlgn val="ctr"/>
        <c:lblOffset val="100"/>
        <c:noMultiLvlLbl val="1"/>
      </c:catAx>
      <c:valAx>
        <c:axId val="262285568"/>
        <c:scaling>
          <c:orientation val="minMax"/>
        </c:scaling>
        <c:delete val="0"/>
        <c:axPos val="r"/>
        <c:majorGridlines/>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Стоимость </a:t>
                </a:r>
                <a:r>
                  <a:rPr lang="en-US">
                    <a:latin typeface="Times New Roman" panose="02020603050405020304" pitchFamily="18" charset="0"/>
                    <a:cs typeface="Times New Roman" panose="02020603050405020304" pitchFamily="18" charset="0"/>
                  </a:rPr>
                  <a:t>(</a:t>
                </a:r>
                <a:r>
                  <a:rPr lang="ru-RU">
                    <a:latin typeface="Times New Roman" panose="02020603050405020304" pitchFamily="18" charset="0"/>
                    <a:cs typeface="Times New Roman" panose="02020603050405020304" pitchFamily="18" charset="0"/>
                  </a:rPr>
                  <a:t>млрд. </a:t>
                </a:r>
                <a:r>
                  <a:rPr lang="en-US">
                    <a:latin typeface="Times New Roman" panose="02020603050405020304" pitchFamily="18" charset="0"/>
                    <a:cs typeface="Times New Roman" panose="02020603050405020304" pitchFamily="18" charset="0"/>
                  </a:rPr>
                  <a:t>$)</a:t>
                </a:r>
              </a:p>
            </c:rich>
          </c:tx>
          <c:overlay val="0"/>
        </c:title>
        <c:numFmt formatCode="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306984960"/>
        <c:crosses val="max"/>
        <c:crossBetween val="between"/>
      </c:valAx>
    </c:plotArea>
    <c:legend>
      <c:legendPos val="tr"/>
      <c:layout>
        <c:manualLayout>
          <c:xMode val="edge"/>
          <c:yMode val="edge"/>
          <c:x val="0.29528228924980693"/>
          <c:y val="0.8422646850672324"/>
          <c:w val="0.32266047950502724"/>
          <c:h val="0.12292291489041575"/>
        </c:manualLayout>
      </c:layout>
      <c:overlay val="1"/>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1"/>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100" b="0" i="0" baseline="0">
                <a:effectLst/>
              </a:rPr>
              <a:t>Корреляция капитализации фондового рынка (Х) и стоимости сделок (У)</a:t>
            </a:r>
            <a:endParaRPr lang="ru-RU" sz="1100">
              <a:effectLst/>
            </a:endParaRPr>
          </a:p>
        </c:rich>
      </c:tx>
      <c:overlay val="0"/>
    </c:title>
    <c:autoTitleDeleted val="0"/>
    <c:plotArea>
      <c:layout/>
      <c:scatterChart>
        <c:scatterStyle val="lineMarker"/>
        <c:varyColors val="0"/>
        <c:ser>
          <c:idx val="0"/>
          <c:order val="0"/>
          <c:spPr>
            <a:ln w="28575">
              <a:noFill/>
            </a:ln>
          </c:spPr>
          <c:trendline>
            <c:trendlineType val="power"/>
            <c:dispRSqr val="1"/>
            <c:dispEq val="1"/>
            <c:trendlineLbl>
              <c:layout>
                <c:manualLayout>
                  <c:x val="0.24859129065674987"/>
                  <c:y val="-0.12189265249840336"/>
                </c:manualLayout>
              </c:layout>
              <c:numFmt formatCode="General" sourceLinked="0"/>
            </c:trendlineLbl>
          </c:trendline>
          <c:xVal>
            <c:numRef>
              <c:f>Лист2!$I$4:$AB$4</c:f>
              <c:numCache>
                <c:formatCode>General</c:formatCode>
                <c:ptCount val="20"/>
                <c:pt idx="0">
                  <c:v>37</c:v>
                </c:pt>
                <c:pt idx="1">
                  <c:v>40</c:v>
                </c:pt>
                <c:pt idx="2">
                  <c:v>40</c:v>
                </c:pt>
                <c:pt idx="3">
                  <c:v>72</c:v>
                </c:pt>
                <c:pt idx="4">
                  <c:v>38</c:v>
                </c:pt>
                <c:pt idx="5">
                  <c:v>76</c:v>
                </c:pt>
                <c:pt idx="6">
                  <c:v>124</c:v>
                </c:pt>
                <c:pt idx="7">
                  <c:v>230.8</c:v>
                </c:pt>
                <c:pt idx="8">
                  <c:v>268</c:v>
                </c:pt>
                <c:pt idx="9">
                  <c:v>548.6</c:v>
                </c:pt>
                <c:pt idx="10">
                  <c:v>1057.2</c:v>
                </c:pt>
                <c:pt idx="11">
                  <c:v>1503</c:v>
                </c:pt>
                <c:pt idx="12">
                  <c:v>1321</c:v>
                </c:pt>
                <c:pt idx="13">
                  <c:v>861</c:v>
                </c:pt>
                <c:pt idx="14">
                  <c:v>1004</c:v>
                </c:pt>
                <c:pt idx="15">
                  <c:v>796</c:v>
                </c:pt>
                <c:pt idx="16">
                  <c:v>770.65699999999981</c:v>
                </c:pt>
                <c:pt idx="17">
                  <c:v>385.92599999999987</c:v>
                </c:pt>
                <c:pt idx="18">
                  <c:v>393.24</c:v>
                </c:pt>
                <c:pt idx="19">
                  <c:v>622.05199999999979</c:v>
                </c:pt>
              </c:numCache>
            </c:numRef>
          </c:xVal>
          <c:yVal>
            <c:numRef>
              <c:f>Лист2!$I$12:$AB$12</c:f>
              <c:numCache>
                <c:formatCode>0.0</c:formatCode>
                <c:ptCount val="20"/>
                <c:pt idx="0">
                  <c:v>4.7194599999999998</c:v>
                </c:pt>
                <c:pt idx="1">
                  <c:v>7.1848599999999978</c:v>
                </c:pt>
                <c:pt idx="2">
                  <c:v>2.2541300000000009</c:v>
                </c:pt>
                <c:pt idx="3">
                  <c:v>4.854499999999998</c:v>
                </c:pt>
                <c:pt idx="4">
                  <c:v>3.3714699999999986</c:v>
                </c:pt>
                <c:pt idx="5">
                  <c:v>8.7813599999999994</c:v>
                </c:pt>
                <c:pt idx="6">
                  <c:v>34.961020000000005</c:v>
                </c:pt>
                <c:pt idx="7">
                  <c:v>25.181529999999988</c:v>
                </c:pt>
                <c:pt idx="8">
                  <c:v>63.45514</c:v>
                </c:pt>
                <c:pt idx="9">
                  <c:v>52.018930000000012</c:v>
                </c:pt>
                <c:pt idx="10">
                  <c:v>158.80123000000006</c:v>
                </c:pt>
                <c:pt idx="11">
                  <c:v>81.801109999999994</c:v>
                </c:pt>
                <c:pt idx="12">
                  <c:v>35.953320000000005</c:v>
                </c:pt>
                <c:pt idx="13">
                  <c:v>108.87851000000001</c:v>
                </c:pt>
                <c:pt idx="14">
                  <c:v>87.732010000000002</c:v>
                </c:pt>
                <c:pt idx="15">
                  <c:v>114.95502999999999</c:v>
                </c:pt>
                <c:pt idx="16">
                  <c:v>67.128639999999976</c:v>
                </c:pt>
                <c:pt idx="17">
                  <c:v>18.270849999999992</c:v>
                </c:pt>
                <c:pt idx="18">
                  <c:v>26.56438</c:v>
                </c:pt>
                <c:pt idx="19">
                  <c:v>40.216670000000001</c:v>
                </c:pt>
              </c:numCache>
            </c:numRef>
          </c:yVal>
          <c:smooth val="0"/>
          <c:extLst xmlns:c16r2="http://schemas.microsoft.com/office/drawing/2015/06/chart">
            <c:ext xmlns:c16="http://schemas.microsoft.com/office/drawing/2014/chart" uri="{C3380CC4-5D6E-409C-BE32-E72D297353CC}">
              <c16:uniqueId val="{00000001-B89E-42A6-A0CC-38B5574B656A}"/>
            </c:ext>
          </c:extLst>
        </c:ser>
        <c:dLbls>
          <c:showLegendKey val="0"/>
          <c:showVal val="0"/>
          <c:showCatName val="0"/>
          <c:showSerName val="0"/>
          <c:showPercent val="0"/>
          <c:showBubbleSize val="0"/>
        </c:dLbls>
        <c:axId val="263198336"/>
        <c:axId val="263198912"/>
      </c:scatterChart>
      <c:valAx>
        <c:axId val="263198336"/>
        <c:scaling>
          <c:orientation val="minMax"/>
        </c:scaling>
        <c:delete val="0"/>
        <c:axPos val="b"/>
        <c:numFmt formatCode="General" sourceLinked="1"/>
        <c:majorTickMark val="none"/>
        <c:minorTickMark val="none"/>
        <c:tickLblPos val="nextTo"/>
        <c:crossAx val="263198912"/>
        <c:crosses val="autoZero"/>
        <c:crossBetween val="midCat"/>
      </c:valAx>
      <c:valAx>
        <c:axId val="263198912"/>
        <c:scaling>
          <c:orientation val="minMax"/>
        </c:scaling>
        <c:delete val="0"/>
        <c:axPos val="l"/>
        <c:majorGridlines/>
        <c:numFmt formatCode="0.0" sourceLinked="1"/>
        <c:majorTickMark val="none"/>
        <c:minorTickMark val="none"/>
        <c:tickLblPos val="nextTo"/>
        <c:crossAx val="263198336"/>
        <c:crosses val="autoZero"/>
        <c:crossBetween val="midCat"/>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Лист2!$B$1</c:f>
              <c:strCache>
                <c:ptCount val="1"/>
                <c:pt idx="0">
                  <c:v>Капитализация фондового рынка (млрд. $)</c:v>
                </c:pt>
              </c:strCache>
            </c:strRef>
          </c:tx>
          <c:marker>
            <c:symbol val="none"/>
          </c:marker>
          <c:cat>
            <c:numRef>
              <c:f>Лист2!$D$2:$AB$2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Лист2!$B$5:$Z$5</c:f>
              <c:numCache>
                <c:formatCode>General</c:formatCode>
                <c:ptCount val="25"/>
                <c:pt idx="0">
                  <c:v>2004</c:v>
                </c:pt>
                <c:pt idx="1">
                  <c:v>2298</c:v>
                </c:pt>
                <c:pt idx="2">
                  <c:v>2116</c:v>
                </c:pt>
                <c:pt idx="3">
                  <c:v>2640</c:v>
                </c:pt>
                <c:pt idx="4">
                  <c:v>2829</c:v>
                </c:pt>
                <c:pt idx="5">
                  <c:v>3335</c:v>
                </c:pt>
                <c:pt idx="6">
                  <c:v>4161</c:v>
                </c:pt>
                <c:pt idx="7">
                  <c:v>5085</c:v>
                </c:pt>
                <c:pt idx="8">
                  <c:v>5536</c:v>
                </c:pt>
                <c:pt idx="9">
                  <c:v>8999</c:v>
                </c:pt>
                <c:pt idx="10">
                  <c:v>8379</c:v>
                </c:pt>
                <c:pt idx="11">
                  <c:v>6870</c:v>
                </c:pt>
                <c:pt idx="12">
                  <c:v>5670</c:v>
                </c:pt>
                <c:pt idx="13">
                  <c:v>7880</c:v>
                </c:pt>
                <c:pt idx="14">
                  <c:v>9059</c:v>
                </c:pt>
                <c:pt idx="15">
                  <c:v>9371</c:v>
                </c:pt>
                <c:pt idx="16">
                  <c:v>12450</c:v>
                </c:pt>
                <c:pt idx="17">
                  <c:v>14350</c:v>
                </c:pt>
                <c:pt idx="18">
                  <c:v>7059</c:v>
                </c:pt>
                <c:pt idx="19">
                  <c:v>6900</c:v>
                </c:pt>
                <c:pt idx="20">
                  <c:v>6705</c:v>
                </c:pt>
                <c:pt idx="21">
                  <c:v>5601</c:v>
                </c:pt>
                <c:pt idx="22">
                  <c:v>6332</c:v>
                </c:pt>
                <c:pt idx="23">
                  <c:v>7932</c:v>
                </c:pt>
                <c:pt idx="24">
                  <c:v>7184</c:v>
                </c:pt>
              </c:numCache>
            </c:numRef>
          </c:val>
          <c:smooth val="0"/>
          <c:extLst xmlns:c16r2="http://schemas.microsoft.com/office/drawing/2015/06/chart">
            <c:ext xmlns:c16="http://schemas.microsoft.com/office/drawing/2014/chart" uri="{C3380CC4-5D6E-409C-BE32-E72D297353CC}">
              <c16:uniqueId val="{00000000-3509-4C13-9285-39FFBA03871F}"/>
            </c:ext>
          </c:extLst>
        </c:ser>
        <c:ser>
          <c:idx val="1"/>
          <c:order val="1"/>
          <c:tx>
            <c:v>Кол-во сделок</c:v>
          </c:tx>
          <c:marker>
            <c:symbol val="none"/>
          </c:marker>
          <c:cat>
            <c:numRef>
              <c:f>Лист2!$D$2:$AB$2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Лист2!$B$9:$Z$9</c:f>
              <c:numCache>
                <c:formatCode>#,##0</c:formatCode>
                <c:ptCount val="25"/>
                <c:pt idx="0">
                  <c:v>4401</c:v>
                </c:pt>
                <c:pt idx="1">
                  <c:v>7861</c:v>
                </c:pt>
                <c:pt idx="2">
                  <c:v>7395</c:v>
                </c:pt>
                <c:pt idx="3">
                  <c:v>6663</c:v>
                </c:pt>
                <c:pt idx="4">
                  <c:v>7364</c:v>
                </c:pt>
                <c:pt idx="5">
                  <c:v>8945</c:v>
                </c:pt>
                <c:pt idx="6">
                  <c:v>9091</c:v>
                </c:pt>
                <c:pt idx="7">
                  <c:v>9717</c:v>
                </c:pt>
                <c:pt idx="8">
                  <c:v>11009</c:v>
                </c:pt>
                <c:pt idx="9">
                  <c:v>14500</c:v>
                </c:pt>
                <c:pt idx="10">
                  <c:v>18364</c:v>
                </c:pt>
                <c:pt idx="11">
                  <c:v>14157</c:v>
                </c:pt>
                <c:pt idx="12">
                  <c:v>10744</c:v>
                </c:pt>
                <c:pt idx="13">
                  <c:v>11209</c:v>
                </c:pt>
                <c:pt idx="14">
                  <c:v>11378</c:v>
                </c:pt>
                <c:pt idx="15">
                  <c:v>13037</c:v>
                </c:pt>
                <c:pt idx="16">
                  <c:v>15761</c:v>
                </c:pt>
                <c:pt idx="17">
                  <c:v>18624</c:v>
                </c:pt>
                <c:pt idx="18">
                  <c:v>18320</c:v>
                </c:pt>
                <c:pt idx="19">
                  <c:v>15686</c:v>
                </c:pt>
                <c:pt idx="20">
                  <c:v>17512</c:v>
                </c:pt>
                <c:pt idx="21">
                  <c:v>17700</c:v>
                </c:pt>
                <c:pt idx="22">
                  <c:v>15801</c:v>
                </c:pt>
                <c:pt idx="23">
                  <c:v>14541</c:v>
                </c:pt>
                <c:pt idx="24">
                  <c:v>15970</c:v>
                </c:pt>
              </c:numCache>
            </c:numRef>
          </c:val>
          <c:smooth val="0"/>
          <c:extLst xmlns:c16r2="http://schemas.microsoft.com/office/drawing/2015/06/chart">
            <c:ext xmlns:c16="http://schemas.microsoft.com/office/drawing/2014/chart" uri="{C3380CC4-5D6E-409C-BE32-E72D297353CC}">
              <c16:uniqueId val="{00000001-3509-4C13-9285-39FFBA03871F}"/>
            </c:ext>
          </c:extLst>
        </c:ser>
        <c:dLbls>
          <c:showLegendKey val="0"/>
          <c:showVal val="0"/>
          <c:showCatName val="0"/>
          <c:showSerName val="0"/>
          <c:showPercent val="0"/>
          <c:showBubbleSize val="0"/>
        </c:dLbls>
        <c:marker val="1"/>
        <c:smooth val="0"/>
        <c:axId val="223239680"/>
        <c:axId val="287490048"/>
      </c:lineChart>
      <c:catAx>
        <c:axId val="223239680"/>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87490048"/>
        <c:crosses val="autoZero"/>
        <c:auto val="1"/>
        <c:lblAlgn val="ctr"/>
        <c:lblOffset val="100"/>
        <c:noMultiLvlLbl val="0"/>
      </c:catAx>
      <c:valAx>
        <c:axId val="287490048"/>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23239680"/>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strRef>
              <c:f>'by year'!$B$2</c:f>
              <c:strCache>
                <c:ptCount val="1"/>
                <c:pt idx="0">
                  <c:v>Капитализация фондового рынка</c:v>
                </c:pt>
              </c:strCache>
            </c:strRef>
          </c:tx>
          <c:invertIfNegative val="1"/>
          <c:cat>
            <c:strRef>
              <c:f>'by year'!$A$16:$A$35</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strCache>
            </c:strRef>
          </c:cat>
          <c:val>
            <c:numRef>
              <c:f>'by year'!$B$16:$B$35</c:f>
              <c:numCache>
                <c:formatCode>General</c:formatCode>
                <c:ptCount val="20"/>
                <c:pt idx="0">
                  <c:v>37</c:v>
                </c:pt>
                <c:pt idx="1">
                  <c:v>40</c:v>
                </c:pt>
                <c:pt idx="2">
                  <c:v>40</c:v>
                </c:pt>
                <c:pt idx="3">
                  <c:v>72</c:v>
                </c:pt>
                <c:pt idx="4">
                  <c:v>38</c:v>
                </c:pt>
                <c:pt idx="5">
                  <c:v>76</c:v>
                </c:pt>
                <c:pt idx="6">
                  <c:v>124</c:v>
                </c:pt>
                <c:pt idx="7">
                  <c:v>230.8</c:v>
                </c:pt>
                <c:pt idx="8">
                  <c:v>268</c:v>
                </c:pt>
                <c:pt idx="9">
                  <c:v>548.6</c:v>
                </c:pt>
                <c:pt idx="10">
                  <c:v>1057.2</c:v>
                </c:pt>
                <c:pt idx="11">
                  <c:v>1503</c:v>
                </c:pt>
                <c:pt idx="12">
                  <c:v>1321</c:v>
                </c:pt>
                <c:pt idx="13">
                  <c:v>861</c:v>
                </c:pt>
                <c:pt idx="14">
                  <c:v>1004</c:v>
                </c:pt>
                <c:pt idx="15">
                  <c:v>796</c:v>
                </c:pt>
                <c:pt idx="16">
                  <c:v>770.65699999999981</c:v>
                </c:pt>
                <c:pt idx="17">
                  <c:v>385.92599999999987</c:v>
                </c:pt>
                <c:pt idx="18">
                  <c:v>393.24</c:v>
                </c:pt>
                <c:pt idx="19">
                  <c:v>622.05199999999979</c:v>
                </c:pt>
              </c:numCache>
            </c:numRef>
          </c:val>
          <c:extLst xmlns:c16r2="http://schemas.microsoft.com/office/drawing/2015/06/chart">
            <c:ext xmlns:c16="http://schemas.microsoft.com/office/drawing/2014/chart" uri="{C3380CC4-5D6E-409C-BE32-E72D297353CC}">
              <c16:uniqueId val="{00000000-E7BB-413D-B0F2-595A57B24F70}"/>
            </c:ext>
          </c:extLst>
        </c:ser>
        <c:dLbls>
          <c:showLegendKey val="0"/>
          <c:showVal val="0"/>
          <c:showCatName val="0"/>
          <c:showSerName val="0"/>
          <c:showPercent val="0"/>
          <c:showBubbleSize val="0"/>
        </c:dLbls>
        <c:gapWidth val="150"/>
        <c:axId val="262428672"/>
        <c:axId val="287492352"/>
      </c:barChart>
      <c:lineChart>
        <c:grouping val="standard"/>
        <c:varyColors val="0"/>
        <c:ser>
          <c:idx val="1"/>
          <c:order val="1"/>
          <c:tx>
            <c:strRef>
              <c:f>'by year'!$C$2:$E$2</c:f>
              <c:strCache>
                <c:ptCount val="1"/>
                <c:pt idx="0">
                  <c:v>Стоимость</c:v>
                </c:pt>
              </c:strCache>
            </c:strRef>
          </c:tx>
          <c:marker>
            <c:symbol val="none"/>
          </c:marker>
          <c:cat>
            <c:strRef>
              <c:f>'by year'!$A$16:$A$35</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strCache>
            </c:strRef>
          </c:cat>
          <c:val>
            <c:numRef>
              <c:f>'by year'!$C$16:$C$35</c:f>
              <c:numCache>
                <c:formatCode>0.0</c:formatCode>
                <c:ptCount val="20"/>
                <c:pt idx="0">
                  <c:v>4.7194599999999998</c:v>
                </c:pt>
                <c:pt idx="1">
                  <c:v>7.1848599999999978</c:v>
                </c:pt>
                <c:pt idx="2">
                  <c:v>2.2541300000000009</c:v>
                </c:pt>
                <c:pt idx="3">
                  <c:v>4.854499999999998</c:v>
                </c:pt>
                <c:pt idx="4">
                  <c:v>3.3714699999999986</c:v>
                </c:pt>
                <c:pt idx="5">
                  <c:v>8.7813599999999994</c:v>
                </c:pt>
                <c:pt idx="6">
                  <c:v>34.961020000000005</c:v>
                </c:pt>
                <c:pt idx="7">
                  <c:v>25.181529999999988</c:v>
                </c:pt>
                <c:pt idx="8">
                  <c:v>63.45514</c:v>
                </c:pt>
                <c:pt idx="9">
                  <c:v>52.018930000000012</c:v>
                </c:pt>
                <c:pt idx="10">
                  <c:v>158.80123000000006</c:v>
                </c:pt>
                <c:pt idx="11">
                  <c:v>81.801109999999994</c:v>
                </c:pt>
                <c:pt idx="12">
                  <c:v>35.953320000000005</c:v>
                </c:pt>
                <c:pt idx="13">
                  <c:v>108.87851000000001</c:v>
                </c:pt>
                <c:pt idx="14">
                  <c:v>87.732010000000002</c:v>
                </c:pt>
                <c:pt idx="15">
                  <c:v>114.95502999999999</c:v>
                </c:pt>
                <c:pt idx="16">
                  <c:v>67.128639999999976</c:v>
                </c:pt>
                <c:pt idx="17">
                  <c:v>18.270849999999992</c:v>
                </c:pt>
                <c:pt idx="18">
                  <c:v>26.56438</c:v>
                </c:pt>
                <c:pt idx="19">
                  <c:v>40.216670000000001</c:v>
                </c:pt>
              </c:numCache>
            </c:numRef>
          </c:val>
          <c:smooth val="0"/>
          <c:extLst xmlns:c16r2="http://schemas.microsoft.com/office/drawing/2015/06/chart">
            <c:ext xmlns:c16="http://schemas.microsoft.com/office/drawing/2014/chart" uri="{C3380CC4-5D6E-409C-BE32-E72D297353CC}">
              <c16:uniqueId val="{00000001-E7BB-413D-B0F2-595A57B24F70}"/>
            </c:ext>
          </c:extLst>
        </c:ser>
        <c:dLbls>
          <c:showLegendKey val="0"/>
          <c:showVal val="0"/>
          <c:showCatName val="0"/>
          <c:showSerName val="0"/>
          <c:showPercent val="0"/>
          <c:showBubbleSize val="0"/>
        </c:dLbls>
        <c:marker val="1"/>
        <c:smooth val="0"/>
        <c:axId val="262429696"/>
        <c:axId val="287492928"/>
      </c:lineChart>
      <c:catAx>
        <c:axId val="262428672"/>
        <c:scaling>
          <c:orientation val="minMax"/>
        </c:scaling>
        <c:delete val="0"/>
        <c:axPos val="b"/>
        <c:title>
          <c:tx>
            <c:rich>
              <a:bodyPr/>
              <a:lstStyle/>
              <a:p>
                <a:pPr>
                  <a:defRPr/>
                </a:pPr>
                <a:endParaRPr lang="ru-RU"/>
              </a:p>
            </c:rich>
          </c:tx>
          <c:overlay val="0"/>
        </c:title>
        <c:numFmt formatCode="General" sourceLinked="0"/>
        <c:majorTickMark val="cross"/>
        <c:minorTickMark val="cross"/>
        <c:tickLblPos val="nextTo"/>
        <c:txPr>
          <a:bodyPr rot="-5400000"/>
          <a:lstStyle/>
          <a:p>
            <a:pPr>
              <a:defRPr>
                <a:latin typeface="Times New Roman" panose="02020603050405020304" pitchFamily="18" charset="0"/>
                <a:cs typeface="Times New Roman" panose="02020603050405020304" pitchFamily="18" charset="0"/>
              </a:defRPr>
            </a:pPr>
            <a:endParaRPr lang="ru-RU"/>
          </a:p>
        </c:txPr>
        <c:crossAx val="287492352"/>
        <c:crosses val="autoZero"/>
        <c:auto val="1"/>
        <c:lblAlgn val="ctr"/>
        <c:lblOffset val="100"/>
        <c:noMultiLvlLbl val="1"/>
      </c:catAx>
      <c:valAx>
        <c:axId val="287492352"/>
        <c:scaling>
          <c:orientation val="minMax"/>
        </c:scaling>
        <c:delete val="0"/>
        <c:axPos val="l"/>
        <c:majorGridlines>
          <c:spPr>
            <a:ln>
              <a:noFill/>
            </a:ln>
          </c:spPr>
        </c:majorGridlines>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Капитализация фондового рынка</a:t>
                </a:r>
                <a:r>
                  <a:rPr lang="ru-RU" baseline="0">
                    <a:latin typeface="Times New Roman" panose="02020603050405020304" pitchFamily="18" charset="0"/>
                    <a:cs typeface="Times New Roman" panose="02020603050405020304" pitchFamily="18" charset="0"/>
                  </a:rPr>
                  <a:t> (млрд, </a:t>
                </a:r>
                <a:r>
                  <a:rPr lang="en-US" baseline="0">
                    <a:latin typeface="Times New Roman" panose="02020603050405020304" pitchFamily="18" charset="0"/>
                    <a:cs typeface="Times New Roman" panose="02020603050405020304" pitchFamily="18" charset="0"/>
                  </a:rPr>
                  <a:t>$)</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62428672"/>
        <c:crosses val="autoZero"/>
        <c:crossBetween val="between"/>
      </c:valAx>
      <c:catAx>
        <c:axId val="262429696"/>
        <c:scaling>
          <c:orientation val="minMax"/>
        </c:scaling>
        <c:delete val="1"/>
        <c:axPos val="b"/>
        <c:numFmt formatCode="General" sourceLinked="1"/>
        <c:majorTickMark val="cross"/>
        <c:minorTickMark val="cross"/>
        <c:tickLblPos val="none"/>
        <c:crossAx val="287492928"/>
        <c:crosses val="autoZero"/>
        <c:auto val="1"/>
        <c:lblAlgn val="ctr"/>
        <c:lblOffset val="100"/>
        <c:noMultiLvlLbl val="1"/>
      </c:catAx>
      <c:valAx>
        <c:axId val="287492928"/>
        <c:scaling>
          <c:orientation val="minMax"/>
        </c:scaling>
        <c:delete val="0"/>
        <c:axPos val="r"/>
        <c:majorGridlines/>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Стоимость </a:t>
                </a:r>
                <a:r>
                  <a:rPr lang="en-US">
                    <a:latin typeface="Times New Roman" panose="02020603050405020304" pitchFamily="18" charset="0"/>
                    <a:cs typeface="Times New Roman" panose="02020603050405020304" pitchFamily="18" charset="0"/>
                  </a:rPr>
                  <a:t>(</a:t>
                </a:r>
                <a:r>
                  <a:rPr lang="ru-RU">
                    <a:latin typeface="Times New Roman" panose="02020603050405020304" pitchFamily="18" charset="0"/>
                    <a:cs typeface="Times New Roman" panose="02020603050405020304" pitchFamily="18" charset="0"/>
                  </a:rPr>
                  <a:t>млрд. </a:t>
                </a:r>
                <a:r>
                  <a:rPr lang="en-US">
                    <a:latin typeface="Times New Roman" panose="02020603050405020304" pitchFamily="18" charset="0"/>
                    <a:cs typeface="Times New Roman" panose="02020603050405020304" pitchFamily="18" charset="0"/>
                  </a:rPr>
                  <a:t>$)</a:t>
                </a:r>
              </a:p>
            </c:rich>
          </c:tx>
          <c:overlay val="0"/>
        </c:title>
        <c:numFmt formatCode="0.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62429696"/>
        <c:crosses val="max"/>
        <c:crossBetween val="between"/>
      </c:valAx>
    </c:plotArea>
    <c:legend>
      <c:legendPos val="tr"/>
      <c:layout>
        <c:manualLayout>
          <c:xMode val="edge"/>
          <c:yMode val="edge"/>
          <c:x val="0.27904180455703909"/>
          <c:y val="0.88141025641025639"/>
          <c:w val="0.56797912942041662"/>
          <c:h val="0.11591611144760752"/>
        </c:manualLayout>
      </c:layout>
      <c:overlay val="1"/>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1"/>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2017</c:v>
          </c:tx>
          <c:spPr>
            <a:solidFill>
              <a:schemeClr val="accent1"/>
            </a:solidFill>
            <a:ln>
              <a:noFill/>
            </a:ln>
            <a:effectLst/>
            <a:sp3d/>
          </c:spPr>
          <c:invertIfNegative val="0"/>
          <c:cat>
            <c:strRef>
              <c:f>'[Copy of Read Only - УА1_Розничные продажи_Лента_12мес~tmp30085417858.xlsx]УА3_Выручка по магазинам 12 мес'!$D$476:$D$485</c:f>
              <c:strCache>
                <c:ptCount val="10"/>
                <c:pt idx="0">
                  <c:v>Центр</c:v>
                </c:pt>
                <c:pt idx="1">
                  <c:v>Сибирь</c:v>
                </c:pt>
                <c:pt idx="2">
                  <c:v>Юг</c:v>
                </c:pt>
                <c:pt idx="3">
                  <c:v>Санкт-Петербург</c:v>
                </c:pt>
                <c:pt idx="4">
                  <c:v>Урал</c:v>
                </c:pt>
                <c:pt idx="5">
                  <c:v>Волга</c:v>
                </c:pt>
                <c:pt idx="6">
                  <c:v>Супермаркеты МСК</c:v>
                </c:pt>
                <c:pt idx="7">
                  <c:v>Супермаркеты СПб</c:v>
                </c:pt>
                <c:pt idx="8">
                  <c:v>Супермаркеты НСК</c:v>
                </c:pt>
                <c:pt idx="9">
                  <c:v>Супермаркеты ЕКБ</c:v>
                </c:pt>
              </c:strCache>
            </c:strRef>
          </c:cat>
          <c:val>
            <c:numRef>
              <c:f>'[Copy of Read Only - УА1_Розничные продажи_Лента_12мес~tmp30085417858.xlsx]УА3_Выручка по магазинам 12 мес'!$Q$476:$Q$485</c:f>
              <c:numCache>
                <c:formatCode>_-* #,##0_-;\-* #,##0_-;_-* "-"_-;_-@_-</c:formatCode>
                <c:ptCount val="10"/>
                <c:pt idx="0">
                  <c:v>58501101.716859996</c:v>
                </c:pt>
                <c:pt idx="1">
                  <c:v>64359226.067680009</c:v>
                </c:pt>
                <c:pt idx="2">
                  <c:v>52319394.558090001</c:v>
                </c:pt>
                <c:pt idx="3">
                  <c:v>97240942.931790009</c:v>
                </c:pt>
                <c:pt idx="4">
                  <c:v>29973764.665079996</c:v>
                </c:pt>
                <c:pt idx="5">
                  <c:v>44625973.144069999</c:v>
                </c:pt>
                <c:pt idx="6">
                  <c:v>13373470.84479</c:v>
                </c:pt>
                <c:pt idx="7">
                  <c:v>3880609.5042099999</c:v>
                </c:pt>
                <c:pt idx="8">
                  <c:v>688906.77523999999</c:v>
                </c:pt>
                <c:pt idx="9">
                  <c:v>218150.29066</c:v>
                </c:pt>
              </c:numCache>
            </c:numRef>
          </c:val>
          <c:extLst xmlns:c16r2="http://schemas.microsoft.com/office/drawing/2015/06/chart">
            <c:ext xmlns:c16="http://schemas.microsoft.com/office/drawing/2014/chart" uri="{C3380CC4-5D6E-409C-BE32-E72D297353CC}">
              <c16:uniqueId val="{00000000-2DA3-471A-A295-AF59387E0393}"/>
            </c:ext>
          </c:extLst>
        </c:ser>
        <c:ser>
          <c:idx val="1"/>
          <c:order val="1"/>
          <c:tx>
            <c:v>2016</c:v>
          </c:tx>
          <c:spPr>
            <a:solidFill>
              <a:schemeClr val="accent2"/>
            </a:solidFill>
            <a:ln>
              <a:noFill/>
            </a:ln>
            <a:effectLst/>
            <a:sp3d/>
          </c:spPr>
          <c:invertIfNegative val="0"/>
          <c:cat>
            <c:strRef>
              <c:f>'[Copy of Read Only - УА1_Розничные продажи_Лента_12мес~tmp30085417858.xlsx]УА3_Выручка по магазинам 12 мес'!$D$476:$D$485</c:f>
              <c:strCache>
                <c:ptCount val="10"/>
                <c:pt idx="0">
                  <c:v>Центр</c:v>
                </c:pt>
                <c:pt idx="1">
                  <c:v>Сибирь</c:v>
                </c:pt>
                <c:pt idx="2">
                  <c:v>Юг</c:v>
                </c:pt>
                <c:pt idx="3">
                  <c:v>Санкт-Петербург</c:v>
                </c:pt>
                <c:pt idx="4">
                  <c:v>Урал</c:v>
                </c:pt>
                <c:pt idx="5">
                  <c:v>Волга</c:v>
                </c:pt>
                <c:pt idx="6">
                  <c:v>Супермаркеты МСК</c:v>
                </c:pt>
                <c:pt idx="7">
                  <c:v>Супермаркеты СПб</c:v>
                </c:pt>
                <c:pt idx="8">
                  <c:v>Супермаркеты НСК</c:v>
                </c:pt>
                <c:pt idx="9">
                  <c:v>Супермаркеты ЕКБ</c:v>
                </c:pt>
              </c:strCache>
            </c:strRef>
          </c:cat>
          <c:val>
            <c:numRef>
              <c:f>'[Copy of Read Only - УА1_Розничные продажи_Лента_12мес~tmp30085417858.xlsx]УА3_Выручка по магазинам 12 мес'!$T$476:$T$485</c:f>
              <c:numCache>
                <c:formatCode>_-* #,##0_-;\-* #,##0_-;_-* "-"_-;_-@_-</c:formatCode>
                <c:ptCount val="10"/>
                <c:pt idx="0">
                  <c:v>45736912.034710005</c:v>
                </c:pt>
                <c:pt idx="1">
                  <c:v>72442984.245350003</c:v>
                </c:pt>
                <c:pt idx="2">
                  <c:v>45385048.345649995</c:v>
                </c:pt>
                <c:pt idx="3">
                  <c:v>88397779.271999985</c:v>
                </c:pt>
                <c:pt idx="4">
                  <c:v>449276.65616000001</c:v>
                </c:pt>
                <c:pt idx="5">
                  <c:v>40211242.836759999</c:v>
                </c:pt>
                <c:pt idx="6">
                  <c:v>11864557.754859999</c:v>
                </c:pt>
                <c:pt idx="7">
                  <c:v>1863239.3006000002</c:v>
                </c:pt>
                <c:pt idx="8">
                  <c:v>0</c:v>
                </c:pt>
                <c:pt idx="9">
                  <c:v>0</c:v>
                </c:pt>
              </c:numCache>
            </c:numRef>
          </c:val>
          <c:extLst xmlns:c16r2="http://schemas.microsoft.com/office/drawing/2015/06/chart">
            <c:ext xmlns:c16="http://schemas.microsoft.com/office/drawing/2014/chart" uri="{C3380CC4-5D6E-409C-BE32-E72D297353CC}">
              <c16:uniqueId val="{00000001-2DA3-471A-A295-AF59387E0393}"/>
            </c:ext>
          </c:extLst>
        </c:ser>
        <c:dLbls>
          <c:showLegendKey val="0"/>
          <c:showVal val="0"/>
          <c:showCatName val="0"/>
          <c:showSerName val="0"/>
          <c:showPercent val="0"/>
          <c:showBubbleSize val="0"/>
        </c:dLbls>
        <c:gapWidth val="75"/>
        <c:shape val="box"/>
        <c:axId val="219655168"/>
        <c:axId val="287493504"/>
        <c:axId val="0"/>
      </c:bar3DChart>
      <c:catAx>
        <c:axId val="219655168"/>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493504"/>
        <c:crosses val="autoZero"/>
        <c:auto val="1"/>
        <c:lblAlgn val="ctr"/>
        <c:lblOffset val="100"/>
        <c:noMultiLvlLbl val="0"/>
      </c:catAx>
      <c:valAx>
        <c:axId val="28749350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655168"/>
        <c:crosses val="autoZero"/>
        <c:crossBetween val="between"/>
      </c:valAx>
      <c:spPr>
        <a:noFill/>
        <a:ln>
          <a:noFill/>
        </a:ln>
        <a:effectLst/>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УА2_Расшифровка12мес!$P$20</c:f>
              <c:strCache>
                <c:ptCount val="1"/>
                <c:pt idx="0">
                  <c:v>Всего за 12м 2017</c:v>
                </c:pt>
              </c:strCache>
            </c:strRef>
          </c:tx>
          <c:spPr>
            <a:ln w="38100" cap="flat" cmpd="dbl" algn="ctr">
              <a:solidFill>
                <a:schemeClr val="accent1"/>
              </a:solidFill>
              <a:miter lim="800000"/>
            </a:ln>
            <a:effectLst/>
          </c:spPr>
          <c:marker>
            <c:symbol val="none"/>
          </c:marker>
          <c:cat>
            <c:strRef>
              <c:f>УА2_Расшифровка12мес!$J$67:$U$67</c:f>
              <c:strCache>
                <c:ptCount val="12"/>
                <c:pt idx="0">
                  <c:v>Янв</c:v>
                </c:pt>
                <c:pt idx="1">
                  <c:v>Фев</c:v>
                </c:pt>
                <c:pt idx="2">
                  <c:v>Мар</c:v>
                </c:pt>
                <c:pt idx="3">
                  <c:v>Апр</c:v>
                </c:pt>
                <c:pt idx="4">
                  <c:v>Май</c:v>
                </c:pt>
                <c:pt idx="5">
                  <c:v>Июнь</c:v>
                </c:pt>
                <c:pt idx="6">
                  <c:v>Июль</c:v>
                </c:pt>
                <c:pt idx="7">
                  <c:v>Авг</c:v>
                </c:pt>
                <c:pt idx="8">
                  <c:v>Сент</c:v>
                </c:pt>
                <c:pt idx="9">
                  <c:v>Окт</c:v>
                </c:pt>
                <c:pt idx="10">
                  <c:v>Нояб</c:v>
                </c:pt>
                <c:pt idx="11">
                  <c:v>Дек</c:v>
                </c:pt>
              </c:strCache>
            </c:strRef>
          </c:cat>
          <c:val>
            <c:numRef>
              <c:f>УА2_Расшифровка12мес!$J$68:$U$68</c:f>
              <c:numCache>
                <c:formatCode>General</c:formatCode>
                <c:ptCount val="12"/>
                <c:pt idx="0">
                  <c:v>5984673.6898499988</c:v>
                </c:pt>
                <c:pt idx="1">
                  <c:v>6524398.2286100006</c:v>
                </c:pt>
                <c:pt idx="2">
                  <c:v>7349730.2249200009</c:v>
                </c:pt>
                <c:pt idx="3">
                  <c:v>7503521.9241499994</c:v>
                </c:pt>
                <c:pt idx="4">
                  <c:v>7212788.1323299995</c:v>
                </c:pt>
                <c:pt idx="5">
                  <c:v>6970042.0089400001</c:v>
                </c:pt>
                <c:pt idx="6">
                  <c:v>7069064.8351699999</c:v>
                </c:pt>
                <c:pt idx="7">
                  <c:v>6740730.0549000008</c:v>
                </c:pt>
                <c:pt idx="8">
                  <c:v>7127677.8609199999</c:v>
                </c:pt>
                <c:pt idx="9">
                  <c:v>7194317.9627400003</c:v>
                </c:pt>
                <c:pt idx="10">
                  <c:v>6921218.7957000015</c:v>
                </c:pt>
                <c:pt idx="11">
                  <c:v>11799615.553769996</c:v>
                </c:pt>
              </c:numCache>
            </c:numRef>
          </c:val>
          <c:smooth val="1"/>
          <c:extLst xmlns:c16r2="http://schemas.microsoft.com/office/drawing/2015/06/chart">
            <c:ext xmlns:c16="http://schemas.microsoft.com/office/drawing/2014/chart" uri="{C3380CC4-5D6E-409C-BE32-E72D297353CC}">
              <c16:uniqueId val="{00000000-425F-4265-83CD-F235D8FEAE15}"/>
            </c:ext>
          </c:extLst>
        </c:ser>
        <c:ser>
          <c:idx val="1"/>
          <c:order val="1"/>
          <c:tx>
            <c:strRef>
              <c:f>УА2_Расшифровка12мес!$P$42</c:f>
              <c:strCache>
                <c:ptCount val="1"/>
                <c:pt idx="0">
                  <c:v>Всего за 12м 2016</c:v>
                </c:pt>
              </c:strCache>
            </c:strRef>
          </c:tx>
          <c:spPr>
            <a:ln w="38100" cap="flat" cmpd="dbl" algn="ctr">
              <a:solidFill>
                <a:schemeClr val="accent3"/>
              </a:solidFill>
              <a:miter lim="800000"/>
            </a:ln>
            <a:effectLst/>
          </c:spPr>
          <c:marker>
            <c:symbol val="none"/>
          </c:marker>
          <c:cat>
            <c:strRef>
              <c:f>УА2_Расшифровка12мес!$J$67:$U$67</c:f>
              <c:strCache>
                <c:ptCount val="12"/>
                <c:pt idx="0">
                  <c:v>Янв</c:v>
                </c:pt>
                <c:pt idx="1">
                  <c:v>Фев</c:v>
                </c:pt>
                <c:pt idx="2">
                  <c:v>Мар</c:v>
                </c:pt>
                <c:pt idx="3">
                  <c:v>Апр</c:v>
                </c:pt>
                <c:pt idx="4">
                  <c:v>Май</c:v>
                </c:pt>
                <c:pt idx="5">
                  <c:v>Июнь</c:v>
                </c:pt>
                <c:pt idx="6">
                  <c:v>Июль</c:v>
                </c:pt>
                <c:pt idx="7">
                  <c:v>Авг</c:v>
                </c:pt>
                <c:pt idx="8">
                  <c:v>Сент</c:v>
                </c:pt>
                <c:pt idx="9">
                  <c:v>Окт</c:v>
                </c:pt>
                <c:pt idx="10">
                  <c:v>Нояб</c:v>
                </c:pt>
                <c:pt idx="11">
                  <c:v>Дек</c:v>
                </c:pt>
              </c:strCache>
            </c:strRef>
          </c:cat>
          <c:val>
            <c:numRef>
              <c:f>УА2_Расшифровка12мес!$J$69:$U$69</c:f>
              <c:numCache>
                <c:formatCode>General</c:formatCode>
                <c:ptCount val="12"/>
                <c:pt idx="0">
                  <c:v>6553282.5398999993</c:v>
                </c:pt>
                <c:pt idx="1">
                  <c:v>7168887.8533800021</c:v>
                </c:pt>
                <c:pt idx="2">
                  <c:v>7987322.9997099992</c:v>
                </c:pt>
                <c:pt idx="3">
                  <c:v>7680735.2865999984</c:v>
                </c:pt>
                <c:pt idx="4">
                  <c:v>7737010.4162699999</c:v>
                </c:pt>
                <c:pt idx="5">
                  <c:v>8146197.734269999</c:v>
                </c:pt>
                <c:pt idx="6">
                  <c:v>8082195.2462399993</c:v>
                </c:pt>
                <c:pt idx="7">
                  <c:v>7873303.2474000016</c:v>
                </c:pt>
                <c:pt idx="8">
                  <c:v>7999717.6442900039</c:v>
                </c:pt>
                <c:pt idx="9">
                  <c:v>7959234.3432599995</c:v>
                </c:pt>
                <c:pt idx="10">
                  <c:v>7950860.9108500006</c:v>
                </c:pt>
                <c:pt idx="11">
                  <c:v>12102194.709619997</c:v>
                </c:pt>
              </c:numCache>
            </c:numRef>
          </c:val>
          <c:smooth val="1"/>
          <c:extLst xmlns:c16r2="http://schemas.microsoft.com/office/drawing/2015/06/chart">
            <c:ext xmlns:c16="http://schemas.microsoft.com/office/drawing/2014/chart" uri="{C3380CC4-5D6E-409C-BE32-E72D297353CC}">
              <c16:uniqueId val="{00000001-425F-4265-83CD-F235D8FEAE15}"/>
            </c:ext>
          </c:extLst>
        </c:ser>
        <c:dLbls>
          <c:showLegendKey val="0"/>
          <c:showVal val="0"/>
          <c:showCatName val="0"/>
          <c:showSerName val="0"/>
          <c:showPercent val="0"/>
          <c:showBubbleSize val="0"/>
        </c:dLbls>
        <c:marker val="1"/>
        <c:smooth val="0"/>
        <c:axId val="262426624"/>
        <c:axId val="287495232"/>
      </c:lineChart>
      <c:catAx>
        <c:axId val="262426624"/>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495232"/>
        <c:crosses val="autoZero"/>
        <c:auto val="1"/>
        <c:lblAlgn val="ctr"/>
        <c:lblOffset val="100"/>
        <c:noMultiLvlLbl val="0"/>
      </c:catAx>
      <c:valAx>
        <c:axId val="287495232"/>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24266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ru-RU" sz="1400"/>
              <a:t>По</a:t>
            </a:r>
            <a:r>
              <a:rPr lang="ru-RU" sz="1400" baseline="0"/>
              <a:t> стоимости </a:t>
            </a:r>
            <a:r>
              <a:rPr lang="en-US" sz="1400"/>
              <a:t>(</a:t>
            </a:r>
            <a:r>
              <a:rPr lang="ru-RU" sz="1400"/>
              <a:t>млрд</a:t>
            </a:r>
            <a:r>
              <a:rPr lang="en-US" sz="1400"/>
              <a:t>. $)</a:t>
            </a:r>
          </a:p>
        </c:rich>
      </c:tx>
      <c:overlay val="0"/>
    </c:title>
    <c:autoTitleDeleted val="0"/>
    <c:plotArea>
      <c:layout>
        <c:manualLayout>
          <c:layoutTarget val="inner"/>
          <c:xMode val="edge"/>
          <c:yMode val="edge"/>
          <c:x val="6.4325111019367373E-2"/>
          <c:y val="0.22068071679719281"/>
          <c:w val="0.37278022747156608"/>
          <c:h val="0.6028790740780049"/>
        </c:manualLayout>
      </c:layout>
      <c:pieChart>
        <c:varyColors val="1"/>
        <c:ser>
          <c:idx val="0"/>
          <c:order val="0"/>
          <c:tx>
            <c:strRef>
              <c:f>'[M&amp;A US - By Industries (2000-2016).xlsx]Sheet1'!$C$1</c:f>
              <c:strCache>
                <c:ptCount val="1"/>
                <c:pt idx="0">
                  <c:v>Deal Value (in bil. USD)</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'[M&amp;A US - By Industries (2000-2016).xlsx]Sheet1'!$B$2:$B$14</c:f>
              <c:strCache>
                <c:ptCount val="13"/>
                <c:pt idx="0">
                  <c:v>Здравоохранение </c:v>
                </c:pt>
                <c:pt idx="1">
                  <c:v>Энергетика</c:v>
                </c:pt>
                <c:pt idx="2">
                  <c:v>Технологии</c:v>
                </c:pt>
                <c:pt idx="3">
                  <c:v>Финансовый сектор</c:v>
                </c:pt>
                <c:pt idx="4">
                  <c:v>Медиа</c:v>
                </c:pt>
                <c:pt idx="5">
                  <c:v>Промышленность</c:v>
                </c:pt>
                <c:pt idx="6">
                  <c:v>Недвижимость</c:v>
                </c:pt>
                <c:pt idx="7">
                  <c:v>Материалы</c:v>
                </c:pt>
                <c:pt idx="8">
                  <c:v>Телекоммуникации</c:v>
                </c:pt>
                <c:pt idx="9">
                  <c:v>FMCG</c:v>
                </c:pt>
                <c:pt idx="10">
                  <c:v>Потребительские товары и услуги</c:v>
                </c:pt>
                <c:pt idx="11">
                  <c:v>Ритейл</c:v>
                </c:pt>
                <c:pt idx="12">
                  <c:v>Правительство и агенства</c:v>
                </c:pt>
              </c:strCache>
            </c:strRef>
          </c:cat>
          <c:val>
            <c:numRef>
              <c:f>'[M&amp;A US - By Industries (2000-2016).xlsx]Sheet1'!$C$2:$C$14</c:f>
              <c:numCache>
                <c:formatCode>0</c:formatCode>
                <c:ptCount val="13"/>
                <c:pt idx="0">
                  <c:v>3291.9276199999999</c:v>
                </c:pt>
                <c:pt idx="1">
                  <c:v>3077.98054</c:v>
                </c:pt>
                <c:pt idx="2">
                  <c:v>2806.72415</c:v>
                </c:pt>
                <c:pt idx="3">
                  <c:v>2778.76215</c:v>
                </c:pt>
                <c:pt idx="4">
                  <c:v>2362.038</c:v>
                </c:pt>
                <c:pt idx="5">
                  <c:v>1744.76712</c:v>
                </c:pt>
                <c:pt idx="6">
                  <c:v>1521.2955900000004</c:v>
                </c:pt>
                <c:pt idx="7">
                  <c:v>1494.0058700000004</c:v>
                </c:pt>
                <c:pt idx="8">
                  <c:v>1332.8283899999999</c:v>
                </c:pt>
                <c:pt idx="9">
                  <c:v>1268.7110399999999</c:v>
                </c:pt>
                <c:pt idx="10">
                  <c:v>874.54508999999996</c:v>
                </c:pt>
                <c:pt idx="11">
                  <c:v>647.40543000000002</c:v>
                </c:pt>
                <c:pt idx="12">
                  <c:v>5.3971799999999979</c:v>
                </c:pt>
              </c:numCache>
            </c:numRef>
          </c:val>
          <c:extLst xmlns:c16r2="http://schemas.microsoft.com/office/drawing/2015/06/chart">
            <c:ext xmlns:c16="http://schemas.microsoft.com/office/drawing/2014/chart" uri="{C3380CC4-5D6E-409C-BE32-E72D297353CC}">
              <c16:uniqueId val="{00000000-27C7-4C15-872A-C36ACDF5325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0958416121586581"/>
          <c:y val="0.117914128658446"/>
          <c:w val="0.45935639816618828"/>
          <c:h val="0.8523298738601075"/>
        </c:manualLayout>
      </c:layout>
      <c:overlay val="0"/>
    </c:legend>
    <c:plotVisOnly val="1"/>
    <c:dispBlanksAs val="zero"/>
    <c:showDLblsOverMax val="1"/>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400"/>
              <a:t>По количеству сделок</a:t>
            </a:r>
          </a:p>
        </c:rich>
      </c:tx>
      <c:overlay val="0"/>
    </c:title>
    <c:autoTitleDeleted val="0"/>
    <c:plotArea>
      <c:layout>
        <c:manualLayout>
          <c:layoutTarget val="inner"/>
          <c:xMode val="edge"/>
          <c:yMode val="edge"/>
          <c:x val="8.5763369923205615E-2"/>
          <c:y val="0.26668239957037082"/>
          <c:w val="0.29028221146931482"/>
          <c:h val="0.65697988749268099"/>
        </c:manualLayout>
      </c:layout>
      <c:pieChart>
        <c:varyColors val="1"/>
        <c:ser>
          <c:idx val="0"/>
          <c:order val="0"/>
          <c:tx>
            <c:strRef>
              <c:f>'[M&amp;A US - By Industries (2000-2016).xlsx]Sheet1'!$C$16</c:f>
              <c:strCache>
                <c:ptCount val="1"/>
                <c:pt idx="0">
                  <c:v>Number of Deals</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'[M&amp;A US - By Industries (2000-2016).xlsx]Sheet1'!$B$17:$B$29</c:f>
              <c:strCache>
                <c:ptCount val="13"/>
                <c:pt idx="0">
                  <c:v>Технологии</c:v>
                </c:pt>
                <c:pt idx="1">
                  <c:v>Финансовый сектор</c:v>
                </c:pt>
                <c:pt idx="2">
                  <c:v>Потребительские товары и услуги</c:v>
                </c:pt>
                <c:pt idx="3">
                  <c:v>Промышленность</c:v>
                </c:pt>
                <c:pt idx="4">
                  <c:v>Здравоохранение </c:v>
                </c:pt>
                <c:pt idx="5">
                  <c:v>Медиа</c:v>
                </c:pt>
                <c:pt idx="6">
                  <c:v>Энергетика</c:v>
                </c:pt>
                <c:pt idx="7">
                  <c:v>Материалы</c:v>
                </c:pt>
                <c:pt idx="8">
                  <c:v>Недвижимость</c:v>
                </c:pt>
                <c:pt idx="9">
                  <c:v>Ритейл</c:v>
                </c:pt>
                <c:pt idx="10">
                  <c:v>FMCG</c:v>
                </c:pt>
                <c:pt idx="11">
                  <c:v>Телекоммуникации</c:v>
                </c:pt>
                <c:pt idx="12">
                  <c:v>Правительство и агенства</c:v>
                </c:pt>
              </c:strCache>
            </c:strRef>
          </c:cat>
          <c:val>
            <c:numRef>
              <c:f>'[M&amp;A US - By Industries (2000-2016).xlsx]Sheet1'!$C$17:$C$29</c:f>
              <c:numCache>
                <c:formatCode>General</c:formatCode>
                <c:ptCount val="13"/>
                <c:pt idx="0">
                  <c:v>38350</c:v>
                </c:pt>
                <c:pt idx="1">
                  <c:v>22049</c:v>
                </c:pt>
                <c:pt idx="2">
                  <c:v>21816</c:v>
                </c:pt>
                <c:pt idx="3">
                  <c:v>20863</c:v>
                </c:pt>
                <c:pt idx="4">
                  <c:v>16592</c:v>
                </c:pt>
                <c:pt idx="5">
                  <c:v>15203</c:v>
                </c:pt>
                <c:pt idx="6">
                  <c:v>13978</c:v>
                </c:pt>
                <c:pt idx="7">
                  <c:v>13843</c:v>
                </c:pt>
                <c:pt idx="8">
                  <c:v>9010</c:v>
                </c:pt>
                <c:pt idx="9">
                  <c:v>7909</c:v>
                </c:pt>
                <c:pt idx="10">
                  <c:v>7649</c:v>
                </c:pt>
                <c:pt idx="11">
                  <c:v>5387</c:v>
                </c:pt>
                <c:pt idx="12">
                  <c:v>254</c:v>
                </c:pt>
              </c:numCache>
            </c:numRef>
          </c:val>
          <c:extLst xmlns:c16r2="http://schemas.microsoft.com/office/drawing/2015/06/chart">
            <c:ext xmlns:c16="http://schemas.microsoft.com/office/drawing/2014/chart" uri="{C3380CC4-5D6E-409C-BE32-E72D297353CC}">
              <c16:uniqueId val="{00000000-FCB8-4602-8828-0CF6E455C611}"/>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490163108827252"/>
          <c:y val="0.1491243277587419"/>
          <c:w val="0.49656060650411277"/>
          <c:h val="0.81137670471306356"/>
        </c:manualLayout>
      </c:layout>
      <c:overlay val="0"/>
    </c:legend>
    <c:plotVisOnly val="1"/>
    <c:dispBlanksAs val="zero"/>
    <c:showDLblsOverMax val="1"/>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areaChart>
        <c:grouping val="standard"/>
        <c:varyColors val="0"/>
        <c:ser>
          <c:idx val="0"/>
          <c:order val="0"/>
          <c:cat>
            <c:strRef>
              <c:f>'[Mergers &amp; Acquisitions (M&amp;A) - United States (1).xlsx]Waves'!$A$144:$A$168</c:f>
              <c:strCach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 (Прогноз)</c:v>
                </c:pt>
              </c:strCache>
            </c:strRef>
          </c:cat>
          <c:val>
            <c:numRef>
              <c:f>'[Mergers &amp; Acquisitions (M&amp;A) - United States (1).xlsx]Waves'!$C$144:$C$168</c:f>
              <c:numCache>
                <c:formatCode>General</c:formatCode>
                <c:ptCount val="25"/>
                <c:pt idx="0">
                  <c:v>30</c:v>
                </c:pt>
                <c:pt idx="1">
                  <c:v>64</c:v>
                </c:pt>
                <c:pt idx="2">
                  <c:v>145</c:v>
                </c:pt>
                <c:pt idx="3">
                  <c:v>129</c:v>
                </c:pt>
                <c:pt idx="4">
                  <c:v>97</c:v>
                </c:pt>
                <c:pt idx="5">
                  <c:v>78</c:v>
                </c:pt>
                <c:pt idx="6">
                  <c:v>183</c:v>
                </c:pt>
                <c:pt idx="7">
                  <c:v>418</c:v>
                </c:pt>
                <c:pt idx="8">
                  <c:v>398</c:v>
                </c:pt>
                <c:pt idx="9">
                  <c:v>400</c:v>
                </c:pt>
                <c:pt idx="10">
                  <c:v>488</c:v>
                </c:pt>
                <c:pt idx="11">
                  <c:v>398</c:v>
                </c:pt>
                <c:pt idx="12">
                  <c:v>468</c:v>
                </c:pt>
                <c:pt idx="13">
                  <c:v>654</c:v>
                </c:pt>
                <c:pt idx="14">
                  <c:v>966</c:v>
                </c:pt>
                <c:pt idx="15" formatCode="#,##0">
                  <c:v>1718</c:v>
                </c:pt>
                <c:pt idx="16" formatCode="#,##0">
                  <c:v>3285</c:v>
                </c:pt>
                <c:pt idx="17" formatCode="#,##0">
                  <c:v>3684</c:v>
                </c:pt>
                <c:pt idx="18" formatCode="#,##0">
                  <c:v>3211</c:v>
                </c:pt>
                <c:pt idx="19" formatCode="#,##0">
                  <c:v>2532</c:v>
                </c:pt>
                <c:pt idx="20" formatCode="#,##0">
                  <c:v>2021</c:v>
                </c:pt>
                <c:pt idx="21" formatCode="#,##0">
                  <c:v>1917</c:v>
                </c:pt>
                <c:pt idx="22" formatCode="#,##0">
                  <c:v>1820</c:v>
                </c:pt>
                <c:pt idx="23" formatCode="#,##0">
                  <c:v>1847</c:v>
                </c:pt>
                <c:pt idx="24" formatCode="#,##0">
                  <c:v>1356</c:v>
                </c:pt>
              </c:numCache>
            </c:numRef>
          </c:val>
          <c:extLst xmlns:c16r2="http://schemas.microsoft.com/office/drawing/2015/06/chart">
            <c:ext xmlns:c16="http://schemas.microsoft.com/office/drawing/2014/chart" uri="{C3380CC4-5D6E-409C-BE32-E72D297353CC}">
              <c16:uniqueId val="{00000000-F082-4894-AE0A-3586075E0174}"/>
            </c:ext>
          </c:extLst>
        </c:ser>
        <c:dLbls>
          <c:showLegendKey val="0"/>
          <c:showVal val="0"/>
          <c:showCatName val="0"/>
          <c:showSerName val="0"/>
          <c:showPercent val="0"/>
          <c:showBubbleSize val="0"/>
        </c:dLbls>
        <c:axId val="262825472"/>
        <c:axId val="290965760"/>
      </c:areaChart>
      <c:catAx>
        <c:axId val="262825472"/>
        <c:scaling>
          <c:orientation val="minMax"/>
        </c:scaling>
        <c:delete val="0"/>
        <c:axPos val="b"/>
        <c:numFmt formatCode="General" sourceLinked="0"/>
        <c:majorTickMark val="out"/>
        <c:minorTickMark val="none"/>
        <c:tickLblPos val="nextTo"/>
        <c:crossAx val="290965760"/>
        <c:crosses val="autoZero"/>
        <c:auto val="1"/>
        <c:lblAlgn val="ctr"/>
        <c:lblOffset val="100"/>
        <c:noMultiLvlLbl val="0"/>
      </c:catAx>
      <c:valAx>
        <c:axId val="290965760"/>
        <c:scaling>
          <c:orientation val="minMax"/>
        </c:scaling>
        <c:delete val="0"/>
        <c:axPos val="l"/>
        <c:majorGridlines/>
        <c:numFmt formatCode="General" sourceLinked="1"/>
        <c:majorTickMark val="out"/>
        <c:minorTickMark val="none"/>
        <c:tickLblPos val="nextTo"/>
        <c:crossAx val="262825472"/>
        <c:crosses val="autoZero"/>
        <c:crossBetween val="midCat"/>
      </c:valAx>
    </c:plotArea>
    <c:plotVisOnly val="1"/>
    <c:dispBlanksAs val="zero"/>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areaChart>
        <c:grouping val="standard"/>
        <c:varyColors val="0"/>
        <c:ser>
          <c:idx val="0"/>
          <c:order val="0"/>
          <c:spPr>
            <a:solidFill>
              <a:schemeClr val="bg1">
                <a:lumMod val="65000"/>
              </a:schemeClr>
            </a:solidFill>
          </c:spPr>
          <c:cat>
            <c:strRef>
              <c:f>'[Mergers &amp; Acquisitions (M&amp;A) - United States (1).xlsx]Waves'!$A$136:$A$168</c:f>
              <c:strCache>
                <c:ptCount val="33"/>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 (Прогноз)</c:v>
                </c:pt>
              </c:strCache>
            </c:strRef>
          </c:cat>
          <c:val>
            <c:numRef>
              <c:f>'[Mergers &amp; Acquisitions (M&amp;A) - United States (1).xlsx]Waves'!$C$136:$C$168</c:f>
              <c:numCache>
                <c:formatCode>General</c:formatCode>
                <c:ptCount val="33"/>
                <c:pt idx="0">
                  <c:v>422</c:v>
                </c:pt>
                <c:pt idx="1">
                  <c:v>841</c:v>
                </c:pt>
                <c:pt idx="2" formatCode="#,##0">
                  <c:v>1593</c:v>
                </c:pt>
                <c:pt idx="3" formatCode="#,##0">
                  <c:v>2986</c:v>
                </c:pt>
                <c:pt idx="4" formatCode="#,##0">
                  <c:v>4132</c:v>
                </c:pt>
                <c:pt idx="5" formatCode="#,##0">
                  <c:v>4401</c:v>
                </c:pt>
                <c:pt idx="6" formatCode="#,##0">
                  <c:v>7861</c:v>
                </c:pt>
                <c:pt idx="7" formatCode="#,##0">
                  <c:v>7395</c:v>
                </c:pt>
                <c:pt idx="8" formatCode="#,##0">
                  <c:v>6663</c:v>
                </c:pt>
                <c:pt idx="9" formatCode="#,##0">
                  <c:v>7364</c:v>
                </c:pt>
                <c:pt idx="10" formatCode="#,##0">
                  <c:v>8945</c:v>
                </c:pt>
                <c:pt idx="11" formatCode="#,##0">
                  <c:v>9091</c:v>
                </c:pt>
                <c:pt idx="12" formatCode="#,##0">
                  <c:v>9717</c:v>
                </c:pt>
                <c:pt idx="13" formatCode="#,##0">
                  <c:v>11009</c:v>
                </c:pt>
                <c:pt idx="14" formatCode="#,##0">
                  <c:v>14500</c:v>
                </c:pt>
                <c:pt idx="15" formatCode="#,##0">
                  <c:v>18364</c:v>
                </c:pt>
                <c:pt idx="16" formatCode="#,##0">
                  <c:v>14157</c:v>
                </c:pt>
                <c:pt idx="17" formatCode="#,##0">
                  <c:v>10744</c:v>
                </c:pt>
                <c:pt idx="18" formatCode="#,##0">
                  <c:v>11209</c:v>
                </c:pt>
                <c:pt idx="19" formatCode="#,##0">
                  <c:v>11378</c:v>
                </c:pt>
                <c:pt idx="20" formatCode="#,##0">
                  <c:v>13037</c:v>
                </c:pt>
                <c:pt idx="21" formatCode="#,##0">
                  <c:v>15761</c:v>
                </c:pt>
                <c:pt idx="22" formatCode="#,##0">
                  <c:v>18624</c:v>
                </c:pt>
                <c:pt idx="23" formatCode="#,##0">
                  <c:v>18320</c:v>
                </c:pt>
                <c:pt idx="24" formatCode="#,##0">
                  <c:v>15686</c:v>
                </c:pt>
                <c:pt idx="25" formatCode="#,##0">
                  <c:v>17512</c:v>
                </c:pt>
                <c:pt idx="26" formatCode="#,##0">
                  <c:v>17700</c:v>
                </c:pt>
                <c:pt idx="27" formatCode="#,##0">
                  <c:v>15801</c:v>
                </c:pt>
                <c:pt idx="28" formatCode="#,##0">
                  <c:v>14541</c:v>
                </c:pt>
                <c:pt idx="29" formatCode="#,##0">
                  <c:v>15970</c:v>
                </c:pt>
                <c:pt idx="30" formatCode="#,##0">
                  <c:v>17513</c:v>
                </c:pt>
                <c:pt idx="31" formatCode="#,##0">
                  <c:v>18067</c:v>
                </c:pt>
                <c:pt idx="32" formatCode="#,##0">
                  <c:v>15591</c:v>
                </c:pt>
              </c:numCache>
            </c:numRef>
          </c:val>
          <c:extLst xmlns:c16r2="http://schemas.microsoft.com/office/drawing/2015/06/chart">
            <c:ext xmlns:c16="http://schemas.microsoft.com/office/drawing/2014/chart" uri="{C3380CC4-5D6E-409C-BE32-E72D297353CC}">
              <c16:uniqueId val="{00000000-9229-471B-A003-B8DED7593071}"/>
            </c:ext>
          </c:extLst>
        </c:ser>
        <c:dLbls>
          <c:showLegendKey val="0"/>
          <c:showVal val="0"/>
          <c:showCatName val="0"/>
          <c:showSerName val="0"/>
          <c:showPercent val="0"/>
          <c:showBubbleSize val="0"/>
        </c:dLbls>
        <c:axId val="262827008"/>
        <c:axId val="290968064"/>
      </c:areaChart>
      <c:catAx>
        <c:axId val="262827008"/>
        <c:scaling>
          <c:orientation val="minMax"/>
        </c:scaling>
        <c:delete val="0"/>
        <c:axPos val="b"/>
        <c:numFmt formatCode="General" sourceLinked="0"/>
        <c:majorTickMark val="out"/>
        <c:minorTickMark val="none"/>
        <c:tickLblPos val="nextTo"/>
        <c:crossAx val="290968064"/>
        <c:crosses val="autoZero"/>
        <c:auto val="1"/>
        <c:lblAlgn val="ctr"/>
        <c:lblOffset val="100"/>
        <c:noMultiLvlLbl val="0"/>
      </c:catAx>
      <c:valAx>
        <c:axId val="290968064"/>
        <c:scaling>
          <c:orientation val="minMax"/>
        </c:scaling>
        <c:delete val="0"/>
        <c:axPos val="l"/>
        <c:majorGridlines/>
        <c:numFmt formatCode="General" sourceLinked="1"/>
        <c:majorTickMark val="out"/>
        <c:minorTickMark val="none"/>
        <c:tickLblPos val="nextTo"/>
        <c:crossAx val="262827008"/>
        <c:crosses val="autoZero"/>
        <c:crossBetween val="midCat"/>
      </c:valAx>
    </c:plotArea>
    <c:plotVisOnly val="1"/>
    <c:dispBlanksAs val="zero"/>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1"/>
        <c:ser>
          <c:idx val="0"/>
          <c:order val="0"/>
          <c:tx>
            <c:strRef>
              <c:f>'[Mergers &amp; Acquisitions (M&amp;A) - United States (1).xlsx]Waves'!$B$38</c:f>
              <c:strCache>
                <c:ptCount val="1"/>
              </c:strCache>
            </c:strRef>
          </c:tx>
          <c:cat>
            <c:strRef>
              <c:f>'[Mergers &amp; Acquisitions (M&amp;A) - United States (1).xlsx]Waves'!$A$39:$A$168</c:f>
              <c:strCache>
                <c:ptCount val="130"/>
                <c:pt idx="0">
                  <c:v>1888</c:v>
                </c:pt>
                <c:pt idx="1">
                  <c:v>1889</c:v>
                </c:pt>
                <c:pt idx="2">
                  <c:v>1890</c:v>
                </c:pt>
                <c:pt idx="3">
                  <c:v>1891</c:v>
                </c:pt>
                <c:pt idx="4">
                  <c:v>1892</c:v>
                </c:pt>
                <c:pt idx="5">
                  <c:v>1893</c:v>
                </c:pt>
                <c:pt idx="6">
                  <c:v>1894</c:v>
                </c:pt>
                <c:pt idx="7">
                  <c:v>1895</c:v>
                </c:pt>
                <c:pt idx="8">
                  <c:v>1896</c:v>
                </c:pt>
                <c:pt idx="9">
                  <c:v>1897</c:v>
                </c:pt>
                <c:pt idx="10">
                  <c:v>1898</c:v>
                </c:pt>
                <c:pt idx="11">
                  <c:v>1899</c:v>
                </c:pt>
                <c:pt idx="12">
                  <c:v>1900</c:v>
                </c:pt>
                <c:pt idx="13">
                  <c:v>1901</c:v>
                </c:pt>
                <c:pt idx="14">
                  <c:v>1902</c:v>
                </c:pt>
                <c:pt idx="15">
                  <c:v>1903</c:v>
                </c:pt>
                <c:pt idx="16">
                  <c:v>1904</c:v>
                </c:pt>
                <c:pt idx="17">
                  <c:v>1905</c:v>
                </c:pt>
                <c:pt idx="18">
                  <c:v>1906</c:v>
                </c:pt>
                <c:pt idx="19">
                  <c:v>1907</c:v>
                </c:pt>
                <c:pt idx="20">
                  <c:v>1908</c:v>
                </c:pt>
                <c:pt idx="21">
                  <c:v>1909</c:v>
                </c:pt>
                <c:pt idx="22">
                  <c:v>1910</c:v>
                </c:pt>
                <c:pt idx="23">
                  <c:v>1911</c:v>
                </c:pt>
                <c:pt idx="24">
                  <c:v>1912</c:v>
                </c:pt>
                <c:pt idx="25">
                  <c:v>1913</c:v>
                </c:pt>
                <c:pt idx="26">
                  <c:v>1914</c:v>
                </c:pt>
                <c:pt idx="27">
                  <c:v>1915</c:v>
                </c:pt>
                <c:pt idx="28">
                  <c:v>1916</c:v>
                </c:pt>
                <c:pt idx="29">
                  <c:v>1917</c:v>
                </c:pt>
                <c:pt idx="30">
                  <c:v>1918</c:v>
                </c:pt>
                <c:pt idx="31">
                  <c:v>1919</c:v>
                </c:pt>
                <c:pt idx="32">
                  <c:v>1920</c:v>
                </c:pt>
                <c:pt idx="33">
                  <c:v>1921</c:v>
                </c:pt>
                <c:pt idx="34">
                  <c:v>1922</c:v>
                </c:pt>
                <c:pt idx="35">
                  <c:v>1923</c:v>
                </c:pt>
                <c:pt idx="36">
                  <c:v>1924</c:v>
                </c:pt>
                <c:pt idx="37">
                  <c:v>1925</c:v>
                </c:pt>
                <c:pt idx="38">
                  <c:v>1926</c:v>
                </c:pt>
                <c:pt idx="39">
                  <c:v>1927</c:v>
                </c:pt>
                <c:pt idx="40">
                  <c:v>1928</c:v>
                </c:pt>
                <c:pt idx="41">
                  <c:v>1929</c:v>
                </c:pt>
                <c:pt idx="42">
                  <c:v>1930</c:v>
                </c:pt>
                <c:pt idx="43">
                  <c:v>1931</c:v>
                </c:pt>
                <c:pt idx="44">
                  <c:v>1932</c:v>
                </c:pt>
                <c:pt idx="45">
                  <c:v>1933</c:v>
                </c:pt>
                <c:pt idx="46">
                  <c:v>1934</c:v>
                </c:pt>
                <c:pt idx="47">
                  <c:v>1935</c:v>
                </c:pt>
                <c:pt idx="48">
                  <c:v>1936</c:v>
                </c:pt>
                <c:pt idx="49">
                  <c:v>1937</c:v>
                </c:pt>
                <c:pt idx="50">
                  <c:v>1938</c:v>
                </c:pt>
                <c:pt idx="51">
                  <c:v>1939</c:v>
                </c:pt>
                <c:pt idx="52">
                  <c:v>1940</c:v>
                </c:pt>
                <c:pt idx="53">
                  <c:v>1941</c:v>
                </c:pt>
                <c:pt idx="54">
                  <c:v>1942</c:v>
                </c:pt>
                <c:pt idx="55">
                  <c:v>1943</c:v>
                </c:pt>
                <c:pt idx="56">
                  <c:v>1944</c:v>
                </c:pt>
                <c:pt idx="57">
                  <c:v>1945</c:v>
                </c:pt>
                <c:pt idx="58">
                  <c:v>1946</c:v>
                </c:pt>
                <c:pt idx="59">
                  <c:v>1947</c:v>
                </c:pt>
                <c:pt idx="60">
                  <c:v>1948</c:v>
                </c:pt>
                <c:pt idx="61">
                  <c:v>1949</c:v>
                </c:pt>
                <c:pt idx="62">
                  <c:v>1950</c:v>
                </c:pt>
                <c:pt idx="63">
                  <c:v>1951</c:v>
                </c:pt>
                <c:pt idx="64">
                  <c:v>1952</c:v>
                </c:pt>
                <c:pt idx="65">
                  <c:v>1953</c:v>
                </c:pt>
                <c:pt idx="66">
                  <c:v>1954</c:v>
                </c:pt>
                <c:pt idx="67">
                  <c:v>1955</c:v>
                </c:pt>
                <c:pt idx="68">
                  <c:v>1956</c:v>
                </c:pt>
                <c:pt idx="69">
                  <c:v>1957</c:v>
                </c:pt>
                <c:pt idx="70">
                  <c:v>1958</c:v>
                </c:pt>
                <c:pt idx="71">
                  <c:v>1959</c:v>
                </c:pt>
                <c:pt idx="72">
                  <c:v>1960</c:v>
                </c:pt>
                <c:pt idx="73">
                  <c:v>1961</c:v>
                </c:pt>
                <c:pt idx="74">
                  <c:v>1962</c:v>
                </c:pt>
                <c:pt idx="75">
                  <c:v>1963</c:v>
                </c:pt>
                <c:pt idx="76">
                  <c:v>1964</c:v>
                </c:pt>
                <c:pt idx="77">
                  <c:v>1965</c:v>
                </c:pt>
                <c:pt idx="78">
                  <c:v>1966</c:v>
                </c:pt>
                <c:pt idx="79">
                  <c:v>1967</c:v>
                </c:pt>
                <c:pt idx="80">
                  <c:v>1968</c:v>
                </c:pt>
                <c:pt idx="81">
                  <c:v>1969</c:v>
                </c:pt>
                <c:pt idx="82">
                  <c:v>1970</c:v>
                </c:pt>
                <c:pt idx="83">
                  <c:v>1971</c:v>
                </c:pt>
                <c:pt idx="84">
                  <c:v>1972</c:v>
                </c:pt>
                <c:pt idx="85">
                  <c:v>1973</c:v>
                </c:pt>
                <c:pt idx="86">
                  <c:v>1974</c:v>
                </c:pt>
                <c:pt idx="87">
                  <c:v>1975</c:v>
                </c:pt>
                <c:pt idx="88">
                  <c:v>1976</c:v>
                </c:pt>
                <c:pt idx="89">
                  <c:v>1977</c:v>
                </c:pt>
                <c:pt idx="90">
                  <c:v>1978</c:v>
                </c:pt>
                <c:pt idx="91">
                  <c:v>1979</c:v>
                </c:pt>
                <c:pt idx="92">
                  <c:v>1980</c:v>
                </c:pt>
                <c:pt idx="93">
                  <c:v>1981</c:v>
                </c:pt>
                <c:pt idx="94">
                  <c:v>1982</c:v>
                </c:pt>
                <c:pt idx="95">
                  <c:v>1983</c:v>
                </c:pt>
                <c:pt idx="96">
                  <c:v>1984</c:v>
                </c:pt>
                <c:pt idx="97">
                  <c:v>1985</c:v>
                </c:pt>
                <c:pt idx="98">
                  <c:v>1986</c:v>
                </c:pt>
                <c:pt idx="99">
                  <c:v>1987</c:v>
                </c:pt>
                <c:pt idx="100">
                  <c:v>1988</c:v>
                </c:pt>
                <c:pt idx="101">
                  <c:v>1989</c:v>
                </c:pt>
                <c:pt idx="102">
                  <c:v>1990</c:v>
                </c:pt>
                <c:pt idx="103">
                  <c:v>1991</c:v>
                </c:pt>
                <c:pt idx="104">
                  <c:v>1992</c:v>
                </c:pt>
                <c:pt idx="105">
                  <c:v>1993</c:v>
                </c:pt>
                <c:pt idx="106">
                  <c:v>1994</c:v>
                </c:pt>
                <c:pt idx="107">
                  <c:v>1995</c:v>
                </c:pt>
                <c:pt idx="108">
                  <c:v>1996</c:v>
                </c:pt>
                <c:pt idx="109">
                  <c:v>1997</c:v>
                </c:pt>
                <c:pt idx="110">
                  <c:v>1998</c:v>
                </c:pt>
                <c:pt idx="111">
                  <c:v>1999</c:v>
                </c:pt>
                <c:pt idx="112">
                  <c:v>2000</c:v>
                </c:pt>
                <c:pt idx="113">
                  <c:v>2001</c:v>
                </c:pt>
                <c:pt idx="114">
                  <c:v>2002</c:v>
                </c:pt>
                <c:pt idx="115">
                  <c:v>2003</c:v>
                </c:pt>
                <c:pt idx="116">
                  <c:v>2004</c:v>
                </c:pt>
                <c:pt idx="117">
                  <c:v>2005</c:v>
                </c:pt>
                <c:pt idx="118">
                  <c:v>2006</c:v>
                </c:pt>
                <c:pt idx="119">
                  <c:v>2007</c:v>
                </c:pt>
                <c:pt idx="120">
                  <c:v>2008</c:v>
                </c:pt>
                <c:pt idx="121">
                  <c:v>2009</c:v>
                </c:pt>
                <c:pt idx="122">
                  <c:v>2010</c:v>
                </c:pt>
                <c:pt idx="123">
                  <c:v>2011</c:v>
                </c:pt>
                <c:pt idx="124">
                  <c:v>2012</c:v>
                </c:pt>
                <c:pt idx="125">
                  <c:v>2013</c:v>
                </c:pt>
                <c:pt idx="126">
                  <c:v>2014</c:v>
                </c:pt>
                <c:pt idx="127">
                  <c:v>2015</c:v>
                </c:pt>
                <c:pt idx="128">
                  <c:v>2016</c:v>
                </c:pt>
                <c:pt idx="129">
                  <c:v>2017 (Forecast)</c:v>
                </c:pt>
              </c:strCache>
            </c:strRef>
          </c:cat>
          <c:val>
            <c:numRef>
              <c:f>'[Mergers &amp; Acquisitions (M&amp;A) - United States (1).xlsx]Waves'!$B$39:$B$168</c:f>
              <c:numCache>
                <c:formatCode>General</c:formatCode>
                <c:ptCount val="130"/>
                <c:pt idx="8">
                  <c:v>0</c:v>
                </c:pt>
                <c:pt idx="16">
                  <c:v>0</c:v>
                </c:pt>
                <c:pt idx="34">
                  <c:v>0</c:v>
                </c:pt>
                <c:pt idx="46">
                  <c:v>0</c:v>
                </c:pt>
                <c:pt idx="75">
                  <c:v>0</c:v>
                </c:pt>
                <c:pt idx="86">
                  <c:v>0</c:v>
                </c:pt>
                <c:pt idx="97">
                  <c:v>0</c:v>
                </c:pt>
                <c:pt idx="103">
                  <c:v>0</c:v>
                </c:pt>
                <c:pt idx="106">
                  <c:v>0</c:v>
                </c:pt>
                <c:pt idx="113">
                  <c:v>0</c:v>
                </c:pt>
                <c:pt idx="115">
                  <c:v>0</c:v>
                </c:pt>
                <c:pt idx="121">
                  <c:v>0</c:v>
                </c:pt>
                <c:pt idx="124">
                  <c:v>0</c:v>
                </c:pt>
              </c:numCache>
            </c:numRef>
          </c:val>
          <c:extLst xmlns:c16r2="http://schemas.microsoft.com/office/drawing/2015/06/chart">
            <c:ext xmlns:c16="http://schemas.microsoft.com/office/drawing/2014/chart" uri="{C3380CC4-5D6E-409C-BE32-E72D297353CC}">
              <c16:uniqueId val="{00000000-BF6B-41A1-91B7-3501FB471ACF}"/>
            </c:ext>
          </c:extLst>
        </c:ser>
        <c:ser>
          <c:idx val="1"/>
          <c:order val="1"/>
          <c:tx>
            <c:strRef>
              <c:f>'[Mergers &amp; Acquisitions (M&amp;A) - United States (1).xlsx]Waves'!$C$38</c:f>
              <c:strCache>
                <c:ptCount val="1"/>
                <c:pt idx="0">
                  <c:v>2</c:v>
                </c:pt>
              </c:strCache>
            </c:strRef>
          </c:tx>
          <c:cat>
            <c:strRef>
              <c:f>'[Mergers &amp; Acquisitions (M&amp;A) - United States (1).xlsx]Waves'!$A$39:$A$168</c:f>
              <c:strCache>
                <c:ptCount val="130"/>
                <c:pt idx="0">
                  <c:v>1888</c:v>
                </c:pt>
                <c:pt idx="1">
                  <c:v>1889</c:v>
                </c:pt>
                <c:pt idx="2">
                  <c:v>1890</c:v>
                </c:pt>
                <c:pt idx="3">
                  <c:v>1891</c:v>
                </c:pt>
                <c:pt idx="4">
                  <c:v>1892</c:v>
                </c:pt>
                <c:pt idx="5">
                  <c:v>1893</c:v>
                </c:pt>
                <c:pt idx="6">
                  <c:v>1894</c:v>
                </c:pt>
                <c:pt idx="7">
                  <c:v>1895</c:v>
                </c:pt>
                <c:pt idx="8">
                  <c:v>1896</c:v>
                </c:pt>
                <c:pt idx="9">
                  <c:v>1897</c:v>
                </c:pt>
                <c:pt idx="10">
                  <c:v>1898</c:v>
                </c:pt>
                <c:pt idx="11">
                  <c:v>1899</c:v>
                </c:pt>
                <c:pt idx="12">
                  <c:v>1900</c:v>
                </c:pt>
                <c:pt idx="13">
                  <c:v>1901</c:v>
                </c:pt>
                <c:pt idx="14">
                  <c:v>1902</c:v>
                </c:pt>
                <c:pt idx="15">
                  <c:v>1903</c:v>
                </c:pt>
                <c:pt idx="16">
                  <c:v>1904</c:v>
                </c:pt>
                <c:pt idx="17">
                  <c:v>1905</c:v>
                </c:pt>
                <c:pt idx="18">
                  <c:v>1906</c:v>
                </c:pt>
                <c:pt idx="19">
                  <c:v>1907</c:v>
                </c:pt>
                <c:pt idx="20">
                  <c:v>1908</c:v>
                </c:pt>
                <c:pt idx="21">
                  <c:v>1909</c:v>
                </c:pt>
                <c:pt idx="22">
                  <c:v>1910</c:v>
                </c:pt>
                <c:pt idx="23">
                  <c:v>1911</c:v>
                </c:pt>
                <c:pt idx="24">
                  <c:v>1912</c:v>
                </c:pt>
                <c:pt idx="25">
                  <c:v>1913</c:v>
                </c:pt>
                <c:pt idx="26">
                  <c:v>1914</c:v>
                </c:pt>
                <c:pt idx="27">
                  <c:v>1915</c:v>
                </c:pt>
                <c:pt idx="28">
                  <c:v>1916</c:v>
                </c:pt>
                <c:pt idx="29">
                  <c:v>1917</c:v>
                </c:pt>
                <c:pt idx="30">
                  <c:v>1918</c:v>
                </c:pt>
                <c:pt idx="31">
                  <c:v>1919</c:v>
                </c:pt>
                <c:pt idx="32">
                  <c:v>1920</c:v>
                </c:pt>
                <c:pt idx="33">
                  <c:v>1921</c:v>
                </c:pt>
                <c:pt idx="34">
                  <c:v>1922</c:v>
                </c:pt>
                <c:pt idx="35">
                  <c:v>1923</c:v>
                </c:pt>
                <c:pt idx="36">
                  <c:v>1924</c:v>
                </c:pt>
                <c:pt idx="37">
                  <c:v>1925</c:v>
                </c:pt>
                <c:pt idx="38">
                  <c:v>1926</c:v>
                </c:pt>
                <c:pt idx="39">
                  <c:v>1927</c:v>
                </c:pt>
                <c:pt idx="40">
                  <c:v>1928</c:v>
                </c:pt>
                <c:pt idx="41">
                  <c:v>1929</c:v>
                </c:pt>
                <c:pt idx="42">
                  <c:v>1930</c:v>
                </c:pt>
                <c:pt idx="43">
                  <c:v>1931</c:v>
                </c:pt>
                <c:pt idx="44">
                  <c:v>1932</c:v>
                </c:pt>
                <c:pt idx="45">
                  <c:v>1933</c:v>
                </c:pt>
                <c:pt idx="46">
                  <c:v>1934</c:v>
                </c:pt>
                <c:pt idx="47">
                  <c:v>1935</c:v>
                </c:pt>
                <c:pt idx="48">
                  <c:v>1936</c:v>
                </c:pt>
                <c:pt idx="49">
                  <c:v>1937</c:v>
                </c:pt>
                <c:pt idx="50">
                  <c:v>1938</c:v>
                </c:pt>
                <c:pt idx="51">
                  <c:v>1939</c:v>
                </c:pt>
                <c:pt idx="52">
                  <c:v>1940</c:v>
                </c:pt>
                <c:pt idx="53">
                  <c:v>1941</c:v>
                </c:pt>
                <c:pt idx="54">
                  <c:v>1942</c:v>
                </c:pt>
                <c:pt idx="55">
                  <c:v>1943</c:v>
                </c:pt>
                <c:pt idx="56">
                  <c:v>1944</c:v>
                </c:pt>
                <c:pt idx="57">
                  <c:v>1945</c:v>
                </c:pt>
                <c:pt idx="58">
                  <c:v>1946</c:v>
                </c:pt>
                <c:pt idx="59">
                  <c:v>1947</c:v>
                </c:pt>
                <c:pt idx="60">
                  <c:v>1948</c:v>
                </c:pt>
                <c:pt idx="61">
                  <c:v>1949</c:v>
                </c:pt>
                <c:pt idx="62">
                  <c:v>1950</c:v>
                </c:pt>
                <c:pt idx="63">
                  <c:v>1951</c:v>
                </c:pt>
                <c:pt idx="64">
                  <c:v>1952</c:v>
                </c:pt>
                <c:pt idx="65">
                  <c:v>1953</c:v>
                </c:pt>
                <c:pt idx="66">
                  <c:v>1954</c:v>
                </c:pt>
                <c:pt idx="67">
                  <c:v>1955</c:v>
                </c:pt>
                <c:pt idx="68">
                  <c:v>1956</c:v>
                </c:pt>
                <c:pt idx="69">
                  <c:v>1957</c:v>
                </c:pt>
                <c:pt idx="70">
                  <c:v>1958</c:v>
                </c:pt>
                <c:pt idx="71">
                  <c:v>1959</c:v>
                </c:pt>
                <c:pt idx="72">
                  <c:v>1960</c:v>
                </c:pt>
                <c:pt idx="73">
                  <c:v>1961</c:v>
                </c:pt>
                <c:pt idx="74">
                  <c:v>1962</c:v>
                </c:pt>
                <c:pt idx="75">
                  <c:v>1963</c:v>
                </c:pt>
                <c:pt idx="76">
                  <c:v>1964</c:v>
                </c:pt>
                <c:pt idx="77">
                  <c:v>1965</c:v>
                </c:pt>
                <c:pt idx="78">
                  <c:v>1966</c:v>
                </c:pt>
                <c:pt idx="79">
                  <c:v>1967</c:v>
                </c:pt>
                <c:pt idx="80">
                  <c:v>1968</c:v>
                </c:pt>
                <c:pt idx="81">
                  <c:v>1969</c:v>
                </c:pt>
                <c:pt idx="82">
                  <c:v>1970</c:v>
                </c:pt>
                <c:pt idx="83">
                  <c:v>1971</c:v>
                </c:pt>
                <c:pt idx="84">
                  <c:v>1972</c:v>
                </c:pt>
                <c:pt idx="85">
                  <c:v>1973</c:v>
                </c:pt>
                <c:pt idx="86">
                  <c:v>1974</c:v>
                </c:pt>
                <c:pt idx="87">
                  <c:v>1975</c:v>
                </c:pt>
                <c:pt idx="88">
                  <c:v>1976</c:v>
                </c:pt>
                <c:pt idx="89">
                  <c:v>1977</c:v>
                </c:pt>
                <c:pt idx="90">
                  <c:v>1978</c:v>
                </c:pt>
                <c:pt idx="91">
                  <c:v>1979</c:v>
                </c:pt>
                <c:pt idx="92">
                  <c:v>1980</c:v>
                </c:pt>
                <c:pt idx="93">
                  <c:v>1981</c:v>
                </c:pt>
                <c:pt idx="94">
                  <c:v>1982</c:v>
                </c:pt>
                <c:pt idx="95">
                  <c:v>1983</c:v>
                </c:pt>
                <c:pt idx="96">
                  <c:v>1984</c:v>
                </c:pt>
                <c:pt idx="97">
                  <c:v>1985</c:v>
                </c:pt>
                <c:pt idx="98">
                  <c:v>1986</c:v>
                </c:pt>
                <c:pt idx="99">
                  <c:v>1987</c:v>
                </c:pt>
                <c:pt idx="100">
                  <c:v>1988</c:v>
                </c:pt>
                <c:pt idx="101">
                  <c:v>1989</c:v>
                </c:pt>
                <c:pt idx="102">
                  <c:v>1990</c:v>
                </c:pt>
                <c:pt idx="103">
                  <c:v>1991</c:v>
                </c:pt>
                <c:pt idx="104">
                  <c:v>1992</c:v>
                </c:pt>
                <c:pt idx="105">
                  <c:v>1993</c:v>
                </c:pt>
                <c:pt idx="106">
                  <c:v>1994</c:v>
                </c:pt>
                <c:pt idx="107">
                  <c:v>1995</c:v>
                </c:pt>
                <c:pt idx="108">
                  <c:v>1996</c:v>
                </c:pt>
                <c:pt idx="109">
                  <c:v>1997</c:v>
                </c:pt>
                <c:pt idx="110">
                  <c:v>1998</c:v>
                </c:pt>
                <c:pt idx="111">
                  <c:v>1999</c:v>
                </c:pt>
                <c:pt idx="112">
                  <c:v>2000</c:v>
                </c:pt>
                <c:pt idx="113">
                  <c:v>2001</c:v>
                </c:pt>
                <c:pt idx="114">
                  <c:v>2002</c:v>
                </c:pt>
                <c:pt idx="115">
                  <c:v>2003</c:v>
                </c:pt>
                <c:pt idx="116">
                  <c:v>2004</c:v>
                </c:pt>
                <c:pt idx="117">
                  <c:v>2005</c:v>
                </c:pt>
                <c:pt idx="118">
                  <c:v>2006</c:v>
                </c:pt>
                <c:pt idx="119">
                  <c:v>2007</c:v>
                </c:pt>
                <c:pt idx="120">
                  <c:v>2008</c:v>
                </c:pt>
                <c:pt idx="121">
                  <c:v>2009</c:v>
                </c:pt>
                <c:pt idx="122">
                  <c:v>2010</c:v>
                </c:pt>
                <c:pt idx="123">
                  <c:v>2011</c:v>
                </c:pt>
                <c:pt idx="124">
                  <c:v>2012</c:v>
                </c:pt>
                <c:pt idx="125">
                  <c:v>2013</c:v>
                </c:pt>
                <c:pt idx="126">
                  <c:v>2014</c:v>
                </c:pt>
                <c:pt idx="127">
                  <c:v>2015</c:v>
                </c:pt>
                <c:pt idx="128">
                  <c:v>2016</c:v>
                </c:pt>
                <c:pt idx="129">
                  <c:v>2017 (Forecast)</c:v>
                </c:pt>
              </c:strCache>
            </c:strRef>
          </c:cat>
          <c:val>
            <c:numRef>
              <c:f>'[Mergers &amp; Acquisitions (M&amp;A) - United States (1).xlsx]Waves'!$C$39:$C$168</c:f>
              <c:numCache>
                <c:formatCode>General</c:formatCode>
                <c:ptCount val="130"/>
                <c:pt idx="0">
                  <c:v>3</c:v>
                </c:pt>
                <c:pt idx="1">
                  <c:v>12</c:v>
                </c:pt>
                <c:pt idx="2">
                  <c:v>15</c:v>
                </c:pt>
                <c:pt idx="3">
                  <c:v>16</c:v>
                </c:pt>
                <c:pt idx="4">
                  <c:v>15</c:v>
                </c:pt>
                <c:pt idx="5">
                  <c:v>11</c:v>
                </c:pt>
                <c:pt idx="6">
                  <c:v>4</c:v>
                </c:pt>
                <c:pt idx="7">
                  <c:v>42</c:v>
                </c:pt>
                <c:pt idx="8">
                  <c:v>11</c:v>
                </c:pt>
                <c:pt idx="9">
                  <c:v>63</c:v>
                </c:pt>
                <c:pt idx="10">
                  <c:v>291</c:v>
                </c:pt>
                <c:pt idx="11">
                  <c:v>1125</c:v>
                </c:pt>
                <c:pt idx="12">
                  <c:v>315</c:v>
                </c:pt>
                <c:pt idx="13">
                  <c:v>390</c:v>
                </c:pt>
                <c:pt idx="14">
                  <c:v>333</c:v>
                </c:pt>
                <c:pt idx="15">
                  <c:v>116</c:v>
                </c:pt>
                <c:pt idx="16">
                  <c:v>63</c:v>
                </c:pt>
                <c:pt idx="17">
                  <c:v>199</c:v>
                </c:pt>
                <c:pt idx="18">
                  <c:v>98</c:v>
                </c:pt>
                <c:pt idx="19">
                  <c:v>85</c:v>
                </c:pt>
                <c:pt idx="20">
                  <c:v>41</c:v>
                </c:pt>
                <c:pt idx="21">
                  <c:v>39</c:v>
                </c:pt>
                <c:pt idx="22">
                  <c:v>134</c:v>
                </c:pt>
                <c:pt idx="23">
                  <c:v>94</c:v>
                </c:pt>
                <c:pt idx="24">
                  <c:v>76</c:v>
                </c:pt>
                <c:pt idx="25">
                  <c:v>68</c:v>
                </c:pt>
                <c:pt idx="26">
                  <c:v>35</c:v>
                </c:pt>
                <c:pt idx="27">
                  <c:v>62</c:v>
                </c:pt>
                <c:pt idx="28">
                  <c:v>107</c:v>
                </c:pt>
                <c:pt idx="29">
                  <c:v>174</c:v>
                </c:pt>
                <c:pt idx="30">
                  <c:v>61</c:v>
                </c:pt>
                <c:pt idx="31">
                  <c:v>411</c:v>
                </c:pt>
                <c:pt idx="32">
                  <c:v>749</c:v>
                </c:pt>
                <c:pt idx="33">
                  <c:v>485</c:v>
                </c:pt>
                <c:pt idx="34">
                  <c:v>297</c:v>
                </c:pt>
                <c:pt idx="35">
                  <c:v>300</c:v>
                </c:pt>
                <c:pt idx="36">
                  <c:v>353</c:v>
                </c:pt>
                <c:pt idx="37">
                  <c:v>530</c:v>
                </c:pt>
                <c:pt idx="38">
                  <c:v>839</c:v>
                </c:pt>
                <c:pt idx="39">
                  <c:v>841</c:v>
                </c:pt>
                <c:pt idx="40">
                  <c:v>1028</c:v>
                </c:pt>
                <c:pt idx="41">
                  <c:v>1216</c:v>
                </c:pt>
                <c:pt idx="42">
                  <c:v>786</c:v>
                </c:pt>
                <c:pt idx="43">
                  <c:v>463</c:v>
                </c:pt>
                <c:pt idx="44">
                  <c:v>195</c:v>
                </c:pt>
                <c:pt idx="45">
                  <c:v>107</c:v>
                </c:pt>
                <c:pt idx="46">
                  <c:v>101</c:v>
                </c:pt>
                <c:pt idx="47">
                  <c:v>125</c:v>
                </c:pt>
                <c:pt idx="48">
                  <c:v>123</c:v>
                </c:pt>
                <c:pt idx="49">
                  <c:v>119</c:v>
                </c:pt>
                <c:pt idx="50">
                  <c:v>107</c:v>
                </c:pt>
                <c:pt idx="51">
                  <c:v>87</c:v>
                </c:pt>
                <c:pt idx="52">
                  <c:v>140</c:v>
                </c:pt>
                <c:pt idx="53">
                  <c:v>111</c:v>
                </c:pt>
                <c:pt idx="54">
                  <c:v>118</c:v>
                </c:pt>
                <c:pt idx="55">
                  <c:v>213</c:v>
                </c:pt>
                <c:pt idx="56">
                  <c:v>324</c:v>
                </c:pt>
                <c:pt idx="57">
                  <c:v>333</c:v>
                </c:pt>
                <c:pt idx="58">
                  <c:v>419</c:v>
                </c:pt>
                <c:pt idx="59">
                  <c:v>404</c:v>
                </c:pt>
                <c:pt idx="60">
                  <c:v>219</c:v>
                </c:pt>
                <c:pt idx="61">
                  <c:v>121</c:v>
                </c:pt>
                <c:pt idx="62">
                  <c:v>219</c:v>
                </c:pt>
                <c:pt idx="63">
                  <c:v>227</c:v>
                </c:pt>
                <c:pt idx="64">
                  <c:v>288</c:v>
                </c:pt>
                <c:pt idx="65">
                  <c:v>295</c:v>
                </c:pt>
                <c:pt idx="66">
                  <c:v>387</c:v>
                </c:pt>
                <c:pt idx="67">
                  <c:v>683</c:v>
                </c:pt>
                <c:pt idx="68">
                  <c:v>673</c:v>
                </c:pt>
                <c:pt idx="69">
                  <c:v>585</c:v>
                </c:pt>
                <c:pt idx="70">
                  <c:v>589</c:v>
                </c:pt>
                <c:pt idx="71">
                  <c:v>835</c:v>
                </c:pt>
                <c:pt idx="72">
                  <c:v>844</c:v>
                </c:pt>
                <c:pt idx="73">
                  <c:v>954</c:v>
                </c:pt>
                <c:pt idx="74">
                  <c:v>1260</c:v>
                </c:pt>
                <c:pt idx="75">
                  <c:v>1361</c:v>
                </c:pt>
                <c:pt idx="76">
                  <c:v>1950</c:v>
                </c:pt>
                <c:pt idx="77">
                  <c:v>2125</c:v>
                </c:pt>
                <c:pt idx="78">
                  <c:v>2377</c:v>
                </c:pt>
                <c:pt idx="79">
                  <c:v>2975</c:v>
                </c:pt>
                <c:pt idx="80">
                  <c:v>4462</c:v>
                </c:pt>
                <c:pt idx="81">
                  <c:v>6107</c:v>
                </c:pt>
                <c:pt idx="82">
                  <c:v>5152</c:v>
                </c:pt>
                <c:pt idx="83">
                  <c:v>4608</c:v>
                </c:pt>
                <c:pt idx="84">
                  <c:v>4801</c:v>
                </c:pt>
                <c:pt idx="85">
                  <c:v>4040</c:v>
                </c:pt>
                <c:pt idx="86">
                  <c:v>2861</c:v>
                </c:pt>
                <c:pt idx="87">
                  <c:v>2297</c:v>
                </c:pt>
                <c:pt idx="88">
                  <c:v>2276</c:v>
                </c:pt>
                <c:pt idx="89">
                  <c:v>2224</c:v>
                </c:pt>
                <c:pt idx="90">
                  <c:v>2106</c:v>
                </c:pt>
                <c:pt idx="91">
                  <c:v>2128</c:v>
                </c:pt>
                <c:pt idx="92">
                  <c:v>1889</c:v>
                </c:pt>
                <c:pt idx="93">
                  <c:v>2395</c:v>
                </c:pt>
                <c:pt idx="94">
                  <c:v>2346</c:v>
                </c:pt>
                <c:pt idx="95">
                  <c:v>2533</c:v>
                </c:pt>
                <c:pt idx="96">
                  <c:v>2543</c:v>
                </c:pt>
                <c:pt idx="97">
                  <c:v>2807</c:v>
                </c:pt>
                <c:pt idx="98">
                  <c:v>3794</c:v>
                </c:pt>
                <c:pt idx="99">
                  <c:v>4081</c:v>
                </c:pt>
                <c:pt idx="100">
                  <c:v>5047</c:v>
                </c:pt>
                <c:pt idx="101">
                  <c:v>6919</c:v>
                </c:pt>
                <c:pt idx="102">
                  <c:v>6934</c:v>
                </c:pt>
                <c:pt idx="103">
                  <c:v>6715</c:v>
                </c:pt>
                <c:pt idx="104">
                  <c:v>6898</c:v>
                </c:pt>
                <c:pt idx="105">
                  <c:v>8038</c:v>
                </c:pt>
                <c:pt idx="106">
                  <c:v>9434</c:v>
                </c:pt>
                <c:pt idx="107">
                  <c:v>11204</c:v>
                </c:pt>
                <c:pt idx="108">
                  <c:v>12620</c:v>
                </c:pt>
                <c:pt idx="109">
                  <c:v>13876</c:v>
                </c:pt>
                <c:pt idx="110">
                  <c:v>15453</c:v>
                </c:pt>
                <c:pt idx="111">
                  <c:v>13818</c:v>
                </c:pt>
                <c:pt idx="112">
                  <c:v>14166</c:v>
                </c:pt>
                <c:pt idx="113">
                  <c:v>9722</c:v>
                </c:pt>
                <c:pt idx="114">
                  <c:v>8675</c:v>
                </c:pt>
                <c:pt idx="115">
                  <c:v>9378</c:v>
                </c:pt>
                <c:pt idx="116">
                  <c:v>10790</c:v>
                </c:pt>
                <c:pt idx="117">
                  <c:v>11514</c:v>
                </c:pt>
                <c:pt idx="118">
                  <c:v>13173</c:v>
                </c:pt>
                <c:pt idx="119">
                  <c:v>14220</c:v>
                </c:pt>
                <c:pt idx="120">
                  <c:v>11961</c:v>
                </c:pt>
                <c:pt idx="121">
                  <c:v>9681</c:v>
                </c:pt>
                <c:pt idx="122">
                  <c:v>10456</c:v>
                </c:pt>
                <c:pt idx="123">
                  <c:v>10762</c:v>
                </c:pt>
                <c:pt idx="124">
                  <c:v>10840</c:v>
                </c:pt>
                <c:pt idx="125">
                  <c:v>11012</c:v>
                </c:pt>
                <c:pt idx="126">
                  <c:v>12304</c:v>
                </c:pt>
                <c:pt idx="127">
                  <c:v>12892</c:v>
                </c:pt>
                <c:pt idx="128">
                  <c:v>13407</c:v>
                </c:pt>
                <c:pt idx="129">
                  <c:v>14500</c:v>
                </c:pt>
              </c:numCache>
            </c:numRef>
          </c:val>
          <c:extLst xmlns:c16r2="http://schemas.microsoft.com/office/drawing/2015/06/chart">
            <c:ext xmlns:c16="http://schemas.microsoft.com/office/drawing/2014/chart" uri="{C3380CC4-5D6E-409C-BE32-E72D297353CC}">
              <c16:uniqueId val="{00000001-BF6B-41A1-91B7-3501FB471ACF}"/>
            </c:ext>
          </c:extLst>
        </c:ser>
        <c:dLbls>
          <c:showLegendKey val="0"/>
          <c:showVal val="0"/>
          <c:showCatName val="0"/>
          <c:showSerName val="0"/>
          <c:showPercent val="0"/>
          <c:showBubbleSize val="0"/>
        </c:dLbls>
        <c:axId val="266695680"/>
        <c:axId val="290970368"/>
      </c:areaChart>
      <c:catAx>
        <c:axId val="266695680"/>
        <c:scaling>
          <c:orientation val="minMax"/>
        </c:scaling>
        <c:delete val="0"/>
        <c:axPos val="b"/>
        <c:numFmt formatCode="General" sourceLinked="0"/>
        <c:majorTickMark val="cross"/>
        <c:minorTickMark val="cross"/>
        <c:tickLblPos val="nextTo"/>
        <c:txPr>
          <a:bodyPr rot="-5400000"/>
          <a:lstStyle/>
          <a:p>
            <a:pPr>
              <a:defRPr/>
            </a:pPr>
            <a:endParaRPr lang="ru-RU"/>
          </a:p>
        </c:txPr>
        <c:crossAx val="290970368"/>
        <c:crosses val="autoZero"/>
        <c:auto val="1"/>
        <c:lblAlgn val="ctr"/>
        <c:lblOffset val="100"/>
        <c:noMultiLvlLbl val="1"/>
      </c:catAx>
      <c:valAx>
        <c:axId val="290970368"/>
        <c:scaling>
          <c:orientation val="minMax"/>
        </c:scaling>
        <c:delete val="0"/>
        <c:axPos val="l"/>
        <c:majorGridlines/>
        <c:title>
          <c:tx>
            <c:rich>
              <a:bodyPr/>
              <a:lstStyle/>
              <a:p>
                <a:pPr>
                  <a:defRPr/>
                </a:pPr>
                <a:r>
                  <a:rPr lang="ru-RU" b="0"/>
                  <a:t>Количество сделок</a:t>
                </a:r>
                <a:endParaRPr lang="en-US" b="0"/>
              </a:p>
            </c:rich>
          </c:tx>
          <c:overlay val="0"/>
        </c:title>
        <c:numFmt formatCode="General" sourceLinked="1"/>
        <c:majorTickMark val="cross"/>
        <c:minorTickMark val="cross"/>
        <c:tickLblPos val="nextTo"/>
        <c:crossAx val="266695680"/>
        <c:crosses val="autoZero"/>
        <c:crossBetween val="midCat"/>
      </c:valAx>
    </c:plotArea>
    <c:plotVisOnly val="1"/>
    <c:dispBlanksAs val="zero"/>
    <c:showDLblsOverMax val="1"/>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226492933442608"/>
          <c:y val="4.9217002237136466E-2"/>
          <c:w val="0.76632518267232408"/>
          <c:h val="0.59792262275531982"/>
        </c:manualLayout>
      </c:layout>
      <c:barChart>
        <c:barDir val="col"/>
        <c:grouping val="clustered"/>
        <c:varyColors val="1"/>
        <c:ser>
          <c:idx val="0"/>
          <c:order val="0"/>
          <c:tx>
            <c:strRef>
              <c:f>'[Mergers &amp; Acquisitions (M&amp;A) - United States.xlsx]Annually'!$B$1</c:f>
              <c:strCache>
                <c:ptCount val="1"/>
                <c:pt idx="0">
                  <c:v>Кол-во</c:v>
                </c:pt>
              </c:strCache>
            </c:strRef>
          </c:tx>
          <c:invertIfNegative val="1"/>
          <c:cat>
            <c:strRef>
              <c:f>'[Mergers &amp; Acquisitions (M&amp;A) - United States.xlsx]Annually'!$A$29:$A$36</c:f>
              <c:strCache>
                <c:ptCount val="8"/>
                <c:pt idx="0">
                  <c:v>2011</c:v>
                </c:pt>
                <c:pt idx="1">
                  <c:v>2012</c:v>
                </c:pt>
                <c:pt idx="2">
                  <c:v>2013</c:v>
                </c:pt>
                <c:pt idx="3">
                  <c:v>2014</c:v>
                </c:pt>
                <c:pt idx="4">
                  <c:v>2015</c:v>
                </c:pt>
                <c:pt idx="5">
                  <c:v>2016</c:v>
                </c:pt>
                <c:pt idx="6">
                  <c:v>2017 (Дек. 05)</c:v>
                </c:pt>
                <c:pt idx="7">
                  <c:v>2017 (Прогноз)</c:v>
                </c:pt>
              </c:strCache>
            </c:strRef>
          </c:cat>
          <c:val>
            <c:numRef>
              <c:f>'[Mergers &amp; Acquisitions (M&amp;A) - United States.xlsx]Annually'!$B$29:$B$36</c:f>
              <c:numCache>
                <c:formatCode>#,##0</c:formatCode>
                <c:ptCount val="8"/>
                <c:pt idx="0">
                  <c:v>10641</c:v>
                </c:pt>
                <c:pt idx="1">
                  <c:v>10710</c:v>
                </c:pt>
                <c:pt idx="2">
                  <c:v>10915</c:v>
                </c:pt>
                <c:pt idx="3">
                  <c:v>12311</c:v>
                </c:pt>
                <c:pt idx="4">
                  <c:v>12906</c:v>
                </c:pt>
                <c:pt idx="5">
                  <c:v>13445</c:v>
                </c:pt>
                <c:pt idx="6">
                  <c:v>12956</c:v>
                </c:pt>
                <c:pt idx="7">
                  <c:v>13909</c:v>
                </c:pt>
              </c:numCache>
            </c:numRef>
          </c:val>
          <c:extLst xmlns:c16r2="http://schemas.microsoft.com/office/drawing/2015/06/chart">
            <c:ext xmlns:c16="http://schemas.microsoft.com/office/drawing/2014/chart" uri="{C3380CC4-5D6E-409C-BE32-E72D297353CC}">
              <c16:uniqueId val="{00000000-2CC3-4BCC-B524-12AB7218AC59}"/>
            </c:ext>
          </c:extLst>
        </c:ser>
        <c:dLbls>
          <c:showLegendKey val="0"/>
          <c:showVal val="0"/>
          <c:showCatName val="0"/>
          <c:showSerName val="0"/>
          <c:showPercent val="0"/>
          <c:showBubbleSize val="0"/>
        </c:dLbls>
        <c:gapWidth val="150"/>
        <c:axId val="180087296"/>
        <c:axId val="262286144"/>
      </c:barChart>
      <c:lineChart>
        <c:grouping val="standard"/>
        <c:varyColors val="0"/>
        <c:ser>
          <c:idx val="1"/>
          <c:order val="1"/>
          <c:tx>
            <c:strRef>
              <c:f>'[Mergers &amp; Acquisitions (M&amp;A) - United States.xlsx]Annually'!$C$1</c:f>
              <c:strCache>
                <c:ptCount val="1"/>
                <c:pt idx="0">
                  <c:v>Стоимость</c:v>
                </c:pt>
              </c:strCache>
            </c:strRef>
          </c:tx>
          <c:marker>
            <c:symbol val="none"/>
          </c:marker>
          <c:cat>
            <c:strRef>
              <c:f>'[Mergers &amp; Acquisitions (M&amp;A) - United States.xlsx]Annually'!$A$29:$A$36</c:f>
              <c:strCache>
                <c:ptCount val="8"/>
                <c:pt idx="0">
                  <c:v>2011</c:v>
                </c:pt>
                <c:pt idx="1">
                  <c:v>2012</c:v>
                </c:pt>
                <c:pt idx="2">
                  <c:v>2013</c:v>
                </c:pt>
                <c:pt idx="3">
                  <c:v>2014</c:v>
                </c:pt>
                <c:pt idx="4">
                  <c:v>2015</c:v>
                </c:pt>
                <c:pt idx="5">
                  <c:v>2016</c:v>
                </c:pt>
                <c:pt idx="6">
                  <c:v>2017 (Дек. 05)</c:v>
                </c:pt>
                <c:pt idx="7">
                  <c:v>2017 (Прогноз)</c:v>
                </c:pt>
              </c:strCache>
            </c:strRef>
          </c:cat>
          <c:val>
            <c:numRef>
              <c:f>'[Mergers &amp; Acquisitions (M&amp;A) - United States.xlsx]Annually'!$C$29:$C$36</c:f>
              <c:numCache>
                <c:formatCode>0</c:formatCode>
                <c:ptCount val="8"/>
                <c:pt idx="0">
                  <c:v>1255.2846</c:v>
                </c:pt>
                <c:pt idx="1">
                  <c:v>1002.9896</c:v>
                </c:pt>
                <c:pt idx="2">
                  <c:v>1219.2308</c:v>
                </c:pt>
                <c:pt idx="3">
                  <c:v>2153.5807</c:v>
                </c:pt>
                <c:pt idx="4">
                  <c:v>2416.6152000000002</c:v>
                </c:pt>
                <c:pt idx="5">
                  <c:v>1775.2277000000001</c:v>
                </c:pt>
                <c:pt idx="6">
                  <c:v>1523.5305000000001</c:v>
                </c:pt>
                <c:pt idx="7">
                  <c:v>1635.5547999999999</c:v>
                </c:pt>
              </c:numCache>
            </c:numRef>
          </c:val>
          <c:smooth val="0"/>
          <c:extLst xmlns:c16r2="http://schemas.microsoft.com/office/drawing/2015/06/chart">
            <c:ext xmlns:c16="http://schemas.microsoft.com/office/drawing/2014/chart" uri="{C3380CC4-5D6E-409C-BE32-E72D297353CC}">
              <c16:uniqueId val="{00000001-2CC3-4BCC-B524-12AB7218AC59}"/>
            </c:ext>
          </c:extLst>
        </c:ser>
        <c:dLbls>
          <c:showLegendKey val="0"/>
          <c:showVal val="0"/>
          <c:showCatName val="0"/>
          <c:showSerName val="0"/>
          <c:showPercent val="0"/>
          <c:showBubbleSize val="0"/>
        </c:dLbls>
        <c:marker val="1"/>
        <c:smooth val="0"/>
        <c:axId val="219653120"/>
        <c:axId val="262286720"/>
      </c:lineChart>
      <c:catAx>
        <c:axId val="180087296"/>
        <c:scaling>
          <c:orientation val="minMax"/>
        </c:scaling>
        <c:delete val="0"/>
        <c:axPos val="b"/>
        <c:title>
          <c:tx>
            <c:rich>
              <a:bodyPr/>
              <a:lstStyle/>
              <a:p>
                <a:pPr>
                  <a:defRPr/>
                </a:pPr>
                <a:endParaRPr lang="ru-RU"/>
              </a:p>
            </c:rich>
          </c:tx>
          <c:overlay val="0"/>
        </c:title>
        <c:numFmt formatCode="General" sourceLinked="0"/>
        <c:majorTickMark val="cross"/>
        <c:minorTickMark val="cross"/>
        <c:tickLblPos val="nextTo"/>
        <c:txPr>
          <a:bodyPr rot="-5400000"/>
          <a:lstStyle/>
          <a:p>
            <a:pPr>
              <a:defRPr>
                <a:latin typeface="Times New Roman" panose="02020603050405020304" pitchFamily="18" charset="0"/>
                <a:cs typeface="Times New Roman" panose="02020603050405020304" pitchFamily="18" charset="0"/>
              </a:defRPr>
            </a:pPr>
            <a:endParaRPr lang="ru-RU"/>
          </a:p>
        </c:txPr>
        <c:crossAx val="262286144"/>
        <c:crosses val="autoZero"/>
        <c:auto val="1"/>
        <c:lblAlgn val="ctr"/>
        <c:lblOffset val="100"/>
        <c:noMultiLvlLbl val="1"/>
      </c:catAx>
      <c:valAx>
        <c:axId val="262286144"/>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Количество сделок</a:t>
                </a:r>
                <a:endParaRPr lang="en-US">
                  <a:latin typeface="Times New Roman" panose="02020603050405020304" pitchFamily="18" charset="0"/>
                  <a:cs typeface="Times New Roman" panose="02020603050405020304" pitchFamily="18" charset="0"/>
                </a:endParaRPr>
              </a:p>
            </c:rich>
          </c:tx>
          <c:overlay val="0"/>
        </c:title>
        <c:numFmt formatCode="#,##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180087296"/>
        <c:crosses val="autoZero"/>
        <c:crossBetween val="between"/>
      </c:valAx>
      <c:catAx>
        <c:axId val="219653120"/>
        <c:scaling>
          <c:orientation val="minMax"/>
        </c:scaling>
        <c:delete val="1"/>
        <c:axPos val="b"/>
        <c:numFmt formatCode="General" sourceLinked="1"/>
        <c:majorTickMark val="cross"/>
        <c:minorTickMark val="cross"/>
        <c:tickLblPos val="none"/>
        <c:crossAx val="262286720"/>
        <c:crosses val="autoZero"/>
        <c:auto val="1"/>
        <c:lblAlgn val="ctr"/>
        <c:lblOffset val="100"/>
        <c:noMultiLvlLbl val="1"/>
      </c:catAx>
      <c:valAx>
        <c:axId val="262286720"/>
        <c:scaling>
          <c:orientation val="minMax"/>
        </c:scaling>
        <c:delete val="0"/>
        <c:axPos val="r"/>
        <c:majorGridlines>
          <c:spPr>
            <a:ln>
              <a:noFill/>
            </a:ln>
          </c:spPr>
        </c:majorGridlines>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Стоимость </a:t>
                </a:r>
                <a:r>
                  <a:rPr lang="en-US">
                    <a:latin typeface="Times New Roman" panose="02020603050405020304" pitchFamily="18" charset="0"/>
                    <a:cs typeface="Times New Roman" panose="02020603050405020304" pitchFamily="18" charset="0"/>
                  </a:rPr>
                  <a:t>(</a:t>
                </a:r>
                <a:r>
                  <a:rPr lang="ru-RU">
                    <a:latin typeface="Times New Roman" panose="02020603050405020304" pitchFamily="18" charset="0"/>
                    <a:cs typeface="Times New Roman" panose="02020603050405020304" pitchFamily="18" charset="0"/>
                  </a:rPr>
                  <a:t>млрд</a:t>
                </a:r>
                <a:r>
                  <a:rPr lang="en-US">
                    <a:latin typeface="Times New Roman" panose="02020603050405020304" pitchFamily="18" charset="0"/>
                    <a:cs typeface="Times New Roman" panose="02020603050405020304" pitchFamily="18" charset="0"/>
                  </a:rPr>
                  <a:t>. $)</a:t>
                </a:r>
              </a:p>
            </c:rich>
          </c:tx>
          <c:overlay val="0"/>
        </c:title>
        <c:numFmt formatCode="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19653120"/>
        <c:crosses val="max"/>
        <c:crossBetween val="between"/>
      </c:valAx>
    </c:plotArea>
    <c:legend>
      <c:legendPos val="tr"/>
      <c:layout>
        <c:manualLayout>
          <c:xMode val="edge"/>
          <c:yMode val="edge"/>
          <c:x val="0.31855369006948386"/>
          <c:y val="0.85233404710920768"/>
          <c:w val="0.29784228827545073"/>
          <c:h val="0.10325717850579171"/>
        </c:manualLayout>
      </c:layout>
      <c:overlay val="1"/>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1"/>
        <c:ser>
          <c:idx val="0"/>
          <c:order val="0"/>
          <c:tx>
            <c:strRef>
              <c:f>'[US - Crossborder M&amp;A.xlsx]Sheet1'!$E$2</c:f>
              <c:strCache>
                <c:ptCount val="1"/>
                <c:pt idx="0">
                  <c:v>Domestic</c:v>
                </c:pt>
              </c:strCache>
            </c:strRef>
          </c:tx>
          <c:cat>
            <c:numRef>
              <c:f>'[US - Crossborder M&amp;A.xlsx]Sheet1'!$A$29:$A$35</c:f>
              <c:numCache>
                <c:formatCode>General</c:formatCode>
                <c:ptCount val="7"/>
                <c:pt idx="0">
                  <c:v>2011</c:v>
                </c:pt>
                <c:pt idx="1">
                  <c:v>2012</c:v>
                </c:pt>
                <c:pt idx="2">
                  <c:v>2013</c:v>
                </c:pt>
                <c:pt idx="3">
                  <c:v>2014</c:v>
                </c:pt>
                <c:pt idx="4">
                  <c:v>2015</c:v>
                </c:pt>
                <c:pt idx="5">
                  <c:v>2016</c:v>
                </c:pt>
                <c:pt idx="6">
                  <c:v>2017</c:v>
                </c:pt>
              </c:numCache>
            </c:numRef>
          </c:cat>
          <c:val>
            <c:numRef>
              <c:f>'[US - Crossborder M&amp;A.xlsx]Sheet1'!$E$29:$E$35</c:f>
              <c:numCache>
                <c:formatCode>0</c:formatCode>
                <c:ptCount val="7"/>
                <c:pt idx="0">
                  <c:v>972.48810000000003</c:v>
                </c:pt>
                <c:pt idx="1">
                  <c:v>651.87081999999998</c:v>
                </c:pt>
                <c:pt idx="2">
                  <c:v>961.13239999999996</c:v>
                </c:pt>
                <c:pt idx="3">
                  <c:v>1460.6206</c:v>
                </c:pt>
                <c:pt idx="4">
                  <c:v>1712.4639999999999</c:v>
                </c:pt>
                <c:pt idx="5">
                  <c:v>1089.4533999999999</c:v>
                </c:pt>
                <c:pt idx="6" formatCode="General">
                  <c:v>989.41435000000001</c:v>
                </c:pt>
              </c:numCache>
            </c:numRef>
          </c:val>
          <c:extLst xmlns:c16r2="http://schemas.microsoft.com/office/drawing/2015/06/chart">
            <c:ext xmlns:c16="http://schemas.microsoft.com/office/drawing/2014/chart" uri="{C3380CC4-5D6E-409C-BE32-E72D297353CC}">
              <c16:uniqueId val="{00000000-061A-4EC4-AA1B-37E501BAA212}"/>
            </c:ext>
          </c:extLst>
        </c:ser>
        <c:ser>
          <c:idx val="1"/>
          <c:order val="1"/>
          <c:tx>
            <c:strRef>
              <c:f>'[US - Crossborder M&amp;A.xlsx]Sheet1'!$F$2</c:f>
              <c:strCache>
                <c:ptCount val="1"/>
                <c:pt idx="0">
                  <c:v>Экспортные (Cross-border)</c:v>
                </c:pt>
              </c:strCache>
            </c:strRef>
          </c:tx>
          <c:cat>
            <c:numRef>
              <c:f>'[US - Crossborder M&amp;A.xlsx]Sheet1'!$A$29:$A$35</c:f>
              <c:numCache>
                <c:formatCode>General</c:formatCode>
                <c:ptCount val="7"/>
                <c:pt idx="0">
                  <c:v>2011</c:v>
                </c:pt>
                <c:pt idx="1">
                  <c:v>2012</c:v>
                </c:pt>
                <c:pt idx="2">
                  <c:v>2013</c:v>
                </c:pt>
                <c:pt idx="3">
                  <c:v>2014</c:v>
                </c:pt>
                <c:pt idx="4">
                  <c:v>2015</c:v>
                </c:pt>
                <c:pt idx="5">
                  <c:v>2016</c:v>
                </c:pt>
                <c:pt idx="6">
                  <c:v>2017</c:v>
                </c:pt>
              </c:numCache>
            </c:numRef>
          </c:cat>
          <c:val>
            <c:numRef>
              <c:f>'[US - Crossborder M&amp;A.xlsx]Sheet1'!$F$29:$F$35</c:f>
              <c:numCache>
                <c:formatCode>0</c:formatCode>
                <c:ptCount val="7"/>
                <c:pt idx="0">
                  <c:v>144.35875000000004</c:v>
                </c:pt>
                <c:pt idx="1">
                  <c:v>178.26715000000002</c:v>
                </c:pt>
                <c:pt idx="2">
                  <c:v>129.03199000000001</c:v>
                </c:pt>
                <c:pt idx="3">
                  <c:v>402.19534999999991</c:v>
                </c:pt>
                <c:pt idx="4">
                  <c:v>241.26447999999999</c:v>
                </c:pt>
                <c:pt idx="5">
                  <c:v>177.42605</c:v>
                </c:pt>
                <c:pt idx="6" formatCode="General">
                  <c:v>395.01628869999996</c:v>
                </c:pt>
              </c:numCache>
            </c:numRef>
          </c:val>
          <c:extLst xmlns:c16r2="http://schemas.microsoft.com/office/drawing/2015/06/chart">
            <c:ext xmlns:c16="http://schemas.microsoft.com/office/drawing/2014/chart" uri="{C3380CC4-5D6E-409C-BE32-E72D297353CC}">
              <c16:uniqueId val="{00000001-061A-4EC4-AA1B-37E501BAA212}"/>
            </c:ext>
          </c:extLst>
        </c:ser>
        <c:ser>
          <c:idx val="2"/>
          <c:order val="2"/>
          <c:tx>
            <c:strRef>
              <c:f>'[US - Crossborder M&amp;A.xlsx]Sheet1'!$G$2</c:f>
              <c:strCache>
                <c:ptCount val="1"/>
                <c:pt idx="0">
                  <c:v>Импортные  (Cross-border)</c:v>
                </c:pt>
              </c:strCache>
            </c:strRef>
          </c:tx>
          <c:cat>
            <c:numRef>
              <c:f>'[US - Crossborder M&amp;A.xlsx]Sheet1'!$A$29:$A$35</c:f>
              <c:numCache>
                <c:formatCode>General</c:formatCode>
                <c:ptCount val="7"/>
                <c:pt idx="0">
                  <c:v>2011</c:v>
                </c:pt>
                <c:pt idx="1">
                  <c:v>2012</c:v>
                </c:pt>
                <c:pt idx="2">
                  <c:v>2013</c:v>
                </c:pt>
                <c:pt idx="3">
                  <c:v>2014</c:v>
                </c:pt>
                <c:pt idx="4">
                  <c:v>2015</c:v>
                </c:pt>
                <c:pt idx="5">
                  <c:v>2016</c:v>
                </c:pt>
                <c:pt idx="6">
                  <c:v>2017</c:v>
                </c:pt>
              </c:numCache>
            </c:numRef>
          </c:cat>
          <c:val>
            <c:numRef>
              <c:f>'[US - Crossborder M&amp;A.xlsx]Sheet1'!$G$29:$G$35</c:f>
              <c:numCache>
                <c:formatCode>0</c:formatCode>
                <c:ptCount val="7"/>
                <c:pt idx="0">
                  <c:v>140.05173000000005</c:v>
                </c:pt>
                <c:pt idx="1">
                  <c:v>173.45647000000005</c:v>
                </c:pt>
                <c:pt idx="2">
                  <c:v>130.77558999999994</c:v>
                </c:pt>
                <c:pt idx="3">
                  <c:v>290.69864000000001</c:v>
                </c:pt>
                <c:pt idx="4">
                  <c:v>463.46404000000001</c:v>
                </c:pt>
                <c:pt idx="5">
                  <c:v>504.51837999999975</c:v>
                </c:pt>
                <c:pt idx="6" formatCode="General">
                  <c:v>211</c:v>
                </c:pt>
              </c:numCache>
            </c:numRef>
          </c:val>
          <c:extLst xmlns:c16r2="http://schemas.microsoft.com/office/drawing/2015/06/chart">
            <c:ext xmlns:c16="http://schemas.microsoft.com/office/drawing/2014/chart" uri="{C3380CC4-5D6E-409C-BE32-E72D297353CC}">
              <c16:uniqueId val="{00000002-061A-4EC4-AA1B-37E501BAA212}"/>
            </c:ext>
          </c:extLst>
        </c:ser>
        <c:dLbls>
          <c:showLegendKey val="0"/>
          <c:showVal val="0"/>
          <c:showCatName val="0"/>
          <c:showSerName val="0"/>
          <c:showPercent val="0"/>
          <c:showBubbleSize val="0"/>
        </c:dLbls>
        <c:axId val="219654656"/>
        <c:axId val="262289600"/>
      </c:areaChart>
      <c:catAx>
        <c:axId val="219654656"/>
        <c:scaling>
          <c:orientation val="minMax"/>
        </c:scaling>
        <c:delete val="0"/>
        <c:axPos val="b"/>
        <c:numFmt formatCode="General"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62289600"/>
        <c:crosses val="autoZero"/>
        <c:auto val="1"/>
        <c:lblAlgn val="ctr"/>
        <c:lblOffset val="100"/>
        <c:noMultiLvlLbl val="1"/>
      </c:catAx>
      <c:valAx>
        <c:axId val="262289600"/>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ru-RU" b="0">
                    <a:latin typeface="Times New Roman" panose="02020603050405020304" pitchFamily="18" charset="0"/>
                    <a:cs typeface="Times New Roman" panose="02020603050405020304" pitchFamily="18" charset="0"/>
                  </a:rPr>
                  <a:t>Стоимость (млрд.</a:t>
                </a:r>
                <a:r>
                  <a:rPr lang="en-US" b="0">
                    <a:latin typeface="Times New Roman" panose="02020603050405020304" pitchFamily="18" charset="0"/>
                    <a:cs typeface="Times New Roman" panose="02020603050405020304" pitchFamily="18" charset="0"/>
                  </a:rPr>
                  <a:t> $)</a:t>
                </a:r>
                <a:r>
                  <a:rPr lang="ru-RU" b="0">
                    <a:latin typeface="Times New Roman" panose="02020603050405020304" pitchFamily="18" charset="0"/>
                    <a:cs typeface="Times New Roman" panose="02020603050405020304" pitchFamily="18" charset="0"/>
                  </a:rPr>
                  <a:t> </a:t>
                </a:r>
                <a:endParaRPr lang="en-US" b="0">
                  <a:latin typeface="Times New Roman" panose="02020603050405020304" pitchFamily="18" charset="0"/>
                  <a:cs typeface="Times New Roman" panose="02020603050405020304" pitchFamily="18" charset="0"/>
                </a:endParaRPr>
              </a:p>
            </c:rich>
          </c:tx>
          <c:overlay val="0"/>
        </c:title>
        <c:numFmt formatCode="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19654656"/>
        <c:crosses val="autoZero"/>
        <c:crossBetween val="midCat"/>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1"/>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57133594099442E-2"/>
          <c:y val="9.7771831445860352E-2"/>
          <c:w val="0.60256483379913006"/>
          <c:h val="0.67760645518196017"/>
        </c:manualLayout>
      </c:layout>
      <c:lineChart>
        <c:grouping val="standard"/>
        <c:varyColors val="1"/>
        <c:ser>
          <c:idx val="0"/>
          <c:order val="0"/>
          <c:tx>
            <c:strRef>
              <c:f>'[Mergers &amp; Acquisitions (M&amp;A) - United States (1).xlsx]Waves'!$H$72</c:f>
              <c:strCache>
                <c:ptCount val="1"/>
                <c:pt idx="0">
                  <c:v>1 волна (1896-1904)</c:v>
                </c:pt>
              </c:strCache>
            </c:strRef>
          </c:tx>
          <c:marker>
            <c:symbol val="none"/>
          </c:marker>
          <c:val>
            <c:numRef>
              <c:f>'[Mergers &amp; Acquisitions (M&amp;A) - United States (1).xlsx]Waves'!$I$72:$U$72</c:f>
              <c:numCache>
                <c:formatCode>0%</c:formatCode>
                <c:ptCount val="13"/>
                <c:pt idx="0">
                  <c:v>0</c:v>
                </c:pt>
                <c:pt idx="1">
                  <c:v>0</c:v>
                </c:pt>
                <c:pt idx="2">
                  <c:v>0</c:v>
                </c:pt>
                <c:pt idx="3">
                  <c:v>0</c:v>
                </c:pt>
                <c:pt idx="4">
                  <c:v>4.0635389730328784E-3</c:v>
                </c:pt>
                <c:pt idx="5">
                  <c:v>2.3272995936461031E-2</c:v>
                </c:pt>
                <c:pt idx="6">
                  <c:v>0.10749907646841526</c:v>
                </c:pt>
                <c:pt idx="7">
                  <c:v>0.41558921315108982</c:v>
                </c:pt>
                <c:pt idx="8">
                  <c:v>0.11636497968230514</c:v>
                </c:pt>
                <c:pt idx="9">
                  <c:v>0.14407092722571108</c:v>
                </c:pt>
                <c:pt idx="10">
                  <c:v>0.12301440709272254</c:v>
                </c:pt>
                <c:pt idx="11">
                  <c:v>4.2851865533801263E-2</c:v>
                </c:pt>
                <c:pt idx="12">
                  <c:v>2.3272995936461031E-2</c:v>
                </c:pt>
              </c:numCache>
            </c:numRef>
          </c:val>
          <c:smooth val="0"/>
          <c:extLst xmlns:c16r2="http://schemas.microsoft.com/office/drawing/2015/06/chart">
            <c:ext xmlns:c16="http://schemas.microsoft.com/office/drawing/2014/chart" uri="{C3380CC4-5D6E-409C-BE32-E72D297353CC}">
              <c16:uniqueId val="{00000000-EF4A-4BC1-91E1-01B28F487CD1}"/>
            </c:ext>
          </c:extLst>
        </c:ser>
        <c:ser>
          <c:idx val="1"/>
          <c:order val="1"/>
          <c:tx>
            <c:strRef>
              <c:f>'[Mergers &amp; Acquisitions (M&amp;A) - United States (1).xlsx]Waves'!$H$73</c:f>
              <c:strCache>
                <c:ptCount val="1"/>
                <c:pt idx="0">
                  <c:v>2 волна (1922-1934)</c:v>
                </c:pt>
              </c:strCache>
            </c:strRef>
          </c:tx>
          <c:marker>
            <c:symbol val="none"/>
          </c:marker>
          <c:val>
            <c:numRef>
              <c:f>'[Mergers &amp; Acquisitions (M&amp;A) - United States (1).xlsx]Waves'!$I$73:$U$73</c:f>
              <c:numCache>
                <c:formatCode>0%</c:formatCode>
                <c:ptCount val="13"/>
                <c:pt idx="0">
                  <c:v>4.2739962584544523E-2</c:v>
                </c:pt>
                <c:pt idx="1">
                  <c:v>4.3171679378327804E-2</c:v>
                </c:pt>
                <c:pt idx="2">
                  <c:v>5.0798676068499082E-2</c:v>
                </c:pt>
                <c:pt idx="3">
                  <c:v>7.6269966901712477E-2</c:v>
                </c:pt>
                <c:pt idx="4">
                  <c:v>0.12073679666139016</c:v>
                </c:pt>
                <c:pt idx="5">
                  <c:v>0.12102460785724567</c:v>
                </c:pt>
                <c:pt idx="6">
                  <c:v>0.14793495466973672</c:v>
                </c:pt>
                <c:pt idx="7">
                  <c:v>0.17498920708015547</c:v>
                </c:pt>
                <c:pt idx="8">
                  <c:v>0.11310979997121894</c:v>
                </c:pt>
                <c:pt idx="9">
                  <c:v>6.6628291840552592E-2</c:v>
                </c:pt>
                <c:pt idx="10">
                  <c:v>2.806159159591308E-2</c:v>
                </c:pt>
                <c:pt idx="11">
                  <c:v>1.45344653907037E-2</c:v>
                </c:pt>
                <c:pt idx="12">
                  <c:v>0</c:v>
                </c:pt>
              </c:numCache>
            </c:numRef>
          </c:val>
          <c:smooth val="0"/>
          <c:extLst xmlns:c16r2="http://schemas.microsoft.com/office/drawing/2015/06/chart">
            <c:ext xmlns:c16="http://schemas.microsoft.com/office/drawing/2014/chart" uri="{C3380CC4-5D6E-409C-BE32-E72D297353CC}">
              <c16:uniqueId val="{00000001-EF4A-4BC1-91E1-01B28F487CD1}"/>
            </c:ext>
          </c:extLst>
        </c:ser>
        <c:ser>
          <c:idx val="2"/>
          <c:order val="2"/>
          <c:tx>
            <c:strRef>
              <c:f>'[Mergers &amp; Acquisitions (M&amp;A) - United States (1).xlsx]Waves'!$H$74</c:f>
              <c:strCache>
                <c:ptCount val="1"/>
                <c:pt idx="0">
                  <c:v>3 волна (1963-1974)</c:v>
                </c:pt>
              </c:strCache>
            </c:strRef>
          </c:tx>
          <c:marker>
            <c:symbol val="none"/>
          </c:marker>
          <c:val>
            <c:numRef>
              <c:f>'[Mergers &amp; Acquisitions (M&amp;A) - United States (1).xlsx]Waves'!$I$74:$U$74</c:f>
              <c:numCache>
                <c:formatCode>0%</c:formatCode>
                <c:ptCount val="13"/>
                <c:pt idx="0">
                  <c:v>0</c:v>
                </c:pt>
                <c:pt idx="1">
                  <c:v>3.1784955276863092E-2</c:v>
                </c:pt>
                <c:pt idx="2">
                  <c:v>4.5540531072654662E-2</c:v>
                </c:pt>
                <c:pt idx="3">
                  <c:v>4.9627501809944206E-2</c:v>
                </c:pt>
                <c:pt idx="4">
                  <c:v>5.551273967164113E-2</c:v>
                </c:pt>
                <c:pt idx="5">
                  <c:v>6.947850253392189E-2</c:v>
                </c:pt>
                <c:pt idx="6">
                  <c:v>0.10420607674163347</c:v>
                </c:pt>
                <c:pt idx="7">
                  <c:v>0.14262360167215488</c:v>
                </c:pt>
                <c:pt idx="8">
                  <c:v>0.12032041850580348</c:v>
                </c:pt>
                <c:pt idx="9">
                  <c:v>0.10761577804245782</c:v>
                </c:pt>
                <c:pt idx="10">
                  <c:v>0.11212312291272566</c:v>
                </c:pt>
                <c:pt idx="11">
                  <c:v>9.435063873514099E-2</c:v>
                </c:pt>
                <c:pt idx="12">
                  <c:v>6.6816133025058982E-2</c:v>
                </c:pt>
              </c:numCache>
            </c:numRef>
          </c:val>
          <c:smooth val="0"/>
          <c:extLst xmlns:c16r2="http://schemas.microsoft.com/office/drawing/2015/06/chart">
            <c:ext xmlns:c16="http://schemas.microsoft.com/office/drawing/2014/chart" uri="{C3380CC4-5D6E-409C-BE32-E72D297353CC}">
              <c16:uniqueId val="{00000002-EF4A-4BC1-91E1-01B28F487CD1}"/>
            </c:ext>
          </c:extLst>
        </c:ser>
        <c:ser>
          <c:idx val="3"/>
          <c:order val="3"/>
          <c:tx>
            <c:strRef>
              <c:f>'[Mergers &amp; Acquisitions (M&amp;A) - United States (1).xlsx]Waves'!$H$75</c:f>
              <c:strCache>
                <c:ptCount val="1"/>
                <c:pt idx="0">
                  <c:v>4 волна (1985-1991)</c:v>
                </c:pt>
              </c:strCache>
            </c:strRef>
          </c:tx>
          <c:marker>
            <c:symbol val="none"/>
          </c:marker>
          <c:val>
            <c:numRef>
              <c:f>'[Mergers &amp; Acquisitions (M&amp;A) - United States (1).xlsx]Waves'!$I$75:$U$75</c:f>
              <c:numCache>
                <c:formatCode>0%</c:formatCode>
                <c:ptCount val="13"/>
                <c:pt idx="0">
                  <c:v>0</c:v>
                </c:pt>
                <c:pt idx="1">
                  <c:v>0</c:v>
                </c:pt>
                <c:pt idx="2">
                  <c:v>7.7334214948893906E-2</c:v>
                </c:pt>
                <c:pt idx="3">
                  <c:v>0.10452654489351743</c:v>
                </c:pt>
                <c:pt idx="4">
                  <c:v>0.1124335344518831</c:v>
                </c:pt>
                <c:pt idx="5">
                  <c:v>0.13904730418491895</c:v>
                </c:pt>
                <c:pt idx="6">
                  <c:v>0.19062181447502544</c:v>
                </c:pt>
                <c:pt idx="7">
                  <c:v>0.19103507176901668</c:v>
                </c:pt>
                <c:pt idx="8">
                  <c:v>0.18500151527674463</c:v>
                </c:pt>
                <c:pt idx="9">
                  <c:v>0</c:v>
                </c:pt>
                <c:pt idx="10">
                  <c:v>0</c:v>
                </c:pt>
                <c:pt idx="11">
                  <c:v>0</c:v>
                </c:pt>
                <c:pt idx="12">
                  <c:v>0</c:v>
                </c:pt>
              </c:numCache>
            </c:numRef>
          </c:val>
          <c:smooth val="0"/>
          <c:extLst xmlns:c16r2="http://schemas.microsoft.com/office/drawing/2015/06/chart">
            <c:ext xmlns:c16="http://schemas.microsoft.com/office/drawing/2014/chart" uri="{C3380CC4-5D6E-409C-BE32-E72D297353CC}">
              <c16:uniqueId val="{00000003-EF4A-4BC1-91E1-01B28F487CD1}"/>
            </c:ext>
          </c:extLst>
        </c:ser>
        <c:ser>
          <c:idx val="4"/>
          <c:order val="4"/>
          <c:tx>
            <c:strRef>
              <c:f>'[Mergers &amp; Acquisitions (M&amp;A) - United States (1).xlsx]Waves'!$H$76</c:f>
              <c:strCache>
                <c:ptCount val="1"/>
                <c:pt idx="0">
                  <c:v>5 волна (1994-2001)</c:v>
                </c:pt>
              </c:strCache>
            </c:strRef>
          </c:tx>
          <c:marker>
            <c:symbol val="none"/>
          </c:marker>
          <c:val>
            <c:numRef>
              <c:f>'[Mergers &amp; Acquisitions (M&amp;A) - United States (1).xlsx]Waves'!$I$76:$U$76</c:f>
              <c:numCache>
                <c:formatCode>0%</c:formatCode>
                <c:ptCount val="13"/>
                <c:pt idx="0">
                  <c:v>0</c:v>
                </c:pt>
                <c:pt idx="1">
                  <c:v>0</c:v>
                </c:pt>
                <c:pt idx="2">
                  <c:v>0</c:v>
                </c:pt>
                <c:pt idx="3">
                  <c:v>9.4064391333393255E-2</c:v>
                </c:pt>
                <c:pt idx="4">
                  <c:v>0.11171268184220237</c:v>
                </c:pt>
                <c:pt idx="5">
                  <c:v>0.12583131424924968</c:v>
                </c:pt>
                <c:pt idx="6">
                  <c:v>0.13835462096058537</c:v>
                </c:pt>
                <c:pt idx="7">
                  <c:v>0.15407854984894259</c:v>
                </c:pt>
                <c:pt idx="8">
                  <c:v>0.13777631539589011</c:v>
                </c:pt>
                <c:pt idx="9">
                  <c:v>0.1412461487840628</c:v>
                </c:pt>
                <c:pt idx="10">
                  <c:v>9.693597758567403E-2</c:v>
                </c:pt>
                <c:pt idx="11">
                  <c:v>0</c:v>
                </c:pt>
                <c:pt idx="12">
                  <c:v>0</c:v>
                </c:pt>
              </c:numCache>
            </c:numRef>
          </c:val>
          <c:smooth val="0"/>
          <c:extLst xmlns:c16r2="http://schemas.microsoft.com/office/drawing/2015/06/chart">
            <c:ext xmlns:c16="http://schemas.microsoft.com/office/drawing/2014/chart" uri="{C3380CC4-5D6E-409C-BE32-E72D297353CC}">
              <c16:uniqueId val="{00000004-EF4A-4BC1-91E1-01B28F487CD1}"/>
            </c:ext>
          </c:extLst>
        </c:ser>
        <c:ser>
          <c:idx val="5"/>
          <c:order val="5"/>
          <c:tx>
            <c:strRef>
              <c:f>'[Mergers &amp; Acquisitions (M&amp;A) - United States (1).xlsx]Waves'!$H$77</c:f>
              <c:strCache>
                <c:ptCount val="1"/>
                <c:pt idx="0">
                  <c:v>6 волна(2003-2009)</c:v>
                </c:pt>
              </c:strCache>
            </c:strRef>
          </c:tx>
          <c:marker>
            <c:symbol val="none"/>
          </c:marker>
          <c:val>
            <c:numRef>
              <c:f>'[Mergers &amp; Acquisitions (M&amp;A) - United States (1).xlsx]Waves'!$I$77:$U$77</c:f>
              <c:numCache>
                <c:formatCode>0%</c:formatCode>
                <c:ptCount val="13"/>
                <c:pt idx="0">
                  <c:v>0</c:v>
                </c:pt>
                <c:pt idx="1">
                  <c:v>0</c:v>
                </c:pt>
                <c:pt idx="2">
                  <c:v>0</c:v>
                </c:pt>
                <c:pt idx="3">
                  <c:v>0.11618370355687158</c:v>
                </c:pt>
                <c:pt idx="4">
                  <c:v>0.13367692059913031</c:v>
                </c:pt>
                <c:pt idx="5">
                  <c:v>0.14264653047065673</c:v>
                </c:pt>
                <c:pt idx="6">
                  <c:v>0.16319982159891969</c:v>
                </c:pt>
                <c:pt idx="7">
                  <c:v>0.1761710668136823</c:v>
                </c:pt>
                <c:pt idx="8">
                  <c:v>0.14818439733885055</c:v>
                </c:pt>
                <c:pt idx="9">
                  <c:v>0.11993755962188882</c:v>
                </c:pt>
                <c:pt idx="10">
                  <c:v>0</c:v>
                </c:pt>
                <c:pt idx="11">
                  <c:v>0</c:v>
                </c:pt>
                <c:pt idx="12">
                  <c:v>0</c:v>
                </c:pt>
              </c:numCache>
            </c:numRef>
          </c:val>
          <c:smooth val="0"/>
          <c:extLst xmlns:c16r2="http://schemas.microsoft.com/office/drawing/2015/06/chart">
            <c:ext xmlns:c16="http://schemas.microsoft.com/office/drawing/2014/chart" uri="{C3380CC4-5D6E-409C-BE32-E72D297353CC}">
              <c16:uniqueId val="{00000005-EF4A-4BC1-91E1-01B28F487CD1}"/>
            </c:ext>
          </c:extLst>
        </c:ser>
        <c:ser>
          <c:idx val="6"/>
          <c:order val="6"/>
          <c:tx>
            <c:strRef>
              <c:f>'[Mergers &amp; Acquisitions (M&amp;A) - United States (1).xlsx]Waves'!$H$78</c:f>
              <c:strCache>
                <c:ptCount val="1"/>
                <c:pt idx="0">
                  <c:v>7 волна (2012-...)</c:v>
                </c:pt>
              </c:strCache>
            </c:strRef>
          </c:tx>
          <c:marker>
            <c:symbol val="none"/>
          </c:marker>
          <c:val>
            <c:numRef>
              <c:f>'[Mergers &amp; Acquisitions (M&amp;A) - United States (1).xlsx]Waves'!$I$78:$U$78</c:f>
              <c:numCache>
                <c:formatCode>0%</c:formatCode>
                <c:ptCount val="13"/>
                <c:pt idx="0">
                  <c:v>0</c:v>
                </c:pt>
                <c:pt idx="1">
                  <c:v>0</c:v>
                </c:pt>
                <c:pt idx="2">
                  <c:v>0</c:v>
                </c:pt>
                <c:pt idx="3">
                  <c:v>0</c:v>
                </c:pt>
                <c:pt idx="4">
                  <c:v>0</c:v>
                </c:pt>
                <c:pt idx="5">
                  <c:v>0.23040299268831838</c:v>
                </c:pt>
                <c:pt idx="6">
                  <c:v>0.23405883353171236</c:v>
                </c:pt>
                <c:pt idx="7">
                  <c:v>0.261520149634416</c:v>
                </c:pt>
                <c:pt idx="8">
                  <c:v>0.27401802414555348</c:v>
                </c:pt>
                <c:pt idx="9">
                  <c:v>0</c:v>
                </c:pt>
                <c:pt idx="10">
                  <c:v>0</c:v>
                </c:pt>
                <c:pt idx="11">
                  <c:v>0</c:v>
                </c:pt>
                <c:pt idx="12">
                  <c:v>0</c:v>
                </c:pt>
              </c:numCache>
            </c:numRef>
          </c:val>
          <c:smooth val="0"/>
          <c:extLst xmlns:c16r2="http://schemas.microsoft.com/office/drawing/2015/06/chart">
            <c:ext xmlns:c16="http://schemas.microsoft.com/office/drawing/2014/chart" uri="{C3380CC4-5D6E-409C-BE32-E72D297353CC}">
              <c16:uniqueId val="{00000006-EF4A-4BC1-91E1-01B28F487CD1}"/>
            </c:ext>
          </c:extLst>
        </c:ser>
        <c:dLbls>
          <c:showLegendKey val="0"/>
          <c:showVal val="0"/>
          <c:showCatName val="0"/>
          <c:showSerName val="0"/>
          <c:showPercent val="0"/>
          <c:showBubbleSize val="0"/>
        </c:dLbls>
        <c:marker val="1"/>
        <c:smooth val="0"/>
        <c:axId val="221917184"/>
        <c:axId val="262299648"/>
      </c:lineChart>
      <c:catAx>
        <c:axId val="221917184"/>
        <c:scaling>
          <c:orientation val="minMax"/>
        </c:scaling>
        <c:delete val="0"/>
        <c:axPos val="b"/>
        <c:majorTickMark val="cross"/>
        <c:minorTickMark val="cross"/>
        <c:tickLblPos val="nextTo"/>
        <c:crossAx val="262299648"/>
        <c:crosses val="autoZero"/>
        <c:auto val="1"/>
        <c:lblAlgn val="ctr"/>
        <c:lblOffset val="100"/>
        <c:noMultiLvlLbl val="1"/>
      </c:catAx>
      <c:valAx>
        <c:axId val="262299648"/>
        <c:scaling>
          <c:orientation val="minMax"/>
        </c:scaling>
        <c:delete val="0"/>
        <c:axPos val="l"/>
        <c:majorGridlines/>
        <c:numFmt formatCode="0%" sourceLinked="1"/>
        <c:majorTickMark val="cross"/>
        <c:minorTickMark val="cross"/>
        <c:tickLblPos val="nextTo"/>
        <c:crossAx val="221917184"/>
        <c:crosses val="autoZero"/>
        <c:crossBetween val="between"/>
      </c:valAx>
    </c:plotArea>
    <c:legend>
      <c:legendPos val="r"/>
      <c:layout>
        <c:manualLayout>
          <c:xMode val="edge"/>
          <c:yMode val="edge"/>
          <c:x val="0.69357411387702528"/>
          <c:y val="0.15001569689192831"/>
          <c:w val="0.29117766123046773"/>
          <c:h val="0.77738628679462496"/>
        </c:manualLayout>
      </c:layout>
      <c:overlay val="0"/>
    </c:legend>
    <c:plotVisOnly val="1"/>
    <c:dispBlanksAs val="zero"/>
    <c:showDLblsOverMax val="1"/>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100" b="0"/>
              <a:t>Корреляция капитализации фондового рынка (Х)</a:t>
            </a:r>
            <a:r>
              <a:rPr lang="ru-RU" sz="1100" b="0" baseline="0"/>
              <a:t> и кол-ва сделок (У)</a:t>
            </a:r>
          </a:p>
        </c:rich>
      </c:tx>
      <c:overlay val="0"/>
    </c:title>
    <c:autoTitleDeleted val="0"/>
    <c:plotArea>
      <c:layout/>
      <c:scatterChart>
        <c:scatterStyle val="lineMarker"/>
        <c:varyColors val="0"/>
        <c:ser>
          <c:idx val="0"/>
          <c:order val="0"/>
          <c:spPr>
            <a:ln w="28575">
              <a:noFill/>
            </a:ln>
          </c:spPr>
          <c:trendline>
            <c:trendlineType val="power"/>
            <c:dispRSqr val="1"/>
            <c:dispEq val="1"/>
            <c:trendlineLbl>
              <c:layout>
                <c:manualLayout>
                  <c:x val="7.9410593810001942E-2"/>
                  <c:y val="0.27243307086614171"/>
                </c:manualLayout>
              </c:layout>
              <c:numFmt formatCode="General" sourceLinked="0"/>
            </c:trendlineLbl>
          </c:trendline>
          <c:xVal>
            <c:numRef>
              <c:f>Лист2!$B$3:$AB$3</c:f>
              <c:numCache>
                <c:formatCode>General</c:formatCode>
                <c:ptCount val="27"/>
                <c:pt idx="0">
                  <c:v>3093</c:v>
                </c:pt>
                <c:pt idx="1">
                  <c:v>4160</c:v>
                </c:pt>
                <c:pt idx="2">
                  <c:v>4546</c:v>
                </c:pt>
                <c:pt idx="3">
                  <c:v>5251</c:v>
                </c:pt>
                <c:pt idx="4">
                  <c:v>5138</c:v>
                </c:pt>
                <c:pt idx="5">
                  <c:v>6952</c:v>
                </c:pt>
                <c:pt idx="6">
                  <c:v>8480</c:v>
                </c:pt>
                <c:pt idx="7">
                  <c:v>8484.4</c:v>
                </c:pt>
                <c:pt idx="8">
                  <c:v>8607.4</c:v>
                </c:pt>
                <c:pt idx="9">
                  <c:v>8607.4</c:v>
                </c:pt>
                <c:pt idx="10">
                  <c:v>16635.099999999991</c:v>
                </c:pt>
                <c:pt idx="11">
                  <c:v>15104</c:v>
                </c:pt>
                <c:pt idx="12">
                  <c:v>13810.4</c:v>
                </c:pt>
                <c:pt idx="13">
                  <c:v>11052.4</c:v>
                </c:pt>
                <c:pt idx="14">
                  <c:v>14266.3</c:v>
                </c:pt>
                <c:pt idx="15">
                  <c:v>16323.7</c:v>
                </c:pt>
                <c:pt idx="16">
                  <c:v>16998</c:v>
                </c:pt>
                <c:pt idx="17">
                  <c:v>19425</c:v>
                </c:pt>
                <c:pt idx="18">
                  <c:v>19947</c:v>
                </c:pt>
                <c:pt idx="19">
                  <c:v>11737</c:v>
                </c:pt>
                <c:pt idx="20">
                  <c:v>15077</c:v>
                </c:pt>
                <c:pt idx="21">
                  <c:v>17139</c:v>
                </c:pt>
                <c:pt idx="22">
                  <c:v>15640</c:v>
                </c:pt>
                <c:pt idx="23">
                  <c:v>24035</c:v>
                </c:pt>
                <c:pt idx="24">
                  <c:v>26331</c:v>
                </c:pt>
                <c:pt idx="25">
                  <c:v>25068</c:v>
                </c:pt>
                <c:pt idx="26">
                  <c:v>27352</c:v>
                </c:pt>
              </c:numCache>
            </c:numRef>
          </c:xVal>
          <c:yVal>
            <c:numRef>
              <c:f>Лист2!$B$7:$AB$7</c:f>
              <c:numCache>
                <c:formatCode>#,##0</c:formatCode>
                <c:ptCount val="27"/>
                <c:pt idx="0">
                  <c:v>6064</c:v>
                </c:pt>
                <c:pt idx="1">
                  <c:v>5807</c:v>
                </c:pt>
                <c:pt idx="2">
                  <c:v>6035</c:v>
                </c:pt>
                <c:pt idx="3">
                  <c:v>6926</c:v>
                </c:pt>
                <c:pt idx="4">
                  <c:v>8193</c:v>
                </c:pt>
                <c:pt idx="5">
                  <c:v>9520</c:v>
                </c:pt>
                <c:pt idx="6">
                  <c:v>12016</c:v>
                </c:pt>
                <c:pt idx="7">
                  <c:v>13292</c:v>
                </c:pt>
                <c:pt idx="8">
                  <c:v>14848</c:v>
                </c:pt>
                <c:pt idx="9">
                  <c:v>13276</c:v>
                </c:pt>
                <c:pt idx="10">
                  <c:v>14149</c:v>
                </c:pt>
                <c:pt idx="11">
                  <c:v>9692</c:v>
                </c:pt>
                <c:pt idx="12">
                  <c:v>8641</c:v>
                </c:pt>
                <c:pt idx="13">
                  <c:v>9339</c:v>
                </c:pt>
                <c:pt idx="14">
                  <c:v>10762</c:v>
                </c:pt>
                <c:pt idx="15">
                  <c:v>11477</c:v>
                </c:pt>
                <c:pt idx="16">
                  <c:v>13095</c:v>
                </c:pt>
                <c:pt idx="17">
                  <c:v>14116</c:v>
                </c:pt>
                <c:pt idx="18">
                  <c:v>11851</c:v>
                </c:pt>
                <c:pt idx="19">
                  <c:v>9549</c:v>
                </c:pt>
                <c:pt idx="20">
                  <c:v>10314</c:v>
                </c:pt>
                <c:pt idx="21">
                  <c:v>10641</c:v>
                </c:pt>
                <c:pt idx="22">
                  <c:v>10710</c:v>
                </c:pt>
                <c:pt idx="23">
                  <c:v>10915</c:v>
                </c:pt>
                <c:pt idx="24">
                  <c:v>12311</c:v>
                </c:pt>
                <c:pt idx="25">
                  <c:v>12906</c:v>
                </c:pt>
                <c:pt idx="26">
                  <c:v>13445</c:v>
                </c:pt>
              </c:numCache>
            </c:numRef>
          </c:yVal>
          <c:smooth val="0"/>
          <c:extLst xmlns:c16r2="http://schemas.microsoft.com/office/drawing/2015/06/chart">
            <c:ext xmlns:c16="http://schemas.microsoft.com/office/drawing/2014/chart" uri="{C3380CC4-5D6E-409C-BE32-E72D297353CC}">
              <c16:uniqueId val="{00000001-A1F1-4F3D-AFAE-E0CFEEA90788}"/>
            </c:ext>
          </c:extLst>
        </c:ser>
        <c:dLbls>
          <c:showLegendKey val="0"/>
          <c:showVal val="0"/>
          <c:showCatName val="0"/>
          <c:showSerName val="0"/>
          <c:showPercent val="0"/>
          <c:showBubbleSize val="0"/>
        </c:dLbls>
        <c:axId val="262300224"/>
        <c:axId val="262300800"/>
      </c:scatterChart>
      <c:valAx>
        <c:axId val="262300224"/>
        <c:scaling>
          <c:orientation val="minMax"/>
        </c:scaling>
        <c:delete val="0"/>
        <c:axPos val="b"/>
        <c:numFmt formatCode="General" sourceLinked="1"/>
        <c:majorTickMark val="none"/>
        <c:minorTickMark val="none"/>
        <c:tickLblPos val="nextTo"/>
        <c:crossAx val="262300800"/>
        <c:crosses val="autoZero"/>
        <c:crossBetween val="midCat"/>
      </c:valAx>
      <c:valAx>
        <c:axId val="262300800"/>
        <c:scaling>
          <c:orientation val="minMax"/>
        </c:scaling>
        <c:delete val="0"/>
        <c:axPos val="l"/>
        <c:majorGridlines/>
        <c:numFmt formatCode="#,##0" sourceLinked="1"/>
        <c:majorTickMark val="none"/>
        <c:minorTickMark val="none"/>
        <c:tickLblPos val="nextTo"/>
        <c:crossAx val="262300224"/>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100" b="0" i="0" u="none" strike="noStrike" baseline="0">
                <a:effectLst/>
              </a:rPr>
              <a:t>Корреляция капитализации фондового рынка (Х) и стоимости сделок (У)</a:t>
            </a:r>
            <a:endParaRPr lang="ru-RU" sz="1100"/>
          </a:p>
        </c:rich>
      </c:tx>
      <c:overlay val="0"/>
    </c:title>
    <c:autoTitleDeleted val="0"/>
    <c:plotArea>
      <c:layout/>
      <c:scatterChart>
        <c:scatterStyle val="lineMarker"/>
        <c:varyColors val="0"/>
        <c:ser>
          <c:idx val="0"/>
          <c:order val="0"/>
          <c:spPr>
            <a:ln w="28575">
              <a:noFill/>
            </a:ln>
          </c:spPr>
          <c:trendline>
            <c:trendlineType val="power"/>
            <c:dispRSqr val="1"/>
            <c:dispEq val="1"/>
            <c:trendlineLbl>
              <c:layout>
                <c:manualLayout>
                  <c:x val="0.14099165488929269"/>
                  <c:y val="0.27463683376211639"/>
                </c:manualLayout>
              </c:layout>
              <c:numFmt formatCode="General" sourceLinked="0"/>
            </c:trendlineLbl>
          </c:trendline>
          <c:xVal>
            <c:numRef>
              <c:f>Лист2!$B$3:$AB$3</c:f>
              <c:numCache>
                <c:formatCode>General</c:formatCode>
                <c:ptCount val="27"/>
                <c:pt idx="0">
                  <c:v>3093</c:v>
                </c:pt>
                <c:pt idx="1">
                  <c:v>4160</c:v>
                </c:pt>
                <c:pt idx="2">
                  <c:v>4546</c:v>
                </c:pt>
                <c:pt idx="3">
                  <c:v>5251</c:v>
                </c:pt>
                <c:pt idx="4">
                  <c:v>5138</c:v>
                </c:pt>
                <c:pt idx="5">
                  <c:v>6952</c:v>
                </c:pt>
                <c:pt idx="6">
                  <c:v>8480</c:v>
                </c:pt>
                <c:pt idx="7">
                  <c:v>8484.4</c:v>
                </c:pt>
                <c:pt idx="8">
                  <c:v>8607.4</c:v>
                </c:pt>
                <c:pt idx="9">
                  <c:v>8607.4</c:v>
                </c:pt>
                <c:pt idx="10">
                  <c:v>16635.099999999991</c:v>
                </c:pt>
                <c:pt idx="11">
                  <c:v>15104</c:v>
                </c:pt>
                <c:pt idx="12">
                  <c:v>13810.4</c:v>
                </c:pt>
                <c:pt idx="13">
                  <c:v>11052.4</c:v>
                </c:pt>
                <c:pt idx="14">
                  <c:v>14266.3</c:v>
                </c:pt>
                <c:pt idx="15">
                  <c:v>16323.7</c:v>
                </c:pt>
                <c:pt idx="16">
                  <c:v>16998</c:v>
                </c:pt>
                <c:pt idx="17">
                  <c:v>19425</c:v>
                </c:pt>
                <c:pt idx="18">
                  <c:v>19947</c:v>
                </c:pt>
                <c:pt idx="19">
                  <c:v>11737</c:v>
                </c:pt>
                <c:pt idx="20">
                  <c:v>15077</c:v>
                </c:pt>
                <c:pt idx="21">
                  <c:v>17139</c:v>
                </c:pt>
                <c:pt idx="22">
                  <c:v>15640</c:v>
                </c:pt>
                <c:pt idx="23">
                  <c:v>24035</c:v>
                </c:pt>
                <c:pt idx="24">
                  <c:v>26331</c:v>
                </c:pt>
                <c:pt idx="25">
                  <c:v>25068</c:v>
                </c:pt>
                <c:pt idx="26">
                  <c:v>27352</c:v>
                </c:pt>
              </c:numCache>
            </c:numRef>
          </c:xVal>
          <c:yVal>
            <c:numRef>
              <c:f>Лист2!$B$11:$AB$11</c:f>
              <c:numCache>
                <c:formatCode>0</c:formatCode>
                <c:ptCount val="27"/>
                <c:pt idx="0">
                  <c:v>254.58392000000001</c:v>
                </c:pt>
                <c:pt idx="1">
                  <c:v>177.51062999999999</c:v>
                </c:pt>
                <c:pt idx="2">
                  <c:v>185.58646000000005</c:v>
                </c:pt>
                <c:pt idx="3">
                  <c:v>318.28426999999999</c:v>
                </c:pt>
                <c:pt idx="4">
                  <c:v>415.59249999999986</c:v>
                </c:pt>
                <c:pt idx="5">
                  <c:v>667.69816000000003</c:v>
                </c:pt>
                <c:pt idx="6">
                  <c:v>751.68422999999996</c:v>
                </c:pt>
                <c:pt idx="7">
                  <c:v>1118.1580999999999</c:v>
                </c:pt>
                <c:pt idx="8">
                  <c:v>1816.5578</c:v>
                </c:pt>
                <c:pt idx="9">
                  <c:v>2139.0421999999999</c:v>
                </c:pt>
                <c:pt idx="10">
                  <c:v>1967.6669999999999</c:v>
                </c:pt>
                <c:pt idx="11">
                  <c:v>1012.1648</c:v>
                </c:pt>
                <c:pt idx="12">
                  <c:v>520.89580999999998</c:v>
                </c:pt>
                <c:pt idx="13">
                  <c:v>669.22862999999973</c:v>
                </c:pt>
                <c:pt idx="14">
                  <c:v>1003.8349999999998</c:v>
                </c:pt>
                <c:pt idx="15">
                  <c:v>1344.1509999999998</c:v>
                </c:pt>
                <c:pt idx="16">
                  <c:v>1862.1775</c:v>
                </c:pt>
                <c:pt idx="17">
                  <c:v>1973.5621999999998</c:v>
                </c:pt>
                <c:pt idx="18">
                  <c:v>1219.0111999999999</c:v>
                </c:pt>
                <c:pt idx="19">
                  <c:v>878.42545999999982</c:v>
                </c:pt>
                <c:pt idx="20">
                  <c:v>987.03488000000004</c:v>
                </c:pt>
                <c:pt idx="21">
                  <c:v>1255.2846</c:v>
                </c:pt>
                <c:pt idx="22">
                  <c:v>1002.9896</c:v>
                </c:pt>
                <c:pt idx="23">
                  <c:v>1219.2308</c:v>
                </c:pt>
                <c:pt idx="24">
                  <c:v>2153.5807</c:v>
                </c:pt>
                <c:pt idx="25">
                  <c:v>2416.6152000000002</c:v>
                </c:pt>
                <c:pt idx="26">
                  <c:v>1775.2277000000001</c:v>
                </c:pt>
              </c:numCache>
            </c:numRef>
          </c:yVal>
          <c:smooth val="0"/>
          <c:extLst xmlns:c16r2="http://schemas.microsoft.com/office/drawing/2015/06/chart">
            <c:ext xmlns:c16="http://schemas.microsoft.com/office/drawing/2014/chart" uri="{C3380CC4-5D6E-409C-BE32-E72D297353CC}">
              <c16:uniqueId val="{00000001-8006-4261-BB30-D0A216ADE0CF}"/>
            </c:ext>
          </c:extLst>
        </c:ser>
        <c:dLbls>
          <c:showLegendKey val="0"/>
          <c:showVal val="0"/>
          <c:showCatName val="0"/>
          <c:showSerName val="0"/>
          <c:showPercent val="0"/>
          <c:showBubbleSize val="0"/>
        </c:dLbls>
        <c:axId val="262302528"/>
        <c:axId val="262303104"/>
      </c:scatterChart>
      <c:valAx>
        <c:axId val="262302528"/>
        <c:scaling>
          <c:orientation val="minMax"/>
        </c:scaling>
        <c:delete val="0"/>
        <c:axPos val="b"/>
        <c:numFmt formatCode="General" sourceLinked="1"/>
        <c:majorTickMark val="none"/>
        <c:minorTickMark val="none"/>
        <c:tickLblPos val="nextTo"/>
        <c:crossAx val="262303104"/>
        <c:crosses val="autoZero"/>
        <c:crossBetween val="midCat"/>
      </c:valAx>
      <c:valAx>
        <c:axId val="262303104"/>
        <c:scaling>
          <c:orientation val="minMax"/>
        </c:scaling>
        <c:delete val="0"/>
        <c:axPos val="l"/>
        <c:majorGridlines/>
        <c:numFmt formatCode="0" sourceLinked="1"/>
        <c:majorTickMark val="none"/>
        <c:minorTickMark val="none"/>
        <c:tickLblPos val="nextTo"/>
        <c:crossAx val="262302528"/>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Лист2!$B$1</c:f>
              <c:strCache>
                <c:ptCount val="1"/>
                <c:pt idx="0">
                  <c:v>Капитализация фондового рынка (млрд. $)</c:v>
                </c:pt>
              </c:strCache>
            </c:strRef>
          </c:tx>
          <c:marker>
            <c:symbol val="none"/>
          </c:marker>
          <c:cat>
            <c:numRef>
              <c:f>Лист2!$B$2:$AB$2</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Лист2!$B$3:$AB$3</c:f>
              <c:numCache>
                <c:formatCode>General</c:formatCode>
                <c:ptCount val="27"/>
                <c:pt idx="0">
                  <c:v>3093</c:v>
                </c:pt>
                <c:pt idx="1">
                  <c:v>4160</c:v>
                </c:pt>
                <c:pt idx="2">
                  <c:v>4546</c:v>
                </c:pt>
                <c:pt idx="3">
                  <c:v>5251</c:v>
                </c:pt>
                <c:pt idx="4">
                  <c:v>5138</c:v>
                </c:pt>
                <c:pt idx="5">
                  <c:v>6952</c:v>
                </c:pt>
                <c:pt idx="6">
                  <c:v>8480</c:v>
                </c:pt>
                <c:pt idx="7">
                  <c:v>8484.4</c:v>
                </c:pt>
                <c:pt idx="8">
                  <c:v>8607.4</c:v>
                </c:pt>
                <c:pt idx="9">
                  <c:v>8607.4</c:v>
                </c:pt>
                <c:pt idx="10">
                  <c:v>16635.099999999991</c:v>
                </c:pt>
                <c:pt idx="11">
                  <c:v>15104</c:v>
                </c:pt>
                <c:pt idx="12">
                  <c:v>13810.4</c:v>
                </c:pt>
                <c:pt idx="13">
                  <c:v>11052.4</c:v>
                </c:pt>
                <c:pt idx="14">
                  <c:v>14266.3</c:v>
                </c:pt>
                <c:pt idx="15">
                  <c:v>16323.7</c:v>
                </c:pt>
                <c:pt idx="16">
                  <c:v>16998</c:v>
                </c:pt>
                <c:pt idx="17">
                  <c:v>19425</c:v>
                </c:pt>
                <c:pt idx="18">
                  <c:v>19947</c:v>
                </c:pt>
                <c:pt idx="19">
                  <c:v>11737</c:v>
                </c:pt>
                <c:pt idx="20">
                  <c:v>15077</c:v>
                </c:pt>
                <c:pt idx="21">
                  <c:v>17139</c:v>
                </c:pt>
                <c:pt idx="22">
                  <c:v>15640</c:v>
                </c:pt>
                <c:pt idx="23">
                  <c:v>24035</c:v>
                </c:pt>
                <c:pt idx="24">
                  <c:v>26331</c:v>
                </c:pt>
                <c:pt idx="25">
                  <c:v>25068</c:v>
                </c:pt>
                <c:pt idx="26">
                  <c:v>27352</c:v>
                </c:pt>
              </c:numCache>
            </c:numRef>
          </c:val>
          <c:smooth val="0"/>
          <c:extLst xmlns:c16r2="http://schemas.microsoft.com/office/drawing/2015/06/chart">
            <c:ext xmlns:c16="http://schemas.microsoft.com/office/drawing/2014/chart" uri="{C3380CC4-5D6E-409C-BE32-E72D297353CC}">
              <c16:uniqueId val="{00000000-55F3-4F23-8994-DF9EC7F0448F}"/>
            </c:ext>
          </c:extLst>
        </c:ser>
        <c:ser>
          <c:idx val="1"/>
          <c:order val="1"/>
          <c:tx>
            <c:v>Кол-во сделок</c:v>
          </c:tx>
          <c:marker>
            <c:symbol val="none"/>
          </c:marker>
          <c:cat>
            <c:numRef>
              <c:f>Лист2!$B$2:$AB$2</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Лист2!$B$7:$AB$7</c:f>
              <c:numCache>
                <c:formatCode>#,##0</c:formatCode>
                <c:ptCount val="27"/>
                <c:pt idx="0">
                  <c:v>6064</c:v>
                </c:pt>
                <c:pt idx="1">
                  <c:v>5807</c:v>
                </c:pt>
                <c:pt idx="2">
                  <c:v>6035</c:v>
                </c:pt>
                <c:pt idx="3">
                  <c:v>6926</c:v>
                </c:pt>
                <c:pt idx="4">
                  <c:v>8193</c:v>
                </c:pt>
                <c:pt idx="5">
                  <c:v>9520</c:v>
                </c:pt>
                <c:pt idx="6">
                  <c:v>12016</c:v>
                </c:pt>
                <c:pt idx="7">
                  <c:v>13292</c:v>
                </c:pt>
                <c:pt idx="8">
                  <c:v>14848</c:v>
                </c:pt>
                <c:pt idx="9">
                  <c:v>13276</c:v>
                </c:pt>
                <c:pt idx="10">
                  <c:v>14149</c:v>
                </c:pt>
                <c:pt idx="11">
                  <c:v>9692</c:v>
                </c:pt>
                <c:pt idx="12">
                  <c:v>8641</c:v>
                </c:pt>
                <c:pt idx="13">
                  <c:v>9339</c:v>
                </c:pt>
                <c:pt idx="14">
                  <c:v>10762</c:v>
                </c:pt>
                <c:pt idx="15">
                  <c:v>11477</c:v>
                </c:pt>
                <c:pt idx="16">
                  <c:v>13095</c:v>
                </c:pt>
                <c:pt idx="17">
                  <c:v>14116</c:v>
                </c:pt>
                <c:pt idx="18">
                  <c:v>11851</c:v>
                </c:pt>
                <c:pt idx="19">
                  <c:v>9549</c:v>
                </c:pt>
                <c:pt idx="20">
                  <c:v>10314</c:v>
                </c:pt>
                <c:pt idx="21">
                  <c:v>10641</c:v>
                </c:pt>
                <c:pt idx="22">
                  <c:v>10710</c:v>
                </c:pt>
                <c:pt idx="23">
                  <c:v>10915</c:v>
                </c:pt>
                <c:pt idx="24">
                  <c:v>12311</c:v>
                </c:pt>
                <c:pt idx="25">
                  <c:v>12906</c:v>
                </c:pt>
                <c:pt idx="26">
                  <c:v>13445</c:v>
                </c:pt>
              </c:numCache>
            </c:numRef>
          </c:val>
          <c:smooth val="0"/>
          <c:extLst xmlns:c16r2="http://schemas.microsoft.com/office/drawing/2015/06/chart">
            <c:ext xmlns:c16="http://schemas.microsoft.com/office/drawing/2014/chart" uri="{C3380CC4-5D6E-409C-BE32-E72D297353CC}">
              <c16:uniqueId val="{00000001-55F3-4F23-8994-DF9EC7F0448F}"/>
            </c:ext>
          </c:extLst>
        </c:ser>
        <c:dLbls>
          <c:showLegendKey val="0"/>
          <c:showVal val="0"/>
          <c:showCatName val="0"/>
          <c:showSerName val="0"/>
          <c:showPercent val="0"/>
          <c:showBubbleSize val="0"/>
        </c:dLbls>
        <c:marker val="1"/>
        <c:smooth val="0"/>
        <c:axId val="216462336"/>
        <c:axId val="262304832"/>
      </c:lineChart>
      <c:catAx>
        <c:axId val="216462336"/>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62304832"/>
        <c:crosses val="autoZero"/>
        <c:auto val="1"/>
        <c:lblAlgn val="ctr"/>
        <c:lblOffset val="100"/>
        <c:noMultiLvlLbl val="0"/>
      </c:catAx>
      <c:valAx>
        <c:axId val="262304832"/>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ru-RU"/>
          </a:p>
        </c:txPr>
        <c:crossAx val="216462336"/>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1"/>
        <c:ser>
          <c:idx val="0"/>
          <c:order val="0"/>
          <c:tx>
            <c:strRef>
              <c:f>Annually!$B$1</c:f>
              <c:strCache>
                <c:ptCount val="1"/>
                <c:pt idx="0">
                  <c:v>Капитализация фондового рынка </c:v>
                </c:pt>
              </c:strCache>
            </c:strRef>
          </c:tx>
          <c:invertIfNegative val="1"/>
          <c:cat>
            <c:strRef>
              <c:f>Annually!$A$8:$A$34</c:f>
              <c:strCach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strCache>
            </c:strRef>
          </c:cat>
          <c:val>
            <c:numRef>
              <c:f>Annually!$B$8:$B$34</c:f>
              <c:numCache>
                <c:formatCode>#,##0</c:formatCode>
                <c:ptCount val="27"/>
                <c:pt idx="0">
                  <c:v>6064</c:v>
                </c:pt>
                <c:pt idx="1">
                  <c:v>5807</c:v>
                </c:pt>
                <c:pt idx="2">
                  <c:v>6035</c:v>
                </c:pt>
                <c:pt idx="3">
                  <c:v>6926</c:v>
                </c:pt>
                <c:pt idx="4">
                  <c:v>8193</c:v>
                </c:pt>
                <c:pt idx="5">
                  <c:v>9520</c:v>
                </c:pt>
                <c:pt idx="6">
                  <c:v>12016</c:v>
                </c:pt>
                <c:pt idx="7">
                  <c:v>13292</c:v>
                </c:pt>
                <c:pt idx="8">
                  <c:v>14848</c:v>
                </c:pt>
                <c:pt idx="9">
                  <c:v>13276</c:v>
                </c:pt>
                <c:pt idx="10">
                  <c:v>14149</c:v>
                </c:pt>
                <c:pt idx="11">
                  <c:v>9692</c:v>
                </c:pt>
                <c:pt idx="12">
                  <c:v>8641</c:v>
                </c:pt>
                <c:pt idx="13">
                  <c:v>9339</c:v>
                </c:pt>
                <c:pt idx="14">
                  <c:v>10762</c:v>
                </c:pt>
                <c:pt idx="15">
                  <c:v>11477</c:v>
                </c:pt>
                <c:pt idx="16">
                  <c:v>13095</c:v>
                </c:pt>
                <c:pt idx="17">
                  <c:v>14116</c:v>
                </c:pt>
                <c:pt idx="18">
                  <c:v>11851</c:v>
                </c:pt>
                <c:pt idx="19">
                  <c:v>9549</c:v>
                </c:pt>
                <c:pt idx="20">
                  <c:v>10314</c:v>
                </c:pt>
                <c:pt idx="21">
                  <c:v>10641</c:v>
                </c:pt>
                <c:pt idx="22">
                  <c:v>10710</c:v>
                </c:pt>
                <c:pt idx="23">
                  <c:v>10915</c:v>
                </c:pt>
                <c:pt idx="24">
                  <c:v>12311</c:v>
                </c:pt>
                <c:pt idx="25">
                  <c:v>12906</c:v>
                </c:pt>
                <c:pt idx="26">
                  <c:v>13445</c:v>
                </c:pt>
              </c:numCache>
            </c:numRef>
          </c:val>
          <c:extLst xmlns:c16r2="http://schemas.microsoft.com/office/drawing/2015/06/chart">
            <c:ext xmlns:c16="http://schemas.microsoft.com/office/drawing/2014/chart" uri="{C3380CC4-5D6E-409C-BE32-E72D297353CC}">
              <c16:uniqueId val="{00000000-C7A7-4EA9-98E8-6C765EF4AE13}"/>
            </c:ext>
          </c:extLst>
        </c:ser>
        <c:dLbls>
          <c:showLegendKey val="0"/>
          <c:showVal val="0"/>
          <c:showCatName val="0"/>
          <c:showSerName val="0"/>
          <c:showPercent val="0"/>
          <c:showBubbleSize val="0"/>
        </c:dLbls>
        <c:gapWidth val="150"/>
        <c:axId val="216462848"/>
        <c:axId val="262306560"/>
      </c:barChart>
      <c:lineChart>
        <c:grouping val="standard"/>
        <c:varyColors val="0"/>
        <c:ser>
          <c:idx val="1"/>
          <c:order val="1"/>
          <c:tx>
            <c:strRef>
              <c:f>Annually!$C$1</c:f>
              <c:strCache>
                <c:ptCount val="1"/>
                <c:pt idx="0">
                  <c:v>Стоимость</c:v>
                </c:pt>
              </c:strCache>
            </c:strRef>
          </c:tx>
          <c:marker>
            <c:symbol val="none"/>
          </c:marker>
          <c:cat>
            <c:strRef>
              <c:f>Annually!$A$8:$A$34</c:f>
              <c:strCach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strCache>
            </c:strRef>
          </c:cat>
          <c:val>
            <c:numRef>
              <c:f>Annually!$C$8:$C$34</c:f>
              <c:numCache>
                <c:formatCode>General</c:formatCode>
                <c:ptCount val="27"/>
                <c:pt idx="0">
                  <c:v>3093</c:v>
                </c:pt>
                <c:pt idx="1">
                  <c:v>4160</c:v>
                </c:pt>
                <c:pt idx="2">
                  <c:v>4546</c:v>
                </c:pt>
                <c:pt idx="3">
                  <c:v>5251</c:v>
                </c:pt>
                <c:pt idx="4">
                  <c:v>5138</c:v>
                </c:pt>
                <c:pt idx="5">
                  <c:v>6952</c:v>
                </c:pt>
                <c:pt idx="6">
                  <c:v>8480</c:v>
                </c:pt>
                <c:pt idx="7">
                  <c:v>8484.4</c:v>
                </c:pt>
                <c:pt idx="8">
                  <c:v>8607.4</c:v>
                </c:pt>
                <c:pt idx="9">
                  <c:v>8607.4</c:v>
                </c:pt>
                <c:pt idx="10">
                  <c:v>16635.099999999991</c:v>
                </c:pt>
                <c:pt idx="11">
                  <c:v>15104</c:v>
                </c:pt>
                <c:pt idx="12">
                  <c:v>13810.4</c:v>
                </c:pt>
                <c:pt idx="13">
                  <c:v>11052.4</c:v>
                </c:pt>
                <c:pt idx="14">
                  <c:v>14266.3</c:v>
                </c:pt>
                <c:pt idx="15">
                  <c:v>16323.7</c:v>
                </c:pt>
                <c:pt idx="16">
                  <c:v>16998</c:v>
                </c:pt>
                <c:pt idx="17">
                  <c:v>19425</c:v>
                </c:pt>
                <c:pt idx="18">
                  <c:v>19947</c:v>
                </c:pt>
                <c:pt idx="19">
                  <c:v>11737</c:v>
                </c:pt>
                <c:pt idx="20">
                  <c:v>15077</c:v>
                </c:pt>
                <c:pt idx="21">
                  <c:v>17139</c:v>
                </c:pt>
                <c:pt idx="22">
                  <c:v>15640</c:v>
                </c:pt>
                <c:pt idx="23">
                  <c:v>24035</c:v>
                </c:pt>
                <c:pt idx="24">
                  <c:v>26331</c:v>
                </c:pt>
                <c:pt idx="25">
                  <c:v>25068</c:v>
                </c:pt>
                <c:pt idx="26">
                  <c:v>27352</c:v>
                </c:pt>
              </c:numCache>
            </c:numRef>
          </c:val>
          <c:smooth val="0"/>
          <c:extLst xmlns:c16r2="http://schemas.microsoft.com/office/drawing/2015/06/chart">
            <c:ext xmlns:c16="http://schemas.microsoft.com/office/drawing/2014/chart" uri="{C3380CC4-5D6E-409C-BE32-E72D297353CC}">
              <c16:uniqueId val="{00000001-C7A7-4EA9-98E8-6C765EF4AE13}"/>
            </c:ext>
          </c:extLst>
        </c:ser>
        <c:dLbls>
          <c:showLegendKey val="0"/>
          <c:showVal val="0"/>
          <c:showCatName val="0"/>
          <c:showSerName val="0"/>
          <c:showPercent val="0"/>
          <c:showBubbleSize val="0"/>
        </c:dLbls>
        <c:marker val="1"/>
        <c:smooth val="0"/>
        <c:axId val="221919232"/>
        <c:axId val="262307136"/>
      </c:lineChart>
      <c:catAx>
        <c:axId val="216462848"/>
        <c:scaling>
          <c:orientation val="minMax"/>
        </c:scaling>
        <c:delete val="0"/>
        <c:axPos val="b"/>
        <c:title>
          <c:tx>
            <c:rich>
              <a:bodyPr/>
              <a:lstStyle/>
              <a:p>
                <a:pPr>
                  <a:defRPr/>
                </a:pPr>
                <a:endParaRPr lang="ru-RU"/>
              </a:p>
            </c:rich>
          </c:tx>
          <c:overlay val="0"/>
        </c:title>
        <c:numFmt formatCode="General" sourceLinked="0"/>
        <c:majorTickMark val="cross"/>
        <c:minorTickMark val="cross"/>
        <c:tickLblPos val="nextTo"/>
        <c:txPr>
          <a:bodyPr rot="-5400000"/>
          <a:lstStyle/>
          <a:p>
            <a:pPr>
              <a:defRPr>
                <a:latin typeface="Times New Roman" panose="02020603050405020304" pitchFamily="18" charset="0"/>
                <a:cs typeface="Times New Roman" panose="02020603050405020304" pitchFamily="18" charset="0"/>
              </a:defRPr>
            </a:pPr>
            <a:endParaRPr lang="ru-RU"/>
          </a:p>
        </c:txPr>
        <c:crossAx val="262306560"/>
        <c:crosses val="autoZero"/>
        <c:auto val="1"/>
        <c:lblAlgn val="ctr"/>
        <c:lblOffset val="100"/>
        <c:noMultiLvlLbl val="1"/>
      </c:catAx>
      <c:valAx>
        <c:axId val="262306560"/>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Капитализация фондового рынка (млрд. $)</a:t>
                </a:r>
                <a:endParaRPr lang="en-US">
                  <a:latin typeface="Times New Roman" panose="02020603050405020304" pitchFamily="18" charset="0"/>
                  <a:cs typeface="Times New Roman" panose="02020603050405020304" pitchFamily="18" charset="0"/>
                </a:endParaRPr>
              </a:p>
            </c:rich>
          </c:tx>
          <c:overlay val="0"/>
        </c:title>
        <c:numFmt formatCode="#,##0"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16462848"/>
        <c:crosses val="autoZero"/>
        <c:crossBetween val="between"/>
      </c:valAx>
      <c:catAx>
        <c:axId val="221919232"/>
        <c:scaling>
          <c:orientation val="minMax"/>
        </c:scaling>
        <c:delete val="1"/>
        <c:axPos val="b"/>
        <c:numFmt formatCode="General" sourceLinked="1"/>
        <c:majorTickMark val="cross"/>
        <c:minorTickMark val="cross"/>
        <c:tickLblPos val="none"/>
        <c:crossAx val="262307136"/>
        <c:crosses val="autoZero"/>
        <c:auto val="1"/>
        <c:lblAlgn val="ctr"/>
        <c:lblOffset val="100"/>
        <c:noMultiLvlLbl val="1"/>
      </c:catAx>
      <c:valAx>
        <c:axId val="262307136"/>
        <c:scaling>
          <c:orientation val="minMax"/>
        </c:scaling>
        <c:delete val="0"/>
        <c:axPos val="r"/>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Стоимость сделок(млрд. $</a:t>
                </a:r>
                <a:r>
                  <a:rPr lang="en-US">
                    <a:latin typeface="Times New Roman" panose="02020603050405020304" pitchFamily="18" charset="0"/>
                    <a:cs typeface="Times New Roman" panose="02020603050405020304" pitchFamily="18" charset="0"/>
                  </a:rPr>
                  <a:t>)</a:t>
                </a:r>
              </a:p>
            </c:rich>
          </c:tx>
          <c:overlay val="0"/>
        </c:title>
        <c:numFmt formatCode="General" sourceLinked="1"/>
        <c:majorTickMark val="cross"/>
        <c:minorTickMark val="cross"/>
        <c:tickLblPos val="nextTo"/>
        <c:txPr>
          <a:bodyPr/>
          <a:lstStyle/>
          <a:p>
            <a:pPr>
              <a:defRPr>
                <a:latin typeface="Times New Roman" panose="02020603050405020304" pitchFamily="18" charset="0"/>
                <a:cs typeface="Times New Roman" panose="02020603050405020304" pitchFamily="18" charset="0"/>
              </a:defRPr>
            </a:pPr>
            <a:endParaRPr lang="ru-RU"/>
          </a:p>
        </c:txPr>
        <c:crossAx val="221919232"/>
        <c:crosses val="max"/>
        <c:crossBetween val="between"/>
      </c:valAx>
    </c:plotArea>
    <c:legend>
      <c:legendPos val="tr"/>
      <c:layout>
        <c:manualLayout>
          <c:xMode val="edge"/>
          <c:yMode val="edge"/>
          <c:x val="0.1883785920990646"/>
          <c:y val="0.89516059957173422"/>
          <c:w val="0.56095379904435017"/>
          <c:h val="0.10325717850579171"/>
        </c:manualLayout>
      </c:layout>
      <c:overlay val="1"/>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1"/>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050C-DAEB-44CE-8FFF-35BE0A0B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61</Pages>
  <Words>16217</Words>
  <Characters>92442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Анжела</cp:lastModifiedBy>
  <cp:revision>12</cp:revision>
  <cp:lastPrinted>2018-05-13T19:32:00Z</cp:lastPrinted>
  <dcterms:created xsi:type="dcterms:W3CDTF">2018-05-13T19:31:00Z</dcterms:created>
  <dcterms:modified xsi:type="dcterms:W3CDTF">2018-05-13T20:38:00Z</dcterms:modified>
</cp:coreProperties>
</file>